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auto"/>
          <w:sz w:val="21"/>
          <w:szCs w:val="21"/>
          <w:highlight w:val="none"/>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77425"/>
      <w:bookmarkStart w:id="2" w:name="_Toc32061"/>
      <w:bookmarkStart w:id="3" w:name="_Toc15396597"/>
      <w:bookmarkStart w:id="4" w:name="_Toc15377193"/>
      <w:bookmarkStart w:id="5" w:name="_Toc25909"/>
      <w:bookmarkStart w:id="6" w:name="_Toc15396475"/>
      <w:bookmarkStart w:id="7" w:name="_Toc15378441"/>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8" w:name="_Toc15396476"/>
      <w:bookmarkStart w:id="9" w:name="_Toc15377194"/>
      <w:bookmarkStart w:id="10" w:name="_Toc16068"/>
      <w:bookmarkStart w:id="11" w:name="_Toc17300"/>
      <w:bookmarkStart w:id="12" w:name="_Toc15378442"/>
      <w:bookmarkStart w:id="13" w:name="_Toc15377426"/>
      <w:bookmarkStart w:id="14" w:name="_Toc15396598"/>
      <w:r>
        <w:rPr>
          <w:rFonts w:hint="eastAsia" w:ascii="方正小标宋简体" w:eastAsia="方正小标宋简体" w:cs="方正小标宋简体"/>
          <w:color w:val="auto"/>
          <w:sz w:val="72"/>
          <w:szCs w:val="72"/>
          <w:highlight w:val="none"/>
        </w:rPr>
        <w:t>四川省</w:t>
      </w:r>
      <w:bookmarkEnd w:id="0"/>
      <w:bookmarkStart w:id="15" w:name="_Toc15306268"/>
      <w:r>
        <w:rPr>
          <w:rFonts w:hint="eastAsia" w:ascii="方正小标宋简体" w:eastAsia="方正小标宋简体" w:cs="方正小标宋简体"/>
          <w:color w:val="auto"/>
          <w:sz w:val="72"/>
          <w:szCs w:val="72"/>
          <w:highlight w:val="none"/>
          <w:lang w:eastAsia="zh-CN"/>
        </w:rPr>
        <w:t>广元市昭化区</w:t>
      </w:r>
      <w:r>
        <w:rPr>
          <w:rFonts w:ascii="方正小标宋简体" w:eastAsia="方正小标宋简体" w:cs="方正小标宋简体"/>
          <w:color w:val="auto"/>
          <w:sz w:val="72"/>
          <w:szCs w:val="72"/>
          <w:highlight w:val="none"/>
          <w:lang w:eastAsia="zh-CN"/>
        </w:rPr>
        <w:t>清水镇</w:t>
      </w:r>
      <w:r>
        <w:rPr>
          <w:rFonts w:hint="eastAsia" w:ascii="方正小标宋简体" w:eastAsia="方正小标宋简体" w:cs="方正小标宋简体"/>
          <w:color w:val="auto"/>
          <w:sz w:val="72"/>
          <w:szCs w:val="72"/>
          <w:highlight w:val="none"/>
          <w:lang w:eastAsia="zh-CN"/>
        </w:rPr>
        <w:t>卫生院单位</w:t>
      </w:r>
      <w:r>
        <w:rPr>
          <w:rFonts w:hint="eastAsia" w:asci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widowControl/>
        <w:jc w:val="center"/>
      </w:pPr>
      <w:r>
        <w:rPr>
          <w:rFonts w:ascii="方正小标宋简体" w:eastAsia="方正小标宋简体"/>
          <w:color w:val="auto"/>
          <w:sz w:val="36"/>
          <w:szCs w:val="36"/>
          <w:highlight w:val="none"/>
        </w:rPr>
        <w:br w:type="page"/>
      </w:r>
      <w:r>
        <w:rPr>
          <w:rFonts w:hint="eastAsia" w:ascii="黑体" w:eastAsia="黑体"/>
          <w:color w:val="auto"/>
          <w:sz w:val="48"/>
          <w:szCs w:val="48"/>
          <w:highlight w:val="none"/>
        </w:rPr>
        <w:t>目录</w:t>
      </w:r>
    </w:p>
    <w:p>
      <w:pPr>
        <w:pStyle w:val="12"/>
        <w:rPr>
          <w:rFonts w:eastAsia="仿宋"/>
          <w:color w:val="auto"/>
          <w:highlight w:val="none"/>
          <w:lang w:val="en-US" w:eastAsia="zh-CN"/>
        </w:rPr>
      </w:pPr>
      <w:r>
        <w:rPr>
          <w:rFonts w:hint="eastAsia"/>
          <w:color w:val="auto"/>
          <w:highlight w:val="none"/>
        </w:rPr>
        <w:t>公开时间：2</w:t>
      </w:r>
      <w:r>
        <w:rPr>
          <w:rFonts w:hint="eastAsia"/>
          <w:color w:val="auto"/>
          <w:highlight w:val="none"/>
          <w:lang w:val="en-US" w:eastAsia="zh-CN"/>
        </w:rPr>
        <w:t>023年9月28日</w:t>
      </w:r>
    </w:p>
    <w:sdt>
      <w:sdtPr>
        <w:rPr>
          <w:rFonts w:ascii="宋体" w:eastAsia="宋体" w:cs="Times New Roman"/>
          <w:kern w:val="2"/>
          <w:sz w:val="21"/>
          <w:szCs w:val="24"/>
          <w:lang w:val="en-US" w:eastAsia="zh-CN" w:bidi="ar-SA"/>
        </w:rPr>
        <w:id w:val="978155542"/>
        <w15:color w:val="DBDBDB"/>
        <w:docPartObj>
          <w:docPartGallery w:val="Table of Contents"/>
          <w:docPartUnique/>
        </w:docPartObj>
      </w:sdtPr>
      <w:sdtEndPr>
        <w:rPr>
          <w:rFonts w:asci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eastAsia="宋体" w:cs="Times New Roman"/>
              <w:kern w:val="2"/>
              <w:sz w:val="21"/>
              <w:szCs w:val="24"/>
              <w:lang w:val="en-US" w:eastAsia="zh-CN" w:bidi="ar-SA"/>
            </w:rPr>
          </w:pPr>
          <w:r>
            <w:fldChar w:fldCharType="begin"/>
          </w:r>
          <w:r>
            <w:instrText xml:space="preserve">TOC \o "1-3" \h \u </w:instrText>
          </w:r>
          <w:r>
            <w:fldChar w:fldCharType="separate"/>
          </w:r>
        </w:p>
        <w:p>
          <w:pPr>
            <w:pStyle w:val="12"/>
            <w:tabs>
              <w:tab w:val="right" w:leader="dot" w:pos="8111"/>
              <w:tab w:val="clear" w:pos="8296"/>
            </w:tabs>
          </w:pPr>
          <w:r>
            <w:fldChar w:fldCharType="begin"/>
          </w:r>
          <w:r>
            <w:instrText xml:space="preserve"> HYPERLINK \l _Toc32108 </w:instrText>
          </w:r>
          <w: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tab/>
          </w:r>
          <w:r>
            <w:fldChar w:fldCharType="begin"/>
          </w:r>
          <w:r>
            <w:instrText xml:space="preserve"> PAGEREF _Toc32108 </w:instrText>
          </w:r>
          <w:r>
            <w:fldChar w:fldCharType="separate"/>
          </w:r>
          <w:r>
            <w:t>1</w:t>
          </w:r>
          <w:r>
            <w:fldChar w:fldCharType="end"/>
          </w:r>
          <w:r>
            <w:fldChar w:fldCharType="end"/>
          </w:r>
        </w:p>
        <w:p>
          <w:pPr>
            <w:pStyle w:val="13"/>
            <w:tabs>
              <w:tab w:val="right" w:leader="dot" w:pos="8111"/>
              <w:tab w:val="clear" w:pos="8296"/>
            </w:tabs>
          </w:pPr>
          <w:r>
            <w:fldChar w:fldCharType="begin"/>
          </w:r>
          <w:r>
            <w:instrText xml:space="preserve"> HYPERLINK \l _Toc12838 </w:instrText>
          </w:r>
          <w:r>
            <w:fldChar w:fldCharType="separate"/>
          </w:r>
          <w:r>
            <w:rPr>
              <w:rFonts w:hint="eastAsia" w:ascii="黑体" w:eastAsia="黑体"/>
              <w:bCs w:val="0"/>
              <w:lang w:eastAsia="zh-CN"/>
            </w:rPr>
            <w:t xml:space="preserve">一、 </w:t>
          </w:r>
          <w:r>
            <w:rPr>
              <w:rFonts w:hint="eastAsia" w:ascii="黑体" w:eastAsia="黑体"/>
              <w:bCs w:val="0"/>
              <w:highlight w:val="none"/>
              <w:lang w:eastAsia="zh-CN"/>
            </w:rPr>
            <w:t>主要职责</w:t>
          </w:r>
          <w:r>
            <w:tab/>
          </w:r>
          <w:r>
            <w:fldChar w:fldCharType="begin"/>
          </w:r>
          <w:r>
            <w:instrText xml:space="preserve"> PAGEREF _Toc12838 </w:instrText>
          </w:r>
          <w:r>
            <w:fldChar w:fldCharType="separate"/>
          </w:r>
          <w:r>
            <w:t>1</w:t>
          </w:r>
          <w:r>
            <w:fldChar w:fldCharType="end"/>
          </w:r>
          <w:r>
            <w:fldChar w:fldCharType="end"/>
          </w:r>
        </w:p>
        <w:p>
          <w:pPr>
            <w:pStyle w:val="13"/>
            <w:tabs>
              <w:tab w:val="right" w:leader="dot" w:pos="8111"/>
              <w:tab w:val="clear" w:pos="8296"/>
            </w:tabs>
          </w:pPr>
          <w:r>
            <w:fldChar w:fldCharType="begin"/>
          </w:r>
          <w:r>
            <w:instrText xml:space="preserve"> HYPERLINK \l _Toc28272 </w:instrText>
          </w:r>
          <w:r>
            <w:fldChar w:fldCharType="separate"/>
          </w:r>
          <w:r>
            <w:rPr>
              <w:rFonts w:hint="eastAsia" w:ascii="黑体" w:eastAsia="黑体" w:cs="Times New Roman"/>
              <w:bCs w:val="0"/>
              <w:lang w:val="en-US" w:eastAsia="zh-CN"/>
            </w:rPr>
            <w:t xml:space="preserve">二、 </w:t>
          </w:r>
          <w:r>
            <w:rPr>
              <w:rFonts w:hint="eastAsia" w:ascii="黑体" w:eastAsia="黑体" w:cs="Times New Roman"/>
              <w:bCs w:val="0"/>
              <w:highlight w:val="none"/>
              <w:lang w:val="en-US" w:eastAsia="zh-CN"/>
            </w:rPr>
            <w:t>机构设置</w:t>
          </w:r>
          <w:r>
            <w:tab/>
          </w:r>
          <w:r>
            <w:fldChar w:fldCharType="begin"/>
          </w:r>
          <w:r>
            <w:instrText xml:space="preserve"> PAGEREF _Toc28272 </w:instrText>
          </w:r>
          <w:r>
            <w:fldChar w:fldCharType="separate"/>
          </w:r>
          <w:r>
            <w:t>2</w:t>
          </w:r>
          <w:r>
            <w:fldChar w:fldCharType="end"/>
          </w:r>
          <w:r>
            <w:fldChar w:fldCharType="end"/>
          </w:r>
        </w:p>
        <w:p>
          <w:pPr>
            <w:pStyle w:val="12"/>
            <w:tabs>
              <w:tab w:val="right" w:leader="dot" w:pos="8111"/>
              <w:tab w:val="clear" w:pos="8296"/>
            </w:tabs>
          </w:pPr>
          <w:r>
            <w:fldChar w:fldCharType="begin"/>
          </w:r>
          <w:r>
            <w:instrText xml:space="preserve"> HYPERLINK \l _Toc29816 </w:instrText>
          </w:r>
          <w:r>
            <w:fldChar w:fldCharType="separate"/>
          </w:r>
          <w:r>
            <w:rPr>
              <w:rFonts w:hint="eastAsia" w:ascii="黑体" w:eastAsia="黑体"/>
              <w:bCs/>
              <w:highlight w:val="none"/>
            </w:rPr>
            <w:t xml:space="preserve">第二部分 </w:t>
          </w:r>
          <w:r>
            <w:rPr>
              <w:rFonts w:hint="eastAsia" w:ascii="黑体" w:eastAsia="黑体"/>
              <w:bCs/>
              <w:highlight w:val="none"/>
              <w:lang w:val="en-US" w:eastAsia="zh-CN"/>
            </w:rPr>
            <w:t>2022年度</w:t>
          </w:r>
          <w:r>
            <w:rPr>
              <w:rFonts w:hint="eastAsia" w:ascii="黑体" w:eastAsia="黑体"/>
              <w:bCs/>
              <w:highlight w:val="none"/>
              <w:lang w:eastAsia="zh-CN"/>
            </w:rPr>
            <w:t>单位</w:t>
          </w:r>
          <w:r>
            <w:rPr>
              <w:rFonts w:hint="eastAsia" w:ascii="黑体" w:eastAsia="黑体"/>
              <w:bCs/>
              <w:highlight w:val="none"/>
            </w:rPr>
            <w:t>决算情况说明</w:t>
          </w:r>
          <w:r>
            <w:tab/>
          </w:r>
          <w:r>
            <w:fldChar w:fldCharType="begin"/>
          </w:r>
          <w:r>
            <w:instrText xml:space="preserve"> PAGEREF _Toc29816 </w:instrText>
          </w:r>
          <w:r>
            <w:fldChar w:fldCharType="separate"/>
          </w:r>
          <w:r>
            <w:t>3</w:t>
          </w:r>
          <w:r>
            <w:fldChar w:fldCharType="end"/>
          </w:r>
          <w:r>
            <w:fldChar w:fldCharType="end"/>
          </w:r>
        </w:p>
        <w:p>
          <w:pPr>
            <w:pStyle w:val="13"/>
            <w:tabs>
              <w:tab w:val="right" w:leader="dot" w:pos="8111"/>
              <w:tab w:val="clear" w:pos="8296"/>
            </w:tabs>
          </w:pPr>
          <w:r>
            <w:fldChar w:fldCharType="begin"/>
          </w:r>
          <w:r>
            <w:instrText xml:space="preserve"> HYPERLINK \l _Toc22069 </w:instrText>
          </w:r>
          <w: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_Toc22069 </w:instrText>
          </w:r>
          <w:r>
            <w:fldChar w:fldCharType="separate"/>
          </w:r>
          <w:r>
            <w:t>3</w:t>
          </w:r>
          <w:r>
            <w:fldChar w:fldCharType="end"/>
          </w:r>
          <w:r>
            <w:fldChar w:fldCharType="end"/>
          </w:r>
        </w:p>
        <w:p>
          <w:pPr>
            <w:pStyle w:val="13"/>
            <w:tabs>
              <w:tab w:val="right" w:leader="dot" w:pos="8111"/>
              <w:tab w:val="clear" w:pos="8296"/>
            </w:tabs>
          </w:pPr>
          <w:r>
            <w:fldChar w:fldCharType="begin"/>
          </w:r>
          <w:r>
            <w:instrText xml:space="preserve"> HYPERLINK \l _Toc12276 </w:instrText>
          </w:r>
          <w:r>
            <w:fldChar w:fldCharType="separate"/>
          </w:r>
          <w:r>
            <w:rPr>
              <w:rFonts w:hint="default" w:ascii="黑体" w:eastAsia="黑体"/>
            </w:rPr>
            <w:t xml:space="preserve">二、 </w:t>
          </w:r>
          <w:r>
            <w:rPr>
              <w:rFonts w:hint="eastAsia" w:ascii="黑体" w:eastAsia="黑体"/>
              <w:szCs w:val="32"/>
              <w:highlight w:val="none"/>
            </w:rPr>
            <w:t>收</w:t>
          </w:r>
          <w:r>
            <w:rPr>
              <w:rFonts w:hint="eastAsia" w:ascii="黑体" w:eastAsia="黑体"/>
              <w:highlight w:val="none"/>
            </w:rPr>
            <w:t>入决算情况说明</w:t>
          </w:r>
          <w:r>
            <w:tab/>
          </w:r>
          <w:r>
            <w:fldChar w:fldCharType="begin"/>
          </w:r>
          <w:r>
            <w:instrText xml:space="preserve"> PAGEREF _Toc12276 </w:instrText>
          </w:r>
          <w:r>
            <w:fldChar w:fldCharType="separate"/>
          </w:r>
          <w:r>
            <w:t>4</w:t>
          </w:r>
          <w:r>
            <w:fldChar w:fldCharType="end"/>
          </w:r>
          <w:r>
            <w:fldChar w:fldCharType="end"/>
          </w:r>
        </w:p>
        <w:p>
          <w:pPr>
            <w:pStyle w:val="13"/>
            <w:tabs>
              <w:tab w:val="right" w:leader="dot" w:pos="8111"/>
              <w:tab w:val="clear" w:pos="8296"/>
            </w:tabs>
          </w:pPr>
          <w:r>
            <w:fldChar w:fldCharType="begin"/>
          </w:r>
          <w:r>
            <w:instrText xml:space="preserve"> HYPERLINK \l _Toc30016 </w:instrText>
          </w:r>
          <w:r>
            <w:fldChar w:fldCharType="separate"/>
          </w:r>
          <w:r>
            <w:rPr>
              <w:rFonts w:hint="default" w:ascii="黑体" w:eastAsia="黑体"/>
            </w:rPr>
            <w:t xml:space="preserve">三、 </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_Toc30016 </w:instrText>
          </w:r>
          <w:r>
            <w:fldChar w:fldCharType="separate"/>
          </w:r>
          <w:r>
            <w:t>4</w:t>
          </w:r>
          <w:r>
            <w:fldChar w:fldCharType="end"/>
          </w:r>
          <w:r>
            <w:fldChar w:fldCharType="end"/>
          </w:r>
        </w:p>
        <w:p>
          <w:pPr>
            <w:pStyle w:val="13"/>
            <w:tabs>
              <w:tab w:val="right" w:leader="dot" w:pos="8111"/>
              <w:tab w:val="clear" w:pos="8296"/>
            </w:tabs>
          </w:pPr>
          <w:r>
            <w:fldChar w:fldCharType="begin"/>
          </w:r>
          <w:r>
            <w:instrText xml:space="preserve"> HYPERLINK \l _Toc20748 </w:instrText>
          </w:r>
          <w: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_Toc20748 </w:instrText>
          </w:r>
          <w:r>
            <w:fldChar w:fldCharType="separate"/>
          </w:r>
          <w:r>
            <w:t>4</w:t>
          </w:r>
          <w:r>
            <w:fldChar w:fldCharType="end"/>
          </w:r>
          <w:r>
            <w:fldChar w:fldCharType="end"/>
          </w:r>
        </w:p>
        <w:p>
          <w:pPr>
            <w:pStyle w:val="13"/>
            <w:tabs>
              <w:tab w:val="right" w:leader="dot" w:pos="8111"/>
              <w:tab w:val="clear" w:pos="8296"/>
            </w:tabs>
          </w:pPr>
          <w:r>
            <w:fldChar w:fldCharType="begin"/>
          </w:r>
          <w:r>
            <w:instrText xml:space="preserve"> HYPERLINK \l _Toc10757 </w:instrText>
          </w:r>
          <w: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_Toc10757 </w:instrText>
          </w:r>
          <w:r>
            <w:fldChar w:fldCharType="separate"/>
          </w:r>
          <w:r>
            <w:t>5</w:t>
          </w:r>
          <w:r>
            <w:fldChar w:fldCharType="end"/>
          </w:r>
          <w:r>
            <w:fldChar w:fldCharType="end"/>
          </w:r>
        </w:p>
        <w:p>
          <w:pPr>
            <w:pStyle w:val="8"/>
            <w:tabs>
              <w:tab w:val="right" w:leader="dot" w:pos="8111"/>
              <w:tab w:val="clear" w:pos="8296"/>
            </w:tabs>
          </w:pPr>
          <w:r>
            <w:fldChar w:fldCharType="begin"/>
          </w:r>
          <w:r>
            <w:instrText xml:space="preserve"> HYPERLINK \l _Toc6850 </w:instrText>
          </w:r>
          <w:r>
            <w:fldChar w:fldCharType="separate"/>
          </w:r>
          <w:r>
            <w:rPr>
              <w:rFonts w:hint="eastAsia" w:ascii="仿宋" w:eastAsia="仿宋"/>
              <w:szCs w:val="32"/>
              <w:highlight w:val="none"/>
            </w:rPr>
            <w:t>（一）一般公共预算财政拨款支出决算总体情况</w:t>
          </w:r>
          <w:r>
            <w:tab/>
          </w:r>
          <w:r>
            <w:fldChar w:fldCharType="begin"/>
          </w:r>
          <w:r>
            <w:instrText xml:space="preserve"> PAGEREF _Toc6850 </w:instrText>
          </w:r>
          <w:r>
            <w:fldChar w:fldCharType="separate"/>
          </w:r>
          <w:r>
            <w:t>5</w:t>
          </w:r>
          <w:r>
            <w:fldChar w:fldCharType="end"/>
          </w:r>
          <w:r>
            <w:fldChar w:fldCharType="end"/>
          </w:r>
        </w:p>
        <w:p>
          <w:pPr>
            <w:pStyle w:val="8"/>
            <w:tabs>
              <w:tab w:val="right" w:leader="dot" w:pos="8111"/>
              <w:tab w:val="clear" w:pos="8296"/>
            </w:tabs>
          </w:pPr>
          <w:r>
            <w:fldChar w:fldCharType="begin"/>
          </w:r>
          <w:r>
            <w:instrText xml:space="preserve"> HYPERLINK \l _Toc31428 </w:instrText>
          </w:r>
          <w:r>
            <w:fldChar w:fldCharType="separate"/>
          </w:r>
          <w:r>
            <w:rPr>
              <w:rFonts w:hint="eastAsia" w:ascii="仿宋" w:eastAsia="仿宋"/>
              <w:szCs w:val="32"/>
              <w:highlight w:val="none"/>
            </w:rPr>
            <w:t>（二）一般公共预算财政拨款支出决算结构情况</w:t>
          </w:r>
          <w:r>
            <w:tab/>
          </w:r>
          <w:r>
            <w:fldChar w:fldCharType="begin"/>
          </w:r>
          <w:r>
            <w:instrText xml:space="preserve"> PAGEREF _Toc31428 </w:instrText>
          </w:r>
          <w:r>
            <w:fldChar w:fldCharType="separate"/>
          </w:r>
          <w:r>
            <w:t>6</w:t>
          </w:r>
          <w:r>
            <w:fldChar w:fldCharType="end"/>
          </w:r>
          <w:r>
            <w:fldChar w:fldCharType="end"/>
          </w:r>
        </w:p>
        <w:p>
          <w:pPr>
            <w:pStyle w:val="8"/>
            <w:tabs>
              <w:tab w:val="right" w:leader="dot" w:pos="8111"/>
              <w:tab w:val="clear" w:pos="8296"/>
            </w:tabs>
          </w:pPr>
          <w:r>
            <w:fldChar w:fldCharType="begin"/>
          </w:r>
          <w:r>
            <w:instrText xml:space="preserve"> HYPERLINK \l _Toc5250 </w:instrText>
          </w:r>
          <w:r>
            <w:fldChar w:fldCharType="separate"/>
          </w:r>
          <w:r>
            <w:rPr>
              <w:rFonts w:hint="eastAsia" w:ascii="仿宋" w:eastAsia="仿宋"/>
              <w:szCs w:val="32"/>
              <w:highlight w:val="none"/>
            </w:rPr>
            <w:t>（三）一般公共预算财政拨款支出决算具体情况</w:t>
          </w:r>
          <w:r>
            <w:tab/>
          </w:r>
          <w:r>
            <w:fldChar w:fldCharType="begin"/>
          </w:r>
          <w:r>
            <w:instrText xml:space="preserve"> PAGEREF _Toc5250 </w:instrText>
          </w:r>
          <w:r>
            <w:fldChar w:fldCharType="separate"/>
          </w:r>
          <w:r>
            <w:t>6</w:t>
          </w:r>
          <w:r>
            <w:fldChar w:fldCharType="end"/>
          </w:r>
          <w:r>
            <w:fldChar w:fldCharType="end"/>
          </w:r>
        </w:p>
        <w:p>
          <w:pPr>
            <w:pStyle w:val="13"/>
            <w:tabs>
              <w:tab w:val="right" w:leader="dot" w:pos="8111"/>
              <w:tab w:val="clear" w:pos="8296"/>
            </w:tabs>
          </w:pPr>
          <w:r>
            <w:fldChar w:fldCharType="begin"/>
          </w:r>
          <w:r>
            <w:instrText xml:space="preserve"> HYPERLINK \l _Toc23538 </w:instrText>
          </w:r>
          <w: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_Toc23538 </w:instrText>
          </w:r>
          <w:r>
            <w:fldChar w:fldCharType="separate"/>
          </w:r>
          <w:r>
            <w:t>7</w:t>
          </w:r>
          <w:r>
            <w:fldChar w:fldCharType="end"/>
          </w:r>
          <w:r>
            <w:fldChar w:fldCharType="end"/>
          </w:r>
        </w:p>
        <w:p>
          <w:pPr>
            <w:pStyle w:val="13"/>
            <w:tabs>
              <w:tab w:val="right" w:leader="dot" w:pos="8111"/>
              <w:tab w:val="clear" w:pos="8296"/>
            </w:tabs>
          </w:pPr>
          <w:r>
            <w:fldChar w:fldCharType="begin"/>
          </w:r>
          <w:r>
            <w:instrText xml:space="preserve"> HYPERLINK \l _Toc30469 </w:instrText>
          </w:r>
          <w: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tab/>
          </w:r>
          <w:r>
            <w:fldChar w:fldCharType="begin"/>
          </w:r>
          <w:r>
            <w:instrText xml:space="preserve"> PAGEREF _Toc30469 </w:instrText>
          </w:r>
          <w:r>
            <w:fldChar w:fldCharType="separate"/>
          </w:r>
          <w:r>
            <w:t>7</w:t>
          </w:r>
          <w:r>
            <w:fldChar w:fldCharType="end"/>
          </w:r>
          <w:r>
            <w:fldChar w:fldCharType="end"/>
          </w:r>
        </w:p>
        <w:p>
          <w:pPr>
            <w:pStyle w:val="8"/>
            <w:tabs>
              <w:tab w:val="right" w:leader="dot" w:pos="8111"/>
              <w:tab w:val="clear" w:pos="8296"/>
            </w:tabs>
          </w:pPr>
          <w:r>
            <w:fldChar w:fldCharType="begin"/>
          </w:r>
          <w:r>
            <w:instrText xml:space="preserve"> HYPERLINK \l _Toc14986 </w:instrText>
          </w:r>
          <w:r>
            <w:fldChar w:fldCharType="separate"/>
          </w:r>
          <w:r>
            <w:rPr>
              <w:rFonts w:hint="eastAsia" w:ascii="仿宋" w:eastAsia="仿宋"/>
              <w:szCs w:val="32"/>
              <w:highlight w:val="none"/>
            </w:rPr>
            <w:t>（一）“三公”经费财政拨款支出决算总体情况说明</w:t>
          </w:r>
          <w:r>
            <w:tab/>
          </w:r>
          <w:r>
            <w:fldChar w:fldCharType="begin"/>
          </w:r>
          <w:r>
            <w:instrText xml:space="preserve"> PAGEREF _Toc14986 </w:instrText>
          </w:r>
          <w:r>
            <w:fldChar w:fldCharType="separate"/>
          </w:r>
          <w:r>
            <w:t>7</w:t>
          </w:r>
          <w:r>
            <w:fldChar w:fldCharType="end"/>
          </w:r>
          <w:r>
            <w:fldChar w:fldCharType="end"/>
          </w:r>
        </w:p>
        <w:p>
          <w:pPr>
            <w:pStyle w:val="8"/>
            <w:tabs>
              <w:tab w:val="right" w:leader="dot" w:pos="8111"/>
              <w:tab w:val="clear" w:pos="8296"/>
            </w:tabs>
          </w:pPr>
          <w:r>
            <w:fldChar w:fldCharType="begin"/>
          </w:r>
          <w:r>
            <w:instrText xml:space="preserve"> HYPERLINK \l _Toc6002 </w:instrText>
          </w:r>
          <w:r>
            <w:fldChar w:fldCharType="separate"/>
          </w:r>
          <w:r>
            <w:rPr>
              <w:rFonts w:hint="eastAsia" w:ascii="仿宋" w:eastAsia="仿宋"/>
              <w:szCs w:val="32"/>
              <w:highlight w:val="none"/>
            </w:rPr>
            <w:t>（二）“三公”经费财政拨款支出决算具体情况说明</w:t>
          </w:r>
          <w:r>
            <w:tab/>
          </w:r>
          <w:r>
            <w:fldChar w:fldCharType="begin"/>
          </w:r>
          <w:r>
            <w:instrText xml:space="preserve"> PAGEREF _Toc6002 </w:instrText>
          </w:r>
          <w:r>
            <w:fldChar w:fldCharType="separate"/>
          </w:r>
          <w:r>
            <w:t>8</w:t>
          </w:r>
          <w:r>
            <w:fldChar w:fldCharType="end"/>
          </w:r>
          <w:r>
            <w:fldChar w:fldCharType="end"/>
          </w:r>
        </w:p>
        <w:p>
          <w:pPr>
            <w:pStyle w:val="13"/>
            <w:tabs>
              <w:tab w:val="right" w:leader="dot" w:pos="8111"/>
              <w:tab w:val="clear" w:pos="8296"/>
            </w:tabs>
          </w:pPr>
          <w:r>
            <w:fldChar w:fldCharType="begin"/>
          </w:r>
          <w:r>
            <w:instrText xml:space="preserve"> HYPERLINK \l _Toc6470 </w:instrText>
          </w:r>
          <w: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_Toc6470 </w:instrText>
          </w:r>
          <w:r>
            <w:fldChar w:fldCharType="separate"/>
          </w:r>
          <w:r>
            <w:t>8</w:t>
          </w:r>
          <w:r>
            <w:fldChar w:fldCharType="end"/>
          </w:r>
          <w:r>
            <w:fldChar w:fldCharType="end"/>
          </w:r>
        </w:p>
        <w:p>
          <w:pPr>
            <w:pStyle w:val="13"/>
            <w:tabs>
              <w:tab w:val="right" w:leader="dot" w:pos="8111"/>
              <w:tab w:val="clear" w:pos="8296"/>
            </w:tabs>
          </w:pPr>
          <w:r>
            <w:fldChar w:fldCharType="begin"/>
          </w:r>
          <w:r>
            <w:instrText xml:space="preserve"> HYPERLINK \l _Toc23896 </w:instrText>
          </w:r>
          <w:r>
            <w:fldChar w:fldCharType="separate"/>
          </w:r>
          <w:r>
            <w:rPr>
              <w:rFonts w:hint="eastAsia" w:ascii="黑体" w:eastAsia="黑体"/>
            </w:rPr>
            <w:t xml:space="preserve">九、 </w:t>
          </w:r>
          <w:r>
            <w:rPr>
              <w:rFonts w:hint="eastAsia" w:ascii="黑体" w:eastAsia="黑体"/>
              <w:highlight w:val="none"/>
            </w:rPr>
            <w:t>国有资本经营预算支出决算情况说明</w:t>
          </w:r>
          <w:r>
            <w:tab/>
          </w:r>
          <w:r>
            <w:fldChar w:fldCharType="begin"/>
          </w:r>
          <w:r>
            <w:instrText xml:space="preserve"> PAGEREF _Toc23896 </w:instrText>
          </w:r>
          <w:r>
            <w:fldChar w:fldCharType="separate"/>
          </w:r>
          <w:r>
            <w:t>8</w:t>
          </w:r>
          <w:r>
            <w:fldChar w:fldCharType="end"/>
          </w:r>
          <w:r>
            <w:fldChar w:fldCharType="end"/>
          </w:r>
        </w:p>
        <w:p>
          <w:pPr>
            <w:pStyle w:val="13"/>
            <w:tabs>
              <w:tab w:val="right" w:leader="dot" w:pos="8111"/>
              <w:tab w:val="clear" w:pos="8296"/>
            </w:tabs>
          </w:pPr>
          <w:r>
            <w:fldChar w:fldCharType="begin"/>
          </w:r>
          <w:r>
            <w:instrText xml:space="preserve"> HYPERLINK \l _Toc15075 </w:instrText>
          </w:r>
          <w:r>
            <w:fldChar w:fldCharType="separate"/>
          </w:r>
          <w:r>
            <w:rPr>
              <w:rFonts w:hint="eastAsia" w:ascii="黑体" w:eastAsia="黑体"/>
            </w:rPr>
            <w:t xml:space="preserve">十、 </w:t>
          </w:r>
          <w:r>
            <w:rPr>
              <w:rFonts w:hint="eastAsia" w:ascii="黑体" w:eastAsia="黑体"/>
              <w:highlight w:val="none"/>
            </w:rPr>
            <w:t>其他重要事项的情况说明</w:t>
          </w:r>
          <w:r>
            <w:tab/>
          </w:r>
          <w:r>
            <w:fldChar w:fldCharType="begin"/>
          </w:r>
          <w:r>
            <w:instrText xml:space="preserve"> PAGEREF _Toc15075 </w:instrText>
          </w:r>
          <w:r>
            <w:fldChar w:fldCharType="separate"/>
          </w:r>
          <w:r>
            <w:t>8</w:t>
          </w:r>
          <w:r>
            <w:fldChar w:fldCharType="end"/>
          </w:r>
          <w:r>
            <w:fldChar w:fldCharType="end"/>
          </w:r>
        </w:p>
        <w:p>
          <w:pPr>
            <w:pStyle w:val="8"/>
            <w:tabs>
              <w:tab w:val="right" w:leader="dot" w:pos="8111"/>
              <w:tab w:val="clear" w:pos="8296"/>
            </w:tabs>
          </w:pPr>
          <w:r>
            <w:fldChar w:fldCharType="begin"/>
          </w:r>
          <w:r>
            <w:instrText xml:space="preserve"> HYPERLINK \l _Toc20905 </w:instrText>
          </w:r>
          <w:r>
            <w:fldChar w:fldCharType="separate"/>
          </w:r>
          <w:r>
            <w:rPr>
              <w:rFonts w:hint="eastAsia" w:ascii="仿宋" w:eastAsia="仿宋"/>
              <w:szCs w:val="32"/>
              <w:highlight w:val="none"/>
            </w:rPr>
            <w:t>（一）机关运行经费支出情况</w:t>
          </w:r>
          <w:r>
            <w:tab/>
          </w:r>
          <w:r>
            <w:fldChar w:fldCharType="begin"/>
          </w:r>
          <w:r>
            <w:instrText xml:space="preserve"> PAGEREF _Toc20905 </w:instrText>
          </w:r>
          <w:r>
            <w:fldChar w:fldCharType="separate"/>
          </w:r>
          <w:r>
            <w:t>8</w:t>
          </w:r>
          <w:r>
            <w:fldChar w:fldCharType="end"/>
          </w:r>
          <w:r>
            <w:fldChar w:fldCharType="end"/>
          </w:r>
        </w:p>
        <w:p>
          <w:pPr>
            <w:pStyle w:val="8"/>
            <w:tabs>
              <w:tab w:val="right" w:leader="dot" w:pos="8111"/>
              <w:tab w:val="clear" w:pos="8296"/>
            </w:tabs>
          </w:pPr>
          <w:r>
            <w:fldChar w:fldCharType="begin"/>
          </w:r>
          <w:r>
            <w:instrText xml:space="preserve"> HYPERLINK \l _Toc14615 </w:instrText>
          </w:r>
          <w:r>
            <w:fldChar w:fldCharType="separate"/>
          </w:r>
          <w:r>
            <w:rPr>
              <w:rFonts w:hint="eastAsia" w:ascii="仿宋" w:eastAsia="仿宋"/>
              <w:szCs w:val="32"/>
              <w:highlight w:val="none"/>
            </w:rPr>
            <w:t>（二）政府采购支出情况</w:t>
          </w:r>
          <w:r>
            <w:tab/>
          </w:r>
          <w:r>
            <w:fldChar w:fldCharType="begin"/>
          </w:r>
          <w:r>
            <w:instrText xml:space="preserve"> PAGEREF _Toc14615 </w:instrText>
          </w:r>
          <w:r>
            <w:fldChar w:fldCharType="separate"/>
          </w:r>
          <w:r>
            <w:t>8</w:t>
          </w:r>
          <w:r>
            <w:fldChar w:fldCharType="end"/>
          </w:r>
          <w:r>
            <w:fldChar w:fldCharType="end"/>
          </w:r>
        </w:p>
        <w:p>
          <w:pPr>
            <w:pStyle w:val="8"/>
            <w:tabs>
              <w:tab w:val="right" w:leader="dot" w:pos="8111"/>
              <w:tab w:val="clear" w:pos="8296"/>
            </w:tabs>
          </w:pPr>
          <w:r>
            <w:fldChar w:fldCharType="begin"/>
          </w:r>
          <w:r>
            <w:instrText xml:space="preserve"> HYPERLINK \l _Toc4543 </w:instrText>
          </w:r>
          <w:r>
            <w:fldChar w:fldCharType="separate"/>
          </w:r>
          <w:r>
            <w:rPr>
              <w:rFonts w:hint="eastAsia" w:ascii="仿宋" w:eastAsia="仿宋"/>
              <w:szCs w:val="32"/>
              <w:highlight w:val="none"/>
            </w:rPr>
            <w:t>（三）国有资产占有使用情况</w:t>
          </w:r>
          <w:r>
            <w:tab/>
          </w:r>
          <w:r>
            <w:fldChar w:fldCharType="begin"/>
          </w:r>
          <w:r>
            <w:instrText xml:space="preserve"> PAGEREF _Toc4543 </w:instrText>
          </w:r>
          <w:r>
            <w:fldChar w:fldCharType="separate"/>
          </w:r>
          <w:r>
            <w:t>8</w:t>
          </w:r>
          <w:r>
            <w:fldChar w:fldCharType="end"/>
          </w:r>
          <w:r>
            <w:fldChar w:fldCharType="end"/>
          </w:r>
        </w:p>
        <w:p>
          <w:pPr>
            <w:pStyle w:val="8"/>
            <w:tabs>
              <w:tab w:val="right" w:leader="dot" w:pos="8111"/>
              <w:tab w:val="clear" w:pos="8296"/>
            </w:tabs>
          </w:pPr>
          <w:r>
            <w:fldChar w:fldCharType="begin"/>
          </w:r>
          <w:r>
            <w:instrText xml:space="preserve"> HYPERLINK \l _Toc25692 </w:instrText>
          </w:r>
          <w:r>
            <w:fldChar w:fldCharType="separate"/>
          </w:r>
          <w:r>
            <w:rPr>
              <w:rFonts w:hint="eastAsia" w:ascii="仿宋" w:eastAsia="仿宋"/>
              <w:szCs w:val="32"/>
              <w:highlight w:val="none"/>
            </w:rPr>
            <w:t>（四）预算绩效管理情况</w:t>
          </w:r>
          <w:r>
            <w:tab/>
          </w:r>
          <w:r>
            <w:fldChar w:fldCharType="begin"/>
          </w:r>
          <w:r>
            <w:instrText xml:space="preserve"> PAGEREF _Toc25692 </w:instrText>
          </w:r>
          <w:r>
            <w:fldChar w:fldCharType="separate"/>
          </w:r>
          <w:r>
            <w:t>9</w:t>
          </w:r>
          <w:r>
            <w:fldChar w:fldCharType="end"/>
          </w:r>
          <w:r>
            <w:fldChar w:fldCharType="end"/>
          </w:r>
        </w:p>
        <w:p>
          <w:pPr>
            <w:pStyle w:val="12"/>
            <w:tabs>
              <w:tab w:val="right" w:leader="dot" w:pos="8111"/>
              <w:tab w:val="clear" w:pos="8296"/>
            </w:tabs>
          </w:pPr>
          <w:r>
            <w:fldChar w:fldCharType="begin"/>
          </w:r>
          <w:r>
            <w:instrText xml:space="preserve"> HYPERLINK \l _Toc23056 </w:instrText>
          </w:r>
          <w: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_Toc23056 </w:instrText>
          </w:r>
          <w:r>
            <w:fldChar w:fldCharType="separate"/>
          </w:r>
          <w:r>
            <w:t>16</w:t>
          </w:r>
          <w:r>
            <w:fldChar w:fldCharType="end"/>
          </w:r>
          <w:r>
            <w:fldChar w:fldCharType="end"/>
          </w:r>
        </w:p>
        <w:p>
          <w:pPr>
            <w:pStyle w:val="12"/>
            <w:tabs>
              <w:tab w:val="right" w:leader="dot" w:pos="8111"/>
              <w:tab w:val="clear" w:pos="8296"/>
            </w:tabs>
          </w:pPr>
          <w:r>
            <w:rPr>
              <w:rFonts w:hint="eastAsia" w:ascii="黑体" w:hAnsi="黑体" w:eastAsia="黑体" w:cs="黑体"/>
              <w:szCs w:val="44"/>
              <w:lang w:eastAsia="zh-CN"/>
            </w:rPr>
            <w:t>第四部分</w:t>
          </w:r>
          <w:r>
            <w:rPr>
              <w:rFonts w:hint="eastAsia" w:ascii="黑体" w:hAnsi="黑体" w:eastAsia="黑体" w:cs="黑体"/>
              <w:szCs w:val="44"/>
              <w:lang w:val="en-US" w:eastAsia="zh-CN"/>
            </w:rPr>
            <w:t xml:space="preserve"> </w:t>
          </w:r>
          <w:r>
            <w:fldChar w:fldCharType="begin"/>
          </w:r>
          <w:r>
            <w:instrText xml:space="preserve"> HYPERLINK \l _Toc29454 </w:instrText>
          </w:r>
          <w:r>
            <w:fldChar w:fldCharType="separate"/>
          </w:r>
          <w:r>
            <w:rPr>
              <w:rFonts w:hint="eastAsia" w:ascii="黑体" w:hAnsi="黑体" w:eastAsia="黑体" w:cs="黑体"/>
              <w:szCs w:val="32"/>
              <w:highlight w:val="none"/>
            </w:rPr>
            <w:t>附件</w:t>
          </w:r>
          <w:r>
            <w:tab/>
          </w:r>
          <w:r>
            <w:fldChar w:fldCharType="begin"/>
          </w:r>
          <w:r>
            <w:instrText xml:space="preserve"> PAGEREF _Toc29454 </w:instrText>
          </w:r>
          <w:r>
            <w:fldChar w:fldCharType="separate"/>
          </w:r>
          <w:r>
            <w:t>19</w:t>
          </w:r>
          <w:r>
            <w:fldChar w:fldCharType="end"/>
          </w:r>
          <w:r>
            <w:fldChar w:fldCharType="end"/>
          </w:r>
        </w:p>
        <w:p>
          <w:pPr>
            <w:pStyle w:val="12"/>
            <w:tabs>
              <w:tab w:val="right" w:leader="dot" w:pos="8111"/>
              <w:tab w:val="clear" w:pos="8296"/>
            </w:tabs>
          </w:pPr>
          <w:r>
            <w:fldChar w:fldCharType="begin"/>
          </w:r>
          <w:r>
            <w:instrText xml:space="preserve"> HYPERLINK \l _Toc30192 </w:instrText>
          </w:r>
          <w: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_Toc30192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_Toc24236 </w:instrText>
          </w:r>
          <w:r>
            <w:fldChar w:fldCharType="separate"/>
          </w:r>
          <w:r>
            <w:rPr>
              <w:rFonts w:hint="eastAsia" w:ascii="仿宋" w:eastAsia="仿宋"/>
              <w:highlight w:val="none"/>
            </w:rPr>
            <w:t>一、收</w:t>
          </w:r>
          <w:r>
            <w:rPr>
              <w:rFonts w:hint="eastAsia" w:ascii="仿宋" w:eastAsia="仿宋"/>
              <w:bCs w:val="0"/>
              <w:highlight w:val="none"/>
            </w:rPr>
            <w:t>入支出决算总表</w:t>
          </w:r>
          <w:r>
            <w:tab/>
          </w:r>
          <w:r>
            <w:fldChar w:fldCharType="begin"/>
          </w:r>
          <w:r>
            <w:instrText xml:space="preserve"> PAGEREF _Toc24236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_Toc32641 </w:instrText>
          </w:r>
          <w:r>
            <w:fldChar w:fldCharType="separate"/>
          </w:r>
          <w:r>
            <w:rPr>
              <w:rFonts w:hint="eastAsia" w:ascii="仿宋" w:eastAsia="仿宋"/>
              <w:highlight w:val="none"/>
            </w:rPr>
            <w:t>二、收</w:t>
          </w:r>
          <w:r>
            <w:rPr>
              <w:rFonts w:hint="eastAsia" w:ascii="仿宋" w:eastAsia="仿宋"/>
              <w:bCs w:val="0"/>
              <w:highlight w:val="none"/>
            </w:rPr>
            <w:t>入决算表</w:t>
          </w:r>
          <w:r>
            <w:tab/>
          </w:r>
          <w:r>
            <w:fldChar w:fldCharType="begin"/>
          </w:r>
          <w:r>
            <w:instrText xml:space="preserve"> PAGEREF _Toc32641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_Toc15955 </w:instrText>
          </w:r>
          <w:r>
            <w:fldChar w:fldCharType="separate"/>
          </w:r>
          <w:r>
            <w:rPr>
              <w:rFonts w:hint="eastAsia" w:ascii="仿宋" w:eastAsia="仿宋"/>
              <w:bCs w:val="0"/>
              <w:highlight w:val="none"/>
            </w:rPr>
            <w:t>三、</w:t>
          </w:r>
          <w:r>
            <w:rPr>
              <w:rFonts w:hint="eastAsia" w:ascii="仿宋" w:eastAsia="仿宋"/>
              <w:highlight w:val="none"/>
            </w:rPr>
            <w:t>支</w:t>
          </w:r>
          <w:r>
            <w:rPr>
              <w:rFonts w:hint="eastAsia" w:ascii="仿宋" w:eastAsia="仿宋"/>
              <w:bCs w:val="0"/>
              <w:highlight w:val="none"/>
            </w:rPr>
            <w:t>出决算表</w:t>
          </w:r>
          <w:r>
            <w:tab/>
          </w:r>
          <w:r>
            <w:fldChar w:fldCharType="begin"/>
          </w:r>
          <w:r>
            <w:instrText xml:space="preserve"> PAGEREF _Toc15955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_Toc18070 </w:instrText>
          </w:r>
          <w:r>
            <w:fldChar w:fldCharType="separate"/>
          </w:r>
          <w:r>
            <w:rPr>
              <w:rFonts w:hint="eastAsia" w:ascii="仿宋" w:eastAsia="仿宋"/>
              <w:bCs w:val="0"/>
              <w:highlight w:val="none"/>
            </w:rPr>
            <w:t>四、</w:t>
          </w:r>
          <w:r>
            <w:rPr>
              <w:rFonts w:hint="eastAsia" w:ascii="仿宋" w:eastAsia="仿宋"/>
              <w:highlight w:val="none"/>
            </w:rPr>
            <w:t>财</w:t>
          </w:r>
          <w:r>
            <w:rPr>
              <w:rFonts w:hint="eastAsia" w:ascii="仿宋" w:eastAsia="仿宋"/>
              <w:bCs w:val="0"/>
              <w:highlight w:val="none"/>
            </w:rPr>
            <w:t>政拨款收入支出决算总表</w:t>
          </w:r>
          <w:r>
            <w:tab/>
          </w:r>
          <w:r>
            <w:fldChar w:fldCharType="begin"/>
          </w:r>
          <w:r>
            <w:instrText xml:space="preserve"> PAGEREF _Toc18070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_Toc9620 </w:instrText>
          </w:r>
          <w:r>
            <w:fldChar w:fldCharType="separate"/>
          </w:r>
          <w:r>
            <w:rPr>
              <w:rFonts w:hint="eastAsia" w:ascii="仿宋" w:eastAsia="仿宋"/>
              <w:bCs w:val="0"/>
              <w:highlight w:val="none"/>
            </w:rPr>
            <w:t>五、</w:t>
          </w:r>
          <w:r>
            <w:rPr>
              <w:rFonts w:hint="eastAsia" w:ascii="仿宋" w:eastAsia="仿宋"/>
              <w:highlight w:val="none"/>
            </w:rPr>
            <w:t>财</w:t>
          </w:r>
          <w:r>
            <w:rPr>
              <w:rFonts w:hint="eastAsia" w:ascii="仿宋" w:eastAsia="仿宋"/>
              <w:bCs w:val="0"/>
              <w:highlight w:val="none"/>
            </w:rPr>
            <w:t>政拨款支出决算明细表</w:t>
          </w:r>
          <w:r>
            <w:tab/>
          </w:r>
          <w:r>
            <w:fldChar w:fldCharType="begin"/>
          </w:r>
          <w:r>
            <w:instrText xml:space="preserve"> PAGEREF _Toc9620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_Toc3962 </w:instrText>
          </w:r>
          <w:r>
            <w:fldChar w:fldCharType="separate"/>
          </w:r>
          <w:r>
            <w:rPr>
              <w:rFonts w:hint="eastAsia" w:ascii="仿宋" w:eastAsia="仿宋"/>
              <w:bCs w:val="0"/>
              <w:highlight w:val="none"/>
            </w:rPr>
            <w:t>六、</w:t>
          </w:r>
          <w:r>
            <w:rPr>
              <w:rFonts w:hint="eastAsia" w:ascii="仿宋" w:eastAsia="仿宋"/>
              <w:highlight w:val="none"/>
            </w:rPr>
            <w:t>一</w:t>
          </w:r>
          <w:r>
            <w:rPr>
              <w:rFonts w:hint="eastAsia" w:ascii="仿宋" w:eastAsia="仿宋"/>
              <w:bCs w:val="0"/>
              <w:highlight w:val="none"/>
            </w:rPr>
            <w:t>般公共预算财政拨款支出决算表</w:t>
          </w:r>
          <w:r>
            <w:tab/>
          </w:r>
          <w:r>
            <w:fldChar w:fldCharType="begin"/>
          </w:r>
          <w:r>
            <w:instrText xml:space="preserve"> PAGEREF _Toc3962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_Toc12956 </w:instrText>
          </w:r>
          <w:r>
            <w:fldChar w:fldCharType="separate"/>
          </w:r>
          <w:r>
            <w:rPr>
              <w:rFonts w:hint="eastAsia" w:ascii="仿宋" w:eastAsia="仿宋"/>
              <w:bCs w:val="0"/>
              <w:highlight w:val="none"/>
            </w:rPr>
            <w:t>七、</w:t>
          </w:r>
          <w:r>
            <w:rPr>
              <w:rFonts w:hint="eastAsia" w:ascii="仿宋" w:eastAsia="仿宋"/>
              <w:highlight w:val="none"/>
            </w:rPr>
            <w:t>一</w:t>
          </w:r>
          <w:r>
            <w:rPr>
              <w:rFonts w:hint="eastAsia" w:ascii="仿宋" w:eastAsia="仿宋"/>
              <w:bCs w:val="0"/>
              <w:highlight w:val="none"/>
            </w:rPr>
            <w:t>般公共预算财政拨款支出决算明细表</w:t>
          </w:r>
          <w:r>
            <w:tab/>
          </w:r>
          <w:r>
            <w:fldChar w:fldCharType="begin"/>
          </w:r>
          <w:r>
            <w:instrText xml:space="preserve"> PAGEREF _Toc12956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_Toc1640 </w:instrText>
          </w:r>
          <w:r>
            <w:fldChar w:fldCharType="separate"/>
          </w:r>
          <w:r>
            <w:rPr>
              <w:rFonts w:hint="eastAsia" w:ascii="仿宋" w:eastAsia="仿宋"/>
              <w:bCs w:val="0"/>
              <w:highlight w:val="none"/>
            </w:rPr>
            <w:t>八、</w:t>
          </w:r>
          <w:r>
            <w:rPr>
              <w:rFonts w:hint="eastAsia" w:ascii="仿宋" w:eastAsia="仿宋"/>
              <w:highlight w:val="none"/>
            </w:rPr>
            <w:t>一</w:t>
          </w:r>
          <w:r>
            <w:rPr>
              <w:rFonts w:hint="eastAsia" w:ascii="仿宋" w:eastAsia="仿宋"/>
              <w:bCs w:val="0"/>
              <w:highlight w:val="none"/>
            </w:rPr>
            <w:t>般公共预算财政拨款基本支出决算表</w:t>
          </w:r>
          <w:r>
            <w:tab/>
          </w:r>
          <w:r>
            <w:fldChar w:fldCharType="begin"/>
          </w:r>
          <w:r>
            <w:instrText xml:space="preserve"> PAGEREF _Toc1640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_Toc29785 </w:instrText>
          </w:r>
          <w:r>
            <w:fldChar w:fldCharType="separate"/>
          </w:r>
          <w:r>
            <w:rPr>
              <w:rFonts w:hint="eastAsia" w:ascii="仿宋" w:eastAsia="仿宋"/>
              <w:bCs w:val="0"/>
              <w:highlight w:val="none"/>
            </w:rPr>
            <w:t>九、</w:t>
          </w:r>
          <w:r>
            <w:rPr>
              <w:rFonts w:hint="eastAsia" w:ascii="仿宋" w:eastAsia="仿宋"/>
              <w:highlight w:val="none"/>
            </w:rPr>
            <w:t>一</w:t>
          </w:r>
          <w:r>
            <w:rPr>
              <w:rFonts w:hint="eastAsia" w:ascii="仿宋" w:eastAsia="仿宋"/>
              <w:bCs w:val="0"/>
              <w:highlight w:val="none"/>
            </w:rPr>
            <w:t>般公共预算财政拨款项目支出决算表</w:t>
          </w:r>
          <w:r>
            <w:tab/>
          </w:r>
          <w:r>
            <w:fldChar w:fldCharType="begin"/>
          </w:r>
          <w:r>
            <w:instrText xml:space="preserve"> PAGEREF _Toc29785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_Toc19383 </w:instrText>
          </w:r>
          <w:r>
            <w:fldChar w:fldCharType="separate"/>
          </w:r>
          <w:r>
            <w:rPr>
              <w:rFonts w:hint="eastAsia" w:ascii="仿宋" w:eastAsia="仿宋"/>
              <w:bCs w:val="0"/>
              <w:highlight w:val="none"/>
            </w:rPr>
            <w:t>十、</w:t>
          </w:r>
          <w:r>
            <w:rPr>
              <w:rFonts w:hint="eastAsia" w:ascii="仿宋" w:eastAsia="仿宋"/>
              <w:highlight w:val="none"/>
            </w:rPr>
            <w:t>政</w:t>
          </w:r>
          <w:r>
            <w:rPr>
              <w:rFonts w:hint="eastAsia" w:ascii="仿宋" w:eastAsia="仿宋"/>
              <w:bCs w:val="0"/>
              <w:highlight w:val="none"/>
            </w:rPr>
            <w:t>府性基金预算财政拨款收入支出决算表</w:t>
          </w:r>
          <w:r>
            <w:tab/>
          </w:r>
          <w:r>
            <w:fldChar w:fldCharType="begin"/>
          </w:r>
          <w:r>
            <w:instrText xml:space="preserve"> PAGEREF _Toc19383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_Toc2687 </w:instrText>
          </w:r>
          <w:r>
            <w:fldChar w:fldCharType="separate"/>
          </w:r>
          <w:r>
            <w:rPr>
              <w:rFonts w:hint="eastAsia" w:ascii="仿宋" w:eastAsia="仿宋"/>
              <w:bCs w:val="0"/>
              <w:highlight w:val="none"/>
            </w:rPr>
            <w:t>十一、</w:t>
          </w:r>
          <w:r>
            <w:rPr>
              <w:rFonts w:hint="eastAsia" w:ascii="仿宋" w:eastAsia="仿宋"/>
              <w:highlight w:val="none"/>
            </w:rPr>
            <w:t>国</w:t>
          </w:r>
          <w:r>
            <w:rPr>
              <w:rFonts w:hint="eastAsia" w:ascii="仿宋" w:eastAsia="仿宋"/>
              <w:bCs w:val="0"/>
              <w:highlight w:val="none"/>
            </w:rPr>
            <w:t>有资本经营预算</w:t>
          </w:r>
          <w:r>
            <w:rPr>
              <w:rFonts w:hint="eastAsia" w:ascii="仿宋" w:eastAsia="仿宋"/>
              <w:bCs w:val="0"/>
              <w:highlight w:val="none"/>
              <w:lang w:eastAsia="zh-CN"/>
            </w:rPr>
            <w:t>财政拨款收入</w:t>
          </w:r>
          <w:r>
            <w:rPr>
              <w:rFonts w:hint="eastAsia" w:ascii="仿宋" w:eastAsia="仿宋"/>
              <w:bCs w:val="0"/>
              <w:highlight w:val="none"/>
            </w:rPr>
            <w:t>支出决算表</w:t>
          </w:r>
          <w:r>
            <w:tab/>
          </w:r>
          <w:r>
            <w:fldChar w:fldCharType="begin"/>
          </w:r>
          <w:r>
            <w:instrText xml:space="preserve"> PAGEREF _Toc2687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_Toc17970 </w:instrText>
          </w:r>
          <w:r>
            <w:fldChar w:fldCharType="separate"/>
          </w:r>
          <w:r>
            <w:rPr>
              <w:rFonts w:hint="eastAsia" w:ascii="仿宋" w:eastAsia="仿宋"/>
              <w:bCs w:val="0"/>
              <w:highlight w:val="none"/>
            </w:rPr>
            <w:t>十二、</w:t>
          </w:r>
          <w:r>
            <w:rPr>
              <w:rFonts w:hint="eastAsia" w:ascii="仿宋" w:eastAsia="仿宋"/>
              <w:bCs w:val="0"/>
              <w:highlight w:val="none"/>
              <w:lang w:eastAsia="zh-CN"/>
            </w:rPr>
            <w:t>国有资本经营预算财政拨款支出决算表</w:t>
          </w:r>
          <w:r>
            <w:tab/>
          </w:r>
          <w:r>
            <w:fldChar w:fldCharType="begin"/>
          </w:r>
          <w:r>
            <w:instrText xml:space="preserve"> PAGEREF _Toc17970 </w:instrText>
          </w:r>
          <w:r>
            <w:fldChar w:fldCharType="separate"/>
          </w:r>
          <w:r>
            <w:t>26</w:t>
          </w:r>
          <w:r>
            <w:fldChar w:fldCharType="end"/>
          </w:r>
          <w:r>
            <w:fldChar w:fldCharType="end"/>
          </w:r>
        </w:p>
        <w:p>
          <w:pPr>
            <w:pStyle w:val="13"/>
            <w:tabs>
              <w:tab w:val="right" w:leader="dot" w:pos="8111"/>
              <w:tab w:val="clear" w:pos="8296"/>
            </w:tabs>
          </w:pPr>
          <w:r>
            <w:fldChar w:fldCharType="begin"/>
          </w:r>
          <w:r>
            <w:instrText xml:space="preserve"> HYPERLINK \l _Toc5865 </w:instrText>
          </w:r>
          <w:r>
            <w:fldChar w:fldCharType="separate"/>
          </w:r>
          <w:r>
            <w:rPr>
              <w:rFonts w:hint="eastAsia" w:ascii="仿宋" w:eastAsia="仿宋"/>
              <w:bCs w:val="0"/>
              <w:highlight w:val="none"/>
            </w:rPr>
            <w:t>十三、</w:t>
          </w:r>
          <w:r>
            <w:rPr>
              <w:rFonts w:hint="eastAsia" w:ascii="仿宋" w:eastAsia="仿宋"/>
              <w:bCs w:val="0"/>
              <w:highlight w:val="none"/>
              <w:lang w:eastAsia="zh-CN"/>
            </w:rPr>
            <w:t>财政拨款“三公”经费支出决算表</w:t>
          </w:r>
          <w:r>
            <w:tab/>
          </w:r>
          <w:r>
            <w:fldChar w:fldCharType="begin"/>
          </w:r>
          <w:r>
            <w:instrText xml:space="preserve"> PAGEREF _Toc5865 </w:instrText>
          </w:r>
          <w:r>
            <w:fldChar w:fldCharType="separate"/>
          </w:r>
          <w:r>
            <w:t>26</w:t>
          </w:r>
          <w:r>
            <w:fldChar w:fldCharType="end"/>
          </w:r>
          <w:r>
            <w:fldChar w:fldCharType="end"/>
          </w:r>
        </w:p>
        <w:p>
          <w:pPr>
            <w:widowControl/>
            <w:spacing w:before="0" w:after="0" w:line="240" w:lineRule="auto"/>
            <w:ind w:left="0" w:right="0" w:firstLine="0"/>
            <w:jc w:val="center"/>
          </w:pPr>
          <w:r>
            <w:fldChar w:fldCharType="end"/>
          </w:r>
        </w:p>
      </w:sdtContent>
    </w:sdt>
    <w:p>
      <w:pPr>
        <w:pStyle w:val="7"/>
      </w:pPr>
      <w:bookmarkStart w:id="16" w:name="_Toc15396599"/>
      <w:bookmarkStart w:id="17" w:name="_Toc15377196"/>
    </w:p>
    <w:p/>
    <w:p>
      <w:pPr>
        <w:pStyle w:val="7"/>
      </w:pPr>
    </w:p>
    <w:p/>
    <w:p>
      <w:pPr>
        <w:pStyle w:val="7"/>
      </w:pPr>
    </w:p>
    <w:p/>
    <w:p>
      <w:pPr>
        <w:pStyle w:val="7"/>
      </w:pPr>
    </w:p>
    <w:p/>
    <w:p>
      <w:pPr>
        <w:pStyle w:val="7"/>
      </w:pPr>
    </w:p>
    <w:p/>
    <w:p>
      <w:pPr>
        <w:pStyle w:val="7"/>
      </w:pPr>
    </w:p>
    <w:p/>
    <w:p>
      <w:pPr>
        <w:pStyle w:val="2"/>
      </w:pPr>
    </w:p>
    <w:p/>
    <w:p>
      <w:pPr>
        <w:pStyle w:val="2"/>
      </w:pPr>
    </w:p>
    <w:p/>
    <w:p>
      <w:pPr>
        <w:pStyle w:val="2"/>
      </w:pPr>
    </w:p>
    <w:p/>
    <w:p>
      <w:pPr>
        <w:pStyle w:val="2"/>
      </w:pPr>
    </w:p>
    <w:p/>
    <w:p>
      <w:pPr>
        <w:pStyle w:val="4"/>
        <w:jc w:val="center"/>
        <w:rPr>
          <w:rFonts w:hint="eastAsia" w:ascii="黑体" w:eastAsia="黑体"/>
          <w:b w:val="0"/>
          <w:color w:val="auto"/>
          <w:highlight w:val="none"/>
        </w:rPr>
        <w:sectPr>
          <w:headerReference r:id="rId3" w:type="default"/>
          <w:pgSz w:w="11906" w:h="16838"/>
          <w:pgMar w:top="1440" w:right="1995" w:bottom="1440" w:left="1800" w:header="851" w:footer="992" w:gutter="0"/>
          <w:pgNumType w:start="1"/>
          <w:cols w:space="720" w:num="1"/>
          <w:titlePg/>
          <w:docGrid w:type="lines" w:linePitch="312" w:charSpace="0"/>
        </w:sectPr>
      </w:pPr>
      <w:bookmarkStart w:id="18" w:name="_Toc32108"/>
    </w:p>
    <w:p>
      <w:pPr>
        <w:pStyle w:val="4"/>
        <w:jc w:val="center"/>
        <w:rPr>
          <w:rStyle w:val="19"/>
          <w:rFonts w:ascii="黑体" w:eastAsia="黑体"/>
          <w:b/>
          <w:bCs w:val="0"/>
          <w:color w:val="auto"/>
          <w:highlight w:val="none"/>
        </w:rPr>
      </w:pPr>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9"/>
          <w:rFonts w:hint="eastAsia" w:ascii="黑体" w:eastAsia="黑体"/>
          <w:b w:val="0"/>
          <w:bCs w:val="0"/>
          <w:color w:val="auto"/>
          <w:highlight w:val="none"/>
        </w:rPr>
        <w:t>概况</w:t>
      </w:r>
      <w:bookmarkEnd w:id="16"/>
      <w:bookmarkEnd w:id="17"/>
      <w:bookmarkEnd w:id="18"/>
    </w:p>
    <w:p>
      <w:pPr>
        <w:widowControl/>
        <w:jc w:val="left"/>
        <w:rPr>
          <w:rFonts w:ascii="黑体" w:eastAsia="黑体"/>
          <w:color w:val="auto"/>
          <w:sz w:val="32"/>
          <w:szCs w:val="32"/>
          <w:highlight w:val="none"/>
        </w:rPr>
      </w:pPr>
    </w:p>
    <w:p>
      <w:pPr>
        <w:pStyle w:val="5"/>
        <w:numPr>
          <w:ilvl w:val="0"/>
          <w:numId w:val="1"/>
        </w:numPr>
        <w:rPr>
          <w:rStyle w:val="20"/>
          <w:rFonts w:hint="eastAsia" w:ascii="黑体" w:eastAsia="黑体"/>
          <w:b w:val="0"/>
          <w:bCs w:val="0"/>
          <w:color w:val="auto"/>
          <w:highlight w:val="none"/>
          <w:lang w:eastAsia="zh-CN"/>
        </w:rPr>
      </w:pPr>
      <w:bookmarkStart w:id="19" w:name="_Toc12838"/>
      <w:bookmarkStart w:id="20" w:name="_Toc15396600"/>
      <w:bookmarkStart w:id="21" w:name="_Toc15377197"/>
      <w:r>
        <w:rPr>
          <w:rStyle w:val="20"/>
          <w:rFonts w:hint="eastAsia" w:ascii="黑体" w:eastAsia="黑体"/>
          <w:b w:val="0"/>
          <w:bCs w:val="0"/>
          <w:color w:val="auto"/>
          <w:highlight w:val="none"/>
          <w:lang w:eastAsia="zh-CN"/>
        </w:rPr>
        <w:t>主要职责</w:t>
      </w:r>
      <w:bookmarkEnd w:id="19"/>
    </w:p>
    <w:bookmarkEnd w:id="20"/>
    <w:bookmarkEnd w:id="21"/>
    <w:p>
      <w:pPr>
        <w:pStyle w:val="14"/>
        <w:shd w:val="clear" w:color="auto" w:fill="FFFFFF"/>
        <w:spacing w:line="330" w:lineRule="atLeast"/>
        <w:ind w:left="0" w:firstLine="640"/>
        <w:outlineLvl w:val="0"/>
        <w:rPr>
          <w:rFonts w:hint="eastAsia" w:ascii="仿宋_GB2312" w:eastAsia="仿宋_GB2312" w:cs="仿宋_GB2312"/>
          <w:b/>
          <w:bCs/>
          <w:i w:val="0"/>
          <w:iCs w:val="0"/>
          <w:caps w:val="0"/>
          <w:smallCaps w:val="0"/>
          <w:snapToGrid w:val="0"/>
          <w:color w:val="000000"/>
          <w:spacing w:val="0"/>
          <w:sz w:val="31"/>
          <w:szCs w:val="31"/>
          <w:shd w:val="clear" w:color="auto" w:fill="FFFFFF"/>
          <w:lang w:val="en-US" w:eastAsia="zh-CN"/>
        </w:rPr>
      </w:pPr>
      <w:bookmarkStart w:id="22" w:name="_Toc2516"/>
      <w:bookmarkStart w:id="23" w:name="_Toc25210"/>
      <w:bookmarkStart w:id="24" w:name="_Toc31362"/>
      <w:bookmarkStart w:id="25" w:name="_Toc4738"/>
      <w:bookmarkStart w:id="26" w:name="_Toc27476"/>
      <w:r>
        <w:rPr>
          <w:rFonts w:hint="eastAsia" w:ascii="仿宋_GB2312" w:eastAsia="仿宋_GB2312" w:cs="仿宋_GB2312"/>
          <w:b/>
          <w:bCs/>
          <w:i w:val="0"/>
          <w:iCs w:val="0"/>
          <w:caps w:val="0"/>
          <w:smallCaps w:val="0"/>
          <w:snapToGrid w:val="0"/>
          <w:color w:val="000000"/>
          <w:spacing w:val="0"/>
          <w:sz w:val="31"/>
          <w:szCs w:val="31"/>
          <w:shd w:val="clear" w:color="auto" w:fill="FFFFFF"/>
          <w:lang w:val="en-US" w:eastAsia="zh-CN"/>
        </w:rPr>
        <w:t>1、基本医疗服务方面</w:t>
      </w:r>
      <w:bookmarkEnd w:id="22"/>
      <w:bookmarkEnd w:id="23"/>
      <w:bookmarkEnd w:id="24"/>
      <w:bookmarkEnd w:id="25"/>
      <w:bookmarkEnd w:id="26"/>
    </w:p>
    <w:p>
      <w:pPr>
        <w:pStyle w:val="14"/>
        <w:shd w:val="clear" w:color="auto" w:fill="FFFFFF"/>
        <w:spacing w:line="330" w:lineRule="atLeast"/>
        <w:ind w:left="0" w:firstLine="640" w:firstLineChars="200"/>
        <w:rPr>
          <w:rFonts w:hint="eastAsia" w:ascii="仿宋" w:eastAsia="仿宋" w:cs="仿宋"/>
          <w:i w:val="0"/>
          <w:iCs w:val="0"/>
          <w:caps w:val="0"/>
          <w:smallCaps w:val="0"/>
          <w:snapToGrid w:val="0"/>
          <w:color w:val="000000"/>
          <w:spacing w:val="0"/>
          <w:sz w:val="32"/>
          <w:szCs w:val="32"/>
          <w:shd w:val="clear" w:color="auto" w:fill="FFFFFF"/>
          <w:lang w:val="en-US" w:eastAsia="zh-CN"/>
        </w:rPr>
      </w:pPr>
      <w:r>
        <w:rPr>
          <w:rFonts w:hint="eastAsia" w:ascii="仿宋_GB2312" w:eastAsia="仿宋_GB2312" w:cs="仿宋_GB2312"/>
          <w:sz w:val="32"/>
          <w:szCs w:val="32"/>
          <w:lang w:val="en-US" w:eastAsia="zh-CN"/>
        </w:rPr>
        <w:t>（1）我院基本医疗工作持续高质量发展，依托分级诊疗制度。通过加强组织领导，强化人才培训，着力业务拓展，我院成立了以院长为组长，资深业务骨干医师为副组长，药房负责人、护理负责人、财务负责人、辅检科室负责人和各村卫生室负责人为成员的专项工作领导小组。领导小组负责制定年度基本医疗工作计划，统筹处理日常工作中的重大事件和基本医疗日常监管等事宜。</w:t>
      </w:r>
      <w:r>
        <w:rPr>
          <w:rFonts w:hint="eastAsia" w:ascii="仿宋" w:eastAsia="仿宋" w:cs="仿宋"/>
          <w:i w:val="0"/>
          <w:iCs w:val="0"/>
          <w:caps w:val="0"/>
          <w:smallCaps w:val="0"/>
          <w:snapToGrid w:val="0"/>
          <w:color w:val="000000"/>
          <w:spacing w:val="0"/>
          <w:sz w:val="32"/>
          <w:szCs w:val="32"/>
          <w:shd w:val="clear" w:color="auto" w:fill="FFFFFF"/>
          <w:lang w:val="en-US" w:eastAsia="zh-CN"/>
        </w:rPr>
        <w:t>正确处理常见病，多发病，对疑难杂症进行恰当的处理与转诊；加强急诊救护体系建设，承担乡村现场应急救护，转诊和康复服务；认真执行国家基本药物制度，加强医疗质量管理及院感防控。</w:t>
      </w:r>
      <w:r>
        <w:rPr>
          <w:rFonts w:hint="eastAsia" w:ascii="仿宋_GB2312" w:eastAsia="仿宋_GB2312" w:cs="仿宋_GB2312"/>
          <w:sz w:val="32"/>
          <w:szCs w:val="32"/>
          <w:lang w:val="en-US" w:eastAsia="zh-CN"/>
        </w:rPr>
        <w:t>注重指标监控等一系列措施，实现了群众小病不出村，大病不出乡工作目标，业务量同比大幅增长，群众满意度大幅提升。</w:t>
      </w:r>
      <w:r>
        <w:rPr>
          <w:rFonts w:hint="eastAsia" w:ascii="仿宋" w:eastAsia="仿宋" w:cs="仿宋"/>
          <w:i w:val="0"/>
          <w:iCs w:val="0"/>
          <w:caps w:val="0"/>
          <w:smallCaps w:val="0"/>
          <w:snapToGrid w:val="0"/>
          <w:color w:val="000000"/>
          <w:spacing w:val="0"/>
          <w:sz w:val="32"/>
          <w:szCs w:val="32"/>
          <w:shd w:val="clear" w:color="auto" w:fill="FFFFFF"/>
          <w:lang w:val="en-US" w:eastAsia="zh-CN"/>
        </w:rPr>
        <w:t xml:space="preserve"> </w:t>
      </w:r>
    </w:p>
    <w:p>
      <w:pPr>
        <w:ind w:left="0"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（2）拓展服务项目把能否经受住大战、大考作为体现学习成效的重要指标。</w:t>
      </w:r>
    </w:p>
    <w:p>
      <w:pPr>
        <w:pStyle w:val="14"/>
        <w:shd w:val="clear" w:color="auto" w:fill="FFFFFF"/>
        <w:spacing w:line="330" w:lineRule="atLeast"/>
        <w:ind w:left="0" w:firstLine="640" w:firstLineChars="200"/>
        <w:outlineLvl w:val="0"/>
        <w:rPr>
          <w:rFonts w:hint="eastAsia" w:ascii="仿宋_GB2312" w:eastAsia="仿宋_GB2312" w:cs="仿宋_GB2312"/>
          <w:b/>
          <w:bCs/>
          <w:i w:val="0"/>
          <w:iCs w:val="0"/>
          <w:caps w:val="0"/>
          <w:smallCaps w:val="0"/>
          <w:snapToGrid w:val="0"/>
          <w:color w:val="000000"/>
          <w:spacing w:val="0"/>
          <w:sz w:val="31"/>
          <w:szCs w:val="31"/>
          <w:shd w:val="clear" w:color="auto" w:fill="FFFFFF"/>
          <w:lang w:val="en-US" w:eastAsia="zh-CN"/>
        </w:rPr>
      </w:pPr>
      <w:bookmarkStart w:id="27" w:name="_Toc2407"/>
      <w:bookmarkStart w:id="28" w:name="_Toc24133"/>
      <w:bookmarkStart w:id="29" w:name="_Toc6219"/>
      <w:bookmarkStart w:id="30" w:name="_Toc4380"/>
      <w:bookmarkStart w:id="31" w:name="_Toc10723"/>
      <w:r>
        <w:rPr>
          <w:rFonts w:hint="eastAsia" w:ascii="宋体" w:cs="宋体"/>
          <w:color w:val="000000"/>
          <w:sz w:val="32"/>
          <w:szCs w:val="32"/>
          <w:highlight w:val="none"/>
          <w:lang w:val="en-US" w:eastAsia="zh-CN"/>
        </w:rPr>
        <w:t>2、</w:t>
      </w:r>
      <w:r>
        <w:rPr>
          <w:rFonts w:hint="eastAsia" w:ascii="仿宋_GB2312" w:eastAsia="仿宋_GB2312" w:cs="仿宋_GB2312"/>
          <w:b/>
          <w:bCs/>
          <w:i w:val="0"/>
          <w:iCs w:val="0"/>
          <w:caps w:val="0"/>
          <w:smallCaps w:val="0"/>
          <w:snapToGrid w:val="0"/>
          <w:color w:val="000000"/>
          <w:spacing w:val="0"/>
          <w:sz w:val="31"/>
          <w:szCs w:val="31"/>
          <w:shd w:val="clear" w:color="auto" w:fill="FFFFFF"/>
          <w:lang w:val="en-US" w:eastAsia="zh-CN"/>
        </w:rPr>
        <w:t>基本公共卫生服务方面</w:t>
      </w:r>
      <w:bookmarkEnd w:id="27"/>
      <w:bookmarkEnd w:id="28"/>
      <w:bookmarkEnd w:id="29"/>
      <w:bookmarkEnd w:id="30"/>
      <w:bookmarkEnd w:id="31"/>
    </w:p>
    <w:p>
      <w:pPr>
        <w:pStyle w:val="14"/>
        <w:shd w:val="clear" w:color="auto" w:fill="FFFFFF"/>
        <w:spacing w:line="330" w:lineRule="atLeast"/>
        <w:ind w:left="0"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p>
    <w:p>
      <w:pPr>
        <w:pStyle w:val="14"/>
        <w:shd w:val="clear" w:color="auto" w:fill="FFFFFF"/>
        <w:spacing w:line="330" w:lineRule="atLeast"/>
        <w:ind w:left="0" w:firstLine="640" w:firstLineChars="200"/>
        <w:outlineLvl w:val="0"/>
        <w:rPr>
          <w:rFonts w:hint="eastAsia" w:ascii="仿宋_GB2312" w:eastAsia="仿宋_GB2312" w:cs="仿宋_GB2312"/>
          <w:b/>
          <w:bCs/>
          <w:i w:val="0"/>
          <w:iCs w:val="0"/>
          <w:caps w:val="0"/>
          <w:smallCaps w:val="0"/>
          <w:snapToGrid w:val="0"/>
          <w:color w:val="000000"/>
          <w:spacing w:val="0"/>
          <w:sz w:val="31"/>
          <w:szCs w:val="31"/>
          <w:shd w:val="clear" w:color="auto" w:fill="FFFFFF"/>
          <w:lang w:val="en-US" w:eastAsia="zh-CN"/>
        </w:rPr>
      </w:pPr>
      <w:bookmarkStart w:id="32" w:name="_Toc30115"/>
      <w:bookmarkStart w:id="33" w:name="_Toc17030"/>
      <w:bookmarkStart w:id="34" w:name="_Toc20399"/>
      <w:bookmarkStart w:id="35" w:name="_Toc32332"/>
      <w:bookmarkStart w:id="36" w:name="_Toc14321"/>
      <w:r>
        <w:rPr>
          <w:rFonts w:hint="eastAsia" w:cs="宋体"/>
          <w:color w:val="000000"/>
          <w:sz w:val="32"/>
          <w:szCs w:val="32"/>
          <w:highlight w:val="none"/>
          <w:lang w:val="en-US" w:eastAsia="zh-CN"/>
        </w:rPr>
        <w:t>3</w:t>
      </w:r>
      <w:r>
        <w:rPr>
          <w:rFonts w:hint="eastAsia" w:eastAsia="宋体" w:cs="宋体"/>
          <w:color w:val="000000"/>
          <w:sz w:val="32"/>
          <w:szCs w:val="32"/>
          <w:highlight w:val="none"/>
          <w:lang w:val="en-US" w:eastAsia="zh-CN"/>
        </w:rPr>
        <w:t>、</w:t>
      </w:r>
      <w:r>
        <w:rPr>
          <w:rFonts w:hint="eastAsia" w:ascii="仿宋_GB2312" w:eastAsia="仿宋_GB2312" w:cs="仿宋_GB2312"/>
          <w:b/>
          <w:bCs/>
          <w:i w:val="0"/>
          <w:iCs w:val="0"/>
          <w:caps w:val="0"/>
          <w:smallCaps w:val="0"/>
          <w:snapToGrid w:val="0"/>
          <w:color w:val="000000"/>
          <w:spacing w:val="0"/>
          <w:sz w:val="31"/>
          <w:szCs w:val="31"/>
          <w:shd w:val="clear" w:color="auto" w:fill="FFFFFF"/>
          <w:lang w:val="en-US" w:eastAsia="zh-CN"/>
        </w:rPr>
        <w:t>基本管理服务</w:t>
      </w:r>
      <w:bookmarkEnd w:id="32"/>
      <w:bookmarkEnd w:id="33"/>
      <w:bookmarkEnd w:id="34"/>
      <w:bookmarkEnd w:id="35"/>
      <w:bookmarkEnd w:id="36"/>
    </w:p>
    <w:p>
      <w:pPr>
        <w:ind w:left="0" w:firstLine="640" w:firstLineChars="200"/>
        <w:jc w:val="left"/>
        <w:rPr>
          <w:rFonts w:hint="eastAsia" w:ascii="仿宋_GB2312" w:hAnsi="Calibri" w:eastAsia="仿宋_GB2312" w:cs="仿宋_GB2312"/>
          <w:color w:val="auto"/>
          <w:kern w:val="2"/>
          <w:sz w:val="32"/>
          <w:szCs w:val="32"/>
          <w:lang w:val="en-US" w:eastAsia="zh-CN" w:bidi="ar-SA"/>
        </w:rPr>
      </w:pPr>
      <w:r>
        <w:rPr>
          <w:rFonts w:hint="eastAsia" w:ascii="仿宋_GB2312" w:hAnsi="Calibri" w:eastAsia="仿宋_GB2312" w:cs="仿宋_GB2312"/>
          <w:color w:val="auto"/>
          <w:kern w:val="2"/>
          <w:sz w:val="32"/>
          <w:szCs w:val="32"/>
          <w:lang w:val="en-US" w:eastAsia="zh-CN" w:bidi="ar-SA"/>
        </w:rPr>
        <w:t>（1）健全规章制度，进一步健全完善了工作制度和诊疗规范,制定完善了医疗差错防范制度，急救药品管理制度，危重病人抢救制度，医疗文书书写制度，处方病历点评制度，进一步规范了医疗行为，结合本院工作实际，进一步优化了护理工作流程。</w:t>
      </w:r>
    </w:p>
    <w:p>
      <w:pPr>
        <w:ind w:left="0" w:firstLine="640" w:firstLineChars="200"/>
        <w:jc w:val="left"/>
        <w:rPr>
          <w:rFonts w:hint="eastAsia" w:ascii="仿宋" w:eastAsia="仿宋" w:cs="仿宋"/>
          <w:i w:val="0"/>
          <w:iCs w:val="0"/>
          <w:caps w:val="0"/>
          <w:smallCaps w:val="0"/>
          <w:snapToGrid w:val="0"/>
          <w:color w:val="000000"/>
          <w:spacing w:val="0"/>
          <w:sz w:val="32"/>
          <w:szCs w:val="32"/>
          <w:shd w:val="clear" w:color="auto" w:fill="FFFFFF"/>
          <w:lang w:val="en-US" w:eastAsia="zh-CN"/>
        </w:rPr>
      </w:pPr>
      <w:r>
        <w:rPr>
          <w:rFonts w:hint="eastAsia" w:ascii="仿宋_GB2312" w:hAnsi="Calibri" w:eastAsia="仿宋_GB2312" w:cs="仿宋_GB2312"/>
          <w:color w:val="auto"/>
          <w:kern w:val="2"/>
          <w:sz w:val="32"/>
          <w:szCs w:val="32"/>
          <w:lang w:val="en-US" w:eastAsia="zh-CN" w:bidi="ar-SA"/>
        </w:rPr>
        <w:t>（2）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项工作。落实健康扶贫相关政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leftChars="0" w:right="0" w:firstLine="0" w:firstLineChars="0"/>
        <w:jc w:val="both"/>
        <w:rPr>
          <w:rStyle w:val="20"/>
          <w:rFonts w:hint="eastAsia" w:ascii="黑体" w:eastAsia="黑体" w:cs="Times New Roman"/>
          <w:b w:val="0"/>
          <w:bCs w:val="0"/>
          <w:color w:val="auto"/>
          <w:highlight w:val="none"/>
          <w:lang w:val="en-US" w:eastAsia="zh-CN"/>
        </w:rPr>
      </w:pPr>
      <w:bookmarkStart w:id="37" w:name="_Toc28272"/>
      <w:bookmarkStart w:id="38" w:name="_Toc10125"/>
      <w:r>
        <w:rPr>
          <w:rStyle w:val="20"/>
          <w:rFonts w:hint="eastAsia" w:ascii="黑体" w:eastAsia="黑体" w:cs="Times New Roman"/>
          <w:b w:val="0"/>
          <w:bCs w:val="0"/>
          <w:color w:val="auto"/>
          <w:highlight w:val="none"/>
          <w:lang w:val="en-US" w:eastAsia="zh-CN"/>
        </w:rPr>
        <w:t>机构设置</w:t>
      </w:r>
    </w:p>
    <w:bookmarkEnd w:id="37"/>
    <w:bookmarkEnd w:id="38"/>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广元市昭化区</w:t>
      </w:r>
      <w:r>
        <w:rPr>
          <w:rFonts w:hint="eastAsia" w:ascii="仿宋_GB2312" w:eastAsia="仿宋_GB2312" w:cs="仿宋_GB2312"/>
          <w:i w:val="0"/>
          <w:caps w:val="0"/>
          <w:color w:val="333333"/>
          <w:spacing w:val="0"/>
          <w:kern w:val="0"/>
          <w:sz w:val="32"/>
          <w:szCs w:val="32"/>
          <w:shd w:val="clear" w:color="auto" w:fill="FFFFFF"/>
          <w:lang w:val="en-US" w:eastAsia="zh-CN" w:bidi="ar"/>
        </w:rPr>
        <w:t>清水镇</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卫生院</w:t>
      </w:r>
      <w:r>
        <w:rPr>
          <w:rFonts w:hint="eastAsia" w:ascii="仿宋_GB2312" w:eastAsia="仿宋_GB2312" w:cs="仿宋_GB2312"/>
          <w:i w:val="0"/>
          <w:caps w:val="0"/>
          <w:color w:val="333333"/>
          <w:spacing w:val="0"/>
          <w:kern w:val="0"/>
          <w:sz w:val="32"/>
          <w:szCs w:val="32"/>
          <w:shd w:val="clear" w:color="auto" w:fill="FFFFFF"/>
          <w:lang w:val="en-US" w:eastAsia="zh-CN" w:bidi="ar"/>
        </w:rPr>
        <w:t>属主管部门下属单位，属于二级预算单位，无下属机构。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Chars="0" w:right="0" w:rightChars="0"/>
        <w:jc w:val="both"/>
        <w:rPr>
          <w:rFonts w:ascii="仿宋" w:eastAsia="仿宋"/>
          <w:color w:val="auto"/>
          <w:kern w:val="0"/>
          <w:sz w:val="32"/>
          <w:szCs w:val="32"/>
          <w:highlight w:val="none"/>
        </w:rPr>
      </w:pPr>
    </w:p>
    <w:p>
      <w:pPr>
        <w:pStyle w:val="2"/>
        <w:rPr>
          <w:rFonts w:ascii="仿宋" w:eastAsia="仿宋"/>
          <w:color w:val="auto"/>
          <w:kern w:val="0"/>
          <w:sz w:val="32"/>
          <w:szCs w:val="32"/>
          <w:highlight w:val="none"/>
        </w:rPr>
      </w:pPr>
    </w:p>
    <w:p>
      <w:pPr>
        <w:rPr>
          <w:rFonts w:ascii="仿宋" w:eastAsia="仿宋"/>
          <w:color w:val="auto"/>
          <w:kern w:val="0"/>
          <w:sz w:val="32"/>
          <w:szCs w:val="32"/>
          <w:highlight w:val="none"/>
        </w:rPr>
      </w:pPr>
    </w:p>
    <w:p>
      <w:pPr>
        <w:pStyle w:val="2"/>
        <w:rPr>
          <w:rFonts w:ascii="仿宋" w:eastAsia="仿宋"/>
          <w:color w:val="auto"/>
          <w:kern w:val="0"/>
          <w:sz w:val="32"/>
          <w:szCs w:val="32"/>
          <w:highlight w:val="none"/>
        </w:rPr>
      </w:pPr>
    </w:p>
    <w:p>
      <w:pPr>
        <w:rPr>
          <w:rFonts w:ascii="仿宋" w:eastAsia="仿宋"/>
          <w:color w:val="auto"/>
          <w:kern w:val="0"/>
          <w:sz w:val="32"/>
          <w:szCs w:val="32"/>
          <w:highlight w:val="none"/>
        </w:rPr>
      </w:pPr>
    </w:p>
    <w:p>
      <w:pPr>
        <w:pStyle w:val="2"/>
        <w:rPr>
          <w:rFonts w:ascii="仿宋" w:eastAsia="仿宋"/>
          <w:color w:val="auto"/>
          <w:kern w:val="0"/>
          <w:sz w:val="32"/>
          <w:szCs w:val="32"/>
          <w:highlight w:val="none"/>
        </w:rPr>
      </w:pPr>
    </w:p>
    <w:p>
      <w:pPr>
        <w:rPr>
          <w:rFonts w:ascii="仿宋" w:eastAsia="仿宋"/>
          <w:color w:val="auto"/>
          <w:kern w:val="0"/>
          <w:sz w:val="32"/>
          <w:szCs w:val="32"/>
          <w:highlight w:val="none"/>
        </w:rPr>
      </w:pPr>
    </w:p>
    <w:p>
      <w:pPr>
        <w:pStyle w:val="2"/>
        <w:rPr>
          <w:rFonts w:ascii="仿宋" w:eastAsia="仿宋"/>
          <w:color w:val="auto"/>
          <w:kern w:val="0"/>
          <w:sz w:val="32"/>
          <w:szCs w:val="32"/>
          <w:highlight w:val="none"/>
        </w:rPr>
      </w:pPr>
    </w:p>
    <w:p>
      <w:pPr>
        <w:rPr>
          <w:rFonts w:ascii="仿宋" w:eastAsia="仿宋"/>
          <w:color w:val="auto"/>
          <w:kern w:val="0"/>
          <w:sz w:val="32"/>
          <w:szCs w:val="32"/>
          <w:highlight w:val="none"/>
        </w:rPr>
      </w:pPr>
    </w:p>
    <w:p>
      <w:pPr>
        <w:pStyle w:val="2"/>
        <w:rPr>
          <w:rFonts w:ascii="仿宋" w:eastAsia="仿宋"/>
          <w:color w:val="auto"/>
          <w:kern w:val="0"/>
          <w:sz w:val="32"/>
          <w:szCs w:val="32"/>
          <w:highlight w:val="none"/>
        </w:rPr>
      </w:pPr>
    </w:p>
    <w:p>
      <w:pPr>
        <w:rPr>
          <w:rFonts w:ascii="仿宋" w:eastAsia="仿宋"/>
          <w:color w:val="auto"/>
          <w:kern w:val="0"/>
          <w:sz w:val="32"/>
          <w:szCs w:val="32"/>
          <w:highlight w:val="none"/>
        </w:rPr>
      </w:pPr>
    </w:p>
    <w:p>
      <w:pPr>
        <w:pStyle w:val="2"/>
        <w:rPr>
          <w:rFonts w:ascii="仿宋" w:eastAsia="仿宋"/>
          <w:color w:val="auto"/>
          <w:kern w:val="0"/>
          <w:sz w:val="32"/>
          <w:szCs w:val="32"/>
          <w:highlight w:val="none"/>
        </w:rPr>
      </w:pPr>
    </w:p>
    <w:p>
      <w:pPr>
        <w:rPr>
          <w:rFonts w:ascii="仿宋" w:eastAsia="仿宋"/>
          <w:color w:val="auto"/>
          <w:kern w:val="0"/>
          <w:sz w:val="32"/>
          <w:szCs w:val="32"/>
          <w:highlight w:val="none"/>
        </w:rPr>
      </w:pPr>
    </w:p>
    <w:p>
      <w:pPr>
        <w:pStyle w:val="2"/>
        <w:rPr>
          <w:rFonts w:ascii="仿宋" w:eastAsia="仿宋"/>
          <w:color w:val="auto"/>
          <w:kern w:val="0"/>
          <w:sz w:val="32"/>
          <w:szCs w:val="32"/>
          <w:highlight w:val="none"/>
        </w:rPr>
      </w:pPr>
    </w:p>
    <w:p>
      <w:pPr>
        <w:rPr>
          <w:rFonts w:ascii="仿宋" w:eastAsia="仿宋"/>
          <w:color w:val="auto"/>
          <w:kern w:val="0"/>
          <w:sz w:val="32"/>
          <w:szCs w:val="32"/>
          <w:highlight w:val="none"/>
        </w:rPr>
      </w:pPr>
    </w:p>
    <w:p>
      <w:pPr>
        <w:pStyle w:val="2"/>
        <w:rPr>
          <w:rFonts w:ascii="仿宋" w:eastAsia="仿宋"/>
          <w:color w:val="auto"/>
          <w:kern w:val="0"/>
          <w:sz w:val="32"/>
          <w:szCs w:val="32"/>
          <w:highlight w:val="none"/>
        </w:rPr>
      </w:pPr>
    </w:p>
    <w:p/>
    <w:p>
      <w:pPr>
        <w:rPr>
          <w:rFonts w:ascii="仿宋" w:eastAsia="仿宋"/>
          <w:color w:val="auto"/>
          <w:kern w:val="0"/>
          <w:sz w:val="32"/>
          <w:szCs w:val="32"/>
          <w:highlight w:val="none"/>
        </w:rPr>
      </w:pPr>
    </w:p>
    <w:p>
      <w:pPr>
        <w:pStyle w:val="2"/>
      </w:pPr>
    </w:p>
    <w:p>
      <w:pPr>
        <w:pStyle w:val="4"/>
        <w:ind w:right="440"/>
        <w:jc w:val="center"/>
        <w:rPr>
          <w:rStyle w:val="19"/>
          <w:rFonts w:ascii="黑体" w:eastAsia="黑体"/>
          <w:b w:val="0"/>
          <w:bCs/>
          <w:color w:val="auto"/>
          <w:highlight w:val="none"/>
        </w:rPr>
      </w:pPr>
      <w:bookmarkStart w:id="39" w:name="_Toc29816"/>
      <w:bookmarkStart w:id="40" w:name="_Toc15377204"/>
      <w:bookmarkStart w:id="41" w:name="_Toc15396602"/>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2022年度</w:t>
      </w:r>
      <w:r>
        <w:rPr>
          <w:rStyle w:val="19"/>
          <w:rFonts w:hint="eastAsia" w:ascii="黑体" w:eastAsia="黑体"/>
          <w:b w:val="0"/>
          <w:bCs/>
          <w:color w:val="auto"/>
          <w:highlight w:val="none"/>
          <w:lang w:eastAsia="zh-CN"/>
        </w:rPr>
        <w:t>单位</w:t>
      </w:r>
      <w:r>
        <w:rPr>
          <w:rStyle w:val="19"/>
          <w:rFonts w:hint="eastAsia" w:ascii="黑体" w:eastAsia="黑体"/>
          <w:b w:val="0"/>
          <w:bCs/>
          <w:color w:val="auto"/>
          <w:highlight w:val="none"/>
        </w:rPr>
        <w:t>决算情况说明</w:t>
      </w:r>
      <w:bookmarkEnd w:id="39"/>
      <w:bookmarkEnd w:id="40"/>
      <w:bookmarkEnd w:id="41"/>
    </w:p>
    <w:p>
      <w:pPr>
        <w:rPr>
          <w:color w:val="auto"/>
          <w:highlight w:val="none"/>
        </w:rPr>
      </w:pPr>
    </w:p>
    <w:p>
      <w:pPr>
        <w:pStyle w:val="25"/>
        <w:numPr>
          <w:ilvl w:val="0"/>
          <w:numId w:val="2"/>
        </w:numPr>
        <w:spacing w:line="600" w:lineRule="exact"/>
        <w:ind w:firstLineChars="0"/>
        <w:outlineLvl w:val="1"/>
        <w:rPr>
          <w:rStyle w:val="20"/>
          <w:rFonts w:ascii="黑体" w:eastAsia="黑体"/>
          <w:b w:val="0"/>
          <w:color w:val="auto"/>
          <w:highlight w:val="none"/>
        </w:rPr>
      </w:pPr>
      <w:bookmarkStart w:id="42" w:name="_Toc15396603"/>
      <w:bookmarkStart w:id="43" w:name="_Toc22069"/>
      <w:bookmarkStart w:id="44" w:name="_Toc15377205"/>
      <w:r>
        <w:rPr>
          <w:rFonts w:hint="eastAsia" w:ascii="黑体" w:eastAsia="黑体"/>
          <w:color w:val="auto"/>
          <w:sz w:val="32"/>
          <w:szCs w:val="32"/>
          <w:highlight w:val="none"/>
        </w:rPr>
        <w:t>收</w:t>
      </w:r>
      <w:r>
        <w:rPr>
          <w:rStyle w:val="20"/>
          <w:rFonts w:hint="eastAsia" w:ascii="黑体" w:eastAsia="黑体"/>
          <w:b w:val="0"/>
          <w:color w:val="auto"/>
          <w:highlight w:val="none"/>
        </w:rPr>
        <w:t>入支出决算总体情况说明</w:t>
      </w:r>
      <w:bookmarkEnd w:id="42"/>
      <w:bookmarkEnd w:id="43"/>
      <w:bookmarkEnd w:id="44"/>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2022年度收、支总计457.84万元。与2021年相比，收、支总计各增加138.11万元，增长43.2%。主要变动原因是医疗收入增加，人员经费增加。</w:t>
      </w:r>
    </w:p>
    <w:p>
      <w:pPr>
        <w:pStyle w:val="7"/>
        <w:rPr>
          <w:rFonts w:hint="eastAsia"/>
          <w:lang w:eastAsia="zh-CN"/>
        </w:rPr>
      </w:pPr>
      <w:r>
        <w:rPr>
          <w:rFonts w:hint="eastAsia"/>
          <w:lang w:val="en-US" w:eastAsia="zh-CN"/>
        </w:rPr>
        <w:t xml:space="preserve">           </w:t>
      </w:r>
      <w:r>
        <w:rPr>
          <w:lang w:val="en-US" w:eastAsia="zh-CN"/>
        </w:rPr>
        <w:drawing>
          <wp:inline distT="0" distB="0" distL="85090" distR="85090">
            <wp:extent cx="3056890" cy="2171065"/>
            <wp:effectExtent l="0" t="0" r="0" b="0"/>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7"/>
                    <a:stretch>
                      <a:fillRect/>
                    </a:stretch>
                  </pic:blipFill>
                  <pic:spPr>
                    <a:xfrm>
                      <a:off x="0" y="0"/>
                      <a:ext cx="3057478" cy="2171667"/>
                    </a:xfrm>
                    <a:prstGeom prst="rect">
                      <a:avLst/>
                    </a:prstGeom>
                    <a:noFill/>
                    <a:ln w="9525" cap="flat" cmpd="sng">
                      <a:noFill/>
                      <a:prstDash val="solid"/>
                      <a:miter/>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（图1：收、支决算总计变动情况图）（柱状图）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5"/>
        <w:numPr>
          <w:ilvl w:val="0"/>
          <w:numId w:val="2"/>
        </w:numPr>
        <w:spacing w:line="600" w:lineRule="exact"/>
        <w:ind w:firstLineChars="0"/>
        <w:outlineLvl w:val="1"/>
        <w:rPr>
          <w:rStyle w:val="20"/>
          <w:rFonts w:ascii="黑体" w:eastAsia="黑体"/>
          <w:b w:val="0"/>
          <w:color w:val="auto"/>
          <w:highlight w:val="none"/>
        </w:rPr>
      </w:pPr>
      <w:bookmarkStart w:id="45" w:name="_Toc15377206"/>
      <w:bookmarkStart w:id="46" w:name="_Toc15396604"/>
      <w:bookmarkStart w:id="47" w:name="_Toc12276"/>
      <w:r>
        <w:rPr>
          <w:rFonts w:hint="eastAsia" w:ascii="黑体" w:eastAsia="黑体"/>
          <w:color w:val="auto"/>
          <w:sz w:val="32"/>
          <w:szCs w:val="32"/>
          <w:highlight w:val="none"/>
        </w:rPr>
        <w:t>收</w:t>
      </w:r>
      <w:r>
        <w:rPr>
          <w:rStyle w:val="20"/>
          <w:rFonts w:hint="eastAsia" w:ascii="黑体" w:eastAsia="黑体"/>
          <w:b w:val="0"/>
          <w:color w:val="auto"/>
          <w:highlight w:val="none"/>
        </w:rPr>
        <w:t>入决算情况说明</w:t>
      </w:r>
      <w:bookmarkEnd w:id="45"/>
      <w:bookmarkEnd w:id="46"/>
      <w:bookmarkEnd w:id="47"/>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bookmarkStart w:id="48" w:name="_Toc9422"/>
      <w:bookmarkStart w:id="49" w:name="_Toc22153"/>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2022年本年收入合计457.84万元，其中：一般公共预算财政拨款收入244.33万元，占53.37%；政府性基金预算财政拨款收入5.56万元，占1.21%；事业收入207.95万元，占45.42%。</w:t>
      </w:r>
      <w:bookmarkEnd w:id="48"/>
      <w:bookmarkEnd w:id="49"/>
    </w:p>
    <w:p>
      <w:pPr>
        <w:ind w:firstLine="1890" w:firstLineChars="900"/>
        <w:rPr>
          <w:rFonts w:hint="eastAsia"/>
          <w:lang w:eastAsia="zh-CN"/>
        </w:rPr>
      </w:pPr>
      <w:r>
        <w:rPr>
          <w:rFonts w:hint="eastAsia"/>
          <w:lang w:val="en-US" w:eastAsia="zh-CN"/>
        </w:rPr>
        <w:t xml:space="preserve">   </w:t>
      </w:r>
      <w:r>
        <w:rPr>
          <w:lang w:val="en-US" w:eastAsia="zh-CN"/>
        </w:rPr>
        <w:drawing>
          <wp:inline distT="0" distB="0" distL="85090" distR="85090">
            <wp:extent cx="2223770" cy="1518920"/>
            <wp:effectExtent l="0" t="0" r="29" b="8"/>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8"/>
                    <a:stretch>
                      <a:fillRect/>
                    </a:stretch>
                  </pic:blipFill>
                  <pic:spPr>
                    <a:xfrm>
                      <a:off x="0" y="0"/>
                      <a:ext cx="2224120" cy="1519508"/>
                    </a:xfrm>
                    <a:prstGeom prst="rect">
                      <a:avLst/>
                    </a:prstGeom>
                    <a:noFill/>
                    <a:ln w="9525" cap="flat" cmpd="sng">
                      <a:noFill/>
                      <a:prstDash val="solid"/>
                      <a:miter/>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cente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5"/>
        <w:numPr>
          <w:ilvl w:val="0"/>
          <w:numId w:val="2"/>
        </w:numPr>
        <w:spacing w:line="600" w:lineRule="exact"/>
        <w:ind w:firstLineChars="0"/>
        <w:outlineLvl w:val="1"/>
        <w:rPr>
          <w:rStyle w:val="20"/>
          <w:rFonts w:ascii="黑体" w:eastAsia="黑体"/>
          <w:b w:val="0"/>
          <w:color w:val="auto"/>
          <w:highlight w:val="none"/>
        </w:rPr>
      </w:pPr>
      <w:bookmarkStart w:id="50" w:name="_Toc15377207"/>
      <w:bookmarkStart w:id="51" w:name="_Toc30016"/>
      <w:bookmarkStart w:id="52" w:name="_Toc15396605"/>
      <w:r>
        <w:rPr>
          <w:rFonts w:hint="eastAsia" w:ascii="黑体" w:eastAsia="黑体"/>
          <w:color w:val="auto"/>
          <w:sz w:val="32"/>
          <w:szCs w:val="32"/>
          <w:highlight w:val="none"/>
        </w:rPr>
        <w:t>支</w:t>
      </w:r>
      <w:r>
        <w:rPr>
          <w:rStyle w:val="20"/>
          <w:rFonts w:hint="eastAsia" w:ascii="黑体" w:eastAsia="黑体"/>
          <w:b w:val="0"/>
          <w:color w:val="auto"/>
          <w:highlight w:val="none"/>
        </w:rPr>
        <w:t>出决算情况说明</w:t>
      </w:r>
      <w:bookmarkEnd w:id="50"/>
      <w:bookmarkEnd w:id="51"/>
      <w:bookmarkEnd w:id="52"/>
    </w:p>
    <w:p>
      <w:pPr>
        <w:spacing w:line="600" w:lineRule="exact"/>
        <w:ind w:firstLine="640" w:firstLineChars="200"/>
        <w:outlineLvl w:val="1"/>
        <w:rPr>
          <w:rFonts w:ascii="仿宋" w:eastAsia="仿宋"/>
          <w:color w:val="auto"/>
          <w:sz w:val="32"/>
          <w:szCs w:val="32"/>
          <w:highlight w:val="none"/>
        </w:rPr>
      </w:pPr>
      <w:bookmarkStart w:id="53" w:name="_Toc6281"/>
      <w:bookmarkStart w:id="54" w:name="_Toc6117"/>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2022年本年支出合计457.84万元，其中：基本支出359.2万元，占78.46%；项目支出98.64万元，占21.54%。</w:t>
      </w:r>
      <w:bookmarkEnd w:id="53"/>
      <w:bookmarkEnd w:id="54"/>
    </w:p>
    <w:p>
      <w:pPr>
        <w:pStyle w:val="7"/>
        <w:jc w:val="center"/>
      </w:pPr>
      <w:r>
        <w:drawing>
          <wp:inline distT="0" distB="0" distL="85090" distR="85090">
            <wp:extent cx="2911475" cy="1624965"/>
            <wp:effectExtent l="0" t="0" r="13" b="23"/>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9"/>
                    <a:stretch>
                      <a:fillRect/>
                    </a:stretch>
                  </pic:blipFill>
                  <pic:spPr>
                    <a:xfrm>
                      <a:off x="0" y="0"/>
                      <a:ext cx="2911735" cy="1625154"/>
                    </a:xfrm>
                    <a:prstGeom prst="rect">
                      <a:avLst/>
                    </a:prstGeom>
                    <a:noFill/>
                    <a:ln w="9525" cap="flat" cmpd="sng">
                      <a:noFill/>
                      <a:prstDash val="solid"/>
                      <a:miter/>
                    </a:ln>
                  </pic:spPr>
                </pic:pic>
              </a:graphicData>
            </a:graphic>
          </wp:inline>
        </w:drawing>
      </w:r>
    </w:p>
    <w:p>
      <w:pPr>
        <w:spacing w:line="600" w:lineRule="exact"/>
        <w:ind w:firstLine="640" w:firstLineChars="200"/>
        <w:jc w:val="center"/>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0"/>
          <w:rFonts w:ascii="黑体" w:eastAsia="黑体"/>
          <w:b w:val="0"/>
          <w:color w:val="auto"/>
          <w:highlight w:val="none"/>
        </w:rPr>
      </w:pPr>
      <w:bookmarkStart w:id="55" w:name="_Toc15396606"/>
      <w:bookmarkStart w:id="56" w:name="_Toc20748"/>
      <w:bookmarkStart w:id="57" w:name="_Toc15377208"/>
      <w:r>
        <w:rPr>
          <w:rFonts w:hint="eastAsia" w:ascii="黑体" w:eastAsia="黑体"/>
          <w:color w:val="auto"/>
          <w:sz w:val="32"/>
          <w:szCs w:val="32"/>
          <w:highlight w:val="none"/>
        </w:rPr>
        <w:t>四、财</w:t>
      </w:r>
      <w:r>
        <w:rPr>
          <w:rStyle w:val="20"/>
          <w:rFonts w:hint="eastAsia" w:ascii="黑体" w:eastAsia="黑体"/>
          <w:b w:val="0"/>
          <w:color w:val="auto"/>
          <w:highlight w:val="none"/>
        </w:rPr>
        <w:t>政拨款收入支出决算总体情况说明</w:t>
      </w:r>
      <w:bookmarkEnd w:id="55"/>
      <w:bookmarkEnd w:id="56"/>
      <w:bookmarkEnd w:id="57"/>
    </w:p>
    <w:p>
      <w:pPr>
        <w:spacing w:line="600" w:lineRule="exact"/>
        <w:ind w:firstLine="640"/>
        <w:rPr>
          <w:rFonts w:hint="eastAsia" w:ascii="仿宋" w:eastAsia="仿宋"/>
          <w:color w:val="auto"/>
          <w:sz w:val="32"/>
          <w:szCs w:val="32"/>
          <w:highlight w:val="none"/>
          <w:lang w:val="en-US"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2022年财政拨款收、支总计249.89万元。与2021年相比，财政拨款收、支总计各增加50.6万元，增长25.39%。主要变动原因是人员经费增加，疫情防控资金增加。</w:t>
      </w:r>
    </w:p>
    <w:p>
      <w:pPr>
        <w:rPr>
          <w:lang w:val="en-US" w:eastAsia="zh-CN"/>
        </w:rPr>
      </w:pPr>
      <w:r>
        <w:rPr>
          <w:rFonts w:hint="eastAsia"/>
          <w:lang w:val="en-US" w:eastAsia="zh-CN"/>
        </w:rPr>
        <w:t xml:space="preserve">               </w:t>
      </w:r>
    </w:p>
    <w:p>
      <w:pPr>
        <w:pStyle w:val="7"/>
        <w:ind w:firstLine="1950" w:firstLineChars="650"/>
      </w:pPr>
      <w:r>
        <w:drawing>
          <wp:inline distT="0" distB="0" distL="85090" distR="85090">
            <wp:extent cx="3056890" cy="2171065"/>
            <wp:effectExtent l="0" t="0" r="0" b="0"/>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0"/>
                    <a:stretch>
                      <a:fillRect/>
                    </a:stretch>
                  </pic:blipFill>
                  <pic:spPr>
                    <a:xfrm>
                      <a:off x="0" y="0"/>
                      <a:ext cx="3057478" cy="2171667"/>
                    </a:xfrm>
                    <a:prstGeom prst="rect">
                      <a:avLst/>
                    </a:prstGeom>
                    <a:noFill/>
                    <a:ln w="9525" cap="flat" cmpd="sng">
                      <a:noFill/>
                      <a:prstDash val="solid"/>
                      <a:miter/>
                    </a:ln>
                  </pic:spPr>
                </pic:pic>
              </a:graphicData>
            </a:graphic>
          </wp:inline>
        </w:drawing>
      </w:r>
    </w:p>
    <w:p>
      <w:pPr>
        <w:rPr>
          <w:rFonts w:hint="eastAsia"/>
        </w:rPr>
      </w:pPr>
    </w:p>
    <w:p>
      <w:pPr>
        <w:spacing w:line="600" w:lineRule="exact"/>
        <w:ind w:firstLine="64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（图4：财政拨款收、支决算总计变动情况）（柱状图）</w:t>
      </w:r>
    </w:p>
    <w:p>
      <w:pPr>
        <w:spacing w:line="600" w:lineRule="exact"/>
        <w:ind w:firstLine="640"/>
        <w:rPr>
          <w:rFonts w:ascii="仿宋" w:eastAsia="仿宋"/>
          <w:b/>
          <w:color w:val="auto"/>
          <w:sz w:val="32"/>
          <w:szCs w:val="32"/>
          <w:highlight w:val="none"/>
        </w:rPr>
      </w:pPr>
    </w:p>
    <w:p>
      <w:pPr>
        <w:spacing w:line="600" w:lineRule="exact"/>
        <w:ind w:firstLine="640" w:firstLineChars="200"/>
        <w:outlineLvl w:val="1"/>
        <w:rPr>
          <w:rStyle w:val="20"/>
          <w:rFonts w:ascii="黑体" w:eastAsia="黑体"/>
          <w:b w:val="0"/>
          <w:color w:val="auto"/>
          <w:highlight w:val="none"/>
        </w:rPr>
      </w:pPr>
      <w:bookmarkStart w:id="58" w:name="_Toc15377209"/>
      <w:bookmarkStart w:id="59" w:name="_Toc10757"/>
      <w:bookmarkStart w:id="60" w:name="_Toc15396607"/>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20"/>
          <w:rFonts w:hint="eastAsia" w:ascii="黑体" w:eastAsia="黑体"/>
          <w:b w:val="0"/>
          <w:color w:val="auto"/>
          <w:highlight w:val="none"/>
        </w:rPr>
        <w:t>般公共预算财政拨款支出决算情况说明</w:t>
      </w:r>
      <w:bookmarkEnd w:id="58"/>
      <w:bookmarkEnd w:id="59"/>
      <w:bookmarkEnd w:id="60"/>
    </w:p>
    <w:p>
      <w:pPr>
        <w:spacing w:line="600" w:lineRule="exact"/>
        <w:ind w:firstLine="643" w:firstLineChars="200"/>
        <w:outlineLvl w:val="2"/>
        <w:rPr>
          <w:rFonts w:ascii="仿宋" w:eastAsia="仿宋"/>
          <w:b/>
          <w:color w:val="auto"/>
          <w:sz w:val="32"/>
          <w:szCs w:val="32"/>
          <w:highlight w:val="none"/>
        </w:rPr>
      </w:pPr>
      <w:bookmarkStart w:id="61" w:name="_Toc15377210"/>
      <w:bookmarkStart w:id="62" w:name="_Toc6850"/>
      <w:r>
        <w:rPr>
          <w:rFonts w:hint="eastAsia" w:ascii="仿宋" w:eastAsia="仿宋"/>
          <w:b/>
          <w:color w:val="auto"/>
          <w:sz w:val="32"/>
          <w:szCs w:val="32"/>
          <w:highlight w:val="none"/>
        </w:rPr>
        <w:t>（一）一般公共预算财政拨款支出决算总体情况</w:t>
      </w:r>
      <w:bookmarkEnd w:id="61"/>
      <w:bookmarkEnd w:id="62"/>
    </w:p>
    <w:p>
      <w:pPr>
        <w:spacing w:line="600" w:lineRule="exact"/>
        <w:ind w:firstLine="64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2022年一般公共预算财政拨款支出244.33万元，占本年支出合计的53.37%。与2021年相比，一般公共预算财政拨款支出增加45.04万元，增长22.6%。主要变动原因是人员经费增加。</w:t>
      </w:r>
    </w:p>
    <w:p>
      <w:r>
        <w:rPr>
          <w:rFonts w:hint="eastAsia"/>
          <w:lang w:val="en-US" w:eastAsia="zh-CN"/>
        </w:rPr>
        <w:t xml:space="preserve">                   </w:t>
      </w:r>
      <w:r>
        <w:rPr>
          <w:lang w:val="en-US" w:eastAsia="zh-CN"/>
        </w:rPr>
        <w:drawing>
          <wp:inline distT="0" distB="0" distL="85090" distR="85090">
            <wp:extent cx="2218690" cy="2332990"/>
            <wp:effectExtent l="0" t="0" r="0" b="0"/>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1"/>
                    <a:stretch>
                      <a:fillRect/>
                    </a:stretch>
                  </pic:blipFill>
                  <pic:spPr>
                    <a:xfrm>
                      <a:off x="0" y="0"/>
                      <a:ext cx="2219291" cy="2333589"/>
                    </a:xfrm>
                    <a:prstGeom prst="rect">
                      <a:avLst/>
                    </a:prstGeom>
                    <a:noFill/>
                    <a:ln w="9525" cap="flat" cmpd="sng">
                      <a:noFill/>
                      <a:prstDash val="solid"/>
                      <a:miter/>
                    </a:ln>
                  </pic:spPr>
                </pic:pic>
              </a:graphicData>
            </a:graphic>
          </wp:inline>
        </w:drawing>
      </w:r>
    </w:p>
    <w:p>
      <w:pPr>
        <w:spacing w:line="600" w:lineRule="exact"/>
        <w:ind w:firstLine="64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（图5：一般公共预算财政拨款支出决算变动情况）（柱状图）</w:t>
      </w:r>
    </w:p>
    <w:p>
      <w:pPr>
        <w:spacing w:line="600" w:lineRule="exact"/>
        <w:ind w:firstLine="643" w:firstLineChars="200"/>
        <w:outlineLvl w:val="2"/>
        <w:rPr>
          <w:rFonts w:ascii="仿宋" w:eastAsia="仿宋"/>
          <w:b/>
          <w:color w:val="auto"/>
          <w:sz w:val="32"/>
          <w:szCs w:val="32"/>
          <w:highlight w:val="none"/>
        </w:rPr>
      </w:pPr>
      <w:bookmarkStart w:id="63" w:name="_Toc15377211"/>
      <w:bookmarkStart w:id="64" w:name="_Toc31428"/>
      <w:r>
        <w:rPr>
          <w:rFonts w:hint="eastAsia" w:ascii="仿宋" w:eastAsia="仿宋"/>
          <w:b/>
          <w:color w:val="auto"/>
          <w:sz w:val="32"/>
          <w:szCs w:val="32"/>
          <w:highlight w:val="none"/>
        </w:rPr>
        <w:t>（二）一般公共预算财政拨款支出决算结构情况</w:t>
      </w:r>
      <w:bookmarkEnd w:id="63"/>
      <w:bookmarkEnd w:id="64"/>
    </w:p>
    <w:p>
      <w:pPr>
        <w:spacing w:line="600" w:lineRule="exact"/>
        <w:ind w:firstLine="64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2022年一般公共预算财政拨款支出244.33万元，主要用于以下方面:</w:t>
      </w:r>
      <w:r>
        <w:rPr>
          <w:rFonts w:hint="eastAsia" w:ascii="仿宋" w:eastAsia="仿宋"/>
          <w:b/>
          <w:color w:val="auto"/>
          <w:sz w:val="32"/>
          <w:szCs w:val="32"/>
          <w:highlight w:val="none"/>
        </w:rPr>
        <w:t>社会保障和就业</w:t>
      </w:r>
      <w:r>
        <w:rPr>
          <w:rFonts w:hint="eastAsia" w:ascii="仿宋" w:eastAsia="仿宋"/>
          <w:b/>
          <w:bCs/>
          <w:color w:val="auto"/>
          <w:sz w:val="32"/>
          <w:szCs w:val="32"/>
          <w:highlight w:val="none"/>
        </w:rPr>
        <w:t>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32.99万元，占13.5%；</w:t>
      </w:r>
      <w:r>
        <w:rPr>
          <w:rFonts w:hint="eastAsia" w:ascii="仿宋" w:eastAsia="仿宋"/>
          <w:b/>
          <w:bCs/>
          <w:color w:val="auto"/>
          <w:sz w:val="32"/>
          <w:szCs w:val="32"/>
          <w:highlight w:val="none"/>
        </w:rPr>
        <w:t>卫生健康支出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198.71万元，占81.33%</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12.63万元，占5.17%。</w:t>
      </w:r>
    </w:p>
    <w:p>
      <w:pPr>
        <w:ind w:firstLine="1365" w:firstLineChars="650"/>
      </w:pPr>
      <w:r>
        <w:drawing>
          <wp:inline distT="0" distB="0" distL="85090" distR="85090">
            <wp:extent cx="3323590" cy="2123440"/>
            <wp:effectExtent l="0" t="0" r="1" b="0"/>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12"/>
                    <a:stretch>
                      <a:fillRect/>
                    </a:stretch>
                  </pic:blipFill>
                  <pic:spPr>
                    <a:xfrm>
                      <a:off x="0" y="0"/>
                      <a:ext cx="3324173" cy="2124042"/>
                    </a:xfrm>
                    <a:prstGeom prst="rect">
                      <a:avLst/>
                    </a:prstGeom>
                    <a:noFill/>
                    <a:ln w="9525" cap="flat" cmpd="sng">
                      <a:noFill/>
                      <a:prstDash val="solid"/>
                      <a:miter/>
                    </a:ln>
                  </pic:spPr>
                </pic:pic>
              </a:graphicData>
            </a:graphic>
          </wp:inline>
        </w:drawing>
      </w:r>
    </w:p>
    <w:p>
      <w:pPr>
        <w:spacing w:line="600" w:lineRule="exact"/>
        <w:ind w:left="0" w:firstLine="640"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（图6：一般公共预算财政拨款支出决算结构）（饼状图）</w:t>
      </w:r>
    </w:p>
    <w:p>
      <w:pPr>
        <w:spacing w:line="600" w:lineRule="exact"/>
        <w:ind w:firstLine="643" w:firstLineChars="200"/>
        <w:outlineLvl w:val="2"/>
        <w:rPr>
          <w:rFonts w:ascii="仿宋" w:eastAsia="仿宋"/>
          <w:b/>
          <w:color w:val="auto"/>
          <w:sz w:val="32"/>
          <w:szCs w:val="32"/>
          <w:highlight w:val="none"/>
        </w:rPr>
      </w:pPr>
      <w:bookmarkStart w:id="65" w:name="_Toc15377212"/>
      <w:bookmarkStart w:id="66" w:name="_Toc5250"/>
      <w:r>
        <w:rPr>
          <w:rFonts w:hint="eastAsia" w:ascii="仿宋" w:eastAsia="仿宋"/>
          <w:b/>
          <w:color w:val="auto"/>
          <w:sz w:val="32"/>
          <w:szCs w:val="32"/>
          <w:highlight w:val="none"/>
        </w:rPr>
        <w:t>（三）一般公共预算财政拨款支出决算具体情况</w:t>
      </w:r>
      <w:bookmarkEnd w:id="65"/>
      <w:bookmarkEnd w:id="66"/>
    </w:p>
    <w:p>
      <w:pPr>
        <w:spacing w:line="600" w:lineRule="exact"/>
        <w:ind w:firstLine="643"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bookmarkStart w:id="67" w:name="_Toc15377213"/>
      <w:bookmarkStart w:id="68" w:name="_Toc15378460"/>
      <w:bookmarkStart w:id="69" w:name="_Toc8235"/>
      <w:bookmarkStart w:id="70" w:name="_Toc26795"/>
      <w:bookmarkStart w:id="71" w:name="_Toc15377444"/>
      <w:r>
        <w:rPr>
          <w:rFonts w:hint="eastAsia" w:ascii="仿宋_GB2312" w:hAnsi="Times New Roman" w:eastAsia="仿宋_GB2312" w:cs="仿宋_GB2312"/>
          <w:b/>
          <w:bCs/>
          <w:i w:val="0"/>
          <w:caps w:val="0"/>
          <w:color w:val="333333"/>
          <w:spacing w:val="0"/>
          <w:kern w:val="0"/>
          <w:sz w:val="32"/>
          <w:szCs w:val="32"/>
          <w:shd w:val="clear" w:color="auto" w:fill="FFFFFF"/>
          <w:lang w:val="en-US" w:eastAsia="zh-CN" w:bidi="ar"/>
        </w:rPr>
        <w:t>2022年一般公共预算支出决算数为244.33万元，完成预算100%。其中：</w:t>
      </w:r>
      <w:bookmarkEnd w:id="67"/>
      <w:bookmarkEnd w:id="68"/>
      <w:bookmarkEnd w:id="69"/>
      <w:bookmarkEnd w:id="70"/>
      <w:bookmarkEnd w:id="71"/>
    </w:p>
    <w:p>
      <w:pPr>
        <w:spacing w:line="600" w:lineRule="exact"/>
        <w:ind w:firstLine="643"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b/>
          <w:bCs/>
          <w:i w:val="0"/>
          <w:caps w:val="0"/>
          <w:color w:val="333333"/>
          <w:spacing w:val="0"/>
          <w:kern w:val="0"/>
          <w:sz w:val="32"/>
          <w:szCs w:val="32"/>
          <w:shd w:val="clear" w:color="auto" w:fill="FFFFFF"/>
          <w:lang w:val="en-US" w:eastAsia="zh-CN" w:bidi="ar"/>
        </w:rPr>
        <w:t>1.社会保障和就业（类）行政事业单位养老支出（款）机关事业单位基本养老保险缴费支出（项）: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支出决算为26.76万元，完成预算100%。</w:t>
      </w:r>
    </w:p>
    <w:p>
      <w:pPr>
        <w:spacing w:line="600" w:lineRule="exact"/>
        <w:ind w:firstLine="643"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b/>
          <w:bCs/>
          <w:i w:val="0"/>
          <w:caps w:val="0"/>
          <w:color w:val="333333"/>
          <w:spacing w:val="0"/>
          <w:kern w:val="0"/>
          <w:sz w:val="32"/>
          <w:szCs w:val="32"/>
          <w:shd w:val="clear" w:color="auto" w:fill="FFFFFF"/>
          <w:lang w:val="en-US" w:eastAsia="zh-CN" w:bidi="ar"/>
        </w:rPr>
        <w:t xml:space="preserve">2.社会保障和就业（类）行政事业单位养老支出（款）机关事业单位职业年金缴费支出（项）: </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支出决算为6.23万元，完成预算100%。</w:t>
      </w:r>
    </w:p>
    <w:p>
      <w:pPr>
        <w:spacing w:line="600" w:lineRule="exact"/>
        <w:ind w:firstLine="643"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b/>
          <w:bCs/>
          <w:i w:val="0"/>
          <w:caps w:val="0"/>
          <w:color w:val="333333"/>
          <w:spacing w:val="0"/>
          <w:kern w:val="0"/>
          <w:sz w:val="32"/>
          <w:szCs w:val="32"/>
          <w:shd w:val="clear" w:color="auto" w:fill="FFFFFF"/>
          <w:lang w:val="en-US" w:eastAsia="zh-CN" w:bidi="ar"/>
        </w:rPr>
        <w:t>3.卫生健康（类）基层医疗卫生机构（款）乡镇卫生院（项）: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支出决算为162.45万元，完成预算100%。</w:t>
      </w:r>
    </w:p>
    <w:p>
      <w:pPr>
        <w:spacing w:line="600" w:lineRule="exact"/>
        <w:ind w:firstLine="643"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b/>
          <w:bCs/>
          <w:i w:val="0"/>
          <w:caps w:val="0"/>
          <w:color w:val="333333"/>
          <w:spacing w:val="0"/>
          <w:kern w:val="0"/>
          <w:sz w:val="32"/>
          <w:szCs w:val="32"/>
          <w:shd w:val="clear" w:color="auto" w:fill="FFFFFF"/>
          <w:lang w:val="en-US" w:eastAsia="zh-CN" w:bidi="ar"/>
        </w:rPr>
        <w:t>4.卫生健康（类）基层医疗卫生机构（款）其他基层医疗卫生机构支出（项）: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支出决算为21.55万元，完成预算100%。</w:t>
      </w:r>
    </w:p>
    <w:p>
      <w:pPr>
        <w:spacing w:line="600" w:lineRule="exact"/>
        <w:ind w:firstLine="643"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b/>
          <w:bCs/>
          <w:i w:val="0"/>
          <w:caps w:val="0"/>
          <w:color w:val="333333"/>
          <w:spacing w:val="0"/>
          <w:kern w:val="0"/>
          <w:sz w:val="32"/>
          <w:szCs w:val="32"/>
          <w:shd w:val="clear" w:color="auto" w:fill="FFFFFF"/>
          <w:lang w:val="en-US" w:eastAsia="zh-CN" w:bidi="ar"/>
        </w:rPr>
        <w:t>5.卫生健康（类）行政事业单位医疗（款）事业单位医疗（项）: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支出决算为6.57万元，完成预算100%。</w:t>
      </w:r>
    </w:p>
    <w:p>
      <w:pPr>
        <w:spacing w:line="600" w:lineRule="exact"/>
        <w:ind w:firstLine="643"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b/>
          <w:bCs/>
          <w:i w:val="0"/>
          <w:caps w:val="0"/>
          <w:color w:val="333333"/>
          <w:spacing w:val="0"/>
          <w:kern w:val="0"/>
          <w:sz w:val="32"/>
          <w:szCs w:val="32"/>
          <w:shd w:val="clear" w:color="auto" w:fill="FFFFFF"/>
          <w:lang w:val="en-US" w:eastAsia="zh-CN" w:bidi="ar"/>
        </w:rPr>
        <w:t>6.住房保障（类）住房改革支出（款）住房公积金（项）: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xml:space="preserve"> </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支出决算为12.63万元，完成预算100%。</w:t>
      </w:r>
    </w:p>
    <w:p>
      <w:pPr>
        <w:pStyle w:val="7"/>
      </w:pPr>
    </w:p>
    <w:p>
      <w:pPr>
        <w:tabs>
          <w:tab w:val="right" w:pos="8306"/>
        </w:tabs>
        <w:spacing w:line="600" w:lineRule="exact"/>
        <w:ind w:firstLine="640"/>
        <w:outlineLvl w:val="1"/>
        <w:rPr>
          <w:rStyle w:val="20"/>
          <w:color w:val="auto"/>
          <w:highlight w:val="none"/>
        </w:rPr>
      </w:pPr>
      <w:bookmarkStart w:id="72" w:name="_Toc23538"/>
      <w:bookmarkStart w:id="73" w:name="_Toc15377214"/>
      <w:bookmarkStart w:id="74"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20"/>
          <w:rFonts w:hint="eastAsia" w:ascii="黑体" w:eastAsia="黑体"/>
          <w:b w:val="0"/>
          <w:color w:val="auto"/>
          <w:highlight w:val="none"/>
        </w:rPr>
        <w:t>般公共预算财政拨款基本支出决算情况说明</w:t>
      </w:r>
      <w:bookmarkEnd w:id="72"/>
      <w:bookmarkEnd w:id="73"/>
      <w:bookmarkEnd w:id="74"/>
      <w:r>
        <w:rPr>
          <w:rStyle w:val="20"/>
          <w:rFonts w:ascii="黑体" w:eastAsia="黑体"/>
          <w:b w:val="0"/>
          <w:color w:val="auto"/>
          <w:highlight w:val="none"/>
        </w:rPr>
        <w:tab/>
      </w:r>
    </w:p>
    <w:p>
      <w:pPr>
        <w:spacing w:line="600" w:lineRule="exact"/>
        <w:ind w:firstLine="640"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2022年一般公共预算财政拨款基本支出244.33万元，其中：</w:t>
      </w:r>
    </w:p>
    <w:p>
      <w:pPr>
        <w:spacing w:line="600" w:lineRule="exact"/>
        <w:ind w:firstLine="640" w:firstLineChars="200"/>
        <w:rPr>
          <w:rFonts w:ascii="仿宋" w:eastAsia="仿宋"/>
          <w:color w:val="auto"/>
          <w:sz w:val="32"/>
          <w:szCs w:val="32"/>
          <w:highlight w:val="none"/>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人员经费150.73万元，主要包括：基本工资44.82万元、津贴补贴2.36万元、绩效工资51.35万元、机关事业单位基本养老保险缴费26.76万元、职业年金缴费6.23万元、医疗保险缴费6.57万元、住房公积金12.63万元。</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公用经费0.52万元，主要包括：邮电费0.52万元</w:t>
      </w:r>
      <w:r>
        <w:rPr>
          <w:rFonts w:hint="eastAsia" w:ascii="仿宋" w:eastAsia="仿宋"/>
          <w:color w:val="auto"/>
          <w:sz w:val="32"/>
          <w:szCs w:val="32"/>
          <w:highlight w:val="none"/>
        </w:rPr>
        <w:t>。</w:t>
      </w:r>
    </w:p>
    <w:p>
      <w:pPr>
        <w:spacing w:line="600" w:lineRule="exact"/>
        <w:ind w:firstLine="640"/>
        <w:rPr>
          <w:rFonts w:hint="eastAsia" w:ascii="仿宋" w:eastAsia="仿宋"/>
          <w:b/>
          <w:color w:val="auto"/>
          <w:sz w:val="32"/>
          <w:szCs w:val="32"/>
          <w:highlight w:val="none"/>
          <w:lang w:val="en-US" w:eastAsia="zh-CN"/>
        </w:rPr>
      </w:pPr>
    </w:p>
    <w:p>
      <w:pPr>
        <w:spacing w:line="600" w:lineRule="exact"/>
        <w:ind w:firstLine="640"/>
        <w:outlineLvl w:val="1"/>
        <w:rPr>
          <w:rStyle w:val="20"/>
          <w:rFonts w:ascii="黑体" w:eastAsia="黑体"/>
          <w:b w:val="0"/>
          <w:color w:val="auto"/>
          <w:highlight w:val="none"/>
        </w:rPr>
      </w:pPr>
      <w:bookmarkStart w:id="75" w:name="_Toc15396609"/>
      <w:bookmarkStart w:id="76" w:name="_Toc15377215"/>
      <w:bookmarkStart w:id="77" w:name="_Toc30469"/>
      <w:r>
        <w:rPr>
          <w:rFonts w:hint="eastAsia" w:ascii="黑体" w:eastAsia="黑体"/>
          <w:color w:val="auto"/>
          <w:sz w:val="32"/>
          <w:szCs w:val="32"/>
          <w:highlight w:val="none"/>
        </w:rPr>
        <w:t>七、</w:t>
      </w:r>
      <w:r>
        <w:rPr>
          <w:rStyle w:val="20"/>
          <w:rFonts w:hint="eastAsia" w:ascii="黑体" w:eastAsia="黑体"/>
          <w:b w:val="0"/>
          <w:color w:val="auto"/>
          <w:highlight w:val="none"/>
        </w:rPr>
        <w:t>财政拨款</w:t>
      </w:r>
      <w:r>
        <w:rPr>
          <w:rStyle w:val="20"/>
          <w:rFonts w:hint="eastAsia" w:ascii="黑体" w:eastAsia="黑体"/>
          <w:color w:val="auto"/>
          <w:highlight w:val="none"/>
        </w:rPr>
        <w:t>“</w:t>
      </w:r>
      <w:r>
        <w:rPr>
          <w:rStyle w:val="20"/>
          <w:rFonts w:hint="eastAsia" w:ascii="黑体" w:eastAsia="黑体"/>
          <w:b w:val="0"/>
          <w:color w:val="auto"/>
          <w:highlight w:val="none"/>
        </w:rPr>
        <w:t>三公”经费支出决算情况说明</w:t>
      </w:r>
      <w:bookmarkEnd w:id="75"/>
      <w:bookmarkEnd w:id="76"/>
      <w:bookmarkEnd w:id="77"/>
    </w:p>
    <w:p>
      <w:pPr>
        <w:spacing w:line="600" w:lineRule="exact"/>
        <w:ind w:firstLine="640"/>
        <w:outlineLvl w:val="2"/>
        <w:rPr>
          <w:rFonts w:ascii="仿宋" w:eastAsia="仿宋"/>
          <w:b/>
          <w:color w:val="auto"/>
          <w:sz w:val="32"/>
          <w:szCs w:val="32"/>
          <w:highlight w:val="none"/>
        </w:rPr>
      </w:pPr>
      <w:bookmarkStart w:id="78" w:name="_Toc15377216"/>
      <w:bookmarkStart w:id="79" w:name="_Toc14986"/>
      <w:r>
        <w:rPr>
          <w:rFonts w:hint="eastAsia" w:ascii="仿宋" w:eastAsia="仿宋"/>
          <w:b/>
          <w:color w:val="auto"/>
          <w:sz w:val="32"/>
          <w:szCs w:val="32"/>
          <w:highlight w:val="none"/>
        </w:rPr>
        <w:t>（一）“三公”经费财政拨款支出决算总体情况说明</w:t>
      </w:r>
      <w:bookmarkEnd w:id="78"/>
      <w:bookmarkEnd w:id="79"/>
    </w:p>
    <w:p>
      <w:pPr>
        <w:spacing w:line="600" w:lineRule="exact"/>
        <w:ind w:firstLine="640"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2022年“三公”经费财政拨款支出决算为0万元，年初未安排预算。</w:t>
      </w:r>
    </w:p>
    <w:p>
      <w:pPr>
        <w:spacing w:line="600" w:lineRule="exact"/>
        <w:ind w:firstLine="640"/>
        <w:outlineLvl w:val="2"/>
        <w:rPr>
          <w:rFonts w:ascii="仿宋" w:eastAsia="仿宋"/>
          <w:b/>
          <w:color w:val="auto"/>
          <w:sz w:val="32"/>
          <w:szCs w:val="32"/>
          <w:highlight w:val="none"/>
        </w:rPr>
      </w:pPr>
      <w:bookmarkStart w:id="80" w:name="_Toc6002"/>
      <w:bookmarkStart w:id="81" w:name="_Toc15377217"/>
      <w:r>
        <w:rPr>
          <w:rFonts w:hint="eastAsia" w:ascii="仿宋" w:eastAsia="仿宋"/>
          <w:b/>
          <w:color w:val="auto"/>
          <w:sz w:val="32"/>
          <w:szCs w:val="32"/>
          <w:highlight w:val="none"/>
        </w:rPr>
        <w:t>（二）“三公”经费财政拨款支出决算具体情况说明</w:t>
      </w:r>
      <w:bookmarkEnd w:id="80"/>
      <w:bookmarkEnd w:id="81"/>
    </w:p>
    <w:p>
      <w:pPr>
        <w:spacing w:line="600" w:lineRule="exact"/>
        <w:ind w:firstLine="640"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2022年“三公”经费财政拨款支出决算中：</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6"/>
          <w:rFonts w:hint="eastAsia" w:asci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Style w:val="16"/>
          <w:rFonts w:hint="eastAsia" w:ascii="仿宋" w:eastAsia="仿宋"/>
          <w:b w:val="0"/>
          <w:bCs/>
          <w:color w:val="auto"/>
          <w:sz w:val="32"/>
          <w:szCs w:val="32"/>
          <w:highlight w:val="none"/>
        </w:rPr>
        <w:t>。</w:t>
      </w:r>
    </w:p>
    <w:p>
      <w:pPr>
        <w:spacing w:line="600" w:lineRule="exact"/>
        <w:ind w:firstLine="640"/>
        <w:rPr>
          <w:rStyle w:val="16"/>
          <w:rFonts w:hint="eastAsia" w:ascii="仿宋" w:eastAsia="仿宋"/>
          <w:b w:val="0"/>
          <w:bCs/>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6"/>
          <w:rFonts w:hint="eastAsia" w:ascii="仿宋" w:eastAsia="仿宋"/>
          <w:b w:val="0"/>
          <w:bCs/>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eastAsia="仿宋"/>
          <w:b/>
          <w:color w:val="auto"/>
          <w:sz w:val="32"/>
          <w:szCs w:val="32"/>
          <w:highlight w:val="none"/>
        </w:rPr>
        <w:t>外事接待支出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bookmarkStart w:id="82" w:name="_Toc15396610"/>
      <w:bookmarkStart w:id="83" w:name="_Toc15377218"/>
    </w:p>
    <w:p>
      <w:pPr>
        <w:spacing w:line="600" w:lineRule="exact"/>
        <w:ind w:firstLine="640"/>
        <w:outlineLvl w:val="1"/>
        <w:rPr>
          <w:rStyle w:val="20"/>
          <w:rFonts w:ascii="黑体" w:eastAsia="黑体"/>
          <w:color w:val="auto"/>
          <w:highlight w:val="none"/>
        </w:rPr>
      </w:pPr>
      <w:bookmarkStart w:id="84" w:name="_Toc6470"/>
      <w:r>
        <w:rPr>
          <w:rFonts w:hint="eastAsia" w:ascii="黑体" w:eastAsia="黑体"/>
          <w:color w:val="auto"/>
          <w:sz w:val="32"/>
          <w:szCs w:val="32"/>
          <w:highlight w:val="none"/>
        </w:rPr>
        <w:t>八、</w:t>
      </w:r>
      <w:r>
        <w:rPr>
          <w:rStyle w:val="20"/>
          <w:rFonts w:hint="eastAsia" w:ascii="黑体" w:eastAsia="黑体"/>
          <w:b w:val="0"/>
          <w:color w:val="auto"/>
          <w:highlight w:val="none"/>
        </w:rPr>
        <w:t>政府性基金预算支出决算情况说明</w:t>
      </w:r>
      <w:bookmarkEnd w:id="82"/>
      <w:bookmarkEnd w:id="83"/>
      <w:bookmarkEnd w:id="84"/>
    </w:p>
    <w:p>
      <w:pPr>
        <w:spacing w:line="600" w:lineRule="exact"/>
        <w:ind w:firstLine="640"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2022年政府性基金预算财政拨款支出5.56万元。</w:t>
      </w:r>
    </w:p>
    <w:p>
      <w:pPr>
        <w:numPr>
          <w:ilvl w:val="0"/>
          <w:numId w:val="3"/>
        </w:numPr>
        <w:spacing w:line="600" w:lineRule="exact"/>
        <w:ind w:left="0" w:firstLine="640"/>
        <w:outlineLvl w:val="1"/>
        <w:rPr>
          <w:rStyle w:val="20"/>
          <w:rFonts w:ascii="黑体" w:eastAsia="黑体"/>
          <w:b w:val="0"/>
          <w:color w:val="auto"/>
          <w:highlight w:val="none"/>
        </w:rPr>
      </w:pPr>
      <w:bookmarkStart w:id="85" w:name="_Toc15396611"/>
      <w:bookmarkStart w:id="86" w:name="_Toc15377219"/>
      <w:bookmarkStart w:id="87" w:name="_Toc23896"/>
      <w:r>
        <w:rPr>
          <w:rStyle w:val="20"/>
          <w:rFonts w:hint="eastAsia" w:ascii="黑体" w:eastAsia="黑体"/>
          <w:b w:val="0"/>
          <w:color w:val="auto"/>
          <w:highlight w:val="none"/>
        </w:rPr>
        <w:t>国有资本经营预算支出决算情况说明</w:t>
      </w:r>
      <w:bookmarkEnd w:id="85"/>
      <w:bookmarkEnd w:id="86"/>
      <w:bookmarkEnd w:id="87"/>
    </w:p>
    <w:p>
      <w:pPr>
        <w:spacing w:line="600" w:lineRule="exact"/>
        <w:ind w:firstLine="640" w:firstLineChars="20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2022年国有资本经营预算财政拨款支出0万元。</w:t>
      </w:r>
    </w:p>
    <w:p>
      <w:pPr>
        <w:numPr>
          <w:ilvl w:val="0"/>
          <w:numId w:val="3"/>
        </w:numPr>
        <w:spacing w:line="600" w:lineRule="exact"/>
        <w:ind w:left="0" w:firstLine="640"/>
        <w:outlineLvl w:val="1"/>
        <w:rPr>
          <w:rStyle w:val="20"/>
          <w:rFonts w:hint="eastAsia" w:ascii="黑体" w:eastAsia="黑体"/>
          <w:b w:val="0"/>
          <w:color w:val="auto"/>
          <w:highlight w:val="none"/>
        </w:rPr>
      </w:pPr>
      <w:bookmarkStart w:id="88" w:name="_Toc15075"/>
      <w:bookmarkStart w:id="89" w:name="_Toc15396612"/>
      <w:bookmarkStart w:id="90" w:name="_Toc15377221"/>
      <w:r>
        <w:rPr>
          <w:rStyle w:val="20"/>
          <w:rFonts w:hint="eastAsia" w:ascii="黑体" w:eastAsia="黑体"/>
          <w:b w:val="0"/>
          <w:color w:val="auto"/>
          <w:highlight w:val="none"/>
        </w:rPr>
        <w:t>其他重要事项的情况说明</w:t>
      </w:r>
      <w:bookmarkEnd w:id="88"/>
      <w:bookmarkEnd w:id="89"/>
      <w:bookmarkEnd w:id="90"/>
    </w:p>
    <w:p>
      <w:pPr>
        <w:spacing w:line="600" w:lineRule="exact"/>
        <w:ind w:firstLine="643" w:firstLineChars="200"/>
        <w:outlineLvl w:val="2"/>
        <w:rPr>
          <w:rFonts w:ascii="仿宋" w:eastAsia="仿宋"/>
          <w:color w:val="auto"/>
          <w:sz w:val="32"/>
          <w:szCs w:val="32"/>
          <w:highlight w:val="none"/>
        </w:rPr>
      </w:pPr>
      <w:bookmarkStart w:id="91" w:name="_Toc20905"/>
      <w:bookmarkStart w:id="92" w:name="_Toc15377222"/>
      <w:r>
        <w:rPr>
          <w:rFonts w:hint="eastAsia" w:ascii="仿宋" w:eastAsia="仿宋"/>
          <w:b/>
          <w:color w:val="auto"/>
          <w:sz w:val="32"/>
          <w:szCs w:val="32"/>
          <w:highlight w:val="none"/>
        </w:rPr>
        <w:t>（一）机关运行经费支出情况</w:t>
      </w:r>
      <w:bookmarkEnd w:id="91"/>
      <w:bookmarkEnd w:id="92"/>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sz w:val="32"/>
          <w:szCs w:val="32"/>
          <w:highlight w:val="none"/>
          <w:lang w:val="en-US" w:eastAsia="zh-CN"/>
        </w:rPr>
        <w:t>本单位未发生机关运行经费支出。</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93" w:name="_Toc15377223"/>
      <w:bookmarkStart w:id="94" w:name="_Toc14615"/>
      <w:r>
        <w:rPr>
          <w:rFonts w:hint="eastAsia" w:ascii="仿宋" w:eastAsia="仿宋"/>
          <w:b/>
          <w:color w:val="auto"/>
          <w:sz w:val="32"/>
          <w:szCs w:val="32"/>
          <w:highlight w:val="none"/>
        </w:rPr>
        <w:t>（二）政府采购支出情况</w:t>
      </w:r>
      <w:bookmarkEnd w:id="93"/>
      <w:bookmarkEnd w:id="94"/>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sz w:val="32"/>
          <w:szCs w:val="32"/>
          <w:highlight w:val="none"/>
          <w:lang w:val="en-US" w:eastAsia="zh-CN"/>
        </w:rPr>
        <w:t>本年未发生政府采购。</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95" w:name="_Toc4543"/>
      <w:bookmarkStart w:id="96" w:name="_Toc15377224"/>
      <w:r>
        <w:rPr>
          <w:rFonts w:hint="eastAsia" w:ascii="仿宋" w:eastAsia="仿宋"/>
          <w:b/>
          <w:color w:val="auto"/>
          <w:sz w:val="32"/>
          <w:szCs w:val="32"/>
          <w:highlight w:val="none"/>
        </w:rPr>
        <w:t>（三）国有资产占有使用情况</w:t>
      </w:r>
      <w:bookmarkEnd w:id="95"/>
      <w:bookmarkEnd w:id="96"/>
    </w:p>
    <w:p>
      <w:pPr>
        <w:autoSpaceDE w:val="0"/>
        <w:autoSpaceDN w:val="0"/>
        <w:adjustRightInd w:val="0"/>
        <w:spacing w:line="600" w:lineRule="exact"/>
        <w:ind w:firstLine="640" w:firstLineChars="200"/>
        <w:jc w:val="left"/>
        <w:rPr>
          <w:rFonts w:ascii="仿宋" w:eastAsia="仿宋"/>
          <w:b/>
          <w:color w:val="auto"/>
          <w:sz w:val="32"/>
          <w:szCs w:val="32"/>
          <w:highlight w:val="none"/>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截至2022年12月31日，清水镇卫生院共有车辆1辆，其中：主要领导干部用车0辆、机要通信用车0辆、应急保障用车0辆、其他用车1辆（救护车）。单价100万元以上专用设备0台（套）。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97" w:name="_Toc25692"/>
      <w:r>
        <w:rPr>
          <w:rFonts w:hint="eastAsia" w:ascii="仿宋" w:eastAsia="仿宋"/>
          <w:b/>
          <w:color w:val="auto"/>
          <w:sz w:val="32"/>
          <w:szCs w:val="32"/>
          <w:highlight w:val="none"/>
        </w:rPr>
        <w:t>（四）预算绩效管理情况</w:t>
      </w:r>
      <w:bookmarkEnd w:id="97"/>
    </w:p>
    <w:p>
      <w:pPr>
        <w:autoSpaceDE w:val="0"/>
        <w:autoSpaceDN w:val="0"/>
        <w:adjustRightInd w:val="0"/>
        <w:spacing w:line="600" w:lineRule="exact"/>
        <w:ind w:firstLine="640" w:firstLineChars="200"/>
        <w:jc w:val="left"/>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1.绩效目标管理情况</w:t>
      </w:r>
    </w:p>
    <w:p>
      <w:pPr>
        <w:autoSpaceDE w:val="0"/>
        <w:autoSpaceDN w:val="0"/>
        <w:adjustRightInd w:val="0"/>
        <w:spacing w:line="600" w:lineRule="exact"/>
        <w:ind w:firstLine="640" w:firstLineChars="200"/>
        <w:jc w:val="left"/>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bookmarkStart w:id="98" w:name="_Toc31349"/>
      <w:bookmarkStart w:id="99" w:name="_Toc31974"/>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根据预算绩效管理要求，本单位在2022年度预算编制阶段，组织对基本药物制度项目、基本公共卫生服务、医疗服务与保障能力提升（卫生健康人才培养培训）、新冠疫情防控项目及二类疫苗服务费共5个项目开展了预算事前绩效评估，对3个项目编制了绩效目标，预算执行过程中，选取1个项目开展绩效监控，年终执行完毕后，对3个项目开展了绩效自评，2022年部门预算项目绩效目标自评表见附件（第四部分）。</w:t>
      </w:r>
      <w:bookmarkEnd w:id="98"/>
      <w:bookmarkEnd w:id="99"/>
    </w:p>
    <w:p>
      <w:pPr>
        <w:autoSpaceDE w:val="0"/>
        <w:autoSpaceDN w:val="0"/>
        <w:adjustRightInd w:val="0"/>
        <w:spacing w:line="600" w:lineRule="exact"/>
        <w:ind w:firstLine="640" w:firstLineChars="200"/>
        <w:jc w:val="left"/>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bookmarkStart w:id="100" w:name="_Toc25419"/>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预算项目绩效评价</w:t>
      </w:r>
      <w:bookmarkEnd w:id="100"/>
    </w:p>
    <w:p>
      <w:pPr>
        <w:autoSpaceDE w:val="0"/>
        <w:autoSpaceDN w:val="0"/>
        <w:adjustRightInd w:val="0"/>
        <w:spacing w:line="600" w:lineRule="exact"/>
        <w:ind w:firstLine="640" w:firstLineChars="200"/>
        <w:jc w:val="left"/>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bookmarkStart w:id="101" w:name="_Toc26781"/>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基本公共卫生服务项目工作开展落实情况。</w:t>
      </w:r>
      <w:bookmarkEnd w:id="101"/>
    </w:p>
    <w:p>
      <w:pPr>
        <w:autoSpaceDE w:val="0"/>
        <w:autoSpaceDN w:val="0"/>
        <w:adjustRightInd w:val="0"/>
        <w:spacing w:line="600" w:lineRule="exact"/>
        <w:ind w:firstLine="640" w:firstLineChars="200"/>
        <w:jc w:val="left"/>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bookmarkStart w:id="102" w:name="_Toc5528"/>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（一）居民健康档案管理</w:t>
      </w:r>
      <w:bookmarkEnd w:id="102"/>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bookmarkStart w:id="103" w:name="_Toc8832"/>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截止12月底，卫生院共复核升级居民健康档案8213份，其中高血压管理档案596份，规范管理450人，高血压患者规范管理率达75.5%；糖尿病管理档案176份，规范管理132人，规范管理率达75%；新建儿童保健管理档案50份；新建孕产妇管理档案49份；重性精神疾病管理档案61份；老年人管理档案2493份。截止目前，居民健康档案复核升级率82%。</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eastAsia="仿宋_GB2312"/>
          <w:color w:val="auto"/>
          <w:sz w:val="32"/>
          <w:szCs w:val="32"/>
          <w:highlight w:val="none"/>
        </w:rPr>
        <w:t>（二）健康教育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我院紧紧围绕公共卫生服务项目为基础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以及预防、保健、慢性病人管理为重点。医院醒目位置设立宣传栏，根据上级工作要求及不同季节进行健康教育宣传。进一步加大健康教育工作力度，成立了以院领导为组长，以医生、护理、公共卫生、扶贫、医保等相关人员为成员的医疗服务队，按照时间节点，有计划地逐村实地进行健康教育知识讲座、基本公共卫生服务项目、健康扶贫、居民签约服务及居民医保政策的宣传。乡村两级共举办健康教育知识讲座共</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场次</w:t>
      </w:r>
      <w:r>
        <w:rPr>
          <w:rFonts w:hint="eastAsia" w:ascii="仿宋_GB2312" w:eastAsia="仿宋_GB2312"/>
          <w:color w:val="auto"/>
          <w:sz w:val="32"/>
          <w:szCs w:val="32"/>
          <w:highlight w:val="none"/>
          <w:lang w:eastAsia="zh-CN"/>
        </w:rPr>
        <w:t>、受</w:t>
      </w:r>
      <w:r>
        <w:rPr>
          <w:rFonts w:hint="eastAsia" w:ascii="仿宋_GB2312" w:eastAsia="仿宋_GB2312"/>
          <w:color w:val="auto"/>
          <w:sz w:val="32"/>
          <w:szCs w:val="32"/>
          <w:highlight w:val="none"/>
        </w:rPr>
        <w:t>益人数</w:t>
      </w:r>
      <w:r>
        <w:rPr>
          <w:rFonts w:hint="eastAsia" w:ascii="仿宋_GB2312" w:eastAsia="仿宋_GB2312"/>
          <w:color w:val="auto"/>
          <w:sz w:val="32"/>
          <w:szCs w:val="32"/>
          <w:highlight w:val="none"/>
          <w:lang w:val="en-US" w:eastAsia="zh-CN"/>
        </w:rPr>
        <w:t>1256</w:t>
      </w:r>
      <w:r>
        <w:rPr>
          <w:rFonts w:hint="eastAsia" w:ascii="仿宋_GB2312" w:eastAsia="仿宋_GB2312"/>
          <w:color w:val="auto"/>
          <w:sz w:val="32"/>
          <w:szCs w:val="32"/>
          <w:highlight w:val="none"/>
        </w:rPr>
        <w:t>人次、公众咨询</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共</w:t>
      </w:r>
      <w:r>
        <w:rPr>
          <w:rFonts w:hint="eastAsia" w:ascii="仿宋_GB2312" w:eastAsia="仿宋_GB2312"/>
          <w:color w:val="auto"/>
          <w:sz w:val="32"/>
          <w:szCs w:val="32"/>
          <w:highlight w:val="none"/>
          <w:lang w:val="en-US" w:eastAsia="zh-CN"/>
        </w:rPr>
        <w:t>962</w:t>
      </w:r>
      <w:r>
        <w:rPr>
          <w:rFonts w:hint="eastAsia" w:ascii="仿宋_GB2312" w:eastAsia="仿宋_GB2312"/>
          <w:color w:val="auto"/>
          <w:sz w:val="32"/>
          <w:szCs w:val="32"/>
          <w:highlight w:val="none"/>
        </w:rPr>
        <w:t>人次、印刷基本公共卫生服务项目宣传手册</w:t>
      </w:r>
      <w:r>
        <w:rPr>
          <w:rFonts w:hint="eastAsia" w:ascii="仿宋_GB2312" w:eastAsia="仿宋_GB2312"/>
          <w:color w:val="auto"/>
          <w:sz w:val="32"/>
          <w:szCs w:val="32"/>
          <w:highlight w:val="none"/>
          <w:lang w:val="en-US" w:eastAsia="zh-CN"/>
        </w:rPr>
        <w:t>7963</w:t>
      </w:r>
      <w:r>
        <w:rPr>
          <w:rFonts w:hint="eastAsia" w:ascii="仿宋_GB2312" w:eastAsia="仿宋_GB2312"/>
          <w:color w:val="auto"/>
          <w:sz w:val="32"/>
          <w:szCs w:val="32"/>
          <w:highlight w:val="none"/>
        </w:rPr>
        <w:t>份</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达到全乡每户一册。发放健康教育处方及手册共</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种</w:t>
      </w:r>
      <w:r>
        <w:rPr>
          <w:rFonts w:hint="eastAsia" w:ascii="仿宋_GB2312" w:eastAsia="仿宋_GB2312"/>
          <w:color w:val="auto"/>
          <w:sz w:val="32"/>
          <w:szCs w:val="32"/>
          <w:highlight w:val="none"/>
          <w:lang w:val="en-US" w:eastAsia="zh-CN"/>
        </w:rPr>
        <w:t>6860</w:t>
      </w:r>
      <w:r>
        <w:rPr>
          <w:rFonts w:hint="eastAsia" w:ascii="仿宋_GB2312" w:eastAsia="仿宋_GB2312"/>
          <w:color w:val="auto"/>
          <w:sz w:val="32"/>
          <w:szCs w:val="32"/>
          <w:highlight w:val="none"/>
        </w:rPr>
        <w:t>份，印刷影视资料播放</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种循环播放</w:t>
      </w:r>
      <w:r>
        <w:rPr>
          <w:rFonts w:hint="eastAsia" w:ascii="仿宋_GB2312" w:eastAsia="仿宋_GB2312"/>
          <w:color w:val="auto"/>
          <w:sz w:val="32"/>
          <w:szCs w:val="32"/>
          <w:highlight w:val="none"/>
          <w:lang w:val="en-US" w:eastAsia="zh-CN"/>
        </w:rPr>
        <w:t>124</w:t>
      </w:r>
      <w:r>
        <w:rPr>
          <w:rFonts w:hint="eastAsia" w:ascii="仿宋_GB2312" w:eastAsia="仿宋_GB2312"/>
          <w:color w:val="auto"/>
          <w:sz w:val="32"/>
          <w:szCs w:val="32"/>
          <w:highlight w:val="none"/>
        </w:rPr>
        <w:t>次</w:t>
      </w:r>
      <w:r>
        <w:rPr>
          <w:rFonts w:hint="eastAsia" w:ascii="仿宋_GB2312" w:eastAsia="仿宋_GB2312"/>
          <w:color w:val="auto"/>
          <w:sz w:val="32"/>
          <w:szCs w:val="32"/>
          <w:highlight w:val="none"/>
          <w:lang w:val="en-US" w:eastAsia="zh-CN"/>
        </w:rPr>
        <w:t>260</w:t>
      </w:r>
      <w:r>
        <w:rPr>
          <w:rFonts w:hint="eastAsia" w:ascii="仿宋_GB2312" w:eastAsia="仿宋_GB2312"/>
          <w:color w:val="auto"/>
          <w:sz w:val="32"/>
          <w:szCs w:val="32"/>
          <w:highlight w:val="none"/>
        </w:rPr>
        <w:t>小时。乡村两级设置健康教育宣传专栏</w:t>
      </w:r>
      <w:r>
        <w:rPr>
          <w:rFonts w:hint="eastAsia" w:ascii="仿宋_GB2312" w:eastAsia="仿宋_GB2312"/>
          <w:color w:val="auto"/>
          <w:sz w:val="32"/>
          <w:szCs w:val="32"/>
          <w:highlight w:val="none"/>
          <w:lang w:val="en-US" w:eastAsia="zh-CN"/>
        </w:rPr>
        <w:t>12个，</w:t>
      </w:r>
      <w:r>
        <w:rPr>
          <w:rFonts w:hint="eastAsia" w:ascii="仿宋_GB2312" w:eastAsia="仿宋_GB2312"/>
          <w:color w:val="auto"/>
          <w:sz w:val="32"/>
          <w:szCs w:val="32"/>
          <w:highlight w:val="none"/>
        </w:rPr>
        <w:t>更换162次。</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（三）预防接种</w:t>
      </w:r>
      <w:bookmarkEnd w:id="103"/>
    </w:p>
    <w:p>
      <w:pPr>
        <w:autoSpaceDE w:val="0"/>
        <w:autoSpaceDN w:val="0"/>
        <w:adjustRightInd w:val="0"/>
        <w:spacing w:line="600" w:lineRule="exact"/>
        <w:ind w:firstLine="640" w:firstLineChars="200"/>
        <w:jc w:val="left"/>
        <w:outlineLvl w:val="2"/>
        <w:rPr>
          <w:rFonts w:hint="eastAsia" w:ascii="仿宋_GB2312" w:hAnsi="仿宋_GB2312" w:eastAsia="仿宋_GB2312" w:cs="仿宋_GB2312"/>
          <w:kern w:val="2"/>
          <w:sz w:val="32"/>
          <w:szCs w:val="32"/>
          <w:lang w:val="en-US" w:eastAsia="zh-CN" w:bidi="ar-SA"/>
        </w:rPr>
      </w:pPr>
      <w:bookmarkStart w:id="104" w:name="_Toc8241"/>
      <w:r>
        <w:rPr>
          <w:rFonts w:hint="eastAsia" w:ascii="仿宋_GB2312" w:eastAsia="仿宋_GB2312"/>
          <w:color w:val="auto"/>
          <w:sz w:val="32"/>
          <w:szCs w:val="32"/>
          <w:highlight w:val="none"/>
        </w:rPr>
        <w:t>在此项工作中，为提高接种率利用节假日和儿童入学查验接种证时机及时为适龄儿童接种疫苗。全</w:t>
      </w:r>
      <w:r>
        <w:rPr>
          <w:rFonts w:hint="eastAsia" w:ascii="仿宋_GB2312" w:eastAsia="仿宋_GB2312"/>
          <w:color w:val="auto"/>
          <w:sz w:val="32"/>
          <w:szCs w:val="32"/>
          <w:highlight w:val="none"/>
          <w:lang w:eastAsia="zh-CN"/>
        </w:rPr>
        <w:t>镇</w:t>
      </w:r>
      <w:r>
        <w:rPr>
          <w:rFonts w:hint="eastAsia" w:ascii="仿宋_GB2312" w:eastAsia="仿宋_GB2312"/>
          <w:color w:val="auto"/>
          <w:sz w:val="32"/>
          <w:szCs w:val="32"/>
          <w:highlight w:val="none"/>
        </w:rPr>
        <w:t>共出生</w:t>
      </w:r>
      <w:r>
        <w:rPr>
          <w:rFonts w:hint="eastAsia" w:ascii="仿宋_GB2312" w:eastAsia="仿宋_GB2312"/>
          <w:color w:val="auto"/>
          <w:sz w:val="32"/>
          <w:szCs w:val="32"/>
          <w:highlight w:val="none"/>
          <w:lang w:val="en-US" w:eastAsia="zh-CN"/>
        </w:rPr>
        <w:t>135</w:t>
      </w:r>
      <w:r>
        <w:rPr>
          <w:rFonts w:hint="eastAsia" w:ascii="仿宋_GB2312" w:eastAsia="仿宋_GB2312"/>
          <w:color w:val="auto"/>
          <w:sz w:val="32"/>
          <w:szCs w:val="32"/>
          <w:highlight w:val="none"/>
        </w:rPr>
        <w:t>人，办理接种证</w:t>
      </w:r>
      <w:r>
        <w:rPr>
          <w:rFonts w:hint="eastAsia" w:ascii="仿宋_GB2312" w:eastAsia="仿宋_GB2312"/>
          <w:color w:val="auto"/>
          <w:sz w:val="32"/>
          <w:szCs w:val="32"/>
          <w:highlight w:val="none"/>
          <w:lang w:val="en-US" w:eastAsia="zh-CN"/>
        </w:rPr>
        <w:t>135</w:t>
      </w:r>
      <w:r>
        <w:rPr>
          <w:rFonts w:hint="eastAsia" w:ascii="仿宋_GB2312" w:eastAsia="仿宋_GB2312"/>
          <w:color w:val="auto"/>
          <w:sz w:val="32"/>
          <w:szCs w:val="32"/>
          <w:highlight w:val="none"/>
        </w:rPr>
        <w:t>人，办证率100%。常规疫苗应种接种</w:t>
      </w:r>
      <w:r>
        <w:rPr>
          <w:rFonts w:hint="eastAsia" w:ascii="仿宋_GB2312" w:eastAsia="仿宋_GB2312"/>
          <w:color w:val="auto"/>
          <w:sz w:val="32"/>
          <w:szCs w:val="32"/>
          <w:highlight w:val="none"/>
          <w:lang w:val="en-US" w:eastAsia="zh-CN"/>
        </w:rPr>
        <w:t>3158</w:t>
      </w:r>
      <w:r>
        <w:rPr>
          <w:rFonts w:hint="eastAsia" w:ascii="仿宋_GB2312" w:eastAsia="仿宋_GB2312"/>
          <w:color w:val="auto"/>
          <w:sz w:val="32"/>
          <w:szCs w:val="32"/>
          <w:highlight w:val="none"/>
        </w:rPr>
        <w:t>人次，实种</w:t>
      </w:r>
      <w:r>
        <w:rPr>
          <w:rFonts w:hint="eastAsia" w:ascii="仿宋_GB2312" w:eastAsia="仿宋_GB2312"/>
          <w:color w:val="auto"/>
          <w:sz w:val="32"/>
          <w:szCs w:val="32"/>
          <w:highlight w:val="none"/>
          <w:lang w:val="en-US" w:eastAsia="zh-CN"/>
        </w:rPr>
        <w:t>3158</w:t>
      </w:r>
      <w:r>
        <w:rPr>
          <w:rFonts w:hint="eastAsia" w:ascii="仿宋_GB2312" w:eastAsia="仿宋_GB2312"/>
          <w:color w:val="auto"/>
          <w:sz w:val="32"/>
          <w:szCs w:val="32"/>
          <w:highlight w:val="none"/>
        </w:rPr>
        <w:t>人次，接种率</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二类疫苗接种</w:t>
      </w:r>
      <w:r>
        <w:rPr>
          <w:rFonts w:hint="eastAsia" w:ascii="仿宋_GB2312" w:eastAsia="仿宋_GB2312"/>
          <w:color w:val="auto"/>
          <w:sz w:val="32"/>
          <w:szCs w:val="32"/>
          <w:highlight w:val="none"/>
          <w:lang w:val="en-US" w:eastAsia="zh-CN"/>
        </w:rPr>
        <w:t>1586</w:t>
      </w:r>
      <w:r>
        <w:rPr>
          <w:rFonts w:hint="eastAsia" w:ascii="仿宋_GB2312" w:eastAsia="仿宋_GB2312"/>
          <w:color w:val="auto"/>
          <w:sz w:val="32"/>
          <w:szCs w:val="32"/>
          <w:highlight w:val="none"/>
        </w:rPr>
        <w:t>人次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（四）儿童健康管理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加强对辖区内0</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6岁儿童管理工作，目前我乡共有0-6岁儿童</w:t>
      </w:r>
      <w:r>
        <w:rPr>
          <w:rFonts w:hint="eastAsia" w:ascii="仿宋_GB2312" w:eastAsia="仿宋_GB2312"/>
          <w:color w:val="auto"/>
          <w:sz w:val="32"/>
          <w:szCs w:val="32"/>
          <w:highlight w:val="none"/>
          <w:lang w:val="en-US" w:eastAsia="zh-CN"/>
        </w:rPr>
        <w:t>196</w:t>
      </w:r>
      <w:r>
        <w:rPr>
          <w:rFonts w:hint="eastAsia" w:ascii="仿宋_GB2312" w:eastAsia="仿宋_GB2312"/>
          <w:color w:val="auto"/>
          <w:sz w:val="32"/>
          <w:szCs w:val="32"/>
          <w:highlight w:val="none"/>
        </w:rPr>
        <w:t>人、其中登记</w:t>
      </w:r>
      <w:r>
        <w:rPr>
          <w:rFonts w:hint="eastAsia" w:ascii="仿宋_GB2312" w:eastAsia="仿宋_GB2312"/>
          <w:color w:val="auto"/>
          <w:sz w:val="32"/>
          <w:szCs w:val="32"/>
          <w:highlight w:val="none"/>
          <w:lang w:val="en-US" w:eastAsia="zh-CN"/>
        </w:rPr>
        <w:t>196</w:t>
      </w:r>
      <w:r>
        <w:rPr>
          <w:rFonts w:hint="eastAsia" w:ascii="仿宋_GB2312" w:eastAsia="仿宋_GB2312"/>
          <w:color w:val="auto"/>
          <w:sz w:val="32"/>
          <w:szCs w:val="32"/>
          <w:highlight w:val="none"/>
        </w:rPr>
        <w:t>人、登记率达</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%，接受一次以上规范管理</w:t>
      </w:r>
      <w:r>
        <w:rPr>
          <w:rFonts w:hint="eastAsia" w:ascii="仿宋_GB2312" w:eastAsia="仿宋_GB2312"/>
          <w:color w:val="auto"/>
          <w:sz w:val="32"/>
          <w:szCs w:val="32"/>
          <w:highlight w:val="none"/>
          <w:lang w:val="en-US" w:eastAsia="zh-CN"/>
        </w:rPr>
        <w:t>172</w:t>
      </w:r>
      <w:r>
        <w:rPr>
          <w:rFonts w:hint="eastAsia" w:ascii="仿宋_GB2312" w:eastAsia="仿宋_GB2312"/>
          <w:color w:val="auto"/>
          <w:sz w:val="32"/>
          <w:szCs w:val="32"/>
          <w:highlight w:val="none"/>
        </w:rPr>
        <w:t>人、管理率</w:t>
      </w:r>
      <w:r>
        <w:rPr>
          <w:rFonts w:hint="eastAsia" w:ascii="仿宋_GB2312" w:eastAsia="仿宋_GB2312"/>
          <w:color w:val="auto"/>
          <w:sz w:val="32"/>
          <w:szCs w:val="32"/>
          <w:highlight w:val="none"/>
          <w:lang w:val="en-US" w:eastAsia="zh-CN"/>
        </w:rPr>
        <w:t>87.7</w:t>
      </w:r>
      <w:r>
        <w:rPr>
          <w:rFonts w:hint="eastAsia" w:ascii="仿宋_GB2312" w:eastAsia="仿宋_GB2312"/>
          <w:color w:val="auto"/>
          <w:sz w:val="32"/>
          <w:szCs w:val="32"/>
          <w:highlight w:val="none"/>
        </w:rPr>
        <w:t>%；对0-3岁儿童，利用儿童接种日在我院对目标儿童进行规范体检，采取先体检后接种措施，我院与乡教办室联系，对全乡所有幼儿园3-6岁儿童进行了免费体检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5岁以下死亡0人。</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孕产妇健康管理</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努力提高孕产妇管理工作，对辖区内孕产妇全部建立了报价服务手册，加大了宣传国家降消项目住院分娩好处以及多项免费检查政策，今年共登记管理孕产妇</w:t>
      </w:r>
      <w:r>
        <w:rPr>
          <w:rFonts w:hint="eastAsia" w:ascii="仿宋_GB2312" w:eastAsia="仿宋_GB2312"/>
          <w:color w:val="auto"/>
          <w:sz w:val="32"/>
          <w:szCs w:val="32"/>
          <w:highlight w:val="none"/>
          <w:lang w:val="en-US" w:eastAsia="zh-CN"/>
        </w:rPr>
        <w:t>49</w:t>
      </w:r>
      <w:r>
        <w:rPr>
          <w:rFonts w:hint="eastAsia" w:ascii="仿宋_GB2312" w:eastAsia="仿宋_GB2312"/>
          <w:color w:val="auto"/>
          <w:sz w:val="32"/>
          <w:szCs w:val="32"/>
          <w:highlight w:val="none"/>
        </w:rPr>
        <w:t>人，早孕建册</w:t>
      </w:r>
      <w:r>
        <w:rPr>
          <w:rFonts w:hint="eastAsia" w:ascii="仿宋_GB2312" w:eastAsia="仿宋_GB2312"/>
          <w:color w:val="auto"/>
          <w:sz w:val="32"/>
          <w:szCs w:val="32"/>
          <w:highlight w:val="none"/>
          <w:lang w:val="en-US" w:eastAsia="zh-CN"/>
        </w:rPr>
        <w:t>49</w:t>
      </w:r>
      <w:r>
        <w:rPr>
          <w:rFonts w:hint="eastAsia" w:ascii="仿宋_GB2312" w:eastAsia="仿宋_GB2312"/>
          <w:color w:val="auto"/>
          <w:sz w:val="32"/>
          <w:szCs w:val="32"/>
          <w:highlight w:val="none"/>
        </w:rPr>
        <w:t>人、产后访视</w:t>
      </w:r>
      <w:r>
        <w:rPr>
          <w:rFonts w:hint="eastAsia" w:ascii="仿宋_GB2312" w:eastAsia="仿宋_GB2312"/>
          <w:color w:val="auto"/>
          <w:sz w:val="32"/>
          <w:szCs w:val="32"/>
          <w:highlight w:val="none"/>
          <w:lang w:val="en-US" w:eastAsia="zh-CN"/>
        </w:rPr>
        <w:t>165</w:t>
      </w:r>
      <w:r>
        <w:rPr>
          <w:rFonts w:hint="eastAsia" w:ascii="仿宋_GB2312" w:eastAsia="仿宋_GB2312"/>
          <w:color w:val="auto"/>
          <w:sz w:val="32"/>
          <w:szCs w:val="32"/>
          <w:highlight w:val="none"/>
        </w:rPr>
        <w:t>人次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发放叶酸</w:t>
      </w:r>
      <w:r>
        <w:rPr>
          <w:rFonts w:hint="eastAsia" w:ascii="仿宋_GB2312" w:eastAsia="仿宋_GB2312"/>
          <w:color w:val="auto"/>
          <w:sz w:val="32"/>
          <w:szCs w:val="32"/>
          <w:highlight w:val="none"/>
          <w:lang w:val="en-US" w:eastAsia="zh-CN"/>
        </w:rPr>
        <w:t>95</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全力以赴，齐心协力落实好民生实事。在今年开展“两癌”和“两病”筛查工作中，我院积极联系召集了乡计生办、各村妇女主任、各村村医，明确分工，密切配合，在大家的共同努力下，我乡的两癌筛查和两病筛查按时超额完成任务，民生工作走在了全区的前列.两癌筛查</w:t>
      </w:r>
      <w:r>
        <w:rPr>
          <w:rFonts w:hint="eastAsia" w:ascii="仿宋_GB2312" w:eastAsia="仿宋_GB2312"/>
          <w:color w:val="auto"/>
          <w:sz w:val="32"/>
          <w:szCs w:val="32"/>
          <w:highlight w:val="none"/>
          <w:lang w:val="en-US" w:eastAsia="zh-CN"/>
        </w:rPr>
        <w:t>198</w:t>
      </w:r>
      <w:r>
        <w:rPr>
          <w:rFonts w:hint="eastAsia" w:ascii="仿宋_GB2312" w:eastAsia="仿宋_GB2312"/>
          <w:color w:val="auto"/>
          <w:sz w:val="32"/>
          <w:szCs w:val="32"/>
          <w:highlight w:val="none"/>
        </w:rPr>
        <w:t>人，两免筛查</w:t>
      </w:r>
      <w:r>
        <w:rPr>
          <w:rFonts w:hint="eastAsia" w:ascii="仿宋_GB2312" w:eastAsia="仿宋_GB2312"/>
          <w:color w:val="auto"/>
          <w:sz w:val="32"/>
          <w:szCs w:val="32"/>
          <w:highlight w:val="none"/>
          <w:lang w:val="en-US" w:eastAsia="zh-CN"/>
        </w:rPr>
        <w:t>153</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（六）老年人健康管理</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全</w:t>
      </w:r>
      <w:r>
        <w:rPr>
          <w:rFonts w:hint="eastAsia" w:ascii="仿宋_GB2312" w:eastAsia="仿宋_GB2312"/>
          <w:color w:val="auto"/>
          <w:sz w:val="32"/>
          <w:szCs w:val="32"/>
          <w:highlight w:val="none"/>
          <w:lang w:eastAsia="zh-CN"/>
        </w:rPr>
        <w:t>镇</w:t>
      </w:r>
      <w:r>
        <w:rPr>
          <w:rFonts w:hint="eastAsia" w:ascii="仿宋_GB2312" w:eastAsia="仿宋_GB2312"/>
          <w:color w:val="auto"/>
          <w:sz w:val="32"/>
          <w:szCs w:val="32"/>
          <w:highlight w:val="none"/>
        </w:rPr>
        <w:t>有</w:t>
      </w:r>
      <w:r>
        <w:rPr>
          <w:rFonts w:hint="eastAsia" w:ascii="仿宋_GB2312" w:eastAsia="仿宋_GB2312"/>
          <w:color w:val="auto"/>
          <w:sz w:val="32"/>
          <w:szCs w:val="32"/>
          <w:highlight w:val="none"/>
          <w:lang w:val="en-US" w:eastAsia="zh-CN"/>
        </w:rPr>
        <w:t>2493</w:t>
      </w:r>
      <w:r>
        <w:rPr>
          <w:rFonts w:hint="eastAsia" w:ascii="仿宋_GB2312" w:eastAsia="仿宋_GB2312"/>
          <w:color w:val="auto"/>
          <w:sz w:val="32"/>
          <w:szCs w:val="32"/>
          <w:highlight w:val="none"/>
        </w:rPr>
        <w:t>名65岁以上老年人，截至目前在册管理</w:t>
      </w:r>
      <w:r>
        <w:rPr>
          <w:rFonts w:hint="eastAsia" w:ascii="仿宋_GB2312" w:eastAsia="仿宋_GB2312"/>
          <w:color w:val="auto"/>
          <w:sz w:val="32"/>
          <w:szCs w:val="32"/>
          <w:highlight w:val="none"/>
          <w:lang w:val="en-US" w:eastAsia="zh-CN"/>
        </w:rPr>
        <w:t>2152</w:t>
      </w:r>
      <w:r>
        <w:rPr>
          <w:rFonts w:hint="eastAsia" w:ascii="仿宋_GB2312" w:eastAsia="仿宋_GB2312"/>
          <w:color w:val="auto"/>
          <w:sz w:val="32"/>
          <w:szCs w:val="32"/>
          <w:highlight w:val="none"/>
        </w:rPr>
        <w:t>人，覆盖率达</w:t>
      </w:r>
      <w:r>
        <w:rPr>
          <w:rFonts w:hint="eastAsia" w:ascii="仿宋_GB2312" w:eastAsia="仿宋_GB2312"/>
          <w:color w:val="auto"/>
          <w:sz w:val="32"/>
          <w:szCs w:val="32"/>
          <w:highlight w:val="none"/>
          <w:lang w:val="en-US" w:eastAsia="zh-CN"/>
        </w:rPr>
        <w:t>86.3</w:t>
      </w:r>
      <w:r>
        <w:rPr>
          <w:rFonts w:hint="eastAsia" w:ascii="仿宋_GB2312" w:eastAsia="仿宋_GB2312"/>
          <w:color w:val="auto"/>
          <w:sz w:val="32"/>
          <w:szCs w:val="32"/>
          <w:highlight w:val="none"/>
        </w:rPr>
        <w:t>%。已体检</w:t>
      </w:r>
      <w:r>
        <w:rPr>
          <w:rFonts w:hint="eastAsia" w:ascii="仿宋_GB2312" w:eastAsia="仿宋_GB2312"/>
          <w:color w:val="auto"/>
          <w:sz w:val="32"/>
          <w:szCs w:val="32"/>
          <w:highlight w:val="none"/>
          <w:lang w:val="en-US" w:eastAsia="zh-CN"/>
        </w:rPr>
        <w:t>2152</w:t>
      </w:r>
      <w:r>
        <w:rPr>
          <w:rFonts w:hint="eastAsia" w:ascii="仿宋_GB2312" w:eastAsia="仿宋_GB2312"/>
          <w:color w:val="auto"/>
          <w:sz w:val="32"/>
          <w:szCs w:val="32"/>
          <w:highlight w:val="none"/>
        </w:rPr>
        <w:t>人,同时建立专病底册，做到底册和档案盒索引及盒内档案三对照，规范放置。采取了电话预约、门诊随访等方式相结合的义诊体检及健康指导，深受老年居民的欢迎。</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（七）慢性病管理</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利用档案复核升级各村对辖区内35岁以上人群进行了血压和血糖筛查，共筛查</w:t>
      </w:r>
      <w:r>
        <w:rPr>
          <w:rFonts w:hint="eastAsia" w:ascii="仿宋_GB2312" w:eastAsia="仿宋_GB2312"/>
          <w:color w:val="auto"/>
          <w:sz w:val="32"/>
          <w:szCs w:val="32"/>
          <w:highlight w:val="none"/>
          <w:lang w:val="en-US" w:eastAsia="zh-CN"/>
        </w:rPr>
        <w:t>4253</w:t>
      </w:r>
      <w:r>
        <w:rPr>
          <w:rFonts w:hint="eastAsia" w:ascii="仿宋_GB2312" w:eastAsia="仿宋_GB2312"/>
          <w:color w:val="auto"/>
          <w:sz w:val="32"/>
          <w:szCs w:val="32"/>
          <w:highlight w:val="none"/>
        </w:rPr>
        <w:t>人，其中：高血压</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人，糖尿病</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人，全部纳入慢性病管理。并将随访记录归档。</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按照年初制定的工作计划，对全</w:t>
      </w:r>
      <w:r>
        <w:rPr>
          <w:rFonts w:hint="eastAsia" w:ascii="仿宋_GB2312" w:eastAsia="仿宋_GB2312"/>
          <w:color w:val="auto"/>
          <w:sz w:val="32"/>
          <w:szCs w:val="32"/>
          <w:highlight w:val="none"/>
          <w:lang w:eastAsia="zh-CN"/>
        </w:rPr>
        <w:t>镇</w:t>
      </w:r>
      <w:r>
        <w:rPr>
          <w:rFonts w:hint="eastAsia" w:ascii="仿宋_GB2312" w:eastAsia="仿宋_GB2312"/>
          <w:color w:val="auto"/>
          <w:sz w:val="32"/>
          <w:szCs w:val="32"/>
          <w:highlight w:val="none"/>
          <w:lang w:val="en-US" w:eastAsia="zh-CN"/>
        </w:rPr>
        <w:t>596</w:t>
      </w:r>
      <w:r>
        <w:rPr>
          <w:rFonts w:hint="eastAsia" w:ascii="仿宋_GB2312" w:eastAsia="仿宋_GB2312"/>
          <w:color w:val="auto"/>
          <w:sz w:val="32"/>
          <w:szCs w:val="32"/>
          <w:highlight w:val="none"/>
        </w:rPr>
        <w:t>名高血压患者，体检了</w:t>
      </w:r>
      <w:r>
        <w:rPr>
          <w:rFonts w:hint="eastAsia" w:ascii="仿宋_GB2312" w:eastAsia="仿宋_GB2312"/>
          <w:color w:val="auto"/>
          <w:sz w:val="32"/>
          <w:szCs w:val="32"/>
          <w:highlight w:val="none"/>
          <w:lang w:val="en-US" w:eastAsia="zh-CN"/>
        </w:rPr>
        <w:t>450</w:t>
      </w:r>
      <w:r>
        <w:rPr>
          <w:rFonts w:hint="eastAsia" w:ascii="仿宋_GB2312" w:eastAsia="仿宋_GB2312"/>
          <w:color w:val="auto"/>
          <w:sz w:val="32"/>
          <w:szCs w:val="32"/>
          <w:highlight w:val="none"/>
        </w:rPr>
        <w:t>人、体检率为</w:t>
      </w:r>
      <w:r>
        <w:rPr>
          <w:rFonts w:hint="eastAsia" w:ascii="仿宋_GB2312" w:eastAsia="仿宋_GB2312"/>
          <w:color w:val="auto"/>
          <w:sz w:val="32"/>
          <w:szCs w:val="32"/>
          <w:highlight w:val="none"/>
          <w:lang w:val="en-US" w:eastAsia="zh-CN"/>
        </w:rPr>
        <w:t>75.5</w:t>
      </w:r>
      <w:r>
        <w:rPr>
          <w:rFonts w:hint="eastAsia" w:ascii="仿宋_GB2312" w:eastAsia="仿宋_GB2312"/>
          <w:color w:val="auto"/>
          <w:sz w:val="32"/>
          <w:szCs w:val="32"/>
          <w:highlight w:val="none"/>
        </w:rPr>
        <w:t>%。规范管理</w:t>
      </w:r>
      <w:r>
        <w:rPr>
          <w:rFonts w:hint="eastAsia" w:ascii="仿宋_GB2312" w:eastAsia="仿宋_GB2312"/>
          <w:color w:val="auto"/>
          <w:sz w:val="32"/>
          <w:szCs w:val="32"/>
          <w:highlight w:val="none"/>
          <w:lang w:val="en-US" w:eastAsia="zh-CN"/>
        </w:rPr>
        <w:t>450</w:t>
      </w:r>
      <w:r>
        <w:rPr>
          <w:rFonts w:hint="eastAsia" w:ascii="仿宋_GB2312" w:eastAsia="仿宋_GB2312"/>
          <w:color w:val="auto"/>
          <w:sz w:val="32"/>
          <w:szCs w:val="32"/>
          <w:highlight w:val="none"/>
        </w:rPr>
        <w:t>人，规范管理率</w:t>
      </w:r>
      <w:r>
        <w:rPr>
          <w:rFonts w:hint="eastAsia" w:ascii="仿宋_GB2312" w:eastAsia="仿宋_GB2312"/>
          <w:color w:val="auto"/>
          <w:sz w:val="32"/>
          <w:szCs w:val="32"/>
          <w:highlight w:val="none"/>
          <w:lang w:val="en-US" w:eastAsia="zh-CN"/>
        </w:rPr>
        <w:t>75.5</w:t>
      </w:r>
      <w:r>
        <w:rPr>
          <w:rFonts w:hint="eastAsia" w:ascii="仿宋_GB2312" w:eastAsia="仿宋_GB2312"/>
          <w:color w:val="auto"/>
          <w:sz w:val="32"/>
          <w:szCs w:val="32"/>
          <w:highlight w:val="none"/>
        </w:rPr>
        <w:t>%。随访了</w:t>
      </w:r>
      <w:r>
        <w:rPr>
          <w:rFonts w:hint="eastAsia" w:ascii="仿宋_GB2312" w:eastAsia="仿宋_GB2312"/>
          <w:color w:val="auto"/>
          <w:sz w:val="32"/>
          <w:szCs w:val="32"/>
          <w:highlight w:val="none"/>
          <w:lang w:val="en-US" w:eastAsia="zh-CN"/>
        </w:rPr>
        <w:t>1800</w:t>
      </w:r>
      <w:r>
        <w:rPr>
          <w:rFonts w:hint="eastAsia" w:ascii="仿宋_GB2312" w:eastAsia="仿宋_GB2312"/>
          <w:color w:val="auto"/>
          <w:sz w:val="32"/>
          <w:szCs w:val="32"/>
          <w:highlight w:val="none"/>
        </w:rPr>
        <w:t>人次；对全</w:t>
      </w:r>
      <w:r>
        <w:rPr>
          <w:rFonts w:hint="eastAsia" w:ascii="仿宋_GB2312" w:eastAsia="仿宋_GB2312"/>
          <w:color w:val="auto"/>
          <w:sz w:val="32"/>
          <w:szCs w:val="32"/>
          <w:highlight w:val="none"/>
          <w:lang w:eastAsia="zh-CN"/>
        </w:rPr>
        <w:t>镇</w:t>
      </w:r>
      <w:r>
        <w:rPr>
          <w:rFonts w:hint="eastAsia" w:ascii="仿宋_GB2312" w:eastAsia="仿宋_GB2312"/>
          <w:color w:val="auto"/>
          <w:sz w:val="32"/>
          <w:szCs w:val="32"/>
          <w:highlight w:val="none"/>
          <w:lang w:val="en-US" w:eastAsia="zh-CN"/>
        </w:rPr>
        <w:t>176</w:t>
      </w:r>
      <w:r>
        <w:rPr>
          <w:rFonts w:hint="eastAsia" w:ascii="仿宋_GB2312" w:eastAsia="仿宋_GB2312"/>
          <w:color w:val="auto"/>
          <w:sz w:val="32"/>
          <w:szCs w:val="32"/>
          <w:highlight w:val="none"/>
        </w:rPr>
        <w:t>名糖尿病患者，体检了</w:t>
      </w:r>
      <w:r>
        <w:rPr>
          <w:rFonts w:hint="eastAsia" w:ascii="仿宋_GB2312" w:eastAsia="仿宋_GB2312"/>
          <w:color w:val="auto"/>
          <w:sz w:val="32"/>
          <w:szCs w:val="32"/>
          <w:highlight w:val="none"/>
          <w:lang w:val="en-US" w:eastAsia="zh-CN"/>
        </w:rPr>
        <w:t>132</w:t>
      </w:r>
      <w:r>
        <w:rPr>
          <w:rFonts w:hint="eastAsia" w:ascii="仿宋_GB2312" w:eastAsia="仿宋_GB2312"/>
          <w:color w:val="auto"/>
          <w:sz w:val="32"/>
          <w:szCs w:val="32"/>
          <w:highlight w:val="none"/>
        </w:rPr>
        <w:t>人、体检率为</w:t>
      </w:r>
      <w:r>
        <w:rPr>
          <w:rFonts w:hint="eastAsia" w:ascii="仿宋_GB2312" w:eastAsia="仿宋_GB2312"/>
          <w:color w:val="auto"/>
          <w:sz w:val="32"/>
          <w:szCs w:val="32"/>
          <w:highlight w:val="none"/>
          <w:lang w:val="en-US" w:eastAsia="zh-CN"/>
        </w:rPr>
        <w:t>75</w:t>
      </w:r>
      <w:r>
        <w:rPr>
          <w:rFonts w:hint="eastAsia" w:ascii="仿宋_GB2312" w:eastAsia="仿宋_GB2312"/>
          <w:color w:val="auto"/>
          <w:sz w:val="32"/>
          <w:szCs w:val="32"/>
          <w:highlight w:val="none"/>
        </w:rPr>
        <w:t>%。规范管理</w:t>
      </w:r>
      <w:r>
        <w:rPr>
          <w:rFonts w:hint="eastAsia" w:ascii="仿宋_GB2312" w:eastAsia="仿宋_GB2312"/>
          <w:color w:val="auto"/>
          <w:sz w:val="32"/>
          <w:szCs w:val="32"/>
          <w:highlight w:val="none"/>
          <w:lang w:val="en-US" w:eastAsia="zh-CN"/>
        </w:rPr>
        <w:t>132</w:t>
      </w:r>
      <w:r>
        <w:rPr>
          <w:rFonts w:hint="eastAsia" w:ascii="仿宋_GB2312" w:eastAsia="仿宋_GB2312"/>
          <w:color w:val="auto"/>
          <w:sz w:val="32"/>
          <w:szCs w:val="32"/>
          <w:highlight w:val="none"/>
        </w:rPr>
        <w:t>人，规范管理率</w:t>
      </w:r>
      <w:r>
        <w:rPr>
          <w:rFonts w:hint="eastAsia" w:ascii="仿宋_GB2312" w:eastAsia="仿宋_GB2312"/>
          <w:color w:val="auto"/>
          <w:sz w:val="32"/>
          <w:szCs w:val="32"/>
          <w:highlight w:val="none"/>
          <w:lang w:val="en-US" w:eastAsia="zh-CN"/>
        </w:rPr>
        <w:t>75</w:t>
      </w:r>
      <w:r>
        <w:rPr>
          <w:rFonts w:hint="eastAsia" w:ascii="仿宋_GB2312" w:eastAsia="仿宋_GB2312"/>
          <w:color w:val="auto"/>
          <w:sz w:val="32"/>
          <w:szCs w:val="32"/>
          <w:highlight w:val="none"/>
        </w:rPr>
        <w:t>%。随访了</w:t>
      </w:r>
      <w:r>
        <w:rPr>
          <w:rFonts w:hint="eastAsia" w:ascii="仿宋_GB2312" w:eastAsia="仿宋_GB2312"/>
          <w:color w:val="auto"/>
          <w:sz w:val="32"/>
          <w:szCs w:val="32"/>
          <w:highlight w:val="none"/>
          <w:lang w:val="en-US" w:eastAsia="zh-CN"/>
        </w:rPr>
        <w:t>528</w:t>
      </w:r>
      <w:r>
        <w:rPr>
          <w:rFonts w:hint="eastAsia" w:ascii="仿宋_GB2312" w:eastAsia="仿宋_GB2312"/>
          <w:color w:val="auto"/>
          <w:sz w:val="32"/>
          <w:szCs w:val="32"/>
          <w:highlight w:val="none"/>
        </w:rPr>
        <w:t>人次。并对定期进村入户开展了高血压、糖尿病专题知识讲座</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全乡共发现</w:t>
      </w:r>
      <w:r>
        <w:rPr>
          <w:rFonts w:hint="eastAsia" w:ascii="仿宋_GB2312" w:eastAsia="仿宋_GB2312"/>
          <w:color w:val="auto"/>
          <w:sz w:val="32"/>
          <w:szCs w:val="32"/>
          <w:highlight w:val="none"/>
          <w:lang w:val="en-US" w:eastAsia="zh-CN"/>
        </w:rPr>
        <w:t>46</w:t>
      </w:r>
      <w:r>
        <w:rPr>
          <w:rFonts w:hint="eastAsia" w:ascii="仿宋_GB2312" w:eastAsia="仿宋_GB2312"/>
          <w:color w:val="auto"/>
          <w:sz w:val="32"/>
          <w:szCs w:val="32"/>
          <w:highlight w:val="none"/>
        </w:rPr>
        <w:t>名恶性肿瘤均已调查上报。心脑血管事件登记</w:t>
      </w:r>
      <w:r>
        <w:rPr>
          <w:rFonts w:hint="eastAsia" w:ascii="仿宋_GB2312" w:eastAsia="仿宋_GB2312"/>
          <w:color w:val="auto"/>
          <w:sz w:val="32"/>
          <w:szCs w:val="32"/>
          <w:highlight w:val="none"/>
          <w:lang w:val="en-US" w:eastAsia="zh-CN"/>
        </w:rPr>
        <w:t>72</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（八）严重精神障碍患者管理</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目前发现精神病人总共</w:t>
      </w:r>
      <w:r>
        <w:rPr>
          <w:rFonts w:hint="eastAsia" w:ascii="仿宋_GB2312" w:eastAsia="仿宋_GB2312"/>
          <w:color w:val="auto"/>
          <w:sz w:val="32"/>
          <w:szCs w:val="32"/>
          <w:highlight w:val="none"/>
          <w:lang w:val="en-US" w:eastAsia="zh-CN"/>
        </w:rPr>
        <w:t>61</w:t>
      </w:r>
      <w:r>
        <w:rPr>
          <w:rFonts w:hint="eastAsia" w:ascii="仿宋_GB2312" w:eastAsia="仿宋_GB2312"/>
          <w:color w:val="auto"/>
          <w:sz w:val="32"/>
          <w:szCs w:val="32"/>
          <w:highlight w:val="none"/>
        </w:rPr>
        <w:t>人，检出率4.5%。在管</w:t>
      </w:r>
      <w:r>
        <w:rPr>
          <w:rFonts w:hint="eastAsia" w:ascii="仿宋_GB2312" w:eastAsia="仿宋_GB2312"/>
          <w:color w:val="auto"/>
          <w:sz w:val="32"/>
          <w:szCs w:val="32"/>
          <w:highlight w:val="none"/>
          <w:lang w:val="en-US" w:eastAsia="zh-CN"/>
        </w:rPr>
        <w:t>61</w:t>
      </w:r>
      <w:r>
        <w:rPr>
          <w:rFonts w:hint="eastAsia" w:ascii="仿宋_GB2312" w:eastAsia="仿宋_GB2312"/>
          <w:color w:val="auto"/>
          <w:sz w:val="32"/>
          <w:szCs w:val="32"/>
          <w:highlight w:val="none"/>
        </w:rPr>
        <w:t>人。在管病人随访</w:t>
      </w:r>
      <w:r>
        <w:rPr>
          <w:rFonts w:hint="eastAsia" w:ascii="仿宋_GB2312" w:eastAsia="仿宋_GB2312"/>
          <w:color w:val="auto"/>
          <w:sz w:val="32"/>
          <w:szCs w:val="32"/>
          <w:highlight w:val="none"/>
          <w:lang w:val="en-US" w:eastAsia="zh-CN"/>
        </w:rPr>
        <w:t>244</w:t>
      </w:r>
      <w:r>
        <w:rPr>
          <w:rFonts w:hint="eastAsia" w:ascii="仿宋_GB2312" w:eastAsia="仿宋_GB2312"/>
          <w:color w:val="auto"/>
          <w:sz w:val="32"/>
          <w:szCs w:val="32"/>
          <w:highlight w:val="none"/>
        </w:rPr>
        <w:t>人次。精神病人肇事肇0次。为精神病患者体检</w:t>
      </w:r>
      <w:r>
        <w:rPr>
          <w:rFonts w:hint="eastAsia" w:ascii="仿宋_GB2312" w:eastAsia="仿宋_GB2312"/>
          <w:color w:val="auto"/>
          <w:sz w:val="32"/>
          <w:szCs w:val="32"/>
          <w:highlight w:val="none"/>
          <w:lang w:val="en-US" w:eastAsia="zh-CN"/>
        </w:rPr>
        <w:t>48</w:t>
      </w:r>
      <w:r>
        <w:rPr>
          <w:rFonts w:hint="eastAsia" w:ascii="仿宋_GB2312" w:eastAsia="仿宋_GB2312"/>
          <w:color w:val="auto"/>
          <w:sz w:val="32"/>
          <w:szCs w:val="32"/>
          <w:highlight w:val="none"/>
        </w:rPr>
        <w:t>人体检率</w:t>
      </w:r>
      <w:r>
        <w:rPr>
          <w:rFonts w:hint="eastAsia" w:ascii="仿宋_GB2312" w:eastAsia="仿宋_GB2312"/>
          <w:color w:val="auto"/>
          <w:sz w:val="32"/>
          <w:szCs w:val="32"/>
          <w:highlight w:val="none"/>
          <w:lang w:val="en-US" w:eastAsia="zh-CN"/>
        </w:rPr>
        <w:t>78.9%。</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（九）肺结核患者管理</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我院对辖区结核病患者实施规范管理，按时进行服药督导，对新发现的结核病人及时上报，全年共确诊肺结核</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例，共进行随访</w:t>
      </w:r>
      <w:r>
        <w:rPr>
          <w:rFonts w:hint="eastAsia" w:ascii="仿宋_GB2312" w:eastAsia="仿宋_GB2312"/>
          <w:color w:val="auto"/>
          <w:sz w:val="32"/>
          <w:szCs w:val="32"/>
          <w:highlight w:val="none"/>
          <w:lang w:val="en-US" w:eastAsia="zh-CN"/>
        </w:rPr>
        <w:t>72</w:t>
      </w:r>
      <w:r>
        <w:rPr>
          <w:rFonts w:hint="eastAsia" w:ascii="仿宋_GB2312" w:eastAsia="仿宋_GB2312"/>
          <w:color w:val="auto"/>
          <w:sz w:val="32"/>
          <w:szCs w:val="32"/>
          <w:highlight w:val="none"/>
        </w:rPr>
        <w:t>人次，已完成治疗</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人。在对65岁老年人和高血压、糖尿病进行健康体检时，进行了结核病筛查，共筛查</w:t>
      </w:r>
      <w:r>
        <w:rPr>
          <w:rFonts w:hint="eastAsia" w:ascii="仿宋_GB2312" w:eastAsia="仿宋_GB2312"/>
          <w:color w:val="auto"/>
          <w:sz w:val="32"/>
          <w:szCs w:val="32"/>
          <w:highlight w:val="none"/>
          <w:lang w:val="en-US" w:eastAsia="zh-CN"/>
        </w:rPr>
        <w:t>2493</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（十）传染病及突发公共卫生事件报告和处理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我院认真贯彻执行《传染病防治法》、《突发公共卫生事件紧急条例》，对辖区医务人员定期进行了传染病防治知识培训。拟定了传染病分检办法，检出的传染病送到相应的医院和科室。设定专人负责传染病网络直报，坚持门诊登记和疫情自查制度，每月自查一次，并进行疫情分析，对于漏报、迟报情况，进行追责并给出相应处罚。我院还积极配合宛城区疾控中心加强死因调查和传染病的防治工作，以及外环境检测，全年共完成死亡人员死因调查</w:t>
      </w:r>
      <w:r>
        <w:rPr>
          <w:rFonts w:hint="eastAsia" w:ascii="仿宋_GB2312" w:eastAsia="仿宋_GB2312"/>
          <w:color w:val="auto"/>
          <w:sz w:val="32"/>
          <w:szCs w:val="32"/>
          <w:highlight w:val="none"/>
          <w:lang w:val="en-US" w:eastAsia="zh-CN"/>
        </w:rPr>
        <w:t>43</w:t>
      </w:r>
      <w:r>
        <w:rPr>
          <w:rFonts w:hint="eastAsia" w:ascii="仿宋_GB2312" w:eastAsia="仿宋_GB2312"/>
          <w:color w:val="auto"/>
          <w:sz w:val="32"/>
          <w:szCs w:val="32"/>
          <w:highlight w:val="none"/>
        </w:rPr>
        <w:t>人，均已上报。</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（十一）卫生监督协管</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按照我市“双创”工作要求，积极配合区卫生监督所开展工作，对辖区公共场所厂矿企业、学校托幼机构、医疗机构进行“创卫”达标验收工作，共计巡查、督促医疗机构</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家，公共场所</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家，学校</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所，开展医疗机构非法行医巡查</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较好的完成了卫生监督协管任务。</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（十二）中医药服务</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全面按照</w:t>
      </w:r>
      <w:r>
        <w:rPr>
          <w:rFonts w:hint="eastAsia" w:ascii="仿宋_GB2312" w:eastAsia="仿宋_GB2312"/>
          <w:color w:val="auto"/>
          <w:sz w:val="32"/>
          <w:szCs w:val="32"/>
          <w:highlight w:val="none"/>
          <w:lang w:eastAsia="zh-CN"/>
        </w:rPr>
        <w:t>四川</w:t>
      </w:r>
      <w:r>
        <w:rPr>
          <w:rFonts w:hint="eastAsia" w:ascii="仿宋_GB2312" w:eastAsia="仿宋_GB2312"/>
          <w:color w:val="auto"/>
          <w:sz w:val="32"/>
          <w:szCs w:val="32"/>
          <w:highlight w:val="none"/>
        </w:rPr>
        <w:t>省中医药服务规范要求，在0-3岁儿童中开展中医药喂养指导，截至目前指导</w:t>
      </w:r>
      <w:r>
        <w:rPr>
          <w:rFonts w:hint="eastAsia" w:ascii="仿宋_GB2312" w:eastAsia="仿宋_GB2312"/>
          <w:color w:val="auto"/>
          <w:sz w:val="32"/>
          <w:szCs w:val="32"/>
          <w:highlight w:val="none"/>
          <w:lang w:val="en-US" w:eastAsia="zh-CN"/>
        </w:rPr>
        <w:t>108</w:t>
      </w:r>
      <w:r>
        <w:rPr>
          <w:rFonts w:hint="eastAsia" w:ascii="仿宋_GB2312" w:eastAsia="仿宋_GB2312"/>
          <w:color w:val="auto"/>
          <w:sz w:val="32"/>
          <w:szCs w:val="32"/>
          <w:highlight w:val="none"/>
        </w:rPr>
        <w:t>人次。在65岁老年人中全面开展中医药体质辨识工作，截至目前共完成</w:t>
      </w:r>
      <w:r>
        <w:rPr>
          <w:rFonts w:hint="eastAsia" w:ascii="仿宋_GB2312" w:eastAsia="仿宋_GB2312"/>
          <w:color w:val="auto"/>
          <w:sz w:val="32"/>
          <w:szCs w:val="32"/>
          <w:highlight w:val="none"/>
          <w:lang w:val="en-US" w:eastAsia="zh-CN"/>
        </w:rPr>
        <w:t>2052</w:t>
      </w:r>
      <w:r>
        <w:rPr>
          <w:rFonts w:hint="eastAsia" w:ascii="仿宋_GB2312" w:eastAsia="仿宋_GB2312"/>
          <w:color w:val="auto"/>
          <w:sz w:val="32"/>
          <w:szCs w:val="32"/>
          <w:highlight w:val="none"/>
        </w:rPr>
        <w:t>人中医药体质辨识同时进行相应的指导。</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（十三）家庭医生签约服务</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2022</w:t>
      </w:r>
      <w:r>
        <w:rPr>
          <w:rFonts w:hint="eastAsia" w:ascii="仿宋_GB2312" w:eastAsia="仿宋_GB2312"/>
          <w:color w:val="auto"/>
          <w:sz w:val="32"/>
          <w:szCs w:val="32"/>
          <w:highlight w:val="none"/>
        </w:rPr>
        <w:t>年进行辖区居民体检的同时，开展签约服务，我院成立由院领导为组长，由医生、护士、公共卫生等相关人员为成员的签约服务团队，签约服务团队共分六组，由院领导班子分组带队，对每村居民进行签约，主要针对困难群众、慢性病患者、儿童、孕妇、残疾人等重点人群。截至目前，共签约</w:t>
      </w:r>
      <w:r>
        <w:rPr>
          <w:rFonts w:hint="eastAsia" w:ascii="仿宋_GB2312" w:eastAsia="仿宋_GB2312"/>
          <w:color w:val="auto"/>
          <w:sz w:val="32"/>
          <w:szCs w:val="32"/>
          <w:highlight w:val="none"/>
          <w:lang w:val="en-US" w:eastAsia="zh-CN"/>
        </w:rPr>
        <w:t>3540</w:t>
      </w:r>
      <w:r>
        <w:rPr>
          <w:rFonts w:hint="eastAsia" w:ascii="仿宋_GB2312" w:eastAsia="仿宋_GB2312"/>
          <w:color w:val="auto"/>
          <w:sz w:val="32"/>
          <w:szCs w:val="32"/>
          <w:highlight w:val="none"/>
        </w:rPr>
        <w:t>户，</w:t>
      </w:r>
      <w:r>
        <w:rPr>
          <w:rFonts w:hint="eastAsia" w:ascii="仿宋_GB2312" w:eastAsia="仿宋_GB2312"/>
          <w:color w:val="auto"/>
          <w:sz w:val="32"/>
          <w:szCs w:val="32"/>
          <w:highlight w:val="none"/>
          <w:lang w:val="en-US" w:eastAsia="zh-CN"/>
        </w:rPr>
        <w:t>8213</w:t>
      </w:r>
      <w:r>
        <w:rPr>
          <w:rFonts w:hint="eastAsia" w:ascii="仿宋_GB2312" w:eastAsia="仿宋_GB2312"/>
          <w:color w:val="auto"/>
          <w:sz w:val="32"/>
          <w:szCs w:val="32"/>
          <w:highlight w:val="none"/>
        </w:rPr>
        <w:t>人。签约居民中65岁以上的老年人、高血压、糖尿病病人到医院做相应的检查，经检查确需住院的病人，住院进行治疗。通过签约服务群众对医院、对包片</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医生更加信任、更加依赖，有病首先想到他们的包片</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医师，从而实现了内科病区向慢性病管理病区转变。经常保持在院住院病人约</w:t>
      </w:r>
      <w:r>
        <w:rPr>
          <w:rFonts w:hint="eastAsia" w:ascii="仿宋_GB2312" w:eastAsia="仿宋_GB2312"/>
          <w:color w:val="auto"/>
          <w:sz w:val="32"/>
          <w:szCs w:val="32"/>
          <w:highlight w:val="none"/>
          <w:lang w:val="en-US" w:eastAsia="zh-CN"/>
        </w:rPr>
        <w:t>90</w:t>
      </w:r>
      <w:r>
        <w:rPr>
          <w:rFonts w:hint="eastAsia" w:ascii="仿宋_GB2312" w:eastAsia="仿宋_GB2312"/>
          <w:color w:val="auto"/>
          <w:sz w:val="32"/>
          <w:szCs w:val="32"/>
          <w:highlight w:val="none"/>
        </w:rPr>
        <w:t>人左右，85%以上为慢性病人，病员稳定、治疗效果满意，收到了良好的社会效益和经济效益。</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hAnsi="仿宋_GB2312" w:eastAsia="仿宋_GB2312" w:cs="仿宋_GB2312"/>
          <w:sz w:val="32"/>
          <w:szCs w:val="32"/>
          <w:lang w:val="en-US" w:eastAsia="zh-CN"/>
        </w:rPr>
        <w:t>基本药物制度项目完成情况综述。村卫生室国家基本药物制度覆盖率100%，政府办基层医疗卫生机构基本药物制度覆盖率100%，202</w:t>
      </w:r>
      <w:r>
        <w:rPr>
          <w:rFonts w:hint="eastAsia" w:ascii="仿宋_GB2312" w:hAnsi="仿宋_GB2312" w:eastAsia="仿宋_GB2312" w:cs="仿宋_GB2312"/>
          <w:kern w:val="2"/>
          <w:sz w:val="32"/>
          <w:szCs w:val="32"/>
          <w:lang w:val="en-US" w:eastAsia="zh-CN" w:bidi="ar-SA"/>
        </w:rPr>
        <w:t>2年清水镇8个村卫生室、香溪5个村卫生室，共13个村卫生室全面实施国家基本药物制度，确保基本药物制度的实施，保障药品安全、有效、经济，解决了老百姓看病贵的问题，稳定了乡村医生的收入。</w:t>
      </w:r>
      <w:bookmarkEnd w:id="104"/>
    </w:p>
    <w:p>
      <w:pPr>
        <w:pStyle w:val="7"/>
        <w:ind w:firstLine="640" w:firstLineChars="200"/>
        <w:rPr>
          <w:rFonts w:hint="eastAsia"/>
          <w:lang w:val="en-US" w:eastAsia="zh-CN"/>
        </w:rPr>
      </w:pPr>
      <w:r>
        <w:rPr>
          <w:rFonts w:hint="eastAsia" w:ascii="仿宋_GB2312" w:hAnsi="Times New Roman" w:eastAsia="仿宋_GB2312" w:cs="Times New Roman"/>
          <w:color w:val="000000"/>
          <w:sz w:val="32"/>
          <w:szCs w:val="32"/>
          <w:lang w:val="en-US" w:eastAsia="zh-CN"/>
        </w:rPr>
        <w:t>二类疫苗服务费项目完成情况综述。按照《四川省发展和改革委员会四川省财政厅关于疫苗预防接种服务收费标准及有关问题的通知》（川发改价格〔2020〕640号）文件精神，二类疫苗接种服务费收入全额上缴国库，纳入财政预算管理。我单</w:t>
      </w:r>
      <w:r>
        <w:rPr>
          <w:rFonts w:hint="eastAsia" w:ascii="仿宋_GB2312" w:eastAsia="仿宋_GB2312"/>
          <w:color w:val="000000"/>
          <w:sz w:val="32"/>
          <w:szCs w:val="32"/>
          <w:lang w:val="en-US" w:eastAsia="zh-CN"/>
        </w:rPr>
        <w:t>位</w:t>
      </w:r>
      <w:r>
        <w:rPr>
          <w:rFonts w:hint="eastAsia" w:ascii="仿宋_GB2312" w:eastAsia="仿宋_GB2312"/>
          <w:color w:val="000000"/>
          <w:sz w:val="32"/>
          <w:szCs w:val="32"/>
        </w:rPr>
        <w:t>建立健全非免疫规划疫苗管理制度，明确行业系统内部管理职责和程序，完善期间成本资料，减少非必要成本支出，整合现有资源降低接种服务成本。同时，要加强对疫苗接种管理，确保非免疫规划疫苗接种工作的顺利开展，有效维护公共卫生安全。</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整体支出绩效自评开展情况。</w:t>
      </w:r>
    </w:p>
    <w:p>
      <w:pPr>
        <w:spacing w:line="600" w:lineRule="exact"/>
        <w:ind w:firstLine="64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本单位按要求对2022年单位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numPr>
          <w:ilvl w:val="0"/>
          <w:numId w:val="4"/>
        </w:numPr>
        <w:spacing w:line="600" w:lineRule="exact"/>
        <w:ind w:left="0" w:firstLine="660" w:firstLineChars="150"/>
        <w:jc w:val="center"/>
        <w:outlineLvl w:val="0"/>
        <w:rPr>
          <w:rStyle w:val="19"/>
          <w:rFonts w:ascii="黑体" w:eastAsia="黑体"/>
          <w:b w:val="0"/>
          <w:color w:val="auto"/>
          <w:highlight w:val="none"/>
        </w:rPr>
      </w:pPr>
      <w:bookmarkStart w:id="105" w:name="_Toc15377225"/>
      <w:bookmarkStart w:id="106" w:name="_Toc15396613"/>
      <w:bookmarkStart w:id="107" w:name="_Toc23056"/>
      <w:r>
        <w:rPr>
          <w:rFonts w:hint="eastAsia" w:ascii="黑体" w:eastAsia="黑体"/>
          <w:color w:val="auto"/>
          <w:sz w:val="44"/>
          <w:szCs w:val="44"/>
          <w:highlight w:val="none"/>
        </w:rPr>
        <w:t>名</w:t>
      </w:r>
      <w:r>
        <w:rPr>
          <w:rStyle w:val="19"/>
          <w:rFonts w:hint="eastAsia" w:ascii="黑体" w:eastAsia="黑体"/>
          <w:b w:val="0"/>
          <w:color w:val="auto"/>
          <w:highlight w:val="none"/>
        </w:rPr>
        <w:t>词解释</w:t>
      </w:r>
      <w:bookmarkEnd w:id="105"/>
      <w:bookmarkEnd w:id="106"/>
      <w:bookmarkEnd w:id="107"/>
    </w:p>
    <w:p>
      <w:pPr>
        <w:spacing w:line="600" w:lineRule="exact"/>
        <w:jc w:val="left"/>
        <w:rPr>
          <w:rFonts w:ascii="宋体"/>
          <w:b/>
          <w:color w:val="auto"/>
          <w:sz w:val="44"/>
          <w:szCs w:val="44"/>
          <w:highlight w:val="none"/>
        </w:rPr>
      </w:pPr>
    </w:p>
    <w:p>
      <w:pPr>
        <w:pStyle w:val="24"/>
        <w:spacing w:line="580" w:lineRule="exact"/>
        <w:ind w:firstLine="640" w:firstLineChars="200"/>
        <w:rPr>
          <w:rFonts w:hint="eastAsia" w:ascii="仿宋_GB2312" w:eastAsia="仿宋_GB2312"/>
          <w:sz w:val="32"/>
          <w:szCs w:val="32"/>
        </w:rPr>
      </w:pPr>
      <w:bookmarkStart w:id="108" w:name="_Toc15377226"/>
      <w:r>
        <w:rPr>
          <w:rFonts w:hint="eastAsia" w:ascii="仿宋_GB2312" w:eastAsia="仿宋_GB2312"/>
          <w:sz w:val="32"/>
          <w:szCs w:val="32"/>
        </w:rPr>
        <w:t>1.财政拨款收入：指单位从同级财政单位取得的各类拨款。</w:t>
      </w:r>
    </w:p>
    <w:p>
      <w:pPr>
        <w:pStyle w:val="24"/>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2.事业收入：指事业单位开展专业业务活动及辅助活动取得的收入。如区人民医院、妇幼保健计生生育服务中心、区中医医院、乡镇卫生院医疗收入等。</w:t>
      </w:r>
    </w:p>
    <w:p>
      <w:pPr>
        <w:pStyle w:val="24"/>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3.其他收入：指单位取得的除上述收入以外的各项收入。主要是利息收入等。 </w:t>
      </w:r>
    </w:p>
    <w:p>
      <w:pPr>
        <w:pStyle w:val="24"/>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4"/>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5.年初结转和结余：指以前年度尚未完成、结转到本年按有关规定继续使用的资金。 </w:t>
      </w:r>
    </w:p>
    <w:p>
      <w:pPr>
        <w:pStyle w:val="24"/>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6.本年盈余分配：指事业单位按照政府会计制度的规定从非财政拨款结余或事业结余中提取的奖励基金和职工福利基金等。</w:t>
      </w:r>
    </w:p>
    <w:p>
      <w:pPr>
        <w:pStyle w:val="24"/>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7.年末结转和结余：指单位按有关规定结转到下年或以后年度继续使用的资金。</w:t>
      </w:r>
    </w:p>
    <w:p>
      <w:pPr>
        <w:spacing w:line="580" w:lineRule="exact"/>
        <w:ind w:firstLine="640" w:firstLineChars="200"/>
        <w:rPr>
          <w:rStyle w:val="16"/>
          <w:rFonts w:hint="eastAsia" w:ascii="仿宋_GB2312" w:eastAsia="仿宋_GB2312"/>
          <w:b w:val="0"/>
          <w:color w:val="000000"/>
          <w:sz w:val="32"/>
          <w:szCs w:val="32"/>
        </w:rPr>
      </w:pPr>
      <w:r>
        <w:rPr>
          <w:rFonts w:hint="eastAsia" w:ascii="仿宋_GB2312" w:eastAsia="仿宋_GB2312"/>
          <w:color w:val="000000"/>
          <w:sz w:val="32"/>
          <w:szCs w:val="32"/>
        </w:rPr>
        <w:t>8.卫生健康支出（类）基层医疗卫生机构（款）</w:t>
      </w:r>
      <w:r>
        <w:rPr>
          <w:rStyle w:val="16"/>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Style w:val="16"/>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6"/>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6"/>
          <w:rFonts w:hint="eastAsia" w:ascii="仿宋_GB2312" w:eastAsia="仿宋_GB2312"/>
          <w:b w:val="0"/>
          <w:color w:val="000000"/>
          <w:sz w:val="32"/>
          <w:szCs w:val="32"/>
        </w:rPr>
        <w:t>：反映除乡镇卫生院、城市社区卫生机构以外的其他用于基</w:t>
      </w:r>
      <w:bookmarkStart w:id="141" w:name="_GoBack"/>
      <w:bookmarkEnd w:id="141"/>
      <w:r>
        <w:rPr>
          <w:rStyle w:val="16"/>
          <w:rFonts w:hint="eastAsia" w:ascii="仿宋_GB2312" w:eastAsia="仿宋_GB2312"/>
          <w:b w:val="0"/>
          <w:color w:val="000000"/>
          <w:sz w:val="32"/>
          <w:szCs w:val="32"/>
        </w:rPr>
        <w:t>层医疗卫生机构的支出；卫生健康支出（类）行政事业单位医疗</w:t>
      </w:r>
      <w:r>
        <w:rPr>
          <w:rFonts w:hint="eastAsia" w:ascii="仿宋_GB2312" w:eastAsia="仿宋_GB2312"/>
          <w:color w:val="000000"/>
          <w:sz w:val="32"/>
          <w:szCs w:val="32"/>
        </w:rPr>
        <w:t>（款）事业单位医疗（项）</w:t>
      </w:r>
      <w:r>
        <w:rPr>
          <w:rStyle w:val="16"/>
          <w:rFonts w:hint="eastAsia" w:ascii="仿宋_GB2312" w:eastAsia="仿宋_GB2312"/>
          <w:b w:val="0"/>
          <w:color w:val="000000"/>
          <w:sz w:val="32"/>
          <w:szCs w:val="32"/>
        </w:rPr>
        <w:t>:</w:t>
      </w:r>
      <w:r>
        <w:rPr>
          <w:rStyle w:val="16"/>
          <w:rFonts w:hint="eastAsia" w:ascii="仿宋_GB2312" w:eastAsia="仿宋_GB2312"/>
          <w:b w:val="0"/>
          <w:sz w:val="32"/>
          <w:szCs w:val="32"/>
        </w:rPr>
        <w:t>反映</w:t>
      </w:r>
      <w:r>
        <w:rPr>
          <w:rStyle w:val="16"/>
          <w:rFonts w:hint="eastAsia" w:ascii="仿宋_GB2312" w:eastAsia="仿宋_GB2312"/>
          <w:b w:val="0"/>
          <w:color w:val="000000"/>
          <w:sz w:val="32"/>
          <w:szCs w:val="32"/>
        </w:rPr>
        <w:t>卫生健康支出中的在职人员医疗保险。</w:t>
      </w:r>
    </w:p>
    <w:p>
      <w:pPr>
        <w:spacing w:line="580" w:lineRule="exact"/>
        <w:ind w:firstLine="640" w:firstLineChars="200"/>
        <w:rPr>
          <w:rStyle w:val="16"/>
          <w:rFonts w:hint="eastAsia" w:ascii="仿宋_GB2312" w:hAnsi="仿宋" w:eastAsia="仿宋_GB2312" w:cs="仿宋"/>
          <w:b w:val="0"/>
          <w:color w:val="000000"/>
          <w:sz w:val="32"/>
          <w:szCs w:val="32"/>
        </w:rPr>
      </w:pPr>
      <w:r>
        <w:rPr>
          <w:rFonts w:hint="eastAsia" w:ascii="仿宋_GB2312" w:hAnsi="仿宋" w:eastAsia="仿宋_GB2312" w:cs="仿宋"/>
          <w:sz w:val="32"/>
          <w:szCs w:val="32"/>
          <w:lang w:bidi="ar"/>
        </w:rPr>
        <w:t>9.社会保障和就业支出：反映政府在社会保障和就业方面的支出。社会保障和就业支出-行政事业单位离退休-机关事业单位基本养老保险缴费支出：反映机关事业单位实施养老保险制度由单位缴纳的基本养老保险支出；</w:t>
      </w:r>
      <w:r>
        <w:rPr>
          <w:rFonts w:hint="eastAsia" w:ascii="仿宋_GB2312" w:hAnsi="仿宋" w:eastAsia="仿宋_GB2312" w:cs="仿宋"/>
          <w:sz w:val="32"/>
          <w:szCs w:val="32"/>
          <w:lang w:bidi="ar"/>
        </w:rPr>
        <w:br w:type="textWrapping"/>
      </w:r>
      <w:r>
        <w:rPr>
          <w:rFonts w:hint="eastAsia" w:ascii="仿宋_GB2312" w:hAnsi="仿宋" w:eastAsia="仿宋_GB2312" w:cs="仿宋"/>
          <w:sz w:val="32"/>
          <w:szCs w:val="32"/>
          <w:lang w:bidi="ar"/>
        </w:rPr>
        <w:t xml:space="preserve">    10.住房保障支出：住房保障支出-住房改革支出-住房公积金：反映行政事业单位按人力资源和社会保障部、财政部规定的基本工资和津贴补贴以及规定比例为职工缴纳的住房公积金。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11.基本支出：指为保障机构正常运转、完成日常工作任务而发生的人员支出和公用支出。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12.项目支出：指在基本支出之外为完成特定行政任务和事业发展目标所发生的支出。 </w:t>
      </w:r>
    </w:p>
    <w:p>
      <w:pPr>
        <w:pStyle w:val="24"/>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13.“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jc w:val="center"/>
        <w:rPr>
          <w:rStyle w:val="19"/>
          <w:rFonts w:ascii="黑体" w:eastAsia="黑体"/>
          <w:b w:val="0"/>
          <w:color w:val="auto"/>
          <w:highlight w:val="none"/>
        </w:rPr>
      </w:pPr>
      <w:r>
        <w:rPr>
          <w:rFonts w:ascii="宋体" w:hAnsi="宋体"/>
          <w:b/>
          <w:color w:val="auto"/>
          <w:sz w:val="44"/>
          <w:szCs w:val="44"/>
          <w:highlight w:val="none"/>
        </w:rPr>
        <w:br w:type="page"/>
      </w:r>
      <w:bookmarkStart w:id="109" w:name="_Toc15396614"/>
      <w:r>
        <w:rPr>
          <w:rFonts w:hint="eastAsia" w:ascii="黑体" w:eastAsia="黑体" w:cs="Times New Roman"/>
          <w:color w:val="auto"/>
          <w:kern w:val="2"/>
          <w:sz w:val="44"/>
          <w:szCs w:val="44"/>
          <w:highlight w:val="none"/>
          <w:lang w:val="en-US" w:eastAsia="zh-CN" w:bidi="ar-SA"/>
        </w:rPr>
        <w:t>第四部分 附件</w:t>
      </w:r>
      <w:bookmarkEnd w:id="109"/>
    </w:p>
    <w:tbl>
      <w:tblPr>
        <w:tblStyle w:val="18"/>
        <w:tblpPr w:leftFromText="180" w:rightFromText="180" w:vertAnchor="text" w:horzAnchor="page" w:tblpX="1952" w:tblpY="455"/>
        <w:tblOverlap w:val="never"/>
        <w:tblW w:w="7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7"/>
        <w:gridCol w:w="457"/>
        <w:gridCol w:w="526"/>
        <w:gridCol w:w="1"/>
        <w:gridCol w:w="842"/>
        <w:gridCol w:w="719"/>
        <w:gridCol w:w="722"/>
        <w:gridCol w:w="81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5" w:hRule="atLeast"/>
        </w:trPr>
        <w:tc>
          <w:tcPr>
            <w:tcW w:w="792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110" w:name="_Toc27603"/>
            <w:bookmarkStart w:id="111" w:name="_Toc20258"/>
            <w:bookmarkStart w:id="112" w:name="_Toc29454"/>
            <w:bookmarkStart w:id="113" w:name="_Toc15396618"/>
            <w:r>
              <w:rPr>
                <w:rFonts w:hint="eastAsia" w:ascii="宋体" w:hAnsi="宋体" w:eastAsia="宋体" w:cs="宋体"/>
                <w:b/>
                <w:bCs/>
                <w:i w:val="0"/>
                <w:iCs w:val="0"/>
                <w:color w:val="000000"/>
                <w:kern w:val="0"/>
                <w:sz w:val="32"/>
                <w:szCs w:val="32"/>
                <w:u w:val="none"/>
                <w:lang w:val="en-US" w:eastAsia="zh-CN" w:bidi="ar"/>
              </w:rPr>
              <w:t xml:space="preserve">基本公共卫生转移支付区域（项目）绩效目标自评表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trPr>
        <w:tc>
          <w:tcPr>
            <w:tcW w:w="7920" w:type="dxa"/>
            <w:gridSpan w:val="9"/>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24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54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4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548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24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广元市昭化区卫健局</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3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广元市昭化区</w:t>
            </w:r>
            <w:r>
              <w:rPr>
                <w:rFonts w:hint="eastAsia" w:ascii="宋体" w:hAnsi="宋体" w:cs="宋体"/>
                <w:i w:val="0"/>
                <w:iCs w:val="0"/>
                <w:color w:val="000000"/>
                <w:sz w:val="20"/>
                <w:szCs w:val="20"/>
                <w:u w:val="none"/>
                <w:lang w:eastAsia="zh-CN"/>
              </w:rPr>
              <w:t>清水镇</w:t>
            </w:r>
            <w:r>
              <w:rPr>
                <w:rFonts w:hint="eastAsia" w:ascii="宋体" w:hAnsi="宋体" w:eastAsia="宋体" w:cs="宋体"/>
                <w:i w:val="0"/>
                <w:iCs w:val="0"/>
                <w:color w:val="000000"/>
                <w:sz w:val="20"/>
                <w:szCs w:val="20"/>
                <w:u w:val="none"/>
              </w:rPr>
              <w:t>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243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243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63.4</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63.4</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243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9"/>
                <w:rFonts w:ascii="宋体" w:hAnsi="宋体" w:eastAsia="宋体" w:cs="宋体"/>
                <w:sz w:val="24"/>
                <w:szCs w:val="24"/>
                <w:lang w:val="en-US" w:eastAsia="zh-CN" w:bidi="ar"/>
              </w:rPr>
              <w:t>其中：中央财政资金</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50.33</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50.33</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243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29"/>
                <w:rFonts w:ascii="宋体" w:hAnsi="宋体" w:eastAsia="宋体" w:cs="宋体"/>
                <w:sz w:val="24"/>
                <w:szCs w:val="24"/>
                <w:lang w:val="en-US" w:eastAsia="zh-CN" w:bidi="ar"/>
              </w:rPr>
              <w:t xml:space="preserve">      地方资金</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12.76</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12.76</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243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29"/>
                <w:rFonts w:ascii="宋体" w:hAnsi="宋体" w:eastAsia="宋体" w:cs="宋体"/>
                <w:sz w:val="24"/>
                <w:szCs w:val="24"/>
                <w:lang w:val="en-US" w:eastAsia="zh-CN" w:bidi="ar"/>
              </w:rPr>
              <w:t xml:space="preserve">  其他资金</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0.31</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0.31</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2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8"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免费向常住城乡居民提供12类国家基本公共卫生服务；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2、开展对重点疾病及危害因素检测，有效控制疾病流行，为制定相关政策提供科学依据；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4、开展职业病检测，最大限度地保护放射工作人员，患者和公众的健康权益。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5、同时推进妇幼健康、健康素养促进、医养结合和老年健康服务、卫生应急、计划生育等方面工作。</w:t>
            </w:r>
          </w:p>
        </w:tc>
        <w:tc>
          <w:tcPr>
            <w:tcW w:w="3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1.免费为辖区居民提供12类基本公共卫生服务。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2.开展对重点疾病及危害因素监测，有效控制疾病流行，为制定相关政策提供科学依据。重点疾病监测项目完成相应指标。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3.助力国家脱贫攻坚，保持重点地方病防治措施全面落实。完成地方病监测任务。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4.全面完成职业病监测各项任务。最大限度地保护放射工作人员、患者和公众的健康权益。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5.推进妇幼健康、健康素养促进、医养结合和老年健康服务、卫生应急、计划生育等方面工作，确保各项指标达标及工作落实。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适龄儿童国家免疫规划疫苗接种率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7岁以下儿童健康管理率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94%</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孕产妇系统管理率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老年人健康管理率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高血压患者管理人数</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596</w:t>
            </w:r>
            <w:r>
              <w:rPr>
                <w:rFonts w:hint="eastAsia" w:ascii="宋体" w:hAnsi="宋体" w:eastAsia="宋体" w:cs="宋体"/>
                <w:i w:val="0"/>
                <w:iCs w:val="0"/>
                <w:color w:val="000000"/>
                <w:kern w:val="0"/>
                <w:sz w:val="20"/>
                <w:szCs w:val="20"/>
                <w:u w:val="none"/>
                <w:lang w:val="en-US" w:eastAsia="zh-CN" w:bidi="ar"/>
              </w:rPr>
              <w:t>人</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450</w:t>
            </w:r>
            <w:r>
              <w:rPr>
                <w:rFonts w:hint="eastAsia" w:ascii="宋体" w:hAnsi="宋体" w:eastAsia="宋体" w:cs="宋体"/>
                <w:i w:val="0"/>
                <w:iCs w:val="0"/>
                <w:color w:val="000000"/>
                <w:kern w:val="0"/>
                <w:sz w:val="20"/>
                <w:szCs w:val="20"/>
                <w:u w:val="none"/>
                <w:lang w:val="en-US" w:eastAsia="zh-CN" w:bidi="ar"/>
              </w:rPr>
              <w:t>人</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6"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2型糖尿病患者管理人数</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176</w:t>
            </w:r>
            <w:r>
              <w:rPr>
                <w:rFonts w:hint="eastAsia" w:ascii="宋体" w:hAnsi="宋体" w:eastAsia="宋体" w:cs="宋体"/>
                <w:i w:val="0"/>
                <w:iCs w:val="0"/>
                <w:color w:val="000000"/>
                <w:kern w:val="0"/>
                <w:sz w:val="20"/>
                <w:szCs w:val="20"/>
                <w:u w:val="none"/>
                <w:lang w:val="en-US" w:eastAsia="zh-CN" w:bidi="ar"/>
              </w:rPr>
              <w:t>人</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132</w:t>
            </w:r>
            <w:r>
              <w:rPr>
                <w:rFonts w:hint="eastAsia" w:ascii="宋体" w:hAnsi="宋体" w:eastAsia="宋体" w:cs="宋体"/>
                <w:i w:val="0"/>
                <w:iCs w:val="0"/>
                <w:color w:val="000000"/>
                <w:kern w:val="0"/>
                <w:sz w:val="20"/>
                <w:szCs w:val="20"/>
                <w:u w:val="none"/>
                <w:lang w:val="en-US" w:eastAsia="zh-CN" w:bidi="ar"/>
              </w:rPr>
              <w:t>人</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老年人中医药健康管理率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80</w:t>
            </w:r>
            <w:r>
              <w:rPr>
                <w:rFonts w:hint="eastAsia" w:ascii="宋体" w:hAnsi="宋体" w:eastAsia="宋体" w:cs="宋体"/>
                <w:i w:val="0"/>
                <w:iCs w:val="0"/>
                <w:color w:val="000000"/>
                <w:kern w:val="0"/>
                <w:sz w:val="20"/>
                <w:szCs w:val="20"/>
                <w:u w:val="none"/>
                <w:lang w:val="en-US" w:eastAsia="zh-CN" w:bidi="ar"/>
              </w:rPr>
              <w:t>%</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儿童中医药健康管理率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地方病监测完成率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贫困地区儿童营养改善国家级贫困县覆盖率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麻风病按规定随访到位率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目标人群叶酸服用率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孕前优生健康检查目标人群覆盖率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农村妇女“两癌”检查目标任务完成率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完成国家和省级双随机抽检任务</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65岁及以上老年人医养结合服务率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65岁以上失能老年人健康服务率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高血压患者规范管理率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2型糖尿病患者规范管理率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肺结核患者管理率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传染病和突发公共卫生事件报告率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地方病核心指标监测率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麻风病可疑线索报告率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开展疾控业务专业指导评价</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乡镇覆盖100%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100%乡镇全覆盖</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年12月底前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完成项目所有内容</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年12月31日前</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人均79元</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城乡居民公共卫生服务差距</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不断缩小</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0"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3"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避孕药具发放满意度</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64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bookmarkEnd w:id="110"/>
      <w:bookmarkEnd w:id="111"/>
      <w:bookmarkEnd w:id="112"/>
    </w:tbl>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pStyle w:val="2"/>
        <w:ind w:left="0" w:leftChars="0" w:firstLine="0" w:firstLineChars="0"/>
        <w:rPr>
          <w:rFonts w:hint="eastAsia"/>
          <w:lang w:val="en-US" w:eastAsia="zh-CN"/>
        </w:rPr>
      </w:pPr>
    </w:p>
    <w:tbl>
      <w:tblPr>
        <w:tblStyle w:val="18"/>
        <w:tblW w:w="8118" w:type="dxa"/>
        <w:tblInd w:w="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2"/>
        <w:gridCol w:w="348"/>
        <w:gridCol w:w="554"/>
        <w:gridCol w:w="131"/>
        <w:gridCol w:w="1374"/>
        <w:gridCol w:w="1133"/>
        <w:gridCol w:w="116"/>
        <w:gridCol w:w="15"/>
        <w:gridCol w:w="816"/>
        <w:gridCol w:w="131"/>
        <w:gridCol w:w="554"/>
        <w:gridCol w:w="131"/>
        <w:gridCol w:w="2312"/>
        <w:gridCol w:w="116"/>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2"/>
          <w:wAfter w:w="131" w:type="dxa"/>
          <w:trHeight w:val="714" w:hRule="atLeast"/>
        </w:trPr>
        <w:tc>
          <w:tcPr>
            <w:tcW w:w="7987"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基本药物制度转移支付区域（项目）绩效目标自评表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31" w:type="dxa"/>
          <w:trHeight w:val="494" w:hRule="atLeast"/>
        </w:trPr>
        <w:tc>
          <w:tcPr>
            <w:tcW w:w="7987" w:type="dxa"/>
            <w:gridSpan w:val="13"/>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31" w:type="dxa"/>
          <w:trHeight w:val="469" w:hRule="atLeast"/>
        </w:trPr>
        <w:tc>
          <w:tcPr>
            <w:tcW w:w="1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71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31" w:type="dxa"/>
          <w:trHeight w:val="381" w:hRule="atLeast"/>
        </w:trPr>
        <w:tc>
          <w:tcPr>
            <w:tcW w:w="1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71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31" w:type="dxa"/>
          <w:trHeight w:val="725" w:hRule="atLeast"/>
        </w:trPr>
        <w:tc>
          <w:tcPr>
            <w:tcW w:w="1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6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广元市昭化区卫健局</w:t>
            </w:r>
          </w:p>
        </w:tc>
        <w:tc>
          <w:tcPr>
            <w:tcW w:w="9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31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广元市昭化区</w:t>
            </w:r>
            <w:r>
              <w:rPr>
                <w:rFonts w:hint="eastAsia" w:ascii="宋体" w:hAnsi="宋体" w:cs="宋体"/>
                <w:i w:val="0"/>
                <w:iCs w:val="0"/>
                <w:color w:val="000000"/>
                <w:sz w:val="20"/>
                <w:szCs w:val="20"/>
                <w:u w:val="none"/>
                <w:lang w:eastAsia="zh-CN"/>
              </w:rPr>
              <w:t>清水镇</w:t>
            </w:r>
            <w:r>
              <w:rPr>
                <w:rFonts w:hint="eastAsia" w:ascii="宋体" w:hAnsi="宋体" w:eastAsia="宋体" w:cs="宋体"/>
                <w:i w:val="0"/>
                <w:iCs w:val="0"/>
                <w:color w:val="000000"/>
                <w:sz w:val="20"/>
                <w:szCs w:val="20"/>
                <w:u w:val="none"/>
              </w:rPr>
              <w:t>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31" w:type="dxa"/>
          <w:trHeight w:val="725" w:hRule="atLeast"/>
        </w:trPr>
        <w:tc>
          <w:tcPr>
            <w:tcW w:w="127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24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31" w:type="dxa"/>
          <w:trHeight w:val="381" w:hRule="atLeast"/>
        </w:trPr>
        <w:tc>
          <w:tcPr>
            <w:tcW w:w="12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21.55</w:t>
            </w:r>
          </w:p>
        </w:tc>
        <w:tc>
          <w:tcPr>
            <w:tcW w:w="16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sz w:val="20"/>
                <w:szCs w:val="20"/>
                <w:u w:val="none"/>
                <w:lang w:val="en-US" w:eastAsia="zh-CN"/>
              </w:rPr>
              <w:t>21.55</w:t>
            </w:r>
          </w:p>
        </w:tc>
        <w:tc>
          <w:tcPr>
            <w:tcW w:w="24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31" w:type="dxa"/>
          <w:trHeight w:val="725" w:hRule="atLeast"/>
        </w:trPr>
        <w:tc>
          <w:tcPr>
            <w:tcW w:w="12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0"/>
                <w:rFonts w:ascii="宋体" w:hAnsi="宋体" w:eastAsia="宋体" w:cs="宋体"/>
                <w:sz w:val="24"/>
                <w:szCs w:val="24"/>
                <w:lang w:val="en-US" w:eastAsia="zh-CN" w:bidi="ar"/>
              </w:rPr>
              <w:t>其中：中央财政资金</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12.91</w:t>
            </w:r>
          </w:p>
        </w:tc>
        <w:tc>
          <w:tcPr>
            <w:tcW w:w="16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12.91</w:t>
            </w:r>
          </w:p>
        </w:tc>
        <w:tc>
          <w:tcPr>
            <w:tcW w:w="24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31" w:type="dxa"/>
          <w:trHeight w:val="725" w:hRule="atLeast"/>
        </w:trPr>
        <w:tc>
          <w:tcPr>
            <w:tcW w:w="12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Style w:val="30"/>
                <w:rFonts w:ascii="宋体" w:hAnsi="宋体" w:eastAsia="宋体" w:cs="宋体"/>
                <w:sz w:val="24"/>
                <w:szCs w:val="24"/>
                <w:lang w:val="en-US" w:eastAsia="zh-CN" w:bidi="ar"/>
              </w:rPr>
              <w:t xml:space="preserve">      地方资金</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8.64</w:t>
            </w:r>
          </w:p>
        </w:tc>
        <w:tc>
          <w:tcPr>
            <w:tcW w:w="16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8.64</w:t>
            </w:r>
          </w:p>
        </w:tc>
        <w:tc>
          <w:tcPr>
            <w:tcW w:w="24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131" w:type="dxa"/>
          <w:trHeight w:val="725" w:hRule="atLeast"/>
        </w:trPr>
        <w:tc>
          <w:tcPr>
            <w:tcW w:w="12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Style w:val="30"/>
                <w:rFonts w:ascii="宋体" w:hAnsi="宋体" w:eastAsia="宋体" w:cs="宋体"/>
                <w:sz w:val="24"/>
                <w:szCs w:val="24"/>
                <w:lang w:val="en-US" w:eastAsia="zh-CN" w:bidi="ar"/>
              </w:rPr>
              <w:t xml:space="preserve">  其他资金</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381" w:hRule="atLeast"/>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36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0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1439"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目标1：保证所有政府办村卫生站实施国家基本药物制度，推进综合改革顺利进行；  目标2：对实施国家基本药物制度的村卫生室给予补助，支持国家基本药物制度在村卫生室顺利实施；</w:t>
            </w:r>
          </w:p>
        </w:tc>
        <w:tc>
          <w:tcPr>
            <w:tcW w:w="40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13</w:t>
            </w:r>
            <w:r>
              <w:rPr>
                <w:rFonts w:hint="eastAsia" w:ascii="宋体" w:hAnsi="宋体" w:eastAsia="宋体" w:cs="宋体"/>
                <w:i w:val="0"/>
                <w:iCs w:val="0"/>
                <w:color w:val="000000"/>
                <w:kern w:val="0"/>
                <w:sz w:val="20"/>
                <w:szCs w:val="20"/>
                <w:u w:val="none"/>
                <w:lang w:val="en-US" w:eastAsia="zh-CN" w:bidi="ar"/>
              </w:rPr>
              <w:t>个村卫生室全面实施国家基本药物制度，确保基本药物制度的实施，解决了老百姓看病贵的问题，稳定了乡村医生的收入。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9" w:hRule="atLeast"/>
        </w:trPr>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政府办基层医疗卫生机构基本药物制度覆盖率</w:t>
            </w:r>
          </w:p>
        </w:tc>
        <w:tc>
          <w:tcPr>
            <w:tcW w:w="947"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村卫生室国家基本药物制度覆盖率</w:t>
            </w:r>
          </w:p>
        </w:tc>
        <w:tc>
          <w:tcPr>
            <w:tcW w:w="947"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目录药品质量合格率</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补助资金下达率</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严格按照上级补助全额兑现</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2"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乡村医生收入</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保持稳定</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国家基本药物制度在基层持续实施</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中长期</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降低患者的医疗费用</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保证药品安全、有效、经济</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6" w:hRule="atLeast"/>
        </w:trPr>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受益群众满意度</w:t>
            </w:r>
          </w:p>
        </w:tc>
        <w:tc>
          <w:tcPr>
            <w:tcW w:w="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5" w:type="dxa"/>
          <w:trHeight w:val="392" w:hRule="atLeast"/>
        </w:trPr>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773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pStyle w:val="7"/>
        <w:rPr>
          <w:rFonts w:hint="eastAsia" w:ascii="仿宋_GB2312" w:eastAsia="仿宋_GB2312" w:cs="仿宋"/>
          <w:color w:val="auto"/>
          <w:kern w:val="0"/>
          <w:sz w:val="32"/>
          <w:szCs w:val="32"/>
          <w:highlight w:val="none"/>
          <w:lang w:val="en-US" w:eastAsia="zh-CN" w:bidi="ar-SA"/>
        </w:rPr>
      </w:pPr>
    </w:p>
    <w:p>
      <w:pPr>
        <w:rPr>
          <w:rFonts w:ascii="仿宋_GB2312" w:eastAsia="仿宋_GB2312" w:cs="仿宋"/>
          <w:color w:val="auto"/>
          <w:kern w:val="0"/>
          <w:sz w:val="32"/>
          <w:szCs w:val="32"/>
          <w:highlight w:val="none"/>
          <w:lang w:val="en-US" w:eastAsia="zh-CN" w:bidi="ar-SA"/>
        </w:rPr>
      </w:pPr>
    </w:p>
    <w:p>
      <w:pPr>
        <w:pStyle w:val="2"/>
        <w:rPr>
          <w:rFonts w:ascii="仿宋_GB2312" w:eastAsia="仿宋_GB2312" w:cs="仿宋"/>
          <w:color w:val="auto"/>
          <w:kern w:val="0"/>
          <w:sz w:val="32"/>
          <w:szCs w:val="32"/>
          <w:highlight w:val="none"/>
          <w:lang w:val="en-US" w:eastAsia="zh-CN" w:bidi="ar-SA"/>
        </w:rPr>
      </w:pPr>
    </w:p>
    <w:p>
      <w:pPr>
        <w:rPr>
          <w:rFonts w:ascii="仿宋_GB2312" w:eastAsia="仿宋_GB2312" w:cs="仿宋"/>
          <w:color w:val="auto"/>
          <w:kern w:val="0"/>
          <w:sz w:val="32"/>
          <w:szCs w:val="32"/>
          <w:highlight w:val="none"/>
          <w:lang w:val="en-US" w:eastAsia="zh-CN" w:bidi="ar-SA"/>
        </w:rPr>
      </w:pPr>
    </w:p>
    <w:p>
      <w:pPr>
        <w:pStyle w:val="2"/>
        <w:ind w:left="0" w:leftChars="0" w:firstLine="0" w:firstLineChars="0"/>
        <w:rPr>
          <w:lang w:val="en-US" w:eastAsia="zh-CN"/>
        </w:rPr>
      </w:pPr>
    </w:p>
    <w:p>
      <w:pPr>
        <w:rPr>
          <w:rFonts w:ascii="仿宋_GB2312" w:eastAsia="仿宋_GB2312" w:cs="仿宋"/>
          <w:color w:val="auto"/>
          <w:kern w:val="0"/>
          <w:sz w:val="32"/>
          <w:szCs w:val="32"/>
          <w:highlight w:val="none"/>
          <w:lang w:val="en-US" w:eastAsia="zh-CN" w:bidi="ar-SA"/>
        </w:rPr>
      </w:pPr>
    </w:p>
    <w:tbl>
      <w:tblPr>
        <w:tblStyle w:val="18"/>
        <w:tblW w:w="8100" w:type="dxa"/>
        <w:tblInd w:w="0" w:type="dxa"/>
        <w:shd w:val="clear" w:color="auto" w:fill="auto"/>
        <w:tblLayout w:type="fixed"/>
        <w:tblCellMar>
          <w:top w:w="0" w:type="dxa"/>
          <w:left w:w="0" w:type="dxa"/>
          <w:bottom w:w="0" w:type="dxa"/>
          <w:right w:w="0" w:type="dxa"/>
        </w:tblCellMar>
      </w:tblPr>
      <w:tblGrid>
        <w:gridCol w:w="613"/>
        <w:gridCol w:w="843"/>
        <w:gridCol w:w="843"/>
        <w:gridCol w:w="843"/>
        <w:gridCol w:w="690"/>
        <w:gridCol w:w="1"/>
        <w:gridCol w:w="519"/>
        <w:gridCol w:w="375"/>
        <w:gridCol w:w="843"/>
        <w:gridCol w:w="843"/>
        <w:gridCol w:w="843"/>
        <w:gridCol w:w="844"/>
      </w:tblGrid>
      <w:tr>
        <w:tblPrEx>
          <w:shd w:val="clear" w:color="auto" w:fill="auto"/>
          <w:tblLayout w:type="fixed"/>
          <w:tblCellMar>
            <w:top w:w="0" w:type="dxa"/>
            <w:left w:w="0" w:type="dxa"/>
            <w:bottom w:w="0" w:type="dxa"/>
            <w:right w:w="0" w:type="dxa"/>
          </w:tblCellMar>
        </w:tblPrEx>
        <w:trPr>
          <w:trHeight w:val="677" w:hRule="atLeast"/>
        </w:trPr>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Layout w:type="fixed"/>
          <w:tblCellMar>
            <w:top w:w="0" w:type="dxa"/>
            <w:left w:w="0" w:type="dxa"/>
            <w:bottom w:w="0" w:type="dxa"/>
            <w:right w:w="0" w:type="dxa"/>
          </w:tblCellMar>
        </w:tblPrEx>
        <w:trPr>
          <w:trHeight w:val="551" w:hRule="atLeast"/>
        </w:trPr>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项目名称</w:t>
            </w:r>
          </w:p>
        </w:tc>
        <w:tc>
          <w:tcPr>
            <w:tcW w:w="6644"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二类疫苗服务费</w:t>
            </w:r>
          </w:p>
        </w:tc>
      </w:tr>
      <w:tr>
        <w:tblPrEx>
          <w:tblLayout w:type="fixed"/>
          <w:tblCellMar>
            <w:top w:w="0" w:type="dxa"/>
            <w:left w:w="0" w:type="dxa"/>
            <w:bottom w:w="0" w:type="dxa"/>
            <w:right w:w="0" w:type="dxa"/>
          </w:tblCellMar>
        </w:tblPrEx>
        <w:trPr>
          <w:trHeight w:val="677" w:hRule="atLeast"/>
        </w:trPr>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w:t>
            </w:r>
          </w:p>
        </w:tc>
        <w:tc>
          <w:tcPr>
            <w:tcW w:w="3271"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广元市昭化区卫生健康局部门</w:t>
            </w:r>
          </w:p>
        </w:tc>
        <w:tc>
          <w:tcPr>
            <w:tcW w:w="843"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实施单位 （盖章）</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w:t>
            </w:r>
            <w:r>
              <w:rPr>
                <w:rFonts w:hint="eastAsia" w:ascii="宋体" w:hAnsi="宋体" w:cs="宋体"/>
                <w:i w:val="0"/>
                <w:iCs w:val="0"/>
                <w:color w:val="000000"/>
                <w:kern w:val="0"/>
                <w:sz w:val="20"/>
                <w:szCs w:val="20"/>
                <w:u w:val="none"/>
                <w:lang w:val="en-US" w:eastAsia="zh-CN" w:bidi="ar"/>
              </w:rPr>
              <w:t>清水镇</w:t>
            </w:r>
            <w:r>
              <w:rPr>
                <w:rFonts w:hint="eastAsia" w:ascii="宋体" w:hAnsi="宋体" w:eastAsia="宋体" w:cs="宋体"/>
                <w:i w:val="0"/>
                <w:iCs w:val="0"/>
                <w:color w:val="000000"/>
                <w:kern w:val="0"/>
                <w:sz w:val="20"/>
                <w:szCs w:val="20"/>
                <w:u w:val="none"/>
                <w:lang w:val="en-US" w:eastAsia="zh-CN" w:bidi="ar"/>
              </w:rPr>
              <w:t>卫生院</w:t>
            </w:r>
          </w:p>
        </w:tc>
      </w:tr>
      <w:tr>
        <w:tblPrEx>
          <w:tblLayout w:type="fixed"/>
          <w:tblCellMar>
            <w:top w:w="0" w:type="dxa"/>
            <w:left w:w="0" w:type="dxa"/>
            <w:bottom w:w="0" w:type="dxa"/>
            <w:right w:w="0" w:type="dxa"/>
          </w:tblCellMar>
        </w:tblPrEx>
        <w:trPr>
          <w:trHeight w:val="449"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项目基本情况</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1.项目年度目标完成情况</w:t>
            </w:r>
          </w:p>
        </w:tc>
        <w:tc>
          <w:tcPr>
            <w:tcW w:w="3271"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项目年度目标</w:t>
            </w:r>
          </w:p>
        </w:tc>
        <w:tc>
          <w:tcPr>
            <w:tcW w:w="337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年度目标完成情况</w:t>
            </w:r>
          </w:p>
        </w:tc>
      </w:tr>
      <w:tr>
        <w:tblPrEx>
          <w:tblLayout w:type="fixed"/>
          <w:tblCellMar>
            <w:top w:w="0" w:type="dxa"/>
            <w:left w:w="0" w:type="dxa"/>
            <w:bottom w:w="0" w:type="dxa"/>
            <w:right w:w="0" w:type="dxa"/>
          </w:tblCellMar>
        </w:tblPrEx>
        <w:trPr>
          <w:trHeight w:val="56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271"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1.0931</w:t>
            </w:r>
            <w:r>
              <w:rPr>
                <w:rFonts w:hint="eastAsia" w:ascii="宋体" w:hAnsi="宋体" w:eastAsia="宋体" w:cs="宋体"/>
                <w:i w:val="0"/>
                <w:iCs w:val="0"/>
                <w:color w:val="000000"/>
                <w:kern w:val="0"/>
                <w:sz w:val="20"/>
                <w:szCs w:val="20"/>
                <w:u w:val="none"/>
                <w:lang w:val="en-US" w:eastAsia="zh-CN" w:bidi="ar"/>
              </w:rPr>
              <w:t>万元</w:t>
            </w:r>
          </w:p>
        </w:tc>
        <w:tc>
          <w:tcPr>
            <w:tcW w:w="3373"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995"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2.项目实施内容及过程概述</w:t>
            </w:r>
          </w:p>
        </w:tc>
        <w:tc>
          <w:tcPr>
            <w:tcW w:w="6644"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Layout w:type="fixed"/>
          <w:tblCellMar>
            <w:top w:w="0" w:type="dxa"/>
            <w:left w:w="0" w:type="dxa"/>
            <w:bottom w:w="0" w:type="dxa"/>
            <w:right w:w="0" w:type="dxa"/>
          </w:tblCellMar>
        </w:tblPrEx>
        <w:trPr>
          <w:trHeight w:val="677"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预算执行情况（10分）</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年度预算数（万元）</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年初预算</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调整后预算数</w:t>
            </w:r>
          </w:p>
        </w:tc>
        <w:tc>
          <w:tcPr>
            <w:tcW w:w="158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预算执行数</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预算执行率</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44"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未完成原因分析</w:t>
            </w:r>
          </w:p>
        </w:tc>
      </w:tr>
      <w:tr>
        <w:tblPrEx>
          <w:tblLayout w:type="fixed"/>
          <w:tblCellMar>
            <w:top w:w="0" w:type="dxa"/>
            <w:left w:w="0" w:type="dxa"/>
            <w:bottom w:w="0" w:type="dxa"/>
            <w:right w:w="0" w:type="dxa"/>
          </w:tblCellMar>
        </w:tblPrEx>
        <w:trPr>
          <w:trHeight w:val="359"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总额</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1.0931</w:t>
            </w:r>
          </w:p>
        </w:tc>
        <w:tc>
          <w:tcPr>
            <w:tcW w:w="158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1.0931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43"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7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其中：财政资金</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1.0931</w:t>
            </w:r>
          </w:p>
        </w:tc>
        <w:tc>
          <w:tcPr>
            <w:tcW w:w="158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1.0931</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3"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7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财政专户管理资金</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8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3"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359"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单位资金</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8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3"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9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其他资金</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8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3"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1020"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绩效指标（90分）</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一级指标</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二级指标</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指标性质</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度量单位</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完成值</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43"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60"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产出指标</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时效指标</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项目完成及时率</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52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w:t>
            </w:r>
          </w:p>
        </w:tc>
        <w:tc>
          <w:tcPr>
            <w:tcW w:w="844"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59" w:hRule="atLeast"/>
        </w:trPr>
        <w:tc>
          <w:tcPr>
            <w:tcW w:w="557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77"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评价结论</w:t>
            </w:r>
          </w:p>
        </w:tc>
        <w:tc>
          <w:tcPr>
            <w:tcW w:w="7487"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二类疫苗接种服务费收入全额上缴国库，纳入财政预算管理，实施效果较好</w:t>
            </w:r>
          </w:p>
        </w:tc>
      </w:tr>
      <w:tr>
        <w:tblPrEx>
          <w:tblLayout w:type="fixed"/>
          <w:tblCellMar>
            <w:top w:w="0" w:type="dxa"/>
            <w:left w:w="0" w:type="dxa"/>
            <w:bottom w:w="0" w:type="dxa"/>
            <w:right w:w="0" w:type="dxa"/>
          </w:tblCellMar>
        </w:tblPrEx>
        <w:trPr>
          <w:trHeight w:val="677"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存在问题</w:t>
            </w:r>
          </w:p>
        </w:tc>
        <w:tc>
          <w:tcPr>
            <w:tcW w:w="7487"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677"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改进措施</w:t>
            </w:r>
          </w:p>
        </w:tc>
        <w:tc>
          <w:tcPr>
            <w:tcW w:w="7487"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380" w:hRule="atLeast"/>
        </w:trPr>
        <w:tc>
          <w:tcPr>
            <w:tcW w:w="3833"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项目负责人：</w:t>
            </w:r>
          </w:p>
        </w:tc>
        <w:tc>
          <w:tcPr>
            <w:tcW w:w="4267"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财务负责人：</w:t>
            </w:r>
          </w:p>
        </w:tc>
      </w:tr>
    </w:tbl>
    <w:p>
      <w:pPr>
        <w:pStyle w:val="2"/>
        <w:rPr>
          <w:lang w:val="en-US" w:eastAsia="zh-CN"/>
        </w:rPr>
      </w:pPr>
    </w:p>
    <w:p>
      <w:pPr>
        <w:pStyle w:val="7"/>
        <w:rPr>
          <w:rFonts w:hint="eastAsia"/>
        </w:rPr>
      </w:pPr>
    </w:p>
    <w:p>
      <w:pPr>
        <w:rPr>
          <w:rFonts w:hint="eastAsia"/>
        </w:rPr>
      </w:pPr>
    </w:p>
    <w:p>
      <w:pPr>
        <w:pStyle w:val="2"/>
        <w:rPr>
          <w:rFonts w:hint="eastAsia"/>
        </w:rPr>
      </w:pPr>
    </w:p>
    <w:p>
      <w:pPr>
        <w:spacing w:line="600" w:lineRule="exact"/>
        <w:jc w:val="center"/>
        <w:outlineLvl w:val="0"/>
        <w:rPr>
          <w:rFonts w:hint="eastAsia" w:ascii="仿宋" w:eastAsia="仿宋"/>
          <w:b w:val="0"/>
          <w:color w:val="auto"/>
          <w:highlight w:val="none"/>
        </w:rPr>
      </w:pPr>
      <w:bookmarkStart w:id="114" w:name="_Toc30192"/>
      <w:r>
        <w:rPr>
          <w:rFonts w:hint="eastAsia" w:ascii="黑体" w:eastAsia="黑体"/>
          <w:color w:val="auto"/>
          <w:sz w:val="44"/>
          <w:szCs w:val="44"/>
          <w:highlight w:val="none"/>
        </w:rPr>
        <w:t>第</w:t>
      </w:r>
      <w:r>
        <w:rPr>
          <w:rStyle w:val="19"/>
          <w:rFonts w:hint="eastAsia" w:ascii="黑体" w:eastAsia="黑体"/>
          <w:b w:val="0"/>
          <w:color w:val="auto"/>
          <w:highlight w:val="none"/>
        </w:rPr>
        <w:t>五部分 附表</w:t>
      </w:r>
      <w:bookmarkEnd w:id="108"/>
      <w:bookmarkEnd w:id="113"/>
      <w:bookmarkEnd w:id="114"/>
      <w:bookmarkStart w:id="115" w:name="_Toc15396619"/>
    </w:p>
    <w:p>
      <w:pPr>
        <w:pStyle w:val="5"/>
        <w:rPr>
          <w:rFonts w:ascii="仿宋" w:eastAsia="仿宋"/>
          <w:color w:val="auto"/>
          <w:highlight w:val="none"/>
        </w:rPr>
      </w:pPr>
      <w:bookmarkStart w:id="116" w:name="_Toc24236"/>
      <w:r>
        <w:rPr>
          <w:rFonts w:hint="eastAsia" w:ascii="仿宋" w:eastAsia="仿宋"/>
          <w:b w:val="0"/>
          <w:color w:val="auto"/>
          <w:highlight w:val="none"/>
        </w:rPr>
        <w:t>一、收</w:t>
      </w:r>
      <w:r>
        <w:rPr>
          <w:rStyle w:val="20"/>
          <w:rFonts w:hint="eastAsia" w:ascii="仿宋" w:eastAsia="仿宋"/>
          <w:b w:val="0"/>
          <w:bCs w:val="0"/>
          <w:color w:val="auto"/>
          <w:highlight w:val="none"/>
        </w:rPr>
        <w:t>入支出决算总表</w:t>
      </w:r>
      <w:bookmarkEnd w:id="115"/>
      <w:bookmarkEnd w:id="116"/>
    </w:p>
    <w:p>
      <w:pPr>
        <w:pStyle w:val="5"/>
        <w:rPr>
          <w:rFonts w:ascii="仿宋" w:eastAsia="仿宋"/>
          <w:color w:val="auto"/>
          <w:highlight w:val="none"/>
        </w:rPr>
      </w:pPr>
      <w:bookmarkStart w:id="117" w:name="_Toc32641"/>
      <w:bookmarkStart w:id="118" w:name="_Toc15396620"/>
      <w:r>
        <w:rPr>
          <w:rFonts w:hint="eastAsia" w:ascii="仿宋" w:eastAsia="仿宋"/>
          <w:b w:val="0"/>
          <w:color w:val="auto"/>
          <w:highlight w:val="none"/>
        </w:rPr>
        <w:t>二、收</w:t>
      </w:r>
      <w:r>
        <w:rPr>
          <w:rStyle w:val="20"/>
          <w:rFonts w:hint="eastAsia" w:ascii="仿宋" w:eastAsia="仿宋"/>
          <w:b w:val="0"/>
          <w:bCs w:val="0"/>
          <w:color w:val="auto"/>
          <w:highlight w:val="none"/>
        </w:rPr>
        <w:t>入决算表</w:t>
      </w:r>
      <w:bookmarkEnd w:id="117"/>
      <w:bookmarkEnd w:id="118"/>
    </w:p>
    <w:p>
      <w:pPr>
        <w:pStyle w:val="5"/>
        <w:rPr>
          <w:rFonts w:ascii="仿宋" w:eastAsia="仿宋"/>
          <w:color w:val="auto"/>
          <w:highlight w:val="none"/>
        </w:rPr>
      </w:pPr>
      <w:bookmarkStart w:id="119" w:name="_Toc15955"/>
      <w:bookmarkStart w:id="120" w:name="_Toc15396621"/>
      <w:r>
        <w:rPr>
          <w:rStyle w:val="20"/>
          <w:rFonts w:hint="eastAsia" w:ascii="仿宋" w:eastAsia="仿宋"/>
          <w:b w:val="0"/>
          <w:bCs w:val="0"/>
          <w:color w:val="auto"/>
          <w:highlight w:val="none"/>
        </w:rPr>
        <w:t>三、</w:t>
      </w:r>
      <w:r>
        <w:rPr>
          <w:rFonts w:hint="eastAsia" w:ascii="仿宋" w:eastAsia="仿宋"/>
          <w:b w:val="0"/>
          <w:color w:val="auto"/>
          <w:highlight w:val="none"/>
        </w:rPr>
        <w:t>支</w:t>
      </w:r>
      <w:r>
        <w:rPr>
          <w:rStyle w:val="20"/>
          <w:rFonts w:hint="eastAsia" w:ascii="仿宋" w:eastAsia="仿宋"/>
          <w:b w:val="0"/>
          <w:bCs w:val="0"/>
          <w:color w:val="auto"/>
          <w:highlight w:val="none"/>
        </w:rPr>
        <w:t>出决算表</w:t>
      </w:r>
      <w:bookmarkEnd w:id="119"/>
      <w:bookmarkEnd w:id="120"/>
    </w:p>
    <w:p>
      <w:pPr>
        <w:pStyle w:val="5"/>
        <w:rPr>
          <w:rFonts w:ascii="仿宋" w:eastAsia="仿宋"/>
          <w:b w:val="0"/>
          <w:color w:val="auto"/>
          <w:highlight w:val="none"/>
        </w:rPr>
      </w:pPr>
      <w:bookmarkStart w:id="121" w:name="_Toc18070"/>
      <w:bookmarkStart w:id="122" w:name="_Toc15396622"/>
      <w:r>
        <w:rPr>
          <w:rStyle w:val="20"/>
          <w:rFonts w:hint="eastAsia" w:ascii="仿宋" w:eastAsia="仿宋"/>
          <w:b w:val="0"/>
          <w:bCs w:val="0"/>
          <w:color w:val="auto"/>
          <w:highlight w:val="none"/>
        </w:rPr>
        <w:t>四、</w:t>
      </w:r>
      <w:r>
        <w:rPr>
          <w:rFonts w:hint="eastAsia" w:ascii="仿宋" w:eastAsia="仿宋"/>
          <w:b w:val="0"/>
          <w:color w:val="auto"/>
          <w:highlight w:val="none"/>
        </w:rPr>
        <w:t>财</w:t>
      </w:r>
      <w:r>
        <w:rPr>
          <w:rStyle w:val="20"/>
          <w:rFonts w:hint="eastAsia" w:ascii="仿宋" w:eastAsia="仿宋"/>
          <w:b w:val="0"/>
          <w:bCs w:val="0"/>
          <w:color w:val="auto"/>
          <w:highlight w:val="none"/>
        </w:rPr>
        <w:t>政拨款收入支出决算总表</w:t>
      </w:r>
      <w:bookmarkEnd w:id="121"/>
      <w:bookmarkEnd w:id="122"/>
    </w:p>
    <w:p>
      <w:pPr>
        <w:pStyle w:val="5"/>
        <w:rPr>
          <w:rStyle w:val="20"/>
          <w:rFonts w:ascii="仿宋" w:eastAsia="仿宋"/>
          <w:b w:val="0"/>
          <w:bCs w:val="0"/>
          <w:color w:val="auto"/>
          <w:highlight w:val="none"/>
        </w:rPr>
      </w:pPr>
      <w:bookmarkStart w:id="123" w:name="_Toc9620"/>
      <w:bookmarkStart w:id="124" w:name="_Toc15396623"/>
      <w:r>
        <w:rPr>
          <w:rStyle w:val="20"/>
          <w:rFonts w:hint="eastAsia" w:ascii="仿宋" w:eastAsia="仿宋"/>
          <w:b w:val="0"/>
          <w:bCs w:val="0"/>
          <w:color w:val="auto"/>
          <w:highlight w:val="none"/>
        </w:rPr>
        <w:t>五、</w:t>
      </w:r>
      <w:r>
        <w:rPr>
          <w:rFonts w:hint="eastAsia" w:ascii="仿宋" w:eastAsia="仿宋"/>
          <w:b w:val="0"/>
          <w:color w:val="auto"/>
          <w:highlight w:val="none"/>
        </w:rPr>
        <w:t>财</w:t>
      </w:r>
      <w:r>
        <w:rPr>
          <w:rStyle w:val="20"/>
          <w:rFonts w:hint="eastAsia" w:ascii="仿宋" w:eastAsia="仿宋"/>
          <w:b w:val="0"/>
          <w:bCs w:val="0"/>
          <w:color w:val="auto"/>
          <w:highlight w:val="none"/>
        </w:rPr>
        <w:t>政拨款支出决算明细表</w:t>
      </w:r>
      <w:bookmarkEnd w:id="123"/>
      <w:bookmarkEnd w:id="124"/>
      <w:bookmarkStart w:id="125" w:name="_Toc15396624"/>
    </w:p>
    <w:p>
      <w:pPr>
        <w:pStyle w:val="5"/>
        <w:rPr>
          <w:rFonts w:ascii="仿宋" w:eastAsia="仿宋"/>
          <w:color w:val="auto"/>
          <w:highlight w:val="none"/>
        </w:rPr>
      </w:pPr>
      <w:bookmarkStart w:id="126" w:name="_Toc3962"/>
      <w:r>
        <w:rPr>
          <w:rStyle w:val="20"/>
          <w:rFonts w:hint="eastAsia" w:ascii="仿宋" w:eastAsia="仿宋"/>
          <w:b w:val="0"/>
          <w:bCs w:val="0"/>
          <w:color w:val="auto"/>
          <w:highlight w:val="none"/>
        </w:rPr>
        <w:t>六、</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般公共预算财政拨款支出决算表</w:t>
      </w:r>
      <w:bookmarkEnd w:id="125"/>
      <w:bookmarkEnd w:id="126"/>
    </w:p>
    <w:p>
      <w:pPr>
        <w:pStyle w:val="5"/>
        <w:rPr>
          <w:rFonts w:ascii="仿宋" w:eastAsia="仿宋"/>
          <w:color w:val="auto"/>
          <w:highlight w:val="none"/>
        </w:rPr>
      </w:pPr>
      <w:bookmarkStart w:id="127" w:name="_Toc12956"/>
      <w:bookmarkStart w:id="128" w:name="_Toc15396625"/>
      <w:r>
        <w:rPr>
          <w:rStyle w:val="20"/>
          <w:rFonts w:hint="eastAsia" w:ascii="仿宋" w:eastAsia="仿宋"/>
          <w:b w:val="0"/>
          <w:bCs w:val="0"/>
          <w:color w:val="auto"/>
          <w:highlight w:val="none"/>
        </w:rPr>
        <w:t>七、</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般公共预算财政拨款支出决算明细表</w:t>
      </w:r>
      <w:bookmarkEnd w:id="127"/>
      <w:bookmarkEnd w:id="128"/>
    </w:p>
    <w:p>
      <w:pPr>
        <w:pStyle w:val="5"/>
        <w:rPr>
          <w:rFonts w:ascii="仿宋" w:eastAsia="仿宋"/>
          <w:color w:val="auto"/>
          <w:highlight w:val="none"/>
        </w:rPr>
      </w:pPr>
      <w:bookmarkStart w:id="129" w:name="_Toc1640"/>
      <w:bookmarkStart w:id="130" w:name="_Toc15396626"/>
      <w:r>
        <w:rPr>
          <w:rStyle w:val="20"/>
          <w:rFonts w:hint="eastAsia" w:ascii="仿宋" w:eastAsia="仿宋"/>
          <w:b w:val="0"/>
          <w:bCs w:val="0"/>
          <w:color w:val="auto"/>
          <w:highlight w:val="none"/>
        </w:rPr>
        <w:t>八、</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般公共预算财政拨款基本支出决算表</w:t>
      </w:r>
      <w:bookmarkEnd w:id="129"/>
      <w:bookmarkEnd w:id="130"/>
    </w:p>
    <w:p>
      <w:pPr>
        <w:pStyle w:val="5"/>
        <w:rPr>
          <w:rFonts w:ascii="仿宋" w:eastAsia="仿宋"/>
          <w:color w:val="auto"/>
          <w:highlight w:val="none"/>
        </w:rPr>
      </w:pPr>
      <w:bookmarkStart w:id="131" w:name="_Toc29785"/>
      <w:bookmarkStart w:id="132" w:name="_Toc15396627"/>
      <w:r>
        <w:rPr>
          <w:rStyle w:val="20"/>
          <w:rFonts w:hint="eastAsia" w:ascii="仿宋" w:eastAsia="仿宋"/>
          <w:b w:val="0"/>
          <w:bCs w:val="0"/>
          <w:color w:val="auto"/>
          <w:highlight w:val="none"/>
        </w:rPr>
        <w:t>九、</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般公共预算财政拨款项目支出决算表</w:t>
      </w:r>
      <w:bookmarkEnd w:id="131"/>
      <w:bookmarkEnd w:id="132"/>
    </w:p>
    <w:p>
      <w:pPr>
        <w:pStyle w:val="5"/>
        <w:rPr>
          <w:rFonts w:ascii="仿宋" w:eastAsia="仿宋"/>
          <w:color w:val="auto"/>
          <w:highlight w:val="none"/>
        </w:rPr>
      </w:pPr>
      <w:bookmarkStart w:id="133" w:name="_Toc15396628"/>
      <w:bookmarkStart w:id="134" w:name="_Toc19383"/>
      <w:r>
        <w:rPr>
          <w:rStyle w:val="20"/>
          <w:rFonts w:hint="eastAsia" w:ascii="仿宋" w:eastAsia="仿宋"/>
          <w:b w:val="0"/>
          <w:bCs w:val="0"/>
          <w:color w:val="auto"/>
          <w:highlight w:val="none"/>
        </w:rPr>
        <w:t>十、</w:t>
      </w:r>
      <w:bookmarkEnd w:id="133"/>
      <w:r>
        <w:rPr>
          <w:rFonts w:hint="eastAsia" w:ascii="仿宋" w:eastAsia="仿宋"/>
          <w:b w:val="0"/>
          <w:color w:val="auto"/>
          <w:highlight w:val="none"/>
        </w:rPr>
        <w:t>政</w:t>
      </w:r>
      <w:r>
        <w:rPr>
          <w:rStyle w:val="20"/>
          <w:rFonts w:hint="eastAsia" w:ascii="仿宋" w:eastAsia="仿宋"/>
          <w:b w:val="0"/>
          <w:bCs w:val="0"/>
          <w:color w:val="auto"/>
          <w:highlight w:val="none"/>
        </w:rPr>
        <w:t>府性基金预算财政拨款收入支出决算表</w:t>
      </w:r>
      <w:bookmarkEnd w:id="134"/>
    </w:p>
    <w:p>
      <w:pPr>
        <w:pStyle w:val="5"/>
        <w:rPr>
          <w:rFonts w:ascii="仿宋" w:eastAsia="仿宋"/>
          <w:color w:val="auto"/>
          <w:highlight w:val="none"/>
        </w:rPr>
      </w:pPr>
      <w:bookmarkStart w:id="135" w:name="_Toc15396629"/>
      <w:bookmarkStart w:id="136" w:name="_Toc2687"/>
      <w:r>
        <w:rPr>
          <w:rStyle w:val="20"/>
          <w:rFonts w:hint="eastAsia" w:ascii="仿宋" w:eastAsia="仿宋"/>
          <w:b w:val="0"/>
          <w:bCs w:val="0"/>
          <w:color w:val="auto"/>
          <w:highlight w:val="none"/>
        </w:rPr>
        <w:t>十一、</w:t>
      </w:r>
      <w:bookmarkEnd w:id="135"/>
      <w:r>
        <w:rPr>
          <w:rFonts w:hint="eastAsia" w:ascii="仿宋" w:eastAsia="仿宋"/>
          <w:b w:val="0"/>
          <w:color w:val="auto"/>
          <w:highlight w:val="none"/>
        </w:rPr>
        <w:t>国</w:t>
      </w:r>
      <w:r>
        <w:rPr>
          <w:rStyle w:val="20"/>
          <w:rFonts w:hint="eastAsia" w:ascii="仿宋" w:eastAsia="仿宋"/>
          <w:b w:val="0"/>
          <w:bCs w:val="0"/>
          <w:color w:val="auto"/>
          <w:highlight w:val="none"/>
        </w:rPr>
        <w:t>有资本经营预算</w:t>
      </w:r>
      <w:r>
        <w:rPr>
          <w:rStyle w:val="20"/>
          <w:rFonts w:hint="eastAsia" w:ascii="仿宋" w:eastAsia="仿宋"/>
          <w:b w:val="0"/>
          <w:bCs w:val="0"/>
          <w:color w:val="auto"/>
          <w:highlight w:val="none"/>
          <w:lang w:eastAsia="zh-CN"/>
        </w:rPr>
        <w:t>财政拨款收入</w:t>
      </w:r>
      <w:r>
        <w:rPr>
          <w:rStyle w:val="20"/>
          <w:rFonts w:hint="eastAsia" w:ascii="仿宋" w:eastAsia="仿宋"/>
          <w:b w:val="0"/>
          <w:bCs w:val="0"/>
          <w:color w:val="auto"/>
          <w:highlight w:val="none"/>
        </w:rPr>
        <w:t>支出决算表</w:t>
      </w:r>
      <w:bookmarkEnd w:id="136"/>
    </w:p>
    <w:p>
      <w:pPr>
        <w:pStyle w:val="5"/>
        <w:rPr>
          <w:rFonts w:ascii="仿宋" w:eastAsia="仿宋"/>
          <w:color w:val="auto"/>
          <w:highlight w:val="none"/>
        </w:rPr>
      </w:pPr>
      <w:bookmarkStart w:id="137" w:name="_Toc15396630"/>
      <w:bookmarkStart w:id="138" w:name="_Toc17970"/>
      <w:r>
        <w:rPr>
          <w:rStyle w:val="20"/>
          <w:rFonts w:hint="eastAsia" w:ascii="仿宋" w:eastAsia="仿宋"/>
          <w:b w:val="0"/>
          <w:bCs w:val="0"/>
          <w:color w:val="auto"/>
          <w:highlight w:val="none"/>
        </w:rPr>
        <w:t>十二、</w:t>
      </w:r>
      <w:bookmarkEnd w:id="137"/>
      <w:r>
        <w:rPr>
          <w:rStyle w:val="20"/>
          <w:rFonts w:hint="eastAsia" w:ascii="仿宋" w:eastAsia="仿宋"/>
          <w:b w:val="0"/>
          <w:bCs w:val="0"/>
          <w:color w:val="auto"/>
          <w:highlight w:val="none"/>
          <w:lang w:eastAsia="zh-CN"/>
        </w:rPr>
        <w:t>国有资本经营预算财政拨款支出决算表</w:t>
      </w:r>
      <w:bookmarkEnd w:id="138"/>
    </w:p>
    <w:p>
      <w:pPr>
        <w:pStyle w:val="5"/>
        <w:rPr>
          <w:rFonts w:hint="eastAsia" w:eastAsia="仿宋"/>
          <w:color w:val="auto"/>
          <w:highlight w:val="none"/>
          <w:lang w:eastAsia="zh-CN"/>
        </w:rPr>
      </w:pPr>
      <w:bookmarkStart w:id="139" w:name="_Toc15396631"/>
      <w:bookmarkStart w:id="140" w:name="_Toc5865"/>
      <w:r>
        <w:rPr>
          <w:rStyle w:val="20"/>
          <w:rFonts w:hint="eastAsia" w:ascii="仿宋" w:eastAsia="仿宋"/>
          <w:b w:val="0"/>
          <w:bCs w:val="0"/>
          <w:color w:val="auto"/>
          <w:highlight w:val="none"/>
        </w:rPr>
        <w:t>十三、</w:t>
      </w:r>
      <w:bookmarkEnd w:id="139"/>
      <w:r>
        <w:rPr>
          <w:rStyle w:val="20"/>
          <w:rFonts w:hint="eastAsia" w:ascii="仿宋" w:eastAsia="仿宋"/>
          <w:b w:val="0"/>
          <w:bCs w:val="0"/>
          <w:color w:val="auto"/>
          <w:highlight w:val="none"/>
          <w:lang w:eastAsia="zh-CN"/>
        </w:rPr>
        <w:t>财政拨款“三公”经费支出决算表</w:t>
      </w:r>
      <w:bookmarkEnd w:id="140"/>
    </w:p>
    <w:sectPr>
      <w:footerReference r:id="rId5" w:type="first"/>
      <w:footerReference r:id="rId4" w:type="default"/>
      <w:pgSz w:w="11906" w:h="16838"/>
      <w:pgMar w:top="1440" w:right="1995"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22AABCF-5820-4322-9BBF-EF32BA4132EA}"/>
  </w:font>
  <w:font w:name="黑体">
    <w:panose1 w:val="02010609060101010101"/>
    <w:charset w:val="86"/>
    <w:family w:val="auto"/>
    <w:pitch w:val="default"/>
    <w:sig w:usb0="800002BF" w:usb1="38CF7CFA" w:usb2="00000016" w:usb3="00000000" w:csb0="00040001" w:csb1="00000000"/>
    <w:embedRegular r:id="rId2" w:fontKey="{A58C7E1F-BEF0-4E8E-BB4E-3708F4B4825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4C83075C-78C5-42D0-A515-4CDEC840BB50}"/>
  </w:font>
  <w:font w:name="Cambria">
    <w:panose1 w:val="02040503050406030204"/>
    <w:charset w:val="00"/>
    <w:family w:val="roman"/>
    <w:pitch w:val="default"/>
    <w:sig w:usb0="E00002FF" w:usb1="400004FF" w:usb2="00000000" w:usb3="00000000" w:csb0="2000019F" w:csb1="00000000"/>
    <w:embedRegular r:id="rId4" w:fontKey="{D6410184-5683-4912-9995-D11B5F86A9AD}"/>
  </w:font>
  <w:font w:name="仿宋_GB2312">
    <w:altName w:val="仿宋"/>
    <w:panose1 w:val="02010609030101010101"/>
    <w:charset w:val="86"/>
    <w:family w:val="modern"/>
    <w:pitch w:val="default"/>
    <w:sig w:usb0="00000000" w:usb1="00000000" w:usb2="00000000" w:usb3="00000000" w:csb0="00040000" w:csb1="00000000"/>
    <w:embedRegular r:id="rId5" w:fontKey="{26071502-11FF-4A78-82B6-56A79EDB3C04}"/>
  </w:font>
  <w:font w:name="仿宋">
    <w:panose1 w:val="02010609060101010101"/>
    <w:charset w:val="86"/>
    <w:family w:val="modern"/>
    <w:pitch w:val="default"/>
    <w:sig w:usb0="800002BF" w:usb1="38CF7CFA" w:usb2="00000016" w:usb3="00000000" w:csb0="00040001" w:csb1="00000000"/>
    <w:embedRegular r:id="rId6" w:fontKey="{C7A34251-C011-4813-8CEE-15A7E83EFC41}"/>
  </w:font>
  <w:font w:name="方正小标宋简体">
    <w:panose1 w:val="02000000000000000000"/>
    <w:charset w:val="86"/>
    <w:family w:val="script"/>
    <w:pitch w:val="default"/>
    <w:sig w:usb0="00000000" w:usb1="00000000" w:usb2="00000000" w:usb3="00000000" w:csb0="00000000" w:csb1="00000000"/>
    <w:embedRegular r:id="rId7" w:fontKey="{596DB963-A0DD-40E6-AE83-3DBB93EB4A8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DIxMmZmNDI3YWRjMjkwMTcwYmYwOGM2NmNjYWQ0NGQifQ=="/>
  </w:docVars>
  <w:rsids>
    <w:rsidRoot w:val="00000000"/>
    <w:rsid w:val="02170A98"/>
    <w:rsid w:val="0C57391A"/>
    <w:rsid w:val="17740DA2"/>
    <w:rsid w:val="20DB3343"/>
    <w:rsid w:val="20E510FB"/>
    <w:rsid w:val="227C35B7"/>
    <w:rsid w:val="2B7B1E64"/>
    <w:rsid w:val="31153453"/>
    <w:rsid w:val="31233DB4"/>
    <w:rsid w:val="3A147B43"/>
    <w:rsid w:val="60281A44"/>
    <w:rsid w:val="67AE546E"/>
    <w:rsid w:val="6DAF0ECE"/>
    <w:rsid w:val="6ED6471E"/>
    <w:rsid w:val="712C2C3D"/>
    <w:rsid w:val="74597664"/>
    <w:rsid w:val="7F7330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0"/>
    <w:pPr>
      <w:keepNext/>
      <w:keepLines/>
      <w:widowControl w:val="0"/>
      <w:spacing w:before="340" w:after="330" w:line="578" w:lineRule="auto"/>
      <w:outlineLvl w:val="0"/>
    </w:pPr>
    <w:rPr>
      <w:b/>
      <w:bCs/>
      <w:kern w:val="44"/>
      <w:sz w:val="44"/>
      <w:szCs w:val="44"/>
    </w:rPr>
  </w:style>
  <w:style w:type="paragraph" w:styleId="5">
    <w:name w:val="heading 2"/>
    <w:basedOn w:val="1"/>
    <w:next w:val="1"/>
    <w:link w:val="20"/>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6">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5">
    <w:name w:val="Default Paragraph Font"/>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next w:val="2"/>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w:basedOn w:val="1"/>
    <w:next w:val="1"/>
    <w:qFormat/>
    <w:uiPriority w:val="0"/>
    <w:pPr>
      <w:spacing w:before="30" w:beforeLines="30"/>
    </w:pPr>
    <w:rPr>
      <w:rFonts w:ascii="仿宋_GB2312" w:eastAsia="仿宋_GB2312"/>
      <w:kern w:val="0"/>
      <w:sz w:val="30"/>
    </w:rPr>
  </w:style>
  <w:style w:type="paragraph" w:styleId="8">
    <w:name w:val="toc 3"/>
    <w:basedOn w:val="1"/>
    <w:next w:val="1"/>
    <w:qFormat/>
    <w:uiPriority w:val="0"/>
    <w:pPr>
      <w:tabs>
        <w:tab w:val="right" w:leader="dot" w:pos="8296"/>
      </w:tabs>
      <w:ind w:left="400" w:leftChars="4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oc 2"/>
    <w:basedOn w:val="1"/>
    <w:next w:val="1"/>
    <w:qFormat/>
    <w:uiPriority w:val="0"/>
    <w:pPr>
      <w:tabs>
        <w:tab w:val="right" w:leader="dot" w:pos="8296"/>
      </w:tabs>
      <w:ind w:left="200" w:leftChars="200"/>
    </w:pPr>
  </w:style>
  <w:style w:type="paragraph" w:styleId="14">
    <w:name w:val="Normal (Web)"/>
    <w:next w:val="10"/>
    <w:qFormat/>
    <w:uiPriority w:val="0"/>
    <w:pPr>
      <w:widowControl w:val="0"/>
      <w:suppressAutoHyphens/>
      <w:bidi w:val="0"/>
      <w:jc w:val="both"/>
    </w:pPr>
    <w:rPr>
      <w:rFonts w:ascii="Calibri" w:hAnsi="Calibri" w:eastAsia="宋体" w:cs="Times New Roman"/>
      <w:color w:val="auto"/>
      <w:kern w:val="2"/>
      <w:sz w:val="24"/>
      <w:szCs w:val="24"/>
      <w:lang w:val="en-US" w:eastAsia="zh-CN" w:bidi="ar-SA"/>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9">
    <w:name w:val="heading 1 Char"/>
    <w:basedOn w:val="15"/>
    <w:link w:val="4"/>
    <w:qFormat/>
    <w:uiPriority w:val="0"/>
    <w:rPr>
      <w:rFonts w:ascii="Times New Roman" w:hAnsi="Times New Roman" w:eastAsia="宋体" w:cs="Times New Roman"/>
      <w:b/>
      <w:bCs/>
      <w:kern w:val="44"/>
      <w:sz w:val="44"/>
      <w:szCs w:val="44"/>
      <w:lang w:val="en-US" w:eastAsia="zh-CN" w:bidi="ar-SA"/>
    </w:rPr>
  </w:style>
  <w:style w:type="character" w:customStyle="1" w:styleId="20">
    <w:name w:val="heading 2 Char"/>
    <w:basedOn w:val="15"/>
    <w:link w:val="5"/>
    <w:qFormat/>
    <w:uiPriority w:val="0"/>
    <w:rPr>
      <w:rFonts w:ascii="Cambria" w:hAnsi="Cambria" w:eastAsia="宋体" w:cs="Times New Roman"/>
      <w:b/>
      <w:bCs/>
      <w:kern w:val="2"/>
      <w:sz w:val="32"/>
      <w:szCs w:val="32"/>
      <w:lang w:val="en-US" w:eastAsia="zh-CN" w:bidi="ar-SA"/>
    </w:rPr>
  </w:style>
  <w:style w:type="character" w:customStyle="1" w:styleId="21">
    <w:name w:val="Header Char"/>
    <w:basedOn w:val="15"/>
    <w:qFormat/>
    <w:uiPriority w:val="0"/>
    <w:rPr>
      <w:rFonts w:ascii="Times New Roman" w:hAnsi="Times New Roman"/>
      <w:sz w:val="18"/>
      <w:szCs w:val="18"/>
    </w:rPr>
  </w:style>
  <w:style w:type="character" w:customStyle="1" w:styleId="22">
    <w:name w:val="Footer Char"/>
    <w:basedOn w:val="15"/>
    <w:qFormat/>
    <w:uiPriority w:val="0"/>
    <w:rPr>
      <w:rFonts w:ascii="Times New Roman" w:hAnsi="Times New Roman"/>
      <w:sz w:val="18"/>
      <w:szCs w:val="18"/>
    </w:rPr>
  </w:style>
  <w:style w:type="character" w:customStyle="1" w:styleId="23">
    <w:name w:val="Body Text Char"/>
    <w:basedOn w:val="15"/>
    <w:qFormat/>
    <w:uiPriority w:val="0"/>
    <w:rPr>
      <w:rFonts w:ascii="Times New Roman" w:hAnsi="Times New Roman"/>
      <w:szCs w:val="24"/>
    </w:rPr>
  </w:style>
  <w:style w:type="paragraph" w:customStyle="1" w:styleId="2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5">
    <w:name w:val="List Paragraph"/>
    <w:basedOn w:val="1"/>
    <w:qFormat/>
    <w:uiPriority w:val="0"/>
    <w:pPr>
      <w:ind w:firstLine="200" w:firstLineChars="200"/>
    </w:pPr>
  </w:style>
  <w:style w:type="paragraph" w:customStyle="1" w:styleId="26">
    <w:name w:val="TOC 标题1"/>
    <w:basedOn w:val="4"/>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7">
    <w:name w:val="TOC Heading"/>
    <w:basedOn w:val="4"/>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8">
    <w:name w:val="普通(网站)1"/>
    <w:basedOn w:val="1"/>
    <w:qFormat/>
    <w:uiPriority w:val="2"/>
    <w:pPr>
      <w:spacing w:before="280" w:after="280"/>
      <w:ind w:left="0" w:right="0" w:firstLine="0"/>
      <w:jc w:val="left"/>
    </w:pPr>
    <w:rPr>
      <w:kern w:val="1"/>
      <w:sz w:val="24"/>
      <w:lang w:val="en-US" w:eastAsia="zh-CN" w:bidi="ar"/>
    </w:rPr>
  </w:style>
  <w:style w:type="character" w:customStyle="1" w:styleId="29">
    <w:name w:val="font132"/>
    <w:basedOn w:val="15"/>
    <w:qFormat/>
    <w:uiPriority w:val="0"/>
    <w:rPr>
      <w:rFonts w:hint="eastAsia" w:ascii="宋体" w:hAnsi="宋体" w:eastAsia="宋体" w:cs="宋体"/>
      <w:color w:val="000000"/>
      <w:sz w:val="20"/>
      <w:szCs w:val="20"/>
      <w:u w:val="none"/>
    </w:rPr>
  </w:style>
  <w:style w:type="character" w:customStyle="1" w:styleId="30">
    <w:name w:val="font112"/>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bmp"/><Relationship Id="rId8" Type="http://schemas.openxmlformats.org/officeDocument/2006/relationships/image" Target="media/image2.bmp"/><Relationship Id="rId7" Type="http://schemas.openxmlformats.org/officeDocument/2006/relationships/image" Target="media/image1.bmp"/><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bmp"/><Relationship Id="rId11" Type="http://schemas.openxmlformats.org/officeDocument/2006/relationships/image" Target="media/image5.bmp"/><Relationship Id="rId10" Type="http://schemas.openxmlformats.org/officeDocument/2006/relationships/image" Target="media/image4.bmp"/><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21</Pages>
  <Words>6585</Words>
  <Characters>7306</Characters>
  <Lines>0</Lines>
  <Paragraphs>188</Paragraphs>
  <TotalTime>6</TotalTime>
  <ScaleCrop>false</ScaleCrop>
  <LinksUpToDate>false</LinksUpToDate>
  <CharactersWithSpaces>7511</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魏连春</cp:lastModifiedBy>
  <cp:lastPrinted>2023-07-31T02:35:00Z</cp:lastPrinted>
  <dcterms:modified xsi:type="dcterms:W3CDTF">2023-09-28T08:47:06Z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418F7A5E08CC40FAB5C0D71647DCDCC9_13</vt:lpwstr>
  </property>
</Properties>
</file>