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7425"/>
      <w:bookmarkStart w:id="3" w:name="_Toc15396597"/>
      <w:bookmarkStart w:id="4" w:name="_Toc15396475"/>
      <w:bookmarkStart w:id="5" w:name="_Toc15378441"/>
      <w:bookmarkStart w:id="6" w:name="_Toc19939"/>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476"/>
      <w:bookmarkStart w:id="8" w:name="_Toc16192"/>
      <w:bookmarkStart w:id="9" w:name="_Toc15378442"/>
      <w:bookmarkStart w:id="10" w:name="_Toc15377194"/>
      <w:bookmarkStart w:id="11" w:name="_Toc15396598"/>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rPr>
        <w:t>广元市昭化区</w:t>
      </w:r>
      <w:r>
        <w:rPr>
          <w:rFonts w:hint="eastAsia" w:ascii="方正小标宋简体" w:hAnsi="方正小标宋简体" w:eastAsia="方正小标宋简体" w:cs="方正小标宋简体"/>
          <w:color w:val="auto"/>
          <w:sz w:val="72"/>
          <w:szCs w:val="72"/>
          <w:highlight w:val="none"/>
          <w:lang w:eastAsia="zh-CN"/>
        </w:rPr>
        <w:t>陈江乡</w:t>
      </w:r>
      <w:r>
        <w:rPr>
          <w:rFonts w:hint="eastAsia" w:ascii="方正小标宋简体" w:hAnsi="方正小标宋简体" w:eastAsia="方正小标宋简体" w:cs="方正小标宋简体"/>
          <w:color w:val="auto"/>
          <w:sz w:val="72"/>
          <w:szCs w:val="72"/>
          <w:highlight w:val="none"/>
        </w:rPr>
        <w:t>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2"/>
        <w:rPr>
          <w:rFonts w:hint="eastAsia"/>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bookmarkStart w:id="123" w:name="_GoBack"/>
      <w:bookmarkEnd w:id="123"/>
    </w:p>
    <w:sdt>
      <w:sdtPr>
        <w:rPr>
          <w:rFonts w:ascii="宋体" w:hAnsi="宋体" w:eastAsia="宋体" w:cs="Times New Roman"/>
          <w:kern w:val="2"/>
          <w:sz w:val="21"/>
          <w:szCs w:val="24"/>
          <w:lang w:val="en-US" w:eastAsia="zh-CN" w:bidi="ar-SA"/>
        </w:rPr>
        <w:id w:val="147466756"/>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8306"/>
            </w:tabs>
          </w:pPr>
          <w:r>
            <w:fldChar w:fldCharType="begin"/>
          </w:r>
          <w:r>
            <w:instrText xml:space="preserve">TOC \o "1-3" \h \u </w:instrText>
          </w:r>
          <w:r>
            <w:fldChar w:fldCharType="separate"/>
          </w:r>
          <w:r>
            <w:fldChar w:fldCharType="begin"/>
          </w:r>
          <w:r>
            <w:instrText xml:space="preserve"> HYPERLINK \l _Toc23675 </w:instrText>
          </w:r>
          <w: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_Toc23675 \h </w:instrText>
          </w:r>
          <w:r>
            <w:fldChar w:fldCharType="separate"/>
          </w:r>
          <w:r>
            <w:t>1</w:t>
          </w:r>
          <w:r>
            <w:fldChar w:fldCharType="end"/>
          </w:r>
          <w:r>
            <w:fldChar w:fldCharType="end"/>
          </w:r>
        </w:p>
        <w:p>
          <w:pPr>
            <w:pStyle w:val="34"/>
            <w:tabs>
              <w:tab w:val="right" w:leader="dot" w:pos="8306"/>
            </w:tabs>
          </w:pPr>
          <w:r>
            <w:fldChar w:fldCharType="begin"/>
          </w:r>
          <w:r>
            <w:instrText xml:space="preserve"> HYPERLINK \l _Toc837 </w:instrText>
          </w:r>
          <w: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_Toc837 \h </w:instrText>
          </w:r>
          <w:r>
            <w:fldChar w:fldCharType="separate"/>
          </w:r>
          <w:r>
            <w:t>1</w:t>
          </w:r>
          <w:r>
            <w:fldChar w:fldCharType="end"/>
          </w:r>
          <w:r>
            <w:fldChar w:fldCharType="end"/>
          </w:r>
        </w:p>
        <w:p>
          <w:pPr>
            <w:pStyle w:val="34"/>
            <w:tabs>
              <w:tab w:val="right" w:leader="dot" w:pos="8306"/>
            </w:tabs>
          </w:pPr>
          <w:r>
            <w:fldChar w:fldCharType="begin"/>
          </w:r>
          <w:r>
            <w:instrText xml:space="preserve"> HYPERLINK \l _Toc23591 </w:instrText>
          </w:r>
          <w:r>
            <w:fldChar w:fldCharType="separate"/>
          </w:r>
          <w:r>
            <w:rPr>
              <w:rFonts w:hint="eastAsia" w:ascii="黑体" w:hAnsi="黑体" w:eastAsia="黑体"/>
              <w:highlight w:val="none"/>
              <w:lang w:val="en-US" w:eastAsia="zh-CN"/>
            </w:rPr>
            <w:t>二、机构设置</w:t>
          </w:r>
          <w:r>
            <w:tab/>
          </w:r>
          <w:r>
            <w:fldChar w:fldCharType="begin"/>
          </w:r>
          <w:r>
            <w:instrText xml:space="preserve"> PAGEREF _Toc23591 \h </w:instrText>
          </w:r>
          <w:r>
            <w:fldChar w:fldCharType="separate"/>
          </w:r>
          <w:r>
            <w:t>2</w:t>
          </w:r>
          <w:r>
            <w:fldChar w:fldCharType="end"/>
          </w:r>
          <w:r>
            <w:fldChar w:fldCharType="end"/>
          </w:r>
        </w:p>
        <w:p>
          <w:pPr>
            <w:pStyle w:val="33"/>
            <w:tabs>
              <w:tab w:val="right" w:leader="dot" w:pos="8306"/>
            </w:tabs>
          </w:pPr>
          <w:r>
            <w:fldChar w:fldCharType="begin"/>
          </w:r>
          <w:r>
            <w:instrText xml:space="preserve"> HYPERLINK \l _Toc20401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_Toc20401 \h </w:instrText>
          </w:r>
          <w:r>
            <w:fldChar w:fldCharType="separate"/>
          </w:r>
          <w:r>
            <w:t>2</w:t>
          </w:r>
          <w:r>
            <w:fldChar w:fldCharType="end"/>
          </w:r>
          <w:r>
            <w:fldChar w:fldCharType="end"/>
          </w:r>
        </w:p>
        <w:p>
          <w:pPr>
            <w:pStyle w:val="34"/>
            <w:tabs>
              <w:tab w:val="right" w:leader="dot" w:pos="8306"/>
            </w:tabs>
          </w:pPr>
          <w:r>
            <w:fldChar w:fldCharType="begin"/>
          </w:r>
          <w:r>
            <w:instrText xml:space="preserve"> HYPERLINK \l _Toc2233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_Toc2233 \h </w:instrText>
          </w:r>
          <w:r>
            <w:fldChar w:fldCharType="separate"/>
          </w:r>
          <w:r>
            <w:t>2</w:t>
          </w:r>
          <w:r>
            <w:fldChar w:fldCharType="end"/>
          </w:r>
          <w:r>
            <w:fldChar w:fldCharType="end"/>
          </w:r>
        </w:p>
        <w:p>
          <w:pPr>
            <w:pStyle w:val="34"/>
            <w:tabs>
              <w:tab w:val="right" w:leader="dot" w:pos="8306"/>
            </w:tabs>
          </w:pPr>
          <w:r>
            <w:fldChar w:fldCharType="begin"/>
          </w:r>
          <w:r>
            <w:instrText xml:space="preserve"> HYPERLINK \l _Toc14364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_Toc14364 \h </w:instrText>
          </w:r>
          <w:r>
            <w:fldChar w:fldCharType="separate"/>
          </w:r>
          <w:r>
            <w:t>3</w:t>
          </w:r>
          <w:r>
            <w:fldChar w:fldCharType="end"/>
          </w:r>
          <w:r>
            <w:fldChar w:fldCharType="end"/>
          </w:r>
        </w:p>
        <w:p>
          <w:pPr>
            <w:pStyle w:val="34"/>
            <w:tabs>
              <w:tab w:val="right" w:leader="dot" w:pos="8306"/>
            </w:tabs>
          </w:pPr>
          <w:r>
            <w:fldChar w:fldCharType="begin"/>
          </w:r>
          <w:r>
            <w:instrText xml:space="preserve"> HYPERLINK \l _Toc25656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_Toc25656 \h </w:instrText>
          </w:r>
          <w:r>
            <w:fldChar w:fldCharType="separate"/>
          </w:r>
          <w:r>
            <w:t>3</w:t>
          </w:r>
          <w:r>
            <w:fldChar w:fldCharType="end"/>
          </w:r>
          <w:r>
            <w:fldChar w:fldCharType="end"/>
          </w:r>
        </w:p>
        <w:p>
          <w:pPr>
            <w:pStyle w:val="34"/>
            <w:tabs>
              <w:tab w:val="right" w:leader="dot" w:pos="8306"/>
            </w:tabs>
          </w:pPr>
          <w:r>
            <w:fldChar w:fldCharType="begin"/>
          </w:r>
          <w:r>
            <w:instrText xml:space="preserve"> HYPERLINK \l _Toc2707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_Toc2707 \h </w:instrText>
          </w:r>
          <w:r>
            <w:fldChar w:fldCharType="separate"/>
          </w:r>
          <w:r>
            <w:t>4</w:t>
          </w:r>
          <w:r>
            <w:fldChar w:fldCharType="end"/>
          </w:r>
          <w:r>
            <w:fldChar w:fldCharType="end"/>
          </w:r>
        </w:p>
        <w:p>
          <w:pPr>
            <w:pStyle w:val="34"/>
            <w:tabs>
              <w:tab w:val="right" w:leader="dot" w:pos="8306"/>
            </w:tabs>
          </w:pPr>
          <w:r>
            <w:fldChar w:fldCharType="begin"/>
          </w:r>
          <w:r>
            <w:instrText xml:space="preserve"> HYPERLINK \l _Toc8219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_Toc8219 \h </w:instrText>
          </w:r>
          <w:r>
            <w:fldChar w:fldCharType="separate"/>
          </w:r>
          <w:r>
            <w:t>4</w:t>
          </w:r>
          <w:r>
            <w:fldChar w:fldCharType="end"/>
          </w:r>
          <w:r>
            <w:fldChar w:fldCharType="end"/>
          </w:r>
        </w:p>
        <w:p>
          <w:pPr>
            <w:pStyle w:val="35"/>
            <w:tabs>
              <w:tab w:val="right" w:leader="dot" w:pos="8306"/>
            </w:tabs>
          </w:pPr>
          <w:r>
            <w:fldChar w:fldCharType="begin"/>
          </w:r>
          <w:r>
            <w:instrText xml:space="preserve"> HYPERLINK \l _Toc4796 </w:instrText>
          </w:r>
          <w: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_Toc4796 \h </w:instrText>
          </w:r>
          <w:r>
            <w:fldChar w:fldCharType="separate"/>
          </w:r>
          <w:r>
            <w:t>4</w:t>
          </w:r>
          <w:r>
            <w:fldChar w:fldCharType="end"/>
          </w:r>
          <w:r>
            <w:fldChar w:fldCharType="end"/>
          </w:r>
        </w:p>
        <w:p>
          <w:pPr>
            <w:pStyle w:val="35"/>
            <w:tabs>
              <w:tab w:val="right" w:leader="dot" w:pos="8306"/>
            </w:tabs>
          </w:pPr>
          <w:r>
            <w:fldChar w:fldCharType="begin"/>
          </w:r>
          <w:r>
            <w:instrText xml:space="preserve"> HYPERLINK \l _Toc15709 </w:instrText>
          </w:r>
          <w: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_Toc15709 \h </w:instrText>
          </w:r>
          <w:r>
            <w:fldChar w:fldCharType="separate"/>
          </w:r>
          <w:r>
            <w:t>5</w:t>
          </w:r>
          <w:r>
            <w:fldChar w:fldCharType="end"/>
          </w:r>
          <w:r>
            <w:fldChar w:fldCharType="end"/>
          </w:r>
        </w:p>
        <w:p>
          <w:pPr>
            <w:pStyle w:val="35"/>
            <w:tabs>
              <w:tab w:val="right" w:leader="dot" w:pos="8306"/>
            </w:tabs>
          </w:pPr>
          <w:r>
            <w:fldChar w:fldCharType="begin"/>
          </w:r>
          <w:r>
            <w:instrText xml:space="preserve"> HYPERLINK \l _Toc8543 </w:instrText>
          </w:r>
          <w: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_Toc8543 \h </w:instrText>
          </w:r>
          <w:r>
            <w:fldChar w:fldCharType="separate"/>
          </w:r>
          <w:r>
            <w:t>5</w:t>
          </w:r>
          <w:r>
            <w:fldChar w:fldCharType="end"/>
          </w:r>
          <w:r>
            <w:fldChar w:fldCharType="end"/>
          </w:r>
        </w:p>
        <w:p>
          <w:pPr>
            <w:pStyle w:val="34"/>
            <w:tabs>
              <w:tab w:val="right" w:leader="dot" w:pos="8306"/>
            </w:tabs>
          </w:pPr>
          <w:r>
            <w:fldChar w:fldCharType="begin"/>
          </w:r>
          <w:r>
            <w:instrText xml:space="preserve"> HYPERLINK \l _Toc9796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_Toc9796 \h </w:instrText>
          </w:r>
          <w:r>
            <w:fldChar w:fldCharType="separate"/>
          </w:r>
          <w:r>
            <w:t>6</w:t>
          </w:r>
          <w:r>
            <w:fldChar w:fldCharType="end"/>
          </w:r>
          <w:r>
            <w:fldChar w:fldCharType="end"/>
          </w:r>
        </w:p>
        <w:p>
          <w:pPr>
            <w:pStyle w:val="34"/>
            <w:tabs>
              <w:tab w:val="right" w:leader="dot" w:pos="8306"/>
            </w:tabs>
          </w:pPr>
          <w:r>
            <w:fldChar w:fldCharType="begin"/>
          </w:r>
          <w:r>
            <w:instrText xml:space="preserve"> HYPERLINK \l _Toc538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_Toc538 \h </w:instrText>
          </w:r>
          <w:r>
            <w:fldChar w:fldCharType="separate"/>
          </w:r>
          <w:r>
            <w:t>6</w:t>
          </w:r>
          <w:r>
            <w:fldChar w:fldCharType="end"/>
          </w:r>
          <w:r>
            <w:fldChar w:fldCharType="end"/>
          </w:r>
        </w:p>
        <w:p>
          <w:pPr>
            <w:pStyle w:val="35"/>
            <w:tabs>
              <w:tab w:val="right" w:leader="dot" w:pos="8306"/>
            </w:tabs>
          </w:pPr>
          <w:r>
            <w:fldChar w:fldCharType="begin"/>
          </w:r>
          <w:r>
            <w:instrText xml:space="preserve"> HYPERLINK \l _Toc866 </w:instrText>
          </w:r>
          <w: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_Toc866 \h </w:instrText>
          </w:r>
          <w:r>
            <w:fldChar w:fldCharType="separate"/>
          </w:r>
          <w:r>
            <w:t>6</w:t>
          </w:r>
          <w:r>
            <w:fldChar w:fldCharType="end"/>
          </w:r>
          <w:r>
            <w:fldChar w:fldCharType="end"/>
          </w:r>
        </w:p>
        <w:p>
          <w:pPr>
            <w:pStyle w:val="35"/>
            <w:tabs>
              <w:tab w:val="right" w:leader="dot" w:pos="8306"/>
            </w:tabs>
          </w:pPr>
          <w:r>
            <w:fldChar w:fldCharType="begin"/>
          </w:r>
          <w:r>
            <w:instrText xml:space="preserve"> HYPERLINK \l _Toc1503 </w:instrText>
          </w:r>
          <w: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_Toc1503 \h </w:instrText>
          </w:r>
          <w:r>
            <w:fldChar w:fldCharType="separate"/>
          </w:r>
          <w:r>
            <w:t>6</w:t>
          </w:r>
          <w:r>
            <w:fldChar w:fldCharType="end"/>
          </w:r>
          <w:r>
            <w:fldChar w:fldCharType="end"/>
          </w:r>
        </w:p>
        <w:p>
          <w:pPr>
            <w:pStyle w:val="34"/>
            <w:tabs>
              <w:tab w:val="right" w:leader="dot" w:pos="8306"/>
            </w:tabs>
          </w:pPr>
          <w:r>
            <w:fldChar w:fldCharType="begin"/>
          </w:r>
          <w:r>
            <w:instrText xml:space="preserve"> HYPERLINK \l _Toc23901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_Toc23901 \h </w:instrText>
          </w:r>
          <w:r>
            <w:fldChar w:fldCharType="separate"/>
          </w:r>
          <w:r>
            <w:t>7</w:t>
          </w:r>
          <w:r>
            <w:fldChar w:fldCharType="end"/>
          </w:r>
          <w:r>
            <w:fldChar w:fldCharType="end"/>
          </w:r>
        </w:p>
        <w:p>
          <w:pPr>
            <w:pStyle w:val="34"/>
            <w:tabs>
              <w:tab w:val="right" w:leader="dot" w:pos="8306"/>
            </w:tabs>
          </w:pPr>
          <w:r>
            <w:fldChar w:fldCharType="begin"/>
          </w:r>
          <w:r>
            <w:instrText xml:space="preserve"> HYPERLINK \l _Toc9267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_Toc9267 \h </w:instrText>
          </w:r>
          <w:r>
            <w:fldChar w:fldCharType="separate"/>
          </w:r>
          <w:r>
            <w:t>7</w:t>
          </w:r>
          <w:r>
            <w:fldChar w:fldCharType="end"/>
          </w:r>
          <w:r>
            <w:fldChar w:fldCharType="end"/>
          </w:r>
        </w:p>
        <w:p>
          <w:pPr>
            <w:pStyle w:val="34"/>
            <w:tabs>
              <w:tab w:val="right" w:leader="dot" w:pos="8306"/>
            </w:tabs>
          </w:pPr>
          <w:r>
            <w:fldChar w:fldCharType="begin"/>
          </w:r>
          <w:r>
            <w:instrText xml:space="preserve"> HYPERLINK \l _Toc26925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_Toc26925 \h </w:instrText>
          </w:r>
          <w:r>
            <w:fldChar w:fldCharType="separate"/>
          </w:r>
          <w:r>
            <w:t>7</w:t>
          </w:r>
          <w:r>
            <w:fldChar w:fldCharType="end"/>
          </w:r>
          <w:r>
            <w:fldChar w:fldCharType="end"/>
          </w:r>
        </w:p>
        <w:p>
          <w:pPr>
            <w:pStyle w:val="35"/>
            <w:tabs>
              <w:tab w:val="right" w:leader="dot" w:pos="8306"/>
            </w:tabs>
          </w:pPr>
          <w:r>
            <w:fldChar w:fldCharType="begin"/>
          </w:r>
          <w:r>
            <w:instrText xml:space="preserve"> HYPERLINK \l _Toc2431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_Toc2431 \h </w:instrText>
          </w:r>
          <w:r>
            <w:fldChar w:fldCharType="separate"/>
          </w:r>
          <w:r>
            <w:t>7</w:t>
          </w:r>
          <w:r>
            <w:fldChar w:fldCharType="end"/>
          </w:r>
          <w:r>
            <w:fldChar w:fldCharType="end"/>
          </w:r>
        </w:p>
        <w:p>
          <w:pPr>
            <w:pStyle w:val="35"/>
            <w:tabs>
              <w:tab w:val="right" w:leader="dot" w:pos="8306"/>
            </w:tabs>
          </w:pPr>
          <w:r>
            <w:fldChar w:fldCharType="begin"/>
          </w:r>
          <w:r>
            <w:instrText xml:space="preserve"> HYPERLINK \l _Toc26557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_Toc26557 \h </w:instrText>
          </w:r>
          <w:r>
            <w:fldChar w:fldCharType="separate"/>
          </w:r>
          <w:r>
            <w:t>7</w:t>
          </w:r>
          <w:r>
            <w:fldChar w:fldCharType="end"/>
          </w:r>
          <w:r>
            <w:fldChar w:fldCharType="end"/>
          </w:r>
        </w:p>
        <w:p>
          <w:pPr>
            <w:pStyle w:val="35"/>
            <w:tabs>
              <w:tab w:val="right" w:leader="dot" w:pos="8306"/>
            </w:tabs>
          </w:pPr>
          <w:r>
            <w:fldChar w:fldCharType="begin"/>
          </w:r>
          <w:r>
            <w:instrText xml:space="preserve"> HYPERLINK \l _Toc10390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_Toc10390 \h </w:instrText>
          </w:r>
          <w:r>
            <w:fldChar w:fldCharType="separate"/>
          </w:r>
          <w:r>
            <w:t>7</w:t>
          </w:r>
          <w:r>
            <w:fldChar w:fldCharType="end"/>
          </w:r>
          <w:r>
            <w:fldChar w:fldCharType="end"/>
          </w:r>
        </w:p>
        <w:p>
          <w:pPr>
            <w:pStyle w:val="35"/>
            <w:tabs>
              <w:tab w:val="right" w:leader="dot" w:pos="8306"/>
            </w:tabs>
          </w:pPr>
          <w:r>
            <w:fldChar w:fldCharType="begin"/>
          </w:r>
          <w:r>
            <w:instrText xml:space="preserve"> HYPERLINK \l _Toc10178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_Toc10178 \h </w:instrText>
          </w:r>
          <w:r>
            <w:fldChar w:fldCharType="separate"/>
          </w:r>
          <w:r>
            <w:t>8</w:t>
          </w:r>
          <w:r>
            <w:fldChar w:fldCharType="end"/>
          </w:r>
          <w:r>
            <w:fldChar w:fldCharType="end"/>
          </w:r>
        </w:p>
        <w:p>
          <w:pPr>
            <w:pStyle w:val="33"/>
            <w:tabs>
              <w:tab w:val="right" w:leader="dot" w:pos="8306"/>
            </w:tabs>
          </w:pPr>
          <w:r>
            <w:fldChar w:fldCharType="begin"/>
          </w:r>
          <w:r>
            <w:instrText xml:space="preserve"> HYPERLINK \l _Toc30879 </w:instrText>
          </w:r>
          <w: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_Toc30879 \h </w:instrText>
          </w:r>
          <w:r>
            <w:fldChar w:fldCharType="separate"/>
          </w:r>
          <w:r>
            <w:t>10</w:t>
          </w:r>
          <w:r>
            <w:fldChar w:fldCharType="end"/>
          </w:r>
          <w:r>
            <w:fldChar w:fldCharType="end"/>
          </w:r>
        </w:p>
        <w:p>
          <w:pPr>
            <w:pStyle w:val="33"/>
            <w:tabs>
              <w:tab w:val="right" w:leader="dot" w:pos="8306"/>
            </w:tabs>
          </w:pPr>
          <w:r>
            <w:fldChar w:fldCharType="begin"/>
          </w:r>
          <w:r>
            <w:instrText xml:space="preserve"> HYPERLINK \l _Toc30604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_Toc30604 \h </w:instrText>
          </w:r>
          <w:r>
            <w:fldChar w:fldCharType="separate"/>
          </w:r>
          <w:r>
            <w:t>13</w:t>
          </w:r>
          <w:r>
            <w:fldChar w:fldCharType="end"/>
          </w:r>
          <w:r>
            <w:fldChar w:fldCharType="end"/>
          </w:r>
        </w:p>
        <w:p>
          <w:pPr>
            <w:pStyle w:val="33"/>
            <w:tabs>
              <w:tab w:val="right" w:leader="dot" w:pos="8306"/>
            </w:tabs>
          </w:pPr>
          <w:r>
            <w:fldChar w:fldCharType="begin"/>
          </w:r>
          <w:r>
            <w:instrText xml:space="preserve"> HYPERLINK \l _Toc3521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_Toc3521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_Toc8953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_Toc8953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_Toc7287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_Toc7287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_Toc633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_Toc633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_Toc7984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_Toc7984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_Toc19014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_Toc19014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_Toc15622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_Toc15622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_Toc25009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_Toc25009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_Toc12830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_Toc12830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_Toc9726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_Toc9726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_Toc31127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_Toc31127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_Toc5394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_Toc5394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_Toc21499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_Toc21499 \h </w:instrText>
          </w:r>
          <w:r>
            <w:fldChar w:fldCharType="separate"/>
          </w:r>
          <w:r>
            <w:t>14</w:t>
          </w:r>
          <w:r>
            <w:fldChar w:fldCharType="end"/>
          </w:r>
          <w:r>
            <w:fldChar w:fldCharType="end"/>
          </w:r>
        </w:p>
        <w:p>
          <w:pPr>
            <w:pStyle w:val="34"/>
            <w:tabs>
              <w:tab w:val="right" w:leader="dot" w:pos="8306"/>
            </w:tabs>
          </w:pPr>
          <w:r>
            <w:fldChar w:fldCharType="begin"/>
          </w:r>
          <w:r>
            <w:instrText xml:space="preserve"> HYPERLINK \l _Toc9889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_Toc9889 \h </w:instrText>
          </w:r>
          <w:r>
            <w:fldChar w:fldCharType="separate"/>
          </w:r>
          <w:r>
            <w:t>14</w:t>
          </w:r>
          <w:r>
            <w:fldChar w:fldCharType="end"/>
          </w:r>
          <w:r>
            <w:fldChar w:fldCharType="end"/>
          </w:r>
        </w:p>
        <w:p>
          <w:p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r>
            <w:fldChar w:fldCharType="end"/>
          </w:r>
        </w:p>
      </w:sdtContent>
    </w:sdt>
    <w:p>
      <w:pPr>
        <w:pStyle w:val="3"/>
        <w:jc w:val="center"/>
        <w:rPr>
          <w:rStyle w:val="27"/>
          <w:rFonts w:ascii="黑体" w:hAnsi="黑体" w:eastAsia="黑体"/>
          <w:b/>
          <w:bCs w:val="0"/>
          <w:color w:val="auto"/>
          <w:highlight w:val="none"/>
        </w:rPr>
      </w:pPr>
      <w:bookmarkStart w:id="14" w:name="_Toc15377196"/>
      <w:bookmarkStart w:id="15" w:name="_Toc15396599"/>
      <w:bookmarkStart w:id="16" w:name="_Toc23675"/>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17" w:name="_Toc837"/>
      <w:bookmarkStart w:id="18" w:name="_Toc15377197"/>
      <w:bookmarkStart w:id="19" w:name="_Toc15396600"/>
      <w:r>
        <w:rPr>
          <w:rStyle w:val="28"/>
          <w:rFonts w:hint="eastAsia" w:ascii="黑体" w:hAnsi="黑体" w:eastAsia="黑体"/>
          <w:b w:val="0"/>
          <w:bCs w:val="0"/>
          <w:color w:val="auto"/>
          <w:highlight w:val="none"/>
          <w:lang w:eastAsia="zh-CN"/>
        </w:rPr>
        <w:t>主要职责</w:t>
      </w:r>
      <w:bookmarkEnd w:id="17"/>
    </w:p>
    <w:p>
      <w:pPr>
        <w:pStyle w:val="14"/>
        <w:keepNext w:val="0"/>
        <w:keepLines w:val="0"/>
        <w:pageBreakBefore w:val="0"/>
        <w:widowControl w:val="0"/>
        <w:shd w:val="clear" w:color="auto" w:fill="FFFFFF"/>
        <w:kinsoku/>
        <w:wordWrap/>
        <w:overflowPunct/>
        <w:topLinePunct w:val="0"/>
        <w:autoSpaceDE/>
        <w:autoSpaceDN/>
        <w:bidi w:val="0"/>
        <w:adjustRightInd/>
        <w:snapToGrid/>
        <w:spacing w:line="330" w:lineRule="atLeast"/>
        <w:ind w:firstLine="643" w:firstLineChars="200"/>
        <w:textAlignment w:val="auto"/>
        <w:rPr>
          <w:rFonts w:hint="eastAsia" w:ascii="仿宋" w:eastAsia="仿宋" w:cs="Times New Roman"/>
          <w:color w:val="auto"/>
          <w:kern w:val="2"/>
          <w:sz w:val="32"/>
          <w:szCs w:val="32"/>
          <w:highlight w:val="none"/>
          <w:lang w:val="en-US" w:eastAsia="zh-CN" w:bidi="ar-SA"/>
        </w:rPr>
      </w:pPr>
      <w:r>
        <w:rPr>
          <w:rFonts w:hint="eastAsia" w:ascii="仿宋" w:eastAsia="仿宋" w:cs="Times New Roman"/>
          <w:b/>
          <w:bCs/>
          <w:color w:val="auto"/>
          <w:kern w:val="2"/>
          <w:sz w:val="32"/>
          <w:szCs w:val="32"/>
          <w:highlight w:val="none"/>
          <w:lang w:val="en-US" w:eastAsia="zh-CN" w:bidi="ar-SA"/>
        </w:rPr>
        <w:t>一是基本公共卫生服务方面。</w:t>
      </w:r>
      <w:r>
        <w:rPr>
          <w:rFonts w:hint="eastAsia" w:ascii="仿宋" w:eastAsia="仿宋" w:cs="Times New Roman"/>
          <w:color w:val="auto"/>
          <w:kern w:val="2"/>
          <w:sz w:val="32"/>
          <w:szCs w:val="32"/>
          <w:highlight w:val="none"/>
          <w:lang w:val="en-US" w:eastAsia="zh-CN" w:bidi="ar-SA"/>
        </w:rPr>
        <w:t xml:space="preserve">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     </w:t>
      </w:r>
      <w:r>
        <w:rPr>
          <w:rFonts w:hint="eastAsia" w:ascii="仿宋" w:eastAsia="仿宋" w:cs="Times New Roman"/>
          <w:b/>
          <w:bCs/>
          <w:color w:val="auto"/>
          <w:kern w:val="2"/>
          <w:sz w:val="32"/>
          <w:szCs w:val="32"/>
          <w:highlight w:val="none"/>
          <w:lang w:val="en-US" w:eastAsia="zh-CN" w:bidi="ar-SA"/>
        </w:rPr>
        <w:t>二是基本医疗服务方面。</w:t>
      </w:r>
      <w:r>
        <w:rPr>
          <w:rFonts w:hint="eastAsia" w:ascii="仿宋" w:eastAsia="仿宋" w:cs="Times New Roman"/>
          <w:color w:val="auto"/>
          <w:kern w:val="2"/>
          <w:sz w:val="32"/>
          <w:szCs w:val="32"/>
          <w:highlight w:val="none"/>
          <w:lang w:val="en-US" w:eastAsia="zh-CN" w:bidi="ar-SA"/>
        </w:rPr>
        <w:t xml:space="preserve">正确处理常见病，多发病，对疑难杂症进行恰当的处理与转诊；加强急诊救护体系建设，承担本辖区及周边乡村现场应急救护，转诊和康复服务；认真执行国家基本药物制度，加强医疗质量管理及院感防控。    </w:t>
      </w:r>
      <w:r>
        <w:rPr>
          <w:rFonts w:hint="eastAsia" w:ascii="仿宋" w:eastAsia="仿宋" w:cs="Times New Roman"/>
          <w:b/>
          <w:bCs/>
          <w:color w:val="auto"/>
          <w:kern w:val="2"/>
          <w:sz w:val="32"/>
          <w:szCs w:val="32"/>
          <w:highlight w:val="none"/>
          <w:lang w:val="en-US" w:eastAsia="zh-CN" w:bidi="ar-SA"/>
        </w:rPr>
        <w:t>三是基本管理服务。</w:t>
      </w:r>
      <w:r>
        <w:rPr>
          <w:rFonts w:hint="eastAsia" w:ascii="仿宋" w:eastAsia="仿宋" w:cs="Times New Roman"/>
          <w:color w:val="auto"/>
          <w:kern w:val="2"/>
          <w:sz w:val="32"/>
          <w:szCs w:val="32"/>
          <w:highlight w:val="none"/>
          <w:lang w:val="en-US" w:eastAsia="zh-CN" w:bidi="ar-SA"/>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rPr>
          <w:rFonts w:hint="eastAsia"/>
          <w:lang w:eastAsia="zh-CN"/>
        </w:rPr>
      </w:pPr>
    </w:p>
    <w:p>
      <w:pPr>
        <w:pStyle w:val="4"/>
        <w:numPr>
          <w:ilvl w:val="0"/>
          <w:numId w:val="0"/>
        </w:numPr>
        <w:rPr>
          <w:rFonts w:hint="eastAsia" w:ascii="黑体" w:hAnsi="黑体" w:eastAsia="黑体"/>
          <w:b w:val="0"/>
          <w:color w:val="auto"/>
          <w:highlight w:val="none"/>
          <w:lang w:val="en-US" w:eastAsia="zh-CN"/>
        </w:rPr>
      </w:pPr>
      <w:bookmarkStart w:id="20" w:name="_Toc23591"/>
      <w:r>
        <w:rPr>
          <w:rFonts w:hint="eastAsia" w:ascii="黑体" w:hAnsi="黑体" w:eastAsia="黑体"/>
          <w:b w:val="0"/>
          <w:color w:val="auto"/>
          <w:highlight w:val="none"/>
          <w:lang w:val="en-US" w:eastAsia="zh-CN"/>
        </w:rPr>
        <w:t>二、机构设置</w:t>
      </w:r>
      <w:bookmarkEnd w:id="20"/>
    </w:p>
    <w:bookmarkEnd w:id="18"/>
    <w:bookmarkEnd w:id="19"/>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广元市昭化区陈江乡卫生院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widowControl/>
        <w:jc w:val="left"/>
        <w:rPr>
          <w:rFonts w:ascii="仿宋" w:hAnsi="仿宋" w:eastAsia="仿宋"/>
          <w:color w:val="auto"/>
          <w:kern w:val="0"/>
          <w:sz w:val="32"/>
          <w:szCs w:val="32"/>
          <w:highlight w:val="none"/>
        </w:rPr>
      </w:pPr>
    </w:p>
    <w:p>
      <w:pPr>
        <w:pStyle w:val="2"/>
      </w:pPr>
    </w:p>
    <w:p>
      <w:pPr>
        <w:pStyle w:val="3"/>
        <w:ind w:right="440"/>
        <w:jc w:val="center"/>
        <w:rPr>
          <w:rStyle w:val="27"/>
          <w:rFonts w:ascii="黑体" w:hAnsi="黑体" w:eastAsia="黑体"/>
          <w:b w:val="0"/>
          <w:bCs/>
          <w:color w:val="auto"/>
          <w:highlight w:val="none"/>
        </w:rPr>
      </w:pPr>
      <w:bookmarkStart w:id="21" w:name="_Toc20401"/>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4" w:name="_Toc15396603"/>
      <w:bookmarkStart w:id="25" w:name="_Toc2233"/>
      <w:bookmarkStart w:id="26"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年度收、支总计144.85万元。与20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28.74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16.56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医疗收入减少，人员经费减少。</w:t>
      </w:r>
    </w:p>
    <w:p>
      <w:pPr>
        <w:pStyle w:val="2"/>
        <w:rPr>
          <w:rFonts w:hint="eastAsia"/>
          <w:lang w:eastAsia="zh-CN"/>
        </w:rPr>
      </w:pPr>
      <w:r>
        <w:drawing>
          <wp:anchor distT="0" distB="0" distL="114300" distR="114300" simplePos="0" relativeHeight="251659264" behindDoc="0" locked="0" layoutInCell="1" allowOverlap="1">
            <wp:simplePos x="0" y="0"/>
            <wp:positionH relativeFrom="column">
              <wp:posOffset>490220</wp:posOffset>
            </wp:positionH>
            <wp:positionV relativeFrom="paragraph">
              <wp:posOffset>125730</wp:posOffset>
            </wp:positionV>
            <wp:extent cx="4043680" cy="1901190"/>
            <wp:effectExtent l="4445" t="4445" r="9525" b="1841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pStyle w:val="2"/>
        <w:jc w:val="cente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7" w:name="_Toc15396604"/>
      <w:bookmarkStart w:id="28" w:name="_Toc15377206"/>
      <w:bookmarkStart w:id="29" w:name="_Toc1436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ascii="仿宋" w:hAnsi="仿宋" w:eastAsia="仿宋"/>
          <w:color w:val="auto"/>
          <w:sz w:val="32"/>
          <w:szCs w:val="32"/>
          <w:highlight w:val="none"/>
        </w:rPr>
      </w:pPr>
      <w:bookmarkStart w:id="30" w:name="_Toc670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144.85</w:t>
      </w:r>
      <w:r>
        <w:rPr>
          <w:rFonts w:hint="eastAsia" w:ascii="仿宋" w:hAnsi="仿宋" w:eastAsia="仿宋"/>
          <w:color w:val="auto"/>
          <w:sz w:val="32"/>
          <w:szCs w:val="32"/>
          <w:highlight w:val="none"/>
        </w:rPr>
        <w:t>万元，其中：一般公共预算财政拨款收入73.85万元，占</w:t>
      </w:r>
      <w:r>
        <w:rPr>
          <w:rFonts w:hint="eastAsia" w:ascii="仿宋" w:hAnsi="仿宋" w:eastAsia="仿宋"/>
          <w:color w:val="auto"/>
          <w:sz w:val="32"/>
          <w:szCs w:val="32"/>
          <w:highlight w:val="none"/>
          <w:lang w:val="en-US" w:eastAsia="zh-CN"/>
        </w:rPr>
        <w:t>50.98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；政府性基金预算财政拨款收入2.45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1.69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事业收入68.55万元，占</w:t>
      </w:r>
      <w:r>
        <w:rPr>
          <w:rFonts w:hint="eastAsia" w:ascii="仿宋" w:hAnsi="仿宋" w:eastAsia="仿宋"/>
          <w:color w:val="auto"/>
          <w:sz w:val="32"/>
          <w:szCs w:val="32"/>
          <w:highlight w:val="none"/>
          <w:lang w:val="en-US" w:eastAsia="zh-CN"/>
        </w:rPr>
        <w:t>47.33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spacing w:line="600" w:lineRule="exact"/>
      </w:pPr>
      <w:r>
        <w:drawing>
          <wp:anchor distT="0" distB="0" distL="114300" distR="114300" simplePos="0" relativeHeight="251660288" behindDoc="0" locked="0" layoutInCell="1" allowOverlap="1">
            <wp:simplePos x="0" y="0"/>
            <wp:positionH relativeFrom="column">
              <wp:posOffset>452120</wp:posOffset>
            </wp:positionH>
            <wp:positionV relativeFrom="paragraph">
              <wp:posOffset>52070</wp:posOffset>
            </wp:positionV>
            <wp:extent cx="4225290" cy="1760220"/>
            <wp:effectExtent l="4445" t="4445" r="18415" b="698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pPr>
    </w:p>
    <w:p>
      <w:pPr>
        <w:spacing w:line="600" w:lineRule="exact"/>
      </w:pPr>
    </w:p>
    <w:p>
      <w:pPr>
        <w:spacing w:line="600" w:lineRule="exact"/>
      </w:pPr>
    </w:p>
    <w:p>
      <w:pPr>
        <w:spacing w:line="600" w:lineRule="exact"/>
        <w:rPr>
          <w:rFonts w:hint="default" w:ascii="仿宋_GB2312" w:eastAsia="仿宋_GB2312"/>
          <w:color w:val="auto"/>
          <w:sz w:val="32"/>
          <w:szCs w:val="32"/>
          <w:highlight w:val="none"/>
          <w:lang w:val="en-US" w:eastAsia="zh-CN"/>
        </w:rPr>
      </w:pPr>
    </w:p>
    <w:p>
      <w:pPr>
        <w:pStyle w:val="2"/>
        <w:jc w:val="center"/>
      </w:pPr>
      <w:r>
        <w:rPr>
          <w:rFonts w:hint="eastAsia" w:ascii="仿宋" w:eastAsia="仿宋"/>
          <w:color w:val="auto"/>
          <w:sz w:val="32"/>
          <w:szCs w:val="32"/>
          <w:highlight w:val="none"/>
        </w:rPr>
        <w:t>（图2：收入决算结构图）（饼状图）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1" w:name="_Toc25656"/>
      <w:bookmarkStart w:id="32" w:name="_Toc15377207"/>
      <w:bookmarkStart w:id="33"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rPr>
      </w:pPr>
      <w:bookmarkStart w:id="34" w:name="_Toc1294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w:t>
      </w:r>
      <w:r>
        <w:rPr>
          <w:rFonts w:hint="eastAsia" w:ascii="仿宋" w:hAnsi="仿宋" w:eastAsia="仿宋"/>
          <w:color w:val="auto"/>
          <w:sz w:val="32"/>
          <w:szCs w:val="32"/>
          <w:highlight w:val="none"/>
          <w:lang w:val="en-US" w:eastAsia="zh-CN"/>
        </w:rPr>
        <w:t>44.85</w:t>
      </w:r>
      <w:r>
        <w:rPr>
          <w:rFonts w:hint="eastAsia" w:ascii="仿宋" w:hAnsi="仿宋" w:eastAsia="仿宋"/>
          <w:color w:val="auto"/>
          <w:sz w:val="32"/>
          <w:szCs w:val="32"/>
          <w:highlight w:val="none"/>
        </w:rPr>
        <w:t>万元，其中：基本支出142.4万元，占</w:t>
      </w:r>
      <w:r>
        <w:rPr>
          <w:rFonts w:hint="eastAsia" w:ascii="仿宋" w:hAnsi="仿宋" w:eastAsia="仿宋"/>
          <w:color w:val="auto"/>
          <w:sz w:val="32"/>
          <w:szCs w:val="32"/>
          <w:highlight w:val="none"/>
          <w:lang w:val="en-US" w:eastAsia="zh-CN"/>
        </w:rPr>
        <w:t>98.31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项目支出2.45万元，占</w:t>
      </w:r>
      <w:r>
        <w:rPr>
          <w:rFonts w:hint="eastAsia" w:ascii="仿宋" w:hAnsi="仿宋" w:eastAsia="仿宋"/>
          <w:color w:val="auto"/>
          <w:sz w:val="32"/>
          <w:szCs w:val="32"/>
          <w:highlight w:val="none"/>
          <w:lang w:val="en-US" w:eastAsia="zh-CN"/>
        </w:rPr>
        <w:t>1.69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spacing w:line="600" w:lineRule="exact"/>
      </w:pPr>
      <w:r>
        <w:drawing>
          <wp:anchor distT="0" distB="0" distL="114300" distR="114300" simplePos="0" relativeHeight="251661312" behindDoc="0" locked="0" layoutInCell="1" allowOverlap="1">
            <wp:simplePos x="0" y="0"/>
            <wp:positionH relativeFrom="column">
              <wp:posOffset>499745</wp:posOffset>
            </wp:positionH>
            <wp:positionV relativeFrom="paragraph">
              <wp:posOffset>213995</wp:posOffset>
            </wp:positionV>
            <wp:extent cx="4196080" cy="1894205"/>
            <wp:effectExtent l="4445" t="4445" r="9525" b="6350"/>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rPr>
          <w:rFonts w:hint="eastAsia" w:ascii="仿宋" w:eastAsia="仿宋"/>
          <w:color w:val="auto"/>
          <w:sz w:val="32"/>
          <w:szCs w:val="32"/>
          <w:highlight w:val="none"/>
        </w:rPr>
      </w:pPr>
    </w:p>
    <w:p>
      <w:pPr>
        <w:spacing w:line="600" w:lineRule="exact"/>
        <w:jc w:val="center"/>
      </w:pPr>
      <w:r>
        <w:rPr>
          <w:rFonts w:hint="eastAsia" w:ascii="仿宋" w:eastAsia="仿宋"/>
          <w:color w:val="auto"/>
          <w:sz w:val="32"/>
          <w:szCs w:val="32"/>
          <w:highlight w:val="none"/>
        </w:rPr>
        <w:t>（图3：支出决算结构图）（饼状图）</w:t>
      </w:r>
    </w:p>
    <w:p>
      <w:pPr>
        <w:spacing w:line="600" w:lineRule="exact"/>
        <w:rPr>
          <w:rFonts w:ascii="仿宋_GB2312" w:eastAsia="仿宋_GB2312"/>
          <w:color w:val="auto"/>
          <w:sz w:val="32"/>
          <w:szCs w:val="32"/>
          <w:highlight w:val="none"/>
        </w:rPr>
      </w:pPr>
    </w:p>
    <w:p>
      <w:pPr>
        <w:pStyle w:val="2"/>
      </w:pPr>
    </w:p>
    <w:p>
      <w:pPr>
        <w:spacing w:line="600" w:lineRule="exact"/>
        <w:ind w:firstLine="640" w:firstLineChars="200"/>
        <w:outlineLvl w:val="1"/>
        <w:rPr>
          <w:rStyle w:val="28"/>
          <w:rFonts w:ascii="黑体" w:hAnsi="黑体" w:eastAsia="黑体"/>
          <w:b w:val="0"/>
          <w:color w:val="auto"/>
          <w:highlight w:val="none"/>
        </w:rPr>
      </w:pPr>
      <w:bookmarkStart w:id="35" w:name="_Toc2707"/>
      <w:bookmarkStart w:id="36" w:name="_Toc15396606"/>
      <w:bookmarkStart w:id="37"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76.</w:t>
      </w:r>
      <w:r>
        <w:rPr>
          <w:rFonts w:hint="eastAsia" w:ascii="仿宋" w:hAnsi="仿宋" w:eastAsia="仿宋"/>
          <w:color w:val="auto"/>
          <w:sz w:val="32"/>
          <w:szCs w:val="32"/>
          <w:highlight w:val="none"/>
        </w:rPr>
        <w:t>3万元。与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45.45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37.33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人员经费减少。</w:t>
      </w:r>
    </w:p>
    <w:p>
      <w:pPr>
        <w:spacing w:line="600" w:lineRule="exact"/>
        <w:ind w:firstLine="420" w:firstLineChars="200"/>
      </w:pPr>
      <w:r>
        <w:drawing>
          <wp:anchor distT="0" distB="0" distL="114300" distR="114300" simplePos="0" relativeHeight="251662336" behindDoc="0" locked="0" layoutInCell="1" allowOverlap="1">
            <wp:simplePos x="0" y="0"/>
            <wp:positionH relativeFrom="column">
              <wp:posOffset>594995</wp:posOffset>
            </wp:positionH>
            <wp:positionV relativeFrom="paragraph">
              <wp:posOffset>356870</wp:posOffset>
            </wp:positionV>
            <wp:extent cx="3951605" cy="1741170"/>
            <wp:effectExtent l="4445" t="4445" r="6350" b="6985"/>
            <wp:wrapSquare wrapText="bothSides"/>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rPr>
          <w:rFonts w:hint="eastAsia" w:ascii="仿宋" w:eastAsia="仿宋"/>
          <w:color w:val="auto"/>
          <w:sz w:val="32"/>
          <w:szCs w:val="32"/>
          <w:highlight w:val="none"/>
        </w:rPr>
      </w:pPr>
    </w:p>
    <w:p>
      <w:pPr>
        <w:spacing w:line="600" w:lineRule="exact"/>
      </w:pPr>
      <w:r>
        <w:rPr>
          <w:rFonts w:hint="eastAsia" w:ascii="仿宋" w:eastAsia="仿宋"/>
          <w:color w:val="auto"/>
          <w:sz w:val="32"/>
          <w:szCs w:val="32"/>
          <w:highlight w:val="none"/>
        </w:rPr>
        <w:t>（图4：财政拨款收、支决算总计变动情况）（柱状图）</w:t>
      </w: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38" w:name="_Toc8219"/>
      <w:bookmarkStart w:id="39" w:name="_Toc15396607"/>
      <w:bookmarkStart w:id="40"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4796"/>
      <w:bookmarkStart w:id="42" w:name="_Toc15377210"/>
      <w:r>
        <w:rPr>
          <w:rFonts w:hint="eastAsia" w:ascii="仿宋" w:hAnsi="仿宋" w:eastAsia="仿宋"/>
          <w:b/>
          <w:color w:val="auto"/>
          <w:sz w:val="32"/>
          <w:szCs w:val="32"/>
          <w:highlight w:val="none"/>
        </w:rPr>
        <w:t>（一）一般公共预算财政拨款支出决算总体情况</w:t>
      </w:r>
      <w:bookmarkEnd w:id="41"/>
      <w:bookmarkEnd w:id="42"/>
    </w:p>
    <w:p>
      <w:pPr>
        <w:spacing w:line="600" w:lineRule="exact"/>
        <w:ind w:firstLine="420" w:firstLineChars="200"/>
        <w:rPr>
          <w:rFonts w:hint="eastAsia" w:ascii="仿宋" w:hAnsi="仿宋" w:eastAsia="仿宋"/>
          <w:color w:val="auto"/>
          <w:sz w:val="32"/>
          <w:szCs w:val="32"/>
          <w:highlight w:val="none"/>
          <w:lang w:eastAsia="zh-CN"/>
        </w:rPr>
      </w:pPr>
      <w:r>
        <w:drawing>
          <wp:anchor distT="0" distB="0" distL="114300" distR="114300" simplePos="0" relativeHeight="251663360" behindDoc="0" locked="0" layoutInCell="1" allowOverlap="1">
            <wp:simplePos x="0" y="0"/>
            <wp:positionH relativeFrom="column">
              <wp:posOffset>937895</wp:posOffset>
            </wp:positionH>
            <wp:positionV relativeFrom="paragraph">
              <wp:posOffset>1509395</wp:posOffset>
            </wp:positionV>
            <wp:extent cx="3502660" cy="1714500"/>
            <wp:effectExtent l="4445" t="4445" r="1714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年一般公共预算财政拨款支出73.85万元，占本年支出合计的</w:t>
      </w:r>
      <w:r>
        <w:rPr>
          <w:rFonts w:hint="eastAsia" w:ascii="仿宋" w:hAnsi="仿宋" w:eastAsia="仿宋"/>
          <w:color w:val="auto"/>
          <w:sz w:val="32"/>
          <w:szCs w:val="32"/>
          <w:highlight w:val="none"/>
          <w:lang w:val="en-US" w:eastAsia="zh-CN"/>
        </w:rPr>
        <w:t>50.98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支出减少</w:t>
      </w:r>
      <w:r>
        <w:rPr>
          <w:rFonts w:hint="eastAsia" w:ascii="仿宋" w:hAnsi="仿宋" w:eastAsia="仿宋"/>
          <w:color w:val="auto"/>
          <w:sz w:val="32"/>
          <w:szCs w:val="32"/>
          <w:highlight w:val="none"/>
          <w:lang w:val="en-US" w:eastAsia="zh-CN"/>
        </w:rPr>
        <w:t>47.9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39.34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人员经费减少。</w:t>
      </w:r>
    </w:p>
    <w:p>
      <w:pPr>
        <w:pStyle w:val="2"/>
        <w:rPr>
          <w:rFonts w:hint="eastAsia" w:ascii="仿宋" w:hAnsi="仿宋" w:eastAsia="仿宋"/>
          <w:color w:val="auto"/>
          <w:sz w:val="32"/>
          <w:szCs w:val="32"/>
          <w:highlight w:val="none"/>
          <w:lang w:eastAsia="zh-CN"/>
        </w:rPr>
      </w:pPr>
    </w:p>
    <w:p/>
    <w:p>
      <w:pPr>
        <w:spacing w:line="600" w:lineRule="exact"/>
        <w:ind w:firstLine="420" w:firstLineChars="200"/>
      </w:pPr>
    </w:p>
    <w:p>
      <w:pPr>
        <w:spacing w:line="600" w:lineRule="exact"/>
        <w:ind w:firstLine="420" w:firstLineChars="200"/>
      </w:pPr>
    </w:p>
    <w:p>
      <w:pPr>
        <w:spacing w:line="600" w:lineRule="exact"/>
      </w:pPr>
    </w:p>
    <w:p>
      <w:pPr>
        <w:pStyle w:val="2"/>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3" w:name="_Toc15709"/>
      <w:bookmarkStart w:id="44" w:name="_Toc15377211"/>
      <w:r>
        <w:rPr>
          <w:rFonts w:hint="eastAsia" w:ascii="仿宋" w:hAnsi="仿宋" w:eastAsia="仿宋"/>
          <w:b/>
          <w:color w:val="auto"/>
          <w:sz w:val="32"/>
          <w:szCs w:val="32"/>
          <w:highlight w:val="none"/>
        </w:rPr>
        <w:t>（二）一般公共预算财政拨款支出决算结构情况</w:t>
      </w:r>
      <w:bookmarkEnd w:id="43"/>
      <w:bookmarkEnd w:id="4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年一般公共预算财政拨款支出73.85万元，主要用于以下方面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支出5.56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卫生健康支出6</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.7</w:t>
      </w:r>
      <w:r>
        <w:rPr>
          <w:rFonts w:hint="eastAsia" w:ascii="仿宋" w:hAnsi="仿宋" w:eastAsia="仿宋"/>
          <w:b/>
          <w:bCs/>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住房保障支出7.59</w:t>
      </w:r>
      <w:r>
        <w:rPr>
          <w:rFonts w:hint="eastAsia" w:ascii="仿宋" w:hAnsi="仿宋" w:eastAsia="仿宋"/>
          <w:color w:val="auto"/>
          <w:sz w:val="32"/>
          <w:szCs w:val="32"/>
          <w:highlight w:val="none"/>
        </w:rPr>
        <w:t>万元，</w:t>
      </w:r>
    </w:p>
    <w:p>
      <w:pPr>
        <w:spacing w:line="600" w:lineRule="exact"/>
      </w:pP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10.27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pPr>
    </w:p>
    <w:p>
      <w:pPr>
        <w:spacing w:line="600" w:lineRule="exact"/>
      </w:pPr>
      <w:r>
        <w:drawing>
          <wp:anchor distT="0" distB="0" distL="114300" distR="114300" simplePos="0" relativeHeight="251664384" behindDoc="0" locked="0" layoutInCell="1" allowOverlap="1">
            <wp:simplePos x="0" y="0"/>
            <wp:positionH relativeFrom="column">
              <wp:posOffset>594995</wp:posOffset>
            </wp:positionH>
            <wp:positionV relativeFrom="paragraph">
              <wp:posOffset>71120</wp:posOffset>
            </wp:positionV>
            <wp:extent cx="4041140" cy="2049780"/>
            <wp:effectExtent l="4445" t="4445" r="12065" b="22225"/>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45" w:name="_Toc15377212"/>
      <w:bookmarkStart w:id="46" w:name="_Toc8543"/>
      <w:r>
        <w:rPr>
          <w:rFonts w:hint="eastAsia" w:ascii="仿宋" w:hAnsi="仿宋" w:eastAsia="仿宋"/>
          <w:b/>
          <w:color w:val="auto"/>
          <w:sz w:val="32"/>
          <w:szCs w:val="32"/>
          <w:highlight w:val="none"/>
        </w:rPr>
        <w:t>（三）一般公共预算财政拨款支出决算具体情况</w:t>
      </w:r>
      <w:bookmarkEnd w:id="45"/>
      <w:bookmarkEnd w:id="46"/>
    </w:p>
    <w:p>
      <w:pPr>
        <w:spacing w:line="600" w:lineRule="exact"/>
        <w:ind w:firstLine="643" w:firstLineChars="200"/>
        <w:outlineLvl w:val="1"/>
        <w:rPr>
          <w:rFonts w:ascii="仿宋" w:hAnsi="仿宋" w:eastAsia="仿宋"/>
          <w:color w:val="auto"/>
          <w:sz w:val="32"/>
          <w:szCs w:val="32"/>
          <w:highlight w:val="none"/>
        </w:rPr>
      </w:pPr>
      <w:bookmarkStart w:id="47" w:name="_Toc15377213"/>
      <w:bookmarkStart w:id="48" w:name="_Toc15378460"/>
      <w:bookmarkStart w:id="49" w:name="_Toc15377444"/>
      <w:bookmarkStart w:id="50" w:name="_Toc18269"/>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般公共预算支出决算数为73.85</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7"/>
      <w:bookmarkEnd w:id="48"/>
      <w:bookmarkEnd w:id="49"/>
      <w:bookmarkEnd w:id="50"/>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4.53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社会保障和就业（类）行政事业单位养老支出（款）机关事业单位职业年金缴费支出（项）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（类）基层医疗卫生机构（款）乡镇卫生院（项）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56.7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4</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4.01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7.59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51" w:name="_Toc15377214"/>
      <w:bookmarkStart w:id="52" w:name="_Toc15396608"/>
      <w:bookmarkStart w:id="53" w:name="_Toc9796"/>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1"/>
      <w:bookmarkEnd w:id="52"/>
      <w:bookmarkEnd w:id="53"/>
      <w:r>
        <w:rPr>
          <w:rStyle w:val="28"/>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年一般公共预算财政拨款基本支出73.85万元，其中：</w:t>
      </w:r>
    </w:p>
    <w:p>
      <w:pPr>
        <w:spacing w:line="600" w:lineRule="exact"/>
        <w:ind w:firstLine="645"/>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人员经费73.85万元，主要包括：基本工资23.69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津贴补贴2.15万元、</w:t>
      </w:r>
      <w:r>
        <w:rPr>
          <w:rFonts w:hint="eastAsia" w:ascii="仿宋" w:hAnsi="仿宋" w:eastAsia="仿宋"/>
          <w:color w:val="auto"/>
          <w:sz w:val="32"/>
          <w:szCs w:val="32"/>
          <w:highlight w:val="none"/>
        </w:rPr>
        <w:t>绩效工资30.86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、机关事业单位基本养老保险缴费4.53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、职业年金缴费1.03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4.01</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7.59</w:t>
      </w:r>
      <w:r>
        <w:rPr>
          <w:rFonts w:hint="eastAsia" w:ascii="仿宋" w:hAnsi="仿宋" w:eastAsia="仿宋"/>
          <w:color w:val="auto"/>
          <w:sz w:val="32"/>
          <w:szCs w:val="32"/>
          <w:highlight w:val="none"/>
        </w:rPr>
        <w:t>万元。</w:t>
      </w:r>
    </w:p>
    <w:p>
      <w:pPr>
        <w:spacing w:line="600" w:lineRule="exact"/>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54" w:name="_Toc15396609"/>
      <w:bookmarkStart w:id="55" w:name="_Toc15377215"/>
      <w:bookmarkStart w:id="56" w:name="_Toc4818"/>
      <w:bookmarkStart w:id="57" w:name="_Toc538"/>
      <w:bookmarkStart w:id="58" w:name="_Toc15377218"/>
      <w:bookmarkStart w:id="59" w:name="_Toc15396610"/>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54"/>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60" w:name="_Toc15377216"/>
      <w:bookmarkStart w:id="61" w:name="_Toc866"/>
      <w:r>
        <w:rPr>
          <w:rFonts w:hint="eastAsia" w:ascii="仿宋" w:hAnsi="仿宋" w:eastAsia="仿宋"/>
          <w:b/>
          <w:color w:val="auto"/>
          <w:sz w:val="32"/>
          <w:szCs w:val="32"/>
          <w:highlight w:val="none"/>
        </w:rPr>
        <w:t>（一）“三公”经费财政拨款支出决算总体情况说明</w:t>
      </w:r>
      <w:bookmarkEnd w:id="60"/>
      <w:bookmarkEnd w:id="61"/>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2" w:name="_Toc15377217"/>
      <w:bookmarkStart w:id="63" w:name="_Toc1503"/>
      <w:r>
        <w:rPr>
          <w:rFonts w:hint="eastAsia" w:ascii="仿宋" w:hAnsi="仿宋" w:eastAsia="仿宋"/>
          <w:b/>
          <w:color w:val="auto"/>
          <w:sz w:val="32"/>
          <w:szCs w:val="32"/>
          <w:highlight w:val="none"/>
        </w:rPr>
        <w:t>（二）“三公”经费财政拨款支出决算具体情况说明</w:t>
      </w:r>
      <w:bookmarkEnd w:id="62"/>
      <w:bookmarkEnd w:id="6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Style w:val="17"/>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hint="default" w:ascii="仿宋_GB2312" w:eastAsia="仿宋_GB2312"/>
          <w:color w:val="auto"/>
          <w:sz w:val="32"/>
          <w:szCs w:val="32"/>
          <w:highlight w:val="none"/>
          <w:lang w:val="en-US"/>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9"/>
        <w:rPr>
          <w:rFonts w:ascii="黑体" w:eastAsia="黑体"/>
          <w:color w:val="auto"/>
          <w:sz w:val="32"/>
          <w:szCs w:val="32"/>
          <w:highlight w:val="none"/>
        </w:rPr>
      </w:pPr>
    </w:p>
    <w:p>
      <w:pPr>
        <w:spacing w:line="600" w:lineRule="exact"/>
        <w:ind w:firstLine="640"/>
        <w:outlineLvl w:val="1"/>
        <w:rPr>
          <w:rStyle w:val="28"/>
          <w:rFonts w:ascii="黑体" w:hAnsi="黑体" w:eastAsia="黑体"/>
          <w:color w:val="auto"/>
          <w:highlight w:val="none"/>
        </w:rPr>
      </w:pPr>
      <w:bookmarkStart w:id="64" w:name="_Toc23901"/>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58"/>
      <w:bookmarkEnd w:id="59"/>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2.54</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65" w:name="_Toc15377219"/>
      <w:bookmarkStart w:id="66" w:name="_Toc15396611"/>
      <w:bookmarkStart w:id="67" w:name="_Toc9267"/>
      <w:r>
        <w:rPr>
          <w:rStyle w:val="28"/>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68" w:name="_Toc15377221"/>
      <w:bookmarkStart w:id="69" w:name="_Toc15396612"/>
      <w:bookmarkStart w:id="70" w:name="_Toc26925"/>
      <w:r>
        <w:rPr>
          <w:rStyle w:val="28"/>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outlineLvl w:val="2"/>
        <w:rPr>
          <w:rFonts w:ascii="仿宋" w:hAnsi="仿宋" w:eastAsia="仿宋"/>
          <w:color w:val="auto"/>
          <w:sz w:val="32"/>
          <w:szCs w:val="32"/>
          <w:highlight w:val="none"/>
        </w:rPr>
      </w:pPr>
      <w:bookmarkStart w:id="71" w:name="_Toc15377222"/>
      <w:bookmarkStart w:id="72" w:name="_Toc2431"/>
      <w:r>
        <w:rPr>
          <w:rFonts w:hint="eastAsia" w:ascii="仿宋" w:hAnsi="仿宋" w:eastAsia="仿宋"/>
          <w:b/>
          <w:color w:val="auto"/>
          <w:sz w:val="32"/>
          <w:szCs w:val="32"/>
          <w:highlight w:val="none"/>
        </w:rPr>
        <w:t>（一）机关运行经费支出情况</w:t>
      </w:r>
      <w:bookmarkEnd w:id="71"/>
      <w:bookmarkEnd w:id="72"/>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3"/>
      <w:bookmarkStart w:id="74" w:name="_Toc26557"/>
      <w:r>
        <w:rPr>
          <w:rFonts w:hint="eastAsia" w:ascii="仿宋" w:hAnsi="仿宋" w:eastAsia="仿宋"/>
          <w:b/>
          <w:color w:val="auto"/>
          <w:sz w:val="32"/>
          <w:szCs w:val="32"/>
          <w:highlight w:val="none"/>
        </w:rPr>
        <w:t>（二）政府采购支出情况</w:t>
      </w:r>
      <w:bookmarkEnd w:id="73"/>
      <w:bookmarkEnd w:id="7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陈江乡</w:t>
      </w:r>
      <w:r>
        <w:rPr>
          <w:rFonts w:hint="eastAsia" w:ascii="仿宋_GB2312" w:eastAsia="仿宋_GB2312"/>
          <w:color w:val="auto"/>
          <w:sz w:val="32"/>
          <w:szCs w:val="32"/>
          <w:highlight w:val="none"/>
        </w:rPr>
        <w:t>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5377224"/>
      <w:bookmarkStart w:id="76" w:name="_Toc10390"/>
      <w:r>
        <w:rPr>
          <w:rFonts w:hint="eastAsia" w:ascii="仿宋" w:hAnsi="仿宋" w:eastAsia="仿宋"/>
          <w:b/>
          <w:color w:val="auto"/>
          <w:sz w:val="32"/>
          <w:szCs w:val="32"/>
          <w:highlight w:val="none"/>
        </w:rPr>
        <w:t>（三）国有资产占有使用情况</w:t>
      </w:r>
      <w:bookmarkEnd w:id="75"/>
      <w:bookmarkEnd w:id="7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7" w:name="_Toc18371"/>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陈江乡</w:t>
      </w:r>
      <w:r>
        <w:rPr>
          <w:rFonts w:hint="eastAsia" w:ascii="仿宋_GB2312" w:eastAsia="仿宋_GB2312"/>
          <w:color w:val="auto"/>
          <w:sz w:val="32"/>
          <w:szCs w:val="32"/>
          <w:highlight w:val="none"/>
        </w:rPr>
        <w:t>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77"/>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78" w:name="_Toc10178"/>
      <w:r>
        <w:rPr>
          <w:rFonts w:hint="eastAsia" w:ascii="仿宋" w:hAnsi="仿宋" w:eastAsia="仿宋"/>
          <w:b/>
          <w:color w:val="auto"/>
          <w:sz w:val="32"/>
          <w:szCs w:val="32"/>
          <w:highlight w:val="none"/>
        </w:rPr>
        <w:t>（四）预算绩效管理情况</w:t>
      </w:r>
      <w:bookmarkEnd w:id="78"/>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9" w:name="_Toc32551"/>
      <w:bookmarkStart w:id="80" w:name="_Toc31349"/>
      <w:bookmarkStart w:id="81" w:name="_Toc31974"/>
      <w:bookmarkStart w:id="82" w:name="_Toc8457"/>
      <w:bookmarkStart w:id="83" w:name="_Toc26405"/>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val="en-US" w:eastAsia="zh-CN"/>
        </w:rPr>
        <w:t>二类疫苗服务费1个项目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79"/>
      <w:bookmarkEnd w:id="80"/>
      <w:bookmarkEnd w:id="81"/>
      <w:bookmarkEnd w:id="82"/>
      <w:bookmarkEnd w:id="83"/>
    </w:p>
    <w:p>
      <w:pPr>
        <w:numPr>
          <w:ilvl w:val="0"/>
          <w:numId w:val="4"/>
        </w:num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84" w:name="_Toc25419"/>
      <w:bookmarkStart w:id="85" w:name="_Toc1645"/>
      <w:bookmarkStart w:id="86" w:name="_Toc10135"/>
      <w:bookmarkStart w:id="87" w:name="_Toc777"/>
      <w:r>
        <w:rPr>
          <w:rFonts w:hint="eastAsia" w:ascii="仿宋_GB2312" w:eastAsia="仿宋_GB2312"/>
          <w:color w:val="auto"/>
          <w:sz w:val="32"/>
          <w:szCs w:val="32"/>
          <w:highlight w:val="none"/>
          <w:lang w:val="en-US" w:eastAsia="zh-CN"/>
        </w:rPr>
        <w:t>预算项目绩效评价</w:t>
      </w:r>
      <w:bookmarkEnd w:id="84"/>
      <w:bookmarkEnd w:id="85"/>
      <w:bookmarkEnd w:id="86"/>
      <w:bookmarkEnd w:id="87"/>
    </w:p>
    <w:p>
      <w:pPr>
        <w:pStyle w:val="2"/>
        <w:ind w:firstLine="640" w:firstLineChars="200"/>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atLeast"/>
        <w:ind w:left="0" w:firstLine="640" w:firstLineChars="200"/>
        <w:rPr>
          <w:rFonts w:hint="eastAsia" w:ascii="黑体" w:eastAsia="黑体"/>
          <w:color w:val="000000"/>
          <w:sz w:val="32"/>
          <w:szCs w:val="32"/>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ind w:firstLine="600" w:firstLineChars="200"/>
        <w:rPr>
          <w:color w:val="auto"/>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88" w:name="_Toc15396613"/>
      <w:bookmarkStart w:id="89" w:name="_Toc15377225"/>
      <w:bookmarkStart w:id="90" w:name="_Toc30879"/>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88"/>
      <w:bookmarkEnd w:id="89"/>
      <w:bookmarkEnd w:id="90"/>
    </w:p>
    <w:p>
      <w:pPr>
        <w:spacing w:line="600" w:lineRule="exact"/>
        <w:jc w:val="left"/>
        <w:rPr>
          <w:rFonts w:ascii="宋体"/>
          <w:b/>
          <w:color w:val="auto"/>
          <w:sz w:val="44"/>
          <w:szCs w:val="44"/>
          <w:highlight w:val="none"/>
        </w:rPr>
      </w:pPr>
    </w:p>
    <w:p>
      <w:pPr>
        <w:pStyle w:val="25"/>
        <w:spacing w:line="560" w:lineRule="exact"/>
        <w:ind w:firstLine="640" w:firstLineChars="200"/>
        <w:outlineLvl w:val="1"/>
        <w:rPr>
          <w:rFonts w:ascii="仿宋_GB2312" w:eastAsia="仿宋_GB2312"/>
          <w:color w:val="auto"/>
          <w:sz w:val="32"/>
          <w:szCs w:val="32"/>
          <w:highlight w:val="none"/>
        </w:rPr>
      </w:pPr>
      <w:bookmarkStart w:id="91" w:name="_Toc30149"/>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91"/>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区人民医院、</w:t>
      </w:r>
      <w:r>
        <w:rPr>
          <w:rFonts w:hint="eastAsia" w:ascii="仿宋_GB2312" w:eastAsia="仿宋_GB2312"/>
          <w:color w:val="auto"/>
          <w:sz w:val="32"/>
          <w:szCs w:val="32"/>
          <w:highlight w:val="none"/>
        </w:rPr>
        <w:t>妇幼保健</w:t>
      </w:r>
      <w:r>
        <w:rPr>
          <w:rFonts w:hint="eastAsia" w:ascii="仿宋_GB2312" w:eastAsia="仿宋_GB2312"/>
          <w:color w:val="auto"/>
          <w:sz w:val="32"/>
          <w:szCs w:val="32"/>
          <w:highlight w:val="none"/>
          <w:lang w:eastAsia="zh-CN"/>
        </w:rPr>
        <w:t>计划生育</w:t>
      </w:r>
      <w:r>
        <w:rPr>
          <w:rFonts w:hint="eastAsia" w:ascii="仿宋_GB2312" w:eastAsia="仿宋_GB2312"/>
          <w:color w:val="auto"/>
          <w:sz w:val="32"/>
          <w:szCs w:val="32"/>
          <w:highlight w:val="none"/>
        </w:rPr>
        <w:t>服务中心</w:t>
      </w:r>
      <w:r>
        <w:rPr>
          <w:rFonts w:hint="eastAsia" w:ascii="仿宋_GB2312" w:eastAsia="仿宋_GB2312"/>
          <w:color w:val="auto"/>
          <w:sz w:val="32"/>
          <w:szCs w:val="32"/>
          <w:highlight w:val="none"/>
          <w:lang w:eastAsia="zh-CN"/>
        </w:rPr>
        <w:t>、区中医医院、乡镇卫生院医疗收入</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乡镇卫生院（</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9.</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lang w:eastAsia="zh-CN"/>
        </w:rPr>
      </w:pPr>
      <w:r>
        <w:rPr>
          <w:rFonts w:hint="eastAsia" w:ascii="仿宋_GB2312" w:eastAsia="仿宋_GB2312"/>
          <w:b w:val="0"/>
          <w:bCs/>
          <w:color w:val="000000"/>
          <w:sz w:val="32"/>
          <w:szCs w:val="32"/>
          <w:lang w:val="en-US" w:eastAsia="zh-CN"/>
        </w:rPr>
        <w:t>10.</w:t>
      </w:r>
      <w:r>
        <w:rPr>
          <w:rStyle w:val="17"/>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：反映除乡镇卫生院、城市社区卫生机构以外的其他用于基层医疗卫生机构的支出</w:t>
      </w:r>
      <w:r>
        <w:rPr>
          <w:rStyle w:val="17"/>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rPr>
      </w:pPr>
      <w:r>
        <w:rPr>
          <w:rStyle w:val="17"/>
          <w:rFonts w:hint="eastAsia" w:ascii="仿宋_GB2312" w:eastAsia="仿宋_GB2312"/>
          <w:b w:val="0"/>
          <w:bCs w:val="0"/>
          <w:color w:val="000000"/>
          <w:sz w:val="32"/>
          <w:szCs w:val="32"/>
          <w:highlight w:val="none"/>
          <w:lang w:val="en-US" w:eastAsia="zh-CN"/>
        </w:rPr>
        <w:t>11.</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p>
    <w:p>
      <w:pPr>
        <w:pStyle w:val="7"/>
        <w:rPr>
          <w:rFonts w:hint="eastAsia" w:ascii="仿宋_GB2312" w:eastAsia="仿宋_GB2312"/>
          <w:b w:val="0"/>
          <w:bCs/>
          <w:color w:val="000000"/>
          <w:sz w:val="32"/>
          <w:szCs w:val="32"/>
          <w:lang w:eastAsia="zh-CN"/>
        </w:rPr>
      </w:pPr>
      <w:r>
        <w:rPr>
          <w:rFonts w:hint="eastAsia" w:ascii="仿宋_GB2312" w:cs="仿宋"/>
          <w:b w:val="0"/>
          <w:bCs/>
          <w:color w:val="auto"/>
          <w:sz w:val="32"/>
          <w:szCs w:val="32"/>
          <w:highlight w:val="none"/>
          <w:lang w:val="en-US" w:eastAsia="zh-CN" w:bidi="ar-SA"/>
        </w:rPr>
        <w:t>12.</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pStyle w:val="7"/>
        <w:rPr>
          <w:rFonts w:hint="eastAsia"/>
          <w:lang w:eastAsia="zh-CN"/>
        </w:rPr>
      </w:pPr>
      <w:r>
        <w:rPr>
          <w:rFonts w:hint="eastAsia" w:ascii="仿宋_GB2312" w:cs="仿宋"/>
          <w:b w:val="0"/>
          <w:bCs/>
          <w:color w:val="auto"/>
          <w:sz w:val="32"/>
          <w:szCs w:val="32"/>
          <w:highlight w:val="none"/>
          <w:lang w:val="en-US" w:eastAsia="zh-CN" w:bidi="ar-SA"/>
        </w:rPr>
        <w:t>13</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.社会保障和就业（类）行政事业单位养老支出（款）机关事业单位职业年金缴费支出（项）: </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cs="仿宋"/>
          <w:b w:val="0"/>
          <w:bCs/>
          <w:color w:val="auto"/>
          <w:sz w:val="32"/>
          <w:szCs w:val="32"/>
          <w:highlight w:val="none"/>
          <w:lang w:val="en-US" w:eastAsia="zh-CN" w:bidi="ar-SA"/>
        </w:rPr>
        <w:t>。</w:t>
      </w:r>
    </w:p>
    <w:p>
      <w:pPr>
        <w:ind w:firstLine="640" w:firstLineChars="200"/>
        <w:rPr>
          <w:rFonts w:hint="eastAsia" w:ascii="仿宋_GB2312" w:eastAsia="仿宋_GB2312" w:cs="仿宋"/>
          <w:b w:val="0"/>
          <w:bCs/>
          <w:color w:val="auto"/>
          <w:sz w:val="32"/>
          <w:szCs w:val="32"/>
          <w:highlight w:val="none"/>
          <w:lang w:val="en-US" w:eastAsia="zh-CN" w:bidi="ar-SA"/>
        </w:rPr>
      </w:pPr>
      <w:r>
        <w:rPr>
          <w:rFonts w:hint="eastAsia" w:ascii="仿宋" w:eastAsia="仿宋" w:cs="仿宋"/>
          <w:sz w:val="32"/>
          <w:szCs w:val="32"/>
          <w:lang w:val="en-US" w:eastAsia="zh-CN"/>
        </w:rPr>
        <w:t>14.</w:t>
      </w:r>
      <w:r>
        <w:rPr>
          <w:rFonts w:hint="eastAsia" w:ascii="仿宋_GB2312" w:eastAsia="仿宋_GB2312" w:cs="仿宋"/>
          <w:b w:val="0"/>
          <w:bCs/>
          <w:color w:val="auto"/>
          <w:sz w:val="32"/>
          <w:szCs w:val="32"/>
          <w:highlight w:val="none"/>
          <w:lang w:val="en-US" w:eastAsia="zh-CN" w:bidi="ar-SA"/>
        </w:rPr>
        <w:t>住房保障（类）住房改革支出（款）住房公积金（项）</w:t>
      </w:r>
      <w:r>
        <w:rPr>
          <w:rFonts w:hint="eastAsia" w:ascii="仿宋" w:eastAsia="仿宋" w:cs="仿宋"/>
          <w:sz w:val="32"/>
          <w:szCs w:val="32"/>
          <w:lang w:val="en-US" w:eastAsia="zh-CN"/>
        </w:rPr>
        <w:t>：</w:t>
      </w:r>
      <w:r>
        <w:rPr>
          <w:rFonts w:hint="eastAsia" w:ascii="仿宋_GB2312" w:eastAsia="仿宋_GB2312" w:cs="仿宋"/>
          <w:b w:val="0"/>
          <w:bCs/>
          <w:color w:val="auto"/>
          <w:sz w:val="32"/>
          <w:szCs w:val="32"/>
          <w:highlight w:val="none"/>
          <w:lang w:val="en-US" w:eastAsia="zh-CN" w:bidi="ar-SA"/>
        </w:rPr>
        <w:t>反映事业单位按人力资源和社会保障部、财政部规定的基本工资和津贴补贴以及规定比例为职工缴纳的住房公积金。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 w:eastAsia="仿宋"/>
          <w:b/>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auto"/>
          <w:sz w:val="32"/>
          <w:szCs w:val="32"/>
          <w:highlight w:val="none"/>
        </w:rPr>
      </w:pPr>
    </w:p>
    <w:p>
      <w:pPr>
        <w:spacing w:line="600" w:lineRule="exact"/>
        <w:jc w:val="center"/>
        <w:outlineLvl w:val="0"/>
        <w:rPr>
          <w:rFonts w:ascii="仿宋_GB2312" w:eastAsia="仿宋_GB2312" w:cs="仿宋_GB2312"/>
          <w:color w:val="auto"/>
          <w:sz w:val="32"/>
          <w:szCs w:val="32"/>
          <w:highlight w:val="none"/>
        </w:rPr>
      </w:pPr>
      <w:bookmarkStart w:id="92" w:name="_Toc15377226"/>
      <w:r>
        <w:rPr>
          <w:rFonts w:ascii="宋体"/>
          <w:b/>
          <w:color w:val="auto"/>
          <w:sz w:val="44"/>
          <w:szCs w:val="44"/>
          <w:highlight w:val="none"/>
        </w:rPr>
        <w:br w:type="page"/>
      </w:r>
      <w:bookmarkStart w:id="93" w:name="_Toc15396614"/>
      <w:bookmarkStart w:id="94" w:name="_Toc3060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93"/>
      <w:bookmarkEnd w:id="94"/>
      <w:bookmarkStart w:id="95" w:name="_Toc15396618"/>
    </w:p>
    <w:tbl>
      <w:tblPr>
        <w:tblStyle w:val="15"/>
        <w:tblpPr w:leftFromText="180" w:rightFromText="180" w:vertAnchor="text" w:horzAnchor="page" w:tblpX="1747" w:tblpY="906"/>
        <w:tblOverlap w:val="never"/>
        <w:tblW w:w="8420" w:type="dxa"/>
        <w:tblInd w:w="0" w:type="dxa"/>
        <w:shd w:val="clear" w:color="auto" w:fill="auto"/>
        <w:tblLayout w:type="fixed"/>
        <w:tblCellMar>
          <w:top w:w="0" w:type="dxa"/>
          <w:left w:w="0" w:type="dxa"/>
          <w:bottom w:w="0" w:type="dxa"/>
          <w:right w:w="0" w:type="dxa"/>
        </w:tblCellMar>
      </w:tblPr>
      <w:tblGrid>
        <w:gridCol w:w="637"/>
        <w:gridCol w:w="876"/>
        <w:gridCol w:w="876"/>
        <w:gridCol w:w="876"/>
        <w:gridCol w:w="716"/>
        <w:gridCol w:w="539"/>
        <w:gridCol w:w="392"/>
        <w:gridCol w:w="876"/>
        <w:gridCol w:w="876"/>
        <w:gridCol w:w="876"/>
        <w:gridCol w:w="880"/>
      </w:tblGrid>
      <w:tr>
        <w:tblPrEx>
          <w:shd w:val="clear" w:color="auto" w:fill="auto"/>
          <w:tblCellMar>
            <w:top w:w="0" w:type="dxa"/>
            <w:left w:w="0" w:type="dxa"/>
            <w:bottom w:w="0" w:type="dxa"/>
            <w:right w:w="0" w:type="dxa"/>
          </w:tblCellMar>
        </w:tblPrEx>
        <w:trPr>
          <w:trHeight w:val="678" w:hRule="atLeast"/>
        </w:trPr>
        <w:tc>
          <w:tcPr>
            <w:tcW w:w="842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556" w:hRule="atLeast"/>
        </w:trPr>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907"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CellMar>
            <w:top w:w="0" w:type="dxa"/>
            <w:left w:w="0" w:type="dxa"/>
            <w:bottom w:w="0" w:type="dxa"/>
            <w:right w:w="0" w:type="dxa"/>
          </w:tblCellMar>
        </w:tblPrEx>
        <w:trPr>
          <w:trHeight w:val="678" w:hRule="atLeast"/>
        </w:trPr>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39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76"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陈江乡</w:t>
            </w:r>
            <w:r>
              <w:rPr>
                <w:rFonts w:hint="eastAsia" w:ascii="宋体" w:hAnsi="宋体" w:eastAsia="宋体" w:cs="宋体"/>
                <w:i w:val="0"/>
                <w:iCs w:val="0"/>
                <w:color w:val="000000"/>
                <w:kern w:val="0"/>
                <w:sz w:val="20"/>
                <w:szCs w:val="20"/>
                <w:u w:val="none"/>
                <w:lang w:val="en-US" w:eastAsia="zh-CN" w:bidi="ar"/>
              </w:rPr>
              <w:t>卫生院</w:t>
            </w:r>
          </w:p>
        </w:tc>
      </w:tr>
      <w:tr>
        <w:tblPrEx>
          <w:tblCellMar>
            <w:top w:w="0" w:type="dxa"/>
            <w:left w:w="0" w:type="dxa"/>
            <w:bottom w:w="0" w:type="dxa"/>
            <w:right w:w="0" w:type="dxa"/>
          </w:tblCellMar>
        </w:tblPrEx>
        <w:trPr>
          <w:trHeight w:val="455"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39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CellMar>
            <w:top w:w="0" w:type="dxa"/>
            <w:left w:w="0" w:type="dxa"/>
            <w:bottom w:w="0" w:type="dxa"/>
            <w:right w:w="0" w:type="dxa"/>
          </w:tblCellMar>
        </w:tblPrEx>
        <w:trPr>
          <w:trHeight w:val="571"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9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2.45</w:t>
            </w:r>
            <w:r>
              <w:rPr>
                <w:rFonts w:hint="eastAsia" w:ascii="宋体" w:hAnsi="宋体" w:eastAsia="宋体" w:cs="宋体"/>
                <w:i w:val="0"/>
                <w:iCs w:val="0"/>
                <w:color w:val="000000"/>
                <w:kern w:val="0"/>
                <w:sz w:val="20"/>
                <w:szCs w:val="20"/>
                <w:u w:val="none"/>
                <w:lang w:val="en-US" w:eastAsia="zh-CN" w:bidi="ar"/>
              </w:rPr>
              <w:t>万元</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986"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907"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678"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8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CellMar>
            <w:top w:w="0" w:type="dxa"/>
            <w:left w:w="0" w:type="dxa"/>
            <w:bottom w:w="0" w:type="dxa"/>
            <w:right w:w="0" w:type="dxa"/>
          </w:tblCellMar>
        </w:tblPrEx>
        <w:trPr>
          <w:trHeight w:val="369"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2.45</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78"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2.45</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78"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369"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495"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1257"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76"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661"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80"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69" w:hRule="atLeast"/>
        </w:trPr>
        <w:tc>
          <w:tcPr>
            <w:tcW w:w="578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67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78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67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78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67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783"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399" w:hRule="atLeast"/>
        </w:trPr>
        <w:tc>
          <w:tcPr>
            <w:tcW w:w="3981"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439"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96" w:name="_Toc3521"/>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92"/>
      <w:bookmarkEnd w:id="95"/>
      <w:bookmarkEnd w:id="96"/>
      <w:bookmarkStart w:id="97" w:name="_Toc15396619"/>
    </w:p>
    <w:p>
      <w:pPr>
        <w:pStyle w:val="4"/>
        <w:rPr>
          <w:rFonts w:ascii="仿宋" w:hAnsi="仿宋" w:eastAsia="仿宋"/>
          <w:color w:val="auto"/>
          <w:highlight w:val="none"/>
        </w:rPr>
      </w:pPr>
      <w:bookmarkStart w:id="98" w:name="_Toc8953"/>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97"/>
      <w:bookmarkEnd w:id="98"/>
    </w:p>
    <w:p>
      <w:pPr>
        <w:pStyle w:val="4"/>
        <w:rPr>
          <w:rFonts w:ascii="仿宋" w:hAnsi="仿宋" w:eastAsia="仿宋"/>
          <w:color w:val="auto"/>
          <w:highlight w:val="none"/>
        </w:rPr>
      </w:pPr>
      <w:bookmarkStart w:id="99" w:name="_Toc15396620"/>
      <w:bookmarkStart w:id="100" w:name="_Toc7287"/>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99"/>
      <w:bookmarkEnd w:id="100"/>
    </w:p>
    <w:p>
      <w:pPr>
        <w:pStyle w:val="4"/>
        <w:rPr>
          <w:rFonts w:ascii="仿宋" w:hAnsi="仿宋" w:eastAsia="仿宋"/>
          <w:color w:val="auto"/>
          <w:highlight w:val="none"/>
        </w:rPr>
      </w:pPr>
      <w:bookmarkStart w:id="101" w:name="_Toc15396621"/>
      <w:bookmarkStart w:id="102" w:name="_Toc633"/>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01"/>
      <w:bookmarkEnd w:id="102"/>
    </w:p>
    <w:p>
      <w:pPr>
        <w:pStyle w:val="4"/>
        <w:rPr>
          <w:rFonts w:ascii="仿宋" w:hAnsi="仿宋" w:eastAsia="仿宋"/>
          <w:b w:val="0"/>
          <w:color w:val="auto"/>
          <w:highlight w:val="none"/>
        </w:rPr>
      </w:pPr>
      <w:bookmarkStart w:id="103" w:name="_Toc15396622"/>
      <w:bookmarkStart w:id="104" w:name="_Toc7984"/>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03"/>
      <w:bookmarkEnd w:id="104"/>
    </w:p>
    <w:p>
      <w:pPr>
        <w:pStyle w:val="4"/>
        <w:rPr>
          <w:rStyle w:val="28"/>
          <w:rFonts w:ascii="仿宋" w:hAnsi="仿宋" w:eastAsia="仿宋"/>
          <w:b w:val="0"/>
          <w:bCs w:val="0"/>
          <w:color w:val="auto"/>
          <w:highlight w:val="none"/>
        </w:rPr>
      </w:pPr>
      <w:bookmarkStart w:id="105" w:name="_Toc15396623"/>
      <w:bookmarkStart w:id="106" w:name="_Toc19014"/>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05"/>
      <w:bookmarkEnd w:id="106"/>
      <w:bookmarkStart w:id="107" w:name="_Toc15396624"/>
    </w:p>
    <w:p>
      <w:pPr>
        <w:pStyle w:val="4"/>
        <w:rPr>
          <w:rFonts w:ascii="仿宋" w:hAnsi="仿宋" w:eastAsia="仿宋"/>
          <w:color w:val="auto"/>
          <w:highlight w:val="none"/>
        </w:rPr>
      </w:pPr>
      <w:bookmarkStart w:id="108" w:name="_Toc15622"/>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07"/>
      <w:bookmarkEnd w:id="108"/>
    </w:p>
    <w:p>
      <w:pPr>
        <w:pStyle w:val="4"/>
        <w:rPr>
          <w:rFonts w:ascii="仿宋" w:hAnsi="仿宋" w:eastAsia="仿宋"/>
          <w:color w:val="auto"/>
          <w:highlight w:val="none"/>
        </w:rPr>
      </w:pPr>
      <w:bookmarkStart w:id="109" w:name="_Toc15396625"/>
      <w:bookmarkStart w:id="110" w:name="_Toc25009"/>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09"/>
      <w:bookmarkEnd w:id="110"/>
    </w:p>
    <w:p>
      <w:pPr>
        <w:pStyle w:val="4"/>
        <w:rPr>
          <w:rFonts w:ascii="仿宋" w:hAnsi="仿宋" w:eastAsia="仿宋"/>
          <w:color w:val="auto"/>
          <w:highlight w:val="none"/>
        </w:rPr>
      </w:pPr>
      <w:bookmarkStart w:id="111" w:name="_Toc15396626"/>
      <w:bookmarkStart w:id="112" w:name="_Toc12830"/>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11"/>
      <w:bookmarkEnd w:id="112"/>
    </w:p>
    <w:p>
      <w:pPr>
        <w:pStyle w:val="4"/>
        <w:rPr>
          <w:rFonts w:ascii="仿宋" w:hAnsi="仿宋" w:eastAsia="仿宋"/>
          <w:color w:val="auto"/>
          <w:highlight w:val="none"/>
        </w:rPr>
      </w:pPr>
      <w:bookmarkStart w:id="113" w:name="_Toc15396627"/>
      <w:bookmarkStart w:id="114" w:name="_Toc9726"/>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13"/>
      <w:bookmarkEnd w:id="114"/>
    </w:p>
    <w:p>
      <w:pPr>
        <w:pStyle w:val="4"/>
        <w:rPr>
          <w:rFonts w:ascii="仿宋" w:hAnsi="仿宋" w:eastAsia="仿宋"/>
          <w:color w:val="auto"/>
          <w:highlight w:val="none"/>
        </w:rPr>
      </w:pPr>
      <w:bookmarkStart w:id="115" w:name="_Toc15396628"/>
      <w:bookmarkStart w:id="116" w:name="_Toc31127"/>
      <w:r>
        <w:rPr>
          <w:rStyle w:val="28"/>
          <w:rFonts w:hint="eastAsia" w:ascii="仿宋" w:hAnsi="仿宋" w:eastAsia="仿宋"/>
          <w:b w:val="0"/>
          <w:bCs w:val="0"/>
          <w:color w:val="auto"/>
          <w:highlight w:val="none"/>
        </w:rPr>
        <w:t>十、</w:t>
      </w:r>
      <w:bookmarkEnd w:id="115"/>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16"/>
    </w:p>
    <w:p>
      <w:pPr>
        <w:pStyle w:val="4"/>
        <w:rPr>
          <w:rFonts w:ascii="仿宋" w:hAnsi="仿宋" w:eastAsia="仿宋"/>
          <w:color w:val="auto"/>
          <w:highlight w:val="none"/>
        </w:rPr>
      </w:pPr>
      <w:bookmarkStart w:id="117" w:name="_Toc15396629"/>
      <w:bookmarkStart w:id="118" w:name="_Toc5394"/>
      <w:r>
        <w:rPr>
          <w:rStyle w:val="28"/>
          <w:rFonts w:hint="eastAsia" w:ascii="仿宋" w:hAnsi="仿宋" w:eastAsia="仿宋"/>
          <w:b w:val="0"/>
          <w:bCs w:val="0"/>
          <w:color w:val="auto"/>
          <w:highlight w:val="none"/>
        </w:rPr>
        <w:t>十一、</w:t>
      </w:r>
      <w:bookmarkEnd w:id="117"/>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18"/>
    </w:p>
    <w:p>
      <w:pPr>
        <w:pStyle w:val="4"/>
        <w:rPr>
          <w:rFonts w:ascii="仿宋" w:hAnsi="仿宋" w:eastAsia="仿宋"/>
          <w:color w:val="auto"/>
          <w:highlight w:val="none"/>
        </w:rPr>
      </w:pPr>
      <w:bookmarkStart w:id="119" w:name="_Toc15396630"/>
      <w:bookmarkStart w:id="120" w:name="_Toc21499"/>
      <w:r>
        <w:rPr>
          <w:rStyle w:val="28"/>
          <w:rFonts w:hint="eastAsia" w:ascii="仿宋" w:hAnsi="仿宋" w:eastAsia="仿宋"/>
          <w:b w:val="0"/>
          <w:bCs w:val="0"/>
          <w:color w:val="auto"/>
          <w:highlight w:val="none"/>
        </w:rPr>
        <w:t>十二、</w:t>
      </w:r>
      <w:bookmarkEnd w:id="119"/>
      <w:r>
        <w:rPr>
          <w:rStyle w:val="28"/>
          <w:rFonts w:hint="eastAsia" w:ascii="仿宋" w:hAnsi="仿宋" w:eastAsia="仿宋"/>
          <w:b w:val="0"/>
          <w:bCs w:val="0"/>
          <w:color w:val="auto"/>
          <w:highlight w:val="none"/>
          <w:lang w:eastAsia="zh-CN"/>
        </w:rPr>
        <w:t>国有资本经营预算财政拨款支出决算表</w:t>
      </w:r>
      <w:bookmarkEnd w:id="120"/>
    </w:p>
    <w:p>
      <w:pPr>
        <w:pStyle w:val="4"/>
        <w:rPr>
          <w:rFonts w:hint="eastAsia" w:eastAsia="仿宋"/>
          <w:color w:val="auto"/>
          <w:highlight w:val="none"/>
          <w:lang w:eastAsia="zh-CN"/>
        </w:rPr>
      </w:pPr>
      <w:bookmarkStart w:id="121" w:name="_Toc15396631"/>
      <w:bookmarkStart w:id="122" w:name="_Toc9889"/>
      <w:r>
        <w:rPr>
          <w:rStyle w:val="28"/>
          <w:rFonts w:hint="eastAsia" w:ascii="仿宋" w:hAnsi="仿宋" w:eastAsia="仿宋"/>
          <w:b w:val="0"/>
          <w:bCs w:val="0"/>
          <w:color w:val="auto"/>
          <w:highlight w:val="none"/>
        </w:rPr>
        <w:t>十三、</w:t>
      </w:r>
      <w:bookmarkEnd w:id="121"/>
      <w:r>
        <w:rPr>
          <w:rStyle w:val="28"/>
          <w:rFonts w:hint="eastAsia" w:ascii="仿宋" w:hAnsi="仿宋" w:eastAsia="仿宋"/>
          <w:b w:val="0"/>
          <w:bCs w:val="0"/>
          <w:color w:val="auto"/>
          <w:highlight w:val="none"/>
          <w:lang w:eastAsia="zh-CN"/>
        </w:rPr>
        <w:t>财政拨款“三公”经费支出决算表</w:t>
      </w:r>
      <w:bookmarkEnd w:id="122"/>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59CB76F6"/>
    <w:multiLevelType w:val="singleLevel"/>
    <w:tmpl w:val="59CB76F6"/>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F22335"/>
    <w:rsid w:val="0A2032A3"/>
    <w:rsid w:val="0B8A37D8"/>
    <w:rsid w:val="105C584D"/>
    <w:rsid w:val="10C055FF"/>
    <w:rsid w:val="118107EC"/>
    <w:rsid w:val="11DD6519"/>
    <w:rsid w:val="16BB723D"/>
    <w:rsid w:val="16FA659C"/>
    <w:rsid w:val="18015F3F"/>
    <w:rsid w:val="1BE8440E"/>
    <w:rsid w:val="1D155CEE"/>
    <w:rsid w:val="20584239"/>
    <w:rsid w:val="20F57F95"/>
    <w:rsid w:val="240371BF"/>
    <w:rsid w:val="25711CC6"/>
    <w:rsid w:val="25C741E6"/>
    <w:rsid w:val="27842671"/>
    <w:rsid w:val="29FD04D3"/>
    <w:rsid w:val="2ABE7A3E"/>
    <w:rsid w:val="2C025E38"/>
    <w:rsid w:val="2CA234A8"/>
    <w:rsid w:val="2EFA178C"/>
    <w:rsid w:val="2F1A0BD6"/>
    <w:rsid w:val="30B46D73"/>
    <w:rsid w:val="319F7F4E"/>
    <w:rsid w:val="34B525AA"/>
    <w:rsid w:val="383D272C"/>
    <w:rsid w:val="39AE70AB"/>
    <w:rsid w:val="3C0C0783"/>
    <w:rsid w:val="3F9F3A96"/>
    <w:rsid w:val="415D35F1"/>
    <w:rsid w:val="447A09D0"/>
    <w:rsid w:val="45057114"/>
    <w:rsid w:val="45230F44"/>
    <w:rsid w:val="48BF60AB"/>
    <w:rsid w:val="493C27E9"/>
    <w:rsid w:val="496F39ED"/>
    <w:rsid w:val="49FF41D3"/>
    <w:rsid w:val="4BE068DB"/>
    <w:rsid w:val="4BF6002B"/>
    <w:rsid w:val="4E423E15"/>
    <w:rsid w:val="4ECE2238"/>
    <w:rsid w:val="50A719EA"/>
    <w:rsid w:val="51DB4B86"/>
    <w:rsid w:val="55333C3E"/>
    <w:rsid w:val="5DA14CA4"/>
    <w:rsid w:val="64CA39A1"/>
    <w:rsid w:val="69630ADE"/>
    <w:rsid w:val="6C4A05C8"/>
    <w:rsid w:val="6C785B3D"/>
    <w:rsid w:val="6D3B1A89"/>
    <w:rsid w:val="71BF4EC2"/>
    <w:rsid w:val="72734D90"/>
    <w:rsid w:val="7412278C"/>
    <w:rsid w:val="79E7B28D"/>
    <w:rsid w:val="7D9F54F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widowControl w:val="0"/>
      <w:suppressAutoHyphens/>
    </w:pPr>
    <w:rPr>
      <w:rFonts w:ascii="Calibri" w:hAnsi="Calibri" w:eastAsia="宋体" w:cs="Times New Roman"/>
      <w:sz w:val="24"/>
      <w:szCs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173.59</c:v>
                </c:pt>
                <c:pt idx="1">
                  <c:v>173.59</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144.85</c:v>
                </c:pt>
                <c:pt idx="1">
                  <c:v>144.85</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48569528"/>
          <c:y val="0.198611111111111"/>
          <c:w val="0.938888888888889"/>
          <c:h val="0.645601851851852"/>
        </c:manualLayout>
      </c:layout>
      <c:pie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34094799227766"/>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52.67</a:t>
                    </a:r>
                    <a:r>
                      <a:rPr>
                        <a:solidFill>
                          <a:sysClr val="windowText" lastClr="000000"/>
                        </a:solidFill>
                      </a:rPr>
                      <a:t>%</a:t>
                    </a:r>
                    <a:endParaRPr>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47.33</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[工作簿1.xlsx]Sheet1!$B$16:$B$18</c:f>
              <c:numCache>
                <c:formatCode>General</c:formatCode>
                <c:ptCount val="3"/>
                <c:pt idx="0">
                  <c:v>76.3</c:v>
                </c:pt>
                <c:pt idx="2">
                  <c:v>68.55</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[工作簿1.xlsx]Sheet1!$C$16:$C$18</c:f>
              <c:numCache>
                <c:formatCode>0.00%</c:formatCode>
                <c:ptCount val="3"/>
                <c:pt idx="0">
                  <c:v>0.763</c:v>
                </c:pt>
                <c:pt idx="2">
                  <c:v>0.3616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28822055"/>
          <c:y val="0.22005376907467"/>
          <c:w val="0.915413533834586"/>
          <c:h val="0.601553166069295"/>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基本支出98.31</a:t>
                    </a:r>
                    <a:r>
                      <a:rPr lang="en-US" altLang="zh-CN" b="1"/>
                      <a:t>%</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项目支出1.69</a:t>
                    </a:r>
                    <a:r>
                      <a:rPr lang="en-US" altLang="zh-CN" b="1"/>
                      <a:t>%</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[工作簿1.xlsx]Sheet1!$B$29:$B$31</c:f>
              <c:numCache>
                <c:formatCode>General</c:formatCode>
                <c:ptCount val="3"/>
                <c:pt idx="0">
                  <c:v>142.4</c:v>
                </c:pt>
                <c:pt idx="1">
                  <c:v>2.45</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[工作簿1.xlsx]Sheet1!$C$29:$C$31</c:f>
              <c:numCache>
                <c:formatCode>0.00%</c:formatCode>
                <c:ptCount val="3"/>
                <c:pt idx="0">
                  <c:v>0.706</c:v>
                </c:pt>
                <c:pt idx="1">
                  <c:v>0.294</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121.75</c:v>
                </c:pt>
                <c:pt idx="1">
                  <c:v>121.75</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76.3</c:v>
                </c:pt>
                <c:pt idx="1">
                  <c:v>76.3</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329224075417"/>
          <c:y val="0.0981481481481482"/>
          <c:w val="0.920232052211748"/>
          <c:h val="0.755111111111111"/>
        </c:manualLayout>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121.75</c:v>
                </c:pt>
                <c:pt idx="1">
                  <c:v>73.85</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45106696"/>
          <c:y val="0.0467836257309941"/>
          <c:w val="0.611111111111111"/>
          <c:h val="0.871345029239766"/>
        </c:manualLayout>
      </c:layout>
      <c:pie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a:t>
                    </a:r>
                    <a:r>
                      <a:rPr lang="en-US" altLang="zh-CN">
                        <a:solidFill>
                          <a:sysClr val="windowText" lastClr="000000"/>
                        </a:solidFill>
                      </a:rPr>
                      <a:t>7.53</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a:t>
                    </a:r>
                    <a:r>
                      <a:rPr lang="en-US" altLang="zh-CN">
                        <a:solidFill>
                          <a:sysClr val="windowText" lastClr="000000"/>
                        </a:solidFill>
                      </a:rPr>
                      <a:t>82.8</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10.27</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5.56</c:v>
                </c:pt>
                <c:pt idx="1">
                  <c:v>60.71</c:v>
                </c:pt>
                <c:pt idx="2">
                  <c:v>7.59</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0.0762</c:v>
                </c:pt>
                <c:pt idx="1">
                  <c:v>0.8505</c:v>
                </c:pt>
                <c:pt idx="2">
                  <c:v>0.0733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2023-09-28T08:36:53Z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12E45F36CB8646BB8C1036CF06119BD1_13</vt:lpwstr>
  </property>
</Properties>
</file>