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2438"/>
      <w:bookmarkStart w:id="2" w:name="_Toc15396475"/>
      <w:bookmarkStart w:id="3" w:name="_Toc19603"/>
      <w:bookmarkStart w:id="4" w:name="_Toc15396597"/>
      <w:bookmarkStart w:id="5" w:name="_Toc15377193"/>
      <w:bookmarkStart w:id="6" w:name="_Toc15377425"/>
      <w:bookmarkStart w:id="7"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78442"/>
      <w:bookmarkStart w:id="9" w:name="_Toc23018"/>
      <w:bookmarkStart w:id="10" w:name="_Toc15396476"/>
      <w:bookmarkStart w:id="11" w:name="_Toc15377426"/>
      <w:bookmarkStart w:id="12" w:name="_Toc15396598"/>
      <w:bookmarkStart w:id="13" w:name="_Toc7273"/>
      <w:bookmarkStart w:id="14"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rPr>
        <w:t>广元市昭化区王家镇中心卫生院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9 </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9654"/>
        <w15:color w:val="DBDBDB"/>
        <w:docPartObj>
          <w:docPartGallery w:val="Table of Contents"/>
          <w:docPartUnique/>
        </w:docPartObj>
      </w:sdtPr>
      <w:sdtEndPr>
        <w:rPr>
          <w:rFonts w:hint="eastAsia" w:ascii="仿宋" w:hAnsi="仿宋" w:eastAsia="仿宋" w:cs="Times New Roman"/>
          <w:b/>
          <w:bCs w:val="0"/>
          <w:color w:val="auto"/>
          <w:kern w:val="44"/>
          <w:sz w:val="44"/>
          <w:szCs w:val="28"/>
          <w:highlight w:val="none"/>
          <w:lang w:val="en-US" w:eastAsia="zh-CN" w:bidi="ar-SA"/>
        </w:rPr>
      </w:sdtEndPr>
      <w:sdtContent>
        <w:p>
          <w:pPr>
            <w:spacing w:before="0" w:beforeLines="0" w:after="0" w:afterLines="0" w:line="240" w:lineRule="auto"/>
            <w:ind w:left="0" w:leftChars="0" w:right="0" w:rightChars="0" w:firstLine="0" w:firstLineChars="0"/>
            <w:jc w:val="center"/>
          </w:pPr>
          <w:r>
            <w:rPr>
              <w:rStyle w:val="27"/>
              <w:rFonts w:hint="eastAsia" w:ascii="仿宋" w:hAnsi="仿宋" w:eastAsia="仿宋" w:cs="Times New Roman"/>
              <w:b w:val="0"/>
              <w:bCs w:val="0"/>
              <w:color w:val="auto"/>
              <w:sz w:val="28"/>
              <w:szCs w:val="28"/>
              <w:highlight w:val="none"/>
              <w:lang w:val="en-US" w:eastAsia="zh-CN" w:bidi="ar-SA"/>
            </w:rPr>
            <w:fldChar w:fldCharType="begin"/>
          </w:r>
          <w:r>
            <w:rPr>
              <w:rStyle w:val="27"/>
              <w:rFonts w:hint="eastAsia" w:ascii="仿宋" w:hAnsi="仿宋" w:eastAsia="仿宋" w:cs="Times New Roman"/>
              <w:b w:val="0"/>
              <w:bCs w:val="0"/>
              <w:color w:val="auto"/>
              <w:sz w:val="28"/>
              <w:szCs w:val="28"/>
              <w:highlight w:val="none"/>
              <w:lang w:val="en-US" w:eastAsia="zh-CN" w:bidi="ar-SA"/>
            </w:rPr>
            <w:instrText xml:space="preserve">TOC \o "1-3" \h \u </w:instrText>
          </w:r>
          <w:r>
            <w:rPr>
              <w:rStyle w:val="27"/>
              <w:rFonts w:hint="eastAsia" w:ascii="仿宋" w:hAnsi="仿宋" w:eastAsia="仿宋" w:cs="Times New Roman"/>
              <w:b w:val="0"/>
              <w:bCs w:val="0"/>
              <w:color w:val="auto"/>
              <w:sz w:val="28"/>
              <w:szCs w:val="28"/>
              <w:highlight w:val="none"/>
              <w:lang w:val="en-US" w:eastAsia="zh-CN" w:bidi="ar-SA"/>
            </w:rPr>
            <w:fldChar w:fldCharType="separate"/>
          </w:r>
        </w:p>
        <w:p>
          <w:pPr>
            <w:pStyle w:val="37"/>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_Toc3680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_Toc3680 \h </w:instrText>
          </w:r>
          <w:r>
            <w:fldChar w:fldCharType="separate"/>
          </w:r>
          <w:r>
            <w:t>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_Toc21956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_Toc21956 \h </w:instrText>
          </w:r>
          <w:r>
            <w:fldChar w:fldCharType="separate"/>
          </w:r>
          <w:r>
            <w:t>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_Toc8887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lang w:eastAsia="zh-CN"/>
            </w:rPr>
            <w:t>（</w:t>
          </w:r>
          <w:r>
            <w:rPr>
              <w:rFonts w:hint="eastAsia" w:ascii="仿宋" w:hAnsi="仿宋" w:eastAsia="仿宋"/>
              <w:szCs w:val="32"/>
              <w:highlight w:val="none"/>
            </w:rPr>
            <w:t>一</w:t>
          </w:r>
          <w:r>
            <w:rPr>
              <w:rFonts w:hint="eastAsia" w:ascii="仿宋" w:hAnsi="仿宋" w:eastAsia="仿宋"/>
              <w:szCs w:val="32"/>
              <w:highlight w:val="none"/>
              <w:lang w:eastAsia="zh-CN"/>
            </w:rPr>
            <w:t>）</w:t>
          </w:r>
          <w:r>
            <w:rPr>
              <w:rFonts w:hint="eastAsia" w:ascii="仿宋" w:hAnsi="仿宋" w:eastAsia="仿宋"/>
              <w:szCs w:val="32"/>
              <w:highlight w:val="none"/>
            </w:rPr>
            <w:t>基本公共卫生服务方面</w:t>
          </w:r>
          <w:r>
            <w:tab/>
          </w:r>
          <w:r>
            <w:fldChar w:fldCharType="begin"/>
          </w:r>
          <w:r>
            <w:instrText xml:space="preserve"> PAGEREF _Toc8887 \h </w:instrText>
          </w:r>
          <w:r>
            <w:fldChar w:fldCharType="separate"/>
          </w:r>
          <w:r>
            <w:t>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_Toc7728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lang w:eastAsia="zh-CN"/>
            </w:rPr>
            <w:t>（</w:t>
          </w:r>
          <w:r>
            <w:rPr>
              <w:rFonts w:hint="eastAsia" w:ascii="仿宋" w:hAnsi="仿宋" w:eastAsia="仿宋"/>
              <w:szCs w:val="32"/>
              <w:highlight w:val="none"/>
            </w:rPr>
            <w:t>二</w:t>
          </w:r>
          <w:r>
            <w:rPr>
              <w:rFonts w:hint="eastAsia" w:ascii="仿宋" w:hAnsi="仿宋" w:eastAsia="仿宋"/>
              <w:szCs w:val="32"/>
              <w:highlight w:val="none"/>
              <w:lang w:eastAsia="zh-CN"/>
            </w:rPr>
            <w:t>）</w:t>
          </w:r>
          <w:r>
            <w:rPr>
              <w:rFonts w:hint="eastAsia" w:ascii="仿宋" w:hAnsi="仿宋" w:eastAsia="仿宋"/>
              <w:szCs w:val="32"/>
              <w:highlight w:val="none"/>
            </w:rPr>
            <w:t>基本医疗服务方面</w:t>
          </w:r>
          <w:r>
            <w:tab/>
          </w:r>
          <w:r>
            <w:fldChar w:fldCharType="begin"/>
          </w:r>
          <w:r>
            <w:instrText xml:space="preserve"> PAGEREF _Toc7728 \h </w:instrText>
          </w:r>
          <w:r>
            <w:fldChar w:fldCharType="separate"/>
          </w:r>
          <w:r>
            <w:t>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_Toc25021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lang w:eastAsia="zh-CN"/>
            </w:rPr>
            <w:t>（</w:t>
          </w:r>
          <w:r>
            <w:rPr>
              <w:rFonts w:hint="eastAsia" w:ascii="仿宋" w:hAnsi="仿宋" w:eastAsia="仿宋"/>
              <w:szCs w:val="32"/>
              <w:highlight w:val="none"/>
            </w:rPr>
            <w:t>三</w:t>
          </w:r>
          <w:r>
            <w:rPr>
              <w:rFonts w:hint="eastAsia" w:ascii="仿宋" w:hAnsi="仿宋" w:eastAsia="仿宋"/>
              <w:szCs w:val="32"/>
              <w:highlight w:val="none"/>
              <w:lang w:eastAsia="zh-CN"/>
            </w:rPr>
            <w:t>）</w:t>
          </w:r>
          <w:r>
            <w:rPr>
              <w:rFonts w:hint="eastAsia" w:ascii="仿宋" w:hAnsi="仿宋" w:eastAsia="仿宋"/>
              <w:szCs w:val="32"/>
              <w:highlight w:val="none"/>
            </w:rPr>
            <w:t>基本管理服务</w:t>
          </w:r>
          <w:r>
            <w:tab/>
          </w:r>
          <w:r>
            <w:fldChar w:fldCharType="begin"/>
          </w:r>
          <w:r>
            <w:instrText xml:space="preserve"> PAGEREF _Toc25021 \h </w:instrText>
          </w:r>
          <w:r>
            <w:fldChar w:fldCharType="separate"/>
          </w:r>
          <w:r>
            <w:t>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_Toc7772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_Toc7772 \h </w:instrText>
          </w:r>
          <w:r>
            <w:fldChar w:fldCharType="separate"/>
          </w:r>
          <w:r>
            <w:t>2</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7"/>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_Toc5915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_Toc5915 \h </w:instrText>
          </w:r>
          <w:r>
            <w:fldChar w:fldCharType="separate"/>
          </w:r>
          <w:r>
            <w:t>2</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_Toc5047 </w:instrText>
          </w:r>
          <w:r>
            <w:rPr>
              <w:rFonts w:hint="eastAsia" w:ascii="仿宋" w:hAnsi="仿宋" w:eastAsia="仿宋" w:cs="Times New Roman"/>
              <w:bCs w:val="0"/>
              <w:szCs w:val="28"/>
              <w:highlight w:val="none"/>
              <w:lang w:val="en-US" w:eastAsia="zh-CN" w:bidi="ar-SA"/>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_Toc5047 \h </w:instrText>
          </w:r>
          <w:r>
            <w:fldChar w:fldCharType="separate"/>
          </w:r>
          <w:r>
            <w:t>2</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_Toc20807 </w:instrText>
          </w:r>
          <w:r>
            <w:rPr>
              <w:rFonts w:hint="eastAsia" w:ascii="仿宋" w:hAnsi="仿宋" w:eastAsia="仿宋" w:cs="Times New Roman"/>
              <w:bCs w:val="0"/>
              <w:szCs w:val="28"/>
              <w:highlight w:val="none"/>
              <w:lang w:val="en-US" w:eastAsia="zh-CN" w:bidi="ar-SA"/>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_Toc20807 \h </w:instrText>
          </w:r>
          <w:r>
            <w:fldChar w:fldCharType="separate"/>
          </w:r>
          <w:r>
            <w:t>2</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_Toc17416 </w:instrText>
          </w:r>
          <w:r>
            <w:rPr>
              <w:rFonts w:hint="eastAsia" w:ascii="仿宋" w:hAnsi="仿宋" w:eastAsia="仿宋" w:cs="Times New Roman"/>
              <w:bCs w:val="0"/>
              <w:szCs w:val="28"/>
              <w:highlight w:val="none"/>
              <w:lang w:val="en-US" w:eastAsia="zh-CN" w:bidi="ar-SA"/>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_Toc17416 \h </w:instrText>
          </w:r>
          <w:r>
            <w:fldChar w:fldCharType="separate"/>
          </w:r>
          <w:r>
            <w:t>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_Toc8223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_Toc8223 \h </w:instrText>
          </w:r>
          <w:r>
            <w:fldChar w:fldCharType="separate"/>
          </w:r>
          <w:r>
            <w:t>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_Toc9005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_Toc9005 \h </w:instrText>
          </w:r>
          <w:r>
            <w:fldChar w:fldCharType="separate"/>
          </w:r>
          <w:r>
            <w:t>4</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_Toc4416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_Toc4416 \h </w:instrText>
          </w:r>
          <w:r>
            <w:fldChar w:fldCharType="separate"/>
          </w:r>
          <w:r>
            <w:t>4</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_Toc12803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_Toc12803 \h </w:instrText>
          </w:r>
          <w:r>
            <w:fldChar w:fldCharType="separate"/>
          </w:r>
          <w:r>
            <w:t>5</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_Toc23738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_Toc23738 \h </w:instrText>
          </w:r>
          <w:r>
            <w:fldChar w:fldCharType="separate"/>
          </w:r>
          <w:r>
            <w:t>5</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_Toc11908 </w:instrText>
          </w:r>
          <w:r>
            <w:rPr>
              <w:rFonts w:hint="eastAsia" w:ascii="仿宋" w:hAnsi="仿宋" w:eastAsia="仿宋" w:cs="Times New Roman"/>
              <w:bCs w:val="0"/>
              <w:szCs w:val="28"/>
              <w:highlight w:val="none"/>
              <w:lang w:val="en-US" w:eastAsia="zh-CN" w:bidi="ar-SA"/>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_Toc11908 \h </w:instrText>
          </w:r>
          <w:r>
            <w:fldChar w:fldCharType="separate"/>
          </w:r>
          <w:r>
            <w:t>6</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_Toc15962 </w:instrText>
          </w:r>
          <w:r>
            <w:rPr>
              <w:rFonts w:hint="eastAsia" w:ascii="仿宋" w:hAnsi="仿宋" w:eastAsia="仿宋" w:cs="Times New Roman"/>
              <w:bCs w:val="0"/>
              <w:szCs w:val="28"/>
              <w:highlight w:val="none"/>
              <w:lang w:val="en-US" w:eastAsia="zh-CN" w:bidi="ar-SA"/>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_Toc15962 \h </w:instrText>
          </w:r>
          <w:r>
            <w:fldChar w:fldCharType="separate"/>
          </w:r>
          <w:r>
            <w:t>6</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_Toc20359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_Toc20359 \h </w:instrText>
          </w:r>
          <w:r>
            <w:fldChar w:fldCharType="separate"/>
          </w:r>
          <w:r>
            <w:t>6</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_Toc7971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_Toc7971 \h </w:instrText>
          </w:r>
          <w:r>
            <w:fldChar w:fldCharType="separate"/>
          </w:r>
          <w:r>
            <w:t>6</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_Toc5977 </w:instrText>
          </w:r>
          <w:r>
            <w:rPr>
              <w:rFonts w:hint="eastAsia" w:ascii="仿宋" w:hAnsi="仿宋" w:eastAsia="仿宋" w:cs="Times New Roman"/>
              <w:bCs w:val="0"/>
              <w:szCs w:val="28"/>
              <w:highlight w:val="none"/>
              <w:lang w:val="en-US" w:eastAsia="zh-CN" w:bidi="ar-SA"/>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_Toc5977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_Toc26691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_Toc26691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_Toc15569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_Toc15569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_Toc19830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（一）机关运行经费支出情况</w:t>
          </w:r>
          <w:r>
            <w:tab/>
          </w:r>
          <w:r>
            <w:fldChar w:fldCharType="begin"/>
          </w:r>
          <w:r>
            <w:instrText xml:space="preserve"> PAGEREF _Toc19830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_Toc1036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（二）政府采购支出情况</w:t>
          </w:r>
          <w:r>
            <w:tab/>
          </w:r>
          <w:r>
            <w:fldChar w:fldCharType="begin"/>
          </w:r>
          <w:r>
            <w:instrText xml:space="preserve"> PAGEREF _Toc1036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_Toc11369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（三）国有资产占有使用情况</w:t>
          </w:r>
          <w:r>
            <w:tab/>
          </w:r>
          <w:r>
            <w:fldChar w:fldCharType="begin"/>
          </w:r>
          <w:r>
            <w:instrText xml:space="preserve"> PAGEREF _Toc11369 \h </w:instrText>
          </w:r>
          <w:r>
            <w:fldChar w:fldCharType="separate"/>
          </w:r>
          <w:r>
            <w:t>7</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9"/>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_Toc23781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szCs w:val="32"/>
              <w:highlight w:val="none"/>
            </w:rPr>
            <w:t>（四）预算绩效管理情况</w:t>
          </w:r>
          <w:r>
            <w:tab/>
          </w:r>
          <w:r>
            <w:fldChar w:fldCharType="begin"/>
          </w:r>
          <w:r>
            <w:instrText xml:space="preserve"> PAGEREF _Toc23781 \h </w:instrText>
          </w:r>
          <w:r>
            <w:fldChar w:fldCharType="separate"/>
          </w:r>
          <w:r>
            <w:t>8</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7"/>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_Toc27636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szCs w:val="44"/>
              <w:highlight w:val="none"/>
              <w:lang w:eastAsia="zh-CN"/>
            </w:rPr>
            <w:t>三</w:t>
          </w:r>
          <w:r>
            <w:rPr>
              <w:rFonts w:hint="eastAsia" w:ascii="黑体" w:hAnsi="黑体" w:eastAsia="黑体"/>
              <w:szCs w:val="44"/>
              <w:highlight w:val="none"/>
              <w:lang w:val="en-US" w:eastAsia="zh-CN"/>
            </w:rPr>
            <w:t xml:space="preserve">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_Toc27636 \h </w:instrText>
          </w:r>
          <w:r>
            <w:fldChar w:fldCharType="separate"/>
          </w:r>
          <w:r>
            <w:t>11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7"/>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_Toc1877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_Toc1877 \h </w:instrText>
          </w:r>
          <w:r>
            <w:fldChar w:fldCharType="separate"/>
          </w:r>
          <w:r>
            <w:t>14</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7"/>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_Toc13689 </w:instrText>
          </w:r>
          <w:r>
            <w:rPr>
              <w:rFonts w:hint="eastAsia" w:ascii="仿宋" w:hAnsi="仿宋" w:eastAsia="仿宋" w:cs="Times New Roman"/>
              <w:bCs w:val="0"/>
              <w:szCs w:val="28"/>
              <w:highlight w:val="none"/>
              <w:lang w:val="en-US" w:eastAsia="zh-CN" w:bidi="ar-SA"/>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_Toc13689 \h </w:instrText>
          </w:r>
          <w:r>
            <w:fldChar w:fldCharType="separate"/>
          </w:r>
          <w:r>
            <w:t>21</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_Toc23656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一、收入支出决算总表</w:t>
          </w:r>
          <w:r>
            <w:tab/>
          </w:r>
          <w:r>
            <w:fldChar w:fldCharType="begin"/>
          </w:r>
          <w:r>
            <w:instrText xml:space="preserve"> PAGEREF _Toc23656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_Toc31991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二、收入决算表</w:t>
          </w:r>
          <w:r>
            <w:tab/>
          </w:r>
          <w:r>
            <w:fldChar w:fldCharType="begin"/>
          </w:r>
          <w:r>
            <w:instrText xml:space="preserve"> PAGEREF _Toc31991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_Toc7907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三、支出决算表</w:t>
          </w:r>
          <w:r>
            <w:tab/>
          </w:r>
          <w:r>
            <w:fldChar w:fldCharType="begin"/>
          </w:r>
          <w:r>
            <w:instrText xml:space="preserve"> PAGEREF _Toc7907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_Toc9029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四、财政拨款收入支出决算总表</w:t>
          </w:r>
          <w:r>
            <w:tab/>
          </w:r>
          <w:r>
            <w:fldChar w:fldCharType="begin"/>
          </w:r>
          <w:r>
            <w:instrText xml:space="preserve"> PAGEREF _Toc9029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_Toc14557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五、财政拨款支出决算明细表</w:t>
          </w:r>
          <w:r>
            <w:tab/>
          </w:r>
          <w:r>
            <w:fldChar w:fldCharType="begin"/>
          </w:r>
          <w:r>
            <w:instrText xml:space="preserve"> PAGEREF _Toc14557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_Toc11343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六、一般公共预算财政拨款支出决算表</w:t>
          </w:r>
          <w:r>
            <w:tab/>
          </w:r>
          <w:r>
            <w:fldChar w:fldCharType="begin"/>
          </w:r>
          <w:r>
            <w:instrText xml:space="preserve"> PAGEREF _Toc11343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_Toc8183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七、一般公共预算财政拨款支出决算明细表</w:t>
          </w:r>
          <w:r>
            <w:tab/>
          </w:r>
          <w:r>
            <w:fldChar w:fldCharType="begin"/>
          </w:r>
          <w:r>
            <w:instrText xml:space="preserve"> PAGEREF _Toc8183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_Toc23283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八、一般公共预算财政拨款基本支出决算表</w:t>
          </w:r>
          <w:r>
            <w:tab/>
          </w:r>
          <w:r>
            <w:fldChar w:fldCharType="begin"/>
          </w:r>
          <w:r>
            <w:instrText xml:space="preserve"> PAGEREF _Toc23283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_Toc10328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九、一般公共预算财政拨款项目支出决算表</w:t>
          </w:r>
          <w:r>
            <w:tab/>
          </w:r>
          <w:r>
            <w:fldChar w:fldCharType="begin"/>
          </w:r>
          <w:r>
            <w:instrText xml:space="preserve"> PAGEREF _Toc10328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_Toc17550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十、政府性基金预算财政拨款收入支出决算表</w:t>
          </w:r>
          <w:r>
            <w:tab/>
          </w:r>
          <w:r>
            <w:fldChar w:fldCharType="begin"/>
          </w:r>
          <w:r>
            <w:instrText xml:space="preserve"> PAGEREF _Toc17550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_Toc9324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_Toc9324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_Toc25150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_Toc25150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8"/>
            <w:tabs>
              <w:tab w:val="right" w:leader="dot" w:pos="8306"/>
            </w:tabs>
          </w:pPr>
          <w:r>
            <w:rPr>
              <w:rFonts w:hint="eastAsia" w:ascii="仿宋" w:hAnsi="仿宋" w:eastAsia="仿宋" w:cs="Times New Roman"/>
              <w:bCs w:val="0"/>
              <w:color w:val="auto"/>
              <w:szCs w:val="28"/>
              <w:highlight w:val="none"/>
              <w:lang w:val="en-US" w:eastAsia="zh-CN" w:bidi="ar-SA"/>
            </w:rPr>
            <w:fldChar w:fldCharType="begin"/>
          </w:r>
          <w:r>
            <w:rPr>
              <w:rFonts w:hint="eastAsia" w:ascii="仿宋" w:hAnsi="仿宋" w:eastAsia="仿宋" w:cs="Times New Roman"/>
              <w:bCs w:val="0"/>
              <w:szCs w:val="28"/>
              <w:highlight w:val="none"/>
              <w:lang w:val="en-US" w:eastAsia="zh-CN" w:bidi="ar-SA"/>
            </w:rPr>
            <w:instrText xml:space="preserve"> HYPERLINK \l _Toc24506 </w:instrText>
          </w:r>
          <w:r>
            <w:rPr>
              <w:rFonts w:hint="eastAsia" w:ascii="仿宋" w:hAnsi="仿宋" w:eastAsia="仿宋" w:cs="Times New Roman"/>
              <w:bCs w:val="0"/>
              <w:szCs w:val="28"/>
              <w:highlight w:val="none"/>
              <w:lang w:val="en-US" w:eastAsia="zh-CN" w:bidi="ar-SA"/>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_Toc24506 \h </w:instrText>
          </w:r>
          <w:r>
            <w:fldChar w:fldCharType="separate"/>
          </w:r>
          <w:r>
            <w:t>23</w:t>
          </w:r>
          <w:r>
            <w:fldChar w:fldCharType="end"/>
          </w:r>
          <w:r>
            <w:rPr>
              <w:rFonts w:hint="eastAsia" w:ascii="仿宋" w:hAnsi="仿宋" w:eastAsia="仿宋" w:cs="Times New Roman"/>
              <w:bCs w:val="0"/>
              <w:color w:val="auto"/>
              <w:szCs w:val="28"/>
              <w:highlight w:val="none"/>
              <w:lang w:val="en-US" w:eastAsia="zh-CN" w:bidi="ar-SA"/>
            </w:rPr>
            <w:fldChar w:fldCharType="end"/>
          </w:r>
        </w:p>
        <w:p>
          <w:pPr>
            <w:pStyle w:val="3"/>
            <w:jc w:val="center"/>
            <w:outlineLvl w:val="9"/>
            <w:rPr>
              <w:rStyle w:val="27"/>
              <w:rFonts w:hint="eastAsia" w:ascii="仿宋" w:hAnsi="仿宋" w:eastAsia="仿宋" w:cs="Times New Roman"/>
              <w:b w:val="0"/>
              <w:bCs w:val="0"/>
              <w:color w:val="auto"/>
              <w:sz w:val="28"/>
              <w:szCs w:val="28"/>
              <w:highlight w:val="none"/>
              <w:lang w:val="en-US" w:eastAsia="zh-CN" w:bidi="ar-SA"/>
            </w:rPr>
          </w:pPr>
          <w:r>
            <w:rPr>
              <w:rFonts w:hint="eastAsia" w:ascii="仿宋" w:hAnsi="仿宋" w:eastAsia="仿宋" w:cs="Times New Roman"/>
              <w:bCs w:val="0"/>
              <w:color w:val="auto"/>
              <w:szCs w:val="28"/>
              <w:highlight w:val="none"/>
              <w:lang w:val="en-US" w:eastAsia="zh-CN" w:bidi="ar-SA"/>
            </w:rPr>
            <w:fldChar w:fldCharType="end"/>
          </w:r>
        </w:p>
      </w:sdtContent>
    </w:sdt>
    <w:p>
      <w:pPr>
        <w:tabs>
          <w:tab w:val="left" w:pos="5378"/>
        </w:tabs>
        <w:bidi w:val="0"/>
        <w:jc w:val="left"/>
        <w:rPr>
          <w:rFonts w:hint="eastAsia"/>
          <w:lang w:val="en-US" w:eastAsia="zh-CN"/>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r>
        <w:rPr>
          <w:rFonts w:hint="eastAsia"/>
          <w:lang w:val="en-US" w:eastAsia="zh-CN"/>
        </w:rPr>
        <w:tab/>
      </w:r>
    </w:p>
    <w:p>
      <w:pPr>
        <w:pStyle w:val="3"/>
        <w:jc w:val="center"/>
        <w:rPr>
          <w:rFonts w:ascii="黑体" w:eastAsia="黑体"/>
          <w:color w:val="auto"/>
          <w:sz w:val="32"/>
          <w:szCs w:val="32"/>
          <w:highlight w:val="none"/>
        </w:rPr>
      </w:pPr>
      <w:bookmarkStart w:id="16" w:name="_Toc3680"/>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6"/>
    </w:p>
    <w:p>
      <w:pPr>
        <w:pStyle w:val="4"/>
        <w:numPr>
          <w:ilvl w:val="0"/>
          <w:numId w:val="1"/>
        </w:numPr>
        <w:spacing w:after="0" w:afterAutospacing="0"/>
        <w:rPr>
          <w:rStyle w:val="27"/>
          <w:rFonts w:hint="eastAsia" w:ascii="黑体" w:hAnsi="黑体" w:eastAsia="黑体"/>
          <w:b w:val="0"/>
          <w:bCs w:val="0"/>
          <w:color w:val="auto"/>
          <w:highlight w:val="none"/>
          <w:lang w:eastAsia="zh-CN"/>
        </w:rPr>
      </w:pPr>
      <w:bookmarkStart w:id="17" w:name="_Toc21956"/>
      <w:bookmarkStart w:id="18" w:name="_Toc15396600"/>
      <w:bookmarkStart w:id="19" w:name="_Toc15377197"/>
      <w:r>
        <w:rPr>
          <w:rStyle w:val="27"/>
          <w:rFonts w:hint="eastAsia" w:ascii="黑体" w:hAnsi="黑体" w:eastAsia="黑体"/>
          <w:b w:val="0"/>
          <w:bCs w:val="0"/>
          <w:color w:val="auto"/>
          <w:highlight w:val="none"/>
          <w:lang w:eastAsia="zh-CN"/>
        </w:rPr>
        <w:t>主要职责</w:t>
      </w:r>
      <w:bookmarkEnd w:id="17"/>
    </w:p>
    <w:p>
      <w:pPr>
        <w:spacing w:beforeAutospacing="0" w:line="600" w:lineRule="exact"/>
        <w:ind w:firstLine="640" w:firstLineChars="200"/>
        <w:outlineLvl w:val="2"/>
        <w:rPr>
          <w:rFonts w:hint="eastAsia" w:ascii="仿宋" w:hAnsi="仿宋" w:eastAsia="仿宋"/>
          <w:color w:val="auto"/>
          <w:sz w:val="32"/>
          <w:szCs w:val="32"/>
          <w:highlight w:val="none"/>
        </w:rPr>
      </w:pPr>
      <w:bookmarkStart w:id="20" w:name="_Toc8887"/>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一</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基本公共卫生服务方面</w:t>
      </w:r>
      <w:bookmarkEnd w:id="2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spacing w:line="600" w:lineRule="exact"/>
        <w:ind w:firstLine="640" w:firstLineChars="200"/>
        <w:outlineLvl w:val="2"/>
        <w:rPr>
          <w:rFonts w:hint="eastAsia" w:ascii="仿宋" w:hAnsi="仿宋" w:eastAsia="仿宋"/>
          <w:color w:val="auto"/>
          <w:sz w:val="32"/>
          <w:szCs w:val="32"/>
          <w:highlight w:val="none"/>
        </w:rPr>
      </w:pPr>
      <w:bookmarkStart w:id="21" w:name="_Toc7728"/>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基本医疗服务方面</w:t>
      </w:r>
      <w:bookmarkEnd w:id="21"/>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正确处理常见病，多发病，对疑难杂症进行恰当的处理与转诊；加强急诊救护体系建设，承担乡村现场应急救护，转诊和康复服务；认真执行国家基本药物制度，加强医疗质量管理及院感防控。    </w:t>
      </w:r>
    </w:p>
    <w:p>
      <w:pPr>
        <w:spacing w:line="600" w:lineRule="exact"/>
        <w:ind w:firstLine="640" w:firstLineChars="200"/>
        <w:outlineLvl w:val="2"/>
        <w:rPr>
          <w:rFonts w:hint="eastAsia" w:ascii="仿宋" w:hAnsi="仿宋" w:eastAsia="仿宋"/>
          <w:color w:val="auto"/>
          <w:sz w:val="32"/>
          <w:szCs w:val="32"/>
          <w:highlight w:val="none"/>
        </w:rPr>
      </w:pPr>
      <w:bookmarkStart w:id="22" w:name="_Toc25021"/>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基本管理服务</w:t>
      </w:r>
      <w:bookmarkEnd w:id="22"/>
    </w:p>
    <w:p>
      <w:pPr>
        <w:spacing w:afterAutospacing="0" w:line="600" w:lineRule="exact"/>
        <w:ind w:firstLine="640" w:firstLineChars="200"/>
        <w:rPr>
          <w:rFonts w:hint="eastAsia"/>
          <w:lang w:eastAsia="zh-CN"/>
        </w:rPr>
      </w:pPr>
      <w:r>
        <w:rPr>
          <w:rFonts w:hint="eastAsia" w:ascii="仿宋" w:hAnsi="仿宋" w:eastAsia="仿宋"/>
          <w:color w:val="auto"/>
          <w:sz w:val="32"/>
          <w:szCs w:val="32"/>
          <w:highlight w:val="none"/>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工作。落实健康扶贫相关政策。</w:t>
      </w:r>
    </w:p>
    <w:p>
      <w:pPr>
        <w:pStyle w:val="4"/>
        <w:numPr>
          <w:ilvl w:val="0"/>
          <w:numId w:val="1"/>
        </w:numPr>
        <w:spacing w:before="0" w:beforeAutospacing="0" w:after="0" w:afterAutospacing="0"/>
        <w:ind w:left="0" w:leftChars="0" w:firstLine="0" w:firstLineChars="0"/>
        <w:rPr>
          <w:rFonts w:hint="eastAsia" w:ascii="黑体" w:hAnsi="黑体" w:eastAsia="黑体"/>
          <w:b w:val="0"/>
          <w:color w:val="auto"/>
          <w:highlight w:val="none"/>
          <w:lang w:val="en-US" w:eastAsia="zh-CN"/>
        </w:rPr>
      </w:pPr>
      <w:bookmarkStart w:id="23" w:name="_Toc7772"/>
      <w:r>
        <w:rPr>
          <w:rFonts w:hint="eastAsia" w:ascii="黑体" w:hAnsi="黑体" w:eastAsia="黑体"/>
          <w:b w:val="0"/>
          <w:color w:val="auto"/>
          <w:highlight w:val="none"/>
          <w:lang w:val="en-US" w:eastAsia="zh-CN"/>
        </w:rPr>
        <w:t>机构设置</w:t>
      </w:r>
      <w:bookmarkEnd w:id="23"/>
    </w:p>
    <w:p>
      <w:pPr>
        <w:numPr>
          <w:ilvl w:val="0"/>
          <w:numId w:val="0"/>
        </w:numPr>
        <w:spacing w:beforeAutospacing="0" w:afterAutospacing="0"/>
        <w:ind w:leftChars="0" w:firstLine="640" w:firstLineChars="200"/>
        <w:rPr>
          <w:rFonts w:ascii="仿宋" w:hAnsi="仿宋" w:eastAsia="仿宋"/>
          <w:color w:val="auto"/>
          <w:kern w:val="0"/>
          <w:sz w:val="32"/>
          <w:szCs w:val="32"/>
          <w:highlight w:val="none"/>
        </w:rPr>
      </w:pPr>
      <w:bookmarkStart w:id="24" w:name="_Toc24467"/>
      <w:bookmarkStart w:id="25" w:name="_Toc23709"/>
      <w:r>
        <w:rPr>
          <w:rFonts w:hint="eastAsia" w:ascii="仿宋" w:hAnsi="仿宋" w:eastAsia="仿宋"/>
          <w:b w:val="0"/>
          <w:bCs w:val="0"/>
          <w:color w:val="auto"/>
          <w:sz w:val="32"/>
          <w:szCs w:val="32"/>
          <w:highlight w:val="none"/>
          <w:lang w:eastAsia="zh-CN"/>
        </w:rPr>
        <w:t>王家镇中心卫生院属于主管部门下属单位，属于二级预算单位，无下属机构。</w:t>
      </w:r>
      <w:bookmarkEnd w:id="18"/>
      <w:bookmarkEnd w:id="19"/>
      <w:bookmarkEnd w:id="24"/>
      <w:bookmarkEnd w:id="25"/>
    </w:p>
    <w:p>
      <w:pPr>
        <w:rPr>
          <w:rFonts w:hint="eastAsia" w:ascii="黑体" w:hAnsi="黑体" w:eastAsia="黑体"/>
          <w:b w:val="0"/>
          <w:bCs/>
          <w:color w:val="auto"/>
          <w:highlight w:val="none"/>
        </w:rPr>
      </w:pPr>
      <w:bookmarkStart w:id="26" w:name="_Toc15396602"/>
      <w:bookmarkStart w:id="27" w:name="_Toc5915"/>
      <w:bookmarkStart w:id="28" w:name="_Toc15377204"/>
    </w:p>
    <w:p>
      <w:pPr>
        <w:pStyle w:val="2"/>
        <w:rPr>
          <w:rFonts w:hint="eastAsia"/>
        </w:rPr>
      </w:pPr>
    </w:p>
    <w:p>
      <w:pPr>
        <w:pStyle w:val="3"/>
        <w:spacing w:before="108" w:beforeLines="34" w:beforeAutospacing="0" w:after="105" w:afterAutospacing="0"/>
        <w:ind w:right="440"/>
        <w:jc w:val="center"/>
        <w:rPr>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6"/>
      <w:bookmarkEnd w:id="27"/>
      <w:bookmarkEnd w:id="28"/>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9" w:name="_Toc15396603"/>
      <w:bookmarkStart w:id="30" w:name="_Toc15377205"/>
      <w:bookmarkStart w:id="31" w:name="_Toc5047"/>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9"/>
      <w:bookmarkEnd w:id="30"/>
      <w:bookmarkEnd w:id="31"/>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年度收、支总计967.82万元。与20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126.88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15.09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乡镇合并，机构人员增加，财政拨款收、支增加；业务收、支增加。</w:t>
      </w:r>
    </w:p>
    <w:p>
      <w:pPr>
        <w:pStyle w:val="2"/>
      </w:pPr>
      <w:r>
        <w:drawing>
          <wp:anchor distT="0" distB="0" distL="114300" distR="114300" simplePos="0" relativeHeight="251659264" behindDoc="1" locked="0" layoutInCell="1" allowOverlap="1">
            <wp:simplePos x="0" y="0"/>
            <wp:positionH relativeFrom="column">
              <wp:posOffset>690245</wp:posOffset>
            </wp:positionH>
            <wp:positionV relativeFrom="paragraph">
              <wp:posOffset>365125</wp:posOffset>
            </wp:positionV>
            <wp:extent cx="4043680" cy="1901190"/>
            <wp:effectExtent l="4445" t="4445" r="9525" b="18415"/>
            <wp:wrapTight wrapText="bothSides">
              <wp:wrapPolygon>
                <wp:start x="-24" y="-51"/>
                <wp:lineTo x="-24" y="21376"/>
                <wp:lineTo x="21549" y="21376"/>
                <wp:lineTo x="21549" y="-51"/>
                <wp:lineTo x="-24" y="-51"/>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pStyle w:val="2"/>
        <w:ind w:firstLine="640" w:firstLineChars="200"/>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2" w:name="_Toc20807"/>
      <w:bookmarkStart w:id="33" w:name="_Toc15377206"/>
      <w:bookmarkStart w:id="34"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2"/>
      <w:bookmarkEnd w:id="33"/>
      <w:bookmarkEnd w:id="34"/>
    </w:p>
    <w:p>
      <w:pPr>
        <w:spacing w:line="600" w:lineRule="exact"/>
        <w:ind w:firstLine="640" w:firstLineChars="200"/>
        <w:outlineLvl w:val="1"/>
      </w:pPr>
      <w:bookmarkStart w:id="35" w:name="_Toc1690"/>
      <w:bookmarkStart w:id="36" w:name="_Toc1052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年本年收入合计967.82万元，其中：一般公共预算财政拨款收入471.59万元，占</w:t>
      </w:r>
      <w:r>
        <w:rPr>
          <w:rFonts w:hint="eastAsia" w:ascii="仿宋" w:hAnsi="仿宋" w:eastAsia="仿宋"/>
          <w:color w:val="auto"/>
          <w:sz w:val="32"/>
          <w:szCs w:val="32"/>
          <w:highlight w:val="none"/>
          <w:lang w:val="en-US" w:eastAsia="zh-CN"/>
        </w:rPr>
        <w:t>48.73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；政府性基金预算财政拨款收入7.38万元，占</w:t>
      </w:r>
      <w:r>
        <w:rPr>
          <w:rFonts w:hint="eastAsia" w:ascii="仿宋" w:hAnsi="仿宋" w:eastAsia="仿宋"/>
          <w:color w:val="auto"/>
          <w:sz w:val="32"/>
          <w:szCs w:val="32"/>
          <w:highlight w:val="none"/>
          <w:lang w:val="en-US" w:eastAsia="zh-CN"/>
        </w:rPr>
        <w:t>0.76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事业收入488.85万元，占</w:t>
      </w:r>
      <w:r>
        <w:rPr>
          <w:rFonts w:hint="eastAsia" w:ascii="仿宋" w:hAnsi="仿宋" w:eastAsia="仿宋"/>
          <w:color w:val="auto"/>
          <w:sz w:val="32"/>
          <w:szCs w:val="32"/>
          <w:highlight w:val="none"/>
          <w:lang w:val="en-US" w:eastAsia="zh-CN"/>
        </w:rPr>
        <w:t>50.51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5"/>
      <w:bookmarkEnd w:id="36"/>
    </w:p>
    <w:p>
      <w:pPr>
        <w:spacing w:line="600" w:lineRule="exact"/>
      </w:pPr>
      <w:r>
        <w:drawing>
          <wp:anchor distT="0" distB="0" distL="114300" distR="114300" simplePos="0" relativeHeight="251660288" behindDoc="1" locked="0" layoutInCell="1" allowOverlap="1">
            <wp:simplePos x="0" y="0"/>
            <wp:positionH relativeFrom="column">
              <wp:posOffset>528320</wp:posOffset>
            </wp:positionH>
            <wp:positionV relativeFrom="paragraph">
              <wp:posOffset>90805</wp:posOffset>
            </wp:positionV>
            <wp:extent cx="4225290" cy="1823085"/>
            <wp:effectExtent l="4445" t="4445" r="18415" b="20320"/>
            <wp:wrapTight wrapText="bothSides">
              <wp:wrapPolygon>
                <wp:start x="-23" y="-53"/>
                <wp:lineTo x="-23" y="21389"/>
                <wp:lineTo x="21499" y="21389"/>
                <wp:lineTo x="21499" y="-53"/>
                <wp:lineTo x="-23" y="-53"/>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pPr>
    </w:p>
    <w:p>
      <w:pPr>
        <w:spacing w:line="600" w:lineRule="exact"/>
      </w:pPr>
    </w:p>
    <w:p>
      <w:pPr>
        <w:spacing w:line="600" w:lineRule="exact"/>
      </w:pPr>
    </w:p>
    <w:p>
      <w:pPr>
        <w:spacing w:line="600" w:lineRule="exact"/>
        <w:rPr>
          <w:rFonts w:ascii="仿宋_GB2312" w:eastAsia="仿宋_GB2312"/>
          <w:color w:val="auto"/>
          <w:sz w:val="32"/>
          <w:szCs w:val="32"/>
          <w:highlight w:val="none"/>
        </w:rPr>
      </w:pPr>
    </w:p>
    <w:p>
      <w:pPr>
        <w:pStyle w:val="2"/>
        <w:jc w:val="center"/>
      </w:pPr>
      <w:r>
        <w:rPr>
          <w:rFonts w:hint="eastAsia" w:ascii="仿宋" w:eastAsia="仿宋"/>
          <w:color w:val="auto"/>
          <w:sz w:val="32"/>
          <w:szCs w:val="32"/>
          <w:highlight w:val="none"/>
        </w:rPr>
        <w:t>（图2：收入决算结构图）（饼状图）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7" w:name="_Toc15377207"/>
      <w:bookmarkStart w:id="38" w:name="_Toc17416"/>
      <w:bookmarkStart w:id="39"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7"/>
      <w:bookmarkEnd w:id="38"/>
      <w:bookmarkEnd w:id="39"/>
    </w:p>
    <w:p>
      <w:pPr>
        <w:spacing w:line="600" w:lineRule="exact"/>
        <w:ind w:firstLine="640" w:firstLineChars="200"/>
        <w:outlineLvl w:val="1"/>
        <w:rPr>
          <w:rFonts w:ascii="仿宋" w:hAnsi="仿宋" w:eastAsia="仿宋"/>
          <w:color w:val="auto"/>
          <w:sz w:val="32"/>
          <w:szCs w:val="32"/>
          <w:highlight w:val="none"/>
        </w:rPr>
      </w:pPr>
      <w:bookmarkStart w:id="40" w:name="_Toc15675"/>
      <w:bookmarkStart w:id="41" w:name="_Toc325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年本年支出合计967.82万元，其中：基本支出865.95万元，占</w:t>
      </w:r>
      <w:r>
        <w:rPr>
          <w:rFonts w:hint="eastAsia" w:ascii="仿宋" w:hAnsi="仿宋" w:eastAsia="仿宋"/>
          <w:color w:val="auto"/>
          <w:sz w:val="32"/>
          <w:szCs w:val="32"/>
          <w:highlight w:val="none"/>
          <w:lang w:val="en-US" w:eastAsia="zh-CN"/>
        </w:rPr>
        <w:t>89.47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；项目支出101.87万元，占</w:t>
      </w:r>
      <w:r>
        <w:rPr>
          <w:rFonts w:hint="eastAsia" w:ascii="仿宋" w:hAnsi="仿宋" w:eastAsia="仿宋"/>
          <w:color w:val="auto"/>
          <w:sz w:val="32"/>
          <w:szCs w:val="32"/>
          <w:highlight w:val="none"/>
          <w:lang w:val="en-US" w:eastAsia="zh-CN"/>
        </w:rPr>
        <w:t>10.53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0"/>
      <w:bookmarkEnd w:id="41"/>
    </w:p>
    <w:p>
      <w:pPr>
        <w:spacing w:line="600" w:lineRule="exact"/>
      </w:pPr>
      <w:r>
        <w:drawing>
          <wp:anchor distT="0" distB="0" distL="114300" distR="114300" simplePos="0" relativeHeight="251661312" behindDoc="1" locked="0" layoutInCell="1" allowOverlap="1">
            <wp:simplePos x="0" y="0"/>
            <wp:positionH relativeFrom="column">
              <wp:posOffset>566420</wp:posOffset>
            </wp:positionH>
            <wp:positionV relativeFrom="paragraph">
              <wp:posOffset>356870</wp:posOffset>
            </wp:positionV>
            <wp:extent cx="4196080" cy="1894205"/>
            <wp:effectExtent l="4445" t="4445" r="9525" b="6350"/>
            <wp:wrapTight wrapText="bothSides">
              <wp:wrapPolygon>
                <wp:start x="-23" y="-51"/>
                <wp:lineTo x="-23" y="21455"/>
                <wp:lineTo x="21551" y="21455"/>
                <wp:lineTo x="21551" y="-51"/>
                <wp:lineTo x="-23" y="-51"/>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auto"/>
          <w:sz w:val="32"/>
          <w:szCs w:val="32"/>
          <w:highlight w:val="none"/>
        </w:rPr>
      </w:pPr>
    </w:p>
    <w:p>
      <w:pPr>
        <w:spacing w:line="600" w:lineRule="exact"/>
        <w:ind w:firstLine="1600" w:firstLineChars="500"/>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42" w:name="_Toc8223"/>
      <w:bookmarkStart w:id="43" w:name="_Toc15377208"/>
      <w:bookmarkStart w:id="44"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2"/>
      <w:bookmarkEnd w:id="43"/>
      <w:bookmarkEnd w:id="44"/>
    </w:p>
    <w:p>
      <w:pPr>
        <w:spacing w:line="600"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年财政拨款收、支总计478.98万元。与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60.33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14.41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乡镇合并，机构人员增加，财政拨款收、支增加。</w:t>
      </w:r>
    </w:p>
    <w:p>
      <w:pPr>
        <w:spacing w:line="600" w:lineRule="exact"/>
        <w:ind w:firstLine="420" w:firstLineChars="200"/>
      </w:pPr>
      <w:r>
        <w:drawing>
          <wp:anchor distT="0" distB="0" distL="114300" distR="114300" simplePos="0" relativeHeight="251662336" behindDoc="1" locked="0" layoutInCell="1" allowOverlap="1">
            <wp:simplePos x="0" y="0"/>
            <wp:positionH relativeFrom="column">
              <wp:posOffset>623570</wp:posOffset>
            </wp:positionH>
            <wp:positionV relativeFrom="paragraph">
              <wp:posOffset>223520</wp:posOffset>
            </wp:positionV>
            <wp:extent cx="3951605" cy="1655445"/>
            <wp:effectExtent l="4445" t="4445" r="6350" b="16510"/>
            <wp:wrapTight wrapText="bothSides">
              <wp:wrapPolygon>
                <wp:start x="-24" y="-58"/>
                <wp:lineTo x="-24" y="21318"/>
                <wp:lineTo x="21531" y="21318"/>
                <wp:lineTo x="21531" y="-58"/>
                <wp:lineTo x="-24" y="-58"/>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auto"/>
          <w:sz w:val="32"/>
          <w:szCs w:val="32"/>
          <w:highlight w:val="none"/>
        </w:rPr>
      </w:pP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45" w:name="_Toc15377209"/>
      <w:bookmarkStart w:id="46" w:name="_Toc15396607"/>
      <w:bookmarkStart w:id="47" w:name="_Toc9005"/>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color w:val="auto"/>
          <w:sz w:val="32"/>
          <w:szCs w:val="32"/>
          <w:highlight w:val="none"/>
        </w:rPr>
      </w:pPr>
      <w:bookmarkStart w:id="48" w:name="_Toc4416"/>
      <w:bookmarkStart w:id="49" w:name="_Toc15377210"/>
      <w:r>
        <w:rPr>
          <w:rFonts w:hint="eastAsia" w:ascii="仿宋" w:hAnsi="仿宋" w:eastAsia="仿宋"/>
          <w:b/>
          <w:color w:val="auto"/>
          <w:sz w:val="32"/>
          <w:szCs w:val="32"/>
          <w:highlight w:val="none"/>
        </w:rPr>
        <w:t>（一）一般公共预算财政拨款支出决算总体情况</w:t>
      </w:r>
      <w:bookmarkEnd w:id="48"/>
      <w:bookmarkEnd w:id="4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年一般公共预算财政拨款支出471.59万元，占本年支出合计的</w:t>
      </w:r>
      <w:r>
        <w:rPr>
          <w:rFonts w:hint="eastAsia" w:ascii="仿宋" w:hAnsi="仿宋" w:eastAsia="仿宋"/>
          <w:color w:val="auto"/>
          <w:sz w:val="32"/>
          <w:szCs w:val="32"/>
          <w:highlight w:val="none"/>
          <w:lang w:val="en-US" w:eastAsia="zh-CN"/>
        </w:rPr>
        <w:t>48.73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52.94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12.65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乡镇合并，机构人员增加，财政拨款收、支增加。</w:t>
      </w:r>
    </w:p>
    <w:p>
      <w:pPr>
        <w:spacing w:line="600" w:lineRule="exact"/>
        <w:ind w:firstLine="420" w:firstLineChars="200"/>
      </w:pPr>
      <w:bookmarkStart w:id="123" w:name="_GoBack"/>
      <w:bookmarkEnd w:id="123"/>
      <w:r>
        <w:drawing>
          <wp:anchor distT="0" distB="0" distL="114300" distR="114300" simplePos="0" relativeHeight="251663360" behindDoc="1" locked="0" layoutInCell="1" allowOverlap="1">
            <wp:simplePos x="0" y="0"/>
            <wp:positionH relativeFrom="column">
              <wp:posOffset>814070</wp:posOffset>
            </wp:positionH>
            <wp:positionV relativeFrom="paragraph">
              <wp:posOffset>194945</wp:posOffset>
            </wp:positionV>
            <wp:extent cx="3502660" cy="1714500"/>
            <wp:effectExtent l="4445" t="4445" r="17145" b="14605"/>
            <wp:wrapTight wrapText="bothSides">
              <wp:wrapPolygon>
                <wp:start x="-27" y="-56"/>
                <wp:lineTo x="-27" y="21544"/>
                <wp:lineTo x="21471" y="21544"/>
                <wp:lineTo x="21471" y="-56"/>
                <wp:lineTo x="-27" y="-56"/>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50" w:name="_Toc15377211"/>
      <w:bookmarkStart w:id="51" w:name="_Toc12803"/>
      <w:r>
        <w:rPr>
          <w:rFonts w:hint="eastAsia" w:ascii="仿宋" w:hAnsi="仿宋" w:eastAsia="仿宋"/>
          <w:b/>
          <w:color w:val="auto"/>
          <w:sz w:val="32"/>
          <w:szCs w:val="32"/>
          <w:highlight w:val="none"/>
        </w:rPr>
        <w:t>（二）一般公共预算财政拨款支出决算结构情况</w:t>
      </w:r>
      <w:bookmarkEnd w:id="50"/>
      <w:bookmarkEnd w:id="51"/>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年一般公共预算财政拨款支出471.59万元，主要用于以下方面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支出45.16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卫生健康支出379.1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80.39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住房保障支出47.35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spacing w:line="600" w:lineRule="exact"/>
        <w:ind w:firstLine="420" w:firstLineChars="200"/>
      </w:pPr>
      <w:r>
        <w:drawing>
          <wp:anchor distT="0" distB="0" distL="114300" distR="114300" simplePos="0" relativeHeight="251664384" behindDoc="1" locked="0" layoutInCell="1" allowOverlap="1">
            <wp:simplePos x="0" y="0"/>
            <wp:positionH relativeFrom="column">
              <wp:posOffset>575945</wp:posOffset>
            </wp:positionH>
            <wp:positionV relativeFrom="paragraph">
              <wp:posOffset>99695</wp:posOffset>
            </wp:positionV>
            <wp:extent cx="4041140" cy="2049780"/>
            <wp:effectExtent l="4445" t="4445" r="12065" b="22225"/>
            <wp:wrapTight wrapText="bothSides">
              <wp:wrapPolygon>
                <wp:start x="-24" y="-47"/>
                <wp:lineTo x="-24" y="21433"/>
                <wp:lineTo x="21563" y="21433"/>
                <wp:lineTo x="21563" y="-47"/>
                <wp:lineTo x="-24" y="-47"/>
              </wp:wrapPolygon>
            </wp:wrapTight>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52" w:name="_Toc15377212"/>
      <w:bookmarkStart w:id="53" w:name="_Toc23738"/>
      <w:r>
        <w:rPr>
          <w:rFonts w:hint="eastAsia" w:ascii="仿宋" w:hAnsi="仿宋" w:eastAsia="仿宋"/>
          <w:b/>
          <w:color w:val="auto"/>
          <w:sz w:val="32"/>
          <w:szCs w:val="32"/>
          <w:highlight w:val="none"/>
        </w:rPr>
        <w:t>（三）一般公共预算财政拨款支出决算具体情况</w:t>
      </w:r>
      <w:bookmarkEnd w:id="52"/>
      <w:bookmarkEnd w:id="53"/>
    </w:p>
    <w:p>
      <w:pPr>
        <w:spacing w:line="600" w:lineRule="exact"/>
        <w:ind w:firstLine="643" w:firstLineChars="200"/>
        <w:outlineLvl w:val="1"/>
        <w:rPr>
          <w:rFonts w:ascii="仿宋" w:hAnsi="仿宋" w:eastAsia="仿宋"/>
          <w:color w:val="auto"/>
          <w:sz w:val="32"/>
          <w:szCs w:val="32"/>
          <w:highlight w:val="none"/>
        </w:rPr>
      </w:pPr>
      <w:bookmarkStart w:id="54" w:name="_Toc3012"/>
      <w:bookmarkStart w:id="55" w:name="_Toc15377444"/>
      <w:bookmarkStart w:id="56" w:name="_Toc15378460"/>
      <w:bookmarkStart w:id="57" w:name="_Toc5285"/>
      <w:bookmarkStart w:id="58"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般公共预算支出决算数为471.59</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54"/>
      <w:bookmarkEnd w:id="55"/>
      <w:bookmarkEnd w:id="56"/>
      <w:bookmarkEnd w:id="57"/>
      <w:bookmarkEnd w:id="58"/>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社会保障和就业（类）行政事业单位养老支出（款）机关事业单位基本养老保险缴费支出（项）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29.77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2.</w:t>
      </w:r>
      <w:r>
        <w:rPr>
          <w:rStyle w:val="16"/>
          <w:rFonts w:hint="eastAsia" w:ascii="仿宋" w:hAnsi="仿宋" w:eastAsia="仿宋"/>
          <w:bCs/>
          <w:color w:val="auto"/>
          <w:sz w:val="32"/>
          <w:szCs w:val="32"/>
          <w:highlight w:val="none"/>
        </w:rPr>
        <w:t>社会保障和就业（类）行政事业单位养老支出（款）机关事业单位职业年金缴费支出（项）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15.39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（类）基层医疗卫生机构（款）乡镇卫生院（项）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316.79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ascii="仿宋" w:hAnsi="仿宋" w:eastAsia="仿宋"/>
          <w:bCs/>
          <w:color w:val="auto"/>
          <w:sz w:val="32"/>
          <w:szCs w:val="32"/>
          <w:highlight w:val="none"/>
        </w:rPr>
        <w:t>4.</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（类）基层医疗卫生机构（款）其他基层医疗卫生机构支出（项）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26.27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ind w:firstLine="643" w:firstLineChars="200"/>
        <w:rPr>
          <w:rFonts w:hint="default"/>
          <w:lang w:val="en-US" w:eastAsia="zh-CN"/>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（类）行政事业单位医疗（款）事业单位医疗（项）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36.04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6</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住房保障（类）住房改革支出（款）住房公积金（项）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47.35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7"/>
          <w:color w:val="auto"/>
          <w:highlight w:val="none"/>
        </w:rPr>
      </w:pPr>
      <w:bookmarkStart w:id="59" w:name="_Toc15396608"/>
      <w:bookmarkStart w:id="60" w:name="_Toc11908"/>
      <w:bookmarkStart w:id="6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9"/>
      <w:bookmarkEnd w:id="60"/>
      <w:bookmarkEnd w:id="61"/>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年一般公共预算财政拨款基本支出377.11万元，其中：</w:t>
      </w:r>
    </w:p>
    <w:p>
      <w:pPr>
        <w:spacing w:line="600" w:lineRule="exac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人员经费376.59万元，主要包括：基本工资135.71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、绩效工资112.35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、机关事业单位基本养老保险缴费29.77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、职业年金缴费15.39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36.04</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47.35</w:t>
      </w:r>
      <w:r>
        <w:rPr>
          <w:rFonts w:hint="eastAsia" w:ascii="仿宋" w:hAnsi="仿宋" w:eastAsia="仿宋"/>
          <w:color w:val="auto"/>
          <w:sz w:val="32"/>
          <w:szCs w:val="32"/>
          <w:highlight w:val="none"/>
        </w:rPr>
        <w:t>万元。</w:t>
      </w:r>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公用经费0.52万元，主要包括：邮电费</w:t>
      </w:r>
      <w:r>
        <w:rPr>
          <w:rFonts w:hint="eastAsia" w:ascii="仿宋" w:hAnsi="仿宋" w:eastAsia="仿宋"/>
          <w:color w:val="auto"/>
          <w:sz w:val="32"/>
          <w:szCs w:val="32"/>
          <w:highlight w:val="none"/>
          <w:lang w:val="en-US" w:eastAsia="zh-CN"/>
        </w:rPr>
        <w:t>0.52万元。</w:t>
      </w:r>
    </w:p>
    <w:p>
      <w:pPr>
        <w:spacing w:line="600" w:lineRule="exact"/>
        <w:rPr>
          <w:rFonts w:ascii="仿宋" w:hAnsi="仿宋" w:eastAsia="仿宋"/>
          <w:b/>
          <w:color w:val="auto"/>
          <w:sz w:val="32"/>
          <w:szCs w:val="32"/>
          <w:highlight w:val="none"/>
        </w:rPr>
      </w:pPr>
    </w:p>
    <w:p>
      <w:pPr>
        <w:spacing w:line="600" w:lineRule="exact"/>
        <w:ind w:firstLine="640"/>
        <w:outlineLvl w:val="1"/>
        <w:rPr>
          <w:rStyle w:val="27"/>
          <w:rFonts w:ascii="黑体" w:hAnsi="黑体" w:eastAsia="黑体"/>
          <w:b w:val="0"/>
          <w:color w:val="auto"/>
          <w:highlight w:val="none"/>
        </w:rPr>
      </w:pPr>
      <w:bookmarkStart w:id="62" w:name="_Toc15377215"/>
      <w:bookmarkStart w:id="63" w:name="_Toc15962"/>
      <w:bookmarkStart w:id="64" w:name="_Toc15396609"/>
      <w:bookmarkStart w:id="65" w:name="_Toc4818"/>
      <w:bookmarkStart w:id="66" w:name="_Toc15377218"/>
      <w:bookmarkStart w:id="67" w:name="_Toc15396610"/>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62"/>
      <w:bookmarkEnd w:id="63"/>
      <w:bookmarkEnd w:id="64"/>
      <w:bookmarkEnd w:id="65"/>
    </w:p>
    <w:p>
      <w:pPr>
        <w:spacing w:line="600" w:lineRule="exact"/>
        <w:ind w:firstLine="640"/>
        <w:outlineLvl w:val="2"/>
        <w:rPr>
          <w:rFonts w:ascii="仿宋" w:hAnsi="仿宋" w:eastAsia="仿宋"/>
          <w:b/>
          <w:color w:val="auto"/>
          <w:sz w:val="32"/>
          <w:szCs w:val="32"/>
          <w:highlight w:val="none"/>
        </w:rPr>
      </w:pPr>
      <w:bookmarkStart w:id="68" w:name="_Toc20359"/>
      <w:bookmarkStart w:id="69" w:name="_Toc15377216"/>
      <w:r>
        <w:rPr>
          <w:rFonts w:hint="eastAsia" w:ascii="仿宋" w:hAnsi="仿宋" w:eastAsia="仿宋"/>
          <w:b/>
          <w:color w:val="auto"/>
          <w:sz w:val="32"/>
          <w:szCs w:val="32"/>
          <w:highlight w:val="none"/>
        </w:rPr>
        <w:t>（一）“三公”经费财政拨款支出决算总体情况说明</w:t>
      </w:r>
      <w:bookmarkEnd w:id="68"/>
      <w:bookmarkEnd w:id="6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0" w:name="_Toc15377217"/>
      <w:bookmarkStart w:id="71" w:name="_Toc7971"/>
      <w:r>
        <w:rPr>
          <w:rFonts w:hint="eastAsia" w:ascii="仿宋" w:hAnsi="仿宋" w:eastAsia="仿宋"/>
          <w:b/>
          <w:color w:val="auto"/>
          <w:sz w:val="32"/>
          <w:szCs w:val="32"/>
          <w:highlight w:val="none"/>
        </w:rPr>
        <w:t>（二）“三公”经费财政拨款支出决算具体情况说明</w:t>
      </w:r>
      <w:bookmarkEnd w:id="70"/>
      <w:bookmarkEnd w:id="7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0"/>
        <w:rPr>
          <w:rStyle w:val="16"/>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7"/>
          <w:rFonts w:ascii="黑体" w:hAnsi="黑体" w:eastAsia="黑体"/>
          <w:color w:val="auto"/>
          <w:highlight w:val="none"/>
        </w:rPr>
      </w:pPr>
      <w:bookmarkStart w:id="72" w:name="_Toc5977"/>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6"/>
      <w:bookmarkEnd w:id="67"/>
      <w:bookmarkEnd w:id="7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拨款支出7.38万元。</w:t>
      </w:r>
    </w:p>
    <w:p>
      <w:pPr>
        <w:numPr>
          <w:ilvl w:val="0"/>
          <w:numId w:val="3"/>
        </w:numPr>
        <w:spacing w:line="600" w:lineRule="exact"/>
        <w:ind w:firstLine="640"/>
        <w:outlineLvl w:val="1"/>
        <w:rPr>
          <w:rStyle w:val="27"/>
          <w:rFonts w:ascii="黑体" w:hAnsi="黑体" w:eastAsia="黑体"/>
          <w:b w:val="0"/>
          <w:color w:val="auto"/>
          <w:highlight w:val="none"/>
        </w:rPr>
      </w:pPr>
      <w:bookmarkStart w:id="73" w:name="_Toc15377219"/>
      <w:bookmarkStart w:id="74" w:name="_Toc26691"/>
      <w:bookmarkStart w:id="75" w:name="_Toc15396611"/>
      <w:r>
        <w:rPr>
          <w:rStyle w:val="27"/>
          <w:rFonts w:hint="eastAsia" w:ascii="黑体" w:hAnsi="黑体" w:eastAsia="黑体"/>
          <w:b w:val="0"/>
          <w:color w:val="auto"/>
          <w:highlight w:val="none"/>
        </w:rPr>
        <w:t>国有资本经营预算支出决算情况说明</w:t>
      </w:r>
      <w:bookmarkEnd w:id="73"/>
      <w:bookmarkEnd w:id="74"/>
      <w:bookmarkEnd w:id="75"/>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76" w:name="_Toc15377221"/>
      <w:bookmarkStart w:id="77" w:name="_Toc15396612"/>
      <w:bookmarkStart w:id="78" w:name="_Toc15569"/>
      <w:r>
        <w:rPr>
          <w:rStyle w:val="27"/>
          <w:rFonts w:hint="eastAsia" w:ascii="黑体" w:hAnsi="黑体" w:eastAsia="黑体"/>
          <w:b w:val="0"/>
          <w:color w:val="auto"/>
          <w:highlight w:val="none"/>
        </w:rPr>
        <w:t>其他重要事项的情况说明</w:t>
      </w:r>
      <w:bookmarkEnd w:id="76"/>
      <w:bookmarkEnd w:id="77"/>
      <w:bookmarkEnd w:id="78"/>
    </w:p>
    <w:p>
      <w:pPr>
        <w:spacing w:line="600" w:lineRule="exact"/>
        <w:ind w:firstLine="643" w:firstLineChars="200"/>
        <w:outlineLvl w:val="2"/>
        <w:rPr>
          <w:rFonts w:ascii="仿宋" w:hAnsi="仿宋" w:eastAsia="仿宋"/>
          <w:color w:val="auto"/>
          <w:sz w:val="32"/>
          <w:szCs w:val="32"/>
          <w:highlight w:val="none"/>
        </w:rPr>
      </w:pPr>
      <w:bookmarkStart w:id="79" w:name="_Toc19830"/>
      <w:bookmarkStart w:id="80" w:name="_Toc15377222"/>
      <w:r>
        <w:rPr>
          <w:rFonts w:hint="eastAsia" w:ascii="仿宋" w:hAnsi="仿宋" w:eastAsia="仿宋"/>
          <w:b/>
          <w:color w:val="auto"/>
          <w:sz w:val="32"/>
          <w:szCs w:val="32"/>
          <w:highlight w:val="none"/>
        </w:rPr>
        <w:t>（一）机关运行经费支出情况</w:t>
      </w:r>
      <w:bookmarkEnd w:id="79"/>
      <w:bookmarkEnd w:id="80"/>
    </w:p>
    <w:p>
      <w:pPr>
        <w:spacing w:line="60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1" w:name="_Toc1036"/>
      <w:bookmarkStart w:id="82" w:name="_Toc15377223"/>
      <w:r>
        <w:rPr>
          <w:rFonts w:hint="eastAsia" w:ascii="仿宋" w:hAnsi="仿宋" w:eastAsia="仿宋"/>
          <w:b/>
          <w:color w:val="auto"/>
          <w:sz w:val="32"/>
          <w:szCs w:val="32"/>
          <w:highlight w:val="none"/>
        </w:rPr>
        <w:t>（二）政府采购支出情况</w:t>
      </w:r>
      <w:bookmarkEnd w:id="81"/>
      <w:bookmarkEnd w:id="8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年，四川省广元市昭化区王家镇中心卫生院政府采购支出总额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3" w:name="_Toc11369"/>
      <w:bookmarkStart w:id="84" w:name="_Toc15377224"/>
      <w:r>
        <w:rPr>
          <w:rFonts w:hint="eastAsia" w:ascii="仿宋" w:hAnsi="仿宋" w:eastAsia="仿宋"/>
          <w:b/>
          <w:color w:val="auto"/>
          <w:sz w:val="32"/>
          <w:szCs w:val="32"/>
          <w:highlight w:val="none"/>
        </w:rPr>
        <w:t>（三）国有资产占有使用情况</w:t>
      </w:r>
      <w:bookmarkEnd w:id="83"/>
      <w:bookmarkEnd w:id="84"/>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85" w:name="_Toc32230"/>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日，四川省广元市昭化区王家镇中心卫生院共有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85"/>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86" w:name="_Toc23781"/>
      <w:r>
        <w:rPr>
          <w:rFonts w:hint="eastAsia" w:ascii="仿宋" w:hAnsi="仿宋" w:eastAsia="仿宋"/>
          <w:b/>
          <w:color w:val="auto"/>
          <w:sz w:val="32"/>
          <w:szCs w:val="32"/>
          <w:highlight w:val="none"/>
        </w:rPr>
        <w:t>（四）预算绩效管理情况</w:t>
      </w:r>
      <w:bookmarkEnd w:id="86"/>
    </w:p>
    <w:p>
      <w:pPr>
        <w:pStyle w:val="2"/>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3个</w:t>
      </w:r>
      <w:r>
        <w:rPr>
          <w:rFonts w:hint="eastAsia" w:ascii="仿宋_GB2312" w:hAnsi="仿宋_GB2312" w:eastAsia="仿宋_GB2312" w:cs="仿宋_GB2312"/>
          <w:color w:val="auto"/>
          <w:sz w:val="32"/>
          <w:szCs w:val="32"/>
          <w:highlight w:val="none"/>
        </w:rPr>
        <w:t>项目</w:t>
      </w:r>
      <w:r>
        <w:rPr>
          <w:rFonts w:hint="eastAsia" w:hAnsi="仿宋_GB2312" w:cs="仿宋_GB2312"/>
          <w:color w:val="auto"/>
          <w:sz w:val="32"/>
          <w:szCs w:val="32"/>
          <w:highlight w:val="none"/>
          <w:lang w:eastAsia="zh-CN"/>
        </w:rPr>
        <w:t>基本公共卫生、基本药物制度、二类疫苗服务费</w:t>
      </w:r>
      <w:r>
        <w:rPr>
          <w:rFonts w:hint="eastAsia" w:ascii="仿宋_GB2312" w:hAnsi="仿宋_GB2312" w:eastAsia="仿宋_GB2312" w:cs="仿宋_GB2312"/>
          <w:color w:val="auto"/>
          <w:sz w:val="32"/>
          <w:szCs w:val="32"/>
          <w:highlight w:val="none"/>
        </w:rPr>
        <w:t>开展了预算事前绩效评估，</w:t>
      </w:r>
      <w:r>
        <w:rPr>
          <w:rFonts w:hint="eastAsia" w:hAnsi="仿宋_GB2312" w:cs="仿宋_GB2312"/>
          <w:color w:val="auto"/>
          <w:sz w:val="32"/>
          <w:szCs w:val="32"/>
          <w:highlight w:val="none"/>
          <w:lang w:eastAsia="zh-CN"/>
        </w:rPr>
        <w:t>并对这</w:t>
      </w:r>
      <w:r>
        <w:rPr>
          <w:rFonts w:hint="eastAsia" w:hAnsi="仿宋_GB2312" w:cs="仿宋_GB2312"/>
          <w:color w:val="auto"/>
          <w:sz w:val="32"/>
          <w:szCs w:val="32"/>
          <w:highlight w:val="none"/>
          <w:lang w:val="en-US" w:eastAsia="zh-CN"/>
        </w:rPr>
        <w:t>3</w:t>
      </w:r>
      <w:r>
        <w:rPr>
          <w:rFonts w:hint="eastAsia" w:hAnsi="仿宋_GB2312" w:cs="仿宋_GB2312"/>
          <w:color w:val="auto"/>
          <w:sz w:val="32"/>
          <w:szCs w:val="32"/>
          <w:highlight w:val="none"/>
          <w:lang w:eastAsia="zh-CN"/>
        </w:rPr>
        <w:t>个项目</w:t>
      </w:r>
      <w:r>
        <w:rPr>
          <w:rFonts w:hint="eastAsia" w:ascii="仿宋_GB2312" w:hAnsi="仿宋_GB2312" w:eastAsia="仿宋_GB2312" w:cs="仿宋_GB2312"/>
          <w:color w:val="auto"/>
          <w:sz w:val="32"/>
          <w:szCs w:val="32"/>
          <w:highlight w:val="none"/>
        </w:rPr>
        <w:t>编制了绩效目标</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开展绩效监控，组织对</w:t>
      </w:r>
      <w:r>
        <w:rPr>
          <w:rFonts w:hint="eastAsia" w:hAnsi="仿宋_GB2312" w:cs="仿宋_GB2312"/>
          <w:color w:val="auto"/>
          <w:sz w:val="32"/>
          <w:szCs w:val="32"/>
          <w:highlight w:val="none"/>
          <w:lang w:eastAsia="zh-CN"/>
        </w:rPr>
        <w:t>该项目</w:t>
      </w:r>
      <w:r>
        <w:rPr>
          <w:rFonts w:hint="eastAsia" w:ascii="仿宋_GB2312" w:hAnsi="仿宋_GB2312" w:eastAsia="仿宋_GB2312" w:cs="仿宋_GB2312"/>
          <w:color w:val="auto"/>
          <w:sz w:val="32"/>
          <w:szCs w:val="32"/>
          <w:highlight w:val="none"/>
        </w:rPr>
        <w:t>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spacing w:line="5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基本公共卫生项目绩效目标完成情况综述。项目全年预算数</w:t>
      </w:r>
      <w:r>
        <w:rPr>
          <w:rFonts w:hint="eastAsia" w:ascii="仿宋_GB2312" w:hAnsi="黑体" w:eastAsia="仿宋_GB2312" w:cs="仿宋_GB2312"/>
          <w:sz w:val="32"/>
          <w:szCs w:val="32"/>
          <w:lang w:val="en-US" w:eastAsia="zh-CN"/>
        </w:rPr>
        <w:t>68.22</w:t>
      </w:r>
      <w:r>
        <w:rPr>
          <w:rFonts w:hint="eastAsia" w:ascii="仿宋_GB2312" w:hAnsi="黑体" w:eastAsia="仿宋_GB2312" w:cs="仿宋_GB2312"/>
          <w:sz w:val="32"/>
          <w:szCs w:val="32"/>
        </w:rPr>
        <w:t>万元，执行数为</w:t>
      </w:r>
      <w:r>
        <w:rPr>
          <w:rFonts w:hint="eastAsia" w:ascii="仿宋_GB2312" w:hAnsi="黑体" w:eastAsia="仿宋_GB2312" w:cs="仿宋_GB2312"/>
          <w:sz w:val="32"/>
          <w:szCs w:val="32"/>
          <w:lang w:val="en-US" w:eastAsia="zh-CN"/>
        </w:rPr>
        <w:t>68.22</w:t>
      </w:r>
      <w:r>
        <w:rPr>
          <w:rFonts w:hint="eastAsia" w:ascii="仿宋_GB2312" w:hAnsi="黑体" w:eastAsia="仿宋_GB2312" w:cs="仿宋_GB2312"/>
          <w:sz w:val="32"/>
          <w:szCs w:val="32"/>
        </w:rPr>
        <w:t>万元，完成预算的100%。</w:t>
      </w:r>
    </w:p>
    <w:p>
      <w:pPr>
        <w:spacing w:line="580" w:lineRule="exact"/>
        <w:rPr>
          <w:rFonts w:hint="eastAsia" w:ascii="仿宋_GB2312" w:hAnsi="黑体" w:eastAsia="仿宋_GB2312"/>
          <w:color w:val="000000"/>
          <w:sz w:val="32"/>
          <w:szCs w:val="32"/>
        </w:rPr>
      </w:pPr>
      <w:r>
        <w:rPr>
          <w:rFonts w:hint="eastAsia" w:ascii="仿宋_GB2312" w:hAnsi="黑体" w:eastAsia="仿宋_GB2312" w:cs="仿宋_GB2312"/>
          <w:sz w:val="32"/>
          <w:szCs w:val="32"/>
        </w:rPr>
        <w:t>我院扎实推进基本公共卫生服务项目工作，严格按照《国家基本公共卫生服务规范》（第三版）的要求，将基本公共卫生服务与基本医疗有机地结合，坚持优质服务，提高效益，保证居民人人享有基本公共卫生服务，使城乡居民生活</w:t>
      </w:r>
      <w:r>
        <w:rPr>
          <w:rFonts w:hint="eastAsia" w:ascii="仿宋_GB2312" w:hAnsi="黑体" w:eastAsia="仿宋_GB2312"/>
          <w:sz w:val="32"/>
          <w:szCs w:val="32"/>
        </w:rPr>
        <w:t>质量和健康水平显著提高。</w:t>
      </w:r>
      <w:r>
        <w:rPr>
          <w:rFonts w:hint="eastAsia" w:ascii="仿宋_GB2312" w:hAnsi="黑体" w:eastAsia="仿宋_GB2312"/>
          <w:color w:val="000000"/>
          <w:sz w:val="32"/>
          <w:szCs w:val="32"/>
        </w:rPr>
        <w:t>单位整体支出绩效自评开展情况。</w:t>
      </w:r>
      <w:r>
        <w:rPr>
          <w:rFonts w:hint="eastAsia" w:ascii="仿宋_GB2312" w:hAnsi="黑体" w:eastAsia="仿宋_GB2312" w:cs="仿宋_GB2312"/>
          <w:sz w:val="32"/>
          <w:szCs w:val="32"/>
        </w:rPr>
        <w:t>本单位按要求对202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年单位整体支出开展绩效自评，</w:t>
      </w:r>
      <w:r>
        <w:rPr>
          <w:rFonts w:hint="eastAsia" w:ascii="仿宋_GB2312" w:hAnsi="黑体" w:eastAsia="仿宋_GB2312"/>
          <w:color w:val="000000"/>
          <w:sz w:val="32"/>
          <w:szCs w:val="32"/>
        </w:rPr>
        <w:t>从评价情况来看未发现虚列支出，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ind w:firstLine="640" w:firstLineChars="200"/>
        <w:rPr>
          <w:rFonts w:hint="default" w:ascii="仿宋_GB2312" w:hAnsi="黑体" w:eastAsia="仿宋_GB2312" w:cs="Times New Roman"/>
          <w:color w:val="000000"/>
          <w:kern w:val="2"/>
          <w:sz w:val="32"/>
          <w:szCs w:val="32"/>
          <w:lang w:val="en-US" w:eastAsia="zh-CN" w:bidi="ar-SA"/>
        </w:rPr>
      </w:pPr>
      <w:r>
        <w:rPr>
          <w:rFonts w:hint="eastAsia" w:ascii="仿宋_GB2312" w:hAnsi="黑体" w:eastAsia="仿宋_GB2312" w:cs="Times New Roman"/>
          <w:color w:val="000000"/>
          <w:kern w:val="2"/>
          <w:sz w:val="32"/>
          <w:szCs w:val="32"/>
          <w:lang w:val="en-US" w:eastAsia="zh-CN" w:bidi="ar-SA"/>
        </w:rPr>
        <w:t>基本药物制度项目完成情况综述。村卫生室国家基本药物制度覆盖率100%，政府办基层医疗卫生机构基本药物制度覆盖率100%，2022年</w:t>
      </w:r>
      <w:r>
        <w:rPr>
          <w:rFonts w:hint="eastAsia" w:hAnsi="黑体" w:cs="Times New Roman"/>
          <w:color w:val="000000"/>
          <w:kern w:val="2"/>
          <w:sz w:val="32"/>
          <w:szCs w:val="32"/>
          <w:lang w:val="en-US" w:eastAsia="zh-CN" w:bidi="ar-SA"/>
        </w:rPr>
        <w:t>11</w:t>
      </w:r>
      <w:r>
        <w:rPr>
          <w:rFonts w:hint="eastAsia" w:ascii="仿宋_GB2312" w:hAnsi="黑体" w:eastAsia="仿宋_GB2312" w:cs="Times New Roman"/>
          <w:color w:val="000000"/>
          <w:kern w:val="2"/>
          <w:sz w:val="32"/>
          <w:szCs w:val="32"/>
          <w:lang w:val="en-US" w:eastAsia="zh-CN" w:bidi="ar-SA"/>
        </w:rPr>
        <w:t>个村卫生室全面实施国家基本药物制度，确保基本药物制度的实施，保障药品安全、有效、经济，解决了老百姓看病贵的问题，稳定了乡村医生收入</w:t>
      </w:r>
      <w:r>
        <w:rPr>
          <w:rFonts w:hint="eastAsia" w:hAnsi="黑体" w:cs="Times New Roman"/>
          <w:color w:val="000000"/>
          <w:kern w:val="2"/>
          <w:sz w:val="32"/>
          <w:szCs w:val="32"/>
          <w:lang w:val="en-US" w:eastAsia="zh-CN" w:bidi="ar-SA"/>
        </w:rPr>
        <w:t>，</w:t>
      </w:r>
      <w:r>
        <w:rPr>
          <w:rFonts w:hint="eastAsia" w:ascii="仿宋_GB2312" w:hAnsi="仿宋_GB2312" w:eastAsia="仿宋_GB2312" w:cs="仿宋_GB2312"/>
          <w:sz w:val="32"/>
          <w:szCs w:val="32"/>
          <w:lang w:eastAsia="zh-CN"/>
        </w:rPr>
        <w:t>针对专项资金的使用，我局严格按照中央、省、市专项资金管理办法加强对资金的使用和管理，并出台了昭化区卫</w:t>
      </w:r>
      <w:r>
        <w:rPr>
          <w:rFonts w:hint="eastAsia" w:ascii="仿宋_GB2312" w:hAnsi="仿宋_GB2312" w:eastAsia="仿宋_GB2312" w:cs="仿宋_GB2312"/>
          <w:sz w:val="32"/>
          <w:szCs w:val="32"/>
          <w:lang w:val="en-US" w:eastAsia="zh-CN"/>
        </w:rPr>
        <w:t>健</w:t>
      </w:r>
      <w:r>
        <w:rPr>
          <w:rFonts w:hint="eastAsia" w:ascii="仿宋_GB2312" w:hAnsi="仿宋_GB2312" w:eastAsia="仿宋_GB2312" w:cs="仿宋_GB2312"/>
          <w:sz w:val="32"/>
          <w:szCs w:val="32"/>
          <w:lang w:eastAsia="zh-CN"/>
        </w:rPr>
        <w:t>局专项资金使用管理办法。资金下拨到各项目单位后，计划财务股严格执行项目跟踪，对项目使用情况进行监督管理，</w:t>
      </w:r>
      <w:r>
        <w:rPr>
          <w:rFonts w:hint="eastAsia" w:ascii="仿宋_GB2312" w:hAnsi="仿宋_GB2312" w:cs="仿宋_GB2312"/>
          <w:sz w:val="32"/>
          <w:szCs w:val="32"/>
          <w:lang w:val="en-US" w:eastAsia="zh-CN"/>
        </w:rPr>
        <w:t>同时要求各卫生院对村卫生室基本药物补助必须考核发放到位，没有出现挪用现象。</w:t>
      </w:r>
    </w:p>
    <w:p>
      <w:pPr>
        <w:pStyle w:val="2"/>
        <w:numPr>
          <w:ilvl w:val="0"/>
          <w:numId w:val="0"/>
        </w:numPr>
        <w:ind w:firstLine="640" w:firstLineChars="200"/>
        <w:rPr>
          <w:rFonts w:hint="eastAsia" w:ascii="仿宋_GB2312" w:eastAsia="仿宋_GB2312"/>
          <w:color w:val="000000"/>
          <w:sz w:val="32"/>
          <w:szCs w:val="32"/>
          <w:lang w:eastAsia="zh-CN"/>
        </w:rPr>
      </w:pPr>
      <w:r>
        <w:rPr>
          <w:rFonts w:hint="eastAsia"/>
          <w:color w:val="000000"/>
          <w:sz w:val="32"/>
          <w:szCs w:val="32"/>
          <w:lang w:val="en-US" w:eastAsia="zh-CN"/>
        </w:rPr>
        <w:t>二类疫苗服务费绩效评价</w:t>
      </w:r>
      <w:r>
        <w:rPr>
          <w:rFonts w:hint="eastAsia" w:ascii="仿宋_GB2312" w:eastAsia="仿宋_GB2312"/>
          <w:color w:val="000000"/>
          <w:sz w:val="32"/>
          <w:szCs w:val="32"/>
          <w:lang w:val="en-US" w:eastAsia="zh-CN"/>
        </w:rPr>
        <w:t xml:space="preserve"> </w:t>
      </w:r>
      <w:r>
        <w:rPr>
          <w:rFonts w:hint="eastAsia"/>
          <w:color w:val="000000"/>
          <w:sz w:val="32"/>
          <w:szCs w:val="32"/>
          <w:lang w:val="en-US" w:eastAsia="zh-CN"/>
        </w:rPr>
        <w:t>，</w:t>
      </w:r>
      <w:r>
        <w:rPr>
          <w:rFonts w:hint="eastAsia" w:ascii="仿宋_GB2312" w:eastAsia="仿宋_GB2312"/>
          <w:color w:val="000000"/>
          <w:sz w:val="32"/>
          <w:szCs w:val="32"/>
        </w:rPr>
        <w:t>《四川省发展和改革委员会四川省财政厅关于疫苗预防接种服务收费标准及有关问题的通知》（川发改价格〔2018〕331号）制定了我省非免疫规划疫苗预防接种服务费收费标准，试行期2年。从试行情况看，该收费政策对加强我省非免疫规划疫苗接种管理，规范收费行为起到了积极作用。结合试行期收支情况和国家相关文件精神</w:t>
      </w:r>
      <w:r>
        <w:rPr>
          <w:rFonts w:hint="eastAsia" w:ascii="仿宋_GB2312" w:eastAsia="仿宋_GB2312"/>
          <w:color w:val="000000"/>
          <w:sz w:val="32"/>
          <w:szCs w:val="32"/>
          <w:lang w:eastAsia="zh-CN"/>
        </w:rPr>
        <w:t>，</w:t>
      </w:r>
      <w:r>
        <w:rPr>
          <w:rFonts w:hint="eastAsia" w:ascii="仿宋_GB2312" w:eastAsia="仿宋_GB2312"/>
          <w:color w:val="000000"/>
          <w:sz w:val="32"/>
          <w:szCs w:val="32"/>
        </w:rPr>
        <w:t>非免疫规划疫苗预防接种服务费收费属行政事业性收费，</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按规定做好收费公示工作，在门户网站、收费场所醒目位置公示收费项目、收费性质、收费标准、收费依据和价格监督电话等信息，接受社会监督。</w:t>
      </w:r>
      <w:r>
        <w:rPr>
          <w:rFonts w:hint="eastAsia"/>
          <w:color w:val="000000"/>
          <w:sz w:val="32"/>
          <w:szCs w:val="32"/>
          <w:lang w:eastAsia="zh-CN"/>
        </w:rPr>
        <w:t>我单位</w:t>
      </w:r>
      <w:r>
        <w:rPr>
          <w:rFonts w:hint="eastAsia" w:ascii="仿宋_GB2312" w:eastAsia="仿宋_GB2312"/>
          <w:color w:val="000000"/>
          <w:sz w:val="32"/>
          <w:szCs w:val="32"/>
        </w:rPr>
        <w:t>使用省级财政监（印）制的财政票据，收费收入全额上缴地方国库，纳入财政预算管理。</w:t>
      </w:r>
    </w:p>
    <w:p>
      <w:pPr>
        <w:pStyle w:val="2"/>
        <w:numPr>
          <w:ilvl w:val="0"/>
          <w:numId w:val="0"/>
        </w:numPr>
        <w:spacing w:afterAutospacing="0"/>
        <w:ind w:firstLine="320" w:firstLineChars="1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我单位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整体支出开展绩效自评，</w:t>
      </w:r>
      <w:r>
        <w:rPr>
          <w:rFonts w:hint="eastAsia" w:ascii="仿宋_GB2312" w:eastAsia="仿宋_GB2312"/>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_GB2312" w:eastAsia="仿宋_GB2312"/>
          <w:color w:val="000000"/>
          <w:sz w:val="32"/>
          <w:szCs w:val="32"/>
          <w:lang w:eastAsia="zh-CN"/>
        </w:rPr>
        <w:t>有</w:t>
      </w:r>
      <w:r>
        <w:rPr>
          <w:rFonts w:hint="eastAsia" w:ascii="仿宋_GB2312" w:eastAsia="仿宋_GB2312"/>
          <w:color w:val="000000"/>
          <w:sz w:val="32"/>
          <w:szCs w:val="32"/>
        </w:rPr>
        <w:t>资金对外借、贷款问题。本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bookmarkStart w:id="87" w:name="_Toc15377225"/>
      <w:bookmarkStart w:id="88" w:name="_Toc15396613"/>
    </w:p>
    <w:p>
      <w:pPr>
        <w:pStyle w:val="2"/>
        <w:numPr>
          <w:ilvl w:val="0"/>
          <w:numId w:val="0"/>
        </w:numPr>
        <w:spacing w:before="315" w:beforeLines="100" w:beforeAutospacing="0" w:after="159" w:afterLines="50" w:afterAutospacing="0"/>
        <w:ind w:firstLine="440" w:firstLineChars="100"/>
        <w:jc w:val="center"/>
        <w:outlineLvl w:val="0"/>
        <w:rPr>
          <w:rFonts w:ascii="宋体"/>
          <w:b/>
          <w:color w:val="auto"/>
          <w:sz w:val="44"/>
          <w:szCs w:val="44"/>
          <w:highlight w:val="none"/>
        </w:rPr>
      </w:pPr>
      <w:bookmarkStart w:id="89" w:name="_Toc27636"/>
      <w:r>
        <w:rPr>
          <w:rFonts w:hint="eastAsia" w:ascii="黑体" w:hAnsi="黑体" w:eastAsia="黑体"/>
          <w:color w:val="auto"/>
          <w:sz w:val="44"/>
          <w:szCs w:val="44"/>
          <w:highlight w:val="none"/>
          <w:lang w:eastAsia="zh-CN"/>
        </w:rPr>
        <w:t>三</w:t>
      </w: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87"/>
      <w:bookmarkEnd w:id="88"/>
      <w:bookmarkEnd w:id="89"/>
    </w:p>
    <w:p>
      <w:pPr>
        <w:pStyle w:val="24"/>
        <w:pageBreakBefore w:val="0"/>
        <w:kinsoku/>
        <w:wordWrap/>
        <w:overflowPunct/>
        <w:topLinePunct w:val="0"/>
        <w:bidi w:val="0"/>
        <w:spacing w:beforeAutospacing="0" w:line="580" w:lineRule="exact"/>
        <w:ind w:firstLine="640" w:firstLineChars="200"/>
        <w:rPr>
          <w:rFonts w:ascii="仿宋_GB2312" w:eastAsia="仿宋_GB2312"/>
          <w:sz w:val="32"/>
          <w:szCs w:val="32"/>
        </w:rPr>
      </w:pPr>
      <w:bookmarkStart w:id="90" w:name="_Toc15377226"/>
      <w:r>
        <w:rPr>
          <w:rFonts w:ascii="仿宋_GB2312" w:eastAsia="仿宋_GB2312"/>
          <w:sz w:val="32"/>
          <w:szCs w:val="32"/>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w:t>
      </w:r>
      <w:r>
        <w:rPr>
          <w:rFonts w:hint="eastAsia" w:ascii="仿宋_GB2312" w:eastAsia="仿宋_GB2312"/>
          <w:sz w:val="32"/>
          <w:szCs w:val="32"/>
          <w:lang w:eastAsia="zh-CN"/>
        </w:rPr>
        <w:t>各类拨款</w:t>
      </w:r>
      <w:r>
        <w:rPr>
          <w:rFonts w:hint="eastAsia" w:ascii="仿宋_GB2312" w:eastAsia="仿宋_GB2312"/>
          <w:sz w:val="32"/>
          <w:szCs w:val="32"/>
        </w:rPr>
        <w:t>。</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区人民医院、</w:t>
      </w:r>
      <w:r>
        <w:rPr>
          <w:rFonts w:hint="eastAsia" w:ascii="仿宋_GB2312" w:eastAsia="仿宋_GB2312"/>
          <w:sz w:val="32"/>
          <w:szCs w:val="32"/>
        </w:rPr>
        <w:t>妇幼保健计生生育服务中心</w:t>
      </w:r>
      <w:r>
        <w:rPr>
          <w:rFonts w:hint="eastAsia" w:ascii="仿宋_GB2312" w:eastAsia="仿宋_GB2312"/>
          <w:sz w:val="32"/>
          <w:szCs w:val="32"/>
          <w:lang w:eastAsia="zh-CN"/>
        </w:rPr>
        <w:t>、区中医医院、乡镇卫生院医疗收入</w:t>
      </w:r>
      <w:r>
        <w:rPr>
          <w:rFonts w:hint="eastAsia" w:ascii="仿宋_GB2312" w:eastAsia="仿宋_GB2312"/>
          <w:sz w:val="32"/>
          <w:szCs w:val="32"/>
        </w:rPr>
        <w:t>等。</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pStyle w:val="24"/>
        <w:pageBreakBefore w:val="0"/>
        <w:kinsoku/>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pageBreakBefore w:val="0"/>
        <w:kinsoku/>
        <w:wordWrap/>
        <w:overflowPunct/>
        <w:topLinePunct w:val="0"/>
        <w:bidi w:val="0"/>
        <w:spacing w:line="580" w:lineRule="exact"/>
        <w:ind w:firstLine="640" w:firstLineChars="200"/>
        <w:rPr>
          <w:rStyle w:val="16"/>
          <w:rFonts w:hint="eastAsia" w:ascii="仿宋_GB2312" w:eastAsia="仿宋_GB2312"/>
          <w:b w:val="0"/>
          <w:color w:val="000000"/>
          <w:sz w:val="32"/>
          <w:szCs w:val="32"/>
        </w:rPr>
      </w:pPr>
      <w:r>
        <w:rPr>
          <w:rFonts w:hint="eastAsia" w:ascii="仿宋_GB2312" w:eastAsia="仿宋_GB2312"/>
          <w:color w:val="000000"/>
          <w:sz w:val="32"/>
          <w:szCs w:val="32"/>
        </w:rPr>
        <w:t>8.</w:t>
      </w:r>
      <w:r>
        <w:rPr>
          <w:rFonts w:hint="eastAsia" w:ascii="仿宋" w:eastAsia="仿宋"/>
          <w:color w:val="000000"/>
          <w:sz w:val="32"/>
          <w:szCs w:val="32"/>
        </w:rPr>
        <w:t>卫生健康支出</w:t>
      </w:r>
      <w:r>
        <w:rPr>
          <w:rFonts w:hint="eastAsia" w:ascii="仿宋_GB2312" w:eastAsia="仿宋_GB2312"/>
          <w:color w:val="000000"/>
          <w:sz w:val="32"/>
          <w:szCs w:val="32"/>
        </w:rPr>
        <w:t>（类）基层医疗卫生机构（款）</w:t>
      </w:r>
      <w:r>
        <w:rPr>
          <w:rStyle w:val="16"/>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6"/>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6"/>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6"/>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6"/>
          <w:rFonts w:hint="eastAsia" w:ascii="仿宋_GB2312" w:eastAsia="仿宋_GB2312"/>
          <w:b w:val="0"/>
          <w:color w:val="000000"/>
          <w:sz w:val="32"/>
          <w:szCs w:val="32"/>
        </w:rPr>
        <w:t>:</w:t>
      </w:r>
      <w:r>
        <w:rPr>
          <w:rStyle w:val="16"/>
          <w:rFonts w:hint="eastAsia" w:ascii="仿宋_GB2312" w:eastAsia="仿宋_GB2312"/>
          <w:b w:val="0"/>
          <w:sz w:val="32"/>
          <w:szCs w:val="32"/>
        </w:rPr>
        <w:t>反映</w:t>
      </w:r>
      <w:r>
        <w:rPr>
          <w:rStyle w:val="16"/>
          <w:rFonts w:hint="eastAsia" w:ascii="仿宋_GB2312" w:eastAsia="仿宋_GB2312"/>
          <w:b w:val="0"/>
          <w:color w:val="000000"/>
          <w:sz w:val="32"/>
          <w:szCs w:val="32"/>
        </w:rPr>
        <w:t>卫生健康支出中的在职人员医疗保险。</w:t>
      </w:r>
    </w:p>
    <w:p>
      <w:pPr>
        <w:pageBreakBefore w:val="0"/>
        <w:kinsoku/>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pageBreakBefore w:val="0"/>
        <w:kinsoku/>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pageBreakBefore w:val="0"/>
        <w:kinsoku/>
        <w:wordWrap/>
        <w:overflowPunct/>
        <w:topLinePunct w:val="0"/>
        <w:bidi w:val="0"/>
        <w:spacing w:line="580" w:lineRule="exact"/>
        <w:ind w:firstLine="640" w:firstLineChars="200"/>
        <w:rPr>
          <w:rStyle w:val="16"/>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10.住房保障支出：住房保障支出-住房改革支出-住房公积金：反映行政事业单位按人力资源和社会保障部、财政部规定的基本工资和津贴补贴以及规定比例为职工缴纳的住房公积金。</w:t>
      </w:r>
    </w:p>
    <w:p>
      <w:pPr>
        <w:pageBreakBefore w:val="0"/>
        <w:kinsoku/>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r>
        <w:rPr>
          <w:rFonts w:ascii="宋体"/>
          <w:b/>
          <w:color w:val="auto"/>
          <w:sz w:val="44"/>
          <w:szCs w:val="44"/>
          <w:highlight w:val="none"/>
        </w:rPr>
        <w:br w:type="page"/>
      </w:r>
      <w:bookmarkStart w:id="91" w:name="_Toc1877"/>
      <w:bookmarkStart w:id="9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91"/>
      <w:bookmarkEnd w:id="92"/>
    </w:p>
    <w:tbl>
      <w:tblPr>
        <w:tblStyle w:val="14"/>
        <w:tblpPr w:leftFromText="180" w:rightFromText="180" w:vertAnchor="text" w:horzAnchor="page" w:tblpX="1885" w:tblpY="555"/>
        <w:tblOverlap w:val="never"/>
        <w:tblW w:w="82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200"/>
        <w:gridCol w:w="242"/>
        <w:gridCol w:w="354"/>
        <w:gridCol w:w="408"/>
        <w:gridCol w:w="8"/>
        <w:gridCol w:w="631"/>
        <w:gridCol w:w="1325"/>
        <w:gridCol w:w="372"/>
        <w:gridCol w:w="1006"/>
        <w:gridCol w:w="543"/>
        <w:gridCol w:w="498"/>
        <w:gridCol w:w="496"/>
        <w:gridCol w:w="188"/>
        <w:gridCol w:w="434"/>
        <w:gridCol w:w="285"/>
        <w:gridCol w:w="720"/>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0" w:hRule="atLeast"/>
        </w:trPr>
        <w:tc>
          <w:tcPr>
            <w:tcW w:w="8235" w:type="dxa"/>
            <w:gridSpan w:val="17"/>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bookmarkStart w:id="93" w:name="_Hlk115001465"/>
            <w:bookmarkStart w:id="94" w:name="_Toc15396618"/>
            <w:r>
              <w:rPr>
                <w:rFonts w:hint="default" w:ascii="方正小标宋简体" w:hAnsi="方正小标宋简体" w:eastAsia="方正小标宋简体" w:cs="方正小标宋简体"/>
                <w:b/>
                <w:bCs/>
                <w:i w:val="0"/>
                <w:iCs w:val="0"/>
                <w:color w:val="000000"/>
                <w:kern w:val="0"/>
                <w:sz w:val="36"/>
                <w:szCs w:val="36"/>
                <w:u w:val="none"/>
                <w:lang w:val="en-US" w:eastAsia="zh-CN" w:bidi="ar"/>
              </w:rPr>
              <w:t>2022年基本公共卫生服务项目补助资金转移支付项目绩效目标自评表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8235" w:type="dxa"/>
            <w:gridSpan w:val="17"/>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7510"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0" w:hRule="atLeast"/>
        </w:trPr>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7510"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60" w:hRule="atLeast"/>
        </w:trPr>
        <w:tc>
          <w:tcPr>
            <w:tcW w:w="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34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20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1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广元市昭化区王家镇中心卫生院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6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6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68.22 </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68.22 </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 xml:space="preserve"> </w:t>
            </w:r>
            <w:r>
              <w:rPr>
                <w:rStyle w:val="33"/>
                <w:lang w:val="en-US" w:eastAsia="zh-CN" w:bidi="ar"/>
              </w:rPr>
              <w:t>其中：中央财政资金</w:t>
            </w:r>
          </w:p>
        </w:tc>
        <w:tc>
          <w:tcPr>
            <w:tcW w:w="16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54.16 </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54.16 </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 xml:space="preserve"> </w:t>
            </w:r>
            <w:r>
              <w:rPr>
                <w:rStyle w:val="34"/>
                <w:lang w:val="en-US" w:eastAsia="zh-CN" w:bidi="ar"/>
              </w:rPr>
              <w:t xml:space="preserve">      地方资金</w:t>
            </w:r>
          </w:p>
        </w:tc>
        <w:tc>
          <w:tcPr>
            <w:tcW w:w="16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13.73 </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13.73 </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5"/>
                <w:lang w:val="en-US" w:eastAsia="zh-CN" w:bidi="ar"/>
              </w:rPr>
              <w:t xml:space="preserve">      </w:t>
            </w:r>
            <w:r>
              <w:rPr>
                <w:rStyle w:val="33"/>
                <w:lang w:val="en-US" w:eastAsia="zh-CN" w:bidi="ar"/>
              </w:rPr>
              <w:t xml:space="preserve">  其他资金</w:t>
            </w:r>
          </w:p>
        </w:tc>
        <w:tc>
          <w:tcPr>
            <w:tcW w:w="16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0.33 </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0.33 </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按照各镇服务常住人口数，结合省市区绩效评价方案将所有资金100%下达至项目实施单位，同时督促项目实施单位40%下达至村卫生室。</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8月份下达到位资金的80%，12月底将所有资金全部拨付到位。</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按照各镇常住人口数，结合2022年绩效评价结果合理合规拨付资金。</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本着专款专用的原则，严格按照项目资金审批要求使用项目资金。</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所有资金全部用于基本公共卫生服务项目</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按照全区常住人口数量预算全年项目资金，提升财政专项资金使用效益</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2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建立由卫健支出，财政局监督的资金支出制度，确保资金使用的合理合法合规。</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546" w:type="dxa"/>
            <w:gridSpan w:val="9"/>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164" w:type="dxa"/>
            <w:gridSpan w:val="7"/>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278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4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1:免费向常住城乡居民提供12类国家基本公共卫生服务；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316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1.免费为辖区居民提供12类基本公共卫生服务。</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0"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62"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42" w:type="dxa"/>
            <w:gridSpan w:val="5"/>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restar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restart"/>
            <w:tcBorders>
              <w:top w:val="single" w:color="auto"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42" w:type="dxa"/>
            <w:gridSpan w:val="5"/>
            <w:tcBorders>
              <w:top w:val="single" w:color="auto"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7</w:t>
            </w:r>
            <w:r>
              <w:rPr>
                <w:rStyle w:val="34"/>
                <w:lang w:val="en-US" w:eastAsia="zh-CN" w:bidi="ar"/>
              </w:rPr>
              <w:t>岁以下儿童健康管理率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85%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0-6</w:t>
            </w:r>
            <w:r>
              <w:rPr>
                <w:rStyle w:val="34"/>
                <w:lang w:val="en-US" w:eastAsia="zh-CN" w:bidi="ar"/>
              </w:rPr>
              <w:t>岁儿童眼保健和视力检查覆盖率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3</w:t>
            </w:r>
            <w:r>
              <w:rPr>
                <w:rStyle w:val="34"/>
                <w:lang w:val="en-US" w:eastAsia="zh-CN" w:bidi="ar"/>
              </w:rPr>
              <w:t>岁以下儿童系统管理率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80%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rFonts w:hint="eastAsia" w:ascii="宋体" w:hAnsi="宋体" w:eastAsia="宋体" w:cs="宋体"/>
                <w:sz w:val="24"/>
                <w:szCs w:val="24"/>
                <w:lang w:val="en-US" w:eastAsia="zh-CN" w:bidi="ar"/>
              </w:rPr>
              <w:t>0.2751</w:t>
            </w:r>
            <w:r>
              <w:rPr>
                <w:rStyle w:val="34"/>
                <w:lang w:val="en-US" w:eastAsia="zh-CN" w:bidi="ar"/>
              </w:rPr>
              <w:t>万人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rFonts w:hint="eastAsia" w:ascii="宋体" w:hAnsi="宋体" w:eastAsia="宋体" w:cs="宋体"/>
                <w:sz w:val="24"/>
                <w:szCs w:val="24"/>
                <w:lang w:val="en-US" w:eastAsia="zh-CN" w:bidi="ar"/>
              </w:rPr>
              <w:t>0.2751</w:t>
            </w:r>
            <w:r>
              <w:rPr>
                <w:rStyle w:val="34"/>
                <w:lang w:val="en-US" w:eastAsia="zh-CN" w:bidi="ar"/>
              </w:rPr>
              <w:t>万人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2</w:t>
            </w:r>
            <w:r>
              <w:rPr>
                <w:rStyle w:val="34"/>
                <w:lang w:val="en-US" w:eastAsia="zh-CN" w:bidi="ar"/>
              </w:rPr>
              <w:t>型糖尿病患者管理人数</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rFonts w:hint="eastAsia" w:ascii="宋体" w:hAnsi="宋体" w:eastAsia="宋体" w:cs="宋体"/>
                <w:sz w:val="24"/>
                <w:szCs w:val="24"/>
                <w:lang w:val="en-US" w:eastAsia="zh-CN" w:bidi="ar"/>
              </w:rPr>
              <w:t>0.0391</w:t>
            </w:r>
            <w:r>
              <w:rPr>
                <w:rStyle w:val="34"/>
                <w:lang w:val="en-US" w:eastAsia="zh-CN" w:bidi="ar"/>
              </w:rPr>
              <w:t>万人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rFonts w:hint="eastAsia" w:ascii="宋体" w:hAnsi="宋体" w:eastAsia="宋体" w:cs="宋体"/>
                <w:sz w:val="24"/>
                <w:szCs w:val="24"/>
                <w:lang w:val="en-US" w:eastAsia="zh-CN" w:bidi="ar"/>
              </w:rPr>
              <w:t>0.0391</w:t>
            </w:r>
            <w:r>
              <w:rPr>
                <w:rStyle w:val="34"/>
                <w:lang w:val="en-US" w:eastAsia="zh-CN" w:bidi="ar"/>
              </w:rPr>
              <w:t>万人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职业健康核心指标监测县区覆盖率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92%</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172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auto"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社区在册居家严重精神障碍患者健康管理率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80%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65%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65%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卫生监督协管各专业每年巡查（访）</w:t>
            </w:r>
            <w:r>
              <w:rPr>
                <w:rStyle w:val="36"/>
                <w:rFonts w:ascii="宋体" w:hAnsi="宋体" w:eastAsia="宋体" w:cs="宋体"/>
                <w:sz w:val="24"/>
                <w:szCs w:val="24"/>
                <w:lang w:val="en-US" w:eastAsia="zh-CN" w:bidi="ar"/>
              </w:rPr>
              <w:t>2</w:t>
            </w:r>
            <w:r>
              <w:rPr>
                <w:rStyle w:val="34"/>
                <w:lang w:val="en-US" w:eastAsia="zh-CN" w:bidi="ar"/>
              </w:rPr>
              <w:t>次完成率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100%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80%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85%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“两癌”检查项目目标任务完成率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2"/>
                <w:lang w:val="en-US" w:eastAsia="zh-CN" w:bidi="ar"/>
              </w:rPr>
              <w:t>65</w:t>
            </w:r>
            <w:r>
              <w:rPr>
                <w:rStyle w:val="34"/>
                <w:lang w:val="en-US" w:eastAsia="zh-CN" w:bidi="ar"/>
              </w:rPr>
              <w:t>岁以上失能老年人健康服务率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19"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居民规范化电子健康档案覆盖率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改造尘肺病康复站</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培养康复医务人员</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完成尘肺病患者档案，采购设施设备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15份</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农村妇女免费“两癌”检查乳腺癌项目人数</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2"/>
                <w:rFonts w:hint="eastAsia"/>
                <w:lang w:val="en-US" w:eastAsia="zh-CN" w:bidi="ar"/>
              </w:rPr>
              <w:t>333</w:t>
            </w:r>
            <w:r>
              <w:rPr>
                <w:rStyle w:val="34"/>
                <w:lang w:val="en-US" w:eastAsia="zh-CN" w:bidi="ar"/>
              </w:rPr>
              <w:t>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农村妇女免费“两癌”检查宫颈癌项目人数</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计划年度符合生育政策、计划怀孕的城乡夫妇（包括流动人口）参检对数</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新生儿筛查人数</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按照四川省、广元市第二批尘肺病康复站建设标准，规范建好“七个一”。</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创新中医药适宜技术参与尘肺病康复</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高血压患者基层规范管理服务率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60%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2型糖尿病患者基层规范管理服务率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60%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65岁及以上老年人城乡社区规范健康管理服务率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60%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w:t>
            </w:r>
            <w:r>
              <w:rPr>
                <w:rStyle w:val="36"/>
                <w:rFonts w:ascii="宋体" w:hAnsi="宋体" w:eastAsia="宋体" w:cs="宋体"/>
                <w:sz w:val="24"/>
                <w:szCs w:val="24"/>
                <w:lang w:val="en-US" w:eastAsia="zh-CN" w:bidi="ar"/>
              </w:rPr>
              <w:t>90%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农村妇女“两癌”筛查任务完成率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出生缺陷发生风险</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新生儿两种遗传代谢病（ PKU和CH)筛查率</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完成周期</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“两癌”筛查项目标准：宫颈癌检查补助标准</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“两癌”筛查项目标准：乳腺癌检查补助标准</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9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新生儿筛查项目标准（共计120元/人）</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两种遗传代谢病筛查50元/人；听力筛查70元/人</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其中两种遗传代谢病筛查50元/人；听力筛查70元/人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每对参检夫妇结算标准</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76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居民健康素养水平</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指标2:城乡计划怀孕夫妇参加免费孕前优生健康检查的主动性和自觉性</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1906"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4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6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3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7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bookmarkEnd w:id="9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0" w:hRule="atLeast"/>
        </w:trPr>
        <w:tc>
          <w:tcPr>
            <w:tcW w:w="8235" w:type="dxa"/>
            <w:gridSpan w:val="17"/>
            <w:tcBorders>
              <w:top w:val="nil"/>
              <w:left w:val="nil"/>
              <w:bottom w:val="nil"/>
              <w:right w:val="nil"/>
            </w:tcBorders>
            <w:noWrap w:val="0"/>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default" w:ascii="方正小标宋简体" w:hAnsi="方正小标宋简体" w:eastAsia="方正小标宋简体" w:cs="方正小标宋简体"/>
                <w:b/>
                <w:bCs/>
                <w:i w:val="0"/>
                <w:iCs w:val="0"/>
                <w:color w:val="000000"/>
                <w:kern w:val="0"/>
                <w:sz w:val="32"/>
                <w:szCs w:val="32"/>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基本药物制度中央补助转移支付项目绩效目标自评表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0" w:hRule="atLeast"/>
        </w:trPr>
        <w:tc>
          <w:tcPr>
            <w:tcW w:w="8235" w:type="dxa"/>
            <w:gridSpan w:val="17"/>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52" w:hRule="atLeast"/>
        </w:trPr>
        <w:tc>
          <w:tcPr>
            <w:tcW w:w="173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498"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3" w:hRule="atLeast"/>
        </w:trPr>
        <w:tc>
          <w:tcPr>
            <w:tcW w:w="173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498"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40" w:hRule="atLeast"/>
        </w:trPr>
        <w:tc>
          <w:tcPr>
            <w:tcW w:w="173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162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20" w:hRule="atLeast"/>
        </w:trPr>
        <w:tc>
          <w:tcPr>
            <w:tcW w:w="1737"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3"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92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26.27 </w:t>
            </w:r>
          </w:p>
        </w:tc>
        <w:tc>
          <w:tcPr>
            <w:tcW w:w="16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26.27 </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3"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92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15.74 </w:t>
            </w:r>
          </w:p>
        </w:tc>
        <w:tc>
          <w:tcPr>
            <w:tcW w:w="16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15.74 </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3"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9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10.53 </w:t>
            </w:r>
          </w:p>
        </w:tc>
        <w:tc>
          <w:tcPr>
            <w:tcW w:w="16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10.53 </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3"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92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40" w:hRule="atLeast"/>
        </w:trPr>
        <w:tc>
          <w:tcPr>
            <w:tcW w:w="1737"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353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53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53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60" w:hRule="atLeast"/>
        </w:trPr>
        <w:tc>
          <w:tcPr>
            <w:tcW w:w="173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16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40" w:hRule="atLeast"/>
        </w:trPr>
        <w:tc>
          <w:tcPr>
            <w:tcW w:w="525"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5089" w:type="dxa"/>
            <w:gridSpan w:val="10"/>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621" w:type="dxa"/>
            <w:gridSpan w:val="6"/>
            <w:tcBorders>
              <w:top w:val="nil"/>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1900" w:hRule="atLeast"/>
        </w:trPr>
        <w:tc>
          <w:tcPr>
            <w:tcW w:w="525" w:type="dxa"/>
            <w:vMerge w:val="continue"/>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089" w:type="dxa"/>
            <w:gridSpan w:val="10"/>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目标1：保证所有政府办基层医疗卫生机构实施国家基本药物制度，推进综合改革顺利进行；  目标2：对实施国家基本药物制度的村卫生室给予补助，支持国家基本药物制度在村卫生室顺利实施；</w:t>
            </w:r>
          </w:p>
        </w:tc>
        <w:tc>
          <w:tcPr>
            <w:tcW w:w="2621" w:type="dxa"/>
            <w:gridSpan w:val="6"/>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全镇11个村卫生站、11个村医全面实施国家基本药物制度，确保基本药物制度的实施，解决了老百姓看病贵的问题，稳定了乡村医生的收入。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22" w:hRule="atLeast"/>
        </w:trPr>
        <w:tc>
          <w:tcPr>
            <w:tcW w:w="52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16"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8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94"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60" w:hRule="atLeast"/>
        </w:trPr>
        <w:tc>
          <w:tcPr>
            <w:tcW w:w="525"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416" w:type="dxa"/>
            <w:gridSpan w:val="2"/>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8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实施基本药物制度的政府办基层医疗卫生机构数量</w:t>
            </w:r>
          </w:p>
        </w:tc>
        <w:tc>
          <w:tcPr>
            <w:tcW w:w="994"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6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实施基本药物制度的村卫生室占比</w:t>
            </w:r>
          </w:p>
        </w:tc>
        <w:tc>
          <w:tcPr>
            <w:tcW w:w="994"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8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基层医疗卫生机构“优质服务基层行”活动开展评价机构数比例</w:t>
            </w:r>
          </w:p>
        </w:tc>
        <w:tc>
          <w:tcPr>
            <w:tcW w:w="994"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77" w:type="dxa"/>
            <w:gridSpan w:val="5"/>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基层医疗卫生机构“优质服务基层行”活动达到基本标准及以上的比例</w:t>
            </w:r>
          </w:p>
        </w:tc>
        <w:tc>
          <w:tcPr>
            <w:tcW w:w="994"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877" w:type="dxa"/>
            <w:gridSpan w:val="5"/>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2022年12月以前完成项目实施</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9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≦26.27万元</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26.27万元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1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87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乡村医生保持稳定收入情况</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同比提升</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较上年提高5%</w:t>
            </w:r>
          </w:p>
        </w:tc>
        <w:tc>
          <w:tcPr>
            <w:tcW w:w="7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基本药物制度在基层持续实施</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480" w:hRule="atLeast"/>
        </w:trPr>
        <w:tc>
          <w:tcPr>
            <w:tcW w:w="525"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6"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医共体建设符合“紧密型”、“控费用”、“同质化”、“促分工”发展方向</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推进“医共体”试点</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制定规划，稳步推进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0" w:hRule="atLeast"/>
        </w:trPr>
        <w:tc>
          <w:tcPr>
            <w:tcW w:w="525" w:type="dxa"/>
            <w:vMerge w:val="continue"/>
            <w:tcBorders>
              <w:top w:val="single" w:color="auto" w:sz="4" w:space="0"/>
              <w:left w:val="single" w:color="auto" w:sz="4" w:space="0"/>
              <w:bottom w:val="nil"/>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96"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16"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8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对基本药物制度补助满意度</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9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710"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lang w:val="en-US" w:eastAsia="zh-CN"/>
              </w:rPr>
            </w:pPr>
            <w:bookmarkStart w:id="95" w:name="_Toc28509"/>
          </w:p>
        </w:tc>
        <w:tc>
          <w:tcPr>
            <w:tcW w:w="7710"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p>
        </w:tc>
      </w:tr>
      <w:bookmarkEnd w:id="95"/>
    </w:tbl>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bookmarkStart w:id="96" w:name="_Toc13689"/>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4"/>
        <w:tblpPr w:leftFromText="180" w:rightFromText="180" w:vertAnchor="text" w:horzAnchor="page" w:tblpX="1852" w:tblpY="1060"/>
        <w:tblOverlap w:val="never"/>
        <w:tblW w:w="8260" w:type="dxa"/>
        <w:tblInd w:w="0" w:type="dxa"/>
        <w:tblLayout w:type="fixed"/>
        <w:tblCellMar>
          <w:top w:w="0" w:type="dxa"/>
          <w:left w:w="0" w:type="dxa"/>
          <w:bottom w:w="0" w:type="dxa"/>
          <w:right w:w="0" w:type="dxa"/>
        </w:tblCellMar>
      </w:tblPr>
      <w:tblGrid>
        <w:gridCol w:w="1303"/>
        <w:gridCol w:w="769"/>
        <w:gridCol w:w="768"/>
        <w:gridCol w:w="768"/>
        <w:gridCol w:w="628"/>
        <w:gridCol w:w="473"/>
        <w:gridCol w:w="345"/>
        <w:gridCol w:w="768"/>
        <w:gridCol w:w="768"/>
        <w:gridCol w:w="768"/>
        <w:gridCol w:w="902"/>
      </w:tblGrid>
      <w:tr>
        <w:tblPrEx>
          <w:tblCellMar>
            <w:top w:w="0" w:type="dxa"/>
            <w:left w:w="0" w:type="dxa"/>
            <w:bottom w:w="0" w:type="dxa"/>
            <w:right w:w="0" w:type="dxa"/>
          </w:tblCellMar>
        </w:tblPrEx>
        <w:trPr>
          <w:trHeight w:val="682" w:hRule="atLeast"/>
        </w:trPr>
        <w:tc>
          <w:tcPr>
            <w:tcW w:w="8260"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555" w:hRule="atLeast"/>
        </w:trPr>
        <w:tc>
          <w:tcPr>
            <w:tcW w:w="2072"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188"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二类疫苗服务费</w:t>
            </w:r>
          </w:p>
        </w:tc>
      </w:tr>
      <w:tr>
        <w:tblPrEx>
          <w:tblCellMar>
            <w:top w:w="0" w:type="dxa"/>
            <w:left w:w="0" w:type="dxa"/>
            <w:bottom w:w="0" w:type="dxa"/>
            <w:right w:w="0" w:type="dxa"/>
          </w:tblCellMar>
        </w:tblPrEx>
        <w:trPr>
          <w:trHeight w:val="682" w:hRule="atLeast"/>
        </w:trPr>
        <w:tc>
          <w:tcPr>
            <w:tcW w:w="2072"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982"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768" w:type="dxa"/>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王家镇中心</w:t>
            </w:r>
            <w:r>
              <w:rPr>
                <w:rFonts w:ascii="宋体" w:hAnsi="宋体" w:eastAsia="宋体" w:cs="宋体"/>
                <w:i w:val="0"/>
                <w:color w:val="000000"/>
                <w:kern w:val="0"/>
                <w:sz w:val="18"/>
                <w:szCs w:val="18"/>
                <w:u w:val="none"/>
                <w:lang w:val="en-US" w:eastAsia="zh-CN" w:bidi="ar"/>
              </w:rPr>
              <w:t>卫生院</w:t>
            </w:r>
          </w:p>
        </w:tc>
      </w:tr>
      <w:tr>
        <w:tblPrEx>
          <w:tblCellMar>
            <w:top w:w="0" w:type="dxa"/>
            <w:left w:w="0" w:type="dxa"/>
            <w:bottom w:w="0" w:type="dxa"/>
            <w:right w:w="0" w:type="dxa"/>
          </w:tblCellMar>
        </w:tblPrEx>
        <w:trPr>
          <w:trHeight w:val="452" w:hRule="atLeast"/>
        </w:trPr>
        <w:tc>
          <w:tcPr>
            <w:tcW w:w="130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982"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206"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782"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2982"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1.86万元</w:t>
            </w:r>
          </w:p>
        </w:tc>
        <w:tc>
          <w:tcPr>
            <w:tcW w:w="3206"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1578"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188"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682" w:hRule="atLeast"/>
        </w:trPr>
        <w:tc>
          <w:tcPr>
            <w:tcW w:w="130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2" w:type="dxa"/>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361"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sz w:val="18"/>
                <w:szCs w:val="18"/>
                <w:u w:val="none"/>
                <w:lang w:val="en-US" w:eastAsia="zh-CN"/>
              </w:rPr>
              <w:t>1.86</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1.86</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682"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1.86</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1.86</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682"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61"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93"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446"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027" w:hRule="atLeast"/>
        </w:trPr>
        <w:tc>
          <w:tcPr>
            <w:tcW w:w="130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6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3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768"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1" w:hRule="atLeast"/>
        </w:trPr>
        <w:tc>
          <w:tcPr>
            <w:tcW w:w="130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02"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502" w:hRule="atLeast"/>
        </w:trPr>
        <w:tc>
          <w:tcPr>
            <w:tcW w:w="5822"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60" w:hRule="atLeast"/>
        </w:trPr>
        <w:tc>
          <w:tcPr>
            <w:tcW w:w="130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6957"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544" w:hRule="atLeast"/>
        </w:trPr>
        <w:tc>
          <w:tcPr>
            <w:tcW w:w="130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6957"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675" w:hRule="atLeast"/>
        </w:trPr>
        <w:tc>
          <w:tcPr>
            <w:tcW w:w="130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6957"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672" w:hRule="atLeast"/>
        </w:trPr>
        <w:tc>
          <w:tcPr>
            <w:tcW w:w="4236"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024"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p>
      <w:pPr>
        <w:numPr>
          <w:ilvl w:val="0"/>
          <w:numId w:val="4"/>
        </w:numPr>
        <w:spacing w:line="600" w:lineRule="exact"/>
        <w:jc w:val="center"/>
        <w:outlineLvl w:val="0"/>
        <w:rPr>
          <w:rStyle w:val="26"/>
          <w:rFonts w:hint="eastAsia" w:ascii="黑体" w:hAnsi="黑体" w:eastAsia="黑体"/>
          <w:b w:val="0"/>
          <w:color w:val="auto"/>
          <w:highlight w:val="none"/>
        </w:rPr>
      </w:pPr>
      <w:r>
        <w:rPr>
          <w:rStyle w:val="26"/>
          <w:rFonts w:hint="eastAsia" w:ascii="黑体" w:hAnsi="黑体" w:eastAsia="黑体"/>
          <w:b w:val="0"/>
          <w:color w:val="auto"/>
          <w:highlight w:val="none"/>
        </w:rPr>
        <w:t>附表</w:t>
      </w:r>
      <w:bookmarkEnd w:id="90"/>
      <w:bookmarkEnd w:id="94"/>
      <w:bookmarkEnd w:id="96"/>
      <w:bookmarkStart w:id="97" w:name="_Toc15396619"/>
    </w:p>
    <w:p>
      <w:pPr>
        <w:pStyle w:val="2"/>
        <w:numPr>
          <w:ilvl w:val="0"/>
          <w:numId w:val="0"/>
        </w:numPr>
        <w:rPr>
          <w:rFonts w:hint="eastAsia"/>
        </w:rPr>
      </w:pPr>
    </w:p>
    <w:p>
      <w:pPr>
        <w:spacing w:line="600" w:lineRule="exact"/>
        <w:jc w:val="both"/>
        <w:outlineLvl w:val="1"/>
        <w:rPr>
          <w:rStyle w:val="27"/>
          <w:rFonts w:hint="eastAsia" w:ascii="仿宋" w:hAnsi="仿宋" w:eastAsia="仿宋"/>
          <w:b w:val="0"/>
          <w:bCs w:val="0"/>
          <w:color w:val="auto"/>
          <w:highlight w:val="none"/>
        </w:rPr>
      </w:pPr>
      <w:bookmarkStart w:id="98" w:name="_Toc23656"/>
      <w:r>
        <w:rPr>
          <w:rStyle w:val="27"/>
          <w:rFonts w:hint="eastAsia" w:ascii="仿宋" w:hAnsi="仿宋" w:eastAsia="仿宋"/>
          <w:b w:val="0"/>
          <w:bCs w:val="0"/>
          <w:color w:val="auto"/>
          <w:highlight w:val="none"/>
        </w:rPr>
        <w:t>一、收入支出决算总表</w:t>
      </w:r>
      <w:bookmarkEnd w:id="97"/>
      <w:bookmarkEnd w:id="98"/>
      <w:bookmarkStart w:id="99" w:name="_Toc15396620"/>
    </w:p>
    <w:p>
      <w:pPr>
        <w:spacing w:line="600" w:lineRule="exact"/>
        <w:jc w:val="both"/>
        <w:outlineLvl w:val="1"/>
        <w:rPr>
          <w:rStyle w:val="27"/>
          <w:rFonts w:hint="eastAsia" w:ascii="仿宋" w:hAnsi="仿宋" w:eastAsia="仿宋"/>
          <w:b w:val="0"/>
          <w:bCs w:val="0"/>
          <w:color w:val="auto"/>
          <w:highlight w:val="none"/>
        </w:rPr>
      </w:pPr>
      <w:bookmarkStart w:id="100" w:name="_Toc31991"/>
      <w:r>
        <w:rPr>
          <w:rStyle w:val="27"/>
          <w:rFonts w:hint="eastAsia" w:ascii="仿宋" w:hAnsi="仿宋" w:eastAsia="仿宋"/>
          <w:b w:val="0"/>
          <w:bCs w:val="0"/>
          <w:color w:val="auto"/>
          <w:highlight w:val="none"/>
        </w:rPr>
        <w:t>二、收入决算表</w:t>
      </w:r>
      <w:bookmarkEnd w:id="99"/>
      <w:bookmarkEnd w:id="100"/>
      <w:bookmarkStart w:id="101" w:name="_Toc15396621"/>
    </w:p>
    <w:p>
      <w:pPr>
        <w:spacing w:line="600" w:lineRule="exact"/>
        <w:jc w:val="both"/>
        <w:outlineLvl w:val="1"/>
        <w:rPr>
          <w:rStyle w:val="27"/>
          <w:rFonts w:hint="eastAsia" w:ascii="仿宋" w:hAnsi="仿宋" w:eastAsia="仿宋"/>
          <w:b w:val="0"/>
          <w:bCs w:val="0"/>
          <w:color w:val="auto"/>
          <w:highlight w:val="none"/>
        </w:rPr>
      </w:pPr>
      <w:bookmarkStart w:id="102" w:name="_Toc7907"/>
      <w:r>
        <w:rPr>
          <w:rStyle w:val="27"/>
          <w:rFonts w:hint="eastAsia" w:ascii="仿宋" w:hAnsi="仿宋" w:eastAsia="仿宋"/>
          <w:b w:val="0"/>
          <w:bCs w:val="0"/>
          <w:color w:val="auto"/>
          <w:highlight w:val="none"/>
        </w:rPr>
        <w:t>三、支出决算表</w:t>
      </w:r>
      <w:bookmarkEnd w:id="101"/>
      <w:bookmarkEnd w:id="102"/>
      <w:bookmarkStart w:id="103" w:name="_Toc15396622"/>
    </w:p>
    <w:p>
      <w:pPr>
        <w:spacing w:line="600" w:lineRule="exact"/>
        <w:jc w:val="both"/>
        <w:outlineLvl w:val="1"/>
        <w:rPr>
          <w:rStyle w:val="27"/>
          <w:rFonts w:hint="eastAsia" w:ascii="仿宋" w:hAnsi="仿宋" w:eastAsia="仿宋"/>
          <w:b w:val="0"/>
          <w:bCs w:val="0"/>
          <w:color w:val="auto"/>
          <w:highlight w:val="none"/>
        </w:rPr>
      </w:pPr>
      <w:bookmarkStart w:id="104" w:name="_Toc9029"/>
      <w:r>
        <w:rPr>
          <w:rStyle w:val="27"/>
          <w:rFonts w:hint="eastAsia" w:ascii="仿宋" w:hAnsi="仿宋" w:eastAsia="仿宋"/>
          <w:b w:val="0"/>
          <w:bCs w:val="0"/>
          <w:color w:val="auto"/>
          <w:highlight w:val="none"/>
        </w:rPr>
        <w:t>四、财政拨款收入支出决算总表</w:t>
      </w:r>
      <w:bookmarkEnd w:id="103"/>
      <w:bookmarkEnd w:id="104"/>
      <w:bookmarkStart w:id="105" w:name="_Toc15396623"/>
    </w:p>
    <w:p>
      <w:pPr>
        <w:spacing w:line="600" w:lineRule="exact"/>
        <w:jc w:val="both"/>
        <w:outlineLvl w:val="1"/>
        <w:rPr>
          <w:rStyle w:val="27"/>
          <w:rFonts w:hint="eastAsia" w:ascii="仿宋" w:hAnsi="仿宋" w:eastAsia="仿宋"/>
          <w:b w:val="0"/>
          <w:bCs w:val="0"/>
          <w:color w:val="auto"/>
          <w:highlight w:val="none"/>
        </w:rPr>
      </w:pPr>
      <w:bookmarkStart w:id="106" w:name="_Toc14557"/>
      <w:r>
        <w:rPr>
          <w:rStyle w:val="27"/>
          <w:rFonts w:hint="eastAsia" w:ascii="仿宋" w:hAnsi="仿宋" w:eastAsia="仿宋"/>
          <w:b w:val="0"/>
          <w:bCs w:val="0"/>
          <w:color w:val="auto"/>
          <w:highlight w:val="none"/>
        </w:rPr>
        <w:t>五、财政拨款支出决算明细表</w:t>
      </w:r>
      <w:bookmarkEnd w:id="105"/>
      <w:bookmarkEnd w:id="106"/>
      <w:bookmarkStart w:id="107" w:name="_Toc15396624"/>
    </w:p>
    <w:p>
      <w:pPr>
        <w:spacing w:line="600" w:lineRule="exact"/>
        <w:jc w:val="both"/>
        <w:outlineLvl w:val="1"/>
        <w:rPr>
          <w:rStyle w:val="27"/>
          <w:rFonts w:hint="eastAsia" w:ascii="仿宋" w:hAnsi="仿宋" w:eastAsia="仿宋"/>
          <w:b w:val="0"/>
          <w:bCs w:val="0"/>
          <w:color w:val="auto"/>
          <w:highlight w:val="none"/>
        </w:rPr>
      </w:pPr>
      <w:bookmarkStart w:id="108" w:name="_Toc11343"/>
      <w:r>
        <w:rPr>
          <w:rStyle w:val="27"/>
          <w:rFonts w:hint="eastAsia" w:ascii="仿宋" w:hAnsi="仿宋" w:eastAsia="仿宋"/>
          <w:b w:val="0"/>
          <w:bCs w:val="0"/>
          <w:color w:val="auto"/>
          <w:highlight w:val="none"/>
        </w:rPr>
        <w:t>六、一般公共预算财政拨款支出决算表</w:t>
      </w:r>
      <w:bookmarkEnd w:id="107"/>
      <w:bookmarkEnd w:id="108"/>
      <w:bookmarkStart w:id="109" w:name="_Toc15396625"/>
    </w:p>
    <w:p>
      <w:pPr>
        <w:spacing w:line="600" w:lineRule="exact"/>
        <w:jc w:val="both"/>
        <w:outlineLvl w:val="1"/>
        <w:rPr>
          <w:rStyle w:val="27"/>
          <w:rFonts w:hint="eastAsia" w:ascii="仿宋" w:hAnsi="仿宋" w:eastAsia="仿宋"/>
          <w:b w:val="0"/>
          <w:bCs w:val="0"/>
          <w:color w:val="auto"/>
          <w:highlight w:val="none"/>
        </w:rPr>
      </w:pPr>
      <w:bookmarkStart w:id="110" w:name="_Toc8183"/>
      <w:r>
        <w:rPr>
          <w:rStyle w:val="27"/>
          <w:rFonts w:hint="eastAsia" w:ascii="仿宋" w:hAnsi="仿宋" w:eastAsia="仿宋"/>
          <w:b w:val="0"/>
          <w:bCs w:val="0"/>
          <w:color w:val="auto"/>
          <w:highlight w:val="none"/>
        </w:rPr>
        <w:t>七、一般公共预算财政拨款支出决算明细表</w:t>
      </w:r>
      <w:bookmarkEnd w:id="109"/>
      <w:bookmarkEnd w:id="110"/>
      <w:bookmarkStart w:id="111" w:name="_Toc15396626"/>
    </w:p>
    <w:p>
      <w:pPr>
        <w:spacing w:line="600" w:lineRule="exact"/>
        <w:jc w:val="both"/>
        <w:outlineLvl w:val="1"/>
        <w:rPr>
          <w:rStyle w:val="27"/>
          <w:rFonts w:hint="eastAsia" w:ascii="仿宋" w:hAnsi="仿宋" w:eastAsia="仿宋"/>
          <w:b w:val="0"/>
          <w:bCs w:val="0"/>
          <w:color w:val="auto"/>
          <w:highlight w:val="none"/>
        </w:rPr>
      </w:pPr>
      <w:bookmarkStart w:id="112" w:name="_Toc23283"/>
      <w:r>
        <w:rPr>
          <w:rStyle w:val="27"/>
          <w:rFonts w:hint="eastAsia" w:ascii="仿宋" w:hAnsi="仿宋" w:eastAsia="仿宋"/>
          <w:b w:val="0"/>
          <w:bCs w:val="0"/>
          <w:color w:val="auto"/>
          <w:highlight w:val="none"/>
        </w:rPr>
        <w:t>八、一般公共预算财政拨款基本支出决算表</w:t>
      </w:r>
      <w:bookmarkEnd w:id="111"/>
      <w:bookmarkEnd w:id="112"/>
      <w:bookmarkStart w:id="113" w:name="_Toc15396627"/>
    </w:p>
    <w:p>
      <w:pPr>
        <w:spacing w:line="600" w:lineRule="exact"/>
        <w:jc w:val="both"/>
        <w:outlineLvl w:val="1"/>
        <w:rPr>
          <w:rStyle w:val="27"/>
          <w:rFonts w:hint="eastAsia" w:ascii="仿宋" w:hAnsi="仿宋" w:eastAsia="仿宋"/>
          <w:b w:val="0"/>
          <w:bCs w:val="0"/>
          <w:color w:val="auto"/>
          <w:highlight w:val="none"/>
        </w:rPr>
      </w:pPr>
      <w:bookmarkStart w:id="114" w:name="_Toc10328"/>
      <w:r>
        <w:rPr>
          <w:rStyle w:val="27"/>
          <w:rFonts w:hint="eastAsia" w:ascii="仿宋" w:hAnsi="仿宋" w:eastAsia="仿宋"/>
          <w:b w:val="0"/>
          <w:bCs w:val="0"/>
          <w:color w:val="auto"/>
          <w:highlight w:val="none"/>
        </w:rPr>
        <w:t>九、一般公共预算财政拨款项目支出决算表</w:t>
      </w:r>
      <w:bookmarkEnd w:id="113"/>
      <w:bookmarkEnd w:id="114"/>
    </w:p>
    <w:p>
      <w:pPr>
        <w:spacing w:line="600" w:lineRule="exact"/>
        <w:jc w:val="both"/>
        <w:outlineLvl w:val="1"/>
        <w:rPr>
          <w:rFonts w:ascii="仿宋" w:hAnsi="仿宋" w:eastAsia="仿宋"/>
          <w:color w:val="auto"/>
          <w:highlight w:val="none"/>
        </w:rPr>
      </w:pPr>
      <w:bookmarkStart w:id="115" w:name="_Toc15396628"/>
      <w:bookmarkStart w:id="116" w:name="_Toc17550"/>
      <w:r>
        <w:rPr>
          <w:rStyle w:val="27"/>
          <w:rFonts w:hint="eastAsia" w:ascii="仿宋" w:hAnsi="仿宋" w:eastAsia="仿宋"/>
          <w:b w:val="0"/>
          <w:bCs w:val="0"/>
          <w:color w:val="auto"/>
          <w:highlight w:val="none"/>
        </w:rPr>
        <w:t>十、</w:t>
      </w:r>
      <w:bookmarkEnd w:id="115"/>
      <w:r>
        <w:rPr>
          <w:rStyle w:val="27"/>
          <w:rFonts w:hint="eastAsia" w:ascii="仿宋" w:hAnsi="仿宋" w:eastAsia="仿宋"/>
          <w:b w:val="0"/>
          <w:bCs w:val="0"/>
          <w:color w:val="auto"/>
          <w:highlight w:val="none"/>
        </w:rPr>
        <w:t>政府性基金预算财政拨款收入支出决算表</w:t>
      </w:r>
      <w:bookmarkEnd w:id="116"/>
    </w:p>
    <w:p>
      <w:pPr>
        <w:pStyle w:val="4"/>
        <w:rPr>
          <w:rFonts w:ascii="仿宋" w:hAnsi="仿宋" w:eastAsia="仿宋"/>
          <w:color w:val="auto"/>
          <w:highlight w:val="none"/>
        </w:rPr>
      </w:pPr>
      <w:bookmarkStart w:id="117" w:name="_Toc15396629"/>
      <w:bookmarkStart w:id="118" w:name="_Toc9324"/>
      <w:r>
        <w:rPr>
          <w:rStyle w:val="27"/>
          <w:rFonts w:hint="eastAsia" w:ascii="仿宋" w:hAnsi="仿宋" w:eastAsia="仿宋"/>
          <w:b w:val="0"/>
          <w:bCs w:val="0"/>
          <w:color w:val="auto"/>
          <w:highlight w:val="none"/>
        </w:rPr>
        <w:t>十一、</w:t>
      </w:r>
      <w:bookmarkEnd w:id="117"/>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18"/>
    </w:p>
    <w:p>
      <w:pPr>
        <w:pStyle w:val="4"/>
        <w:rPr>
          <w:rFonts w:ascii="仿宋" w:hAnsi="仿宋" w:eastAsia="仿宋"/>
          <w:color w:val="auto"/>
          <w:highlight w:val="none"/>
        </w:rPr>
      </w:pPr>
      <w:bookmarkStart w:id="119" w:name="_Toc15396630"/>
      <w:bookmarkStart w:id="120" w:name="_Toc25150"/>
      <w:r>
        <w:rPr>
          <w:rStyle w:val="27"/>
          <w:rFonts w:hint="eastAsia" w:ascii="仿宋" w:hAnsi="仿宋" w:eastAsia="仿宋"/>
          <w:b w:val="0"/>
          <w:bCs w:val="0"/>
          <w:color w:val="auto"/>
          <w:highlight w:val="none"/>
        </w:rPr>
        <w:t>十二、</w:t>
      </w:r>
      <w:bookmarkEnd w:id="119"/>
      <w:r>
        <w:rPr>
          <w:rStyle w:val="27"/>
          <w:rFonts w:hint="eastAsia" w:ascii="仿宋" w:hAnsi="仿宋" w:eastAsia="仿宋"/>
          <w:b w:val="0"/>
          <w:bCs w:val="0"/>
          <w:color w:val="auto"/>
          <w:highlight w:val="none"/>
          <w:lang w:eastAsia="zh-CN"/>
        </w:rPr>
        <w:t>国有资本经营预算财政拨款支出决算表</w:t>
      </w:r>
      <w:bookmarkEnd w:id="120"/>
    </w:p>
    <w:p>
      <w:pPr>
        <w:pStyle w:val="4"/>
        <w:rPr>
          <w:rFonts w:hint="eastAsia" w:eastAsia="仿宋"/>
          <w:color w:val="auto"/>
          <w:highlight w:val="none"/>
          <w:lang w:eastAsia="zh-CN"/>
        </w:rPr>
      </w:pPr>
      <w:bookmarkStart w:id="121" w:name="_Toc15396631"/>
      <w:bookmarkStart w:id="122" w:name="_Toc24506"/>
      <w:r>
        <w:rPr>
          <w:rStyle w:val="27"/>
          <w:rFonts w:hint="eastAsia" w:ascii="仿宋" w:hAnsi="仿宋" w:eastAsia="仿宋"/>
          <w:b w:val="0"/>
          <w:bCs w:val="0"/>
          <w:color w:val="auto"/>
          <w:highlight w:val="none"/>
        </w:rPr>
        <w:t>十三、</w:t>
      </w:r>
      <w:bookmarkEnd w:id="121"/>
      <w:r>
        <w:rPr>
          <w:rStyle w:val="27"/>
          <w:rFonts w:hint="eastAsia" w:ascii="仿宋" w:hAnsi="仿宋" w:eastAsia="仿宋"/>
          <w:b w:val="0"/>
          <w:bCs w:val="0"/>
          <w:color w:val="auto"/>
          <w:highlight w:val="none"/>
          <w:lang w:eastAsia="zh-CN"/>
        </w:rPr>
        <w:t>财政拨款“三公”经费支出决算表</w:t>
      </w:r>
      <w:bookmarkEnd w:id="122"/>
    </w:p>
    <w:sectPr>
      <w:footerReference r:id="rId8" w:type="first"/>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abstractNum w:abstractNumId="3">
    <w:nsid w:val="50756B74"/>
    <w:multiLevelType w:val="singleLevel"/>
    <w:tmpl w:val="50756B74"/>
    <w:lvl w:ilvl="0" w:tentative="0">
      <w:start w:val="5"/>
      <w:numFmt w:val="chineseCounting"/>
      <w:suff w:val="space"/>
      <w:lvlText w:val="第%1部分"/>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208"/>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F22335"/>
    <w:rsid w:val="08E33AF1"/>
    <w:rsid w:val="09A10508"/>
    <w:rsid w:val="0A2032A3"/>
    <w:rsid w:val="0B3E2F89"/>
    <w:rsid w:val="0B8A37D8"/>
    <w:rsid w:val="0F157CFB"/>
    <w:rsid w:val="10C055FF"/>
    <w:rsid w:val="118107EC"/>
    <w:rsid w:val="11DD6519"/>
    <w:rsid w:val="124413B1"/>
    <w:rsid w:val="12615D09"/>
    <w:rsid w:val="131C20FB"/>
    <w:rsid w:val="16BB723D"/>
    <w:rsid w:val="18015F3F"/>
    <w:rsid w:val="1BE8440E"/>
    <w:rsid w:val="1D155CEE"/>
    <w:rsid w:val="20584239"/>
    <w:rsid w:val="20F57F95"/>
    <w:rsid w:val="21007367"/>
    <w:rsid w:val="240371BF"/>
    <w:rsid w:val="25711CC6"/>
    <w:rsid w:val="25C741E6"/>
    <w:rsid w:val="27842671"/>
    <w:rsid w:val="29FD04D3"/>
    <w:rsid w:val="2ABE7A3E"/>
    <w:rsid w:val="2CA234A8"/>
    <w:rsid w:val="2EFA178C"/>
    <w:rsid w:val="2F1A0BD6"/>
    <w:rsid w:val="30B46D73"/>
    <w:rsid w:val="319F7F4E"/>
    <w:rsid w:val="3619319F"/>
    <w:rsid w:val="37F45B9A"/>
    <w:rsid w:val="383D272C"/>
    <w:rsid w:val="39AE70AB"/>
    <w:rsid w:val="3C0C0783"/>
    <w:rsid w:val="3F9F3A96"/>
    <w:rsid w:val="447A09D0"/>
    <w:rsid w:val="45230F44"/>
    <w:rsid w:val="48BF60AB"/>
    <w:rsid w:val="493C27E9"/>
    <w:rsid w:val="496F39ED"/>
    <w:rsid w:val="49FF41D3"/>
    <w:rsid w:val="4BE068DB"/>
    <w:rsid w:val="4BF6002B"/>
    <w:rsid w:val="4ECE2238"/>
    <w:rsid w:val="51DB4B86"/>
    <w:rsid w:val="55333C3E"/>
    <w:rsid w:val="5DA14CA4"/>
    <w:rsid w:val="5E01075A"/>
    <w:rsid w:val="64CA39A1"/>
    <w:rsid w:val="69630ADE"/>
    <w:rsid w:val="6C4A05C8"/>
    <w:rsid w:val="6D3B1A89"/>
    <w:rsid w:val="6F4E0E7E"/>
    <w:rsid w:val="71BF4EC2"/>
    <w:rsid w:val="72734D90"/>
    <w:rsid w:val="7412278C"/>
    <w:rsid w:val="79E7B28D"/>
    <w:rsid w:val="7F3D4E8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31"/>
    <w:basedOn w:val="15"/>
    <w:qFormat/>
    <w:uiPriority w:val="0"/>
    <w:rPr>
      <w:rFonts w:hint="eastAsia" w:ascii="宋体" w:hAnsi="宋体" w:eastAsia="宋体" w:cs="宋体"/>
      <w:color w:val="000000"/>
      <w:sz w:val="20"/>
      <w:szCs w:val="20"/>
      <w:u w:val="none"/>
    </w:rPr>
  </w:style>
  <w:style w:type="character" w:customStyle="1" w:styleId="33">
    <w:name w:val="font121"/>
    <w:basedOn w:val="15"/>
    <w:qFormat/>
    <w:uiPriority w:val="0"/>
    <w:rPr>
      <w:rFonts w:hint="eastAsia" w:ascii="宋体" w:hAnsi="宋体" w:eastAsia="宋体" w:cs="宋体"/>
      <w:color w:val="000000"/>
      <w:sz w:val="20"/>
      <w:szCs w:val="20"/>
      <w:u w:val="none"/>
    </w:rPr>
  </w:style>
  <w:style w:type="character" w:customStyle="1" w:styleId="34">
    <w:name w:val="font101"/>
    <w:basedOn w:val="15"/>
    <w:qFormat/>
    <w:uiPriority w:val="0"/>
    <w:rPr>
      <w:rFonts w:hint="eastAsia" w:ascii="宋体" w:hAnsi="宋体" w:eastAsia="宋体" w:cs="宋体"/>
      <w:color w:val="000000"/>
      <w:sz w:val="18"/>
      <w:szCs w:val="18"/>
      <w:u w:val="none"/>
    </w:rPr>
  </w:style>
  <w:style w:type="character" w:customStyle="1" w:styleId="35">
    <w:name w:val="font71"/>
    <w:basedOn w:val="15"/>
    <w:qFormat/>
    <w:uiPriority w:val="0"/>
    <w:rPr>
      <w:rFonts w:hint="eastAsia" w:ascii="宋体" w:hAnsi="宋体" w:eastAsia="宋体" w:cs="宋体"/>
      <w:color w:val="000000"/>
      <w:sz w:val="18"/>
      <w:szCs w:val="18"/>
      <w:u w:val="none"/>
    </w:rPr>
  </w:style>
  <w:style w:type="character" w:customStyle="1" w:styleId="36">
    <w:name w:val="font112"/>
    <w:basedOn w:val="15"/>
    <w:qFormat/>
    <w:uiPriority w:val="0"/>
    <w:rPr>
      <w:rFonts w:hint="eastAsia" w:ascii="宋体" w:hAnsi="宋体" w:eastAsia="宋体" w:cs="宋体"/>
      <w:color w:val="000000"/>
      <w:sz w:val="20"/>
      <w:szCs w:val="20"/>
      <w:u w:val="none"/>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353015075377"/>
          <c:y val="0.103540414161657"/>
          <c:w val="0.830935929648241"/>
          <c:h val="0.613694054776219"/>
        </c:manualLayout>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840.94</c:v>
                </c:pt>
                <c:pt idx="1">
                  <c:v>840.94</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967.82</c:v>
                </c:pt>
                <c:pt idx="1">
                  <c:v>967.82</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78809048569528"/>
          <c:y val="0.192955002513826"/>
          <c:w val="0.938888888888889"/>
          <c:h val="0.645601851851852"/>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28683543816511"/>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49.49%</a:t>
                    </a:r>
                    <a:endParaRPr lang="en-US" altLang="zh-CN">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50.51%</a:t>
                    </a:r>
                    <a:endParaRPr lang="en-US" altLang="zh-CN">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[工作簿1.xlsx]Sheet1!$B$16:$B$18</c:f>
              <c:numCache>
                <c:formatCode>General</c:formatCode>
                <c:ptCount val="3"/>
                <c:pt idx="0">
                  <c:v>478.97</c:v>
                </c:pt>
                <c:pt idx="2">
                  <c:v>488.85</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[工作簿1.xlsx]Sheet1!$C$16:$C$18</c:f>
              <c:numCache>
                <c:formatCode>0.00%</c:formatCode>
                <c:ptCount val="3"/>
                <c:pt idx="0">
                  <c:v>0.4949</c:v>
                </c:pt>
                <c:pt idx="2">
                  <c:v>0.5051</c:v>
                </c:pt>
              </c:numCache>
            </c:numRef>
          </c:val>
        </c:ser>
        <c:dLbls>
          <c:showLegendKey val="0"/>
          <c:showVal val="0"/>
          <c:showCatName val="0"/>
          <c:showSerName val="0"/>
          <c:showPercent val="1"/>
          <c:showBubbleSize val="0"/>
        </c:dLbls>
      </c:pie3D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44611528822055"/>
          <c:y val="0.22005376907467"/>
          <c:w val="0.915413533834586"/>
          <c:h val="0.60155316606929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a:t>
                    </a:r>
                    <a:r>
                      <a:rPr lang="en-US" altLang="zh-CN" b="1"/>
                      <a:t>89.47%</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a:t>
                    </a:r>
                    <a:r>
                      <a:rPr lang="en-US" altLang="zh-CN" b="1"/>
                      <a:t>10.53%</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[工作簿1.xlsx]Sheet1!$B$29:$B$31</c:f>
              <c:numCache>
                <c:formatCode>General</c:formatCode>
                <c:ptCount val="3"/>
                <c:pt idx="0">
                  <c:v>865.95</c:v>
                </c:pt>
                <c:pt idx="1">
                  <c:v>101.87</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[工作簿1.xlsx]Sheet1!$C$29:$C$31</c:f>
              <c:numCache>
                <c:formatCode>0.00%</c:formatCode>
                <c:ptCount val="3"/>
                <c:pt idx="0">
                  <c:v>0.8947</c:v>
                </c:pt>
                <c:pt idx="1">
                  <c:v>0.1053</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418.65</c:v>
                </c:pt>
                <c:pt idx="1">
                  <c:v>418.65</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478.98</c:v>
                </c:pt>
                <c:pt idx="1">
                  <c:v>478.98</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418.65</c:v>
                </c:pt>
                <c:pt idx="1">
                  <c:v>471.59</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404709345106696"/>
          <c:y val="0.0467836257309941"/>
          <c:w val="0.611111111111111"/>
          <c:h val="0.871345029239766"/>
        </c:manualLayout>
      </c:layout>
      <c:pie3D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社会保障和就业（类）支出9.57%</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卫生健康支出80.39%</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住房保障支出10.04%</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45.16</c:v>
                </c:pt>
                <c:pt idx="1">
                  <c:v>379.1</c:v>
                </c:pt>
                <c:pt idx="2">
                  <c:v>47.35</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0.0957</c:v>
                </c:pt>
                <c:pt idx="1">
                  <c:v>0.8039</c:v>
                </c:pt>
                <c:pt idx="2">
                  <c:v>0.1004</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9181</Words>
  <Characters>10121</Characters>
  <Lines>61</Lines>
  <Paragraphs>17</Paragraphs>
  <TotalTime>0</TotalTime>
  <ScaleCrop>false</ScaleCrop>
  <LinksUpToDate>false</LinksUpToDate>
  <CharactersWithSpaces>10302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2023-09-28T08:21:56Z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12E45F36CB8646BB8C1036CF06119BD1_13</vt:lpwstr>
  </property>
</Properties>
</file>