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597"/>
      <w:bookmarkStart w:id="3" w:name="_Toc15377425"/>
      <w:bookmarkStart w:id="4" w:name="_Toc15396475"/>
      <w:bookmarkStart w:id="5" w:name="_Toc15377193"/>
      <w:bookmarkStart w:id="6" w:name="_Toc823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77194"/>
      <w:bookmarkStart w:id="8" w:name="_Toc15378442"/>
      <w:bookmarkStart w:id="9" w:name="_Toc3603"/>
      <w:bookmarkStart w:id="10" w:name="_Toc15396476"/>
      <w:bookmarkStart w:id="11" w:name="_Toc15377426"/>
      <w:bookmarkStart w:id="12" w:name="_Toc15396598"/>
      <w:r>
        <w:rPr>
          <w:rFonts w:hint="eastAsia" w:ascii="方正小标宋简体" w:hAnsi="方正小标宋简体" w:eastAsia="方正小标宋简体" w:cs="方正小标宋简体"/>
          <w:color w:val="auto"/>
          <w:sz w:val="72"/>
          <w:szCs w:val="72"/>
          <w:highlight w:val="none"/>
        </w:rPr>
        <w:t>四川省</w:t>
      </w:r>
      <w:bookmarkEnd w:id="0"/>
      <w:bookmarkStart w:id="13" w:name="_Toc15306268"/>
      <w:r>
        <w:rPr>
          <w:rFonts w:hint="eastAsia" w:ascii="方正小标宋简体" w:hAnsi="方正小标宋简体" w:eastAsia="方正小标宋简体" w:cs="方正小标宋简体"/>
          <w:color w:val="auto"/>
          <w:sz w:val="72"/>
          <w:szCs w:val="72"/>
          <w:highlight w:val="none"/>
        </w:rPr>
        <w:t>广元市昭化区</w:t>
      </w:r>
      <w:r>
        <w:rPr>
          <w:rFonts w:hint="eastAsia" w:ascii="方正小标宋简体" w:hAnsi="方正小标宋简体" w:eastAsia="方正小标宋简体" w:cs="方正小标宋简体"/>
          <w:color w:val="auto"/>
          <w:sz w:val="72"/>
          <w:szCs w:val="72"/>
          <w:highlight w:val="none"/>
          <w:lang w:eastAsia="zh-CN"/>
        </w:rPr>
        <w:t>丁家乡</w:t>
      </w:r>
      <w:r>
        <w:rPr>
          <w:rFonts w:hint="eastAsia" w:ascii="方正小标宋简体" w:hAnsi="方正小标宋简体" w:eastAsia="方正小标宋简体" w:cs="方正小标宋简体"/>
          <w:color w:val="auto"/>
          <w:sz w:val="72"/>
          <w:szCs w:val="72"/>
          <w:highlight w:val="none"/>
        </w:rPr>
        <w:t>卫生院</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67471"/>
        <w15:color w:val="DBDBDB"/>
        <w:docPartObj>
          <w:docPartGallery w:val="Table of Contents"/>
          <w:docPartUnique/>
        </w:docPartObj>
      </w:sdtPr>
      <w:sdtEndPr>
        <w:rPr>
          <w:rFonts w:ascii="仿宋" w:hAnsi="仿宋" w:eastAsia="仿宋" w:cstheme="minorBidi"/>
          <w:color w:val="auto"/>
          <w:kern w:val="2"/>
          <w:sz w:val="28"/>
          <w:szCs w:val="24"/>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8306"/>
            </w:tabs>
          </w:pPr>
          <w:r>
            <w:rPr>
              <w:rFonts w:cstheme="minorBidi"/>
              <w:color w:val="auto"/>
              <w:sz w:val="24"/>
              <w:szCs w:val="24"/>
              <w:highlight w:val="none"/>
            </w:rPr>
            <w:fldChar w:fldCharType="begin"/>
          </w:r>
          <w:r>
            <w:rPr>
              <w:rFonts w:cstheme="minorBidi"/>
              <w:color w:val="auto"/>
              <w:sz w:val="24"/>
              <w:szCs w:val="24"/>
              <w:highlight w:val="none"/>
            </w:rPr>
            <w:instrText xml:space="preserve">TOC \o "1-3" \h \u </w:instrText>
          </w:r>
          <w:r>
            <w:rPr>
              <w:rFonts w:cstheme="minorBidi"/>
              <w:color w:val="auto"/>
              <w:sz w:val="24"/>
              <w:szCs w:val="24"/>
              <w:highlight w:val="none"/>
            </w:rPr>
            <w:fldChar w:fldCharType="separate"/>
          </w:r>
          <w:r>
            <w:rPr>
              <w:rFonts w:cstheme="minorBidi"/>
              <w:color w:val="auto"/>
              <w:szCs w:val="24"/>
              <w:highlight w:val="none"/>
            </w:rPr>
            <w:fldChar w:fldCharType="begin"/>
          </w:r>
          <w:r>
            <w:rPr>
              <w:rFonts w:cstheme="minorBidi"/>
              <w:szCs w:val="24"/>
              <w:highlight w:val="none"/>
            </w:rPr>
            <w:instrText xml:space="preserve"> HYPERLINK \l _Toc3257 </w:instrText>
          </w:r>
          <w:r>
            <w:rPr>
              <w:rFonts w:cstheme="minorBidi"/>
              <w:szCs w:val="24"/>
              <w:highlight w:val="none"/>
            </w:rP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_Toc3257 \h </w:instrText>
          </w:r>
          <w:r>
            <w:fldChar w:fldCharType="separate"/>
          </w:r>
          <w:r>
            <w:t>1</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_Toc5049 </w:instrText>
          </w:r>
          <w:r>
            <w:rPr>
              <w:rFonts w:cstheme="minorBidi"/>
              <w:szCs w:val="24"/>
              <w:highlight w:val="none"/>
            </w:rPr>
            <w:fldChar w:fldCharType="separate"/>
          </w:r>
          <w:r>
            <w:rPr>
              <w:rFonts w:hint="eastAsia" w:ascii="黑体" w:hAnsi="黑体" w:eastAsia="黑体"/>
              <w:bCs w:val="0"/>
              <w:lang w:eastAsia="zh-CN"/>
            </w:rPr>
            <w:t xml:space="preserve">一、 </w:t>
          </w:r>
          <w:r>
            <w:rPr>
              <w:rFonts w:hint="eastAsia" w:ascii="黑体" w:hAnsi="黑体" w:eastAsia="黑体"/>
              <w:bCs w:val="0"/>
              <w:highlight w:val="none"/>
              <w:lang w:eastAsia="zh-CN"/>
            </w:rPr>
            <w:t>主要职责</w:t>
          </w:r>
          <w:r>
            <w:tab/>
          </w:r>
          <w:r>
            <w:fldChar w:fldCharType="begin"/>
          </w:r>
          <w:r>
            <w:instrText xml:space="preserve"> PAGEREF _Toc5049 \h </w:instrText>
          </w:r>
          <w:r>
            <w:fldChar w:fldCharType="separate"/>
          </w:r>
          <w:r>
            <w:t>1</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_Toc8524 </w:instrText>
          </w:r>
          <w:r>
            <w:rPr>
              <w:rFonts w:cstheme="minorBidi"/>
              <w:szCs w:val="24"/>
              <w:highlight w:val="none"/>
            </w:rPr>
            <w:fldChar w:fldCharType="separate"/>
          </w:r>
          <w:r>
            <w:rPr>
              <w:rFonts w:hint="eastAsia" w:ascii="黑体" w:hAnsi="黑体" w:eastAsia="黑体"/>
              <w:lang w:val="en-US" w:eastAsia="zh-CN"/>
            </w:rPr>
            <w:t xml:space="preserve">二、 </w:t>
          </w:r>
          <w:r>
            <w:rPr>
              <w:rFonts w:hint="eastAsia" w:ascii="黑体" w:hAnsi="黑体" w:eastAsia="黑体"/>
              <w:highlight w:val="none"/>
              <w:lang w:val="en-US" w:eastAsia="zh-CN"/>
            </w:rPr>
            <w:t>机构设置</w:t>
          </w:r>
          <w:r>
            <w:tab/>
          </w:r>
          <w:r>
            <w:fldChar w:fldCharType="begin"/>
          </w:r>
          <w:r>
            <w:instrText xml:space="preserve"> PAGEREF _Toc8524 \h </w:instrText>
          </w:r>
          <w:r>
            <w:fldChar w:fldCharType="separate"/>
          </w:r>
          <w:r>
            <w:t>2</w:t>
          </w:r>
          <w:r>
            <w:fldChar w:fldCharType="end"/>
          </w:r>
          <w:r>
            <w:rPr>
              <w:rFonts w:cstheme="minorBidi"/>
              <w:color w:val="auto"/>
              <w:szCs w:val="24"/>
              <w:highlight w:val="none"/>
            </w:rPr>
            <w:fldChar w:fldCharType="end"/>
          </w:r>
        </w:p>
        <w:p>
          <w:pPr>
            <w:pStyle w:val="33"/>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_Toc20105 </w:instrText>
          </w:r>
          <w:r>
            <w:rPr>
              <w:rFonts w:cstheme="minorBidi"/>
              <w:szCs w:val="24"/>
              <w:highlight w:val="none"/>
            </w:rP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tab/>
          </w:r>
          <w:r>
            <w:fldChar w:fldCharType="begin"/>
          </w:r>
          <w:r>
            <w:instrText xml:space="preserve"> PAGEREF _Toc20105 \h </w:instrText>
          </w:r>
          <w:r>
            <w:fldChar w:fldCharType="separate"/>
          </w:r>
          <w:r>
            <w:t>3</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_Toc19427 </w:instrText>
          </w:r>
          <w:r>
            <w:rPr>
              <w:rFonts w:cstheme="minorBidi"/>
              <w:szCs w:val="24"/>
              <w:highlight w:val="none"/>
            </w:rP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_Toc19427 \h </w:instrText>
          </w:r>
          <w:r>
            <w:fldChar w:fldCharType="separate"/>
          </w:r>
          <w:r>
            <w:t>3</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_Toc28627 </w:instrText>
          </w:r>
          <w:r>
            <w:rPr>
              <w:rFonts w:cstheme="minorBidi"/>
              <w:szCs w:val="24"/>
              <w:highlight w:val="none"/>
            </w:rP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_Toc28627 \h </w:instrText>
          </w:r>
          <w:r>
            <w:fldChar w:fldCharType="separate"/>
          </w:r>
          <w:r>
            <w:t>3</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_Toc14273 </w:instrText>
          </w:r>
          <w:r>
            <w:rPr>
              <w:rFonts w:cstheme="minorBidi"/>
              <w:szCs w:val="24"/>
              <w:highlight w:val="none"/>
            </w:rP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_Toc14273 \h </w:instrText>
          </w:r>
          <w:r>
            <w:fldChar w:fldCharType="separate"/>
          </w:r>
          <w:r>
            <w:t>4</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_Toc11984 </w:instrText>
          </w:r>
          <w:r>
            <w:rPr>
              <w:rFonts w:cstheme="minorBidi"/>
              <w:szCs w:val="24"/>
              <w:highlight w:val="none"/>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_Toc11984 \h </w:instrText>
          </w:r>
          <w:r>
            <w:fldChar w:fldCharType="separate"/>
          </w:r>
          <w:r>
            <w:t>4</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_Toc4827 </w:instrText>
          </w:r>
          <w:r>
            <w:rPr>
              <w:rFonts w:cstheme="minorBidi"/>
              <w:szCs w:val="24"/>
              <w:highlight w:val="none"/>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_Toc4827 \h </w:instrText>
          </w:r>
          <w:r>
            <w:fldChar w:fldCharType="separate"/>
          </w:r>
          <w:r>
            <w:t>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_Toc7635 </w:instrText>
          </w:r>
          <w:r>
            <w:rPr>
              <w:rFonts w:cstheme="minorBidi"/>
              <w:szCs w:val="24"/>
              <w:highlight w:val="none"/>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_Toc7635 \h </w:instrText>
          </w:r>
          <w:r>
            <w:fldChar w:fldCharType="separate"/>
          </w:r>
          <w:r>
            <w:t>7</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_Toc15831 </w:instrText>
          </w:r>
          <w:r>
            <w:rPr>
              <w:rFonts w:cstheme="minorBidi"/>
              <w:szCs w:val="24"/>
              <w:highlight w:val="none"/>
            </w:rP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_Toc15831 \h </w:instrText>
          </w:r>
          <w:r>
            <w:fldChar w:fldCharType="separate"/>
          </w:r>
          <w:r>
            <w:t>7</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_Toc12527 </w:instrText>
          </w:r>
          <w:r>
            <w:rPr>
              <w:rFonts w:cstheme="minorBidi"/>
              <w:szCs w:val="24"/>
              <w:highlight w:val="none"/>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_Toc12527 \h </w:instrText>
          </w:r>
          <w:r>
            <w:fldChar w:fldCharType="separate"/>
          </w:r>
          <w:r>
            <w:t>8</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_Toc1586 </w:instrText>
          </w:r>
          <w:r>
            <w:rPr>
              <w:rFonts w:cstheme="minorBidi"/>
              <w:szCs w:val="24"/>
              <w:highlight w:val="none"/>
            </w:rP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_Toc1586 \h </w:instrText>
          </w:r>
          <w:r>
            <w:fldChar w:fldCharType="separate"/>
          </w:r>
          <w:r>
            <w:t>8</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_Toc12640 </w:instrText>
          </w:r>
          <w:r>
            <w:rPr>
              <w:rFonts w:cstheme="minorBidi"/>
              <w:szCs w:val="24"/>
              <w:highlight w:val="none"/>
            </w:rP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_Toc12640 \h </w:instrText>
          </w:r>
          <w:r>
            <w:fldChar w:fldCharType="separate"/>
          </w:r>
          <w:r>
            <w:t>8</w:t>
          </w:r>
          <w:r>
            <w:fldChar w:fldCharType="end"/>
          </w:r>
          <w:r>
            <w:rPr>
              <w:rFonts w:cstheme="minorBidi"/>
              <w:color w:val="auto"/>
              <w:szCs w:val="24"/>
              <w:highlight w:val="none"/>
            </w:rPr>
            <w:fldChar w:fldCharType="end"/>
          </w:r>
        </w:p>
        <w:p>
          <w:pPr>
            <w:pStyle w:val="35"/>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_Toc6495 </w:instrText>
          </w:r>
          <w:r>
            <w:rPr>
              <w:rFonts w:cstheme="minorBidi"/>
              <w:szCs w:val="24"/>
              <w:highlight w:val="none"/>
            </w:rPr>
            <w:fldChar w:fldCharType="separate"/>
          </w:r>
          <w:r>
            <w:rPr>
              <w:rFonts w:hint="eastAsia" w:ascii="仿宋" w:hAnsi="仿宋" w:eastAsia="仿宋"/>
              <w:szCs w:val="32"/>
              <w:highlight w:val="none"/>
            </w:rPr>
            <w:t>（一）机关运行经费支出情况</w:t>
          </w:r>
          <w:r>
            <w:tab/>
          </w:r>
          <w:r>
            <w:fldChar w:fldCharType="begin"/>
          </w:r>
          <w:r>
            <w:instrText xml:space="preserve"> PAGEREF _Toc6495 \h </w:instrText>
          </w:r>
          <w:r>
            <w:fldChar w:fldCharType="separate"/>
          </w:r>
          <w:r>
            <w:t>8</w:t>
          </w:r>
          <w:r>
            <w:fldChar w:fldCharType="end"/>
          </w:r>
          <w:r>
            <w:rPr>
              <w:rFonts w:cstheme="minorBidi"/>
              <w:color w:val="auto"/>
              <w:szCs w:val="24"/>
              <w:highlight w:val="none"/>
            </w:rPr>
            <w:fldChar w:fldCharType="end"/>
          </w:r>
        </w:p>
        <w:p>
          <w:pPr>
            <w:pStyle w:val="35"/>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_Toc9595 </w:instrText>
          </w:r>
          <w:r>
            <w:rPr>
              <w:rFonts w:cstheme="minorBidi"/>
              <w:szCs w:val="24"/>
              <w:highlight w:val="none"/>
            </w:rPr>
            <w:fldChar w:fldCharType="separate"/>
          </w:r>
          <w:r>
            <w:rPr>
              <w:rFonts w:hint="eastAsia" w:ascii="仿宋" w:hAnsi="仿宋" w:eastAsia="仿宋"/>
              <w:szCs w:val="32"/>
              <w:highlight w:val="none"/>
            </w:rPr>
            <w:t>（二）政府采购支出情况</w:t>
          </w:r>
          <w:r>
            <w:tab/>
          </w:r>
          <w:r>
            <w:fldChar w:fldCharType="begin"/>
          </w:r>
          <w:r>
            <w:instrText xml:space="preserve"> PAGEREF _Toc9595 \h </w:instrText>
          </w:r>
          <w:r>
            <w:fldChar w:fldCharType="separate"/>
          </w:r>
          <w:r>
            <w:t>8</w:t>
          </w:r>
          <w:r>
            <w:fldChar w:fldCharType="end"/>
          </w:r>
          <w:r>
            <w:rPr>
              <w:rFonts w:cstheme="minorBidi"/>
              <w:color w:val="auto"/>
              <w:szCs w:val="24"/>
              <w:highlight w:val="none"/>
            </w:rPr>
            <w:fldChar w:fldCharType="end"/>
          </w:r>
        </w:p>
        <w:p>
          <w:pPr>
            <w:pStyle w:val="35"/>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_Toc29395 </w:instrText>
          </w:r>
          <w:r>
            <w:rPr>
              <w:rFonts w:cstheme="minorBidi"/>
              <w:szCs w:val="24"/>
              <w:highlight w:val="none"/>
            </w:rPr>
            <w:fldChar w:fldCharType="separate"/>
          </w:r>
          <w:r>
            <w:rPr>
              <w:rFonts w:hint="eastAsia" w:ascii="仿宋" w:hAnsi="仿宋" w:eastAsia="仿宋"/>
              <w:szCs w:val="32"/>
              <w:highlight w:val="none"/>
            </w:rPr>
            <w:t>（三）国有资产占有使用情况</w:t>
          </w:r>
          <w:r>
            <w:tab/>
          </w:r>
          <w:r>
            <w:fldChar w:fldCharType="begin"/>
          </w:r>
          <w:r>
            <w:instrText xml:space="preserve"> PAGEREF _Toc29395 \h </w:instrText>
          </w:r>
          <w:r>
            <w:fldChar w:fldCharType="separate"/>
          </w:r>
          <w:r>
            <w:t>8</w:t>
          </w:r>
          <w:r>
            <w:fldChar w:fldCharType="end"/>
          </w:r>
          <w:r>
            <w:rPr>
              <w:rFonts w:cstheme="minorBidi"/>
              <w:color w:val="auto"/>
              <w:szCs w:val="24"/>
              <w:highlight w:val="none"/>
            </w:rPr>
            <w:fldChar w:fldCharType="end"/>
          </w:r>
        </w:p>
        <w:p>
          <w:pPr>
            <w:pStyle w:val="35"/>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_Toc31346 </w:instrText>
          </w:r>
          <w:r>
            <w:rPr>
              <w:rFonts w:cstheme="minorBidi"/>
              <w:szCs w:val="24"/>
              <w:highlight w:val="none"/>
            </w:rPr>
            <w:fldChar w:fldCharType="separate"/>
          </w:r>
          <w:r>
            <w:rPr>
              <w:rFonts w:hint="eastAsia" w:ascii="仿宋" w:hAnsi="仿宋" w:eastAsia="仿宋"/>
              <w:szCs w:val="32"/>
              <w:highlight w:val="none"/>
            </w:rPr>
            <w:t>（四）预算绩效管理情况</w:t>
          </w:r>
          <w:r>
            <w:tab/>
          </w:r>
          <w:r>
            <w:fldChar w:fldCharType="begin"/>
          </w:r>
          <w:r>
            <w:instrText xml:space="preserve"> PAGEREF _Toc31346 \h </w:instrText>
          </w:r>
          <w:r>
            <w:fldChar w:fldCharType="separate"/>
          </w:r>
          <w:r>
            <w:t>8</w:t>
          </w:r>
          <w:r>
            <w:fldChar w:fldCharType="end"/>
          </w:r>
          <w:r>
            <w:rPr>
              <w:rFonts w:cstheme="minorBidi"/>
              <w:color w:val="auto"/>
              <w:szCs w:val="24"/>
              <w:highlight w:val="none"/>
            </w:rPr>
            <w:fldChar w:fldCharType="end"/>
          </w:r>
        </w:p>
        <w:p>
          <w:pPr>
            <w:pStyle w:val="33"/>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_Toc28071 </w:instrText>
          </w:r>
          <w:r>
            <w:rPr>
              <w:rFonts w:cstheme="minorBidi"/>
              <w:szCs w:val="24"/>
              <w:highlight w:val="none"/>
            </w:rPr>
            <w:fldChar w:fldCharType="separate"/>
          </w:r>
          <w:r>
            <w:rPr>
              <w:rFonts w:hint="eastAsia" w:ascii="黑体" w:hAnsi="黑体" w:eastAsia="黑体" w:cs="黑体"/>
              <w:szCs w:val="44"/>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_Toc28071 \h </w:instrText>
          </w:r>
          <w:r>
            <w:fldChar w:fldCharType="separate"/>
          </w:r>
          <w:r>
            <w:t>11</w:t>
          </w:r>
          <w:r>
            <w:fldChar w:fldCharType="end"/>
          </w:r>
          <w:r>
            <w:rPr>
              <w:rFonts w:cstheme="minorBidi"/>
              <w:color w:val="auto"/>
              <w:szCs w:val="24"/>
              <w:highlight w:val="none"/>
            </w:rPr>
            <w:fldChar w:fldCharType="end"/>
          </w:r>
        </w:p>
        <w:p>
          <w:pPr>
            <w:pStyle w:val="33"/>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_Toc17105 </w:instrText>
          </w:r>
          <w:r>
            <w:rPr>
              <w:rFonts w:cstheme="minorBidi"/>
              <w:szCs w:val="24"/>
              <w:highlight w:val="none"/>
            </w:rP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_Toc17105 \h </w:instrText>
          </w:r>
          <w:r>
            <w:fldChar w:fldCharType="separate"/>
          </w:r>
          <w:r>
            <w:t>14</w:t>
          </w:r>
          <w:r>
            <w:fldChar w:fldCharType="end"/>
          </w:r>
          <w:r>
            <w:rPr>
              <w:rFonts w:cstheme="minorBidi"/>
              <w:color w:val="auto"/>
              <w:szCs w:val="24"/>
              <w:highlight w:val="none"/>
            </w:rPr>
            <w:fldChar w:fldCharType="end"/>
          </w:r>
        </w:p>
        <w:p>
          <w:pPr>
            <w:pStyle w:val="33"/>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_Toc10056 </w:instrText>
          </w:r>
          <w:r>
            <w:rPr>
              <w:rFonts w:cstheme="minorBidi"/>
              <w:szCs w:val="24"/>
              <w:highlight w:val="none"/>
            </w:rP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_Toc10056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_Toc25519 </w:instrText>
          </w:r>
          <w:r>
            <w:rPr>
              <w:rFonts w:cstheme="minorBidi"/>
              <w:szCs w:val="24"/>
              <w:highlight w:val="none"/>
            </w:rP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_Toc25519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_Toc29835 </w:instrText>
          </w:r>
          <w:r>
            <w:rPr>
              <w:rFonts w:cstheme="minorBidi"/>
              <w:szCs w:val="24"/>
              <w:highlight w:val="none"/>
            </w:rP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_Toc29835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_Toc9585 </w:instrText>
          </w:r>
          <w:r>
            <w:rPr>
              <w:rFonts w:cstheme="minorBidi"/>
              <w:szCs w:val="24"/>
              <w:highlight w:val="none"/>
            </w:rP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_Toc9585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_Toc1854 </w:instrText>
          </w:r>
          <w:r>
            <w:rPr>
              <w:rFonts w:cstheme="minorBidi"/>
              <w:szCs w:val="24"/>
              <w:highlight w:val="none"/>
            </w:rP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_Toc1854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_Toc26507 </w:instrText>
          </w:r>
          <w:r>
            <w:rPr>
              <w:rFonts w:cstheme="minorBidi"/>
              <w:szCs w:val="24"/>
              <w:highlight w:val="none"/>
            </w:rP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_Toc26507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_Toc19452 </w:instrText>
          </w:r>
          <w:r>
            <w:rPr>
              <w:rFonts w:cstheme="minorBidi"/>
              <w:szCs w:val="24"/>
              <w:highlight w:val="none"/>
            </w:rP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_Toc19452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_Toc2898 </w:instrText>
          </w:r>
          <w:r>
            <w:rPr>
              <w:rFonts w:cstheme="minorBidi"/>
              <w:szCs w:val="24"/>
              <w:highlight w:val="none"/>
            </w:rP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_Toc2898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_Toc20803 </w:instrText>
          </w:r>
          <w:r>
            <w:rPr>
              <w:rFonts w:cstheme="minorBidi"/>
              <w:szCs w:val="24"/>
              <w:highlight w:val="none"/>
            </w:rP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_Toc20803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_Toc21959 </w:instrText>
          </w:r>
          <w:r>
            <w:rPr>
              <w:rFonts w:cstheme="minorBidi"/>
              <w:szCs w:val="24"/>
              <w:highlight w:val="none"/>
            </w:rP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_Toc21959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_Toc24227 </w:instrText>
          </w:r>
          <w:r>
            <w:rPr>
              <w:rFonts w:cstheme="minorBidi"/>
              <w:szCs w:val="24"/>
              <w:highlight w:val="none"/>
            </w:rP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_Toc24227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_Toc29827 </w:instrText>
          </w:r>
          <w:r>
            <w:rPr>
              <w:rFonts w:cstheme="minorBidi"/>
              <w:szCs w:val="24"/>
              <w:highlight w:val="none"/>
            </w:rP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_Toc29827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_Toc1654 </w:instrText>
          </w:r>
          <w:r>
            <w:rPr>
              <w:rFonts w:cstheme="minorBidi"/>
              <w:szCs w:val="24"/>
              <w:highlight w:val="none"/>
            </w:rP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_Toc1654 \h </w:instrText>
          </w:r>
          <w:r>
            <w:fldChar w:fldCharType="separate"/>
          </w:r>
          <w:r>
            <w:t>15</w:t>
          </w:r>
          <w:r>
            <w:fldChar w:fldCharType="end"/>
          </w:r>
          <w:r>
            <w:rPr>
              <w:rFonts w:cstheme="minorBidi"/>
              <w:color w:val="auto"/>
              <w:szCs w:val="24"/>
              <w:highlight w:val="none"/>
            </w:rPr>
            <w:fldChar w:fldCharType="end"/>
          </w:r>
        </w:p>
        <w:p>
          <w:pPr>
            <w:pStyle w:val="34"/>
            <w:tabs>
              <w:tab w:val="right" w:leader="dot" w:pos="8306"/>
            </w:tabs>
          </w:pPr>
          <w:r>
            <w:rPr>
              <w:rFonts w:cstheme="minorBidi"/>
              <w:color w:val="auto"/>
              <w:szCs w:val="24"/>
              <w:highlight w:val="none"/>
            </w:rPr>
            <w:fldChar w:fldCharType="begin"/>
          </w:r>
          <w:r>
            <w:rPr>
              <w:rFonts w:cstheme="minorBidi"/>
              <w:szCs w:val="24"/>
              <w:highlight w:val="none"/>
            </w:rPr>
            <w:instrText xml:space="preserve"> HYPERLINK \l _Toc26389 </w:instrText>
          </w:r>
          <w:r>
            <w:rPr>
              <w:rFonts w:cstheme="minorBidi"/>
              <w:szCs w:val="24"/>
              <w:highlight w:val="none"/>
            </w:rP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_Toc26389 \h </w:instrText>
          </w:r>
          <w:r>
            <w:fldChar w:fldCharType="separate"/>
          </w:r>
          <w:r>
            <w:t>15</w:t>
          </w:r>
          <w:r>
            <w:fldChar w:fldCharType="end"/>
          </w:r>
          <w:r>
            <w:rPr>
              <w:rFonts w:cstheme="minorBidi"/>
              <w:color w:val="auto"/>
              <w:szCs w:val="24"/>
              <w:highlight w:val="none"/>
            </w:rPr>
            <w:fldChar w:fldCharType="end"/>
          </w:r>
        </w:p>
        <w:p>
          <w:pPr>
            <w:pStyle w:val="12"/>
            <w:adjustRightInd w:val="0"/>
            <w:snapToGrid w:val="0"/>
            <w:spacing w:before="0" w:line="440" w:lineRule="exact"/>
            <w:jc w:val="left"/>
            <w:rPr>
              <w:rFonts w:cstheme="minorBidi"/>
              <w:color w:val="auto"/>
              <w:sz w:val="24"/>
              <w:szCs w:val="24"/>
              <w:highlight w:val="none"/>
            </w:rPr>
          </w:pPr>
          <w:r>
            <w:rPr>
              <w:rFonts w:cstheme="minorBidi"/>
              <w:color w:val="auto"/>
              <w:szCs w:val="24"/>
              <w:highlight w:val="none"/>
            </w:rPr>
            <w:fldChar w:fldCharType="end"/>
          </w:r>
        </w:p>
      </w:sdtContent>
    </w:sdt>
    <w:p>
      <w:pPr>
        <w:pStyle w:val="2"/>
        <w:rPr>
          <w:rFonts w:cstheme="minorBidi"/>
          <w:color w:val="auto"/>
          <w:sz w:val="24"/>
          <w:szCs w:val="24"/>
          <w:highlight w:val="none"/>
        </w:rPr>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pPr>
    </w:p>
    <w:p>
      <w:pPr>
        <w:pStyle w:val="2"/>
        <w:rPr>
          <w:rFonts w:cstheme="minorBidi"/>
          <w:color w:val="auto"/>
          <w:sz w:val="24"/>
          <w:szCs w:val="24"/>
          <w:highlight w:val="none"/>
        </w:rPr>
      </w:pPr>
    </w:p>
    <w:p>
      <w:pPr>
        <w:pStyle w:val="2"/>
        <w:rPr>
          <w:rFonts w:cstheme="minorBidi"/>
          <w:color w:val="auto"/>
          <w:sz w:val="24"/>
          <w:szCs w:val="24"/>
          <w:highlight w:val="none"/>
        </w:rPr>
      </w:pPr>
    </w:p>
    <w:p>
      <w:pPr>
        <w:pStyle w:val="2"/>
        <w:rPr>
          <w:rFonts w:cstheme="minorBidi"/>
          <w:color w:val="auto"/>
          <w:sz w:val="24"/>
          <w:szCs w:val="24"/>
          <w:highlight w:val="none"/>
        </w:rPr>
      </w:pPr>
    </w:p>
    <w:p>
      <w:pPr>
        <w:pStyle w:val="3"/>
        <w:jc w:val="center"/>
        <w:rPr>
          <w:rStyle w:val="27"/>
          <w:rFonts w:ascii="黑体" w:hAnsi="黑体" w:eastAsia="黑体"/>
          <w:b/>
          <w:bCs w:val="0"/>
          <w:color w:val="auto"/>
          <w:highlight w:val="none"/>
        </w:rPr>
      </w:pPr>
      <w:bookmarkStart w:id="14" w:name="_Toc15396599"/>
      <w:bookmarkStart w:id="15" w:name="_Toc15377196"/>
      <w:bookmarkStart w:id="16" w:name="_Toc3257"/>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4"/>
      <w:bookmarkEnd w:id="15"/>
      <w:bookmarkEnd w:id="16"/>
    </w:p>
    <w:p>
      <w:pPr>
        <w:widowControl/>
        <w:jc w:val="left"/>
        <w:rPr>
          <w:rFonts w:ascii="黑体" w:eastAsia="黑体"/>
          <w:color w:val="auto"/>
          <w:sz w:val="32"/>
          <w:szCs w:val="32"/>
          <w:highlight w:val="none"/>
        </w:rPr>
      </w:pPr>
    </w:p>
    <w:p>
      <w:pPr>
        <w:pStyle w:val="4"/>
        <w:numPr>
          <w:ilvl w:val="0"/>
          <w:numId w:val="1"/>
        </w:numPr>
        <w:rPr>
          <w:rStyle w:val="28"/>
          <w:rFonts w:hint="eastAsia" w:ascii="黑体" w:hAnsi="黑体" w:eastAsia="黑体"/>
          <w:b w:val="0"/>
          <w:bCs w:val="0"/>
          <w:color w:val="auto"/>
          <w:highlight w:val="none"/>
          <w:lang w:eastAsia="zh-CN"/>
        </w:rPr>
      </w:pPr>
      <w:bookmarkStart w:id="17" w:name="_Toc5049"/>
      <w:bookmarkStart w:id="18" w:name="_Toc15377197"/>
      <w:bookmarkStart w:id="19" w:name="_Toc15396600"/>
      <w:r>
        <w:rPr>
          <w:rStyle w:val="28"/>
          <w:rFonts w:hint="eastAsia" w:ascii="黑体" w:hAnsi="黑体" w:eastAsia="黑体"/>
          <w:b w:val="0"/>
          <w:bCs w:val="0"/>
          <w:color w:val="auto"/>
          <w:highlight w:val="none"/>
          <w:lang w:eastAsia="zh-CN"/>
        </w:rPr>
        <w:t>主要职责</w:t>
      </w:r>
      <w:bookmarkEnd w:id="17"/>
    </w:p>
    <w:p>
      <w:pPr>
        <w:pStyle w:val="14"/>
        <w:shd w:val="clear" w:color="auto" w:fill="FFFFFF"/>
        <w:spacing w:line="330" w:lineRule="atLeast"/>
        <w:ind w:firstLine="643" w:firstLineChars="200"/>
        <w:rPr>
          <w:rFonts w:hint="eastAsia" w:ascii="仿宋" w:eastAsia="仿宋" w:cs="Times New Roman"/>
          <w:color w:val="auto"/>
          <w:kern w:val="2"/>
          <w:sz w:val="32"/>
          <w:szCs w:val="32"/>
          <w:highlight w:val="none"/>
          <w:lang w:val="en-US" w:eastAsia="zh-CN" w:bidi="ar-SA"/>
        </w:rPr>
      </w:pPr>
      <w:r>
        <w:rPr>
          <w:rFonts w:hint="eastAsia" w:ascii="仿宋" w:eastAsia="仿宋" w:cs="Times New Roman"/>
          <w:b/>
          <w:bCs/>
          <w:color w:val="auto"/>
          <w:kern w:val="2"/>
          <w:sz w:val="32"/>
          <w:szCs w:val="32"/>
          <w:highlight w:val="none"/>
          <w:lang w:val="en-US" w:eastAsia="zh-CN" w:bidi="ar-SA"/>
        </w:rPr>
        <w:t>一是基本公共卫生服务方面。</w:t>
      </w:r>
      <w:r>
        <w:rPr>
          <w:rFonts w:hint="eastAsia" w:ascii="仿宋" w:eastAsia="仿宋" w:cs="Times New Roman"/>
          <w:color w:val="auto"/>
          <w:kern w:val="2"/>
          <w:sz w:val="32"/>
          <w:szCs w:val="32"/>
          <w:highlight w:val="none"/>
          <w:lang w:val="en-US" w:eastAsia="zh-CN" w:bidi="ar-SA"/>
        </w:rPr>
        <w:t>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r>
        <w:rPr>
          <w:rFonts w:hint="eastAsia" w:ascii="仿宋" w:eastAsia="仿宋" w:cs="Times New Roman"/>
          <w:b/>
          <w:bCs/>
          <w:color w:val="auto"/>
          <w:kern w:val="2"/>
          <w:sz w:val="32"/>
          <w:szCs w:val="32"/>
          <w:highlight w:val="none"/>
          <w:lang w:val="en-US" w:eastAsia="zh-CN" w:bidi="ar-SA"/>
        </w:rPr>
        <w:t>二是基本医疗服务方面。</w:t>
      </w:r>
      <w:r>
        <w:rPr>
          <w:rFonts w:hint="eastAsia" w:ascii="仿宋" w:eastAsia="仿宋" w:cs="Times New Roman"/>
          <w:color w:val="auto"/>
          <w:kern w:val="2"/>
          <w:sz w:val="32"/>
          <w:szCs w:val="32"/>
          <w:highlight w:val="none"/>
          <w:lang w:val="en-US" w:eastAsia="zh-CN" w:bidi="ar-SA"/>
        </w:rPr>
        <w:t xml:space="preserve">正确处理常见病，多发病，对疑难杂症进行恰当的处理与转诊；加强急诊救护体系建设，承担本辖区及周边乡村现场应急救护，转诊和康复服务；认真执行国家基本药物制度，加强医疗质量管理及院感防控。    </w:t>
      </w:r>
      <w:r>
        <w:rPr>
          <w:rFonts w:hint="eastAsia" w:ascii="仿宋" w:eastAsia="仿宋" w:cs="Times New Roman"/>
          <w:b/>
          <w:bCs/>
          <w:color w:val="auto"/>
          <w:kern w:val="2"/>
          <w:sz w:val="32"/>
          <w:szCs w:val="32"/>
          <w:highlight w:val="none"/>
          <w:lang w:val="en-US" w:eastAsia="zh-CN" w:bidi="ar-SA"/>
        </w:rPr>
        <w:t>三是基本管理服务。</w:t>
      </w:r>
      <w:r>
        <w:rPr>
          <w:rFonts w:hint="eastAsia" w:ascii="仿宋" w:eastAsia="仿宋" w:cs="Times New Roman"/>
          <w:color w:val="auto"/>
          <w:kern w:val="2"/>
          <w:sz w:val="32"/>
          <w:szCs w:val="32"/>
          <w:highlight w:val="none"/>
          <w:lang w:val="en-US" w:eastAsia="zh-CN" w:bidi="ar-SA"/>
        </w:rPr>
        <w:t>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项工作。落实健康扶贫相关政策。</w:t>
      </w:r>
    </w:p>
    <w:p>
      <w:pPr>
        <w:rPr>
          <w:rFonts w:hint="eastAsia"/>
          <w:lang w:eastAsia="zh-CN"/>
        </w:rPr>
      </w:pPr>
    </w:p>
    <w:p>
      <w:pPr>
        <w:pStyle w:val="4"/>
        <w:numPr>
          <w:ilvl w:val="0"/>
          <w:numId w:val="1"/>
        </w:numPr>
        <w:ind w:left="0" w:leftChars="0" w:firstLine="0" w:firstLineChars="0"/>
        <w:rPr>
          <w:rFonts w:hint="eastAsia" w:ascii="黑体" w:hAnsi="黑体" w:eastAsia="黑体"/>
          <w:b w:val="0"/>
          <w:color w:val="auto"/>
          <w:highlight w:val="none"/>
          <w:lang w:val="en-US" w:eastAsia="zh-CN"/>
        </w:rPr>
      </w:pPr>
      <w:bookmarkStart w:id="20" w:name="_Toc8524"/>
      <w:r>
        <w:rPr>
          <w:rFonts w:hint="eastAsia" w:ascii="黑体" w:hAnsi="黑体" w:eastAsia="黑体"/>
          <w:b w:val="0"/>
          <w:color w:val="auto"/>
          <w:highlight w:val="none"/>
          <w:lang w:val="en-US" w:eastAsia="zh-CN"/>
        </w:rPr>
        <w:t>机构设置</w:t>
      </w:r>
      <w:bookmarkEnd w:id="20"/>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广元市昭化区丁家乡卫生院</w:t>
      </w:r>
      <w:r>
        <w:rPr>
          <w:rFonts w:hint="eastAsia" w:ascii="仿宋_GB2312" w:eastAsia="仿宋_GB2312" w:cs="仿宋_GB2312"/>
          <w:i w:val="0"/>
          <w:caps w:val="0"/>
          <w:color w:val="333333"/>
          <w:spacing w:val="0"/>
          <w:kern w:val="0"/>
          <w:sz w:val="32"/>
          <w:szCs w:val="32"/>
          <w:shd w:val="clear" w:color="auto" w:fill="FFFFFF"/>
          <w:lang w:val="en-US" w:eastAsia="zh-CN" w:bidi="ar"/>
        </w:rPr>
        <w:t>属主管部门下属单位，属于二级预算单位，无下属机构。</w:t>
      </w:r>
    </w:p>
    <w:p>
      <w:pPr>
        <w:pStyle w:val="2"/>
        <w:rPr>
          <w:rFonts w:hint="eastAsia"/>
          <w:lang w:val="en-US" w:eastAsia="zh-CN"/>
        </w:rPr>
      </w:pPr>
    </w:p>
    <w:p>
      <w:pPr>
        <w:rPr>
          <w:rFonts w:hint="eastAsia"/>
          <w:lang w:val="en-US" w:eastAsia="zh-CN"/>
        </w:rPr>
      </w:pPr>
    </w:p>
    <w:bookmarkEnd w:id="18"/>
    <w:bookmarkEnd w:id="19"/>
    <w:p>
      <w:pPr>
        <w:widowControl/>
        <w:jc w:val="center"/>
        <w:rPr>
          <w:rStyle w:val="27"/>
          <w:rFonts w:ascii="黑体" w:hAnsi="黑体" w:eastAsia="黑体"/>
          <w:b w:val="0"/>
          <w:bCs/>
          <w:color w:val="auto"/>
          <w:highlight w:val="none"/>
        </w:rPr>
      </w:pPr>
      <w:bookmarkStart w:id="21" w:name="_Toc15377204"/>
      <w:bookmarkStart w:id="22" w:name="_Toc15396602"/>
      <w:bookmarkStart w:id="23" w:name="_Toc20105"/>
      <w:r>
        <w:rPr>
          <w:rStyle w:val="27"/>
          <w:rFonts w:hint="eastAsia" w:ascii="黑体" w:hAnsi="黑体" w:eastAsia="黑体"/>
          <w:b w:val="0"/>
          <w:bCs/>
          <w:color w:val="auto"/>
          <w:highlight w:val="none"/>
        </w:rPr>
        <w:t xml:space="preserve">第二部分 </w:t>
      </w:r>
      <w:r>
        <w:rPr>
          <w:rStyle w:val="27"/>
          <w:rFonts w:hint="eastAsia" w:ascii="黑体" w:hAnsi="黑体" w:eastAsia="黑体"/>
          <w:b w:val="0"/>
          <w:bCs/>
          <w:color w:val="auto"/>
          <w:highlight w:val="none"/>
          <w:lang w:val="en-US" w:eastAsia="zh-CN"/>
        </w:rPr>
        <w:t>2022年度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21"/>
      <w:bookmarkEnd w:id="22"/>
      <w:bookmarkEnd w:id="23"/>
    </w:p>
    <w:p>
      <w:pPr>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4" w:name="_Toc15377205"/>
      <w:bookmarkStart w:id="25" w:name="_Toc15396603"/>
      <w:bookmarkStart w:id="26" w:name="_Toc19427"/>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4"/>
      <w:bookmarkEnd w:id="25"/>
      <w:bookmarkEnd w:id="26"/>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年度收、支总计91.36万元。与20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40.18</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lang w:val="en-US" w:eastAsia="zh-CN"/>
        </w:rPr>
        <w:t>30.55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医疗收入减少，人员经费减少。</w:t>
      </w:r>
    </w:p>
    <w:p>
      <w:pPr>
        <w:pStyle w:val="2"/>
        <w:rPr>
          <w:rFonts w:hint="eastAsia"/>
          <w:lang w:eastAsia="zh-CN"/>
        </w:rPr>
      </w:pPr>
      <w:r>
        <w:drawing>
          <wp:anchor distT="0" distB="0" distL="114300" distR="114300" simplePos="0" relativeHeight="251659264" behindDoc="0" locked="0" layoutInCell="1" allowOverlap="1">
            <wp:simplePos x="0" y="0"/>
            <wp:positionH relativeFrom="column">
              <wp:posOffset>518795</wp:posOffset>
            </wp:positionH>
            <wp:positionV relativeFrom="paragraph">
              <wp:posOffset>325755</wp:posOffset>
            </wp:positionV>
            <wp:extent cx="4043680" cy="1901190"/>
            <wp:effectExtent l="4445" t="4445" r="9525" b="1841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pP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pStyle w:val="2"/>
        <w:jc w:val="cente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27" w:name="_Toc15396604"/>
      <w:bookmarkStart w:id="28" w:name="_Toc28627"/>
      <w:bookmarkStart w:id="29" w:name="_Toc15377206"/>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7"/>
      <w:bookmarkEnd w:id="28"/>
      <w:bookmarkEnd w:id="29"/>
    </w:p>
    <w:p>
      <w:pPr>
        <w:spacing w:line="600" w:lineRule="exact"/>
        <w:ind w:firstLine="640" w:firstLineChars="200"/>
        <w:outlineLvl w:val="1"/>
      </w:pPr>
      <w:bookmarkStart w:id="30" w:name="_Toc28285"/>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91.36</w:t>
      </w:r>
      <w:r>
        <w:rPr>
          <w:rFonts w:hint="eastAsia" w:ascii="仿宋" w:hAnsi="仿宋" w:eastAsia="仿宋"/>
          <w:color w:val="auto"/>
          <w:sz w:val="32"/>
          <w:szCs w:val="32"/>
          <w:highlight w:val="none"/>
        </w:rPr>
        <w:t>万元，其中：一般公共预算财政拨款收入79.05万元，占</w:t>
      </w:r>
      <w:r>
        <w:rPr>
          <w:rFonts w:hint="eastAsia" w:ascii="仿宋" w:hAnsi="仿宋" w:eastAsia="仿宋"/>
          <w:color w:val="auto"/>
          <w:sz w:val="32"/>
          <w:szCs w:val="32"/>
          <w:highlight w:val="none"/>
          <w:lang w:val="en-US" w:eastAsia="zh-CN"/>
        </w:rPr>
        <w:t>86.53</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；政府性基金预算财政拨款收入2.06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2.25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事业收入10.25万元，占</w:t>
      </w:r>
      <w:r>
        <w:rPr>
          <w:rFonts w:hint="eastAsia" w:ascii="仿宋" w:hAnsi="仿宋" w:eastAsia="仿宋"/>
          <w:color w:val="auto"/>
          <w:sz w:val="32"/>
          <w:szCs w:val="32"/>
          <w:highlight w:val="none"/>
          <w:lang w:val="en-US" w:eastAsia="zh-CN"/>
        </w:rPr>
        <w:t>11.22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0"/>
    </w:p>
    <w:p>
      <w:pPr>
        <w:spacing w:line="600" w:lineRule="exact"/>
      </w:pPr>
    </w:p>
    <w:p>
      <w:pPr>
        <w:spacing w:line="600" w:lineRule="exact"/>
        <w:rPr>
          <w:rFonts w:hint="eastAsia" w:ascii="仿宋_GB2312" w:eastAsia="仿宋_GB2312"/>
          <w:color w:val="auto"/>
          <w:sz w:val="32"/>
          <w:szCs w:val="32"/>
          <w:highlight w:val="none"/>
          <w:lang w:val="en-US" w:eastAsia="zh-CN"/>
        </w:rPr>
      </w:pPr>
      <w:r>
        <w:drawing>
          <wp:anchor distT="0" distB="0" distL="114300" distR="114300" simplePos="0" relativeHeight="251660288" behindDoc="0" locked="0" layoutInCell="1" allowOverlap="1">
            <wp:simplePos x="0" y="0"/>
            <wp:positionH relativeFrom="column">
              <wp:posOffset>423545</wp:posOffset>
            </wp:positionH>
            <wp:positionV relativeFrom="paragraph">
              <wp:posOffset>52070</wp:posOffset>
            </wp:positionV>
            <wp:extent cx="4225290" cy="1760220"/>
            <wp:effectExtent l="4445" t="4445" r="18415" b="698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_GB2312" w:eastAsia="仿宋_GB2312"/>
          <w:color w:val="auto"/>
          <w:sz w:val="32"/>
          <w:szCs w:val="32"/>
          <w:highlight w:val="none"/>
          <w:lang w:val="en-US" w:eastAsia="zh-CN"/>
        </w:rPr>
        <w:t xml:space="preserve"> </w:t>
      </w:r>
    </w:p>
    <w:p>
      <w:pPr>
        <w:pStyle w:val="2"/>
        <w:jc w:val="left"/>
        <w:rPr>
          <w:rFonts w:hint="eastAsia"/>
          <w:lang w:val="en-US" w:eastAsia="zh-CN"/>
        </w:rPr>
      </w:pPr>
    </w:p>
    <w:p>
      <w:pPr>
        <w:pStyle w:val="26"/>
        <w:numPr>
          <w:ilvl w:val="0"/>
          <w:numId w:val="0"/>
        </w:numPr>
        <w:spacing w:line="600" w:lineRule="exact"/>
        <w:jc w:val="left"/>
        <w:outlineLvl w:val="1"/>
        <w:rPr>
          <w:rFonts w:hint="eastAsia" w:ascii="黑体" w:hAnsi="黑体" w:eastAsia="黑体"/>
          <w:color w:val="auto"/>
          <w:sz w:val="32"/>
          <w:szCs w:val="32"/>
          <w:highlight w:val="none"/>
        </w:rPr>
      </w:pPr>
      <w:bookmarkStart w:id="31" w:name="_Toc15377207"/>
      <w:bookmarkStart w:id="32" w:name="_Toc14273"/>
      <w:bookmarkStart w:id="33" w:name="_Toc15396605"/>
    </w:p>
    <w:p>
      <w:pPr>
        <w:pStyle w:val="26"/>
        <w:numPr>
          <w:ilvl w:val="0"/>
          <w:numId w:val="0"/>
        </w:numPr>
        <w:spacing w:line="600" w:lineRule="exact"/>
        <w:ind w:firstLine="640" w:firstLineChars="200"/>
        <w:jc w:val="left"/>
        <w:outlineLvl w:val="1"/>
        <w:rPr>
          <w:rFonts w:hint="eastAsia" w:ascii="黑体" w:hAnsi="黑体" w:eastAsia="黑体"/>
          <w:color w:val="auto"/>
          <w:sz w:val="32"/>
          <w:szCs w:val="32"/>
          <w:highlight w:val="none"/>
          <w:lang w:eastAsia="zh-CN"/>
        </w:rPr>
      </w:pPr>
    </w:p>
    <w:p>
      <w:pPr>
        <w:pStyle w:val="26"/>
        <w:numPr>
          <w:ilvl w:val="0"/>
          <w:numId w:val="0"/>
        </w:numPr>
        <w:spacing w:line="600" w:lineRule="exact"/>
        <w:ind w:firstLine="640" w:firstLineChars="200"/>
        <w:jc w:val="left"/>
        <w:outlineLvl w:val="1"/>
        <w:rPr>
          <w:rFonts w:hint="eastAsia" w:ascii="黑体" w:hAnsi="黑体" w:eastAsia="黑体"/>
          <w:color w:val="auto"/>
          <w:sz w:val="32"/>
          <w:szCs w:val="32"/>
          <w:highlight w:val="none"/>
          <w:lang w:eastAsia="zh-CN"/>
        </w:rPr>
      </w:pPr>
    </w:p>
    <w:p>
      <w:pPr>
        <w:spacing w:line="600" w:lineRule="exact"/>
        <w:jc w:val="center"/>
        <w:outlineLvl w:val="1"/>
        <w:rPr>
          <w:rFonts w:hint="eastAsia" w:ascii="黑体" w:hAnsi="黑体" w:eastAsia="黑体"/>
          <w:color w:val="auto"/>
          <w:sz w:val="32"/>
          <w:szCs w:val="32"/>
          <w:highlight w:val="none"/>
          <w:lang w:eastAsia="zh-CN"/>
        </w:rPr>
      </w:pPr>
      <w:r>
        <w:rPr>
          <w:rFonts w:hint="eastAsia" w:ascii="仿宋" w:eastAsia="仿宋"/>
          <w:color w:val="auto"/>
          <w:sz w:val="32"/>
          <w:szCs w:val="32"/>
          <w:highlight w:val="none"/>
        </w:rPr>
        <w:t>（图2：收入决算结构图）（饼状图）</w:t>
      </w:r>
    </w:p>
    <w:p>
      <w:pPr>
        <w:pStyle w:val="26"/>
        <w:numPr>
          <w:ilvl w:val="0"/>
          <w:numId w:val="0"/>
        </w:numPr>
        <w:spacing w:line="600" w:lineRule="exact"/>
        <w:ind w:firstLine="640" w:firstLineChars="200"/>
        <w:jc w:val="left"/>
        <w:outlineLvl w:val="1"/>
        <w:rPr>
          <w:rStyle w:val="28"/>
          <w:rFonts w:ascii="黑体" w:hAnsi="黑体" w:eastAsia="黑体"/>
          <w:b w:val="0"/>
          <w:color w:val="auto"/>
          <w:highlight w:val="none"/>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31"/>
      <w:bookmarkEnd w:id="32"/>
      <w:bookmarkEnd w:id="33"/>
    </w:p>
    <w:p>
      <w:pPr>
        <w:spacing w:line="600" w:lineRule="exact"/>
        <w:ind w:firstLine="640" w:firstLineChars="200"/>
        <w:jc w:val="left"/>
        <w:outlineLvl w:val="1"/>
        <w:rPr>
          <w:rFonts w:ascii="仿宋" w:hAnsi="仿宋" w:eastAsia="仿宋"/>
          <w:color w:val="auto"/>
          <w:sz w:val="32"/>
          <w:szCs w:val="32"/>
          <w:highlight w:val="none"/>
        </w:rPr>
      </w:pPr>
      <w:bookmarkStart w:id="34" w:name="_Toc15898"/>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年本年支出合计91.36万元，其中：基本支出89.3万元，占</w:t>
      </w:r>
      <w:r>
        <w:rPr>
          <w:rFonts w:hint="eastAsia" w:ascii="仿宋" w:hAnsi="仿宋" w:eastAsia="仿宋"/>
          <w:color w:val="auto"/>
          <w:sz w:val="32"/>
          <w:szCs w:val="32"/>
          <w:highlight w:val="none"/>
          <w:lang w:val="en-US" w:eastAsia="zh-CN"/>
        </w:rPr>
        <w:t>97.75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项目支出2.06万元，占</w:t>
      </w:r>
      <w:r>
        <w:rPr>
          <w:rFonts w:hint="eastAsia" w:ascii="仿宋" w:hAnsi="仿宋" w:eastAsia="仿宋"/>
          <w:color w:val="auto"/>
          <w:sz w:val="32"/>
          <w:szCs w:val="32"/>
          <w:highlight w:val="none"/>
          <w:lang w:val="en-US" w:eastAsia="zh-CN"/>
        </w:rPr>
        <w:t>2.25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4"/>
    </w:p>
    <w:p>
      <w:pPr>
        <w:spacing w:line="600" w:lineRule="exact"/>
      </w:pPr>
      <w:r>
        <w:drawing>
          <wp:anchor distT="0" distB="0" distL="114300" distR="114300" simplePos="0" relativeHeight="251661312" behindDoc="0" locked="0" layoutInCell="1" allowOverlap="1">
            <wp:simplePos x="0" y="0"/>
            <wp:positionH relativeFrom="column">
              <wp:posOffset>547370</wp:posOffset>
            </wp:positionH>
            <wp:positionV relativeFrom="paragraph">
              <wp:posOffset>233045</wp:posOffset>
            </wp:positionV>
            <wp:extent cx="4196080" cy="1894205"/>
            <wp:effectExtent l="4445" t="4445" r="9525" b="6350"/>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仿宋_GB2312" w:eastAsia="仿宋_GB2312"/>
          <w:color w:val="auto"/>
          <w:sz w:val="32"/>
          <w:szCs w:val="32"/>
          <w:highlight w:val="none"/>
        </w:rPr>
      </w:pPr>
      <w:r>
        <w:rPr>
          <w:rFonts w:hint="eastAsia" w:ascii="仿宋" w:eastAsia="仿宋"/>
          <w:color w:val="auto"/>
          <w:sz w:val="32"/>
          <w:szCs w:val="32"/>
          <w:highlight w:val="none"/>
        </w:rPr>
        <w:t>（图3：支出决算结构图）（饼状图）</w:t>
      </w:r>
    </w:p>
    <w:p>
      <w:pPr>
        <w:spacing w:line="600" w:lineRule="exact"/>
        <w:ind w:firstLine="640" w:firstLineChars="200"/>
        <w:outlineLvl w:val="1"/>
        <w:rPr>
          <w:rStyle w:val="28"/>
          <w:rFonts w:ascii="黑体" w:hAnsi="黑体" w:eastAsia="黑体"/>
          <w:b w:val="0"/>
          <w:color w:val="auto"/>
          <w:highlight w:val="none"/>
        </w:rPr>
      </w:pPr>
      <w:bookmarkStart w:id="35" w:name="_Toc15396606"/>
      <w:bookmarkStart w:id="36" w:name="_Toc11984"/>
      <w:bookmarkStart w:id="37" w:name="_Toc15377208"/>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35"/>
      <w:bookmarkEnd w:id="36"/>
      <w:bookmarkEnd w:id="37"/>
    </w:p>
    <w:p>
      <w:pPr>
        <w:spacing w:line="600" w:lineRule="exact"/>
        <w:ind w:firstLine="640" w:firstLineChars="200"/>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81.11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30.63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lang w:val="en-US" w:eastAsia="zh-CN"/>
        </w:rPr>
        <w:t>27.41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医疗收入减少，人员经费减少。</w:t>
      </w:r>
    </w:p>
    <w:p>
      <w:pPr>
        <w:spacing w:line="600" w:lineRule="exact"/>
        <w:ind w:firstLine="420" w:firstLineChars="200"/>
      </w:pPr>
      <w:r>
        <w:drawing>
          <wp:anchor distT="0" distB="0" distL="114300" distR="114300" simplePos="0" relativeHeight="251662336" behindDoc="1" locked="0" layoutInCell="1" allowOverlap="1">
            <wp:simplePos x="0" y="0"/>
            <wp:positionH relativeFrom="column">
              <wp:posOffset>594995</wp:posOffset>
            </wp:positionH>
            <wp:positionV relativeFrom="paragraph">
              <wp:posOffset>23495</wp:posOffset>
            </wp:positionV>
            <wp:extent cx="3951605" cy="1741170"/>
            <wp:effectExtent l="4445" t="4445" r="6350" b="6985"/>
            <wp:wrapTight wrapText="bothSides">
              <wp:wrapPolygon>
                <wp:start x="-24" y="-55"/>
                <wp:lineTo x="-24" y="21450"/>
                <wp:lineTo x="21531" y="21450"/>
                <wp:lineTo x="21531" y="-55"/>
                <wp:lineTo x="-24" y="-55"/>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pPr>
    </w:p>
    <w:p>
      <w:pPr>
        <w:pStyle w:val="2"/>
      </w:pPr>
    </w:p>
    <w:p>
      <w:pPr>
        <w:spacing w:line="600" w:lineRule="exact"/>
        <w:ind w:firstLine="640" w:firstLineChars="200"/>
        <w:outlineLvl w:val="1"/>
        <w:rPr>
          <w:rFonts w:hint="eastAsia" w:ascii="黑体" w:hAnsi="黑体" w:eastAsia="黑体"/>
          <w:color w:val="auto"/>
          <w:sz w:val="32"/>
          <w:szCs w:val="32"/>
          <w:highlight w:val="none"/>
        </w:rPr>
      </w:pPr>
      <w:bookmarkStart w:id="38" w:name="_Toc4827"/>
      <w:bookmarkStart w:id="39" w:name="_Toc15377209"/>
      <w:bookmarkStart w:id="40" w:name="_Toc15396607"/>
    </w:p>
    <w:p>
      <w:pPr>
        <w:spacing w:line="600" w:lineRule="exact"/>
        <w:outlineLvl w:val="1"/>
        <w:rPr>
          <w:rFonts w:hint="eastAsia" w:ascii="黑体" w:hAnsi="黑体" w:eastAsia="黑体"/>
          <w:color w:val="auto"/>
          <w:sz w:val="32"/>
          <w:szCs w:val="32"/>
          <w:highlight w:val="none"/>
        </w:rPr>
      </w:pPr>
    </w:p>
    <w:p>
      <w:pPr>
        <w:pStyle w:val="2"/>
        <w:rPr>
          <w:rFonts w:hint="eastAsia"/>
        </w:rPr>
      </w:pPr>
      <w:r>
        <w:rPr>
          <w:rFonts w:hint="eastAsia" w:ascii="仿宋" w:eastAsia="仿宋"/>
          <w:color w:val="auto"/>
          <w:sz w:val="32"/>
          <w:szCs w:val="32"/>
          <w:highlight w:val="none"/>
        </w:rPr>
        <w:t>（图4：财政拨款收、支决算总计变动情况）（柱状图）</w:t>
      </w:r>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color w:val="auto"/>
          <w:sz w:val="32"/>
          <w:szCs w:val="32"/>
          <w:highlight w:val="none"/>
        </w:rPr>
      </w:pPr>
      <w:bookmarkStart w:id="41" w:name="_Toc15377210"/>
      <w:bookmarkStart w:id="42" w:name="_Toc16360"/>
      <w:r>
        <w:rPr>
          <w:rFonts w:hint="eastAsia" w:ascii="仿宋" w:hAnsi="仿宋" w:eastAsia="仿宋"/>
          <w:b/>
          <w:color w:val="auto"/>
          <w:sz w:val="32"/>
          <w:szCs w:val="32"/>
          <w:highlight w:val="none"/>
        </w:rPr>
        <w:t>（一）一般公共预算财政拨款支出决算总体情况</w:t>
      </w:r>
      <w:bookmarkEnd w:id="41"/>
      <w:bookmarkEnd w:id="42"/>
    </w:p>
    <w:p>
      <w:pPr>
        <w:spacing w:line="600" w:lineRule="exact"/>
        <w:ind w:firstLine="420" w:firstLineChars="200"/>
        <w:rPr>
          <w:rFonts w:hint="eastAsia" w:eastAsia="仿宋"/>
          <w:lang w:eastAsia="zh-CN"/>
        </w:rPr>
      </w:pPr>
      <w:r>
        <w:drawing>
          <wp:anchor distT="0" distB="0" distL="114300" distR="114300" simplePos="0" relativeHeight="251663360" behindDoc="0" locked="0" layoutInCell="1" allowOverlap="1">
            <wp:simplePos x="0" y="0"/>
            <wp:positionH relativeFrom="column">
              <wp:posOffset>814070</wp:posOffset>
            </wp:positionH>
            <wp:positionV relativeFrom="paragraph">
              <wp:posOffset>1509395</wp:posOffset>
            </wp:positionV>
            <wp:extent cx="3502660" cy="1714500"/>
            <wp:effectExtent l="4445" t="4445" r="17145" b="1460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年一般公共预算财政拨款支出79.05万元，占本年支出合计的</w:t>
      </w:r>
      <w:r>
        <w:rPr>
          <w:rFonts w:hint="eastAsia" w:ascii="仿宋" w:hAnsi="仿宋" w:eastAsia="仿宋"/>
          <w:color w:val="auto"/>
          <w:sz w:val="32"/>
          <w:szCs w:val="32"/>
          <w:highlight w:val="none"/>
          <w:lang w:val="en-US" w:eastAsia="zh-CN"/>
        </w:rPr>
        <w:t>86.53</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支出减少</w:t>
      </w:r>
      <w:r>
        <w:rPr>
          <w:rFonts w:hint="eastAsia" w:ascii="仿宋" w:hAnsi="仿宋" w:eastAsia="仿宋"/>
          <w:color w:val="auto"/>
          <w:sz w:val="32"/>
          <w:szCs w:val="32"/>
          <w:highlight w:val="none"/>
          <w:lang w:val="en-US" w:eastAsia="zh-CN"/>
        </w:rPr>
        <w:t>32.69</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lang w:val="en-US" w:eastAsia="zh-CN"/>
        </w:rPr>
        <w:t>29.26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人员经费减少。</w:t>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pStyle w:val="2"/>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43" w:name="_Toc15377211"/>
      <w:bookmarkStart w:id="44" w:name="_Toc31269"/>
      <w:r>
        <w:rPr>
          <w:rFonts w:hint="eastAsia" w:ascii="仿宋" w:hAnsi="仿宋" w:eastAsia="仿宋"/>
          <w:b/>
          <w:color w:val="auto"/>
          <w:sz w:val="32"/>
          <w:szCs w:val="32"/>
          <w:highlight w:val="none"/>
        </w:rPr>
        <w:t>（二）一般公共预算财政拨款支出决算结构情况</w:t>
      </w:r>
      <w:bookmarkEnd w:id="43"/>
      <w:bookmarkEnd w:id="44"/>
    </w:p>
    <w:p>
      <w:pPr>
        <w:spacing w:line="600" w:lineRule="exact"/>
        <w:ind w:firstLine="640"/>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年一般公共预算财政拨款支出7</w:t>
      </w:r>
      <w:r>
        <w:rPr>
          <w:rFonts w:hint="eastAsia" w:ascii="仿宋" w:hAnsi="仿宋" w:eastAsia="仿宋"/>
          <w:color w:val="auto"/>
          <w:sz w:val="32"/>
          <w:szCs w:val="32"/>
          <w:highlight w:val="none"/>
          <w:lang w:val="en-US" w:eastAsia="zh-CN"/>
        </w:rPr>
        <w:t>9.0</w:t>
      </w:r>
      <w:r>
        <w:rPr>
          <w:rFonts w:hint="eastAsia" w:ascii="仿宋" w:hAnsi="仿宋" w:eastAsia="仿宋"/>
          <w:color w:val="auto"/>
          <w:sz w:val="32"/>
          <w:szCs w:val="32"/>
          <w:highlight w:val="none"/>
        </w:rPr>
        <w:t>5万元，主要用于以下方面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支出13.45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17.01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卫生健康支出58.35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73.81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住房保障支出7.26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9.18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pPr>
      <w:r>
        <w:drawing>
          <wp:anchor distT="0" distB="0" distL="114300" distR="114300" simplePos="0" relativeHeight="251664384" behindDoc="0" locked="0" layoutInCell="1" allowOverlap="1">
            <wp:simplePos x="0" y="0"/>
            <wp:positionH relativeFrom="column">
              <wp:posOffset>480695</wp:posOffset>
            </wp:positionH>
            <wp:positionV relativeFrom="paragraph">
              <wp:posOffset>109220</wp:posOffset>
            </wp:positionV>
            <wp:extent cx="4041140" cy="2049780"/>
            <wp:effectExtent l="4445" t="4445" r="12065" b="22225"/>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rPr>
          <w:rFonts w:hint="eastAsia"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pStyle w:val="2"/>
      </w:pPr>
      <w:bookmarkStart w:id="123" w:name="_GoBack"/>
      <w:bookmarkEnd w:id="123"/>
    </w:p>
    <w:p>
      <w:pPr>
        <w:spacing w:line="600" w:lineRule="exact"/>
        <w:ind w:firstLine="643" w:firstLineChars="200"/>
        <w:outlineLvl w:val="2"/>
        <w:rPr>
          <w:rFonts w:ascii="仿宋" w:hAnsi="仿宋" w:eastAsia="仿宋"/>
          <w:b/>
          <w:color w:val="auto"/>
          <w:sz w:val="32"/>
          <w:szCs w:val="32"/>
          <w:highlight w:val="none"/>
        </w:rPr>
      </w:pPr>
      <w:bookmarkStart w:id="45" w:name="_Toc15377212"/>
      <w:bookmarkStart w:id="46" w:name="_Toc24688"/>
      <w:r>
        <w:rPr>
          <w:rFonts w:hint="eastAsia" w:ascii="仿宋" w:hAnsi="仿宋" w:eastAsia="仿宋"/>
          <w:b/>
          <w:color w:val="auto"/>
          <w:sz w:val="32"/>
          <w:szCs w:val="32"/>
          <w:highlight w:val="none"/>
        </w:rPr>
        <w:t>（三）一般公共预算财政拨款支出决算具体情况</w:t>
      </w:r>
      <w:bookmarkEnd w:id="45"/>
      <w:bookmarkEnd w:id="46"/>
    </w:p>
    <w:p>
      <w:pPr>
        <w:spacing w:line="600" w:lineRule="exact"/>
        <w:ind w:firstLine="643" w:firstLineChars="200"/>
        <w:outlineLvl w:val="1"/>
        <w:rPr>
          <w:rFonts w:ascii="仿宋" w:hAnsi="仿宋" w:eastAsia="仿宋"/>
          <w:color w:val="auto"/>
          <w:sz w:val="32"/>
          <w:szCs w:val="32"/>
          <w:highlight w:val="none"/>
        </w:rPr>
      </w:pPr>
      <w:bookmarkStart w:id="47" w:name="_Toc15378460"/>
      <w:bookmarkStart w:id="48" w:name="_Toc8953"/>
      <w:bookmarkStart w:id="49" w:name="_Toc15377213"/>
      <w:bookmarkStart w:id="50"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般公共预算支出决算数为79.05</w:t>
      </w:r>
      <w:r>
        <w:rPr>
          <w:rFonts w:hint="eastAsia" w:ascii="仿宋" w:hAnsi="仿宋" w:eastAsia="仿宋"/>
          <w:b/>
          <w:color w:val="auto"/>
          <w:sz w:val="32"/>
          <w:szCs w:val="32"/>
          <w:highlight w:val="none"/>
          <w:lang w:eastAsia="zh-CN"/>
        </w:rPr>
        <w:t>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47"/>
      <w:bookmarkEnd w:id="48"/>
      <w:bookmarkEnd w:id="49"/>
      <w:bookmarkEnd w:id="50"/>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1.</w:t>
      </w:r>
      <w:r>
        <w:rPr>
          <w:rStyle w:val="17"/>
          <w:rFonts w:hint="eastAsia" w:ascii="仿宋" w:hAnsi="仿宋" w:eastAsia="仿宋"/>
          <w:bCs/>
          <w:color w:val="auto"/>
          <w:sz w:val="32"/>
          <w:szCs w:val="32"/>
          <w:highlight w:val="none"/>
        </w:rPr>
        <w:t>社会保障和就业（类）行政事业单位养老支出（款）机关事业单位基本养老保险缴费支出（项）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9.69</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2.</w:t>
      </w:r>
      <w:r>
        <w:rPr>
          <w:rStyle w:val="17"/>
          <w:rFonts w:hint="eastAsia" w:ascii="仿宋" w:hAnsi="仿宋" w:eastAsia="仿宋"/>
          <w:bCs/>
          <w:color w:val="auto"/>
          <w:sz w:val="32"/>
          <w:szCs w:val="32"/>
          <w:highlight w:val="none"/>
        </w:rPr>
        <w:t>社会保障和就业（类）行政事业单位养老支出（款）机关事业单位职业年金缴费支出（项）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3.76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Style w:val="17"/>
          <w:rFonts w:hint="eastAsia" w:ascii="仿宋" w:hAnsi="仿宋" w:eastAsia="仿宋"/>
          <w:b w:val="0"/>
          <w:bCs/>
          <w:color w:val="auto"/>
          <w:sz w:val="32"/>
          <w:szCs w:val="32"/>
          <w:highlight w:val="none"/>
        </w:rPr>
      </w:pPr>
      <w:r>
        <w:rPr>
          <w:rStyle w:val="17"/>
          <w:rFonts w:ascii="仿宋" w:hAnsi="仿宋" w:eastAsia="仿宋"/>
          <w:bCs/>
          <w:color w:val="auto"/>
          <w:sz w:val="32"/>
          <w:szCs w:val="32"/>
          <w:highlight w:val="none"/>
        </w:rPr>
        <w:t>3.</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（类）基层医疗卫生机构（款）乡镇卫生院（项）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50.8</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ind w:firstLine="643" w:firstLineChars="200"/>
        <w:rPr>
          <w:rFonts w:hint="default"/>
          <w:lang w:val="en-US" w:eastAsia="zh-CN"/>
        </w:rPr>
      </w:pPr>
      <w:r>
        <w:rPr>
          <w:rStyle w:val="17"/>
          <w:rFonts w:hint="eastAsia" w:ascii="仿宋" w:hAnsi="仿宋" w:eastAsia="仿宋"/>
          <w:bCs/>
          <w:color w:val="auto"/>
          <w:sz w:val="32"/>
          <w:szCs w:val="32"/>
          <w:highlight w:val="none"/>
          <w:lang w:val="en-US" w:eastAsia="zh-CN"/>
        </w:rPr>
        <w:t>4</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（类）行政事业单位医疗（款）事业单位医疗（项）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7.55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5</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住房保障（类）住房改革支出（款）住房公积金（项）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7.26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8"/>
          <w:color w:val="auto"/>
          <w:highlight w:val="none"/>
        </w:rPr>
      </w:pPr>
      <w:bookmarkStart w:id="51" w:name="_Toc15377214"/>
      <w:bookmarkStart w:id="52" w:name="_Toc15396608"/>
      <w:bookmarkStart w:id="53" w:name="_Toc7635"/>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51"/>
      <w:bookmarkEnd w:id="52"/>
      <w:bookmarkEnd w:id="53"/>
      <w:r>
        <w:rPr>
          <w:rStyle w:val="28"/>
          <w:rFonts w:ascii="黑体" w:hAnsi="黑体" w:eastAsia="黑体"/>
          <w:b w:val="0"/>
          <w:color w:val="auto"/>
          <w:highlight w:val="none"/>
        </w:rPr>
        <w:tab/>
      </w:r>
    </w:p>
    <w:p>
      <w:pPr>
        <w:spacing w:line="600" w:lineRule="exact"/>
        <w:ind w:firstLine="645"/>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年一般公共预算财政拨款基本支出79.05万元，其中：</w:t>
      </w:r>
    </w:p>
    <w:p>
      <w:pPr>
        <w:spacing w:line="600" w:lineRule="exact"/>
        <w:ind w:firstLine="645"/>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人员经费79.05万元，主要包括：基本工资14.05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津贴补贴1.46万元、</w:t>
      </w:r>
      <w:r>
        <w:rPr>
          <w:rFonts w:hint="eastAsia" w:ascii="仿宋" w:hAnsi="仿宋" w:eastAsia="仿宋"/>
          <w:color w:val="auto"/>
          <w:sz w:val="32"/>
          <w:szCs w:val="32"/>
          <w:highlight w:val="none"/>
        </w:rPr>
        <w:t>绩效工资35.29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、机关事业单位基本养老保险缴费9.69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、职业年金缴费3.76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职工基本医疗保险缴费</w:t>
      </w:r>
      <w:r>
        <w:rPr>
          <w:rFonts w:hint="eastAsia" w:ascii="仿宋" w:hAnsi="仿宋" w:eastAsia="仿宋"/>
          <w:color w:val="auto"/>
          <w:sz w:val="32"/>
          <w:szCs w:val="32"/>
          <w:highlight w:val="none"/>
          <w:lang w:val="en-US" w:eastAsia="zh-CN"/>
        </w:rPr>
        <w:t>7.55</w:t>
      </w:r>
      <w:r>
        <w:rPr>
          <w:rFonts w:hint="eastAsia" w:ascii="仿宋" w:hAnsi="仿宋" w:eastAsia="仿宋"/>
          <w:color w:val="auto"/>
          <w:sz w:val="32"/>
          <w:szCs w:val="32"/>
          <w:highlight w:val="none"/>
        </w:rPr>
        <w:t>万元、住房公积金</w:t>
      </w:r>
      <w:r>
        <w:rPr>
          <w:rFonts w:hint="eastAsia" w:ascii="仿宋" w:hAnsi="仿宋" w:eastAsia="仿宋"/>
          <w:color w:val="auto"/>
          <w:sz w:val="32"/>
          <w:szCs w:val="32"/>
          <w:highlight w:val="none"/>
          <w:lang w:val="en-US" w:eastAsia="zh-CN"/>
        </w:rPr>
        <w:t>7.26</w:t>
      </w:r>
      <w:r>
        <w:rPr>
          <w:rFonts w:hint="eastAsia" w:ascii="仿宋" w:hAnsi="仿宋" w:eastAsia="仿宋"/>
          <w:color w:val="auto"/>
          <w:sz w:val="32"/>
          <w:szCs w:val="32"/>
          <w:highlight w:val="none"/>
        </w:rPr>
        <w:t>万元。</w:t>
      </w:r>
    </w:p>
    <w:p>
      <w:pPr>
        <w:spacing w:line="600" w:lineRule="exact"/>
        <w:rPr>
          <w:rFonts w:ascii="仿宋" w:hAnsi="仿宋" w:eastAsia="仿宋"/>
          <w:b/>
          <w:color w:val="auto"/>
          <w:sz w:val="32"/>
          <w:szCs w:val="32"/>
          <w:highlight w:val="none"/>
        </w:rPr>
      </w:pPr>
    </w:p>
    <w:p>
      <w:pPr>
        <w:spacing w:line="600" w:lineRule="exact"/>
        <w:ind w:firstLine="640"/>
        <w:outlineLvl w:val="1"/>
        <w:rPr>
          <w:rStyle w:val="28"/>
          <w:rFonts w:ascii="黑体" w:hAnsi="黑体" w:eastAsia="黑体"/>
          <w:b w:val="0"/>
          <w:color w:val="auto"/>
          <w:highlight w:val="none"/>
        </w:rPr>
      </w:pPr>
      <w:bookmarkStart w:id="54" w:name="_Toc15831"/>
      <w:bookmarkStart w:id="55" w:name="_Toc15396609"/>
      <w:bookmarkStart w:id="56" w:name="_Toc15377215"/>
      <w:bookmarkStart w:id="57" w:name="_Toc4818"/>
      <w:bookmarkStart w:id="58" w:name="_Toc15377218"/>
      <w:bookmarkStart w:id="59" w:name="_Toc15396610"/>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54"/>
      <w:bookmarkEnd w:id="55"/>
      <w:bookmarkEnd w:id="56"/>
      <w:bookmarkEnd w:id="57"/>
    </w:p>
    <w:p>
      <w:pPr>
        <w:spacing w:line="600" w:lineRule="exact"/>
        <w:ind w:firstLine="640"/>
        <w:outlineLvl w:val="2"/>
        <w:rPr>
          <w:rFonts w:ascii="仿宋" w:hAnsi="仿宋" w:eastAsia="仿宋"/>
          <w:b/>
          <w:color w:val="auto"/>
          <w:sz w:val="32"/>
          <w:szCs w:val="32"/>
          <w:highlight w:val="none"/>
        </w:rPr>
      </w:pPr>
      <w:bookmarkStart w:id="60" w:name="_Toc25674"/>
      <w:bookmarkStart w:id="61" w:name="_Toc15377216"/>
      <w:r>
        <w:rPr>
          <w:rFonts w:hint="eastAsia" w:ascii="仿宋" w:hAnsi="仿宋" w:eastAsia="仿宋"/>
          <w:b/>
          <w:color w:val="auto"/>
          <w:sz w:val="32"/>
          <w:szCs w:val="32"/>
          <w:highlight w:val="none"/>
        </w:rPr>
        <w:t>（一）“三公”经费财政拨款支出决算总体情况说明</w:t>
      </w:r>
      <w:bookmarkEnd w:id="60"/>
      <w:bookmarkEnd w:id="61"/>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62" w:name="_Toc29923"/>
      <w:bookmarkStart w:id="63" w:name="_Toc15377217"/>
      <w:r>
        <w:rPr>
          <w:rFonts w:hint="eastAsia" w:ascii="仿宋" w:hAnsi="仿宋" w:eastAsia="仿宋"/>
          <w:b/>
          <w:color w:val="auto"/>
          <w:sz w:val="32"/>
          <w:szCs w:val="32"/>
          <w:highlight w:val="none"/>
        </w:rPr>
        <w:t>（二）“三公”经费财政拨款支出决算具体情况说明</w:t>
      </w:r>
      <w:bookmarkEnd w:id="62"/>
      <w:bookmarkEnd w:id="6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0"/>
        <w:rPr>
          <w:rStyle w:val="17"/>
          <w:rFonts w:hint="eastAsia" w:ascii="仿宋" w:hAnsi="仿宋" w:eastAsia="仿宋"/>
          <w:b w:val="0"/>
          <w:bCs/>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p>
    <w:p>
      <w:pPr>
        <w:spacing w:line="600" w:lineRule="exact"/>
        <w:ind w:firstLine="640"/>
        <w:outlineLvl w:val="1"/>
        <w:rPr>
          <w:rStyle w:val="28"/>
          <w:rFonts w:ascii="黑体" w:hAnsi="黑体" w:eastAsia="黑体"/>
          <w:color w:val="auto"/>
          <w:highlight w:val="none"/>
        </w:rPr>
      </w:pPr>
      <w:bookmarkStart w:id="64" w:name="_Toc12527"/>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58"/>
      <w:bookmarkEnd w:id="59"/>
      <w:bookmarkEnd w:id="6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2.06</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ascii="黑体" w:hAnsi="黑体" w:eastAsia="黑体"/>
          <w:b w:val="0"/>
          <w:color w:val="auto"/>
          <w:highlight w:val="none"/>
        </w:rPr>
      </w:pPr>
      <w:bookmarkStart w:id="65" w:name="_Toc1586"/>
      <w:bookmarkStart w:id="66" w:name="_Toc15377219"/>
      <w:bookmarkStart w:id="67" w:name="_Toc15396611"/>
      <w:r>
        <w:rPr>
          <w:rStyle w:val="28"/>
          <w:rFonts w:hint="eastAsia" w:ascii="黑体" w:hAnsi="黑体" w:eastAsia="黑体"/>
          <w:b w:val="0"/>
          <w:color w:val="auto"/>
          <w:highlight w:val="none"/>
        </w:rPr>
        <w:t>国有资本经营预算支出决算情况说明</w:t>
      </w:r>
      <w:bookmarkEnd w:id="65"/>
      <w:bookmarkEnd w:id="66"/>
      <w:bookmarkEnd w:id="67"/>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8"/>
          <w:rFonts w:hint="eastAsia" w:ascii="黑体" w:hAnsi="黑体" w:eastAsia="黑体"/>
          <w:b w:val="0"/>
          <w:color w:val="auto"/>
          <w:highlight w:val="none"/>
        </w:rPr>
      </w:pPr>
      <w:bookmarkStart w:id="68" w:name="_Toc15377221"/>
      <w:bookmarkStart w:id="69" w:name="_Toc15396612"/>
      <w:bookmarkStart w:id="70" w:name="_Toc12640"/>
      <w:r>
        <w:rPr>
          <w:rStyle w:val="28"/>
          <w:rFonts w:hint="eastAsia" w:ascii="黑体" w:hAnsi="黑体" w:eastAsia="黑体"/>
          <w:b w:val="0"/>
          <w:color w:val="auto"/>
          <w:highlight w:val="none"/>
        </w:rPr>
        <w:t>其他重要事项的情况说明</w:t>
      </w:r>
      <w:bookmarkEnd w:id="68"/>
      <w:bookmarkEnd w:id="69"/>
      <w:bookmarkEnd w:id="70"/>
    </w:p>
    <w:p>
      <w:pPr>
        <w:spacing w:line="600" w:lineRule="exact"/>
        <w:ind w:firstLine="643" w:firstLineChars="200"/>
        <w:outlineLvl w:val="2"/>
        <w:rPr>
          <w:rFonts w:ascii="仿宋" w:hAnsi="仿宋" w:eastAsia="仿宋"/>
          <w:color w:val="auto"/>
          <w:sz w:val="32"/>
          <w:szCs w:val="32"/>
          <w:highlight w:val="none"/>
        </w:rPr>
      </w:pPr>
      <w:bookmarkStart w:id="71" w:name="_Toc15377222"/>
      <w:bookmarkStart w:id="72" w:name="_Toc6495"/>
      <w:r>
        <w:rPr>
          <w:rFonts w:hint="eastAsia" w:ascii="仿宋" w:hAnsi="仿宋" w:eastAsia="仿宋"/>
          <w:b/>
          <w:color w:val="auto"/>
          <w:sz w:val="32"/>
          <w:szCs w:val="32"/>
          <w:highlight w:val="none"/>
        </w:rPr>
        <w:t>（一）机关运行经费支出情况</w:t>
      </w:r>
      <w:bookmarkEnd w:id="71"/>
      <w:bookmarkEnd w:id="72"/>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2022年</w:t>
      </w:r>
      <w:r>
        <w:rPr>
          <w:rFonts w:hint="eastAsia" w:ascii="仿宋_GB2312" w:eastAsia="仿宋_GB2312"/>
          <w:color w:val="auto"/>
          <w:sz w:val="32"/>
          <w:szCs w:val="32"/>
          <w:highlight w:val="none"/>
        </w:rPr>
        <w:t>未发生机关运行经费支出</w:t>
      </w:r>
      <w:r>
        <w:rPr>
          <w:rFonts w:hint="eastAsia" w:ascii="仿宋_GB2312" w:eastAsia="仿宋_GB2312"/>
          <w:color w:val="auto"/>
          <w:sz w:val="32"/>
          <w:szCs w:val="32"/>
          <w:highlight w:val="none"/>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3" w:name="_Toc15377223"/>
      <w:bookmarkStart w:id="74" w:name="_Toc9595"/>
      <w:r>
        <w:rPr>
          <w:rFonts w:hint="eastAsia" w:ascii="仿宋" w:hAnsi="仿宋" w:eastAsia="仿宋"/>
          <w:b/>
          <w:color w:val="auto"/>
          <w:sz w:val="32"/>
          <w:szCs w:val="32"/>
          <w:highlight w:val="none"/>
        </w:rPr>
        <w:t>（二）政府采购支出情况</w:t>
      </w:r>
      <w:bookmarkEnd w:id="73"/>
      <w:bookmarkEnd w:id="74"/>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年，四川省广元市昭化区</w:t>
      </w:r>
      <w:r>
        <w:rPr>
          <w:rFonts w:hint="eastAsia" w:ascii="仿宋_GB2312" w:eastAsia="仿宋_GB2312"/>
          <w:color w:val="auto"/>
          <w:sz w:val="32"/>
          <w:szCs w:val="32"/>
          <w:highlight w:val="none"/>
          <w:lang w:eastAsia="zh-CN"/>
        </w:rPr>
        <w:t>丁家乡</w:t>
      </w:r>
      <w:r>
        <w:rPr>
          <w:rFonts w:hint="eastAsia" w:ascii="仿宋_GB2312" w:eastAsia="仿宋_GB2312"/>
          <w:color w:val="auto"/>
          <w:sz w:val="32"/>
          <w:szCs w:val="32"/>
          <w:highlight w:val="none"/>
        </w:rPr>
        <w:t>卫生院政府采购支出总额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5" w:name="_Toc15377224"/>
      <w:bookmarkStart w:id="76" w:name="_Toc29395"/>
      <w:r>
        <w:rPr>
          <w:rFonts w:hint="eastAsia" w:ascii="仿宋" w:hAnsi="仿宋" w:eastAsia="仿宋"/>
          <w:b/>
          <w:color w:val="auto"/>
          <w:sz w:val="32"/>
          <w:szCs w:val="32"/>
          <w:highlight w:val="none"/>
        </w:rPr>
        <w:t>（三）国有资产占有使用情况</w:t>
      </w:r>
      <w:bookmarkEnd w:id="75"/>
      <w:bookmarkEnd w:id="76"/>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77" w:name="_Toc15352"/>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日，四川省广元市昭化区</w:t>
      </w:r>
      <w:r>
        <w:rPr>
          <w:rFonts w:hint="eastAsia" w:ascii="仿宋_GB2312" w:eastAsia="仿宋_GB2312"/>
          <w:color w:val="auto"/>
          <w:sz w:val="32"/>
          <w:szCs w:val="32"/>
          <w:highlight w:val="none"/>
          <w:lang w:eastAsia="zh-CN"/>
        </w:rPr>
        <w:t>丁家乡</w:t>
      </w:r>
      <w:r>
        <w:rPr>
          <w:rFonts w:hint="eastAsia" w:ascii="仿宋_GB2312" w:eastAsia="仿宋_GB2312"/>
          <w:color w:val="auto"/>
          <w:sz w:val="32"/>
          <w:szCs w:val="32"/>
          <w:highlight w:val="none"/>
        </w:rPr>
        <w:t>卫生院共有</w:t>
      </w:r>
      <w:r>
        <w:rPr>
          <w:rFonts w:hint="eastAsia" w:ascii="仿宋_GB2312" w:eastAsia="仿宋_GB2312"/>
          <w:color w:val="auto"/>
          <w:sz w:val="32"/>
          <w:szCs w:val="32"/>
          <w:highlight w:val="none"/>
          <w:lang w:eastAsia="zh-CN"/>
        </w:rPr>
        <w:t>救护</w:t>
      </w:r>
      <w:r>
        <w:rPr>
          <w:rFonts w:hint="eastAsia" w:ascii="仿宋_GB2312" w:eastAsia="仿宋_GB2312"/>
          <w:color w:val="auto"/>
          <w:sz w:val="32"/>
          <w:szCs w:val="32"/>
          <w:highlight w:val="none"/>
        </w:rPr>
        <w:t>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hAnsi="仿宋_GB2312" w:eastAsia="仿宋_GB2312" w:cs="仿宋_GB2312"/>
          <w:sz w:val="32"/>
          <w:szCs w:val="32"/>
          <w:lang w:val="en-US" w:eastAsia="zh-CN"/>
        </w:rPr>
        <w:t>主要用于急诊、急救及危重病人的转运，</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bookmarkEnd w:id="77"/>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78" w:name="_Toc31346"/>
      <w:r>
        <w:rPr>
          <w:rFonts w:hint="eastAsia" w:ascii="仿宋" w:hAnsi="仿宋" w:eastAsia="仿宋"/>
          <w:b/>
          <w:color w:val="auto"/>
          <w:sz w:val="32"/>
          <w:szCs w:val="32"/>
          <w:highlight w:val="none"/>
        </w:rPr>
        <w:t>（四）预算绩效管理情况</w:t>
      </w:r>
      <w:bookmarkEnd w:id="78"/>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1.绩效目标管理情况</w:t>
      </w:r>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79" w:name="_Toc32551"/>
      <w:bookmarkStart w:id="80" w:name="_Toc31974"/>
      <w:bookmarkStart w:id="81" w:name="_Toc31349"/>
      <w:bookmarkStart w:id="82" w:name="_Toc8457"/>
      <w:bookmarkStart w:id="83" w:name="_Toc10484"/>
      <w:r>
        <w:rPr>
          <w:rFonts w:hint="eastAsia" w:ascii="仿宋_GB2312" w:eastAsia="仿宋_GB2312"/>
          <w:color w:val="auto"/>
          <w:sz w:val="32"/>
          <w:szCs w:val="32"/>
          <w:highlight w:val="none"/>
        </w:rPr>
        <w:t>根据预算绩效管理要求，本单位在</w:t>
      </w:r>
      <w:r>
        <w:rPr>
          <w:rFonts w:hint="eastAsia" w:ascii="仿宋_GB2312" w:eastAsia="仿宋_GB2312"/>
          <w:color w:val="auto"/>
          <w:sz w:val="32"/>
          <w:szCs w:val="32"/>
          <w:highlight w:val="none"/>
          <w:lang w:val="en-US" w:eastAsia="zh-CN"/>
        </w:rPr>
        <w:t>2022年度</w:t>
      </w:r>
      <w:r>
        <w:rPr>
          <w:rFonts w:hint="eastAsia" w:ascii="仿宋_GB2312" w:eastAsia="仿宋_GB2312"/>
          <w:color w:val="auto"/>
          <w:sz w:val="32"/>
          <w:szCs w:val="32"/>
          <w:highlight w:val="none"/>
        </w:rPr>
        <w:t>预算编制阶段，组织对</w:t>
      </w:r>
      <w:r>
        <w:rPr>
          <w:rFonts w:hint="eastAsia" w:ascii="仿宋_GB2312" w:eastAsia="仿宋_GB2312"/>
          <w:color w:val="auto"/>
          <w:sz w:val="32"/>
          <w:szCs w:val="32"/>
          <w:highlight w:val="none"/>
          <w:lang w:val="en-US" w:eastAsia="zh-CN"/>
        </w:rPr>
        <w:t>二类疫苗服务费1个项目</w:t>
      </w:r>
      <w:r>
        <w:rPr>
          <w:rFonts w:hint="eastAsia" w:ascii="仿宋_GB2312" w:eastAsia="仿宋_GB2312"/>
          <w:color w:val="auto"/>
          <w:sz w:val="32"/>
          <w:szCs w:val="32"/>
          <w:highlight w:val="none"/>
        </w:rPr>
        <w:t>开展了预算事前绩效评估，对</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个项目编制了绩效目标，预算执行过程中，选取</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个项目开展绩效监控，年终执行完毕后，对</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个项目开展了绩效自评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2022年部门预算项目绩效目标自评表见附件（第四部分）</w:t>
      </w:r>
      <w:r>
        <w:rPr>
          <w:rFonts w:hint="eastAsia" w:ascii="仿宋_GB2312" w:eastAsia="仿宋_GB2312"/>
          <w:color w:val="auto"/>
          <w:sz w:val="32"/>
          <w:szCs w:val="32"/>
          <w:highlight w:val="none"/>
        </w:rPr>
        <w:t>。</w:t>
      </w:r>
      <w:bookmarkEnd w:id="79"/>
      <w:bookmarkEnd w:id="80"/>
      <w:bookmarkEnd w:id="81"/>
      <w:bookmarkEnd w:id="82"/>
      <w:bookmarkEnd w:id="83"/>
    </w:p>
    <w:p>
      <w:pPr>
        <w:numPr>
          <w:ilvl w:val="0"/>
          <w:numId w:val="4"/>
        </w:num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lang w:val="en-US" w:eastAsia="zh-CN"/>
        </w:rPr>
      </w:pPr>
      <w:bookmarkStart w:id="84" w:name="_Toc25419"/>
      <w:bookmarkStart w:id="85" w:name="_Toc10135"/>
      <w:bookmarkStart w:id="86" w:name="_Toc1645"/>
      <w:bookmarkStart w:id="87" w:name="_Toc30858"/>
      <w:r>
        <w:rPr>
          <w:rFonts w:hint="eastAsia" w:ascii="仿宋_GB2312" w:eastAsia="仿宋_GB2312"/>
          <w:color w:val="auto"/>
          <w:sz w:val="32"/>
          <w:szCs w:val="32"/>
          <w:highlight w:val="none"/>
          <w:lang w:val="en-US" w:eastAsia="zh-CN"/>
        </w:rPr>
        <w:t>预算项目绩效评价</w:t>
      </w:r>
      <w:bookmarkEnd w:id="84"/>
      <w:bookmarkEnd w:id="85"/>
      <w:bookmarkEnd w:id="86"/>
      <w:bookmarkEnd w:id="87"/>
    </w:p>
    <w:p>
      <w:pPr>
        <w:pStyle w:val="2"/>
        <w:ind w:firstLine="640" w:firstLineChars="200"/>
        <w:rPr>
          <w:rFonts w:hint="eastAsia" w:ascii="仿宋_GB2312" w:eastAsia="仿宋_GB2312"/>
          <w:color w:val="000000"/>
          <w:sz w:val="32"/>
          <w:szCs w:val="32"/>
        </w:rPr>
      </w:pPr>
      <w:r>
        <w:rPr>
          <w:rFonts w:hint="eastAsia" w:ascii="仿宋_GB2312" w:hAnsi="Times New Roman" w:eastAsia="仿宋_GB2312" w:cs="Times New Roman"/>
          <w:color w:val="000000"/>
          <w:sz w:val="32"/>
          <w:szCs w:val="32"/>
          <w:lang w:val="en-US" w:eastAsia="zh-CN"/>
        </w:rPr>
        <w:t>二类疫苗服务费项目完成情况综述。按照《四川省发展和改革委员会四川省财政厅关于疫苗预防接种服务收费标准及有关问题的通知》（川发改价格〔2020〕640号）文件精神，二类疫苗接种服务费收入全额上缴国库，纳入财政预算管理。我单</w:t>
      </w:r>
      <w:r>
        <w:rPr>
          <w:rFonts w:hint="eastAsia" w:ascii="仿宋_GB2312" w:eastAsia="仿宋_GB2312"/>
          <w:color w:val="000000"/>
          <w:sz w:val="32"/>
          <w:szCs w:val="32"/>
          <w:lang w:val="en-US" w:eastAsia="zh-CN"/>
        </w:rPr>
        <w:t>位</w:t>
      </w:r>
      <w:r>
        <w:rPr>
          <w:rFonts w:hint="eastAsia" w:ascii="仿宋_GB2312" w:eastAsia="仿宋_GB2312"/>
          <w:color w:val="000000"/>
          <w:sz w:val="32"/>
          <w:szCs w:val="32"/>
        </w:rPr>
        <w:t>建立健全非免疫规划疫苗管理制度，明确行业系统内部管理职责和程序，完善期间成本资料，减少非必要成本支出，整合现有资源降低接种服务成本。同时，要加强对疫苗接种管理，确保非免疫规划疫苗接种工作的顺利开展，有效维护公共卫生安全。</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整体支出绩效自评开展情况。</w:t>
      </w:r>
    </w:p>
    <w:p>
      <w:pPr>
        <w:spacing w:line="600" w:lineRule="atLeast"/>
        <w:ind w:left="0" w:firstLine="640" w:firstLineChars="200"/>
        <w:rPr>
          <w:rFonts w:hint="eastAsia" w:ascii="黑体" w:eastAsia="黑体"/>
          <w:color w:val="000000"/>
          <w:sz w:val="32"/>
          <w:szCs w:val="32"/>
        </w:rPr>
      </w:pPr>
      <w:r>
        <w:rPr>
          <w:rFonts w:hint="eastAsia" w:ascii="仿宋_GB2312" w:eastAsia="仿宋_GB2312"/>
          <w:color w:val="auto"/>
          <w:sz w:val="32"/>
          <w:szCs w:val="32"/>
          <w:highlight w:val="none"/>
          <w:lang w:val="en-US" w:eastAsia="zh-CN"/>
        </w:rPr>
        <w:t>本单位按要求对2022年单位整体支出开展绩效自评，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单位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7"/>
          <w:rFonts w:ascii="黑体" w:hAnsi="黑体" w:eastAsia="黑体"/>
          <w:b w:val="0"/>
          <w:color w:val="auto"/>
          <w:highlight w:val="none"/>
        </w:rPr>
      </w:pPr>
      <w:bookmarkStart w:id="88" w:name="_Toc15396613"/>
      <w:bookmarkStart w:id="89" w:name="_Toc28071"/>
      <w:bookmarkStart w:id="90"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88"/>
      <w:bookmarkEnd w:id="89"/>
      <w:bookmarkEnd w:id="90"/>
    </w:p>
    <w:p>
      <w:pPr>
        <w:spacing w:line="600" w:lineRule="exact"/>
        <w:jc w:val="left"/>
        <w:rPr>
          <w:rFonts w:ascii="宋体"/>
          <w:b/>
          <w:color w:val="auto"/>
          <w:sz w:val="44"/>
          <w:szCs w:val="44"/>
          <w:highlight w:val="none"/>
        </w:rPr>
      </w:pPr>
    </w:p>
    <w:p>
      <w:pPr>
        <w:pStyle w:val="25"/>
        <w:spacing w:line="560" w:lineRule="exact"/>
        <w:ind w:firstLine="640" w:firstLineChars="200"/>
        <w:outlineLvl w:val="1"/>
        <w:rPr>
          <w:rFonts w:ascii="仿宋_GB2312" w:eastAsia="仿宋_GB2312"/>
          <w:color w:val="auto"/>
          <w:sz w:val="32"/>
          <w:szCs w:val="32"/>
          <w:highlight w:val="none"/>
        </w:rPr>
      </w:pPr>
      <w:bookmarkStart w:id="91" w:name="_Toc17190"/>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bookmarkEnd w:id="91"/>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w:t>
      </w:r>
      <w:r>
        <w:rPr>
          <w:rFonts w:hint="eastAsia" w:ascii="仿宋_GB2312" w:eastAsia="仿宋_GB2312"/>
          <w:color w:val="auto"/>
          <w:sz w:val="32"/>
          <w:szCs w:val="32"/>
          <w:highlight w:val="none"/>
          <w:lang w:eastAsia="zh-CN"/>
        </w:rPr>
        <w:t>区人民医院、</w:t>
      </w:r>
      <w:r>
        <w:rPr>
          <w:rFonts w:hint="eastAsia" w:ascii="仿宋_GB2312" w:eastAsia="仿宋_GB2312"/>
          <w:color w:val="auto"/>
          <w:sz w:val="32"/>
          <w:szCs w:val="32"/>
          <w:highlight w:val="none"/>
        </w:rPr>
        <w:t>妇幼保健</w:t>
      </w:r>
      <w:r>
        <w:rPr>
          <w:rFonts w:hint="eastAsia" w:ascii="仿宋_GB2312" w:eastAsia="仿宋_GB2312"/>
          <w:color w:val="auto"/>
          <w:sz w:val="32"/>
          <w:szCs w:val="32"/>
          <w:highlight w:val="none"/>
          <w:lang w:eastAsia="zh-CN"/>
        </w:rPr>
        <w:t>计划生育</w:t>
      </w:r>
      <w:r>
        <w:rPr>
          <w:rFonts w:hint="eastAsia" w:ascii="仿宋_GB2312" w:eastAsia="仿宋_GB2312"/>
          <w:color w:val="auto"/>
          <w:sz w:val="32"/>
          <w:szCs w:val="32"/>
          <w:highlight w:val="none"/>
        </w:rPr>
        <w:t>服务中心</w:t>
      </w:r>
      <w:r>
        <w:rPr>
          <w:rFonts w:hint="eastAsia" w:ascii="仿宋_GB2312" w:eastAsia="仿宋_GB2312"/>
          <w:color w:val="auto"/>
          <w:sz w:val="32"/>
          <w:szCs w:val="32"/>
          <w:highlight w:val="none"/>
          <w:lang w:eastAsia="zh-CN"/>
        </w:rPr>
        <w:t>、区中医医院、乡镇卫生院医疗收入</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8</w:t>
      </w:r>
      <w:r>
        <w:rPr>
          <w:rFonts w:hint="eastAsia" w:ascii="仿宋_GB2312" w:eastAsia="仿宋_GB2312"/>
          <w:b w:val="0"/>
          <w:bCs w:val="0"/>
          <w:color w:val="000000"/>
          <w:sz w:val="32"/>
          <w:szCs w:val="32"/>
        </w:rPr>
        <w:t>.</w:t>
      </w:r>
      <w:r>
        <w:rPr>
          <w:rFonts w:hint="eastAsia" w:ascii="仿宋" w:eastAsia="仿宋"/>
          <w:b w:val="0"/>
          <w:bCs w:val="0"/>
          <w:color w:val="000000"/>
          <w:sz w:val="32"/>
          <w:szCs w:val="32"/>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乡镇卫生院（</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：反映乡镇卫生院的支出</w:t>
      </w:r>
      <w:r>
        <w:rPr>
          <w:rFonts w:hint="eastAsia" w:ascii="仿宋_GB2312" w:eastAsia="仿宋_GB2312"/>
          <w:b w:val="0"/>
          <w:bCs w:val="0"/>
          <w:color w:val="000000"/>
          <w:sz w:val="32"/>
          <w:szCs w:val="32"/>
          <w:lang w:eastAsia="zh-CN"/>
        </w:rPr>
        <w:t>。</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9.</w:t>
      </w:r>
      <w:r>
        <w:rPr>
          <w:rStyle w:val="17"/>
          <w:rFonts w:hint="eastAsia" w:ascii="仿宋_GB2312" w:eastAsia="仿宋_GB2312"/>
          <w:b w:val="0"/>
          <w:bCs w:val="0"/>
          <w:color w:val="000000"/>
          <w:sz w:val="32"/>
          <w:szCs w:val="32"/>
          <w:highlight w:val="none"/>
          <w:lang w:eastAsia="zh-CN"/>
        </w:rPr>
        <w:t>卫生健康支出（类）</w:t>
      </w:r>
      <w:r>
        <w:rPr>
          <w:rStyle w:val="17"/>
          <w:rFonts w:hint="eastAsia" w:ascii="仿宋_GB2312" w:eastAsia="仿宋_GB2312"/>
          <w:b w:val="0"/>
          <w:bCs w:val="0"/>
          <w:color w:val="000000"/>
          <w:sz w:val="32"/>
          <w:szCs w:val="32"/>
          <w:highlight w:val="none"/>
        </w:rPr>
        <w:t>公共卫生</w:t>
      </w:r>
      <w:r>
        <w:rPr>
          <w:rStyle w:val="17"/>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基本公共卫生服务（</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_GB2312" w:eastAsia="仿宋_GB2312"/>
          <w:b w:val="0"/>
          <w:bCs w:val="0"/>
          <w:color w:val="000000"/>
          <w:sz w:val="32"/>
          <w:szCs w:val="32"/>
          <w:lang w:eastAsia="zh-CN"/>
        </w:rPr>
        <w:t>乡镇卫生院、社区卫生机构开展</w:t>
      </w:r>
      <w:r>
        <w:rPr>
          <w:rFonts w:hint="eastAsia" w:ascii="仿宋_GB2312" w:eastAsia="仿宋_GB2312"/>
          <w:b w:val="0"/>
          <w:bCs w:val="0"/>
          <w:color w:val="000000"/>
          <w:sz w:val="32"/>
          <w:szCs w:val="32"/>
        </w:rPr>
        <w:t>基本公共卫生服务</w:t>
      </w:r>
      <w:r>
        <w:rPr>
          <w:rFonts w:hint="eastAsia" w:ascii="仿宋_GB2312" w:eastAsia="仿宋_GB2312"/>
          <w:b w:val="0"/>
          <w:bCs w:val="0"/>
          <w:color w:val="000000"/>
          <w:sz w:val="32"/>
          <w:szCs w:val="32"/>
          <w:lang w:eastAsia="zh-CN"/>
        </w:rPr>
        <w:t>的</w:t>
      </w:r>
      <w:r>
        <w:rPr>
          <w:rFonts w:hint="eastAsia" w:ascii="仿宋_GB2312" w:eastAsia="仿宋_GB2312"/>
          <w:b w:val="0"/>
          <w:bCs w:val="0"/>
          <w:color w:val="000000"/>
          <w:sz w:val="32"/>
          <w:szCs w:val="32"/>
        </w:rPr>
        <w:t>支出</w:t>
      </w:r>
      <w:r>
        <w:rPr>
          <w:rFonts w:hint="eastAsia" w:ascii="仿宋_GB2312" w:eastAsia="仿宋_GB2312"/>
          <w:b w:val="0"/>
          <w:bCs w:val="0"/>
          <w:color w:val="000000"/>
          <w:sz w:val="32"/>
          <w:szCs w:val="32"/>
          <w:lang w:eastAsia="zh-CN"/>
        </w:rPr>
        <w:t>。</w:t>
      </w:r>
    </w:p>
    <w:p>
      <w:pPr>
        <w:ind w:firstLine="640" w:firstLineChars="200"/>
        <w:rPr>
          <w:rStyle w:val="17"/>
          <w:rFonts w:hint="eastAsia" w:ascii="仿宋_GB2312" w:eastAsia="仿宋_GB2312"/>
          <w:b w:val="0"/>
          <w:bCs w:val="0"/>
          <w:color w:val="000000"/>
          <w:sz w:val="32"/>
          <w:szCs w:val="32"/>
          <w:lang w:eastAsia="zh-CN"/>
        </w:rPr>
      </w:pPr>
      <w:r>
        <w:rPr>
          <w:rFonts w:hint="eastAsia" w:ascii="仿宋_GB2312" w:eastAsia="仿宋_GB2312"/>
          <w:b w:val="0"/>
          <w:bCs/>
          <w:color w:val="000000"/>
          <w:sz w:val="32"/>
          <w:szCs w:val="32"/>
          <w:lang w:val="en-US" w:eastAsia="zh-CN"/>
        </w:rPr>
        <w:t>10.</w:t>
      </w:r>
      <w:r>
        <w:rPr>
          <w:rStyle w:val="17"/>
          <w:rFonts w:hint="eastAsia" w:ascii="仿宋_GB2312" w:eastAsia="仿宋_GB2312"/>
          <w:b w:val="0"/>
          <w:bCs w:val="0"/>
          <w:color w:val="000000"/>
          <w:sz w:val="32"/>
          <w:szCs w:val="32"/>
          <w:highlight w:val="none"/>
          <w:lang w:eastAsia="zh-CN"/>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其他基层医疗卫生机构支出（</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rPr>
        <w:t>：反映除乡镇卫生院、城市社区卫生机构以外的其他用于基层医疗卫生机构的支出</w:t>
      </w:r>
      <w:r>
        <w:rPr>
          <w:rStyle w:val="17"/>
          <w:rFonts w:hint="eastAsia" w:ascii="仿宋_GB2312" w:eastAsia="仿宋_GB2312"/>
          <w:b w:val="0"/>
          <w:bCs w:val="0"/>
          <w:color w:val="000000"/>
          <w:sz w:val="32"/>
          <w:szCs w:val="32"/>
          <w:lang w:eastAsia="zh-CN"/>
        </w:rPr>
        <w:t>。</w:t>
      </w:r>
    </w:p>
    <w:p>
      <w:pPr>
        <w:ind w:firstLine="640" w:firstLineChars="200"/>
        <w:rPr>
          <w:rStyle w:val="17"/>
          <w:rFonts w:hint="eastAsia" w:ascii="仿宋_GB2312" w:eastAsia="仿宋_GB2312"/>
          <w:b w:val="0"/>
          <w:bCs w:val="0"/>
          <w:color w:val="000000"/>
          <w:sz w:val="32"/>
          <w:szCs w:val="32"/>
        </w:rPr>
      </w:pPr>
      <w:r>
        <w:rPr>
          <w:rStyle w:val="17"/>
          <w:rFonts w:hint="eastAsia" w:ascii="仿宋_GB2312" w:eastAsia="仿宋_GB2312"/>
          <w:b w:val="0"/>
          <w:bCs w:val="0"/>
          <w:color w:val="000000"/>
          <w:sz w:val="32"/>
          <w:szCs w:val="32"/>
          <w:highlight w:val="none"/>
          <w:lang w:val="en-US" w:eastAsia="zh-CN"/>
        </w:rPr>
        <w:t>11.</w:t>
      </w:r>
      <w:r>
        <w:rPr>
          <w:rStyle w:val="17"/>
          <w:rFonts w:hint="eastAsia" w:ascii="仿宋_GB2312" w:eastAsia="仿宋_GB2312"/>
          <w:b w:val="0"/>
          <w:bCs w:val="0"/>
          <w:color w:val="000000"/>
          <w:sz w:val="32"/>
          <w:szCs w:val="32"/>
          <w:highlight w:val="none"/>
          <w:lang w:eastAsia="zh-CN"/>
        </w:rPr>
        <w:t>卫生健康支出</w:t>
      </w:r>
      <w:r>
        <w:rPr>
          <w:rStyle w:val="17"/>
          <w:rFonts w:hint="eastAsia" w:ascii="仿宋_GB2312" w:eastAsia="仿宋_GB2312"/>
          <w:b w:val="0"/>
          <w:bCs w:val="0"/>
          <w:color w:val="000000"/>
          <w:sz w:val="32"/>
          <w:szCs w:val="32"/>
          <w:lang w:eastAsia="zh-CN"/>
        </w:rPr>
        <w:t>（类）</w:t>
      </w:r>
      <w:r>
        <w:rPr>
          <w:rStyle w:val="17"/>
          <w:rFonts w:hint="eastAsia" w:ascii="仿宋_GB2312" w:eastAsia="仿宋_GB2312"/>
          <w:b w:val="0"/>
          <w:bCs w:val="0"/>
          <w:color w:val="000000"/>
          <w:sz w:val="32"/>
          <w:szCs w:val="32"/>
        </w:rPr>
        <w:t>行政事业单位医疗</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事业单位医疗（</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rPr>
        <w:t>:</w:t>
      </w:r>
      <w:r>
        <w:rPr>
          <w:rStyle w:val="17"/>
          <w:rFonts w:hint="eastAsia" w:ascii="仿宋_GB2312" w:eastAsia="仿宋_GB2312"/>
          <w:b w:val="0"/>
          <w:bCs w:val="0"/>
          <w:color w:val="auto"/>
          <w:sz w:val="32"/>
          <w:szCs w:val="32"/>
        </w:rPr>
        <w:t>反映</w:t>
      </w:r>
      <w:r>
        <w:rPr>
          <w:rStyle w:val="17"/>
          <w:rFonts w:hint="eastAsia" w:ascii="仿宋_GB2312" w:eastAsia="仿宋_GB2312"/>
          <w:b w:val="0"/>
          <w:bCs w:val="0"/>
          <w:color w:val="000000"/>
          <w:sz w:val="32"/>
          <w:szCs w:val="32"/>
          <w:highlight w:val="none"/>
          <w:lang w:eastAsia="zh-CN"/>
        </w:rPr>
        <w:t>卫生健康支出中的在职人员医疗保险。</w:t>
      </w:r>
    </w:p>
    <w:p>
      <w:pPr>
        <w:pStyle w:val="7"/>
        <w:rPr>
          <w:rFonts w:hint="eastAsia" w:ascii="仿宋_GB2312" w:eastAsia="仿宋_GB2312"/>
          <w:b w:val="0"/>
          <w:bCs/>
          <w:color w:val="000000"/>
          <w:sz w:val="32"/>
          <w:szCs w:val="32"/>
          <w:lang w:eastAsia="zh-CN"/>
        </w:rPr>
      </w:pPr>
      <w:r>
        <w:rPr>
          <w:rFonts w:hint="eastAsia" w:ascii="仿宋_GB2312" w:cs="仿宋"/>
          <w:b w:val="0"/>
          <w:bCs/>
          <w:color w:val="auto"/>
          <w:sz w:val="32"/>
          <w:szCs w:val="32"/>
          <w:highlight w:val="none"/>
          <w:lang w:val="en-US" w:eastAsia="zh-CN" w:bidi="ar-SA"/>
        </w:rPr>
        <w:t>12.</w:t>
      </w:r>
      <w:r>
        <w:rPr>
          <w:rFonts w:hint="eastAsia" w:ascii="仿宋_GB2312" w:eastAsia="仿宋_GB2312" w:cs="仿宋"/>
          <w:b w:val="0"/>
          <w:bCs/>
          <w:color w:val="auto"/>
          <w:sz w:val="32"/>
          <w:szCs w:val="32"/>
          <w:highlight w:val="none"/>
          <w:lang w:val="en-US" w:eastAsia="zh-CN" w:bidi="ar-SA"/>
        </w:rPr>
        <w:t xml:space="preserve">社会保障和就业（类）行政事业单位养老支出（款）机关事业单位基本养老保险缴费支出（项）: </w:t>
      </w:r>
      <w:r>
        <w:rPr>
          <w:rFonts w:hint="eastAsia" w:ascii="仿宋_GB2312" w:eastAsia="仿宋_GB2312"/>
          <w:b w:val="0"/>
          <w:bCs/>
          <w:color w:val="000000"/>
          <w:sz w:val="32"/>
          <w:szCs w:val="32"/>
          <w:lang w:eastAsia="zh-CN"/>
        </w:rPr>
        <w:t>主要用于在职在编人员基本养老保险支出</w:t>
      </w:r>
      <w:r>
        <w:rPr>
          <w:rFonts w:hint="eastAsia" w:ascii="仿宋_GB2312"/>
          <w:b w:val="0"/>
          <w:bCs/>
          <w:color w:val="000000"/>
          <w:sz w:val="32"/>
          <w:szCs w:val="32"/>
          <w:lang w:eastAsia="zh-CN"/>
        </w:rPr>
        <w:t>。</w:t>
      </w:r>
    </w:p>
    <w:p>
      <w:pPr>
        <w:pStyle w:val="7"/>
        <w:rPr>
          <w:rFonts w:hint="eastAsia"/>
          <w:lang w:eastAsia="zh-CN"/>
        </w:rPr>
      </w:pPr>
      <w:r>
        <w:rPr>
          <w:rFonts w:hint="eastAsia" w:ascii="仿宋_GB2312" w:cs="仿宋"/>
          <w:b w:val="0"/>
          <w:bCs/>
          <w:color w:val="auto"/>
          <w:sz w:val="32"/>
          <w:szCs w:val="32"/>
          <w:highlight w:val="none"/>
          <w:lang w:val="en-US" w:eastAsia="zh-CN" w:bidi="ar-SA"/>
        </w:rPr>
        <w:t>13</w:t>
      </w:r>
      <w:r>
        <w:rPr>
          <w:rFonts w:hint="eastAsia" w:ascii="仿宋_GB2312" w:eastAsia="仿宋_GB2312" w:cs="仿宋"/>
          <w:b w:val="0"/>
          <w:bCs/>
          <w:color w:val="auto"/>
          <w:sz w:val="32"/>
          <w:szCs w:val="32"/>
          <w:highlight w:val="none"/>
          <w:lang w:val="en-US" w:eastAsia="zh-CN" w:bidi="ar-SA"/>
        </w:rPr>
        <w:t xml:space="preserve">.社会保障和就业（类）行政事业单位养老支出（款）机关事业单位职业年金缴费支出（项）: </w:t>
      </w:r>
      <w:r>
        <w:rPr>
          <w:rFonts w:hint="eastAsia" w:ascii="仿宋_GB2312" w:eastAsia="仿宋_GB2312"/>
          <w:b w:val="0"/>
          <w:bCs/>
          <w:color w:val="000000"/>
          <w:sz w:val="32"/>
          <w:szCs w:val="32"/>
          <w:lang w:eastAsia="zh-CN"/>
        </w:rPr>
        <w:t>主要用于在职在编人员职业年金支出</w:t>
      </w:r>
      <w:r>
        <w:rPr>
          <w:rFonts w:hint="eastAsia" w:ascii="仿宋_GB2312" w:eastAsia="仿宋_GB2312" w:cs="仿宋"/>
          <w:b w:val="0"/>
          <w:bCs/>
          <w:color w:val="auto"/>
          <w:sz w:val="32"/>
          <w:szCs w:val="32"/>
          <w:highlight w:val="none"/>
          <w:lang w:val="en-US" w:eastAsia="zh-CN" w:bidi="ar-SA"/>
        </w:rPr>
        <w:t>。</w:t>
      </w:r>
    </w:p>
    <w:p>
      <w:pPr>
        <w:ind w:firstLine="640" w:firstLineChars="200"/>
        <w:rPr>
          <w:rFonts w:hint="eastAsia" w:ascii="仿宋_GB2312" w:eastAsia="仿宋_GB2312" w:cs="仿宋"/>
          <w:b w:val="0"/>
          <w:bCs/>
          <w:color w:val="auto"/>
          <w:sz w:val="32"/>
          <w:szCs w:val="32"/>
          <w:highlight w:val="none"/>
          <w:lang w:val="en-US" w:eastAsia="zh-CN" w:bidi="ar-SA"/>
        </w:rPr>
      </w:pPr>
      <w:r>
        <w:rPr>
          <w:rFonts w:hint="eastAsia" w:ascii="仿宋" w:eastAsia="仿宋" w:cs="仿宋"/>
          <w:sz w:val="32"/>
          <w:szCs w:val="32"/>
          <w:lang w:val="en-US" w:eastAsia="zh-CN"/>
        </w:rPr>
        <w:t>14.</w:t>
      </w:r>
      <w:r>
        <w:rPr>
          <w:rFonts w:hint="eastAsia" w:ascii="仿宋_GB2312" w:eastAsia="仿宋_GB2312" w:cs="仿宋"/>
          <w:b w:val="0"/>
          <w:bCs/>
          <w:color w:val="auto"/>
          <w:sz w:val="32"/>
          <w:szCs w:val="32"/>
          <w:highlight w:val="none"/>
          <w:lang w:val="en-US" w:eastAsia="zh-CN" w:bidi="ar-SA"/>
        </w:rPr>
        <w:t>住房保障（类）住房改革支出（款）住房公积金（项）</w:t>
      </w:r>
      <w:r>
        <w:rPr>
          <w:rFonts w:hint="eastAsia" w:ascii="仿宋" w:eastAsia="仿宋" w:cs="仿宋"/>
          <w:sz w:val="32"/>
          <w:szCs w:val="32"/>
          <w:lang w:val="en-US" w:eastAsia="zh-CN"/>
        </w:rPr>
        <w:t>：</w:t>
      </w:r>
      <w:r>
        <w:rPr>
          <w:rFonts w:hint="eastAsia" w:ascii="仿宋_GB2312" w:eastAsia="仿宋_GB2312" w:cs="仿宋"/>
          <w:b w:val="0"/>
          <w:bCs/>
          <w:color w:val="auto"/>
          <w:sz w:val="32"/>
          <w:szCs w:val="32"/>
          <w:highlight w:val="none"/>
          <w:lang w:val="en-US" w:eastAsia="zh-CN" w:bidi="ar-SA"/>
        </w:rPr>
        <w:t>反映事业单位按人力资源和社会保障部、财政部规定的基本工资和津贴补贴以及规定比例为职工缴纳的住房公积金。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项目支出：指在基本支出之外为完成特定任务和事业发展目标所发生的支出。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仿宋" w:hAnsi="仿宋" w:eastAsia="仿宋"/>
          <w:b/>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单位</w:t>
      </w:r>
      <w:r>
        <w:rPr>
          <w:rFonts w:hint="eastAsia" w:ascii="仿宋_GB2312" w:eastAsia="仿宋_GB2312"/>
          <w:color w:val="auto"/>
          <w:sz w:val="32"/>
          <w:szCs w:val="32"/>
          <w:highlight w:val="none"/>
        </w:rPr>
        <w:t>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color w:val="auto"/>
          <w:highlight w:val="none"/>
        </w:rPr>
      </w:pPr>
      <w:bookmarkStart w:id="92" w:name="_Toc15377226"/>
      <w:r>
        <w:rPr>
          <w:rFonts w:ascii="宋体"/>
          <w:b/>
          <w:color w:val="auto"/>
          <w:sz w:val="44"/>
          <w:szCs w:val="44"/>
          <w:highlight w:val="none"/>
        </w:rPr>
        <w:br w:type="page"/>
      </w:r>
      <w:bookmarkStart w:id="93" w:name="_Toc17105"/>
      <w:bookmarkStart w:id="94" w:name="_Toc15396614"/>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93"/>
      <w:bookmarkEnd w:id="94"/>
    </w:p>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tbl>
      <w:tblPr>
        <w:tblStyle w:val="15"/>
        <w:tblpPr w:leftFromText="180" w:rightFromText="180" w:vertAnchor="text" w:horzAnchor="page" w:tblpX="1307" w:tblpY="251"/>
        <w:tblOverlap w:val="never"/>
        <w:tblW w:w="9260" w:type="dxa"/>
        <w:tblInd w:w="0" w:type="dxa"/>
        <w:shd w:val="clear" w:color="auto" w:fill="auto"/>
        <w:tblLayout w:type="fixed"/>
        <w:tblCellMar>
          <w:top w:w="0" w:type="dxa"/>
          <w:left w:w="0" w:type="dxa"/>
          <w:bottom w:w="0" w:type="dxa"/>
          <w:right w:w="0" w:type="dxa"/>
        </w:tblCellMar>
      </w:tblPr>
      <w:tblGrid>
        <w:gridCol w:w="701"/>
        <w:gridCol w:w="964"/>
        <w:gridCol w:w="964"/>
        <w:gridCol w:w="964"/>
        <w:gridCol w:w="789"/>
        <w:gridCol w:w="594"/>
        <w:gridCol w:w="428"/>
        <w:gridCol w:w="964"/>
        <w:gridCol w:w="964"/>
        <w:gridCol w:w="964"/>
        <w:gridCol w:w="964"/>
      </w:tblGrid>
      <w:tr>
        <w:tblPrEx>
          <w:shd w:val="clear" w:color="auto" w:fill="auto"/>
          <w:tblCellMar>
            <w:top w:w="0" w:type="dxa"/>
            <w:left w:w="0" w:type="dxa"/>
            <w:bottom w:w="0" w:type="dxa"/>
            <w:right w:w="0" w:type="dxa"/>
          </w:tblCellMar>
        </w:tblPrEx>
        <w:trPr>
          <w:trHeight w:val="641" w:hRule="atLeast"/>
        </w:trPr>
        <w:tc>
          <w:tcPr>
            <w:tcW w:w="9260"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bookmarkStart w:id="95" w:name="_Toc15396618"/>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518"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项目名称</w:t>
            </w:r>
          </w:p>
        </w:tc>
        <w:tc>
          <w:tcPr>
            <w:tcW w:w="7595"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二类疫苗服务费</w:t>
            </w:r>
          </w:p>
        </w:tc>
      </w:tr>
      <w:tr>
        <w:tblPrEx>
          <w:tblCellMar>
            <w:top w:w="0" w:type="dxa"/>
            <w:left w:w="0" w:type="dxa"/>
            <w:bottom w:w="0" w:type="dxa"/>
            <w:right w:w="0" w:type="dxa"/>
          </w:tblCellMar>
        </w:tblPrEx>
        <w:trPr>
          <w:trHeight w:val="641"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w:t>
            </w:r>
          </w:p>
        </w:tc>
        <w:tc>
          <w:tcPr>
            <w:tcW w:w="3739"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广元市昭化区卫生健康局部门</w:t>
            </w:r>
          </w:p>
        </w:tc>
        <w:tc>
          <w:tcPr>
            <w:tcW w:w="964"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实施单位 （盖章）</w:t>
            </w: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w:t>
            </w:r>
            <w:r>
              <w:rPr>
                <w:rFonts w:hint="eastAsia" w:ascii="宋体" w:hAnsi="宋体" w:cs="宋体"/>
                <w:i w:val="0"/>
                <w:iCs w:val="0"/>
                <w:color w:val="000000"/>
                <w:kern w:val="0"/>
                <w:sz w:val="20"/>
                <w:szCs w:val="20"/>
                <w:u w:val="none"/>
                <w:lang w:val="en-US" w:eastAsia="zh-CN" w:bidi="ar"/>
              </w:rPr>
              <w:t>丁家乡</w:t>
            </w:r>
            <w:r>
              <w:rPr>
                <w:rFonts w:hint="eastAsia" w:ascii="宋体" w:hAnsi="宋体" w:eastAsia="宋体" w:cs="宋体"/>
                <w:i w:val="0"/>
                <w:iCs w:val="0"/>
                <w:color w:val="000000"/>
                <w:kern w:val="0"/>
                <w:sz w:val="20"/>
                <w:szCs w:val="20"/>
                <w:u w:val="none"/>
                <w:lang w:val="en-US" w:eastAsia="zh-CN" w:bidi="ar"/>
              </w:rPr>
              <w:t>卫生院</w:t>
            </w:r>
          </w:p>
        </w:tc>
      </w:tr>
      <w:tr>
        <w:tblPrEx>
          <w:tblCellMar>
            <w:top w:w="0" w:type="dxa"/>
            <w:left w:w="0" w:type="dxa"/>
            <w:bottom w:w="0" w:type="dxa"/>
            <w:right w:w="0" w:type="dxa"/>
          </w:tblCellMar>
        </w:tblPrEx>
        <w:trPr>
          <w:trHeight w:val="418" w:hRule="atLeast"/>
        </w:trPr>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项目基本情况</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1.项目年度目标完成情况</w:t>
            </w:r>
          </w:p>
        </w:tc>
        <w:tc>
          <w:tcPr>
            <w:tcW w:w="3739"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项目年度目标</w:t>
            </w:r>
          </w:p>
        </w:tc>
        <w:tc>
          <w:tcPr>
            <w:tcW w:w="3856"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年度目标完成情况</w:t>
            </w:r>
          </w:p>
        </w:tc>
      </w:tr>
      <w:tr>
        <w:tblPrEx>
          <w:tblCellMar>
            <w:top w:w="0" w:type="dxa"/>
            <w:left w:w="0" w:type="dxa"/>
            <w:bottom w:w="0" w:type="dxa"/>
            <w:right w:w="0" w:type="dxa"/>
          </w:tblCellMar>
        </w:tblPrEx>
        <w:trPr>
          <w:trHeight w:val="534"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739"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2.06</w:t>
            </w:r>
            <w:r>
              <w:rPr>
                <w:rFonts w:hint="eastAsia" w:ascii="宋体" w:hAnsi="宋体" w:eastAsia="宋体" w:cs="宋体"/>
                <w:i w:val="0"/>
                <w:iCs w:val="0"/>
                <w:color w:val="000000"/>
                <w:kern w:val="0"/>
                <w:sz w:val="20"/>
                <w:szCs w:val="20"/>
                <w:u w:val="none"/>
                <w:lang w:val="en-US" w:eastAsia="zh-CN" w:bidi="ar"/>
              </w:rPr>
              <w:t>万元</w:t>
            </w:r>
          </w:p>
        </w:tc>
        <w:tc>
          <w:tcPr>
            <w:tcW w:w="3856"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951"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2.项目实施内容及过程概述</w:t>
            </w:r>
          </w:p>
        </w:tc>
        <w:tc>
          <w:tcPr>
            <w:tcW w:w="7595"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CellMar>
            <w:top w:w="0" w:type="dxa"/>
            <w:left w:w="0" w:type="dxa"/>
            <w:bottom w:w="0" w:type="dxa"/>
            <w:right w:w="0" w:type="dxa"/>
          </w:tblCellMar>
        </w:tblPrEx>
        <w:trPr>
          <w:trHeight w:val="641" w:hRule="atLeast"/>
        </w:trPr>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预算执行情况（10分）</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年度预算数（万元）</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年初预算</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调整后预算数</w:t>
            </w:r>
          </w:p>
        </w:tc>
        <w:tc>
          <w:tcPr>
            <w:tcW w:w="18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预算执行数</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预算执行率</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964"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未完成原因分析</w:t>
            </w:r>
          </w:p>
        </w:tc>
      </w:tr>
      <w:tr>
        <w:tblPrEx>
          <w:tblCellMar>
            <w:top w:w="0" w:type="dxa"/>
            <w:left w:w="0" w:type="dxa"/>
            <w:bottom w:w="0" w:type="dxa"/>
            <w:right w:w="0" w:type="dxa"/>
          </w:tblCellMar>
        </w:tblPrEx>
        <w:trPr>
          <w:trHeight w:val="331"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总额</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2.06</w:t>
            </w:r>
          </w:p>
        </w:tc>
        <w:tc>
          <w:tcPr>
            <w:tcW w:w="18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2.06</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964"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641"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其中：财政资金</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2.06</w:t>
            </w:r>
          </w:p>
        </w:tc>
        <w:tc>
          <w:tcPr>
            <w:tcW w:w="18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2.06</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64"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641"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财政专户管理资金</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8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64"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331"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单位资金</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8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64"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458"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其他资金</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1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64"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0" w:type="dxa"/>
            <w:bottom w:w="0" w:type="dxa"/>
            <w:right w:w="0" w:type="dxa"/>
          </w:tblCellMar>
        </w:tblPrEx>
        <w:trPr>
          <w:trHeight w:val="975" w:hRule="atLeast"/>
        </w:trPr>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绩效指标（90分）</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一级指标</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二级指标</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指标性质</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度量单位</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完成值</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964"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458"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产出指标</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时效指标</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项目完成及时率</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90</w:t>
            </w:r>
          </w:p>
        </w:tc>
        <w:tc>
          <w:tcPr>
            <w:tcW w:w="964"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331" w:hRule="atLeast"/>
        </w:trPr>
        <w:tc>
          <w:tcPr>
            <w:tcW w:w="6368"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641"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评价结论</w:t>
            </w:r>
          </w:p>
        </w:tc>
        <w:tc>
          <w:tcPr>
            <w:tcW w:w="8559"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二类疫苗接种服务费收入全额上缴国库，纳入财政预算管理，实施效果较好</w:t>
            </w:r>
          </w:p>
        </w:tc>
      </w:tr>
      <w:tr>
        <w:tblPrEx>
          <w:tblCellMar>
            <w:top w:w="0" w:type="dxa"/>
            <w:left w:w="0" w:type="dxa"/>
            <w:bottom w:w="0" w:type="dxa"/>
            <w:right w:w="0" w:type="dxa"/>
          </w:tblCellMar>
        </w:tblPrEx>
        <w:trPr>
          <w:trHeight w:val="641"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存在问题</w:t>
            </w:r>
          </w:p>
        </w:tc>
        <w:tc>
          <w:tcPr>
            <w:tcW w:w="8559"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CellMar>
            <w:top w:w="0" w:type="dxa"/>
            <w:left w:w="0" w:type="dxa"/>
            <w:bottom w:w="0" w:type="dxa"/>
            <w:right w:w="0" w:type="dxa"/>
          </w:tblCellMar>
        </w:tblPrEx>
        <w:trPr>
          <w:trHeight w:val="641"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改进措施</w:t>
            </w:r>
          </w:p>
        </w:tc>
        <w:tc>
          <w:tcPr>
            <w:tcW w:w="8559"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CellMar>
            <w:top w:w="0" w:type="dxa"/>
            <w:left w:w="0" w:type="dxa"/>
            <w:bottom w:w="0" w:type="dxa"/>
            <w:right w:w="0" w:type="dxa"/>
          </w:tblCellMar>
        </w:tblPrEx>
        <w:trPr>
          <w:trHeight w:val="341" w:hRule="atLeast"/>
        </w:trPr>
        <w:tc>
          <w:tcPr>
            <w:tcW w:w="4382"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项目负责人：</w:t>
            </w:r>
          </w:p>
        </w:tc>
        <w:tc>
          <w:tcPr>
            <w:tcW w:w="4878"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财务负责人：</w:t>
            </w:r>
          </w:p>
        </w:tc>
      </w:tr>
    </w:tbl>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仿宋" w:hAnsi="仿宋" w:eastAsia="仿宋"/>
          <w:b w:val="0"/>
          <w:color w:val="auto"/>
          <w:highlight w:val="none"/>
        </w:rPr>
      </w:pPr>
      <w:bookmarkStart w:id="96" w:name="_Toc10056"/>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92"/>
      <w:bookmarkEnd w:id="95"/>
      <w:bookmarkEnd w:id="96"/>
      <w:bookmarkStart w:id="97" w:name="_Toc15396619"/>
    </w:p>
    <w:p>
      <w:pPr>
        <w:pStyle w:val="4"/>
        <w:rPr>
          <w:rFonts w:ascii="仿宋" w:hAnsi="仿宋" w:eastAsia="仿宋"/>
          <w:color w:val="auto"/>
          <w:highlight w:val="none"/>
        </w:rPr>
      </w:pPr>
      <w:bookmarkStart w:id="98" w:name="_Toc25519"/>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97"/>
      <w:bookmarkEnd w:id="98"/>
    </w:p>
    <w:p>
      <w:pPr>
        <w:pStyle w:val="4"/>
        <w:rPr>
          <w:rFonts w:ascii="仿宋" w:hAnsi="仿宋" w:eastAsia="仿宋"/>
          <w:color w:val="auto"/>
          <w:highlight w:val="none"/>
        </w:rPr>
      </w:pPr>
      <w:bookmarkStart w:id="99" w:name="_Toc15396620"/>
      <w:bookmarkStart w:id="100" w:name="_Toc29835"/>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99"/>
      <w:bookmarkEnd w:id="100"/>
    </w:p>
    <w:p>
      <w:pPr>
        <w:pStyle w:val="4"/>
        <w:rPr>
          <w:rFonts w:ascii="仿宋" w:hAnsi="仿宋" w:eastAsia="仿宋"/>
          <w:color w:val="auto"/>
          <w:highlight w:val="none"/>
        </w:rPr>
      </w:pPr>
      <w:bookmarkStart w:id="101" w:name="_Toc15396621"/>
      <w:bookmarkStart w:id="102" w:name="_Toc9585"/>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101"/>
      <w:bookmarkEnd w:id="102"/>
    </w:p>
    <w:p>
      <w:pPr>
        <w:pStyle w:val="4"/>
        <w:rPr>
          <w:rFonts w:ascii="仿宋" w:hAnsi="仿宋" w:eastAsia="仿宋"/>
          <w:b w:val="0"/>
          <w:color w:val="auto"/>
          <w:highlight w:val="none"/>
        </w:rPr>
      </w:pPr>
      <w:bookmarkStart w:id="103" w:name="_Toc15396622"/>
      <w:bookmarkStart w:id="104" w:name="_Toc1854"/>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103"/>
      <w:bookmarkEnd w:id="104"/>
    </w:p>
    <w:p>
      <w:pPr>
        <w:pStyle w:val="4"/>
        <w:rPr>
          <w:rStyle w:val="28"/>
          <w:rFonts w:ascii="仿宋" w:hAnsi="仿宋" w:eastAsia="仿宋"/>
          <w:b w:val="0"/>
          <w:bCs w:val="0"/>
          <w:color w:val="auto"/>
          <w:highlight w:val="none"/>
        </w:rPr>
      </w:pPr>
      <w:bookmarkStart w:id="105" w:name="_Toc15396623"/>
      <w:bookmarkStart w:id="106" w:name="_Toc26507"/>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105"/>
      <w:bookmarkEnd w:id="106"/>
      <w:bookmarkStart w:id="107" w:name="_Toc15396624"/>
    </w:p>
    <w:p>
      <w:pPr>
        <w:pStyle w:val="4"/>
        <w:rPr>
          <w:rFonts w:ascii="仿宋" w:hAnsi="仿宋" w:eastAsia="仿宋"/>
          <w:color w:val="auto"/>
          <w:highlight w:val="none"/>
        </w:rPr>
      </w:pPr>
      <w:bookmarkStart w:id="108" w:name="_Toc19452"/>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107"/>
      <w:bookmarkEnd w:id="108"/>
    </w:p>
    <w:p>
      <w:pPr>
        <w:pStyle w:val="4"/>
        <w:rPr>
          <w:rFonts w:ascii="仿宋" w:hAnsi="仿宋" w:eastAsia="仿宋"/>
          <w:color w:val="auto"/>
          <w:highlight w:val="none"/>
        </w:rPr>
      </w:pPr>
      <w:bookmarkStart w:id="109" w:name="_Toc15396625"/>
      <w:bookmarkStart w:id="110" w:name="_Toc2898"/>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109"/>
      <w:bookmarkEnd w:id="110"/>
    </w:p>
    <w:p>
      <w:pPr>
        <w:pStyle w:val="4"/>
        <w:rPr>
          <w:rFonts w:ascii="仿宋" w:hAnsi="仿宋" w:eastAsia="仿宋"/>
          <w:color w:val="auto"/>
          <w:highlight w:val="none"/>
        </w:rPr>
      </w:pPr>
      <w:bookmarkStart w:id="111" w:name="_Toc15396626"/>
      <w:bookmarkStart w:id="112" w:name="_Toc20803"/>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111"/>
      <w:bookmarkEnd w:id="112"/>
    </w:p>
    <w:p>
      <w:pPr>
        <w:pStyle w:val="4"/>
        <w:rPr>
          <w:rFonts w:ascii="仿宋" w:hAnsi="仿宋" w:eastAsia="仿宋"/>
          <w:color w:val="auto"/>
          <w:highlight w:val="none"/>
        </w:rPr>
      </w:pPr>
      <w:bookmarkStart w:id="113" w:name="_Toc15396627"/>
      <w:bookmarkStart w:id="114" w:name="_Toc21959"/>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113"/>
      <w:bookmarkEnd w:id="114"/>
    </w:p>
    <w:p>
      <w:pPr>
        <w:pStyle w:val="4"/>
        <w:rPr>
          <w:rFonts w:ascii="仿宋" w:hAnsi="仿宋" w:eastAsia="仿宋"/>
          <w:color w:val="auto"/>
          <w:highlight w:val="none"/>
        </w:rPr>
      </w:pPr>
      <w:bookmarkStart w:id="115" w:name="_Toc15396628"/>
      <w:bookmarkStart w:id="116" w:name="_Toc24227"/>
      <w:r>
        <w:rPr>
          <w:rStyle w:val="28"/>
          <w:rFonts w:hint="eastAsia" w:ascii="仿宋" w:hAnsi="仿宋" w:eastAsia="仿宋"/>
          <w:b w:val="0"/>
          <w:bCs w:val="0"/>
          <w:color w:val="auto"/>
          <w:highlight w:val="none"/>
        </w:rPr>
        <w:t>十、</w:t>
      </w:r>
      <w:bookmarkEnd w:id="115"/>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116"/>
    </w:p>
    <w:p>
      <w:pPr>
        <w:pStyle w:val="4"/>
        <w:rPr>
          <w:rFonts w:ascii="仿宋" w:hAnsi="仿宋" w:eastAsia="仿宋"/>
          <w:color w:val="auto"/>
          <w:highlight w:val="none"/>
        </w:rPr>
      </w:pPr>
      <w:bookmarkStart w:id="117" w:name="_Toc15396629"/>
      <w:bookmarkStart w:id="118" w:name="_Toc29827"/>
      <w:r>
        <w:rPr>
          <w:rStyle w:val="28"/>
          <w:rFonts w:hint="eastAsia" w:ascii="仿宋" w:hAnsi="仿宋" w:eastAsia="仿宋"/>
          <w:b w:val="0"/>
          <w:bCs w:val="0"/>
          <w:color w:val="auto"/>
          <w:highlight w:val="none"/>
        </w:rPr>
        <w:t>十一、</w:t>
      </w:r>
      <w:bookmarkEnd w:id="117"/>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118"/>
    </w:p>
    <w:p>
      <w:pPr>
        <w:pStyle w:val="4"/>
        <w:rPr>
          <w:rFonts w:ascii="仿宋" w:hAnsi="仿宋" w:eastAsia="仿宋"/>
          <w:color w:val="auto"/>
          <w:highlight w:val="none"/>
        </w:rPr>
      </w:pPr>
      <w:bookmarkStart w:id="119" w:name="_Toc15396630"/>
      <w:bookmarkStart w:id="120" w:name="_Toc1654"/>
      <w:r>
        <w:rPr>
          <w:rStyle w:val="28"/>
          <w:rFonts w:hint="eastAsia" w:ascii="仿宋" w:hAnsi="仿宋" w:eastAsia="仿宋"/>
          <w:b w:val="0"/>
          <w:bCs w:val="0"/>
          <w:color w:val="auto"/>
          <w:highlight w:val="none"/>
        </w:rPr>
        <w:t>十二、</w:t>
      </w:r>
      <w:bookmarkEnd w:id="119"/>
      <w:r>
        <w:rPr>
          <w:rStyle w:val="28"/>
          <w:rFonts w:hint="eastAsia" w:ascii="仿宋" w:hAnsi="仿宋" w:eastAsia="仿宋"/>
          <w:b w:val="0"/>
          <w:bCs w:val="0"/>
          <w:color w:val="auto"/>
          <w:highlight w:val="none"/>
          <w:lang w:eastAsia="zh-CN"/>
        </w:rPr>
        <w:t>国有资本经营预算财政拨款支出决算表</w:t>
      </w:r>
      <w:bookmarkEnd w:id="120"/>
    </w:p>
    <w:p>
      <w:pPr>
        <w:pStyle w:val="4"/>
        <w:rPr>
          <w:rFonts w:hint="eastAsia" w:eastAsia="仿宋"/>
          <w:color w:val="auto"/>
          <w:highlight w:val="none"/>
          <w:lang w:eastAsia="zh-CN"/>
        </w:rPr>
      </w:pPr>
      <w:bookmarkStart w:id="121" w:name="_Toc15396631"/>
      <w:bookmarkStart w:id="122" w:name="_Toc26389"/>
      <w:r>
        <w:rPr>
          <w:rStyle w:val="28"/>
          <w:rFonts w:hint="eastAsia" w:ascii="仿宋" w:hAnsi="仿宋" w:eastAsia="仿宋"/>
          <w:b w:val="0"/>
          <w:bCs w:val="0"/>
          <w:color w:val="auto"/>
          <w:highlight w:val="none"/>
        </w:rPr>
        <w:t>十三、</w:t>
      </w:r>
      <w:bookmarkEnd w:id="121"/>
      <w:r>
        <w:rPr>
          <w:rStyle w:val="28"/>
          <w:rFonts w:hint="eastAsia" w:ascii="仿宋" w:hAnsi="仿宋" w:eastAsia="仿宋"/>
          <w:b w:val="0"/>
          <w:bCs w:val="0"/>
          <w:color w:val="auto"/>
          <w:highlight w:val="none"/>
          <w:lang w:eastAsia="zh-CN"/>
        </w:rPr>
        <w:t>财政拨款“三公”经费支出决算表</w:t>
      </w:r>
      <w:bookmarkEnd w:id="122"/>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abstractNum w:abstractNumId="4">
    <w:nsid w:val="59CB76F6"/>
    <w:multiLevelType w:val="singleLevel"/>
    <w:tmpl w:val="59CB76F6"/>
    <w:lvl w:ilvl="0" w:tentative="0">
      <w:start w:val="2"/>
      <w:numFmt w:val="decimal"/>
      <w:lvlText w:val="%1."/>
      <w:lvlJc w:val="left"/>
      <w:pPr>
        <w:tabs>
          <w:tab w:val="left" w:pos="312"/>
        </w:tabs>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A2ZjIyZTQwZmFmZGMwZjhhNjI3NTM3OGRmY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5F22335"/>
    <w:rsid w:val="0A2032A3"/>
    <w:rsid w:val="0B8A37D8"/>
    <w:rsid w:val="0C645426"/>
    <w:rsid w:val="105C584D"/>
    <w:rsid w:val="10C055FF"/>
    <w:rsid w:val="118107EC"/>
    <w:rsid w:val="11DD6519"/>
    <w:rsid w:val="16BB723D"/>
    <w:rsid w:val="16FA659C"/>
    <w:rsid w:val="18015F3F"/>
    <w:rsid w:val="194D47E1"/>
    <w:rsid w:val="1BE8440E"/>
    <w:rsid w:val="1D155CEE"/>
    <w:rsid w:val="20584239"/>
    <w:rsid w:val="20F57F95"/>
    <w:rsid w:val="240371BF"/>
    <w:rsid w:val="25711CC6"/>
    <w:rsid w:val="25C741E6"/>
    <w:rsid w:val="26DD19FE"/>
    <w:rsid w:val="27842671"/>
    <w:rsid w:val="29FD04D3"/>
    <w:rsid w:val="2ABE7A3E"/>
    <w:rsid w:val="2CA234A8"/>
    <w:rsid w:val="2EFA178C"/>
    <w:rsid w:val="2F1A0BD6"/>
    <w:rsid w:val="30B46D73"/>
    <w:rsid w:val="319F7F4E"/>
    <w:rsid w:val="34B525AA"/>
    <w:rsid w:val="383D272C"/>
    <w:rsid w:val="39AE70AB"/>
    <w:rsid w:val="3C0C0783"/>
    <w:rsid w:val="3F9F3A96"/>
    <w:rsid w:val="447A09D0"/>
    <w:rsid w:val="45057114"/>
    <w:rsid w:val="45230F44"/>
    <w:rsid w:val="48BF60AB"/>
    <w:rsid w:val="493C27E9"/>
    <w:rsid w:val="496F39ED"/>
    <w:rsid w:val="49FF41D3"/>
    <w:rsid w:val="4BE068DB"/>
    <w:rsid w:val="4BF6002B"/>
    <w:rsid w:val="4ECE2238"/>
    <w:rsid w:val="50A719EA"/>
    <w:rsid w:val="51DB4B86"/>
    <w:rsid w:val="55333C3E"/>
    <w:rsid w:val="58B97A73"/>
    <w:rsid w:val="5DA14CA4"/>
    <w:rsid w:val="64CA39A1"/>
    <w:rsid w:val="69630ADE"/>
    <w:rsid w:val="6C4A05C8"/>
    <w:rsid w:val="6C785B3D"/>
    <w:rsid w:val="6D3B1A89"/>
    <w:rsid w:val="71BF4EC2"/>
    <w:rsid w:val="72734D90"/>
    <w:rsid w:val="73690E84"/>
    <w:rsid w:val="7412278C"/>
    <w:rsid w:val="76BE794D"/>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99"/>
    <w:pPr>
      <w:spacing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widowControl w:val="0"/>
      <w:suppressAutoHyphens/>
    </w:pPr>
    <w:rPr>
      <w:rFonts w:ascii="Calibri" w:hAnsi="Calibri" w:eastAsia="宋体" w:cs="Times New Roman"/>
      <w:sz w:val="24"/>
      <w:szCs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4180;&#29579;&#23478;&#34382;&#36339;&#20915;&#31639;\&#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2&#24180;&#29579;&#23478;&#34382;&#36339;&#20915;&#31639;\&#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2&#24180;&#29579;&#23478;&#34382;&#36339;&#20915;&#31639;\&#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2&#24180;&#29579;&#23478;&#34382;&#36339;&#20915;&#31639;\&#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2&#24180;&#29579;&#23478;&#34382;&#36339;&#20915;&#31639;\&#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2&#24180;&#29579;&#23478;&#34382;&#36339;&#20915;&#31639;\&#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062814070352"/>
          <c:y val="0.0584502338009352"/>
          <c:w val="0.845226130653266"/>
          <c:h val="0.613694054776219"/>
        </c:manualLayout>
      </c:layout>
      <c:barChart>
        <c:barDir val="col"/>
        <c:grouping val="clustered"/>
        <c:varyColors val="0"/>
        <c:ser>
          <c:idx val="0"/>
          <c:order val="0"/>
          <c:tx>
            <c:strRef>
              <c:f>[工作簿1.xlsx]Sheet1!$A$2</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[工作簿1.xlsx]Sheet1!$B$2:$C$2</c:f>
              <c:numCache>
                <c:formatCode>0.00_ </c:formatCode>
                <c:ptCount val="2"/>
                <c:pt idx="0">
                  <c:v>131.54</c:v>
                </c:pt>
                <c:pt idx="1">
                  <c:v>131.54</c:v>
                </c:pt>
              </c:numCache>
            </c:numRef>
          </c:val>
        </c:ser>
        <c:ser>
          <c:idx val="1"/>
          <c:order val="1"/>
          <c:tx>
            <c:strRef>
              <c:f>[工作簿1.xlsx]Sheet1!$A$3</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[工作簿1.xlsx]Sheet1!$B$3:$C$3</c:f>
              <c:numCache>
                <c:formatCode>0.00_ </c:formatCode>
                <c:ptCount val="2"/>
                <c:pt idx="0">
                  <c:v>91.36</c:v>
                </c:pt>
                <c:pt idx="1">
                  <c:v>91.36</c:v>
                </c:pt>
              </c:numCache>
            </c:numRef>
          </c:val>
        </c:ser>
        <c:dLbls>
          <c:showLegendKey val="0"/>
          <c:showVal val="1"/>
          <c:showCatName val="0"/>
          <c:showSerName val="0"/>
          <c:showPercent val="0"/>
          <c:showBubbleSize val="0"/>
        </c:dLbls>
        <c:gapWidth val="65"/>
        <c:overlap val="0"/>
        <c:axId val="945988029"/>
        <c:axId val="91702100"/>
      </c:barChart>
      <c:catAx>
        <c:axId val="945988029"/>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91702100"/>
        <c:crosses val="autoZero"/>
        <c:auto val="1"/>
        <c:lblAlgn val="ctr"/>
        <c:lblOffset val="100"/>
        <c:noMultiLvlLbl val="0"/>
      </c:catAx>
      <c:valAx>
        <c:axId val="91702100"/>
        <c:scaling>
          <c:orientation val="minMax"/>
        </c:scaling>
        <c:delete val="0"/>
        <c:axPos val="l"/>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45988029"/>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78809048569528"/>
          <c:y val="0.198611111111111"/>
          <c:w val="0.938888888888889"/>
          <c:h val="0.645601851851852"/>
        </c:manualLayout>
      </c:layout>
      <c:pieChart>
        <c:varyColors val="1"/>
        <c:ser>
          <c:idx val="0"/>
          <c:order val="0"/>
          <c:spPr>
            <a:scene3d>
              <a:camera prst="orthographicFront"/>
              <a:lightRig rig="threePt" dir="t"/>
            </a:scene3d>
            <a:sp3d contourW="9525"/>
          </c:spPr>
          <c:explosion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contourW="9525"/>
            </c:spPr>
          </c:dPt>
          <c:dPt>
            <c:idx val="1"/>
            <c:bubble3D val="0"/>
            <c:explosion val="27"/>
            <c:spPr>
              <a:solidFill>
                <a:schemeClr val="accent2"/>
              </a:solidFill>
              <a:ln>
                <a:noFill/>
              </a:ln>
              <a:effectLst>
                <a:outerShdw blurRad="88900" sx="102000" sy="102000" algn="ctr" rotWithShape="0">
                  <a:prstClr val="black">
                    <a:alpha val="20000"/>
                  </a:prstClr>
                </a:outerShdw>
              </a:effectLst>
            </c:spPr>
          </c:dPt>
          <c:dPt>
            <c:idx val="2"/>
            <c:bubble3D val="0"/>
            <c:explosion val="21"/>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contourW="9525"/>
            </c:spPr>
          </c:dPt>
          <c:dLbls>
            <c:dLbl>
              <c:idx val="0"/>
              <c:layout>
                <c:manualLayout>
                  <c:x val="-0.144869234824354"/>
                  <c:y val="-0.234094799227766"/>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财政拨款收入</a:t>
                    </a:r>
                    <a:r>
                      <a:rPr lang="en-US" altLang="zh-CN">
                        <a:solidFill>
                          <a:sysClr val="windowText" lastClr="000000"/>
                        </a:solidFill>
                      </a:rPr>
                      <a:t>88.78</a:t>
                    </a:r>
                    <a:r>
                      <a:rPr>
                        <a:solidFill>
                          <a:sysClr val="windowText" lastClr="000000"/>
                        </a:solidFill>
                      </a:rPr>
                      <a:t>%</a:t>
                    </a:r>
                    <a:endParaRPr>
                      <a:solidFill>
                        <a:sysClr val="windowText" lastClr="000000"/>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03891894312822"/>
                  <c:y val="-0.13603363652989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政府性基金</a:t>
                    </a:r>
                    <a:r>
                      <a:rPr lang="en-US" altLang="zh-CN">
                        <a:solidFill>
                          <a:sysClr val="windowText" lastClr="000000"/>
                        </a:solidFill>
                      </a:rPr>
                      <a:t>6.36</a:t>
                    </a:r>
                    <a:r>
                      <a:rPr>
                        <a:solidFill>
                          <a:sysClr val="windowText" lastClr="000000"/>
                        </a:solidFill>
                      </a:rPr>
                      <a:t>%</a:t>
                    </a:r>
                    <a:endParaRPr>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2209341974917"/>
                  <c:y val="-0.0106418953524439"/>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事业收入</a:t>
                    </a:r>
                    <a:r>
                      <a:rPr lang="en-US" altLang="zh-CN">
                        <a:solidFill>
                          <a:sysClr val="windowText" lastClr="000000"/>
                        </a:solidFill>
                      </a:rPr>
                      <a:t>11.22</a:t>
                    </a:r>
                    <a:r>
                      <a:rPr>
                        <a:solidFill>
                          <a:sysClr val="windowText" lastClr="000000"/>
                        </a:solidFill>
                      </a:rPr>
                      <a:t>%</a:t>
                    </a:r>
                    <a:endParaRPr>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14305555555556"/>
                      <c:h val="0.08125"/>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[工作簿1.xlsx]Sheet1!$A$16:$A$18</c:f>
              <c:strCache>
                <c:ptCount val="3"/>
                <c:pt idx="0">
                  <c:v>财政拨款收入</c:v>
                </c:pt>
                <c:pt idx="2">
                  <c:v>事业收入</c:v>
                </c:pt>
              </c:strCache>
            </c:strRef>
          </c:cat>
          <c:val>
            <c:numRef>
              <c:f>[工作簿1.xlsx]Sheet1!$B$16:$B$18</c:f>
              <c:numCache>
                <c:formatCode>General</c:formatCode>
                <c:ptCount val="3"/>
                <c:pt idx="0">
                  <c:v>81.11</c:v>
                </c:pt>
                <c:pt idx="2">
                  <c:v>10.25</c:v>
                </c:pt>
              </c:numCache>
            </c:numRef>
          </c:val>
        </c:ser>
        <c:ser>
          <c:idx val="1"/>
          <c:order val="1"/>
          <c:spPr/>
          <c:explosion val="0"/>
          <c:dPt>
            <c:idx val="0"/>
            <c:bubble3D val="0"/>
            <c:spPr>
              <a:solidFill>
                <a:schemeClr val="accent1"/>
              </a:solidFill>
              <a:ln>
                <a:noFill/>
              </a:ln>
              <a:effectLst>
                <a:outerShdw blurRad="88900" sx="102000" sy="102000" algn="ctr" rotWithShape="0">
                  <a:prstClr val="black">
                    <a:alpha val="20000"/>
                  </a:prstClr>
                </a:outerShdw>
              </a:effectLst>
            </c:spPr>
          </c:dPt>
          <c:dPt>
            <c:idx val="1"/>
            <c:bubble3D val="0"/>
            <c:spPr>
              <a:solidFill>
                <a:schemeClr val="accent2"/>
              </a:solidFill>
              <a:ln>
                <a:noFill/>
              </a:ln>
              <a:effectLst>
                <a:outerShdw blurRad="88900" sx="102000" sy="102000" algn="ctr" rotWithShape="0">
                  <a:prstClr val="black">
                    <a:alpha val="20000"/>
                  </a:prstClr>
                </a:outerShdw>
              </a:effectLst>
            </c:spPr>
          </c:dPt>
          <c:dPt>
            <c:idx val="2"/>
            <c:bubble3D val="0"/>
            <c:spPr>
              <a:solidFill>
                <a:schemeClr val="accent3"/>
              </a:solidFill>
              <a:ln>
                <a:noFill/>
              </a:ln>
              <a:effectLst>
                <a:outerShdw blurRad="88900" sx="102000" sy="102000" algn="ctr" rotWithShape="0">
                  <a:prstClr val="black">
                    <a:alpha val="20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[工作簿1.xlsx]Sheet1!$A$16:$A$18</c:f>
              <c:strCache>
                <c:ptCount val="3"/>
                <c:pt idx="0">
                  <c:v>财政拨款收入</c:v>
                </c:pt>
                <c:pt idx="2">
                  <c:v>事业收入</c:v>
                </c:pt>
              </c:strCache>
            </c:strRef>
          </c:cat>
          <c:val>
            <c:numRef>
              <c:f>[工作簿1.xlsx]Sheet1!$C$16:$C$18</c:f>
              <c:numCache>
                <c:formatCode>0.00%</c:formatCode>
                <c:ptCount val="3"/>
                <c:pt idx="0">
                  <c:v>0.763</c:v>
                </c:pt>
                <c:pt idx="2">
                  <c:v>0.3616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delete val="1"/>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pattFill prst="pct5">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44611528822055"/>
          <c:y val="0.22005376907467"/>
          <c:w val="0.915413533834586"/>
          <c:h val="0.601553166069295"/>
        </c:manualLayout>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explosion val="25"/>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manualLayout>
                  <c:x val="-0.156409031369495"/>
                  <c:y val="-0.248957853835562"/>
                </c:manualLayout>
              </c:layout>
              <c:tx>
                <c:rich>
                  <a:bodyPr rot="0" spcFirstLastPara="0" vertOverflow="ellipsis" vert="horz" wrap="none" lIns="38100" tIns="19050" rIns="38100" bIns="19050" anchor="ctr" anchorCtr="1">
                    <a:spAutoFit/>
                  </a:bodyPr>
                  <a:lstStyle/>
                  <a:p>
                    <a:pPr defTabSz="914400">
                      <a:defRPr lang="zh-CN" sz="900" b="1" i="0" u="none" strike="noStrike" kern="1200" baseline="0">
                        <a:solidFill>
                          <a:schemeClr val="tx1">
                            <a:lumMod val="75000"/>
                            <a:lumOff val="25000"/>
                          </a:schemeClr>
                        </a:solidFill>
                        <a:latin typeface="+mn-lt"/>
                        <a:ea typeface="+mn-ea"/>
                        <a:cs typeface="+mn-cs"/>
                      </a:defRPr>
                    </a:pPr>
                    <a:r>
                      <a:rPr b="1"/>
                      <a:t>基本支出</a:t>
                    </a:r>
                    <a:r>
                      <a:rPr lang="en-US" altLang="zh-CN" b="1"/>
                      <a:t>97.75%</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0629451607910172"/>
                  <c:y val="0.060682834549975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项目支出</a:t>
                    </a:r>
                    <a:r>
                      <a:rPr lang="en-US" altLang="zh-CN" b="1"/>
                      <a:t>2.25%</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pt idx="1">
                  <c:v>项目支出</c:v>
                </c:pt>
              </c:strCache>
            </c:strRef>
          </c:cat>
          <c:val>
            <c:numRef>
              <c:f>[工作簿1.xlsx]Sheet1!$B$29:$B$31</c:f>
              <c:numCache>
                <c:formatCode>General</c:formatCode>
                <c:ptCount val="3"/>
                <c:pt idx="0">
                  <c:v>89.3</c:v>
                </c:pt>
                <c:pt idx="1">
                  <c:v>2.06</c:v>
                </c:pt>
              </c:numCache>
            </c:numRef>
          </c:val>
        </c:ser>
        <c:ser>
          <c:idx val="1"/>
          <c:order val="1"/>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pt idx="1">
                  <c:v>项目支出</c:v>
                </c:pt>
              </c:strCache>
            </c:strRef>
          </c:cat>
          <c:val>
            <c:numRef>
              <c:f>[工作簿1.xlsx]Sheet1!$C$29:$C$31</c:f>
              <c:numCache>
                <c:formatCode>0.00%</c:formatCode>
                <c:ptCount val="3"/>
                <c:pt idx="0">
                  <c:v>0.706</c:v>
                </c:pt>
                <c:pt idx="1">
                  <c:v>0.294</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58846215651615"/>
          <c:y val="0.315463165572575"/>
          <c:w val="0.929294552466656"/>
          <c:h val="0.57819110138585"/>
        </c:manualLayout>
      </c:layout>
      <c:barChart>
        <c:barDir val="col"/>
        <c:grouping val="clustered"/>
        <c:varyColors val="0"/>
        <c:ser>
          <c:idx val="0"/>
          <c:order val="0"/>
          <c:tx>
            <c:strRef>
              <c:f>[工作簿1.xlsx]Sheet1!$A$39</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[工作簿1.xlsx]Sheet1!$B$39:$C$39</c:f>
              <c:numCache>
                <c:formatCode>General</c:formatCode>
                <c:ptCount val="2"/>
                <c:pt idx="0">
                  <c:v>111.74</c:v>
                </c:pt>
                <c:pt idx="1">
                  <c:v>111.74</c:v>
                </c:pt>
              </c:numCache>
            </c:numRef>
          </c:val>
        </c:ser>
        <c:ser>
          <c:idx val="1"/>
          <c:order val="1"/>
          <c:tx>
            <c:strRef>
              <c:f>[工作簿1.xlsx]Sheet1!$A$40</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[工作簿1.xlsx]Sheet1!$B$40:$C$40</c:f>
              <c:numCache>
                <c:formatCode>General</c:formatCode>
                <c:ptCount val="2"/>
                <c:pt idx="0">
                  <c:v>81.11</c:v>
                </c:pt>
                <c:pt idx="1">
                  <c:v>81.11</c:v>
                </c:pt>
              </c:numCache>
            </c:numRef>
          </c:val>
        </c:ser>
        <c:dLbls>
          <c:showLegendKey val="0"/>
          <c:showVal val="1"/>
          <c:showCatName val="0"/>
          <c:showSerName val="0"/>
          <c:showPercent val="0"/>
          <c:showBubbleSize val="0"/>
        </c:dLbls>
        <c:gapWidth val="65"/>
        <c:overlap val="0"/>
        <c:axId val="104436688"/>
        <c:axId val="38368975"/>
      </c:barChart>
      <c:catAx>
        <c:axId val="10443668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38368975"/>
        <c:crosses val="autoZero"/>
        <c:auto val="1"/>
        <c:lblAlgn val="ctr"/>
        <c:lblOffset val="100"/>
        <c:noMultiLvlLbl val="0"/>
      </c:catAx>
      <c:valAx>
        <c:axId val="3836897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1044366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53807106598985"/>
          <c:y val="0.0851851851851852"/>
          <c:w val="0.920232052211748"/>
          <c:h val="0.755111111111111"/>
        </c:manualLayout>
      </c:layout>
      <c:barChart>
        <c:barDir val="col"/>
        <c:grouping val="stacked"/>
        <c:varyColors val="0"/>
        <c:ser>
          <c:idx val="0"/>
          <c:order val="0"/>
          <c:spPr>
            <a:solidFill>
              <a:schemeClr val="accent1"/>
            </a:solidFill>
            <a:ln>
              <a:noFill/>
            </a:ln>
            <a:effectLst/>
          </c:spPr>
          <c:invertIfNegative val="0"/>
          <c:dLbls>
            <c:dLbl>
              <c:idx val="1"/>
              <c:layout>
                <c:manualLayout>
                  <c:x val="-0.00963661915278057"/>
                  <c:y val="-0.09583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[工作簿1.xlsx]Sheet1!$A$62:$A$63</c:f>
              <c:strCache>
                <c:ptCount val="2"/>
                <c:pt idx="0">
                  <c:v>2021年</c:v>
                </c:pt>
                <c:pt idx="1">
                  <c:v>2022年</c:v>
                </c:pt>
              </c:strCache>
            </c:strRef>
          </c:cat>
          <c:val>
            <c:numRef>
              <c:f>[工作簿1.xlsx]Sheet1!$B$62:$B$63</c:f>
              <c:numCache>
                <c:formatCode>General</c:formatCode>
                <c:ptCount val="2"/>
                <c:pt idx="0">
                  <c:v>111.74</c:v>
                </c:pt>
                <c:pt idx="1">
                  <c:v>79.05</c:v>
                </c:pt>
              </c:numCache>
            </c:numRef>
          </c:val>
        </c:ser>
        <c:dLbls>
          <c:showLegendKey val="0"/>
          <c:showVal val="1"/>
          <c:showCatName val="0"/>
          <c:showSerName val="0"/>
          <c:showPercent val="0"/>
          <c:showBubbleSize val="0"/>
        </c:dLbls>
        <c:gapWidth val="79"/>
        <c:overlap val="100"/>
        <c:axId val="254435126"/>
        <c:axId val="298260806"/>
      </c:barChart>
      <c:catAx>
        <c:axId val="25443512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98260806"/>
        <c:crosses val="autoZero"/>
        <c:auto val="1"/>
        <c:lblAlgn val="ctr"/>
        <c:lblOffset val="100"/>
        <c:noMultiLvlLbl val="0"/>
      </c:catAx>
      <c:valAx>
        <c:axId val="29826080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43512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04709345106696"/>
          <c:y val="0.0467836257309941"/>
          <c:w val="0.611111111111111"/>
          <c:h val="0.871345029239766"/>
        </c:manualLayout>
      </c:layout>
      <c:pieChart>
        <c:varyColors val="1"/>
        <c:ser>
          <c:idx val="0"/>
          <c:order val="0"/>
          <c:spPr>
            <a:scene3d>
              <a:camera prst="orthographicFront"/>
              <a:lightRig rig="threePt" dir="t"/>
            </a:scene3d>
            <a:sp3d contourW="9525"/>
          </c:spPr>
          <c:explosion val="0"/>
          <c:dPt>
            <c:idx val="0"/>
            <c:bubble3D val="0"/>
            <c:explosion val="11"/>
            <c:spPr>
              <a:solidFill>
                <a:schemeClr val="accent1"/>
              </a:solidFill>
              <a:ln>
                <a:noFill/>
              </a:ln>
              <a:effectLst>
                <a:outerShdw blurRad="254000" sx="102000" sy="102000" algn="ctr" rotWithShape="0">
                  <a:prstClr val="black">
                    <a:alpha val="20000"/>
                  </a:prstClr>
                </a:outerShdw>
              </a:effectLst>
            </c:spPr>
          </c:dPt>
          <c:dPt>
            <c:idx val="1"/>
            <c:bubble3D val="0"/>
            <c:explosion val="42"/>
            <c:spPr>
              <a:solidFill>
                <a:schemeClr val="accent2"/>
              </a:solidFill>
              <a:ln>
                <a:noFill/>
              </a:ln>
              <a:effectLst>
                <a:outerShdw blurRad="254000" sx="102000" sy="102000" algn="ctr" rotWithShape="0">
                  <a:prstClr val="black">
                    <a:alpha val="20000"/>
                  </a:prstClr>
                </a:outerShdw>
              </a:effectLst>
            </c:spPr>
          </c:dPt>
          <c:dPt>
            <c:idx val="2"/>
            <c:bubble3D val="0"/>
            <c:explosion val="19"/>
            <c:spPr>
              <a:solidFill>
                <a:schemeClr val="accent3"/>
              </a:solidFill>
              <a:ln>
                <a:noFill/>
              </a:ln>
              <a:effectLst>
                <a:outerShdw blurRad="254000" sx="102000" sy="102000" algn="ctr" rotWithShape="0">
                  <a:prstClr val="black">
                    <a:alpha val="20000"/>
                  </a:prstClr>
                </a:outerShdw>
              </a:effectLst>
            </c:spPr>
          </c:dPt>
          <c:dLbls>
            <c:dLbl>
              <c:idx val="0"/>
              <c:layout>
                <c:manualLayout>
                  <c:x val="0.0466706326195523"/>
                  <c:y val="0"/>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社会保障和就业（类）支出</a:t>
                    </a:r>
                    <a:r>
                      <a:rPr lang="en-US" altLang="zh-CN">
                        <a:solidFill>
                          <a:sysClr val="windowText" lastClr="000000"/>
                        </a:solidFill>
                      </a:rPr>
                      <a:t>17.01</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02520252025203"/>
                      <c:h val="0.270760233918129"/>
                    </c:manualLayout>
                  </c15:layout>
                </c:ext>
              </c:extLst>
            </c:dLbl>
            <c:dLbl>
              <c:idx val="1"/>
              <c:layout>
                <c:manualLayout>
                  <c:x val="0.0712115005100662"/>
                  <c:y val="-0.321915878330287"/>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卫生健康支出</a:t>
                    </a:r>
                    <a:r>
                      <a:rPr lang="en-US" altLang="zh-CN">
                        <a:solidFill>
                          <a:sysClr val="windowText" lastClr="000000"/>
                        </a:solidFill>
                      </a:rPr>
                      <a:t>73.81</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64760013243475"/>
                  <c:y val="0.0189554732416128"/>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住房保障支出</a:t>
                    </a:r>
                    <a:r>
                      <a:rPr lang="en-US" altLang="zh-CN">
                        <a:solidFill>
                          <a:sysClr val="windowText" lastClr="000000"/>
                        </a:solidFill>
                      </a:rPr>
                      <a:t>9.18</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[工作簿1.xlsx]Sheet1!$B$54:$B$56</c:f>
              <c:numCache>
                <c:formatCode>General</c:formatCode>
                <c:ptCount val="3"/>
                <c:pt idx="0">
                  <c:v>13.45</c:v>
                </c:pt>
                <c:pt idx="1">
                  <c:v>58.35</c:v>
                </c:pt>
                <c:pt idx="2">
                  <c:v>7.26</c:v>
                </c:pt>
              </c:numCache>
            </c:numRef>
          </c:val>
        </c:ser>
        <c:ser>
          <c:idx val="1"/>
          <c:order val="1"/>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[工作簿1.xlsx]Sheet1!$C$54:$C$56</c:f>
              <c:numCache>
                <c:formatCode>0.00%</c:formatCode>
                <c:ptCount val="3"/>
                <c:pt idx="0">
                  <c:v>0.0762</c:v>
                </c:pt>
                <c:pt idx="1">
                  <c:v>0.8505</c:v>
                </c:pt>
                <c:pt idx="2">
                  <c:v>0.0733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692939531632296"/>
          <c:y val="0.224448315911731"/>
          <c:w val="0.301468018175463"/>
          <c:h val="0.55952380952381"/>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2023-09-28T09:04:51Z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12E45F36CB8646BB8C1036CF06119BD1_13</vt:lpwstr>
  </property>
</Properties>
</file>