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600" w:lineRule="exact"/>
        <w:jc w:val="left"/>
        <w:outlineLvl w:val="9"/>
        <w:rPr>
          <w:rFonts w:ascii="方正小标宋简体" w:hAnsi="宋体" w:eastAsia="方正小标宋简体"/>
          <w:color w:val="auto"/>
          <w:sz w:val="21"/>
          <w:szCs w:val="21"/>
          <w:highlight w:val="none"/>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26095"/>
      <w:bookmarkStart w:id="2" w:name="_Toc6301"/>
      <w:bookmarkStart w:id="3" w:name="_Toc15378441"/>
      <w:bookmarkStart w:id="4" w:name="_Toc15175"/>
      <w:bookmarkStart w:id="5" w:name="_Toc15377425"/>
      <w:bookmarkStart w:id="6" w:name="_Toc15396475"/>
      <w:bookmarkStart w:id="7" w:name="_Toc15377193"/>
      <w:bookmarkStart w:id="8"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bookmarkEnd w:id="8"/>
    </w:p>
    <w:bookmarkEnd w:id="0"/>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9" w:name="_Toc5982"/>
      <w:bookmarkStart w:id="10" w:name="_Toc15378442"/>
      <w:bookmarkStart w:id="11" w:name="_Toc15377194"/>
      <w:bookmarkStart w:id="12" w:name="_Toc15396476"/>
      <w:bookmarkStart w:id="13" w:name="_Toc15377426"/>
      <w:bookmarkStart w:id="14" w:name="_Toc15306268"/>
      <w:bookmarkStart w:id="15" w:name="_Toc24903"/>
      <w:bookmarkStart w:id="16" w:name="_Toc15396598"/>
      <w:bookmarkStart w:id="17" w:name="_Toc12532"/>
      <w:r>
        <w:rPr>
          <w:rFonts w:hint="eastAsia" w:ascii="方正小标宋简体" w:hAnsi="方正小标宋简体" w:eastAsia="方正小标宋简体" w:cs="方正小标宋简体"/>
          <w:color w:val="auto"/>
          <w:sz w:val="72"/>
          <w:szCs w:val="72"/>
          <w:highlight w:val="none"/>
          <w:lang w:val="en-US" w:eastAsia="zh-CN"/>
        </w:rPr>
        <w:t>广元市昭化区卫生健康局（局本级）</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9"/>
      <w:bookmarkEnd w:id="10"/>
      <w:bookmarkEnd w:id="11"/>
      <w:bookmarkEnd w:id="12"/>
      <w:bookmarkEnd w:id="13"/>
      <w:bookmarkEnd w:id="14"/>
      <w:bookmarkEnd w:id="15"/>
      <w:bookmarkEnd w:id="16"/>
      <w:bookmarkEnd w:id="17"/>
    </w:p>
    <w:p>
      <w:pPr>
        <w:widowControl/>
        <w:jc w:val="center"/>
        <w:rPr>
          <w:rFonts w:hint="eastAsia" w:ascii="黑体" w:hAnsi="黑体" w:eastAsia="黑体"/>
          <w:color w:val="auto"/>
          <w:sz w:val="52"/>
          <w:szCs w:val="52"/>
          <w:highlight w:val="none"/>
        </w:rPr>
        <w:sectPr>
          <w:headerReference r:id="rId3" w:type="default"/>
          <w:pgSz w:w="11906" w:h="16838"/>
          <w:pgMar w:top="1440" w:right="1800" w:bottom="1440" w:left="1800" w:header="851" w:footer="992" w:gutter="0"/>
          <w:pgNumType w:fmt="decimal" w:start="1"/>
          <w:cols w:space="425" w:num="1"/>
          <w:titlePg/>
          <w:docGrid w:type="lines" w:linePitch="312" w:charSpace="0"/>
        </w:sectPr>
      </w:pPr>
    </w:p>
    <w:p>
      <w:pPr>
        <w:widowControl/>
        <w:jc w:val="center"/>
        <w:rPr>
          <w:rFonts w:ascii="黑体" w:hAnsi="黑体" w:eastAsia="黑体"/>
          <w:color w:val="auto"/>
          <w:sz w:val="52"/>
          <w:szCs w:val="52"/>
          <w:highlight w:val="none"/>
        </w:rPr>
      </w:pPr>
      <w:r>
        <w:rPr>
          <w:rFonts w:hint="eastAsia" w:ascii="黑体" w:hAnsi="黑体" w:eastAsia="黑体"/>
          <w:color w:val="auto"/>
          <w:sz w:val="52"/>
          <w:szCs w:val="52"/>
          <w:highlight w:val="none"/>
        </w:rPr>
        <w:t>目</w:t>
      </w:r>
      <w:r>
        <w:rPr>
          <w:rFonts w:hint="eastAsia" w:ascii="黑体" w:hAnsi="黑体" w:eastAsia="黑体"/>
          <w:color w:val="auto"/>
          <w:sz w:val="52"/>
          <w:szCs w:val="52"/>
          <w:highlight w:val="none"/>
          <w:lang w:val="en-US" w:eastAsia="zh-CN"/>
        </w:rPr>
        <w:t xml:space="preserve"> </w:t>
      </w:r>
      <w:r>
        <w:rPr>
          <w:rFonts w:hint="eastAsia" w:ascii="黑体" w:hAnsi="黑体" w:eastAsia="黑体"/>
          <w:color w:val="auto"/>
          <w:sz w:val="52"/>
          <w:szCs w:val="52"/>
          <w:highlight w:val="none"/>
        </w:rPr>
        <w:t>录</w:t>
      </w:r>
    </w:p>
    <w:p>
      <w:pPr>
        <w:pStyle w:val="12"/>
        <w:jc w:val="center"/>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28</w:t>
      </w:r>
      <w:r>
        <w:rPr>
          <w:rFonts w:hint="eastAsia"/>
          <w:color w:val="auto"/>
          <w:highlight w:val="none"/>
        </w:rPr>
        <w:t>日</w:t>
      </w:r>
    </w:p>
    <w:sdt>
      <w:sdtPr>
        <w:rPr>
          <w:rFonts w:ascii="宋体" w:hAnsi="宋体" w:eastAsia="宋体" w:cs="Times New Roman"/>
          <w:kern w:val="2"/>
          <w:sz w:val="21"/>
          <w:szCs w:val="24"/>
          <w:lang w:val="en-US" w:eastAsia="zh-CN" w:bidi="ar-SA"/>
        </w:rPr>
        <w:id w:val="147460940"/>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r>
            <w:fldChar w:fldCharType="begin"/>
          </w:r>
          <w:r>
            <w:instrText xml:space="preserve">TOC \o "1-3" \h \u </w:instrText>
          </w:r>
          <w:r>
            <w:fldChar w:fldCharType="separate"/>
          </w:r>
        </w:p>
        <w:p>
          <w:pPr>
            <w:pStyle w:val="12"/>
            <w:tabs>
              <w:tab w:val="right" w:leader="dot" w:pos="8306"/>
              <w:tab w:val="clear" w:pos="8296"/>
            </w:tabs>
          </w:pPr>
          <w:r>
            <w:fldChar w:fldCharType="begin"/>
          </w:r>
          <w:r>
            <w:instrText xml:space="preserve"> HYPERLINK \l _Toc17682 </w:instrText>
          </w:r>
          <w:r>
            <w:fldChar w:fldCharType="separate"/>
          </w:r>
          <w:r>
            <w:rPr>
              <w:rFonts w:hint="eastAsia" w:ascii="黑体" w:hAnsi="黑体" w:eastAsia="黑体"/>
              <w:highlight w:val="none"/>
            </w:rPr>
            <w:t xml:space="preserve">第一部分 </w:t>
          </w:r>
          <w:r>
            <w:rPr>
              <w:rFonts w:hint="eastAsia" w:ascii="黑体" w:hAnsi="黑体" w:eastAsia="黑体"/>
              <w:highlight w:val="none"/>
              <w:lang w:eastAsia="zh-CN"/>
            </w:rPr>
            <w:t>单位</w:t>
          </w:r>
          <w:r>
            <w:rPr>
              <w:rFonts w:hint="eastAsia" w:ascii="黑体" w:hAnsi="黑体" w:eastAsia="黑体"/>
              <w:bCs w:val="0"/>
              <w:highlight w:val="none"/>
            </w:rPr>
            <w:t>概况</w:t>
          </w:r>
          <w:r>
            <w:tab/>
          </w:r>
          <w:r>
            <w:fldChar w:fldCharType="begin"/>
          </w:r>
          <w:r>
            <w:instrText xml:space="preserve"> PAGEREF _Toc17682 \h </w:instrText>
          </w:r>
          <w:r>
            <w:fldChar w:fldCharType="separate"/>
          </w:r>
          <w:r>
            <w:t>1</w:t>
          </w:r>
          <w:r>
            <w:fldChar w:fldCharType="end"/>
          </w:r>
          <w:r>
            <w:fldChar w:fldCharType="end"/>
          </w:r>
        </w:p>
        <w:p>
          <w:pPr>
            <w:pStyle w:val="13"/>
            <w:tabs>
              <w:tab w:val="right" w:leader="dot" w:pos="8306"/>
              <w:tab w:val="clear" w:pos="8296"/>
            </w:tabs>
          </w:pPr>
          <w:r>
            <w:fldChar w:fldCharType="begin"/>
          </w:r>
          <w:r>
            <w:instrText xml:space="preserve"> HYPERLINK \l _Toc16700 </w:instrText>
          </w:r>
          <w:r>
            <w:fldChar w:fldCharType="separate"/>
          </w:r>
          <w:r>
            <w:rPr>
              <w:rFonts w:hint="eastAsia" w:ascii="Times New Roman" w:hAnsi="Times New Roman" w:eastAsia="楷体_GB2312" w:cs="楷体_GB2312"/>
              <w:bCs w:val="0"/>
              <w:szCs w:val="32"/>
              <w:lang w:val="en-US" w:eastAsia="zh-CN"/>
            </w:rPr>
            <w:t xml:space="preserve">一、 </w:t>
          </w:r>
          <w:r>
            <w:rPr>
              <w:rFonts w:hint="eastAsia" w:ascii="黑体" w:hAnsi="黑体" w:eastAsia="黑体"/>
              <w:bCs w:val="0"/>
              <w:highlight w:val="none"/>
              <w:lang w:eastAsia="zh-CN"/>
            </w:rPr>
            <w:t>主要职责</w:t>
          </w:r>
          <w:r>
            <w:tab/>
          </w:r>
          <w:r>
            <w:fldChar w:fldCharType="begin"/>
          </w:r>
          <w:r>
            <w:instrText xml:space="preserve"> PAGEREF _Toc16700 \h </w:instrText>
          </w:r>
          <w:r>
            <w:fldChar w:fldCharType="separate"/>
          </w:r>
          <w:r>
            <w:t>1</w:t>
          </w:r>
          <w:r>
            <w:fldChar w:fldCharType="end"/>
          </w:r>
          <w:r>
            <w:fldChar w:fldCharType="end"/>
          </w:r>
        </w:p>
        <w:p>
          <w:pPr>
            <w:pStyle w:val="13"/>
            <w:tabs>
              <w:tab w:val="right" w:leader="dot" w:pos="8306"/>
              <w:tab w:val="clear" w:pos="8296"/>
            </w:tabs>
          </w:pPr>
          <w:r>
            <w:fldChar w:fldCharType="begin"/>
          </w:r>
          <w:r>
            <w:instrText xml:space="preserve"> HYPERLINK \l _Toc28191 </w:instrText>
          </w:r>
          <w:r>
            <w:fldChar w:fldCharType="separate"/>
          </w:r>
          <w:r>
            <w:rPr>
              <w:rFonts w:hint="eastAsia" w:ascii="黑体" w:eastAsia="黑体"/>
              <w:highlight w:val="none"/>
            </w:rPr>
            <w:t>二、</w:t>
          </w:r>
          <w:r>
            <w:rPr>
              <w:rFonts w:hint="eastAsia" w:ascii="黑体" w:hAnsi="黑体" w:eastAsia="黑体"/>
              <w:highlight w:val="none"/>
            </w:rPr>
            <w:t>机</w:t>
          </w:r>
          <w:r>
            <w:rPr>
              <w:rFonts w:hint="eastAsia" w:ascii="黑体" w:hAnsi="黑体" w:eastAsia="黑体"/>
              <w:bCs w:val="0"/>
              <w:highlight w:val="none"/>
            </w:rPr>
            <w:t>构设置</w:t>
          </w:r>
          <w:r>
            <w:tab/>
          </w:r>
          <w:r>
            <w:fldChar w:fldCharType="begin"/>
          </w:r>
          <w:r>
            <w:instrText xml:space="preserve"> PAGEREF _Toc28191 \h </w:instrText>
          </w:r>
          <w:r>
            <w:fldChar w:fldCharType="separate"/>
          </w:r>
          <w:r>
            <w:t>3</w:t>
          </w:r>
          <w:r>
            <w:fldChar w:fldCharType="end"/>
          </w:r>
          <w:r>
            <w:fldChar w:fldCharType="end"/>
          </w:r>
        </w:p>
        <w:p>
          <w:pPr>
            <w:pStyle w:val="12"/>
            <w:tabs>
              <w:tab w:val="right" w:leader="dot" w:pos="8306"/>
              <w:tab w:val="clear" w:pos="8296"/>
            </w:tabs>
          </w:pPr>
          <w:r>
            <w:fldChar w:fldCharType="begin"/>
          </w:r>
          <w:r>
            <w:instrText xml:space="preserve"> HYPERLINK \l _Toc18584 </w:instrText>
          </w:r>
          <w:r>
            <w:fldChar w:fldCharType="separate"/>
          </w:r>
          <w:r>
            <w:rPr>
              <w:rFonts w:hint="eastAsia" w:ascii="黑体" w:hAnsi="黑体" w:eastAsia="黑体"/>
              <w:highlight w:val="none"/>
            </w:rPr>
            <w:t xml:space="preserve">第二部分 </w:t>
          </w:r>
          <w:r>
            <w:rPr>
              <w:rFonts w:hint="eastAsia" w:ascii="黑体" w:hAnsi="黑体" w:eastAsia="黑体"/>
              <w:highlight w:val="none"/>
              <w:lang w:val="en-US" w:eastAsia="zh-CN"/>
            </w:rPr>
            <w:t>2022年度</w:t>
          </w:r>
          <w:r>
            <w:rPr>
              <w:rFonts w:hint="eastAsia" w:ascii="黑体" w:hAnsi="黑体" w:eastAsia="黑体"/>
              <w:highlight w:val="none"/>
              <w:lang w:eastAsia="zh-CN"/>
            </w:rPr>
            <w:t>单位</w:t>
          </w:r>
          <w:r>
            <w:rPr>
              <w:rFonts w:hint="eastAsia" w:ascii="黑体" w:hAnsi="黑体" w:eastAsia="黑体"/>
              <w:highlight w:val="none"/>
            </w:rPr>
            <w:t>决算情况说明</w:t>
          </w:r>
          <w:r>
            <w:tab/>
          </w:r>
          <w:r>
            <w:fldChar w:fldCharType="begin"/>
          </w:r>
          <w:r>
            <w:instrText xml:space="preserve"> PAGEREF _Toc18584 \h </w:instrText>
          </w:r>
          <w:r>
            <w:fldChar w:fldCharType="separate"/>
          </w:r>
          <w:r>
            <w:t>6</w:t>
          </w:r>
          <w:r>
            <w:fldChar w:fldCharType="end"/>
          </w:r>
          <w:r>
            <w:fldChar w:fldCharType="end"/>
          </w:r>
        </w:p>
        <w:p>
          <w:pPr>
            <w:pStyle w:val="13"/>
            <w:tabs>
              <w:tab w:val="right" w:leader="dot" w:pos="8306"/>
              <w:tab w:val="clear" w:pos="8296"/>
            </w:tabs>
          </w:pPr>
          <w:r>
            <w:fldChar w:fldCharType="begin"/>
          </w:r>
          <w:r>
            <w:instrText xml:space="preserve"> HYPERLINK \l _Toc8191 </w:instrText>
          </w:r>
          <w:r>
            <w:fldChar w:fldCharType="separate"/>
          </w:r>
          <w:r>
            <w:rPr>
              <w:rFonts w:hint="eastAsia" w:ascii="黑体" w:hAnsi="黑体" w:eastAsia="黑体"/>
              <w:szCs w:val="32"/>
              <w:highlight w:val="none"/>
              <w:lang w:val="en-US" w:eastAsia="zh-CN"/>
            </w:rPr>
            <w:t>一、</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_Toc8191 \h </w:instrText>
          </w:r>
          <w:r>
            <w:fldChar w:fldCharType="separate"/>
          </w:r>
          <w:r>
            <w:t>6</w:t>
          </w:r>
          <w:r>
            <w:fldChar w:fldCharType="end"/>
          </w:r>
          <w:r>
            <w:fldChar w:fldCharType="end"/>
          </w:r>
        </w:p>
        <w:p>
          <w:pPr>
            <w:pStyle w:val="13"/>
            <w:tabs>
              <w:tab w:val="right" w:leader="dot" w:pos="8306"/>
              <w:tab w:val="clear" w:pos="8296"/>
            </w:tabs>
          </w:pPr>
          <w:r>
            <w:fldChar w:fldCharType="begin"/>
          </w:r>
          <w:r>
            <w:instrText xml:space="preserve"> HYPERLINK \l _Toc257 </w:instrText>
          </w:r>
          <w:r>
            <w:fldChar w:fldCharType="separate"/>
          </w:r>
          <w:r>
            <w:rPr>
              <w:rFonts w:hint="eastAsia" w:ascii="黑体" w:hAnsi="黑体" w:eastAsia="黑体"/>
              <w:szCs w:val="32"/>
              <w:highlight w:val="none"/>
              <w:lang w:val="en-US" w:eastAsia="zh-CN"/>
            </w:rPr>
            <w:t>二、</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_Toc257 \h </w:instrText>
          </w:r>
          <w:r>
            <w:fldChar w:fldCharType="separate"/>
          </w:r>
          <w:r>
            <w:t>6</w:t>
          </w:r>
          <w:r>
            <w:fldChar w:fldCharType="end"/>
          </w:r>
          <w:r>
            <w:fldChar w:fldCharType="end"/>
          </w:r>
        </w:p>
        <w:p>
          <w:pPr>
            <w:pStyle w:val="13"/>
            <w:tabs>
              <w:tab w:val="right" w:leader="dot" w:pos="8306"/>
              <w:tab w:val="clear" w:pos="8296"/>
            </w:tabs>
          </w:pPr>
          <w:r>
            <w:fldChar w:fldCharType="begin"/>
          </w:r>
          <w:r>
            <w:instrText xml:space="preserve"> HYPERLINK \l _Toc11195 </w:instrText>
          </w:r>
          <w:r>
            <w:fldChar w:fldCharType="separate"/>
          </w:r>
          <w:r>
            <w:rPr>
              <w:rFonts w:hint="eastAsia" w:ascii="黑体" w:hAnsi="黑体" w:eastAsia="黑体"/>
              <w:szCs w:val="32"/>
              <w:highlight w:val="none"/>
              <w:lang w:val="en-US" w:eastAsia="zh-CN"/>
            </w:rPr>
            <w:t>三、</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_Toc11195 \h </w:instrText>
          </w:r>
          <w:r>
            <w:fldChar w:fldCharType="separate"/>
          </w:r>
          <w:r>
            <w:t>7</w:t>
          </w:r>
          <w:r>
            <w:fldChar w:fldCharType="end"/>
          </w:r>
          <w:r>
            <w:fldChar w:fldCharType="end"/>
          </w:r>
        </w:p>
        <w:p>
          <w:pPr>
            <w:pStyle w:val="13"/>
            <w:tabs>
              <w:tab w:val="right" w:leader="dot" w:pos="8306"/>
              <w:tab w:val="clear" w:pos="8296"/>
            </w:tabs>
          </w:pPr>
          <w:r>
            <w:fldChar w:fldCharType="begin"/>
          </w:r>
          <w:r>
            <w:instrText xml:space="preserve"> HYPERLINK \l _Toc12352 </w:instrText>
          </w:r>
          <w: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_Toc12352 \h </w:instrText>
          </w:r>
          <w:r>
            <w:fldChar w:fldCharType="separate"/>
          </w:r>
          <w:r>
            <w:t>7</w:t>
          </w:r>
          <w:r>
            <w:fldChar w:fldCharType="end"/>
          </w:r>
          <w:r>
            <w:fldChar w:fldCharType="end"/>
          </w:r>
        </w:p>
        <w:p>
          <w:pPr>
            <w:pStyle w:val="13"/>
            <w:tabs>
              <w:tab w:val="right" w:leader="dot" w:pos="8306"/>
              <w:tab w:val="clear" w:pos="8296"/>
            </w:tabs>
          </w:pPr>
          <w:r>
            <w:fldChar w:fldCharType="begin"/>
          </w:r>
          <w:r>
            <w:instrText xml:space="preserve"> HYPERLINK \l _Toc18267 </w:instrText>
          </w:r>
          <w: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_Toc18267 \h </w:instrText>
          </w:r>
          <w:r>
            <w:fldChar w:fldCharType="separate"/>
          </w:r>
          <w:r>
            <w:t>8</w:t>
          </w:r>
          <w:r>
            <w:fldChar w:fldCharType="end"/>
          </w:r>
          <w:r>
            <w:fldChar w:fldCharType="end"/>
          </w:r>
        </w:p>
        <w:p>
          <w:pPr>
            <w:pStyle w:val="13"/>
            <w:tabs>
              <w:tab w:val="right" w:leader="dot" w:pos="8306"/>
              <w:tab w:val="clear" w:pos="8296"/>
            </w:tabs>
          </w:pPr>
          <w:r>
            <w:fldChar w:fldCharType="begin"/>
          </w:r>
          <w:r>
            <w:instrText xml:space="preserve"> HYPERLINK \l _Toc24315 </w:instrText>
          </w:r>
          <w: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_Toc24315 \h </w:instrText>
          </w:r>
          <w:r>
            <w:fldChar w:fldCharType="separate"/>
          </w:r>
          <w:r>
            <w:t>13</w:t>
          </w:r>
          <w:r>
            <w:fldChar w:fldCharType="end"/>
          </w:r>
          <w:r>
            <w:fldChar w:fldCharType="end"/>
          </w:r>
        </w:p>
        <w:p>
          <w:pPr>
            <w:pStyle w:val="13"/>
            <w:tabs>
              <w:tab w:val="right" w:leader="dot" w:pos="8306"/>
              <w:tab w:val="clear" w:pos="8296"/>
            </w:tabs>
          </w:pPr>
          <w:r>
            <w:fldChar w:fldCharType="begin"/>
          </w:r>
          <w:r>
            <w:instrText xml:space="preserve"> HYPERLINK \l _Toc11055 </w:instrText>
          </w:r>
          <w:r>
            <w:fldChar w:fldCharType="separate"/>
          </w:r>
          <w:r>
            <w:rPr>
              <w:rFonts w:hint="eastAsia" w:ascii="黑体" w:eastAsia="黑体"/>
              <w:szCs w:val="32"/>
              <w:highlight w:val="none"/>
            </w:rPr>
            <w:t>七、</w:t>
          </w:r>
          <w:r>
            <w:rPr>
              <w:rFonts w:hint="eastAsia" w:ascii="黑体" w:hAnsi="黑体" w:eastAsia="黑体"/>
              <w:highlight w:val="none"/>
            </w:rPr>
            <w:t>财政拨款“三公”经费支出决算情况说明</w:t>
          </w:r>
          <w:r>
            <w:tab/>
          </w:r>
          <w:r>
            <w:fldChar w:fldCharType="begin"/>
          </w:r>
          <w:r>
            <w:instrText xml:space="preserve"> PAGEREF _Toc11055 \h </w:instrText>
          </w:r>
          <w:r>
            <w:fldChar w:fldCharType="separate"/>
          </w:r>
          <w:r>
            <w:t>13</w:t>
          </w:r>
          <w:r>
            <w:fldChar w:fldCharType="end"/>
          </w:r>
          <w:r>
            <w:fldChar w:fldCharType="end"/>
          </w:r>
        </w:p>
        <w:p>
          <w:pPr>
            <w:pStyle w:val="13"/>
            <w:tabs>
              <w:tab w:val="right" w:leader="dot" w:pos="8306"/>
              <w:tab w:val="clear" w:pos="8296"/>
            </w:tabs>
          </w:pPr>
          <w:r>
            <w:fldChar w:fldCharType="begin"/>
          </w:r>
          <w:r>
            <w:instrText xml:space="preserve"> HYPERLINK \l _Toc15659 </w:instrText>
          </w:r>
          <w: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_Toc15659 \h </w:instrText>
          </w:r>
          <w:r>
            <w:fldChar w:fldCharType="separate"/>
          </w:r>
          <w:r>
            <w:t>15</w:t>
          </w:r>
          <w:r>
            <w:fldChar w:fldCharType="end"/>
          </w:r>
          <w:r>
            <w:fldChar w:fldCharType="end"/>
          </w:r>
        </w:p>
        <w:p>
          <w:pPr>
            <w:pStyle w:val="13"/>
            <w:tabs>
              <w:tab w:val="right" w:leader="dot" w:pos="8306"/>
              <w:tab w:val="clear" w:pos="8296"/>
            </w:tabs>
          </w:pPr>
          <w:r>
            <w:fldChar w:fldCharType="begin"/>
          </w:r>
          <w:r>
            <w:instrText xml:space="preserve"> HYPERLINK \l _Toc29902 </w:instrText>
          </w:r>
          <w:r>
            <w:fldChar w:fldCharType="separate"/>
          </w:r>
          <w:r>
            <w:rPr>
              <w:rFonts w:hint="eastAsia" w:ascii="黑体" w:hAnsi="黑体" w:eastAsia="黑体"/>
            </w:rPr>
            <w:t xml:space="preserve">九、 </w:t>
          </w:r>
          <w:r>
            <w:rPr>
              <w:rFonts w:hint="eastAsia" w:ascii="黑体" w:hAnsi="黑体" w:eastAsia="黑体"/>
              <w:highlight w:val="none"/>
            </w:rPr>
            <w:t>国有资本经营预算支出决算情况说明</w:t>
          </w:r>
          <w:r>
            <w:tab/>
          </w:r>
          <w:r>
            <w:fldChar w:fldCharType="begin"/>
          </w:r>
          <w:r>
            <w:instrText xml:space="preserve"> PAGEREF _Toc29902 \h </w:instrText>
          </w:r>
          <w:r>
            <w:fldChar w:fldCharType="separate"/>
          </w:r>
          <w:r>
            <w:t>15</w:t>
          </w:r>
          <w:r>
            <w:fldChar w:fldCharType="end"/>
          </w:r>
          <w:r>
            <w:fldChar w:fldCharType="end"/>
          </w:r>
        </w:p>
        <w:p>
          <w:pPr>
            <w:pStyle w:val="13"/>
            <w:tabs>
              <w:tab w:val="right" w:leader="dot" w:pos="8306"/>
              <w:tab w:val="clear" w:pos="8296"/>
            </w:tabs>
          </w:pPr>
          <w:r>
            <w:fldChar w:fldCharType="begin"/>
          </w:r>
          <w:r>
            <w:instrText xml:space="preserve"> HYPERLINK \l _Toc28905 </w:instrText>
          </w:r>
          <w:r>
            <w:fldChar w:fldCharType="separate"/>
          </w:r>
          <w:r>
            <w:rPr>
              <w:rFonts w:hint="eastAsia" w:ascii="黑体" w:hAnsi="黑体" w:eastAsia="黑体"/>
            </w:rPr>
            <w:t xml:space="preserve">十、 </w:t>
          </w:r>
          <w:r>
            <w:rPr>
              <w:rFonts w:hint="eastAsia" w:ascii="黑体" w:hAnsi="黑体" w:eastAsia="黑体"/>
              <w:highlight w:val="none"/>
            </w:rPr>
            <w:t>其他重要事项的情况说明</w:t>
          </w:r>
          <w:r>
            <w:tab/>
          </w:r>
          <w:r>
            <w:fldChar w:fldCharType="begin"/>
          </w:r>
          <w:r>
            <w:instrText xml:space="preserve"> PAGEREF _Toc28905 \h </w:instrText>
          </w:r>
          <w:r>
            <w:fldChar w:fldCharType="separate"/>
          </w:r>
          <w:r>
            <w:t>15</w:t>
          </w:r>
          <w:r>
            <w:fldChar w:fldCharType="end"/>
          </w:r>
          <w:r>
            <w:fldChar w:fldCharType="end"/>
          </w:r>
        </w:p>
        <w:p>
          <w:pPr>
            <w:pStyle w:val="8"/>
            <w:tabs>
              <w:tab w:val="right" w:leader="dot" w:pos="8306"/>
              <w:tab w:val="clear" w:pos="8296"/>
            </w:tabs>
          </w:pPr>
          <w:r>
            <w:fldChar w:fldCharType="begin"/>
          </w:r>
          <w:r>
            <w:instrText xml:space="preserve"> HYPERLINK \l _Toc10430 </w:instrText>
          </w:r>
          <w:r>
            <w:fldChar w:fldCharType="separate"/>
          </w:r>
          <w:r>
            <w:rPr>
              <w:rFonts w:hint="eastAsia" w:ascii="仿宋" w:hAnsi="仿宋" w:eastAsia="仿宋"/>
              <w:szCs w:val="32"/>
              <w:highlight w:val="none"/>
            </w:rPr>
            <w:t>（一）机关运行经费支出情况</w:t>
          </w:r>
          <w:r>
            <w:tab/>
          </w:r>
          <w:r>
            <w:fldChar w:fldCharType="begin"/>
          </w:r>
          <w:r>
            <w:instrText xml:space="preserve"> PAGEREF _Toc10430 \h </w:instrText>
          </w:r>
          <w:r>
            <w:fldChar w:fldCharType="separate"/>
          </w:r>
          <w:r>
            <w:t>15</w:t>
          </w:r>
          <w:r>
            <w:fldChar w:fldCharType="end"/>
          </w:r>
          <w:r>
            <w:fldChar w:fldCharType="end"/>
          </w:r>
        </w:p>
        <w:p>
          <w:pPr>
            <w:pStyle w:val="8"/>
            <w:tabs>
              <w:tab w:val="right" w:leader="dot" w:pos="8306"/>
              <w:tab w:val="clear" w:pos="8296"/>
            </w:tabs>
          </w:pPr>
          <w:r>
            <w:fldChar w:fldCharType="begin"/>
          </w:r>
          <w:r>
            <w:instrText xml:space="preserve"> HYPERLINK \l _Toc32063 </w:instrText>
          </w:r>
          <w:r>
            <w:fldChar w:fldCharType="separate"/>
          </w:r>
          <w:r>
            <w:rPr>
              <w:rFonts w:hint="eastAsia" w:ascii="仿宋" w:hAnsi="仿宋" w:eastAsia="仿宋"/>
              <w:szCs w:val="32"/>
              <w:highlight w:val="none"/>
            </w:rPr>
            <w:t>（二）政府采购支出情况</w:t>
          </w:r>
          <w:r>
            <w:tab/>
          </w:r>
          <w:r>
            <w:fldChar w:fldCharType="begin"/>
          </w:r>
          <w:r>
            <w:instrText xml:space="preserve"> PAGEREF _Toc32063 \h </w:instrText>
          </w:r>
          <w:r>
            <w:fldChar w:fldCharType="separate"/>
          </w:r>
          <w:r>
            <w:t>15</w:t>
          </w:r>
          <w:r>
            <w:fldChar w:fldCharType="end"/>
          </w:r>
          <w:r>
            <w:fldChar w:fldCharType="end"/>
          </w:r>
        </w:p>
        <w:p>
          <w:pPr>
            <w:pStyle w:val="8"/>
            <w:tabs>
              <w:tab w:val="right" w:leader="dot" w:pos="8306"/>
              <w:tab w:val="clear" w:pos="8296"/>
            </w:tabs>
          </w:pPr>
          <w:r>
            <w:fldChar w:fldCharType="begin"/>
          </w:r>
          <w:r>
            <w:instrText xml:space="preserve"> HYPERLINK \l _Toc19054 </w:instrText>
          </w:r>
          <w:r>
            <w:fldChar w:fldCharType="separate"/>
          </w:r>
          <w:r>
            <w:rPr>
              <w:rFonts w:hint="eastAsia" w:ascii="仿宋" w:hAnsi="仿宋" w:eastAsia="仿宋"/>
              <w:szCs w:val="32"/>
              <w:highlight w:val="none"/>
            </w:rPr>
            <w:t>（三）国有资产占有使用情况</w:t>
          </w:r>
          <w:r>
            <w:tab/>
          </w:r>
          <w:r>
            <w:fldChar w:fldCharType="begin"/>
          </w:r>
          <w:r>
            <w:instrText xml:space="preserve"> PAGEREF _Toc19054 \h </w:instrText>
          </w:r>
          <w:r>
            <w:fldChar w:fldCharType="separate"/>
          </w:r>
          <w:r>
            <w:t>15</w:t>
          </w:r>
          <w:r>
            <w:fldChar w:fldCharType="end"/>
          </w:r>
          <w:r>
            <w:fldChar w:fldCharType="end"/>
          </w:r>
        </w:p>
        <w:p>
          <w:pPr>
            <w:pStyle w:val="8"/>
            <w:tabs>
              <w:tab w:val="right" w:leader="dot" w:pos="8306"/>
              <w:tab w:val="clear" w:pos="8296"/>
            </w:tabs>
          </w:pPr>
          <w:r>
            <w:fldChar w:fldCharType="begin"/>
          </w:r>
          <w:r>
            <w:instrText xml:space="preserve"> HYPERLINK \l _Toc1726 </w:instrText>
          </w:r>
          <w:r>
            <w:fldChar w:fldCharType="separate"/>
          </w:r>
          <w:r>
            <w:rPr>
              <w:rFonts w:hint="eastAsia" w:ascii="仿宋" w:hAnsi="仿宋" w:eastAsia="仿宋"/>
              <w:szCs w:val="32"/>
              <w:highlight w:val="none"/>
            </w:rPr>
            <w:t>（四）预算绩效管理情况</w:t>
          </w:r>
          <w:r>
            <w:tab/>
          </w:r>
          <w:r>
            <w:fldChar w:fldCharType="begin"/>
          </w:r>
          <w:r>
            <w:instrText xml:space="preserve"> PAGEREF _Toc1726 \h </w:instrText>
          </w:r>
          <w:r>
            <w:fldChar w:fldCharType="separate"/>
          </w:r>
          <w:r>
            <w:t>16</w:t>
          </w:r>
          <w:r>
            <w:fldChar w:fldCharType="end"/>
          </w:r>
          <w:r>
            <w:fldChar w:fldCharType="end"/>
          </w:r>
        </w:p>
        <w:p>
          <w:pPr>
            <w:pStyle w:val="12"/>
            <w:tabs>
              <w:tab w:val="right" w:leader="dot" w:pos="8306"/>
              <w:tab w:val="clear" w:pos="8296"/>
            </w:tabs>
          </w:pPr>
          <w:r>
            <w:fldChar w:fldCharType="begin"/>
          </w:r>
          <w:r>
            <w:instrText xml:space="preserve"> HYPERLINK \l _Toc6754 </w:instrText>
          </w:r>
          <w:r>
            <w:fldChar w:fldCharType="separate"/>
          </w:r>
          <w:r>
            <w:rPr>
              <w:rFonts w:hint="eastAsia" w:ascii="黑体" w:hAnsi="黑体" w:eastAsia="黑体"/>
              <w:szCs w:val="44"/>
              <w:highlight w:val="none"/>
              <w:lang w:val="en-US" w:eastAsia="zh-CN"/>
            </w:rPr>
            <w:t xml:space="preserve">第三部分  </w:t>
          </w:r>
          <w:r>
            <w:rPr>
              <w:rFonts w:hint="eastAsia" w:ascii="黑体" w:hAnsi="黑体" w:eastAsia="黑体"/>
              <w:szCs w:val="44"/>
              <w:highlight w:val="none"/>
            </w:rPr>
            <w:t>名</w:t>
          </w:r>
          <w:r>
            <w:rPr>
              <w:rFonts w:hint="eastAsia" w:ascii="黑体" w:hAnsi="黑体" w:eastAsia="黑体"/>
              <w:highlight w:val="none"/>
            </w:rPr>
            <w:t>词解释</w:t>
          </w:r>
          <w:r>
            <w:tab/>
          </w:r>
          <w:r>
            <w:fldChar w:fldCharType="begin"/>
          </w:r>
          <w:r>
            <w:instrText xml:space="preserve"> PAGEREF _Toc6754 \h </w:instrText>
          </w:r>
          <w:r>
            <w:fldChar w:fldCharType="separate"/>
          </w:r>
          <w:r>
            <w:t>17</w:t>
          </w:r>
          <w:r>
            <w:fldChar w:fldCharType="end"/>
          </w:r>
          <w:r>
            <w:fldChar w:fldCharType="end"/>
          </w:r>
        </w:p>
        <w:p>
          <w:pPr>
            <w:pStyle w:val="12"/>
            <w:tabs>
              <w:tab w:val="right" w:leader="dot" w:pos="8306"/>
              <w:tab w:val="clear" w:pos="8296"/>
            </w:tabs>
          </w:pPr>
          <w:r>
            <w:fldChar w:fldCharType="begin"/>
          </w:r>
          <w:r>
            <w:instrText xml:space="preserve"> HYPERLINK \l _Toc10544 </w:instrText>
          </w:r>
          <w:r>
            <w:fldChar w:fldCharType="separate"/>
          </w:r>
          <w:r>
            <w:rPr>
              <w:rFonts w:hint="eastAsia" w:ascii="黑体" w:hAnsi="黑体" w:eastAsia="黑体"/>
              <w:szCs w:val="44"/>
              <w:highlight w:val="none"/>
            </w:rPr>
            <w:t>第</w:t>
          </w:r>
          <w:r>
            <w:rPr>
              <w:rFonts w:hint="eastAsia" w:ascii="黑体" w:hAnsi="黑体" w:eastAsia="黑体"/>
              <w:highlight w:val="none"/>
            </w:rPr>
            <w:t>四部分 附件</w:t>
          </w:r>
          <w:r>
            <w:tab/>
          </w:r>
          <w:r>
            <w:fldChar w:fldCharType="begin"/>
          </w:r>
          <w:r>
            <w:instrText xml:space="preserve"> PAGEREF _Toc10544 \h </w:instrText>
          </w:r>
          <w:r>
            <w:fldChar w:fldCharType="separate"/>
          </w:r>
          <w:r>
            <w:t>17</w:t>
          </w:r>
          <w:r>
            <w:fldChar w:fldCharType="end"/>
          </w:r>
          <w:r>
            <w:fldChar w:fldCharType="end"/>
          </w:r>
        </w:p>
        <w:p>
          <w:pPr>
            <w:pStyle w:val="12"/>
            <w:tabs>
              <w:tab w:val="right" w:leader="dot" w:pos="8306"/>
              <w:tab w:val="clear" w:pos="8296"/>
            </w:tabs>
          </w:pPr>
          <w:r>
            <w:fldChar w:fldCharType="begin"/>
          </w:r>
          <w:r>
            <w:instrText xml:space="preserve"> HYPERLINK \l _Toc30025 </w:instrText>
          </w:r>
          <w:r>
            <w:fldChar w:fldCharType="separate"/>
          </w:r>
          <w:r>
            <w:rPr>
              <w:rFonts w:hint="eastAsia" w:ascii="黑体" w:hAnsi="黑体" w:eastAsia="黑体"/>
              <w:szCs w:val="44"/>
              <w:highlight w:val="none"/>
              <w:lang w:val="en-US" w:eastAsia="zh-CN"/>
            </w:rPr>
            <w:t xml:space="preserve">第五部分 </w:t>
          </w:r>
          <w:r>
            <w:rPr>
              <w:rFonts w:hint="eastAsia" w:ascii="黑体" w:hAnsi="黑体" w:eastAsia="黑体"/>
              <w:szCs w:val="44"/>
              <w:highlight w:val="none"/>
            </w:rPr>
            <w:t>附表</w:t>
          </w:r>
          <w:r>
            <w:tab/>
          </w:r>
          <w:r>
            <w:fldChar w:fldCharType="begin"/>
          </w:r>
          <w:r>
            <w:instrText xml:space="preserve"> PAGEREF _Toc30025 \h </w:instrText>
          </w:r>
          <w:r>
            <w:fldChar w:fldCharType="separate"/>
          </w:r>
          <w:r>
            <w:t>46</w:t>
          </w:r>
          <w:r>
            <w:fldChar w:fldCharType="end"/>
          </w:r>
          <w:r>
            <w:fldChar w:fldCharType="end"/>
          </w:r>
        </w:p>
        <w:p>
          <w:pPr>
            <w:pStyle w:val="13"/>
            <w:tabs>
              <w:tab w:val="right" w:leader="dot" w:pos="8306"/>
              <w:tab w:val="clear" w:pos="8296"/>
            </w:tabs>
          </w:pPr>
          <w:r>
            <w:fldChar w:fldCharType="begin"/>
          </w:r>
          <w:r>
            <w:instrText xml:space="preserve"> HYPERLINK \l _Toc26212 </w:instrText>
          </w:r>
          <w:r>
            <w:fldChar w:fldCharType="separate"/>
          </w:r>
          <w:r>
            <w:rPr>
              <w:rFonts w:hint="eastAsia" w:ascii="仿宋" w:hAnsi="仿宋" w:eastAsia="仿宋"/>
              <w:bCs w:val="0"/>
              <w:highlight w:val="none"/>
              <w:lang w:val="en-US" w:eastAsia="zh-CN"/>
            </w:rPr>
            <w:t>一、</w:t>
          </w:r>
          <w:r>
            <w:rPr>
              <w:rFonts w:hint="eastAsia" w:ascii="仿宋" w:hAnsi="仿宋" w:eastAsia="仿宋"/>
              <w:bCs w:val="0"/>
              <w:highlight w:val="none"/>
            </w:rPr>
            <w:t>收入支出决算总表</w:t>
          </w:r>
          <w:r>
            <w:tab/>
          </w:r>
          <w:r>
            <w:fldChar w:fldCharType="begin"/>
          </w:r>
          <w:r>
            <w:instrText xml:space="preserve"> PAGEREF _Toc26212 \h </w:instrText>
          </w:r>
          <w:r>
            <w:fldChar w:fldCharType="separate"/>
          </w:r>
          <w:r>
            <w:t>46</w:t>
          </w:r>
          <w:r>
            <w:fldChar w:fldCharType="end"/>
          </w:r>
          <w:r>
            <w:fldChar w:fldCharType="end"/>
          </w:r>
        </w:p>
        <w:p>
          <w:pPr>
            <w:pStyle w:val="13"/>
            <w:tabs>
              <w:tab w:val="right" w:leader="dot" w:pos="8306"/>
              <w:tab w:val="clear" w:pos="8296"/>
            </w:tabs>
          </w:pPr>
          <w:r>
            <w:fldChar w:fldCharType="begin"/>
          </w:r>
          <w:r>
            <w:instrText xml:space="preserve"> HYPERLINK \l _Toc5645 </w:instrText>
          </w:r>
          <w:r>
            <w:fldChar w:fldCharType="separate"/>
          </w:r>
          <w:r>
            <w:rPr>
              <w:rFonts w:hint="eastAsia" w:ascii="仿宋" w:hAnsi="仿宋" w:eastAsia="仿宋"/>
              <w:bCs w:val="0"/>
              <w:highlight w:val="none"/>
              <w:lang w:val="en-US" w:eastAsia="zh-CN"/>
            </w:rPr>
            <w:t>二、</w:t>
          </w:r>
          <w:r>
            <w:rPr>
              <w:rFonts w:hint="eastAsia" w:ascii="仿宋" w:hAnsi="仿宋" w:eastAsia="仿宋"/>
              <w:bCs w:val="0"/>
              <w:highlight w:val="none"/>
            </w:rPr>
            <w:t>收入决算表</w:t>
          </w:r>
          <w:r>
            <w:tab/>
          </w:r>
          <w:r>
            <w:fldChar w:fldCharType="begin"/>
          </w:r>
          <w:r>
            <w:instrText xml:space="preserve"> PAGEREF _Toc5645 \h </w:instrText>
          </w:r>
          <w:r>
            <w:fldChar w:fldCharType="separate"/>
          </w:r>
          <w:r>
            <w:t>46</w:t>
          </w:r>
          <w:r>
            <w:fldChar w:fldCharType="end"/>
          </w:r>
          <w:r>
            <w:fldChar w:fldCharType="end"/>
          </w:r>
        </w:p>
        <w:p>
          <w:pPr>
            <w:pStyle w:val="13"/>
            <w:tabs>
              <w:tab w:val="right" w:leader="dot" w:pos="8306"/>
              <w:tab w:val="clear" w:pos="8296"/>
            </w:tabs>
          </w:pPr>
          <w:r>
            <w:fldChar w:fldCharType="begin"/>
          </w:r>
          <w:r>
            <w:instrText xml:space="preserve"> HYPERLINK \l _Toc13458 </w:instrText>
          </w:r>
          <w:r>
            <w:fldChar w:fldCharType="separate"/>
          </w:r>
          <w:r>
            <w:rPr>
              <w:rFonts w:hint="eastAsia" w:ascii="仿宋" w:hAnsi="仿宋" w:eastAsia="仿宋"/>
              <w:bCs w:val="0"/>
              <w:highlight w:val="none"/>
              <w:lang w:val="en-US" w:eastAsia="zh-CN"/>
            </w:rPr>
            <w:t>三、</w:t>
          </w:r>
          <w:r>
            <w:rPr>
              <w:rFonts w:hint="eastAsia" w:ascii="仿宋" w:hAnsi="仿宋" w:eastAsia="仿宋"/>
              <w:bCs w:val="0"/>
              <w:highlight w:val="none"/>
            </w:rPr>
            <w:t>支出决算表</w:t>
          </w:r>
          <w:r>
            <w:tab/>
          </w:r>
          <w:r>
            <w:fldChar w:fldCharType="begin"/>
          </w:r>
          <w:r>
            <w:instrText xml:space="preserve"> PAGEREF _Toc13458 \h </w:instrText>
          </w:r>
          <w:r>
            <w:fldChar w:fldCharType="separate"/>
          </w:r>
          <w:r>
            <w:t>46</w:t>
          </w:r>
          <w:r>
            <w:fldChar w:fldCharType="end"/>
          </w:r>
          <w:r>
            <w:fldChar w:fldCharType="end"/>
          </w:r>
        </w:p>
        <w:p>
          <w:pPr>
            <w:pStyle w:val="13"/>
            <w:tabs>
              <w:tab w:val="right" w:leader="dot" w:pos="8306"/>
              <w:tab w:val="clear" w:pos="8296"/>
            </w:tabs>
          </w:pPr>
          <w:r>
            <w:fldChar w:fldCharType="begin"/>
          </w:r>
          <w:r>
            <w:instrText xml:space="preserve"> HYPERLINK \l _Toc27956 </w:instrText>
          </w:r>
          <w:r>
            <w:fldChar w:fldCharType="separate"/>
          </w:r>
          <w:r>
            <w:rPr>
              <w:rFonts w:hint="eastAsia" w:ascii="仿宋" w:hAnsi="仿宋" w:eastAsia="仿宋"/>
              <w:bCs w:val="0"/>
              <w:highlight w:val="none"/>
              <w:lang w:val="en-US" w:eastAsia="zh-CN"/>
            </w:rPr>
            <w:t>四、</w:t>
          </w:r>
          <w:r>
            <w:rPr>
              <w:rFonts w:hint="eastAsia" w:ascii="仿宋" w:hAnsi="仿宋" w:eastAsia="仿宋"/>
              <w:bCs w:val="0"/>
              <w:highlight w:val="none"/>
            </w:rPr>
            <w:t>财政拨款收入支出决算总表</w:t>
          </w:r>
          <w:r>
            <w:tab/>
          </w:r>
          <w:r>
            <w:fldChar w:fldCharType="begin"/>
          </w:r>
          <w:r>
            <w:instrText xml:space="preserve"> PAGEREF _Toc27956 \h </w:instrText>
          </w:r>
          <w:r>
            <w:fldChar w:fldCharType="separate"/>
          </w:r>
          <w:r>
            <w:t>46</w:t>
          </w:r>
          <w:r>
            <w:fldChar w:fldCharType="end"/>
          </w:r>
          <w:r>
            <w:fldChar w:fldCharType="end"/>
          </w:r>
        </w:p>
        <w:p>
          <w:pPr>
            <w:pStyle w:val="13"/>
            <w:tabs>
              <w:tab w:val="right" w:leader="dot" w:pos="8306"/>
              <w:tab w:val="clear" w:pos="8296"/>
            </w:tabs>
          </w:pPr>
          <w:r>
            <w:fldChar w:fldCharType="begin"/>
          </w:r>
          <w:r>
            <w:instrText xml:space="preserve"> HYPERLINK \l _Toc28843 </w:instrText>
          </w:r>
          <w:r>
            <w:fldChar w:fldCharType="separate"/>
          </w:r>
          <w:r>
            <w:rPr>
              <w:rFonts w:hint="eastAsia" w:ascii="仿宋" w:hAnsi="仿宋" w:eastAsia="仿宋"/>
              <w:bCs w:val="0"/>
              <w:highlight w:val="none"/>
            </w:rPr>
            <w:t>五、财政拨款支出决算明细表</w:t>
          </w:r>
          <w:r>
            <w:tab/>
          </w:r>
          <w:r>
            <w:fldChar w:fldCharType="begin"/>
          </w:r>
          <w:r>
            <w:instrText xml:space="preserve"> PAGEREF _Toc28843 \h </w:instrText>
          </w:r>
          <w:r>
            <w:fldChar w:fldCharType="separate"/>
          </w:r>
          <w:r>
            <w:t>46</w:t>
          </w:r>
          <w:r>
            <w:fldChar w:fldCharType="end"/>
          </w:r>
          <w:r>
            <w:fldChar w:fldCharType="end"/>
          </w:r>
        </w:p>
        <w:p>
          <w:pPr>
            <w:pStyle w:val="13"/>
            <w:tabs>
              <w:tab w:val="right" w:leader="dot" w:pos="8306"/>
              <w:tab w:val="clear" w:pos="8296"/>
            </w:tabs>
          </w:pPr>
          <w:r>
            <w:fldChar w:fldCharType="begin"/>
          </w:r>
          <w:r>
            <w:instrText xml:space="preserve"> HYPERLINK \l _Toc24676 </w:instrText>
          </w:r>
          <w:r>
            <w:fldChar w:fldCharType="separate"/>
          </w:r>
          <w:r>
            <w:rPr>
              <w:rFonts w:hint="eastAsia" w:ascii="仿宋" w:hAnsi="仿宋" w:eastAsia="仿宋"/>
              <w:bCs w:val="0"/>
              <w:highlight w:val="none"/>
            </w:rPr>
            <w:t>六、一般公共预算财政拨款支出决算表</w:t>
          </w:r>
          <w:r>
            <w:tab/>
          </w:r>
          <w:r>
            <w:fldChar w:fldCharType="begin"/>
          </w:r>
          <w:r>
            <w:instrText xml:space="preserve"> PAGEREF _Toc24676 \h </w:instrText>
          </w:r>
          <w:r>
            <w:fldChar w:fldCharType="separate"/>
          </w:r>
          <w:r>
            <w:t>46</w:t>
          </w:r>
          <w:r>
            <w:fldChar w:fldCharType="end"/>
          </w:r>
          <w:r>
            <w:fldChar w:fldCharType="end"/>
          </w:r>
        </w:p>
        <w:p>
          <w:pPr>
            <w:pStyle w:val="13"/>
            <w:tabs>
              <w:tab w:val="right" w:leader="dot" w:pos="8306"/>
              <w:tab w:val="clear" w:pos="8296"/>
            </w:tabs>
          </w:pPr>
          <w:r>
            <w:fldChar w:fldCharType="begin"/>
          </w:r>
          <w:r>
            <w:instrText xml:space="preserve"> HYPERLINK \l _Toc23626 </w:instrText>
          </w:r>
          <w:r>
            <w:fldChar w:fldCharType="separate"/>
          </w:r>
          <w:r>
            <w:rPr>
              <w:rFonts w:hint="eastAsia" w:ascii="仿宋" w:hAnsi="仿宋" w:eastAsia="仿宋"/>
              <w:bCs w:val="0"/>
              <w:highlight w:val="none"/>
              <w:lang w:val="en-US" w:eastAsia="zh-CN"/>
            </w:rPr>
            <w:t>七</w:t>
          </w:r>
          <w:r>
            <w:rPr>
              <w:rFonts w:hint="eastAsia" w:ascii="仿宋" w:hAnsi="仿宋" w:eastAsia="仿宋"/>
              <w:bCs w:val="0"/>
              <w:highlight w:val="none"/>
            </w:rPr>
            <w:t>、一般公共预算财政拨款支出决算明细表</w:t>
          </w:r>
          <w:r>
            <w:tab/>
          </w:r>
          <w:r>
            <w:fldChar w:fldCharType="begin"/>
          </w:r>
          <w:r>
            <w:instrText xml:space="preserve"> PAGEREF _Toc23626 \h </w:instrText>
          </w:r>
          <w:r>
            <w:fldChar w:fldCharType="separate"/>
          </w:r>
          <w:r>
            <w:t>46</w:t>
          </w:r>
          <w:r>
            <w:fldChar w:fldCharType="end"/>
          </w:r>
          <w:r>
            <w:fldChar w:fldCharType="end"/>
          </w:r>
        </w:p>
        <w:p>
          <w:pPr>
            <w:pStyle w:val="13"/>
            <w:tabs>
              <w:tab w:val="right" w:leader="dot" w:pos="8306"/>
              <w:tab w:val="clear" w:pos="8296"/>
            </w:tabs>
          </w:pPr>
          <w:r>
            <w:fldChar w:fldCharType="begin"/>
          </w:r>
          <w:r>
            <w:instrText xml:space="preserve"> HYPERLINK \l _Toc6935 </w:instrText>
          </w:r>
          <w:r>
            <w:fldChar w:fldCharType="separate"/>
          </w:r>
          <w:r>
            <w:rPr>
              <w:rFonts w:hint="eastAsia" w:ascii="仿宋" w:hAnsi="仿宋" w:eastAsia="仿宋"/>
              <w:bCs w:val="0"/>
              <w:highlight w:val="none"/>
              <w:lang w:val="en-US" w:eastAsia="zh-CN"/>
            </w:rPr>
            <w:t>八</w:t>
          </w:r>
          <w:r>
            <w:rPr>
              <w:rFonts w:hint="eastAsia" w:ascii="仿宋" w:hAnsi="仿宋" w:eastAsia="仿宋"/>
              <w:bCs w:val="0"/>
              <w:highlight w:val="none"/>
            </w:rPr>
            <w:t>、一般公共预算财政拨款基本支出决算表</w:t>
          </w:r>
          <w:r>
            <w:tab/>
          </w:r>
          <w:r>
            <w:fldChar w:fldCharType="begin"/>
          </w:r>
          <w:r>
            <w:instrText xml:space="preserve"> PAGEREF _Toc6935 \h </w:instrText>
          </w:r>
          <w:r>
            <w:fldChar w:fldCharType="separate"/>
          </w:r>
          <w:r>
            <w:t>46</w:t>
          </w:r>
          <w:r>
            <w:fldChar w:fldCharType="end"/>
          </w:r>
          <w:r>
            <w:fldChar w:fldCharType="end"/>
          </w:r>
        </w:p>
        <w:p>
          <w:pPr>
            <w:pStyle w:val="13"/>
            <w:tabs>
              <w:tab w:val="right" w:leader="dot" w:pos="8306"/>
              <w:tab w:val="clear" w:pos="8296"/>
            </w:tabs>
          </w:pPr>
          <w:r>
            <w:fldChar w:fldCharType="begin"/>
          </w:r>
          <w:r>
            <w:instrText xml:space="preserve"> HYPERLINK \l _Toc19498 </w:instrText>
          </w:r>
          <w:r>
            <w:fldChar w:fldCharType="separate"/>
          </w:r>
          <w:r>
            <w:rPr>
              <w:rFonts w:hint="eastAsia" w:ascii="仿宋" w:hAnsi="仿宋" w:eastAsia="仿宋"/>
              <w:bCs w:val="0"/>
              <w:highlight w:val="none"/>
            </w:rPr>
            <w:t>九、一般公共预算财政拨款项目支出决算表</w:t>
          </w:r>
          <w:r>
            <w:tab/>
          </w:r>
          <w:r>
            <w:fldChar w:fldCharType="begin"/>
          </w:r>
          <w:r>
            <w:instrText xml:space="preserve"> PAGEREF _Toc19498 \h </w:instrText>
          </w:r>
          <w:r>
            <w:fldChar w:fldCharType="separate"/>
          </w:r>
          <w:r>
            <w:t>46</w:t>
          </w:r>
          <w:r>
            <w:fldChar w:fldCharType="end"/>
          </w:r>
          <w:r>
            <w:fldChar w:fldCharType="end"/>
          </w:r>
        </w:p>
        <w:p>
          <w:pPr>
            <w:pStyle w:val="13"/>
            <w:tabs>
              <w:tab w:val="right" w:leader="dot" w:pos="8306"/>
              <w:tab w:val="clear" w:pos="8296"/>
            </w:tabs>
          </w:pPr>
          <w:r>
            <w:fldChar w:fldCharType="begin"/>
          </w:r>
          <w:r>
            <w:instrText xml:space="preserve"> HYPERLINK \l _Toc8625 </w:instrText>
          </w:r>
          <w:r>
            <w:fldChar w:fldCharType="separate"/>
          </w:r>
          <w:r>
            <w:rPr>
              <w:rFonts w:hint="eastAsia" w:ascii="仿宋" w:hAnsi="仿宋" w:eastAsia="仿宋"/>
              <w:bCs w:val="0"/>
              <w:highlight w:val="none"/>
            </w:rPr>
            <w:t>十、政府性基金预算财政拨款收入支出决算表</w:t>
          </w:r>
          <w:r>
            <w:tab/>
          </w:r>
          <w:r>
            <w:fldChar w:fldCharType="begin"/>
          </w:r>
          <w:r>
            <w:instrText xml:space="preserve"> PAGEREF _Toc8625 \h </w:instrText>
          </w:r>
          <w:r>
            <w:fldChar w:fldCharType="separate"/>
          </w:r>
          <w:r>
            <w:t>46</w:t>
          </w:r>
          <w:r>
            <w:fldChar w:fldCharType="end"/>
          </w:r>
          <w:r>
            <w:fldChar w:fldCharType="end"/>
          </w:r>
        </w:p>
        <w:p>
          <w:pPr>
            <w:pStyle w:val="13"/>
            <w:tabs>
              <w:tab w:val="right" w:leader="dot" w:pos="8306"/>
              <w:tab w:val="clear" w:pos="8296"/>
            </w:tabs>
          </w:pPr>
          <w:r>
            <w:fldChar w:fldCharType="begin"/>
          </w:r>
          <w:r>
            <w:instrText xml:space="preserve"> HYPERLINK \l _Toc4939 </w:instrText>
          </w:r>
          <w:r>
            <w:fldChar w:fldCharType="separate"/>
          </w:r>
          <w:r>
            <w:rPr>
              <w:rFonts w:hint="eastAsia" w:ascii="仿宋" w:hAnsi="仿宋" w:eastAsia="仿宋"/>
              <w:bCs w:val="0"/>
              <w:highlight w:val="none"/>
            </w:rPr>
            <w:t>十一、国有资本经营预算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_Toc4939 \h </w:instrText>
          </w:r>
          <w:r>
            <w:fldChar w:fldCharType="separate"/>
          </w:r>
          <w:r>
            <w:t>46</w:t>
          </w:r>
          <w:r>
            <w:fldChar w:fldCharType="end"/>
          </w:r>
          <w:r>
            <w:fldChar w:fldCharType="end"/>
          </w:r>
        </w:p>
        <w:p>
          <w:pPr>
            <w:pStyle w:val="13"/>
            <w:tabs>
              <w:tab w:val="right" w:leader="dot" w:pos="8306"/>
              <w:tab w:val="clear" w:pos="8296"/>
            </w:tabs>
          </w:pPr>
          <w:r>
            <w:fldChar w:fldCharType="begin"/>
          </w:r>
          <w:r>
            <w:instrText xml:space="preserve"> HYPERLINK \l _Toc8864 </w:instrText>
          </w:r>
          <w:r>
            <w:fldChar w:fldCharType="separate"/>
          </w:r>
          <w:r>
            <w:rPr>
              <w:rFonts w:hint="eastAsia" w:ascii="仿宋" w:hAnsi="仿宋" w:eastAsia="仿宋"/>
              <w:bCs w:val="0"/>
              <w:highlight w:val="none"/>
            </w:rPr>
            <w:t>十二、</w:t>
          </w:r>
          <w:r>
            <w:rPr>
              <w:rFonts w:hint="eastAsia" w:ascii="仿宋" w:hAnsi="仿宋" w:eastAsia="仿宋"/>
              <w:bCs w:val="0"/>
              <w:highlight w:val="none"/>
              <w:lang w:eastAsia="zh-CN"/>
            </w:rPr>
            <w:t>国有资本经营预算财政拨款支出决算表</w:t>
          </w:r>
          <w:r>
            <w:tab/>
          </w:r>
          <w:r>
            <w:fldChar w:fldCharType="begin"/>
          </w:r>
          <w:r>
            <w:instrText xml:space="preserve"> PAGEREF _Toc8864 \h </w:instrText>
          </w:r>
          <w:r>
            <w:fldChar w:fldCharType="separate"/>
          </w:r>
          <w:r>
            <w:t>46</w:t>
          </w:r>
          <w:r>
            <w:fldChar w:fldCharType="end"/>
          </w:r>
          <w:r>
            <w:fldChar w:fldCharType="end"/>
          </w:r>
        </w:p>
        <w:p>
          <w:pPr>
            <w:pStyle w:val="13"/>
            <w:tabs>
              <w:tab w:val="right" w:leader="dot" w:pos="8306"/>
              <w:tab w:val="clear" w:pos="8296"/>
            </w:tabs>
          </w:pPr>
          <w:r>
            <w:fldChar w:fldCharType="begin"/>
          </w:r>
          <w:r>
            <w:instrText xml:space="preserve"> HYPERLINK \l _Toc22566 </w:instrText>
          </w:r>
          <w:r>
            <w:fldChar w:fldCharType="separate"/>
          </w:r>
          <w:r>
            <w:rPr>
              <w:rFonts w:hint="eastAsia" w:ascii="仿宋" w:hAnsi="仿宋" w:eastAsia="仿宋"/>
              <w:bCs w:val="0"/>
              <w:highlight w:val="none"/>
            </w:rPr>
            <w:t>十三、</w:t>
          </w:r>
          <w:r>
            <w:rPr>
              <w:rFonts w:hint="eastAsia" w:ascii="仿宋" w:hAnsi="仿宋" w:eastAsia="仿宋"/>
              <w:bCs w:val="0"/>
              <w:highlight w:val="none"/>
              <w:lang w:eastAsia="zh-CN"/>
            </w:rPr>
            <w:t>财政拨款“三公”经费支出决算表</w:t>
          </w:r>
          <w:r>
            <w:tab/>
          </w:r>
          <w:r>
            <w:fldChar w:fldCharType="begin"/>
          </w:r>
          <w:r>
            <w:instrText xml:space="preserve"> PAGEREF _Toc22566 \h </w:instrText>
          </w:r>
          <w:r>
            <w:fldChar w:fldCharType="separate"/>
          </w:r>
          <w:r>
            <w:t>46</w:t>
          </w:r>
          <w:r>
            <w:fldChar w:fldCharType="end"/>
          </w:r>
          <w:r>
            <w:fldChar w:fldCharType="end"/>
          </w:r>
        </w:p>
        <w:p>
          <w:pPr>
            <w:spacing w:before="0" w:beforeLines="0" w:after="0" w:afterLines="0" w:line="240" w:lineRule="auto"/>
            <w:ind w:left="0" w:leftChars="0" w:right="0" w:rightChars="0" w:firstLine="0" w:firstLineChars="0"/>
            <w:jc w:val="center"/>
          </w:pPr>
          <w:r>
            <w:fldChar w:fldCharType="end"/>
          </w:r>
        </w:p>
      </w:sdtContent>
    </w:sdt>
    <w:p>
      <w:pPr>
        <w:pStyle w:val="3"/>
        <w:jc w:val="center"/>
        <w:rPr>
          <w:rFonts w:hint="eastAsia" w:ascii="黑体" w:hAnsi="黑体" w:eastAsia="黑体"/>
          <w:b w:val="0"/>
          <w:color w:val="auto"/>
          <w:highlight w:val="none"/>
        </w:rPr>
        <w:sectPr>
          <w:footerReference r:id="rId5" w:type="first"/>
          <w:footerReference r:id="rId4" w:type="default"/>
          <w:pgSz w:w="11906" w:h="16838"/>
          <w:pgMar w:top="1440" w:right="1800" w:bottom="1440" w:left="1800" w:header="851" w:footer="992" w:gutter="0"/>
          <w:pgNumType w:fmt="decimal" w:start="1"/>
          <w:cols w:space="425" w:num="1"/>
          <w:docGrid w:type="lines" w:linePitch="312" w:charSpace="0"/>
        </w:sectPr>
      </w:pPr>
      <w:bookmarkStart w:id="134" w:name="_GoBack"/>
      <w:bookmarkEnd w:id="134"/>
    </w:p>
    <w:p>
      <w:pPr>
        <w:pStyle w:val="3"/>
        <w:jc w:val="center"/>
        <w:rPr>
          <w:rFonts w:ascii="黑体" w:eastAsia="黑体"/>
          <w:color w:val="auto"/>
          <w:sz w:val="32"/>
          <w:szCs w:val="32"/>
          <w:highlight w:val="none"/>
        </w:rPr>
      </w:pPr>
      <w:bookmarkStart w:id="18" w:name="_Toc17682"/>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7"/>
          <w:rFonts w:hint="eastAsia" w:ascii="黑体" w:hAnsi="黑体" w:eastAsia="黑体"/>
          <w:b w:val="0"/>
          <w:bCs w:val="0"/>
          <w:color w:val="auto"/>
          <w:highlight w:val="none"/>
        </w:rPr>
        <w:t>概况</w:t>
      </w:r>
      <w:bookmarkEnd w:id="18"/>
    </w:p>
    <w:p>
      <w:pPr>
        <w:pStyle w:val="4"/>
        <w:numPr>
          <w:ilvl w:val="0"/>
          <w:numId w:val="1"/>
        </w:numPr>
        <w:rPr>
          <w:rFonts w:hint="eastAsia" w:ascii="Times New Roman" w:hAnsi="Times New Roman" w:eastAsia="楷体_GB2312" w:cs="楷体_GB2312"/>
          <w:b w:val="0"/>
          <w:bCs w:val="0"/>
          <w:sz w:val="32"/>
          <w:szCs w:val="32"/>
          <w:highlight w:val="none"/>
          <w:lang w:val="en-US" w:eastAsia="zh-CN"/>
        </w:rPr>
      </w:pPr>
      <w:bookmarkStart w:id="19" w:name="_Toc16700"/>
      <w:bookmarkStart w:id="20" w:name="_Toc15377197"/>
      <w:bookmarkStart w:id="21" w:name="_Toc15396600"/>
      <w:r>
        <w:rPr>
          <w:rStyle w:val="28"/>
          <w:rFonts w:hint="eastAsia" w:ascii="黑体" w:hAnsi="黑体" w:eastAsia="黑体"/>
          <w:b w:val="0"/>
          <w:bCs w:val="0"/>
          <w:color w:val="auto"/>
          <w:highlight w:val="none"/>
          <w:lang w:eastAsia="zh-CN"/>
        </w:rPr>
        <w:t>主要职责</w:t>
      </w:r>
      <w:bookmarkEnd w:id="19"/>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eastAsia="zh-CN"/>
        </w:rPr>
        <w:t>（</w:t>
      </w:r>
      <w:r>
        <w:rPr>
          <w:rFonts w:hint="eastAsia" w:eastAsia="仿宋_GB2312" w:cs="仿宋_GB2312"/>
          <w:sz w:val="32"/>
          <w:szCs w:val="32"/>
          <w:highlight w:val="none"/>
          <w:lang w:val="en-US" w:eastAsia="zh-CN"/>
        </w:rPr>
        <w:t>一</w:t>
      </w:r>
      <w:r>
        <w:rPr>
          <w:rFonts w:hint="eastAsia"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组织拟订全区卫生健康政策。负责拟订卫生健康事业发展规划、政策措施</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组织实施卫生健康政策标准与技术规范</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统筹规划全区卫生健康资源配置</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制定并组织实施推进卫生健康基本公共服务均等化、普惠化、便捷化和公共资源向基层延伸等政策措施。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（二）</w:t>
      </w:r>
      <w:r>
        <w:rPr>
          <w:rFonts w:hint="eastAsia" w:ascii="Times New Roman" w:hAnsi="Times New Roman" w:eastAsia="仿宋_GB2312" w:cs="仿宋_GB2312"/>
          <w:sz w:val="32"/>
          <w:szCs w:val="32"/>
          <w:highlight w:val="none"/>
        </w:rPr>
        <w:t>牵头推进全区深化医药卫生体制改革。研究提出深化改革重大政策、措施的建议。牵头组织全区分级诊疗、现代医院管理、全民医保、药品供应保障、综合监督管理5项基本医疗卫生制度建设。制定并组织实施推动卫生健康公共服务提供主体多元化、方式多样化的政策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（三）</w:t>
      </w:r>
      <w:r>
        <w:rPr>
          <w:rFonts w:hint="eastAsia" w:ascii="Times New Roman" w:hAnsi="Times New Roman" w:eastAsia="仿宋_GB2312" w:cs="仿宋_GB2312"/>
          <w:sz w:val="32"/>
          <w:szCs w:val="32"/>
          <w:highlight w:val="none"/>
        </w:rPr>
        <w:t>制定并组织落实全区疾病预防控制规划、免疫规划以及严重危害人民健康的艾滋病等重大传染病、寄生虫病、地方病等公共卫生问题的干预措施。负责全区卫生应急工作，组织和指导全区突发公共卫生事件预防控制和各类突发公共事件的医疗卫生救援。发布法定报告传染病疫情信息、突发公共卫生事件应急处置信息。依照国家检疫传染病和监测传染病目录,参与开展检疫监测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color w:val="auto"/>
          <w:sz w:val="32"/>
          <w:szCs w:val="32"/>
          <w:highlight w:val="none"/>
        </w:rPr>
      </w:pPr>
      <w:r>
        <w:rPr>
          <w:rFonts w:hint="eastAsia" w:eastAsia="仿宋_GB2312" w:cs="仿宋_GB2312"/>
          <w:color w:val="auto"/>
          <w:sz w:val="32"/>
          <w:szCs w:val="32"/>
          <w:highlight w:val="none"/>
          <w:lang w:val="en-US" w:eastAsia="zh-CN"/>
        </w:rPr>
        <w:t>（四）</w:t>
      </w:r>
      <w:r>
        <w:rPr>
          <w:rFonts w:hint="eastAsia" w:ascii="Times New Roman" w:hAnsi="Times New Roman" w:eastAsia="仿宋_GB2312" w:cs="仿宋_GB2312"/>
          <w:color w:val="auto"/>
          <w:sz w:val="32"/>
          <w:szCs w:val="32"/>
          <w:highlight w:val="none"/>
        </w:rPr>
        <w:t>贯彻落实国家应对人口老龄化政策措施。负责推进老年健康服务体系建设和医养结合工作。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（五）</w:t>
      </w:r>
      <w:r>
        <w:rPr>
          <w:rFonts w:hint="eastAsia" w:ascii="Times New Roman" w:hAnsi="Times New Roman" w:eastAsia="仿宋_GB2312" w:cs="仿宋_GB2312"/>
          <w:sz w:val="32"/>
          <w:szCs w:val="32"/>
          <w:highlight w:val="none"/>
        </w:rPr>
        <w:t>贯彻落实国家药物政策和国家基本药物制度。开展药械使用监测、临床综合评价和短缺药品预警,组织执行国家药典和国家基本药物目录、省药品增补目录和基本药物使用的政策措施。组织实施食品安全风险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（六）</w:t>
      </w:r>
      <w:r>
        <w:rPr>
          <w:rFonts w:hint="eastAsia" w:ascii="Times New Roman" w:hAnsi="Times New Roman" w:eastAsia="仿宋_GB2312" w:cs="仿宋_GB2312"/>
          <w:sz w:val="32"/>
          <w:szCs w:val="32"/>
          <w:highlight w:val="none"/>
        </w:rPr>
        <w:t>负责职责范围内的职业卫生、放射卫生、环境卫生、学校卫生、公共场所卫生、饮用水卫生等公共卫生的监督管理。负责传染病防治监督,健全卫生健康综合监管体系,规范卫生健康行政执法行为,监督检查有关法律法规和政策措施的落实,组织查处重大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（七）</w:t>
      </w:r>
      <w:r>
        <w:rPr>
          <w:rFonts w:hint="eastAsia" w:ascii="Times New Roman" w:hAnsi="Times New Roman" w:eastAsia="仿宋_GB2312" w:cs="仿宋_GB2312"/>
          <w:sz w:val="32"/>
          <w:szCs w:val="32"/>
          <w:highlight w:val="none"/>
        </w:rPr>
        <w:t>制定全区医疗机构、医疗服务行业管理办法并监督实施,建立医疗服务评价和监督管理体系</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会同有关部门实施卫生健康专业技术人员资格标准。制定并组织实施医疗服务规范、标准和卫生健康专业技术人员执业规则、服务规范。负责医疗机构、人员和行为的日常监管。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（八）</w:t>
      </w:r>
      <w:r>
        <w:rPr>
          <w:rFonts w:hint="eastAsia" w:ascii="Times New Roman" w:hAnsi="Times New Roman" w:eastAsia="仿宋_GB2312" w:cs="仿宋_GB2312"/>
          <w:sz w:val="32"/>
          <w:szCs w:val="32"/>
          <w:highlight w:val="none"/>
        </w:rPr>
        <w:t>负责全区计划生育管理和服务工作。开展人口监测预警,研究提出人口与家庭发展相关政策建议,依法实施计划生育政策。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（九）</w:t>
      </w:r>
      <w:r>
        <w:rPr>
          <w:rFonts w:hint="eastAsia" w:ascii="Times New Roman" w:hAnsi="Times New Roman" w:eastAsia="仿宋_GB2312" w:cs="仿宋_GB2312"/>
          <w:sz w:val="32"/>
          <w:szCs w:val="32"/>
          <w:highlight w:val="none"/>
        </w:rPr>
        <w:t>负责全区卫生健康工作。负责基层医疗卫生、妇幼健康服务体系和基层卫生队伍建设。推进卫生健康科技创新发展。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（十）</w:t>
      </w:r>
      <w:r>
        <w:rPr>
          <w:rFonts w:hint="eastAsia" w:ascii="Times New Roman" w:hAnsi="Times New Roman" w:eastAsia="仿宋_GB2312" w:cs="仿宋_GB2312"/>
          <w:sz w:val="32"/>
          <w:szCs w:val="32"/>
          <w:highlight w:val="none"/>
        </w:rPr>
        <w:t>贯彻执行国家、省促进中医药事业发展的法律法规</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拟订全区中医药中长期发展规划并组织实施</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促进中药资源的保护、开发和合理利用</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拟订全区中医药产业发展规划、产业政策和中药的扶持政策并组织指导实施。监督指导全区中医药工作。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（十一）</w:t>
      </w:r>
      <w:r>
        <w:rPr>
          <w:rFonts w:hint="eastAsia" w:ascii="Times New Roman" w:hAnsi="Times New Roman" w:eastAsia="仿宋_GB2312" w:cs="仿宋_GB2312"/>
          <w:sz w:val="32"/>
          <w:szCs w:val="32"/>
          <w:highlight w:val="none"/>
        </w:rPr>
        <w:t>负责区确定的保健对象的医疗保健工作。负责区直有关部门(单位)离休干部医疗管理工作。负责重要会议与重大活动的医疗卫生保障工作。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2"/>
        <w:rPr>
          <w:rFonts w:hint="eastAsia" w:ascii="Times New Roman" w:hAnsi="Times New Roman" w:eastAsia="仿宋_GB2312" w:cs="仿宋_GB2312"/>
          <w:sz w:val="32"/>
          <w:szCs w:val="32"/>
          <w:highlight w:val="none"/>
        </w:rPr>
      </w:pPr>
      <w:bookmarkStart w:id="22" w:name="_Toc29094"/>
      <w:bookmarkStart w:id="23" w:name="_Toc7006"/>
      <w:r>
        <w:rPr>
          <w:rFonts w:hint="eastAsia" w:eastAsia="仿宋_GB2312" w:cs="仿宋_GB2312"/>
          <w:sz w:val="32"/>
          <w:szCs w:val="32"/>
          <w:highlight w:val="none"/>
          <w:lang w:val="en-US" w:eastAsia="zh-CN"/>
        </w:rPr>
        <w:t>（十二）</w:t>
      </w:r>
      <w:r>
        <w:rPr>
          <w:rFonts w:hint="eastAsia" w:ascii="Times New Roman" w:hAnsi="Times New Roman" w:eastAsia="仿宋_GB2312" w:cs="仿宋_GB2312"/>
          <w:sz w:val="32"/>
          <w:szCs w:val="32"/>
          <w:highlight w:val="none"/>
        </w:rPr>
        <w:t>指导区计划生育协会的业务工作。</w:t>
      </w:r>
      <w:bookmarkEnd w:id="22"/>
      <w:bookmarkEnd w:id="23"/>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（十三）</w:t>
      </w:r>
      <w:r>
        <w:rPr>
          <w:rFonts w:hint="eastAsia" w:ascii="Times New Roman" w:hAnsi="Times New Roman" w:eastAsia="仿宋_GB2312" w:cs="仿宋_GB2312"/>
          <w:sz w:val="32"/>
          <w:szCs w:val="32"/>
          <w:highlight w:val="none"/>
        </w:rPr>
        <w:t>依法依规履行卫生健康行业安全生产监督管理职责。负责职责范围内的生态环境保护、审批服务便民化等工作。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2"/>
        <w:rPr>
          <w:rFonts w:hint="eastAsia" w:ascii="Times New Roman" w:hAnsi="Times New Roman" w:eastAsia="仿宋_GB2312" w:cs="仿宋_GB2312"/>
          <w:sz w:val="32"/>
          <w:szCs w:val="32"/>
          <w:highlight w:val="none"/>
        </w:rPr>
      </w:pPr>
      <w:bookmarkStart w:id="24" w:name="_Toc17860"/>
      <w:bookmarkStart w:id="25" w:name="_Toc3"/>
      <w:r>
        <w:rPr>
          <w:rFonts w:hint="eastAsia" w:eastAsia="仿宋_GB2312" w:cs="仿宋_GB2312"/>
          <w:sz w:val="32"/>
          <w:szCs w:val="32"/>
          <w:highlight w:val="none"/>
          <w:lang w:val="en-US" w:eastAsia="zh-CN"/>
        </w:rPr>
        <w:t>（十四）</w:t>
      </w:r>
      <w:r>
        <w:rPr>
          <w:rFonts w:hint="eastAsia" w:ascii="Times New Roman" w:hAnsi="Times New Roman" w:eastAsia="仿宋_GB2312" w:cs="仿宋_GB2312"/>
          <w:sz w:val="32"/>
          <w:szCs w:val="32"/>
          <w:highlight w:val="none"/>
        </w:rPr>
        <w:t>完成区委、区政府交办的其他任务。</w:t>
      </w:r>
      <w:bookmarkEnd w:id="24"/>
      <w:bookmarkEnd w:id="25"/>
    </w:p>
    <w:p>
      <w:pPr>
        <w:rPr>
          <w:rFonts w:hint="eastAsia"/>
          <w:lang w:eastAsia="zh-CN"/>
        </w:rPr>
      </w:pPr>
    </w:p>
    <w:bookmarkEnd w:id="20"/>
    <w:bookmarkEnd w:id="21"/>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Style w:val="28"/>
          <w:b w:val="0"/>
          <w:bCs w:val="0"/>
          <w:color w:val="auto"/>
          <w:highlight w:val="none"/>
        </w:rPr>
      </w:pPr>
      <w:bookmarkStart w:id="26" w:name="_Toc15377200"/>
      <w:bookmarkStart w:id="27" w:name="_Toc28191"/>
      <w:bookmarkStart w:id="28" w:name="_Toc29596"/>
      <w:bookmarkStart w:id="29" w:name="_Toc27862"/>
      <w:bookmarkStart w:id="30" w:name="_Toc15396601"/>
      <w:bookmarkStart w:id="31" w:name="_Toc15396602"/>
      <w:bookmarkStart w:id="32" w:name="_Toc15377204"/>
      <w:r>
        <w:rPr>
          <w:rFonts w:hint="eastAsia" w:ascii="黑体" w:eastAsia="黑体"/>
          <w:b w:val="0"/>
          <w:color w:val="auto"/>
          <w:highlight w:val="none"/>
        </w:rPr>
        <w:t>二、</w:t>
      </w:r>
      <w:r>
        <w:rPr>
          <w:rFonts w:hint="eastAsia" w:ascii="黑体" w:hAnsi="黑体" w:eastAsia="黑体"/>
          <w:b w:val="0"/>
          <w:color w:val="auto"/>
          <w:highlight w:val="none"/>
        </w:rPr>
        <w:t>机</w:t>
      </w:r>
      <w:r>
        <w:rPr>
          <w:rStyle w:val="28"/>
          <w:rFonts w:hint="eastAsia" w:ascii="黑体" w:hAnsi="黑体" w:eastAsia="黑体"/>
          <w:b w:val="0"/>
          <w:bCs w:val="0"/>
          <w:color w:val="auto"/>
          <w:highlight w:val="none"/>
        </w:rPr>
        <w:t>构设置</w:t>
      </w:r>
      <w:bookmarkEnd w:id="26"/>
      <w:bookmarkEnd w:id="27"/>
      <w:bookmarkEnd w:id="28"/>
      <w:bookmarkEnd w:id="29"/>
      <w:bookmarkEnd w:id="30"/>
    </w:p>
    <w:p>
      <w:pPr>
        <w:pStyle w:val="2"/>
        <w:adjustRightInd w:val="0"/>
        <w:snapToGrid w:val="0"/>
        <w:spacing w:before="93" w:line="600" w:lineRule="exact"/>
        <w:ind w:firstLine="640" w:firstLineChars="200"/>
        <w:rPr>
          <w:color w:val="000000"/>
          <w:sz w:val="32"/>
          <w:szCs w:val="32"/>
        </w:rPr>
      </w:pPr>
      <w:r>
        <w:rPr>
          <w:rFonts w:hint="eastAsia"/>
          <w:color w:val="000000"/>
          <w:sz w:val="32"/>
          <w:szCs w:val="32"/>
        </w:rPr>
        <w:t>昭化区卫生健康局下属二级单位33个(区人民医院经费独立核算），其中参照公务员法管理的事业单位</w:t>
      </w:r>
      <w:r>
        <w:rPr>
          <w:rFonts w:hint="eastAsia"/>
          <w:bCs/>
          <w:color w:val="000000"/>
          <w:sz w:val="32"/>
          <w:szCs w:val="32"/>
        </w:rPr>
        <w:t>1</w:t>
      </w:r>
      <w:r>
        <w:rPr>
          <w:rFonts w:hint="eastAsia"/>
          <w:color w:val="000000"/>
          <w:sz w:val="32"/>
          <w:szCs w:val="32"/>
        </w:rPr>
        <w:t>个，其他事业单位3</w:t>
      </w:r>
      <w:r>
        <w:rPr>
          <w:rFonts w:hint="eastAsia"/>
          <w:color w:val="000000"/>
          <w:sz w:val="32"/>
          <w:szCs w:val="32"/>
          <w:lang w:val="en-US" w:eastAsia="zh-CN"/>
        </w:rPr>
        <w:t>2</w:t>
      </w:r>
      <w:r>
        <w:rPr>
          <w:rFonts w:hint="eastAsia"/>
          <w:color w:val="000000"/>
          <w:sz w:val="32"/>
          <w:szCs w:val="32"/>
        </w:rPr>
        <w:t>个。</w:t>
      </w:r>
    </w:p>
    <w:p>
      <w:pPr>
        <w:pStyle w:val="2"/>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纳入卫</w:t>
      </w:r>
      <w:r>
        <w:rPr>
          <w:rFonts w:hint="eastAsia" w:ascii="仿宋" w:hAnsi="仿宋" w:eastAsia="仿宋"/>
          <w:color w:val="000000"/>
          <w:sz w:val="32"/>
          <w:szCs w:val="32"/>
          <w:lang w:eastAsia="zh-CN"/>
        </w:rPr>
        <w:t>健</w:t>
      </w:r>
      <w:r>
        <w:rPr>
          <w:rFonts w:hint="eastAsia" w:ascii="仿宋" w:hAnsi="仿宋" w:eastAsia="仿宋"/>
          <w:color w:val="000000"/>
          <w:sz w:val="32"/>
          <w:szCs w:val="32"/>
        </w:rPr>
        <w:t>系统</w:t>
      </w:r>
      <w:r>
        <w:rPr>
          <w:rFonts w:hint="eastAsia" w:ascii="仿宋" w:hAnsi="仿宋" w:eastAsia="仿宋"/>
          <w:color w:val="000000"/>
          <w:sz w:val="32"/>
          <w:szCs w:val="32"/>
          <w:lang w:val="en-US" w:eastAsia="zh-CN"/>
        </w:rPr>
        <w:t>2022</w:t>
      </w:r>
      <w:r>
        <w:rPr>
          <w:rFonts w:hint="eastAsia" w:ascii="仿宋" w:hAnsi="仿宋" w:eastAsia="仿宋"/>
          <w:color w:val="000000"/>
          <w:sz w:val="32"/>
          <w:szCs w:val="32"/>
        </w:rPr>
        <w:t>年度部门决算编制范围的二级预算单位包括：</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广元市昭化区卫生和计划生育监督执法大队</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广元市昭化区妇幼保健</w:t>
      </w:r>
      <w:r>
        <w:rPr>
          <w:rFonts w:hint="eastAsia" w:ascii="仿宋" w:hAnsi="仿宋" w:eastAsia="仿宋"/>
          <w:color w:val="000000"/>
          <w:sz w:val="32"/>
          <w:szCs w:val="32"/>
          <w:lang w:eastAsia="zh-CN"/>
        </w:rPr>
        <w:t>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广元市昭化区疾病预防控制中心</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广元市昭化区中医医院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广元市昭化区昭化</w:t>
      </w:r>
      <w:r>
        <w:rPr>
          <w:rFonts w:hint="eastAsia" w:ascii="仿宋" w:hAnsi="仿宋" w:eastAsia="仿宋"/>
          <w:color w:val="000000"/>
          <w:sz w:val="32"/>
          <w:szCs w:val="32"/>
          <w:lang w:eastAsia="zh-CN"/>
        </w:rPr>
        <w:t>镇</w:t>
      </w:r>
      <w:r>
        <w:rPr>
          <w:rFonts w:hint="eastAsia" w:ascii="仿宋" w:hAnsi="仿宋" w:eastAsia="仿宋"/>
          <w:color w:val="000000"/>
          <w:sz w:val="32"/>
          <w:szCs w:val="32"/>
        </w:rPr>
        <w:t>中心卫生院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广元市昭化区王家镇中心卫生院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广元市昭化区虎跳</w:t>
      </w:r>
      <w:r>
        <w:rPr>
          <w:rFonts w:hint="eastAsia" w:ascii="仿宋" w:hAnsi="仿宋" w:eastAsia="仿宋"/>
          <w:color w:val="000000"/>
          <w:sz w:val="32"/>
          <w:szCs w:val="32"/>
          <w:lang w:eastAsia="zh-CN"/>
        </w:rPr>
        <w:t>镇</w:t>
      </w:r>
      <w:r>
        <w:rPr>
          <w:rFonts w:hint="eastAsia" w:ascii="仿宋" w:hAnsi="仿宋" w:eastAsia="仿宋"/>
          <w:color w:val="000000"/>
          <w:sz w:val="32"/>
          <w:szCs w:val="32"/>
        </w:rPr>
        <w:t>中心卫生院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广元市昭化区太公镇中心卫生院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广元市昭化区卫子镇中心卫生院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广元市昭化区明觉</w:t>
      </w:r>
      <w:r>
        <w:rPr>
          <w:rFonts w:hint="eastAsia" w:ascii="仿宋" w:hAnsi="仿宋" w:eastAsia="仿宋"/>
          <w:color w:val="000000"/>
          <w:sz w:val="32"/>
          <w:szCs w:val="32"/>
          <w:lang w:eastAsia="zh-CN"/>
        </w:rPr>
        <w:t>镇</w:t>
      </w:r>
      <w:r>
        <w:rPr>
          <w:rFonts w:hint="eastAsia" w:ascii="仿宋" w:hAnsi="仿宋" w:eastAsia="仿宋"/>
          <w:color w:val="000000"/>
          <w:sz w:val="32"/>
          <w:szCs w:val="32"/>
        </w:rPr>
        <w:t>中心卫生院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广元市昭化区磨滩镇卫生院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广元市昭化区清水乡卫生院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广元市昭化区石井铺镇卫生院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广元市昭化区张家乡卫生院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广元市昭化区晋贤乡卫生院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广元市昭化区柏林</w:t>
      </w:r>
      <w:r>
        <w:rPr>
          <w:rFonts w:hint="eastAsia" w:ascii="仿宋" w:hAnsi="仿宋" w:eastAsia="仿宋"/>
          <w:color w:val="000000"/>
          <w:sz w:val="32"/>
          <w:szCs w:val="32"/>
          <w:lang w:eastAsia="zh-CN"/>
        </w:rPr>
        <w:t>沟</w:t>
      </w:r>
      <w:r>
        <w:rPr>
          <w:rFonts w:hint="eastAsia" w:ascii="仿宋" w:hAnsi="仿宋" w:eastAsia="仿宋"/>
          <w:color w:val="000000"/>
          <w:sz w:val="32"/>
          <w:szCs w:val="32"/>
        </w:rPr>
        <w:t>镇卫生院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广元市昭化区白果乡卫生院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广元市昭化区文村乡卫生院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广元市昭化区青牛乡卫生院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广元市昭化区射箭乡卫生院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广元市昭化区梅树乡卫生院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广元市昭化区黄龙乡卫生院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广元市昭化区红岩镇卫生院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广元市昭化区朝阳乡卫生院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广元市昭化区柳桥乡卫生院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广元市昭化区陈江乡卫生院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广元市昭化区丁家乡卫生院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广元市昭化区紫云乡卫生院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广元市昭化区沙坝乡卫生院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广元市昭化区香溪乡卫生院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广元市昭化区大朝乡卫生院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lang w:val="en-US" w:eastAsia="zh-CN"/>
        </w:rPr>
        <w:t>广元市昭化区社区卫生服务中心</w:t>
      </w:r>
    </w:p>
    <w:p>
      <w:pPr>
        <w:pStyle w:val="3"/>
        <w:jc w:val="center"/>
        <w:rPr>
          <w:rFonts w:hint="eastAsia" w:ascii="黑体" w:hAnsi="黑体" w:eastAsia="黑体"/>
          <w:b w:val="0"/>
          <w:color w:val="auto"/>
          <w:highlight w:val="none"/>
        </w:rPr>
      </w:pPr>
      <w:bookmarkStart w:id="33" w:name="_Toc18584"/>
    </w:p>
    <w:p>
      <w:pPr>
        <w:pStyle w:val="3"/>
        <w:jc w:val="both"/>
        <w:rPr>
          <w:rFonts w:hint="eastAsia" w:ascii="黑体" w:hAnsi="黑体" w:eastAsia="黑体"/>
          <w:b w:val="0"/>
          <w:color w:val="auto"/>
          <w:highlight w:val="none"/>
        </w:rPr>
      </w:pPr>
    </w:p>
    <w:p>
      <w:pPr>
        <w:rPr>
          <w:rFonts w:hint="eastAsia" w:ascii="黑体" w:hAnsi="黑体" w:eastAsia="黑体"/>
          <w:b w:val="0"/>
          <w:color w:val="auto"/>
          <w:highlight w:val="none"/>
        </w:rPr>
      </w:pPr>
    </w:p>
    <w:p>
      <w:pPr>
        <w:pStyle w:val="2"/>
        <w:rPr>
          <w:rFonts w:hint="eastAsia" w:ascii="黑体" w:hAnsi="黑体" w:eastAsia="黑体"/>
          <w:b w:val="0"/>
          <w:color w:val="auto"/>
          <w:highlight w:val="none"/>
        </w:rPr>
      </w:pPr>
    </w:p>
    <w:p>
      <w:pPr>
        <w:pStyle w:val="2"/>
        <w:rPr>
          <w:rFonts w:hint="eastAsia" w:ascii="黑体" w:hAnsi="黑体" w:eastAsia="黑体"/>
          <w:b w:val="0"/>
          <w:color w:val="auto"/>
          <w:highlight w:val="none"/>
        </w:rPr>
      </w:pPr>
    </w:p>
    <w:p>
      <w:pPr>
        <w:pStyle w:val="2"/>
        <w:rPr>
          <w:rFonts w:hint="eastAsia" w:ascii="黑体" w:hAnsi="黑体" w:eastAsia="黑体"/>
          <w:b w:val="0"/>
          <w:color w:val="auto"/>
          <w:highlight w:val="none"/>
        </w:rPr>
      </w:pPr>
    </w:p>
    <w:p>
      <w:pPr>
        <w:pStyle w:val="2"/>
        <w:rPr>
          <w:rFonts w:hint="eastAsia" w:ascii="黑体" w:hAnsi="黑体" w:eastAsia="黑体"/>
          <w:b w:val="0"/>
          <w:color w:val="auto"/>
          <w:highlight w:val="none"/>
        </w:rPr>
      </w:pPr>
    </w:p>
    <w:p>
      <w:pPr>
        <w:pStyle w:val="2"/>
        <w:rPr>
          <w:rFonts w:hint="eastAsia" w:ascii="黑体" w:hAnsi="黑体" w:eastAsia="黑体"/>
          <w:b w:val="0"/>
          <w:color w:val="auto"/>
          <w:highlight w:val="none"/>
        </w:rPr>
      </w:pPr>
    </w:p>
    <w:p>
      <w:pPr>
        <w:pStyle w:val="3"/>
        <w:jc w:val="center"/>
        <w:rPr>
          <w:color w:val="auto"/>
          <w:highlight w:val="none"/>
        </w:rPr>
      </w:pPr>
      <w:r>
        <w:rPr>
          <w:rFonts w:hint="eastAsia" w:ascii="黑体" w:hAnsi="黑体" w:eastAsia="黑体"/>
          <w:b w:val="0"/>
          <w:color w:val="auto"/>
          <w:highlight w:val="none"/>
        </w:rPr>
        <w:t xml:space="preserve">第二部分 </w:t>
      </w:r>
      <w:r>
        <w:rPr>
          <w:rFonts w:hint="eastAsia" w:ascii="黑体" w:hAnsi="黑体" w:eastAsia="黑体"/>
          <w:b w:val="0"/>
          <w:color w:val="auto"/>
          <w:highlight w:val="none"/>
          <w:lang w:val="en-US" w:eastAsia="zh-CN"/>
        </w:rPr>
        <w:t>2022年度</w:t>
      </w:r>
      <w:r>
        <w:rPr>
          <w:rFonts w:hint="eastAsia" w:ascii="黑体" w:hAnsi="黑体" w:eastAsia="黑体"/>
          <w:b w:val="0"/>
          <w:color w:val="auto"/>
          <w:highlight w:val="none"/>
          <w:lang w:eastAsia="zh-CN"/>
        </w:rPr>
        <w:t>单位</w:t>
      </w:r>
      <w:r>
        <w:rPr>
          <w:rFonts w:hint="eastAsia" w:ascii="黑体" w:hAnsi="黑体" w:eastAsia="黑体"/>
          <w:b w:val="0"/>
          <w:color w:val="auto"/>
          <w:highlight w:val="none"/>
        </w:rPr>
        <w:t>决算情况说明</w:t>
      </w:r>
      <w:bookmarkEnd w:id="31"/>
      <w:bookmarkEnd w:id="32"/>
      <w:bookmarkEnd w:id="33"/>
    </w:p>
    <w:p>
      <w:pPr>
        <w:pStyle w:val="26"/>
        <w:numPr>
          <w:ilvl w:val="0"/>
          <w:numId w:val="0"/>
        </w:numPr>
        <w:spacing w:line="600" w:lineRule="exact"/>
        <w:ind w:firstLine="640" w:firstLineChars="200"/>
        <w:jc w:val="left"/>
        <w:outlineLvl w:val="1"/>
        <w:rPr>
          <w:rStyle w:val="28"/>
          <w:rFonts w:ascii="黑体" w:hAnsi="黑体" w:eastAsia="黑体"/>
          <w:b w:val="0"/>
          <w:color w:val="auto"/>
          <w:highlight w:val="none"/>
        </w:rPr>
      </w:pPr>
      <w:bookmarkStart w:id="34" w:name="_Toc15377205"/>
      <w:bookmarkStart w:id="35" w:name="_Toc15396603"/>
      <w:bookmarkStart w:id="36" w:name="_Toc8191"/>
      <w:r>
        <w:rPr>
          <w:rFonts w:hint="eastAsia" w:ascii="黑体" w:hAnsi="黑体" w:eastAsia="黑体"/>
          <w:color w:val="auto"/>
          <w:sz w:val="32"/>
          <w:szCs w:val="32"/>
          <w:highlight w:val="none"/>
          <w:lang w:val="en-US" w:eastAsia="zh-CN"/>
        </w:rPr>
        <w:t>一、</w:t>
      </w:r>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入支出决算总体情况说明</w:t>
      </w:r>
      <w:bookmarkEnd w:id="34"/>
      <w:bookmarkEnd w:id="35"/>
      <w:bookmarkEnd w:id="36"/>
    </w:p>
    <w:p>
      <w:pPr>
        <w:spacing w:line="600" w:lineRule="exact"/>
        <w:ind w:firstLine="640" w:firstLineChars="200"/>
        <w:rPr>
          <w:rFonts w:hint="eastAsia" w:eastAsia="仿宋_GB2312" w:cs="仿宋_GB2312"/>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w:t>
      </w:r>
      <w:r>
        <w:rPr>
          <w:rFonts w:hint="eastAsia" w:ascii="仿宋" w:hAnsi="仿宋" w:eastAsia="仿宋"/>
          <w:color w:val="auto"/>
          <w:sz w:val="32"/>
          <w:szCs w:val="32"/>
          <w:highlight w:val="none"/>
          <w:lang w:val="en-US" w:eastAsia="zh-CN"/>
        </w:rPr>
        <w:t>卫生健康局收、支均为5002.44万元</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w:t>
      </w:r>
      <w:r>
        <w:rPr>
          <w:rFonts w:hint="eastAsia" w:ascii="仿宋" w:hAnsi="仿宋" w:eastAsia="仿宋"/>
          <w:color w:val="auto"/>
          <w:sz w:val="32"/>
          <w:szCs w:val="32"/>
          <w:highlight w:val="none"/>
          <w:lang w:val="en-US" w:eastAsia="zh-CN"/>
        </w:rPr>
        <w:t>入</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842.82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支出增加1292.83万元。收入</w:t>
      </w:r>
      <w:r>
        <w:rPr>
          <w:rFonts w:hint="eastAsia" w:ascii="仿宋" w:hAnsi="仿宋" w:eastAsia="仿宋"/>
          <w:color w:val="auto"/>
          <w:sz w:val="32"/>
          <w:szCs w:val="32"/>
          <w:highlight w:val="none"/>
        </w:rPr>
        <w:t>增长</w:t>
      </w:r>
      <w:r>
        <w:rPr>
          <w:rFonts w:hint="eastAsia" w:ascii="仿宋" w:hAnsi="仿宋" w:eastAsia="仿宋"/>
          <w:color w:val="auto"/>
          <w:sz w:val="32"/>
          <w:szCs w:val="32"/>
          <w:highlight w:val="none"/>
          <w:lang w:val="en-US" w:eastAsia="zh-CN"/>
        </w:rPr>
        <w:t>16.85</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支出增长25.84%。</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受新冠疫情持续加重影响，2022年增加重大公共卫生项目支出569.49万元，其他公共卫生项目支出400万元</w:t>
      </w:r>
      <w:r>
        <w:rPr>
          <w:rFonts w:hint="eastAsia" w:ascii="仿宋" w:hAnsi="仿宋" w:eastAsia="仿宋"/>
          <w:color w:val="auto"/>
          <w:sz w:val="32"/>
          <w:szCs w:val="32"/>
          <w:highlight w:val="none"/>
          <w:lang w:eastAsia="zh-CN"/>
        </w:rPr>
        <w:t>。</w:t>
      </w:r>
      <w:r>
        <w:rPr>
          <w:rFonts w:hint="eastAsia" w:ascii="Times New Roman" w:hAnsi="Times New Roman" w:eastAsia="仿宋_GB2312" w:cs="仿宋_GB2312"/>
          <w:sz w:val="32"/>
          <w:szCs w:val="32"/>
          <w:highlight w:val="none"/>
          <w:lang w:val="en-US" w:eastAsia="zh-CN"/>
        </w:rPr>
        <w:t>启动卫子镇中心卫生院县域医疗卫生次中心建设工作</w:t>
      </w:r>
      <w:r>
        <w:rPr>
          <w:rFonts w:hint="eastAsia" w:eastAsia="仿宋_GB2312" w:cs="仿宋_GB2312"/>
          <w:sz w:val="32"/>
          <w:szCs w:val="32"/>
          <w:highlight w:val="none"/>
          <w:lang w:val="en-US" w:eastAsia="zh-CN"/>
        </w:rPr>
        <w:t>，增加卫子次中心建设项目资金600万元。</w:t>
      </w:r>
    </w:p>
    <w:p>
      <w:pPr>
        <w:pStyle w:val="2"/>
        <w:jc w:val="center"/>
        <w:rPr>
          <w:rFonts w:hint="default"/>
          <w:lang w:val="en-US" w:eastAsia="zh-CN"/>
        </w:rPr>
      </w:pPr>
      <w:r>
        <w:drawing>
          <wp:inline distT="0" distB="0" distL="114300" distR="114300">
            <wp:extent cx="4572000" cy="2743200"/>
            <wp:effectExtent l="4445" t="4445" r="14605" b="1460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ind w:firstLine="640" w:firstLineChars="200"/>
        <w:rPr>
          <w:rFonts w:ascii="仿宋_GB2312" w:eastAsia="仿宋_GB2312"/>
          <w:color w:val="auto"/>
          <w:sz w:val="32"/>
          <w:szCs w:val="32"/>
          <w:highlight w:val="none"/>
        </w:rPr>
      </w:pPr>
      <w:r>
        <w:rPr>
          <w:rFonts w:hint="eastAsia" w:ascii="仿宋" w:eastAsia="仿宋"/>
          <w:color w:val="auto"/>
          <w:sz w:val="32"/>
          <w:szCs w:val="32"/>
          <w:highlight w:val="none"/>
        </w:rPr>
        <w:t>（图</w:t>
      </w:r>
      <w:r>
        <w:rPr>
          <w:rFonts w:ascii="仿宋" w:eastAsia="仿宋"/>
          <w:color w:val="auto"/>
          <w:sz w:val="32"/>
          <w:szCs w:val="32"/>
          <w:highlight w:val="none"/>
        </w:rPr>
        <w:t>1</w:t>
      </w:r>
      <w:r>
        <w:rPr>
          <w:rFonts w:hint="eastAsia" w:asci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6"/>
        <w:numPr>
          <w:ilvl w:val="0"/>
          <w:numId w:val="0"/>
        </w:numPr>
        <w:spacing w:line="600" w:lineRule="exact"/>
        <w:ind w:left="840" w:leftChars="0"/>
        <w:outlineLvl w:val="1"/>
        <w:rPr>
          <w:rStyle w:val="28"/>
          <w:rFonts w:ascii="黑体" w:hAnsi="黑体" w:eastAsia="黑体"/>
          <w:b w:val="0"/>
          <w:color w:val="auto"/>
          <w:highlight w:val="none"/>
        </w:rPr>
      </w:pPr>
      <w:bookmarkStart w:id="37" w:name="_Toc15377206"/>
      <w:bookmarkStart w:id="38" w:name="_Toc257"/>
      <w:bookmarkStart w:id="39" w:name="_Toc15396604"/>
      <w:r>
        <w:rPr>
          <w:rFonts w:hint="eastAsia" w:ascii="黑体" w:hAnsi="黑体" w:eastAsia="黑体"/>
          <w:color w:val="auto"/>
          <w:sz w:val="32"/>
          <w:szCs w:val="32"/>
          <w:highlight w:val="none"/>
          <w:lang w:val="en-US" w:eastAsia="zh-CN"/>
        </w:rPr>
        <w:t>二、</w:t>
      </w:r>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入决算情况说明</w:t>
      </w:r>
      <w:bookmarkEnd w:id="37"/>
      <w:bookmarkEnd w:id="38"/>
      <w:bookmarkEnd w:id="39"/>
    </w:p>
    <w:p>
      <w:pPr>
        <w:spacing w:line="600" w:lineRule="exact"/>
        <w:ind w:firstLine="640" w:firstLineChars="200"/>
        <w:outlineLvl w:val="1"/>
        <w:rPr>
          <w:rFonts w:hint="eastAsia" w:ascii="仿宋" w:hAnsi="仿宋" w:eastAsia="仿宋"/>
          <w:color w:val="auto"/>
          <w:sz w:val="32"/>
          <w:szCs w:val="32"/>
          <w:highlight w:val="none"/>
        </w:rPr>
      </w:pPr>
      <w:bookmarkStart w:id="40" w:name="_Toc5449"/>
      <w:bookmarkStart w:id="41" w:name="_Toc7911"/>
      <w:bookmarkStart w:id="42" w:name="_Toc14244"/>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5002.44</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4897.12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97.89</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105.32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2.11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40"/>
      <w:bookmarkEnd w:id="41"/>
      <w:bookmarkEnd w:id="42"/>
    </w:p>
    <w:p>
      <w:pPr>
        <w:pStyle w:val="2"/>
        <w:jc w:val="center"/>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pPr>
      <w:r>
        <w:rPr>
          <w:rFonts w:hint="eastAsia" w:ascii="仿宋" w:eastAsia="仿宋"/>
          <w:color w:val="auto"/>
          <w:sz w:val="32"/>
          <w:szCs w:val="32"/>
          <w:highlight w:val="none"/>
        </w:rPr>
        <w:t>（图2：收入决算结构图）（饼状图）</w:t>
      </w:r>
    </w:p>
    <w:p>
      <w:pPr>
        <w:pStyle w:val="26"/>
        <w:numPr>
          <w:ilvl w:val="0"/>
          <w:numId w:val="0"/>
        </w:numPr>
        <w:spacing w:line="600" w:lineRule="exact"/>
        <w:ind w:left="840" w:leftChars="0"/>
        <w:outlineLvl w:val="1"/>
        <w:rPr>
          <w:rStyle w:val="28"/>
          <w:rFonts w:ascii="黑体" w:hAnsi="黑体" w:eastAsia="黑体"/>
          <w:b w:val="0"/>
          <w:color w:val="auto"/>
          <w:highlight w:val="none"/>
        </w:rPr>
      </w:pPr>
      <w:bookmarkStart w:id="43" w:name="_Toc15396605"/>
      <w:bookmarkStart w:id="44" w:name="_Toc15377207"/>
      <w:bookmarkStart w:id="45" w:name="_Toc11195"/>
      <w:r>
        <w:rPr>
          <w:rFonts w:hint="eastAsia" w:ascii="黑体" w:hAnsi="黑体" w:eastAsia="黑体"/>
          <w:color w:val="auto"/>
          <w:sz w:val="32"/>
          <w:szCs w:val="32"/>
          <w:highlight w:val="none"/>
          <w:lang w:val="en-US" w:eastAsia="zh-CN"/>
        </w:rPr>
        <w:t>三、</w:t>
      </w:r>
      <w:r>
        <w:rPr>
          <w:rFonts w:hint="eastAsia" w:ascii="黑体" w:hAnsi="黑体" w:eastAsia="黑体"/>
          <w:color w:val="auto"/>
          <w:sz w:val="32"/>
          <w:szCs w:val="32"/>
          <w:highlight w:val="none"/>
        </w:rPr>
        <w:t>支</w:t>
      </w:r>
      <w:r>
        <w:rPr>
          <w:rStyle w:val="28"/>
          <w:rFonts w:hint="eastAsia" w:ascii="黑体" w:hAnsi="黑体" w:eastAsia="黑体"/>
          <w:b w:val="0"/>
          <w:color w:val="auto"/>
          <w:highlight w:val="none"/>
        </w:rPr>
        <w:t>出决算情况说明</w:t>
      </w:r>
      <w:bookmarkEnd w:id="43"/>
      <w:bookmarkEnd w:id="44"/>
      <w:bookmarkEnd w:id="45"/>
    </w:p>
    <w:p>
      <w:pPr>
        <w:spacing w:line="600" w:lineRule="exact"/>
        <w:ind w:firstLine="640" w:firstLineChars="200"/>
        <w:outlineLvl w:val="1"/>
        <w:rPr>
          <w:rFonts w:hint="eastAsia" w:ascii="仿宋" w:hAnsi="仿宋" w:eastAsia="仿宋"/>
          <w:color w:val="auto"/>
          <w:sz w:val="32"/>
          <w:szCs w:val="32"/>
          <w:highlight w:val="none"/>
          <w:lang w:eastAsia="zh-CN"/>
        </w:rPr>
      </w:pPr>
      <w:bookmarkStart w:id="46" w:name="_Toc17142"/>
      <w:bookmarkStart w:id="47" w:name="_Toc29191"/>
      <w:bookmarkStart w:id="48" w:name="_Toc19676"/>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5002.44</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907.5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18.14</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3989.62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79.75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政府性基金支出105.32万元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2.11</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bookmarkEnd w:id="46"/>
      <w:bookmarkEnd w:id="47"/>
      <w:bookmarkEnd w:id="48"/>
    </w:p>
    <w:p>
      <w:pPr>
        <w:pStyle w:val="2"/>
        <w:jc w:val="center"/>
      </w:pPr>
      <w:r>
        <w:drawing>
          <wp:inline distT="0" distB="0" distL="114300" distR="114300">
            <wp:extent cx="4572000" cy="2743200"/>
            <wp:effectExtent l="4445" t="4445" r="14605" b="14605"/>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center"/>
        <w:rPr>
          <w:rFonts w:hint="eastAsia"/>
          <w:lang w:eastAsia="zh-CN"/>
        </w:rPr>
      </w:pPr>
      <w:r>
        <w:rPr>
          <w:rFonts w:hint="eastAsia" w:ascii="仿宋" w:eastAsia="仿宋"/>
          <w:color w:val="auto"/>
          <w:sz w:val="32"/>
          <w:szCs w:val="32"/>
          <w:highlight w:val="none"/>
        </w:rPr>
        <w:t>（图3：支出决算结构图）（饼状图）</w:t>
      </w:r>
    </w:p>
    <w:p>
      <w:pPr>
        <w:spacing w:line="600" w:lineRule="exact"/>
        <w:ind w:firstLine="640" w:firstLineChars="200"/>
        <w:outlineLvl w:val="1"/>
        <w:rPr>
          <w:rStyle w:val="28"/>
          <w:rFonts w:ascii="黑体" w:hAnsi="黑体" w:eastAsia="黑体"/>
          <w:b w:val="0"/>
          <w:color w:val="auto"/>
          <w:highlight w:val="none"/>
        </w:rPr>
      </w:pPr>
      <w:bookmarkStart w:id="49" w:name="_Toc12352"/>
      <w:bookmarkStart w:id="50" w:name="_Toc15377208"/>
      <w:bookmarkStart w:id="51" w:name="_Toc15396606"/>
      <w:r>
        <w:rPr>
          <w:rFonts w:hint="eastAsia" w:ascii="黑体" w:hAnsi="黑体" w:eastAsia="黑体"/>
          <w:color w:val="auto"/>
          <w:sz w:val="32"/>
          <w:szCs w:val="32"/>
          <w:highlight w:val="none"/>
        </w:rPr>
        <w:t>四、财</w:t>
      </w:r>
      <w:r>
        <w:rPr>
          <w:rStyle w:val="28"/>
          <w:rFonts w:hint="eastAsia" w:ascii="黑体" w:hAnsi="黑体" w:eastAsia="黑体"/>
          <w:b w:val="0"/>
          <w:color w:val="auto"/>
          <w:highlight w:val="none"/>
        </w:rPr>
        <w:t>政拨款收入支出决算总体情况说明</w:t>
      </w:r>
      <w:bookmarkEnd w:id="49"/>
      <w:bookmarkEnd w:id="50"/>
      <w:bookmarkEnd w:id="51"/>
    </w:p>
    <w:p>
      <w:pPr>
        <w:spacing w:line="600" w:lineRule="exact"/>
        <w:ind w:firstLine="640" w:firstLineChars="200"/>
        <w:rPr>
          <w:rFonts w:hint="eastAsia" w:eastAsia="仿宋_GB2312" w:cs="仿宋_GB2312"/>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w:t>
      </w:r>
      <w:r>
        <w:rPr>
          <w:rFonts w:hint="eastAsia" w:ascii="仿宋" w:hAnsi="仿宋" w:eastAsia="仿宋"/>
          <w:color w:val="auto"/>
          <w:sz w:val="32"/>
          <w:szCs w:val="32"/>
          <w:highlight w:val="none"/>
          <w:lang w:val="en-US" w:eastAsia="zh-CN"/>
        </w:rPr>
        <w:t>卫生健康局财政拨款收、支均为5002.44万元</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w:t>
      </w:r>
      <w:r>
        <w:rPr>
          <w:rFonts w:hint="eastAsia" w:ascii="仿宋" w:hAnsi="仿宋" w:eastAsia="仿宋"/>
          <w:color w:val="auto"/>
          <w:sz w:val="32"/>
          <w:szCs w:val="32"/>
          <w:highlight w:val="none"/>
          <w:lang w:val="en-US" w:eastAsia="zh-CN"/>
        </w:rPr>
        <w:t>财政拨款</w:t>
      </w:r>
      <w:r>
        <w:rPr>
          <w:rFonts w:hint="eastAsia" w:ascii="仿宋" w:hAnsi="仿宋" w:eastAsia="仿宋"/>
          <w:color w:val="auto"/>
          <w:sz w:val="32"/>
          <w:szCs w:val="32"/>
          <w:highlight w:val="none"/>
        </w:rPr>
        <w:t>收</w:t>
      </w:r>
      <w:r>
        <w:rPr>
          <w:rFonts w:hint="eastAsia" w:ascii="仿宋" w:hAnsi="仿宋" w:eastAsia="仿宋"/>
          <w:color w:val="auto"/>
          <w:sz w:val="32"/>
          <w:szCs w:val="32"/>
          <w:highlight w:val="none"/>
          <w:lang w:val="en-US" w:eastAsia="zh-CN"/>
        </w:rPr>
        <w:t>入</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842.82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财政拨款支出增加1292.83万元。收入</w:t>
      </w:r>
      <w:r>
        <w:rPr>
          <w:rFonts w:hint="eastAsia" w:ascii="仿宋" w:hAnsi="仿宋" w:eastAsia="仿宋"/>
          <w:color w:val="auto"/>
          <w:sz w:val="32"/>
          <w:szCs w:val="32"/>
          <w:highlight w:val="none"/>
        </w:rPr>
        <w:t>增长</w:t>
      </w:r>
      <w:r>
        <w:rPr>
          <w:rFonts w:hint="eastAsia" w:ascii="仿宋" w:hAnsi="仿宋" w:eastAsia="仿宋"/>
          <w:color w:val="auto"/>
          <w:sz w:val="32"/>
          <w:szCs w:val="32"/>
          <w:highlight w:val="none"/>
          <w:lang w:val="en-US" w:eastAsia="zh-CN"/>
        </w:rPr>
        <w:t>16.85</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支出增长25.84%。</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受新冠疫情持续加重影响，2022年增加重大公共卫生项目支出569.49万元，其他公共卫生项目支出400万元</w:t>
      </w:r>
      <w:r>
        <w:rPr>
          <w:rFonts w:hint="eastAsia" w:ascii="仿宋" w:hAnsi="仿宋" w:eastAsia="仿宋"/>
          <w:color w:val="auto"/>
          <w:sz w:val="32"/>
          <w:szCs w:val="32"/>
          <w:highlight w:val="none"/>
          <w:lang w:eastAsia="zh-CN"/>
        </w:rPr>
        <w:t>。</w:t>
      </w:r>
      <w:r>
        <w:rPr>
          <w:rFonts w:hint="eastAsia" w:ascii="Times New Roman" w:hAnsi="Times New Roman" w:eastAsia="仿宋_GB2312" w:cs="仿宋_GB2312"/>
          <w:sz w:val="32"/>
          <w:szCs w:val="32"/>
          <w:highlight w:val="none"/>
          <w:lang w:val="en-US" w:eastAsia="zh-CN"/>
        </w:rPr>
        <w:t>启动卫子镇中心卫生院县域医疗卫生次中心建设工作</w:t>
      </w:r>
      <w:r>
        <w:rPr>
          <w:rFonts w:hint="eastAsia" w:eastAsia="仿宋_GB2312" w:cs="仿宋_GB2312"/>
          <w:sz w:val="32"/>
          <w:szCs w:val="32"/>
          <w:highlight w:val="none"/>
          <w:lang w:val="en-US" w:eastAsia="zh-CN"/>
        </w:rPr>
        <w:t>，增加卫子次中心建设项目资金600万元。</w:t>
      </w:r>
    </w:p>
    <w:p>
      <w:pPr>
        <w:pStyle w:val="2"/>
        <w:jc w:val="center"/>
      </w:pPr>
      <w:r>
        <w:drawing>
          <wp:inline distT="0" distB="0" distL="114300" distR="114300">
            <wp:extent cx="4572000" cy="2743200"/>
            <wp:effectExtent l="4445" t="4445" r="14605" b="14605"/>
            <wp:docPr id="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pPr>
      <w:r>
        <w:rPr>
          <w:rFonts w:hint="eastAsia" w:ascii="仿宋" w:eastAsia="仿宋"/>
          <w:color w:val="auto"/>
          <w:sz w:val="32"/>
          <w:szCs w:val="32"/>
          <w:highlight w:val="none"/>
        </w:rPr>
        <w:t>（图4：财政拨款收、支决算总计变动情况）（柱状图）</w:t>
      </w:r>
    </w:p>
    <w:p>
      <w:pPr>
        <w:spacing w:line="600" w:lineRule="exact"/>
        <w:ind w:firstLine="640" w:firstLineChars="200"/>
        <w:outlineLvl w:val="1"/>
        <w:rPr>
          <w:rStyle w:val="28"/>
          <w:rFonts w:ascii="黑体" w:hAnsi="黑体" w:eastAsia="黑体"/>
          <w:b w:val="0"/>
          <w:color w:val="auto"/>
          <w:highlight w:val="none"/>
        </w:rPr>
      </w:pPr>
      <w:bookmarkStart w:id="52" w:name="_Toc15396607"/>
      <w:bookmarkStart w:id="53" w:name="_Toc15377209"/>
      <w:bookmarkStart w:id="54" w:name="_Toc1826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般公共预算财政拨款支出决算情况说明</w:t>
      </w:r>
      <w:bookmarkEnd w:id="52"/>
      <w:bookmarkEnd w:id="53"/>
      <w:bookmarkEnd w:id="54"/>
    </w:p>
    <w:p>
      <w:pPr>
        <w:spacing w:line="600" w:lineRule="exact"/>
        <w:ind w:firstLine="643" w:firstLineChars="200"/>
        <w:outlineLvl w:val="2"/>
        <w:rPr>
          <w:rFonts w:ascii="仿宋" w:hAnsi="仿宋" w:eastAsia="仿宋"/>
          <w:b/>
          <w:color w:val="auto"/>
          <w:sz w:val="32"/>
          <w:szCs w:val="32"/>
          <w:highlight w:val="none"/>
        </w:rPr>
      </w:pPr>
      <w:bookmarkStart w:id="55" w:name="_Toc15463"/>
      <w:bookmarkStart w:id="56" w:name="_Toc15377210"/>
      <w:bookmarkStart w:id="57" w:name="_Toc15698"/>
      <w:r>
        <w:rPr>
          <w:rFonts w:hint="eastAsia" w:ascii="仿宋" w:hAnsi="仿宋" w:eastAsia="仿宋"/>
          <w:b/>
          <w:color w:val="auto"/>
          <w:sz w:val="32"/>
          <w:szCs w:val="32"/>
          <w:highlight w:val="none"/>
        </w:rPr>
        <w:t>（一）一般公共预算财政拨款支出决算总体情况</w:t>
      </w:r>
      <w:bookmarkEnd w:id="55"/>
      <w:bookmarkEnd w:id="56"/>
      <w:bookmarkEnd w:id="57"/>
    </w:p>
    <w:p>
      <w:pPr>
        <w:spacing w:line="600" w:lineRule="exact"/>
        <w:ind w:firstLine="640" w:firstLineChars="200"/>
        <w:rPr>
          <w:rFonts w:hint="eastAsia" w:eastAsia="仿宋_GB2312" w:cs="仿宋_GB2312"/>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4897.12</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97.89</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1496.18</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43.99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受新冠疫情持续加重影响，2022年增加重大公共卫生项目支出569.49万元，其他公共卫生项目支出400万元</w:t>
      </w:r>
      <w:r>
        <w:rPr>
          <w:rFonts w:hint="eastAsia" w:ascii="仿宋" w:hAnsi="仿宋" w:eastAsia="仿宋"/>
          <w:color w:val="auto"/>
          <w:sz w:val="32"/>
          <w:szCs w:val="32"/>
          <w:highlight w:val="none"/>
          <w:lang w:eastAsia="zh-CN"/>
        </w:rPr>
        <w:t>。</w:t>
      </w:r>
      <w:r>
        <w:rPr>
          <w:rFonts w:hint="eastAsia" w:ascii="Times New Roman" w:hAnsi="Times New Roman" w:eastAsia="仿宋_GB2312" w:cs="仿宋_GB2312"/>
          <w:sz w:val="32"/>
          <w:szCs w:val="32"/>
          <w:highlight w:val="none"/>
          <w:lang w:val="en-US" w:eastAsia="zh-CN"/>
        </w:rPr>
        <w:t>启动卫子镇中心卫生院县域医疗卫生次中心建设工作</w:t>
      </w:r>
      <w:r>
        <w:rPr>
          <w:rFonts w:hint="eastAsia" w:eastAsia="仿宋_GB2312" w:cs="仿宋_GB2312"/>
          <w:sz w:val="32"/>
          <w:szCs w:val="32"/>
          <w:highlight w:val="none"/>
          <w:lang w:val="en-US" w:eastAsia="zh-CN"/>
        </w:rPr>
        <w:t>，增加卫子次中心建设项目资金600万元。</w:t>
      </w:r>
    </w:p>
    <w:p>
      <w:pPr>
        <w:pStyle w:val="2"/>
        <w:jc w:val="center"/>
      </w:pPr>
      <w:r>
        <w:drawing>
          <wp:inline distT="0" distB="0" distL="114300" distR="114300">
            <wp:extent cx="4915535" cy="2506345"/>
            <wp:effectExtent l="4445" t="4445" r="13970" b="2286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pPr>
      <w:r>
        <w:rPr>
          <w:rFonts w:hint="eastAsia" w:asci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hAnsi="仿宋" w:eastAsia="仿宋"/>
          <w:b/>
          <w:color w:val="auto"/>
          <w:sz w:val="32"/>
          <w:szCs w:val="32"/>
          <w:highlight w:val="none"/>
        </w:rPr>
      </w:pPr>
      <w:bookmarkStart w:id="58" w:name="_Toc24839"/>
      <w:bookmarkStart w:id="59" w:name="_Toc15377211"/>
      <w:bookmarkStart w:id="60" w:name="_Toc14365"/>
      <w:r>
        <w:rPr>
          <w:rFonts w:hint="eastAsia" w:ascii="仿宋" w:hAnsi="仿宋" w:eastAsia="仿宋"/>
          <w:b/>
          <w:color w:val="auto"/>
          <w:sz w:val="32"/>
          <w:szCs w:val="32"/>
          <w:highlight w:val="none"/>
        </w:rPr>
        <w:t>（二）一般公共预算财政拨款支出决算结构情况</w:t>
      </w:r>
      <w:bookmarkEnd w:id="58"/>
      <w:bookmarkEnd w:id="59"/>
      <w:bookmarkEnd w:id="60"/>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4897.12</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教育支出</w:t>
      </w:r>
      <w:r>
        <w:rPr>
          <w:rFonts w:hint="eastAsia" w:ascii="仿宋" w:hAnsi="仿宋" w:eastAsia="仿宋"/>
          <w:color w:val="auto"/>
          <w:sz w:val="32"/>
          <w:szCs w:val="32"/>
          <w:highlight w:val="none"/>
          <w:lang w:val="en-US" w:eastAsia="zh-CN"/>
        </w:rPr>
        <w:t>679.94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13.88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99.04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2.02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4048.84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82.68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69.3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1.42%</w:t>
      </w:r>
      <w:r>
        <w:rPr>
          <w:rFonts w:hint="eastAsia" w:ascii="仿宋" w:hAnsi="仿宋" w:eastAsia="仿宋"/>
          <w:color w:val="auto"/>
          <w:sz w:val="32"/>
          <w:szCs w:val="32"/>
          <w:highlight w:val="none"/>
        </w:rPr>
        <w:t>。</w:t>
      </w:r>
    </w:p>
    <w:p>
      <w:pPr>
        <w:pStyle w:val="2"/>
        <w:rPr>
          <w:rFonts w:hint="eastAsia" w:ascii="仿宋" w:hAnsi="仿宋" w:eastAsia="仿宋"/>
          <w:color w:val="auto"/>
          <w:sz w:val="32"/>
          <w:szCs w:val="32"/>
          <w:highlight w:val="none"/>
        </w:rPr>
      </w:pPr>
    </w:p>
    <w:p>
      <w:pPr>
        <w:pStyle w:val="2"/>
        <w:jc w:val="center"/>
      </w:pPr>
      <w:r>
        <w:drawing>
          <wp:inline distT="0" distB="0" distL="114300" distR="114300">
            <wp:extent cx="4643755" cy="2289175"/>
            <wp:effectExtent l="4445" t="5080" r="19050" b="10795"/>
            <wp:docPr id="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rPr>
          <w:rFonts w:ascii="仿宋" w:eastAsia="仿宋"/>
          <w:color w:val="auto"/>
          <w:sz w:val="32"/>
          <w:szCs w:val="32"/>
          <w:highlight w:val="none"/>
        </w:rPr>
      </w:pPr>
      <w:r>
        <w:rPr>
          <w:rFonts w:hint="eastAsia" w:ascii="仿宋" w:eastAsia="仿宋"/>
          <w:color w:val="auto"/>
          <w:sz w:val="32"/>
          <w:szCs w:val="32"/>
          <w:highlight w:val="none"/>
        </w:rPr>
        <w:t>（图6：一般公共预算财政拨款支出决算结构）（饼状图）</w:t>
      </w:r>
    </w:p>
    <w:p>
      <w:pPr>
        <w:pStyle w:val="2"/>
        <w:jc w:val="center"/>
      </w:pPr>
    </w:p>
    <w:p>
      <w:pPr>
        <w:spacing w:line="600" w:lineRule="exact"/>
        <w:ind w:firstLine="643" w:firstLineChars="200"/>
        <w:outlineLvl w:val="2"/>
        <w:rPr>
          <w:rFonts w:ascii="仿宋" w:hAnsi="仿宋" w:eastAsia="仿宋"/>
          <w:b/>
          <w:color w:val="auto"/>
          <w:sz w:val="32"/>
          <w:szCs w:val="32"/>
          <w:highlight w:val="none"/>
        </w:rPr>
      </w:pPr>
      <w:bookmarkStart w:id="61" w:name="_Toc32458"/>
      <w:bookmarkStart w:id="62" w:name="_Toc28310"/>
      <w:bookmarkStart w:id="63" w:name="_Toc15377212"/>
      <w:r>
        <w:rPr>
          <w:rFonts w:hint="eastAsia" w:ascii="仿宋" w:hAnsi="仿宋" w:eastAsia="仿宋"/>
          <w:b/>
          <w:color w:val="auto"/>
          <w:sz w:val="32"/>
          <w:szCs w:val="32"/>
          <w:highlight w:val="none"/>
        </w:rPr>
        <w:t>（三）一般公共预算财政拨款支出决算具体情况</w:t>
      </w:r>
      <w:bookmarkEnd w:id="61"/>
      <w:bookmarkEnd w:id="62"/>
      <w:bookmarkEnd w:id="63"/>
    </w:p>
    <w:p>
      <w:pPr>
        <w:spacing w:line="600" w:lineRule="exact"/>
        <w:ind w:firstLine="643" w:firstLineChars="200"/>
        <w:outlineLvl w:val="1"/>
        <w:rPr>
          <w:rFonts w:ascii="仿宋" w:hAnsi="仿宋" w:eastAsia="仿宋"/>
          <w:color w:val="auto"/>
          <w:sz w:val="32"/>
          <w:szCs w:val="32"/>
          <w:highlight w:val="none"/>
        </w:rPr>
      </w:pPr>
      <w:bookmarkStart w:id="64" w:name="_Toc15377213"/>
      <w:bookmarkStart w:id="65" w:name="_Toc14737"/>
      <w:bookmarkStart w:id="66" w:name="_Toc15378460"/>
      <w:bookmarkStart w:id="67" w:name="_Toc15377444"/>
      <w:bookmarkStart w:id="68" w:name="_Toc14602"/>
      <w:bookmarkStart w:id="69" w:name="_Toc32209"/>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4897.12万元</w:t>
      </w:r>
      <w:r>
        <w:rPr>
          <w:rFonts w:hint="eastAsia" w:ascii="仿宋" w:hAnsi="仿宋" w:eastAsia="仿宋"/>
          <w:color w:val="auto"/>
          <w:sz w:val="32"/>
          <w:szCs w:val="32"/>
          <w:highlight w:val="none"/>
        </w:rPr>
        <w:t>，</w:t>
      </w:r>
      <w:r>
        <w:rPr>
          <w:rStyle w:val="17"/>
          <w:rFonts w:hint="eastAsia" w:ascii="仿宋" w:hAnsi="仿宋" w:eastAsia="仿宋"/>
          <w:bCs/>
          <w:color w:val="auto"/>
          <w:sz w:val="32"/>
          <w:szCs w:val="32"/>
          <w:highlight w:val="none"/>
        </w:rPr>
        <w:t>完成预算</w:t>
      </w:r>
      <w:r>
        <w:rPr>
          <w:rStyle w:val="17"/>
          <w:rFonts w:hint="eastAsia" w:ascii="仿宋" w:hAnsi="仿宋" w:eastAsia="仿宋"/>
          <w:bCs/>
          <w:color w:val="auto"/>
          <w:sz w:val="32"/>
          <w:szCs w:val="32"/>
          <w:highlight w:val="none"/>
          <w:lang w:val="en-US" w:eastAsia="zh-CN"/>
        </w:rPr>
        <w:t>100</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。其中：</w:t>
      </w:r>
      <w:bookmarkEnd w:id="64"/>
      <w:bookmarkEnd w:id="65"/>
      <w:bookmarkEnd w:id="66"/>
      <w:bookmarkEnd w:id="67"/>
      <w:bookmarkEnd w:id="68"/>
      <w:bookmarkEnd w:id="69"/>
    </w:p>
    <w:p>
      <w:pPr>
        <w:spacing w:line="600" w:lineRule="exact"/>
        <w:ind w:firstLine="643" w:firstLineChars="200"/>
        <w:rPr>
          <w:rFonts w:hint="eastAsia" w:ascii="仿宋" w:hAnsi="仿宋" w:eastAsia="仿宋"/>
          <w:b/>
          <w:color w:val="auto"/>
          <w:sz w:val="32"/>
          <w:szCs w:val="32"/>
          <w:highlight w:val="none"/>
          <w:lang w:val="en-US" w:eastAsia="zh-CN"/>
        </w:rPr>
      </w:pPr>
      <w:r>
        <w:rPr>
          <w:rStyle w:val="17"/>
          <w:rFonts w:hint="eastAsia" w:ascii="仿宋" w:hAnsi="仿宋" w:eastAsia="仿宋"/>
          <w:bCs/>
          <w:color w:val="auto"/>
          <w:sz w:val="32"/>
          <w:szCs w:val="32"/>
          <w:highlight w:val="none"/>
          <w:lang w:val="en-US" w:eastAsia="zh-CN"/>
        </w:rPr>
        <w:t>1.</w:t>
      </w:r>
      <w:r>
        <w:rPr>
          <w:rStyle w:val="17"/>
          <w:rFonts w:hint="eastAsia" w:ascii="仿宋" w:hAnsi="仿宋" w:eastAsia="仿宋"/>
          <w:bCs/>
          <w:color w:val="auto"/>
          <w:sz w:val="32"/>
          <w:szCs w:val="32"/>
          <w:highlight w:val="none"/>
        </w:rPr>
        <w:t>教育（类）</w:t>
      </w:r>
      <w:r>
        <w:rPr>
          <w:rStyle w:val="17"/>
          <w:rFonts w:hint="eastAsia" w:ascii="仿宋" w:hAnsi="仿宋" w:eastAsia="仿宋"/>
          <w:bCs/>
          <w:color w:val="auto"/>
          <w:sz w:val="32"/>
          <w:szCs w:val="32"/>
          <w:highlight w:val="none"/>
          <w:lang w:eastAsia="zh-CN"/>
        </w:rPr>
        <w:t>其他教育支出</w:t>
      </w:r>
      <w:r>
        <w:rPr>
          <w:rStyle w:val="17"/>
          <w:rFonts w:hint="eastAsia" w:ascii="仿宋" w:hAnsi="仿宋" w:eastAsia="仿宋"/>
          <w:bCs/>
          <w:color w:val="auto"/>
          <w:sz w:val="32"/>
          <w:szCs w:val="32"/>
          <w:highlight w:val="none"/>
        </w:rPr>
        <w:t>（款）其他教育支出（项）</w:t>
      </w:r>
      <w:r>
        <w:rPr>
          <w:rStyle w:val="17"/>
          <w:rFonts w:ascii="仿宋" w:hAnsi="仿宋" w:eastAsia="仿宋"/>
          <w:bCs/>
          <w:color w:val="auto"/>
          <w:sz w:val="32"/>
          <w:szCs w:val="32"/>
          <w:highlight w:val="none"/>
        </w:rPr>
        <w:t>:</w:t>
      </w:r>
      <w:r>
        <w:rPr>
          <w:rStyle w:val="17"/>
          <w:rFonts w:hint="eastAsia" w:ascii="仿宋" w:hAnsi="仿宋" w:eastAsia="仿宋"/>
          <w:b w:val="0"/>
          <w:bCs w:val="0"/>
          <w:color w:val="auto"/>
          <w:sz w:val="32"/>
          <w:szCs w:val="32"/>
          <w:highlight w:val="none"/>
          <w:lang w:eastAsia="zh-CN"/>
        </w:rPr>
        <w:t>主要用于</w:t>
      </w:r>
      <w:r>
        <w:rPr>
          <w:rStyle w:val="17"/>
          <w:rFonts w:hint="eastAsia" w:ascii="仿宋" w:hAnsi="仿宋" w:eastAsia="仿宋"/>
          <w:b w:val="0"/>
          <w:bCs w:val="0"/>
          <w:color w:val="auto"/>
          <w:sz w:val="32"/>
          <w:szCs w:val="32"/>
          <w:highlight w:val="none"/>
          <w:lang w:val="en-US" w:eastAsia="zh-CN"/>
        </w:rPr>
        <w:t>学校应对新冠疫情防控支出</w:t>
      </w:r>
      <w:r>
        <w:rPr>
          <w:rStyle w:val="17"/>
          <w:rFonts w:hint="eastAsia" w:ascii="仿宋" w:hAnsi="仿宋" w:eastAsia="仿宋"/>
          <w:bCs/>
          <w:color w:val="auto"/>
          <w:sz w:val="32"/>
          <w:szCs w:val="32"/>
          <w:highlight w:val="none"/>
          <w:lang w:eastAsia="zh-CN"/>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679.94</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Style w:val="17"/>
          <w:rFonts w:hint="eastAsia" w:ascii="仿宋" w:hAnsi="仿宋" w:eastAsia="仿宋"/>
          <w:b w:val="0"/>
          <w:bCs/>
          <w:color w:val="auto"/>
          <w:sz w:val="32"/>
          <w:szCs w:val="32"/>
          <w:highlight w:val="none"/>
          <w:lang w:eastAsia="zh-CN"/>
        </w:rPr>
      </w:pPr>
      <w:r>
        <w:rPr>
          <w:rStyle w:val="17"/>
          <w:rFonts w:hint="eastAsia" w:ascii="仿宋" w:hAnsi="仿宋" w:eastAsia="仿宋"/>
          <w:bCs/>
          <w:color w:val="auto"/>
          <w:sz w:val="32"/>
          <w:szCs w:val="32"/>
          <w:highlight w:val="none"/>
          <w:lang w:val="en-US" w:eastAsia="zh-CN"/>
        </w:rPr>
        <w:t>2</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社会保障和就业（类）行政事业单位养老支出（款）机关事业单位基本养老保险缴费支出（项）</w:t>
      </w:r>
      <w:r>
        <w:rPr>
          <w:rStyle w:val="17"/>
          <w:rFonts w:ascii="仿宋" w:hAnsi="仿宋" w:eastAsia="仿宋"/>
          <w:bCs/>
          <w:color w:val="auto"/>
          <w:sz w:val="32"/>
          <w:szCs w:val="32"/>
          <w:highlight w:val="none"/>
        </w:rPr>
        <w:t>:</w:t>
      </w:r>
      <w:r>
        <w:rPr>
          <w:rFonts w:hint="eastAsia" w:ascii="仿宋_GB2312" w:eastAsia="仿宋_GB2312"/>
          <w:b w:val="0"/>
          <w:bCs/>
          <w:color w:val="000000"/>
          <w:sz w:val="32"/>
          <w:szCs w:val="32"/>
          <w:lang w:eastAsia="zh-CN"/>
        </w:rPr>
        <w:t>主要用于在职在编人员基本养老保险支出，</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45.84</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w:t>
      </w:r>
    </w:p>
    <w:p>
      <w:pPr>
        <w:spacing w:line="600" w:lineRule="exact"/>
        <w:ind w:firstLine="640" w:firstLineChars="200"/>
        <w:rPr>
          <w:rStyle w:val="17"/>
          <w:rFonts w:hint="eastAsia" w:ascii="仿宋" w:hAnsi="仿宋" w:eastAsia="仿宋"/>
          <w:b w:val="0"/>
          <w:bCs/>
          <w:color w:val="auto"/>
          <w:sz w:val="32"/>
          <w:szCs w:val="32"/>
          <w:highlight w:val="none"/>
          <w:lang w:eastAsia="zh-CN"/>
        </w:rPr>
      </w:pPr>
      <w:r>
        <w:rPr>
          <w:rStyle w:val="17"/>
          <w:rFonts w:hint="eastAsia" w:ascii="仿宋" w:hAnsi="仿宋" w:eastAsia="仿宋"/>
          <w:b w:val="0"/>
          <w:bCs/>
          <w:color w:val="auto"/>
          <w:sz w:val="32"/>
          <w:szCs w:val="32"/>
          <w:highlight w:val="none"/>
          <w:lang w:val="en-US" w:eastAsia="zh-CN"/>
        </w:rPr>
        <w:t xml:space="preserve"> </w:t>
      </w:r>
      <w:r>
        <w:rPr>
          <w:rStyle w:val="17"/>
          <w:rFonts w:hint="eastAsia" w:ascii="仿宋" w:hAnsi="仿宋" w:eastAsia="仿宋"/>
          <w:bCs/>
          <w:color w:val="auto"/>
          <w:sz w:val="32"/>
          <w:szCs w:val="32"/>
          <w:highlight w:val="none"/>
          <w:lang w:val="en-US" w:eastAsia="zh-CN"/>
        </w:rPr>
        <w:t>3</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社会保障和就业（类）行政事业单位养老支出（款）</w:t>
      </w:r>
      <w:r>
        <w:rPr>
          <w:rStyle w:val="17"/>
          <w:rFonts w:hint="eastAsia" w:ascii="仿宋" w:hAnsi="仿宋" w:eastAsia="仿宋"/>
          <w:bCs/>
          <w:color w:val="auto"/>
          <w:sz w:val="32"/>
          <w:szCs w:val="32"/>
          <w:highlight w:val="none"/>
          <w:lang w:val="en-US" w:eastAsia="zh-CN"/>
        </w:rPr>
        <w:t>行政单位离退休</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Fonts w:hint="eastAsia" w:ascii="仿宋_GB2312" w:eastAsia="仿宋_GB2312"/>
          <w:b w:val="0"/>
          <w:bCs/>
          <w:color w:val="000000"/>
          <w:sz w:val="32"/>
          <w:szCs w:val="32"/>
          <w:lang w:eastAsia="zh-CN"/>
        </w:rPr>
        <w:t>主要用于在职在编人员职业年金支出，</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48.33</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w:t>
      </w:r>
    </w:p>
    <w:p>
      <w:pPr>
        <w:spacing w:line="600" w:lineRule="exact"/>
        <w:rPr>
          <w:rStyle w:val="17"/>
          <w:rFonts w:hint="eastAsia" w:ascii="仿宋" w:hAnsi="仿宋" w:eastAsia="仿宋"/>
          <w:b w:val="0"/>
          <w:bCs/>
          <w:color w:val="auto"/>
          <w:sz w:val="32"/>
          <w:szCs w:val="32"/>
          <w:highlight w:val="none"/>
          <w:lang w:eastAsia="zh-CN"/>
        </w:rPr>
      </w:pPr>
      <w:r>
        <w:rPr>
          <w:rStyle w:val="17"/>
          <w:rFonts w:hint="eastAsia" w:ascii="仿宋" w:hAnsi="仿宋" w:eastAsia="仿宋"/>
          <w:b w:val="0"/>
          <w:bCs/>
          <w:color w:val="auto"/>
          <w:sz w:val="32"/>
          <w:szCs w:val="32"/>
          <w:highlight w:val="none"/>
          <w:lang w:val="en-US" w:eastAsia="zh-CN"/>
        </w:rPr>
        <w:t xml:space="preserve"> </w:t>
      </w:r>
      <w:r>
        <w:rPr>
          <w:rFonts w:hint="eastAsia" w:ascii="仿宋_GB2312" w:hAnsi="Times New Roman" w:cs="宋体"/>
          <w:b w:val="0"/>
          <w:bCs w:val="0"/>
          <w:sz w:val="32"/>
          <w:szCs w:val="32"/>
          <w:lang w:val="en-US" w:eastAsia="zh-CN"/>
        </w:rPr>
        <w:t xml:space="preserve"> </w:t>
      </w:r>
      <w:r>
        <w:rPr>
          <w:rFonts w:hint="eastAsia" w:ascii="仿宋_GB2312" w:cs="宋体"/>
          <w:b w:val="0"/>
          <w:bCs w:val="0"/>
          <w:sz w:val="32"/>
          <w:szCs w:val="32"/>
          <w:lang w:val="en-US" w:eastAsia="zh-CN"/>
        </w:rPr>
        <w:t xml:space="preserve">  4.</w:t>
      </w:r>
      <w:r>
        <w:rPr>
          <w:rStyle w:val="17"/>
          <w:rFonts w:hint="eastAsia" w:ascii="仿宋" w:hAnsi="仿宋" w:eastAsia="仿宋"/>
          <w:bCs/>
          <w:color w:val="auto"/>
          <w:sz w:val="32"/>
          <w:szCs w:val="32"/>
          <w:highlight w:val="none"/>
        </w:rPr>
        <w:t>社会保障和就业（类）</w:t>
      </w:r>
      <w:r>
        <w:rPr>
          <w:rStyle w:val="17"/>
          <w:rFonts w:hint="eastAsia" w:ascii="仿宋" w:hAnsi="仿宋" w:eastAsia="仿宋"/>
          <w:bCs/>
          <w:color w:val="auto"/>
          <w:sz w:val="32"/>
          <w:szCs w:val="32"/>
          <w:highlight w:val="none"/>
          <w:lang w:val="en-US" w:eastAsia="zh-CN"/>
        </w:rPr>
        <w:t>红十字事业</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行行政运行</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Fonts w:hint="eastAsia" w:ascii="仿宋_GB2312" w:eastAsia="仿宋_GB2312"/>
          <w:b w:val="0"/>
          <w:bCs/>
          <w:color w:val="000000"/>
          <w:sz w:val="32"/>
          <w:szCs w:val="32"/>
          <w:lang w:eastAsia="zh-CN"/>
        </w:rPr>
        <w:t>主要用于在职在编人员</w:t>
      </w:r>
      <w:r>
        <w:rPr>
          <w:rFonts w:hint="eastAsia" w:ascii="仿宋_GB2312" w:eastAsia="仿宋_GB2312"/>
          <w:b w:val="0"/>
          <w:bCs/>
          <w:color w:val="000000"/>
          <w:sz w:val="32"/>
          <w:szCs w:val="32"/>
          <w:lang w:val="en-US" w:eastAsia="zh-CN"/>
        </w:rPr>
        <w:t>公用经费支出，</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4.87</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w:t>
      </w:r>
    </w:p>
    <w:p>
      <w:pPr>
        <w:numPr>
          <w:ilvl w:val="0"/>
          <w:numId w:val="0"/>
        </w:numPr>
        <w:spacing w:line="600" w:lineRule="exact"/>
        <w:ind w:firstLine="643" w:firstLineChars="200"/>
        <w:rPr>
          <w:rStyle w:val="17"/>
          <w:rFonts w:hint="eastAsia" w:ascii="仿宋_GB2312" w:eastAsia="仿宋_GB2312"/>
          <w:b w:val="0"/>
          <w:bCs w:val="0"/>
          <w:color w:val="000000"/>
          <w:sz w:val="32"/>
          <w:szCs w:val="32"/>
          <w:highlight w:val="none"/>
          <w:lang w:val="en-US" w:eastAsia="zh-CN"/>
        </w:rPr>
      </w:pPr>
      <w:r>
        <w:rPr>
          <w:rFonts w:hint="eastAsia" w:ascii="仿宋" w:hAnsi="仿宋" w:eastAsia="仿宋"/>
          <w:b/>
          <w:bCs/>
          <w:color w:val="000000"/>
          <w:sz w:val="32"/>
          <w:szCs w:val="32"/>
          <w:lang w:val="en-US" w:eastAsia="zh-CN"/>
        </w:rPr>
        <w:t>5.</w:t>
      </w:r>
      <w:r>
        <w:rPr>
          <w:rFonts w:hint="eastAsia" w:ascii="仿宋" w:hAnsi="仿宋" w:eastAsia="仿宋"/>
          <w:b/>
          <w:bCs/>
          <w:color w:val="000000"/>
          <w:sz w:val="32"/>
          <w:szCs w:val="32"/>
        </w:rPr>
        <w:t>卫生健康支出</w:t>
      </w:r>
      <w:r>
        <w:rPr>
          <w:rStyle w:val="17"/>
          <w:rFonts w:hint="eastAsia" w:ascii="仿宋" w:hAnsi="仿宋" w:eastAsia="仿宋"/>
          <w:bCs/>
          <w:color w:val="000000"/>
          <w:sz w:val="32"/>
          <w:szCs w:val="32"/>
        </w:rPr>
        <w:t>（类）卫生健康管理事务（款）行政运行（项）</w:t>
      </w:r>
      <w:r>
        <w:rPr>
          <w:rStyle w:val="17"/>
          <w:rFonts w:ascii="仿宋" w:hAnsi="仿宋" w:eastAsia="仿宋"/>
          <w:bCs/>
          <w:color w:val="000000"/>
          <w:sz w:val="32"/>
          <w:szCs w:val="32"/>
        </w:rPr>
        <w:t>:</w:t>
      </w:r>
      <w:r>
        <w:rPr>
          <w:rStyle w:val="17"/>
          <w:rFonts w:hint="eastAsia" w:ascii="仿宋_GB2312" w:eastAsia="仿宋_GB2312"/>
          <w:b w:val="0"/>
          <w:bCs w:val="0"/>
          <w:color w:val="000000"/>
          <w:sz w:val="32"/>
          <w:szCs w:val="32"/>
          <w:highlight w:val="none"/>
        </w:rPr>
        <w:t>主要用于局机关、乡镇内退人员、</w:t>
      </w:r>
      <w:r>
        <w:rPr>
          <w:rStyle w:val="17"/>
          <w:rFonts w:hint="eastAsia" w:ascii="仿宋_GB2312" w:eastAsia="仿宋_GB2312"/>
          <w:b w:val="0"/>
          <w:bCs w:val="0"/>
          <w:color w:val="000000"/>
          <w:sz w:val="32"/>
          <w:szCs w:val="32"/>
          <w:highlight w:val="none"/>
          <w:lang w:val="en-US" w:eastAsia="zh-CN"/>
        </w:rPr>
        <w:t>遗属</w:t>
      </w:r>
      <w:r>
        <w:rPr>
          <w:rStyle w:val="17"/>
          <w:rFonts w:hint="eastAsia" w:ascii="仿宋_GB2312" w:eastAsia="仿宋_GB2312"/>
          <w:b w:val="0"/>
          <w:bCs w:val="0"/>
          <w:color w:val="000000"/>
          <w:sz w:val="32"/>
          <w:szCs w:val="32"/>
          <w:highlight w:val="none"/>
        </w:rPr>
        <w:t>人员、人员经费</w:t>
      </w:r>
      <w:r>
        <w:rPr>
          <w:rStyle w:val="17"/>
          <w:rFonts w:hint="eastAsia" w:ascii="仿宋_GB2312" w:eastAsia="仿宋_GB2312"/>
          <w:b w:val="0"/>
          <w:bCs w:val="0"/>
          <w:color w:val="000000"/>
          <w:sz w:val="32"/>
          <w:szCs w:val="32"/>
          <w:highlight w:val="none"/>
          <w:lang w:val="en-US" w:eastAsia="zh-CN"/>
        </w:rPr>
        <w:t>以及</w:t>
      </w:r>
      <w:r>
        <w:rPr>
          <w:rStyle w:val="17"/>
          <w:rFonts w:hint="eastAsia" w:ascii="仿宋_GB2312" w:eastAsia="仿宋_GB2312"/>
          <w:b w:val="0"/>
          <w:bCs w:val="0"/>
          <w:color w:val="000000"/>
          <w:sz w:val="32"/>
          <w:szCs w:val="32"/>
          <w:highlight w:val="none"/>
        </w:rPr>
        <w:t>局机关运行经费</w:t>
      </w:r>
      <w:r>
        <w:rPr>
          <w:rStyle w:val="17"/>
          <w:rFonts w:hint="eastAsia" w:ascii="仿宋_GB2312" w:eastAsia="仿宋_GB2312"/>
          <w:b w:val="0"/>
          <w:bCs w:val="0"/>
          <w:color w:val="000000"/>
          <w:sz w:val="32"/>
          <w:szCs w:val="32"/>
          <w:highlight w:val="none"/>
          <w:lang w:eastAsia="zh-CN"/>
        </w:rPr>
        <w:t>，</w:t>
      </w:r>
      <w:r>
        <w:rPr>
          <w:rStyle w:val="17"/>
          <w:rFonts w:hint="eastAsia" w:ascii="仿宋_GB2312" w:eastAsia="仿宋_GB2312"/>
          <w:b w:val="0"/>
          <w:bCs w:val="0"/>
          <w:color w:val="000000"/>
          <w:sz w:val="32"/>
          <w:szCs w:val="32"/>
          <w:highlight w:val="none"/>
        </w:rPr>
        <w:t>支出</w:t>
      </w:r>
      <w:r>
        <w:rPr>
          <w:rStyle w:val="17"/>
          <w:rFonts w:hint="eastAsia" w:ascii="仿宋_GB2312" w:eastAsia="仿宋_GB2312"/>
          <w:b w:val="0"/>
          <w:bCs w:val="0"/>
          <w:color w:val="000000"/>
          <w:sz w:val="32"/>
          <w:szCs w:val="32"/>
          <w:highlight w:val="none"/>
          <w:lang w:val="en-US" w:eastAsia="zh-CN"/>
        </w:rPr>
        <w:t>2022</w:t>
      </w:r>
      <w:r>
        <w:rPr>
          <w:rStyle w:val="17"/>
          <w:rFonts w:hint="eastAsia" w:ascii="仿宋_GB2312" w:eastAsia="仿宋_GB2312"/>
          <w:b w:val="0"/>
          <w:bCs w:val="0"/>
          <w:color w:val="000000"/>
          <w:sz w:val="32"/>
          <w:szCs w:val="32"/>
          <w:highlight w:val="none"/>
          <w:lang w:eastAsia="zh-CN"/>
        </w:rPr>
        <w:t>年</w:t>
      </w:r>
      <w:r>
        <w:rPr>
          <w:rStyle w:val="17"/>
          <w:rFonts w:hint="eastAsia" w:ascii="仿宋_GB2312" w:eastAsia="仿宋_GB2312"/>
          <w:b w:val="0"/>
          <w:bCs w:val="0"/>
          <w:color w:val="000000"/>
          <w:sz w:val="32"/>
          <w:szCs w:val="32"/>
          <w:highlight w:val="none"/>
        </w:rPr>
        <w:t>支出决算为</w:t>
      </w:r>
      <w:r>
        <w:rPr>
          <w:rStyle w:val="17"/>
          <w:rFonts w:hint="eastAsia" w:ascii="仿宋_GB2312" w:eastAsia="仿宋_GB2312"/>
          <w:b w:val="0"/>
          <w:bCs w:val="0"/>
          <w:color w:val="000000"/>
          <w:sz w:val="32"/>
          <w:szCs w:val="32"/>
          <w:highlight w:val="none"/>
          <w:lang w:val="en-US" w:eastAsia="zh-CN"/>
        </w:rPr>
        <w:t>615.89</w:t>
      </w:r>
      <w:r>
        <w:rPr>
          <w:rStyle w:val="17"/>
          <w:rFonts w:hint="eastAsia" w:ascii="仿宋_GB2312" w:eastAsia="仿宋_GB2312"/>
          <w:b w:val="0"/>
          <w:bCs w:val="0"/>
          <w:color w:val="000000"/>
          <w:sz w:val="32"/>
          <w:szCs w:val="32"/>
          <w:highlight w:val="none"/>
        </w:rPr>
        <w:t>万元，完成预算</w:t>
      </w:r>
      <w:r>
        <w:rPr>
          <w:rStyle w:val="17"/>
          <w:rFonts w:hint="eastAsia" w:ascii="仿宋_GB2312" w:eastAsia="仿宋_GB2312"/>
          <w:b w:val="0"/>
          <w:bCs w:val="0"/>
          <w:color w:val="000000"/>
          <w:sz w:val="32"/>
          <w:szCs w:val="32"/>
          <w:highlight w:val="none"/>
          <w:lang w:val="en-US" w:eastAsia="zh-CN"/>
        </w:rPr>
        <w:t>100</w:t>
      </w:r>
      <w:r>
        <w:rPr>
          <w:rStyle w:val="17"/>
          <w:rFonts w:hint="eastAsia" w:ascii="仿宋_GB2312" w:eastAsia="仿宋_GB2312"/>
          <w:b w:val="0"/>
          <w:bCs w:val="0"/>
          <w:color w:val="000000"/>
          <w:sz w:val="32"/>
          <w:szCs w:val="32"/>
          <w:highlight w:val="none"/>
        </w:rPr>
        <w:t>%</w:t>
      </w:r>
      <w:r>
        <w:rPr>
          <w:rStyle w:val="17"/>
          <w:rFonts w:hint="eastAsia" w:ascii="仿宋_GB2312" w:eastAsia="仿宋_GB2312"/>
          <w:b w:val="0"/>
          <w:bCs w:val="0"/>
          <w:color w:val="000000"/>
          <w:sz w:val="32"/>
          <w:szCs w:val="32"/>
          <w:highlight w:val="none"/>
          <w:lang w:val="en-US" w:eastAsia="zh-CN"/>
        </w:rPr>
        <w:t>.</w:t>
      </w:r>
    </w:p>
    <w:p>
      <w:pPr>
        <w:numPr>
          <w:ilvl w:val="0"/>
          <w:numId w:val="0"/>
        </w:numPr>
        <w:spacing w:line="600" w:lineRule="exact"/>
        <w:ind w:firstLine="640" w:firstLineChars="200"/>
        <w:rPr>
          <w:rStyle w:val="17"/>
          <w:rFonts w:hint="eastAsia" w:ascii="仿宋" w:hAnsi="仿宋" w:eastAsia="仿宋"/>
          <w:b w:val="0"/>
          <w:bCs w:val="0"/>
          <w:color w:val="auto"/>
          <w:sz w:val="32"/>
          <w:szCs w:val="32"/>
          <w:highlight w:val="none"/>
          <w:lang w:val="en-US" w:eastAsia="zh-CN"/>
        </w:rPr>
      </w:pPr>
      <w:r>
        <w:rPr>
          <w:rStyle w:val="17"/>
          <w:rFonts w:hint="eastAsia" w:ascii="仿宋" w:hAnsi="仿宋" w:eastAsia="仿宋"/>
          <w:b w:val="0"/>
          <w:bCs/>
          <w:color w:val="000000"/>
          <w:sz w:val="32"/>
          <w:szCs w:val="32"/>
          <w:lang w:val="en-US" w:eastAsia="zh-CN"/>
        </w:rPr>
        <w:t xml:space="preserve"> 6.</w:t>
      </w:r>
      <w:r>
        <w:rPr>
          <w:rFonts w:hint="eastAsia" w:ascii="仿宋" w:hAnsi="仿宋" w:eastAsia="仿宋"/>
          <w:b/>
          <w:bCs/>
          <w:color w:val="000000"/>
          <w:sz w:val="32"/>
          <w:szCs w:val="32"/>
        </w:rPr>
        <w:t>卫生健康支出</w:t>
      </w:r>
      <w:r>
        <w:rPr>
          <w:rStyle w:val="17"/>
          <w:rFonts w:hint="eastAsia" w:ascii="仿宋" w:hAnsi="仿宋" w:eastAsia="仿宋"/>
          <w:bCs/>
          <w:color w:val="000000"/>
          <w:sz w:val="32"/>
          <w:szCs w:val="32"/>
        </w:rPr>
        <w:t>（类）卫生健康管理事务（款）</w:t>
      </w:r>
      <w:r>
        <w:rPr>
          <w:rStyle w:val="17"/>
          <w:rFonts w:hint="eastAsia" w:ascii="仿宋" w:hAnsi="仿宋" w:eastAsia="仿宋"/>
          <w:bCs/>
          <w:color w:val="000000"/>
          <w:sz w:val="32"/>
          <w:szCs w:val="32"/>
          <w:lang w:val="en-US" w:eastAsia="zh-CN"/>
        </w:rPr>
        <w:t>其他卫生健康管理事务支出</w:t>
      </w:r>
      <w:r>
        <w:rPr>
          <w:rStyle w:val="17"/>
          <w:rFonts w:hint="eastAsia" w:ascii="仿宋" w:hAnsi="仿宋" w:eastAsia="仿宋"/>
          <w:bCs/>
          <w:color w:val="000000"/>
          <w:sz w:val="32"/>
          <w:szCs w:val="32"/>
        </w:rPr>
        <w:t>（项）</w:t>
      </w:r>
      <w:r>
        <w:rPr>
          <w:rStyle w:val="17"/>
          <w:rFonts w:hint="eastAsia" w:ascii="仿宋" w:hAnsi="仿宋" w:eastAsia="仿宋"/>
          <w:bCs/>
          <w:color w:val="000000"/>
          <w:sz w:val="32"/>
          <w:szCs w:val="32"/>
          <w:lang w:val="en-US" w:eastAsia="zh-CN"/>
        </w:rPr>
        <w:t>;</w:t>
      </w:r>
      <w:r>
        <w:rPr>
          <w:rStyle w:val="17"/>
          <w:rFonts w:hint="eastAsia" w:ascii="仿宋" w:hAnsi="仿宋" w:eastAsia="仿宋"/>
          <w:b w:val="0"/>
          <w:bCs w:val="0"/>
          <w:color w:val="auto"/>
          <w:sz w:val="32"/>
          <w:szCs w:val="32"/>
          <w:highlight w:val="none"/>
          <w:lang w:val="en-US" w:eastAsia="zh-CN"/>
        </w:rPr>
        <w:t>主要用于人员经费、卫子次中心建设两部分支出。2022年支出决算为200万元，</w:t>
      </w:r>
      <w:r>
        <w:rPr>
          <w:rStyle w:val="17"/>
          <w:rFonts w:hint="eastAsia" w:ascii="仿宋" w:hAnsi="仿宋" w:eastAsia="仿宋"/>
          <w:b w:val="0"/>
          <w:bCs w:val="0"/>
          <w:color w:val="auto"/>
          <w:sz w:val="32"/>
          <w:szCs w:val="32"/>
          <w:highlight w:val="none"/>
          <w:lang w:eastAsia="zh-CN"/>
        </w:rPr>
        <w:t>完成预算</w:t>
      </w:r>
      <w:r>
        <w:rPr>
          <w:rStyle w:val="17"/>
          <w:rFonts w:hint="eastAsia" w:ascii="仿宋" w:hAnsi="仿宋" w:eastAsia="仿宋"/>
          <w:b w:val="0"/>
          <w:bCs w:val="0"/>
          <w:color w:val="auto"/>
          <w:sz w:val="32"/>
          <w:szCs w:val="32"/>
          <w:highlight w:val="none"/>
          <w:lang w:val="en-US" w:eastAsia="zh-CN"/>
        </w:rPr>
        <w:t>100</w:t>
      </w:r>
      <w:r>
        <w:rPr>
          <w:rStyle w:val="17"/>
          <w:rFonts w:hint="eastAsia" w:ascii="仿宋" w:hAnsi="仿宋" w:eastAsia="仿宋"/>
          <w:b w:val="0"/>
          <w:bCs w:val="0"/>
          <w:color w:val="auto"/>
          <w:sz w:val="32"/>
          <w:szCs w:val="32"/>
          <w:highlight w:val="none"/>
          <w:lang w:eastAsia="zh-CN"/>
        </w:rPr>
        <w:t>%</w:t>
      </w:r>
      <w:r>
        <w:rPr>
          <w:rStyle w:val="17"/>
          <w:rFonts w:hint="eastAsia" w:ascii="仿宋" w:hAnsi="仿宋" w:eastAsia="仿宋"/>
          <w:b w:val="0"/>
          <w:bCs w:val="0"/>
          <w:color w:val="auto"/>
          <w:sz w:val="32"/>
          <w:szCs w:val="32"/>
          <w:highlight w:val="none"/>
          <w:lang w:val="en-US" w:eastAsia="zh-CN"/>
        </w:rPr>
        <w:t>.</w:t>
      </w:r>
    </w:p>
    <w:p>
      <w:pPr>
        <w:spacing w:line="600" w:lineRule="exact"/>
        <w:ind w:firstLine="643" w:firstLineChars="200"/>
        <w:rPr>
          <w:rStyle w:val="17"/>
          <w:rFonts w:hint="eastAsia" w:ascii="仿宋_GB2312" w:eastAsia="仿宋_GB2312"/>
          <w:b w:val="0"/>
          <w:bCs/>
          <w:color w:val="000000"/>
          <w:sz w:val="32"/>
          <w:szCs w:val="32"/>
          <w:lang w:eastAsia="zh-CN"/>
        </w:rPr>
      </w:pPr>
      <w:r>
        <w:rPr>
          <w:rFonts w:hint="eastAsia" w:ascii="仿宋" w:hAnsi="仿宋" w:eastAsia="仿宋"/>
          <w:b/>
          <w:bCs/>
          <w:color w:val="000000"/>
          <w:sz w:val="32"/>
          <w:szCs w:val="32"/>
          <w:lang w:val="en-US" w:eastAsia="zh-CN"/>
        </w:rPr>
        <w:t>7.</w:t>
      </w:r>
      <w:r>
        <w:rPr>
          <w:rFonts w:hint="eastAsia" w:ascii="仿宋" w:hAnsi="仿宋" w:eastAsia="仿宋"/>
          <w:b/>
          <w:bCs/>
          <w:color w:val="000000"/>
          <w:sz w:val="32"/>
          <w:szCs w:val="32"/>
        </w:rPr>
        <w:t>卫生健康支出</w:t>
      </w:r>
      <w:r>
        <w:rPr>
          <w:rFonts w:hint="eastAsia" w:ascii="仿宋_GB2312" w:eastAsia="仿宋_GB2312"/>
          <w:b/>
          <w:color w:val="000000"/>
          <w:sz w:val="32"/>
          <w:szCs w:val="32"/>
        </w:rPr>
        <w:t>(类)公立医院（款）</w:t>
      </w:r>
      <w:r>
        <w:rPr>
          <w:rStyle w:val="17"/>
          <w:rFonts w:hint="eastAsia" w:ascii="仿宋_GB2312" w:eastAsia="仿宋_GB2312"/>
          <w:color w:val="000000"/>
          <w:sz w:val="32"/>
          <w:szCs w:val="32"/>
        </w:rPr>
        <w:t>其他公立医院支出（项</w:t>
      </w:r>
      <w:r>
        <w:rPr>
          <w:rStyle w:val="17"/>
          <w:rFonts w:hint="eastAsia" w:ascii="仿宋_GB2312" w:eastAsia="仿宋_GB2312"/>
          <w:color w:val="000000"/>
          <w:sz w:val="32"/>
          <w:szCs w:val="32"/>
          <w:lang w:eastAsia="zh-CN"/>
        </w:rPr>
        <w:t>）：</w:t>
      </w:r>
      <w:r>
        <w:rPr>
          <w:rStyle w:val="17"/>
          <w:rFonts w:hint="eastAsia" w:ascii="仿宋_GB2312" w:eastAsia="仿宋_GB2312"/>
          <w:b w:val="0"/>
          <w:bCs/>
          <w:color w:val="000000"/>
          <w:sz w:val="32"/>
          <w:szCs w:val="32"/>
        </w:rPr>
        <w:t>主要用于公立医院</w:t>
      </w:r>
      <w:r>
        <w:rPr>
          <w:rStyle w:val="17"/>
          <w:rFonts w:hint="eastAsia" w:ascii="仿宋_GB2312" w:eastAsia="仿宋_GB2312"/>
          <w:b w:val="0"/>
          <w:bCs/>
          <w:color w:val="000000"/>
          <w:sz w:val="32"/>
          <w:szCs w:val="32"/>
          <w:lang w:eastAsia="zh-CN"/>
        </w:rPr>
        <w:t>综合</w:t>
      </w:r>
      <w:r>
        <w:rPr>
          <w:rStyle w:val="17"/>
          <w:rFonts w:hint="eastAsia" w:ascii="仿宋_GB2312" w:eastAsia="仿宋_GB2312"/>
          <w:b w:val="0"/>
          <w:bCs/>
          <w:color w:val="000000"/>
          <w:sz w:val="32"/>
          <w:szCs w:val="32"/>
        </w:rPr>
        <w:t>改革支出</w:t>
      </w:r>
      <w:r>
        <w:rPr>
          <w:rStyle w:val="17"/>
          <w:rFonts w:hint="eastAsia" w:ascii="仿宋_GB2312" w:eastAsia="仿宋_GB2312"/>
          <w:b w:val="0"/>
          <w:bCs/>
          <w:color w:val="000000"/>
          <w:sz w:val="32"/>
          <w:szCs w:val="32"/>
          <w:lang w:eastAsia="zh-CN"/>
        </w:rPr>
        <w:t>，</w:t>
      </w:r>
      <w:r>
        <w:rPr>
          <w:rStyle w:val="17"/>
          <w:rFonts w:hint="eastAsia" w:ascii="仿宋_GB2312" w:eastAsia="仿宋_GB2312"/>
          <w:b w:val="0"/>
          <w:bCs/>
          <w:color w:val="000000"/>
          <w:sz w:val="32"/>
          <w:szCs w:val="32"/>
        </w:rPr>
        <w:t>决算数</w:t>
      </w:r>
      <w:r>
        <w:rPr>
          <w:rStyle w:val="17"/>
          <w:rFonts w:hint="eastAsia" w:ascii="仿宋_GB2312" w:eastAsia="仿宋_GB2312"/>
          <w:b w:val="0"/>
          <w:bCs/>
          <w:color w:val="000000"/>
          <w:sz w:val="32"/>
          <w:szCs w:val="32"/>
          <w:lang w:val="en-US" w:eastAsia="zh-CN"/>
        </w:rPr>
        <w:t>63.1</w:t>
      </w:r>
      <w:r>
        <w:rPr>
          <w:rStyle w:val="17"/>
          <w:rFonts w:hint="eastAsia" w:ascii="仿宋_GB2312" w:eastAsia="仿宋_GB2312"/>
          <w:b w:val="0"/>
          <w:bCs/>
          <w:color w:val="000000"/>
          <w:sz w:val="32"/>
          <w:szCs w:val="32"/>
        </w:rPr>
        <w:t>万元，完成预算</w:t>
      </w:r>
      <w:r>
        <w:rPr>
          <w:rStyle w:val="17"/>
          <w:rFonts w:hint="eastAsia" w:ascii="仿宋_GB2312" w:eastAsia="仿宋_GB2312"/>
          <w:b w:val="0"/>
          <w:bCs/>
          <w:color w:val="000000"/>
          <w:sz w:val="32"/>
          <w:szCs w:val="32"/>
          <w:lang w:val="en-US" w:eastAsia="zh-CN"/>
        </w:rPr>
        <w:t>100</w:t>
      </w:r>
      <w:r>
        <w:rPr>
          <w:rStyle w:val="17"/>
          <w:rFonts w:hint="eastAsia" w:ascii="仿宋_GB2312" w:eastAsia="仿宋_GB2312"/>
          <w:b w:val="0"/>
          <w:bCs/>
          <w:color w:val="000000"/>
          <w:sz w:val="32"/>
          <w:szCs w:val="32"/>
        </w:rPr>
        <w:t>%</w:t>
      </w:r>
      <w:r>
        <w:rPr>
          <w:rStyle w:val="17"/>
          <w:rFonts w:hint="eastAsia" w:ascii="仿宋_GB2312" w:eastAsia="仿宋_GB2312"/>
          <w:b w:val="0"/>
          <w:bCs/>
          <w:color w:val="000000"/>
          <w:sz w:val="32"/>
          <w:szCs w:val="32"/>
          <w:lang w:eastAsia="zh-CN"/>
        </w:rPr>
        <w:t>。</w:t>
      </w:r>
    </w:p>
    <w:p>
      <w:pPr>
        <w:pStyle w:val="2"/>
        <w:ind w:firstLine="643" w:firstLineChars="200"/>
        <w:rPr>
          <w:rStyle w:val="17"/>
          <w:rFonts w:hint="eastAsia"/>
          <w:b w:val="0"/>
          <w:color w:val="000000"/>
          <w:sz w:val="32"/>
          <w:szCs w:val="32"/>
          <w:lang w:val="en-US" w:eastAsia="zh-CN"/>
        </w:rPr>
      </w:pPr>
      <w:r>
        <w:rPr>
          <w:rStyle w:val="17"/>
          <w:rFonts w:hint="eastAsia"/>
          <w:b/>
          <w:bCs w:val="0"/>
          <w:color w:val="000000"/>
          <w:sz w:val="32"/>
          <w:szCs w:val="32"/>
          <w:lang w:val="en-US" w:eastAsia="zh-CN"/>
        </w:rPr>
        <w:t>8.</w:t>
      </w:r>
      <w:r>
        <w:rPr>
          <w:rStyle w:val="17"/>
          <w:rFonts w:hint="eastAsia" w:ascii="仿宋_GB2312" w:eastAsia="仿宋_GB2312"/>
          <w:color w:val="000000"/>
          <w:sz w:val="32"/>
          <w:szCs w:val="32"/>
        </w:rPr>
        <w:t>卫生健康支出</w:t>
      </w:r>
      <w:r>
        <w:rPr>
          <w:rFonts w:hint="eastAsia" w:ascii="仿宋_GB2312" w:eastAsia="仿宋_GB2312"/>
          <w:b/>
          <w:color w:val="000000"/>
          <w:sz w:val="32"/>
          <w:szCs w:val="32"/>
        </w:rPr>
        <w:t>（类）基层医疗卫生机构（款）</w:t>
      </w:r>
      <w:r>
        <w:rPr>
          <w:rFonts w:hint="eastAsia"/>
          <w:b/>
          <w:color w:val="000000"/>
          <w:sz w:val="32"/>
          <w:szCs w:val="32"/>
          <w:lang w:val="en-US" w:eastAsia="zh-CN"/>
        </w:rPr>
        <w:t>乡镇卫生院</w:t>
      </w:r>
      <w:r>
        <w:rPr>
          <w:rFonts w:hint="eastAsia" w:ascii="仿宋_GB2312" w:eastAsia="仿宋_GB2312"/>
          <w:b/>
          <w:color w:val="000000"/>
          <w:sz w:val="32"/>
          <w:szCs w:val="32"/>
        </w:rPr>
        <w:t>（项）：</w:t>
      </w:r>
      <w:r>
        <w:rPr>
          <w:rStyle w:val="17"/>
          <w:rFonts w:hint="eastAsia" w:ascii="仿宋_GB2312" w:eastAsia="仿宋_GB2312"/>
          <w:b w:val="0"/>
          <w:color w:val="000000"/>
          <w:sz w:val="32"/>
          <w:szCs w:val="32"/>
        </w:rPr>
        <w:t>主要用于</w:t>
      </w:r>
      <w:r>
        <w:rPr>
          <w:rStyle w:val="17"/>
          <w:rFonts w:hint="eastAsia"/>
          <w:b w:val="0"/>
          <w:color w:val="000000"/>
          <w:sz w:val="32"/>
          <w:szCs w:val="32"/>
          <w:lang w:val="en-US" w:eastAsia="zh-CN"/>
        </w:rPr>
        <w:t>县域医疗卫生次中心建设。</w:t>
      </w:r>
      <w:r>
        <w:rPr>
          <w:rStyle w:val="17"/>
          <w:rFonts w:hint="eastAsia"/>
          <w:b w:val="0"/>
          <w:color w:val="000000"/>
          <w:sz w:val="32"/>
          <w:szCs w:val="32"/>
          <w:lang w:eastAsia="zh-CN"/>
        </w:rPr>
        <w:t>决算数</w:t>
      </w:r>
      <w:r>
        <w:rPr>
          <w:rStyle w:val="17"/>
          <w:rFonts w:hint="eastAsia"/>
          <w:b w:val="0"/>
          <w:color w:val="000000"/>
          <w:sz w:val="32"/>
          <w:szCs w:val="32"/>
          <w:lang w:val="en-US" w:eastAsia="zh-CN"/>
        </w:rPr>
        <w:t>500万元，完成预算100%，</w:t>
      </w:r>
    </w:p>
    <w:p>
      <w:pPr>
        <w:pStyle w:val="2"/>
        <w:ind w:firstLine="640" w:firstLineChars="200"/>
        <w:rPr>
          <w:rStyle w:val="17"/>
          <w:rFonts w:hint="default" w:ascii="仿宋" w:hAnsi="仿宋" w:eastAsia="仿宋" w:cs="Times New Roman"/>
          <w:b w:val="0"/>
          <w:bCs w:val="0"/>
          <w:color w:val="auto"/>
          <w:kern w:val="2"/>
          <w:sz w:val="32"/>
          <w:szCs w:val="32"/>
          <w:highlight w:val="none"/>
          <w:lang w:val="en-US" w:eastAsia="zh-CN" w:bidi="ar-SA"/>
        </w:rPr>
      </w:pPr>
      <w:r>
        <w:rPr>
          <w:rStyle w:val="17"/>
          <w:rFonts w:hint="eastAsia"/>
          <w:b w:val="0"/>
          <w:color w:val="000000"/>
          <w:sz w:val="32"/>
          <w:szCs w:val="32"/>
          <w:lang w:val="en-US" w:eastAsia="zh-CN"/>
        </w:rPr>
        <w:t>9.</w:t>
      </w:r>
      <w:r>
        <w:rPr>
          <w:rStyle w:val="17"/>
          <w:rFonts w:hint="eastAsia" w:ascii="仿宋_GB2312" w:eastAsia="仿宋_GB2312"/>
          <w:color w:val="000000"/>
          <w:sz w:val="32"/>
          <w:szCs w:val="32"/>
        </w:rPr>
        <w:t>卫生健康支出</w:t>
      </w:r>
      <w:r>
        <w:rPr>
          <w:rFonts w:hint="eastAsia" w:ascii="仿宋_GB2312" w:eastAsia="仿宋_GB2312"/>
          <w:b/>
          <w:color w:val="000000"/>
          <w:sz w:val="32"/>
          <w:szCs w:val="32"/>
        </w:rPr>
        <w:t>（类）基层医疗卫生机构（款）</w:t>
      </w:r>
      <w:r>
        <w:rPr>
          <w:rFonts w:hint="eastAsia"/>
          <w:b/>
          <w:color w:val="000000"/>
          <w:sz w:val="32"/>
          <w:szCs w:val="32"/>
          <w:lang w:val="en-US" w:eastAsia="zh-CN"/>
        </w:rPr>
        <w:t>其他基层医疗卫生机构支出</w:t>
      </w:r>
      <w:r>
        <w:rPr>
          <w:rFonts w:hint="eastAsia" w:ascii="仿宋_GB2312" w:eastAsia="仿宋_GB2312"/>
          <w:b/>
          <w:color w:val="000000"/>
          <w:sz w:val="32"/>
          <w:szCs w:val="32"/>
        </w:rPr>
        <w:t>（项）：</w:t>
      </w:r>
      <w:r>
        <w:rPr>
          <w:rStyle w:val="17"/>
          <w:rFonts w:hint="eastAsia" w:ascii="仿宋" w:hAnsi="仿宋" w:eastAsia="仿宋" w:cs="Times New Roman"/>
          <w:b w:val="0"/>
          <w:bCs w:val="0"/>
          <w:color w:val="auto"/>
          <w:kern w:val="2"/>
          <w:sz w:val="32"/>
          <w:szCs w:val="32"/>
          <w:highlight w:val="none"/>
          <w:lang w:val="en-US" w:eastAsia="zh-CN" w:bidi="ar-SA"/>
        </w:rPr>
        <w:t>主要用于基本药物制度补助、村卫生室补助（村医养老保险）。决算数107.15万元，完成预算100%。</w:t>
      </w:r>
    </w:p>
    <w:p>
      <w:pPr>
        <w:spacing w:line="600" w:lineRule="exact"/>
        <w:ind w:firstLine="643" w:firstLineChars="200"/>
        <w:rPr>
          <w:rStyle w:val="17"/>
          <w:rFonts w:hint="eastAsia" w:ascii="仿宋" w:hAnsi="仿宋" w:eastAsia="仿宋" w:cs="Times New Roman"/>
          <w:b w:val="0"/>
          <w:bCs w:val="0"/>
          <w:color w:val="auto"/>
          <w:kern w:val="2"/>
          <w:sz w:val="32"/>
          <w:szCs w:val="32"/>
          <w:highlight w:val="none"/>
          <w:lang w:val="en-US" w:eastAsia="zh-CN" w:bidi="ar-SA"/>
        </w:rPr>
      </w:pPr>
      <w:r>
        <w:rPr>
          <w:rStyle w:val="17"/>
          <w:rFonts w:hint="eastAsia" w:ascii="仿宋_GB2312" w:eastAsia="仿宋_GB2312"/>
          <w:bCs/>
          <w:color w:val="000000"/>
          <w:sz w:val="32"/>
          <w:szCs w:val="32"/>
          <w:lang w:val="en-US" w:eastAsia="zh-CN"/>
        </w:rPr>
        <w:t>10.</w:t>
      </w:r>
      <w:r>
        <w:rPr>
          <w:rStyle w:val="17"/>
          <w:rFonts w:hint="eastAsia" w:ascii="仿宋_GB2312" w:eastAsia="仿宋_GB2312"/>
          <w:bCs/>
          <w:color w:val="000000"/>
          <w:sz w:val="32"/>
          <w:szCs w:val="32"/>
        </w:rPr>
        <w:t>卫生健康支出（类）公共卫生（款）</w:t>
      </w:r>
      <w:r>
        <w:rPr>
          <w:rStyle w:val="17"/>
          <w:rFonts w:hint="eastAsia" w:ascii="仿宋_GB2312" w:eastAsia="仿宋_GB2312"/>
          <w:color w:val="000000"/>
          <w:sz w:val="32"/>
          <w:szCs w:val="32"/>
        </w:rPr>
        <w:t>基本公共卫生服务（项）:</w:t>
      </w:r>
      <w:r>
        <w:rPr>
          <w:rStyle w:val="17"/>
          <w:rFonts w:hint="eastAsia" w:ascii="仿宋" w:hAnsi="仿宋" w:eastAsia="仿宋" w:cs="Times New Roman"/>
          <w:b w:val="0"/>
          <w:bCs w:val="0"/>
          <w:color w:val="auto"/>
          <w:kern w:val="2"/>
          <w:sz w:val="32"/>
          <w:szCs w:val="32"/>
          <w:highlight w:val="none"/>
          <w:lang w:val="en-US" w:eastAsia="zh-CN" w:bidi="ar-SA"/>
        </w:rPr>
        <w:t>主要用于卫生健康局机关开展基本公共卫生服务活动、培训、督导费用。2022年决算数为98.82万元，完成预算100%。</w:t>
      </w:r>
    </w:p>
    <w:p>
      <w:pPr>
        <w:pStyle w:val="2"/>
        <w:ind w:firstLine="643" w:firstLineChars="200"/>
        <w:rPr>
          <w:rFonts w:hint="eastAsia" w:ascii="仿宋_GB2312" w:hAnsi="Times New Roman" w:eastAsia="仿宋_GB2312" w:cs="Times New Roman"/>
          <w:color w:val="000000"/>
          <w:kern w:val="2"/>
          <w:sz w:val="32"/>
          <w:szCs w:val="32"/>
          <w:lang w:val="en-US" w:eastAsia="zh-CN" w:bidi="ar-SA"/>
        </w:rPr>
      </w:pPr>
      <w:r>
        <w:rPr>
          <w:rStyle w:val="17"/>
          <w:rFonts w:hint="eastAsia"/>
          <w:bCs/>
          <w:color w:val="000000"/>
          <w:sz w:val="32"/>
          <w:szCs w:val="32"/>
          <w:lang w:val="en-US" w:eastAsia="zh-CN"/>
        </w:rPr>
        <w:t>11.</w:t>
      </w:r>
      <w:r>
        <w:rPr>
          <w:rStyle w:val="17"/>
          <w:rFonts w:hint="eastAsia" w:ascii="仿宋_GB2312" w:eastAsia="仿宋_GB2312"/>
          <w:bCs/>
          <w:color w:val="000000"/>
          <w:sz w:val="32"/>
          <w:szCs w:val="32"/>
        </w:rPr>
        <w:t>卫生健康支出（类）公共卫生（款）</w:t>
      </w:r>
      <w:r>
        <w:rPr>
          <w:rStyle w:val="17"/>
          <w:rFonts w:hint="eastAsia"/>
          <w:color w:val="000000"/>
          <w:sz w:val="32"/>
          <w:szCs w:val="32"/>
          <w:lang w:val="en-US" w:eastAsia="zh-CN"/>
        </w:rPr>
        <w:t>重大</w:t>
      </w:r>
      <w:r>
        <w:rPr>
          <w:rStyle w:val="17"/>
          <w:rFonts w:hint="eastAsia" w:ascii="仿宋_GB2312" w:eastAsia="仿宋_GB2312"/>
          <w:color w:val="000000"/>
          <w:sz w:val="32"/>
          <w:szCs w:val="32"/>
        </w:rPr>
        <w:t>公共卫生服务（项）</w:t>
      </w:r>
      <w:r>
        <w:rPr>
          <w:rStyle w:val="17"/>
          <w:rFonts w:hint="eastAsia"/>
          <w:color w:val="000000"/>
          <w:sz w:val="32"/>
          <w:szCs w:val="32"/>
          <w:lang w:eastAsia="zh-CN"/>
        </w:rPr>
        <w:t>：</w:t>
      </w:r>
      <w:r>
        <w:rPr>
          <w:rFonts w:hint="eastAsia" w:ascii="仿宋_GB2312" w:hAnsi="Times New Roman" w:eastAsia="仿宋_GB2312" w:cs="Times New Roman"/>
          <w:color w:val="000000"/>
          <w:kern w:val="2"/>
          <w:sz w:val="32"/>
          <w:szCs w:val="32"/>
          <w:lang w:val="en-US" w:eastAsia="zh-CN" w:bidi="ar-SA"/>
        </w:rPr>
        <w:t>主要用于贯家坝方舱隔离点、新冠疫情防控项目、重大传染病防控补助、疫情防控工作经费、2021年8-11月医疗机构疫情防控经费。2022年决算数为569.69万元，完成预算100%。</w:t>
      </w:r>
    </w:p>
    <w:p>
      <w:pPr>
        <w:numPr>
          <w:ilvl w:val="0"/>
          <w:numId w:val="0"/>
        </w:numPr>
        <w:spacing w:line="600" w:lineRule="exact"/>
        <w:ind w:firstLine="643" w:firstLineChars="200"/>
        <w:rPr>
          <w:rStyle w:val="17"/>
          <w:rFonts w:hint="eastAsia" w:ascii="仿宋" w:hAnsi="仿宋" w:eastAsia="仿宋" w:cs="Times New Roman"/>
          <w:b w:val="0"/>
          <w:bCs w:val="0"/>
          <w:color w:val="auto"/>
          <w:kern w:val="2"/>
          <w:sz w:val="32"/>
          <w:szCs w:val="32"/>
          <w:highlight w:val="none"/>
          <w:lang w:val="en-US" w:eastAsia="zh-CN" w:bidi="ar-SA"/>
        </w:rPr>
      </w:pPr>
      <w:r>
        <w:rPr>
          <w:rStyle w:val="17"/>
          <w:rFonts w:hint="eastAsia" w:ascii="仿宋_GB2312" w:eastAsia="仿宋_GB2312"/>
          <w:bCs/>
          <w:color w:val="000000"/>
          <w:sz w:val="32"/>
          <w:szCs w:val="32"/>
          <w:lang w:val="en-US" w:eastAsia="zh-CN"/>
        </w:rPr>
        <w:t>12.</w:t>
      </w:r>
      <w:r>
        <w:rPr>
          <w:rStyle w:val="17"/>
          <w:rFonts w:hint="eastAsia" w:ascii="仿宋_GB2312" w:eastAsia="仿宋_GB2312"/>
          <w:bCs/>
          <w:color w:val="000000"/>
          <w:sz w:val="32"/>
          <w:szCs w:val="32"/>
        </w:rPr>
        <w:t>卫生健康支出（类）公共卫生（款）</w:t>
      </w:r>
      <w:r>
        <w:rPr>
          <w:rStyle w:val="17"/>
          <w:rFonts w:hint="eastAsia"/>
          <w:color w:val="000000"/>
          <w:sz w:val="32"/>
          <w:szCs w:val="32"/>
          <w:lang w:val="en-US" w:eastAsia="zh-CN"/>
        </w:rPr>
        <w:t>其他</w:t>
      </w:r>
      <w:r>
        <w:rPr>
          <w:rStyle w:val="17"/>
          <w:rFonts w:hint="eastAsia" w:ascii="仿宋_GB2312" w:eastAsia="仿宋_GB2312"/>
          <w:color w:val="000000"/>
          <w:sz w:val="32"/>
          <w:szCs w:val="32"/>
        </w:rPr>
        <w:t>公共卫生</w:t>
      </w:r>
      <w:r>
        <w:rPr>
          <w:rStyle w:val="17"/>
          <w:rFonts w:hint="eastAsia"/>
          <w:color w:val="000000"/>
          <w:sz w:val="32"/>
          <w:szCs w:val="32"/>
          <w:lang w:val="en-US" w:eastAsia="zh-CN"/>
        </w:rPr>
        <w:t>支出</w:t>
      </w:r>
      <w:r>
        <w:rPr>
          <w:rStyle w:val="17"/>
          <w:rFonts w:hint="eastAsia" w:ascii="仿宋_GB2312" w:eastAsia="仿宋_GB2312"/>
          <w:color w:val="000000"/>
          <w:sz w:val="32"/>
          <w:szCs w:val="32"/>
        </w:rPr>
        <w:t>（项）</w:t>
      </w:r>
      <w:r>
        <w:rPr>
          <w:rStyle w:val="17"/>
          <w:rFonts w:hint="eastAsia"/>
          <w:color w:val="000000"/>
          <w:sz w:val="32"/>
          <w:szCs w:val="32"/>
          <w:lang w:eastAsia="zh-CN"/>
        </w:rPr>
        <w:t>。</w:t>
      </w:r>
      <w:r>
        <w:rPr>
          <w:rStyle w:val="17"/>
          <w:rFonts w:hint="eastAsia" w:ascii="仿宋" w:hAnsi="仿宋" w:eastAsia="仿宋" w:cs="Times New Roman"/>
          <w:b w:val="0"/>
          <w:bCs w:val="0"/>
          <w:color w:val="auto"/>
          <w:kern w:val="2"/>
          <w:sz w:val="32"/>
          <w:szCs w:val="32"/>
          <w:highlight w:val="none"/>
          <w:lang w:val="en-US" w:eastAsia="zh-CN" w:bidi="ar-SA"/>
        </w:rPr>
        <w:t>主要用于新冠疫情防控项目资金（应急资金）。2022年决算数为400万元，完成预算100%。</w:t>
      </w:r>
    </w:p>
    <w:p>
      <w:pPr>
        <w:numPr>
          <w:ilvl w:val="0"/>
          <w:numId w:val="0"/>
        </w:numPr>
        <w:spacing w:line="600" w:lineRule="exact"/>
        <w:ind w:firstLine="643" w:firstLineChars="200"/>
        <w:rPr>
          <w:rFonts w:hint="eastAsia" w:ascii="仿宋_GB2312" w:eastAsia="仿宋_GB2312"/>
          <w:color w:val="000000"/>
          <w:sz w:val="32"/>
          <w:szCs w:val="32"/>
        </w:rPr>
      </w:pPr>
      <w:r>
        <w:rPr>
          <w:rStyle w:val="17"/>
          <w:rFonts w:hint="eastAsia" w:ascii="仿宋_GB2312" w:eastAsia="仿宋_GB2312"/>
          <w:bCs/>
          <w:color w:val="000000"/>
          <w:sz w:val="32"/>
          <w:szCs w:val="32"/>
          <w:lang w:val="en-US" w:eastAsia="zh-CN"/>
        </w:rPr>
        <w:t>13.</w:t>
      </w:r>
      <w:r>
        <w:rPr>
          <w:rStyle w:val="17"/>
          <w:rFonts w:hint="eastAsia" w:ascii="仿宋_GB2312" w:eastAsia="仿宋_GB2312"/>
          <w:bCs/>
          <w:color w:val="000000"/>
          <w:sz w:val="32"/>
          <w:szCs w:val="32"/>
        </w:rPr>
        <w:t>卫生健康支出（类）</w:t>
      </w:r>
      <w:r>
        <w:rPr>
          <w:rStyle w:val="17"/>
          <w:rFonts w:hint="eastAsia"/>
          <w:bCs/>
          <w:color w:val="000000"/>
          <w:sz w:val="32"/>
          <w:szCs w:val="32"/>
          <w:lang w:val="en-US" w:eastAsia="zh-CN"/>
        </w:rPr>
        <w:t>中医药</w:t>
      </w:r>
      <w:r>
        <w:rPr>
          <w:rStyle w:val="17"/>
          <w:rFonts w:hint="eastAsia" w:ascii="仿宋_GB2312" w:eastAsia="仿宋_GB2312"/>
          <w:bCs/>
          <w:color w:val="000000"/>
          <w:sz w:val="32"/>
          <w:szCs w:val="32"/>
        </w:rPr>
        <w:t>（款）</w:t>
      </w:r>
      <w:r>
        <w:rPr>
          <w:rStyle w:val="17"/>
          <w:rFonts w:hint="eastAsia"/>
          <w:color w:val="000000"/>
          <w:sz w:val="32"/>
          <w:szCs w:val="32"/>
          <w:lang w:val="en-US" w:eastAsia="zh-CN"/>
        </w:rPr>
        <w:t>中医（民族医）药专项</w:t>
      </w:r>
      <w:r>
        <w:rPr>
          <w:rStyle w:val="17"/>
          <w:rFonts w:hint="eastAsia" w:ascii="仿宋_GB2312" w:eastAsia="仿宋_GB2312"/>
          <w:color w:val="000000"/>
          <w:sz w:val="32"/>
          <w:szCs w:val="32"/>
        </w:rPr>
        <w:t>（项）</w:t>
      </w:r>
      <w:r>
        <w:rPr>
          <w:rStyle w:val="17"/>
          <w:rFonts w:hint="eastAsia"/>
          <w:color w:val="000000"/>
          <w:sz w:val="32"/>
          <w:szCs w:val="32"/>
          <w:lang w:eastAsia="zh-CN"/>
        </w:rPr>
        <w:t>。</w:t>
      </w:r>
      <w:r>
        <w:rPr>
          <w:rFonts w:hint="eastAsia" w:ascii="仿宋_GB2312" w:eastAsia="仿宋_GB2312"/>
          <w:color w:val="000000"/>
          <w:sz w:val="32"/>
          <w:szCs w:val="32"/>
          <w:lang w:val="en-US" w:eastAsia="zh-CN"/>
        </w:rPr>
        <w:t>主要用于中医药发展、中医药事业发展与传承工作。2022年</w:t>
      </w:r>
      <w:r>
        <w:rPr>
          <w:rFonts w:hint="eastAsia" w:ascii="仿宋_GB2312" w:eastAsia="仿宋_GB2312"/>
          <w:color w:val="000000"/>
          <w:sz w:val="32"/>
          <w:szCs w:val="32"/>
        </w:rPr>
        <w:t>决算数为</w:t>
      </w:r>
      <w:r>
        <w:rPr>
          <w:rFonts w:hint="eastAsia" w:ascii="仿宋_GB2312" w:eastAsia="仿宋_GB2312"/>
          <w:color w:val="000000"/>
          <w:sz w:val="32"/>
          <w:szCs w:val="32"/>
          <w:lang w:val="en-US" w:eastAsia="zh-CN"/>
        </w:rPr>
        <w:t>118</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p>
    <w:p>
      <w:pPr>
        <w:pStyle w:val="2"/>
        <w:numPr>
          <w:ilvl w:val="0"/>
          <w:numId w:val="0"/>
        </w:numPr>
        <w:ind w:leftChars="0" w:firstLine="643" w:firstLineChars="200"/>
        <w:rPr>
          <w:rFonts w:hint="eastAsia" w:ascii="仿宋_GB2312" w:eastAsia="仿宋_GB2312"/>
          <w:color w:val="000000"/>
          <w:sz w:val="32"/>
          <w:szCs w:val="32"/>
        </w:rPr>
      </w:pPr>
      <w:r>
        <w:rPr>
          <w:rStyle w:val="17"/>
          <w:rFonts w:hint="eastAsia"/>
          <w:color w:val="000000"/>
          <w:sz w:val="32"/>
          <w:szCs w:val="32"/>
          <w:lang w:val="en-US" w:eastAsia="zh-CN"/>
        </w:rPr>
        <w:t>14.</w:t>
      </w:r>
      <w:r>
        <w:rPr>
          <w:rStyle w:val="17"/>
          <w:rFonts w:hint="eastAsia" w:ascii="仿宋_GB2312" w:eastAsia="仿宋_GB2312"/>
          <w:color w:val="000000"/>
          <w:sz w:val="32"/>
          <w:szCs w:val="32"/>
        </w:rPr>
        <w:t>卫生健康支出（类）计划生育事务</w:t>
      </w:r>
      <w:r>
        <w:rPr>
          <w:rFonts w:hint="eastAsia" w:ascii="仿宋_GB2312" w:eastAsia="仿宋_GB2312"/>
          <w:b/>
          <w:bCs/>
          <w:color w:val="000000"/>
          <w:sz w:val="32"/>
          <w:szCs w:val="32"/>
        </w:rPr>
        <w:t>（款）</w:t>
      </w:r>
      <w:r>
        <w:rPr>
          <w:rFonts w:hint="eastAsia"/>
          <w:b/>
          <w:bCs/>
          <w:color w:val="000000"/>
          <w:sz w:val="32"/>
          <w:szCs w:val="32"/>
          <w:lang w:val="en-US" w:eastAsia="zh-CN"/>
        </w:rPr>
        <w:t>计划生育服务</w:t>
      </w:r>
      <w:r>
        <w:rPr>
          <w:rFonts w:hint="eastAsia" w:ascii="仿宋_GB2312" w:eastAsia="仿宋_GB2312"/>
          <w:b/>
          <w:bCs/>
          <w:color w:val="000000"/>
          <w:sz w:val="32"/>
          <w:szCs w:val="32"/>
        </w:rPr>
        <w:t>（项）</w:t>
      </w:r>
      <w:r>
        <w:rPr>
          <w:rFonts w:hint="eastAsia" w:ascii="仿宋_GB2312" w:eastAsia="仿宋_GB2312"/>
          <w:color w:val="000000"/>
          <w:sz w:val="32"/>
          <w:szCs w:val="32"/>
        </w:rPr>
        <w:t>:主要用于实行计划生育奖励扶助</w:t>
      </w:r>
      <w:r>
        <w:rPr>
          <w:rFonts w:hint="eastAsia" w:ascii="仿宋_GB2312" w:eastAsia="仿宋_GB2312"/>
          <w:color w:val="000000"/>
          <w:sz w:val="32"/>
          <w:szCs w:val="32"/>
          <w:lang w:eastAsia="zh-CN"/>
        </w:rPr>
        <w:t>对个人和家庭的补助、计划生育免费手术等支出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202</w:t>
      </w:r>
      <w:r>
        <w:rPr>
          <w:rFonts w:hint="eastAsia"/>
          <w:color w:val="000000"/>
          <w:sz w:val="32"/>
          <w:szCs w:val="32"/>
          <w:lang w:val="en-US" w:eastAsia="zh-CN"/>
        </w:rPr>
        <w:t>2</w:t>
      </w:r>
      <w:r>
        <w:rPr>
          <w:rFonts w:hint="eastAsia" w:ascii="仿宋_GB2312" w:eastAsia="仿宋_GB2312"/>
          <w:color w:val="000000"/>
          <w:sz w:val="32"/>
          <w:szCs w:val="32"/>
        </w:rPr>
        <w:t>决算数为</w:t>
      </w:r>
      <w:r>
        <w:rPr>
          <w:rFonts w:hint="eastAsia"/>
          <w:color w:val="000000"/>
          <w:sz w:val="32"/>
          <w:szCs w:val="32"/>
          <w:lang w:val="en-US" w:eastAsia="zh-CN"/>
        </w:rPr>
        <w:t>345.6</w:t>
      </w:r>
      <w:r>
        <w:rPr>
          <w:rFonts w:hint="eastAsia" w:ascii="仿宋_GB2312" w:eastAsia="仿宋_GB2312"/>
          <w:color w:val="000000"/>
          <w:sz w:val="32"/>
          <w:szCs w:val="32"/>
        </w:rPr>
        <w:t>万元，完成预算</w:t>
      </w:r>
      <w:r>
        <w:rPr>
          <w:rFonts w:hint="eastAsia"/>
          <w:color w:val="000000"/>
          <w:sz w:val="32"/>
          <w:szCs w:val="32"/>
          <w:lang w:val="en-US" w:eastAsia="zh-CN"/>
        </w:rPr>
        <w:t>100</w:t>
      </w:r>
      <w:r>
        <w:rPr>
          <w:rFonts w:hint="eastAsia" w:ascii="仿宋_GB2312" w:eastAsia="仿宋_GB2312"/>
          <w:color w:val="000000"/>
          <w:sz w:val="32"/>
          <w:szCs w:val="32"/>
        </w:rPr>
        <w:t>%。</w:t>
      </w:r>
    </w:p>
    <w:p>
      <w:pPr>
        <w:pStyle w:val="2"/>
        <w:numPr>
          <w:ilvl w:val="0"/>
          <w:numId w:val="0"/>
        </w:numPr>
        <w:ind w:leftChars="0" w:firstLine="643" w:firstLineChars="200"/>
        <w:rPr>
          <w:rFonts w:hint="eastAsia" w:ascii="仿宋_GB2312" w:eastAsia="仿宋_GB2312"/>
          <w:color w:val="000000"/>
          <w:sz w:val="32"/>
          <w:szCs w:val="32"/>
        </w:rPr>
      </w:pPr>
      <w:r>
        <w:rPr>
          <w:rStyle w:val="17"/>
          <w:rFonts w:hint="eastAsia"/>
          <w:color w:val="000000"/>
          <w:sz w:val="32"/>
          <w:szCs w:val="32"/>
          <w:lang w:val="en-US" w:eastAsia="zh-CN"/>
        </w:rPr>
        <w:t>15.</w:t>
      </w:r>
      <w:r>
        <w:rPr>
          <w:rStyle w:val="17"/>
          <w:rFonts w:hint="eastAsia" w:ascii="仿宋_GB2312" w:eastAsia="仿宋_GB2312"/>
          <w:color w:val="000000"/>
          <w:sz w:val="32"/>
          <w:szCs w:val="32"/>
        </w:rPr>
        <w:t>卫生健康支出（类）计划生育事务</w:t>
      </w:r>
      <w:r>
        <w:rPr>
          <w:rFonts w:hint="eastAsia" w:ascii="仿宋_GB2312" w:eastAsia="仿宋_GB2312"/>
          <w:b/>
          <w:bCs/>
          <w:color w:val="000000"/>
          <w:sz w:val="32"/>
          <w:szCs w:val="32"/>
        </w:rPr>
        <w:t>（款）</w:t>
      </w:r>
      <w:r>
        <w:rPr>
          <w:rFonts w:hint="eastAsia"/>
          <w:b/>
          <w:bCs/>
          <w:color w:val="000000"/>
          <w:sz w:val="32"/>
          <w:szCs w:val="32"/>
          <w:lang w:val="en-US" w:eastAsia="zh-CN"/>
        </w:rPr>
        <w:t>其他计划生育事务支出</w:t>
      </w:r>
      <w:r>
        <w:rPr>
          <w:rFonts w:hint="eastAsia" w:ascii="仿宋_GB2312" w:eastAsia="仿宋_GB2312"/>
          <w:b/>
          <w:bCs/>
          <w:color w:val="000000"/>
          <w:sz w:val="32"/>
          <w:szCs w:val="32"/>
        </w:rPr>
        <w:t>（项）</w:t>
      </w:r>
      <w:r>
        <w:rPr>
          <w:rFonts w:hint="eastAsia" w:ascii="仿宋_GB2312" w:eastAsia="仿宋_GB2312"/>
          <w:color w:val="000000"/>
          <w:sz w:val="32"/>
          <w:szCs w:val="32"/>
        </w:rPr>
        <w:t>主要用于实行计划生育奖励扶助</w:t>
      </w:r>
      <w:r>
        <w:rPr>
          <w:rFonts w:hint="eastAsia" w:ascii="仿宋_GB2312" w:eastAsia="仿宋_GB2312"/>
          <w:color w:val="000000"/>
          <w:sz w:val="32"/>
          <w:szCs w:val="32"/>
          <w:lang w:eastAsia="zh-CN"/>
        </w:rPr>
        <w:t>对个人和家庭的补助、计划生育免费手术等支出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202</w:t>
      </w:r>
      <w:r>
        <w:rPr>
          <w:rFonts w:hint="eastAsia"/>
          <w:color w:val="000000"/>
          <w:sz w:val="32"/>
          <w:szCs w:val="32"/>
          <w:lang w:val="en-US" w:eastAsia="zh-CN"/>
        </w:rPr>
        <w:t>2</w:t>
      </w:r>
      <w:r>
        <w:rPr>
          <w:rFonts w:hint="eastAsia" w:ascii="仿宋_GB2312" w:eastAsia="仿宋_GB2312"/>
          <w:color w:val="000000"/>
          <w:sz w:val="32"/>
          <w:szCs w:val="32"/>
        </w:rPr>
        <w:t>决算数为</w:t>
      </w:r>
      <w:r>
        <w:rPr>
          <w:rFonts w:hint="eastAsia"/>
          <w:color w:val="000000"/>
          <w:sz w:val="32"/>
          <w:szCs w:val="32"/>
          <w:lang w:val="en-US" w:eastAsia="zh-CN"/>
        </w:rPr>
        <w:t>972.46</w:t>
      </w:r>
      <w:r>
        <w:rPr>
          <w:rFonts w:hint="eastAsia" w:ascii="仿宋_GB2312" w:eastAsia="仿宋_GB2312"/>
          <w:color w:val="000000"/>
          <w:sz w:val="32"/>
          <w:szCs w:val="32"/>
        </w:rPr>
        <w:t>万元，完成预算</w:t>
      </w:r>
      <w:r>
        <w:rPr>
          <w:rFonts w:hint="eastAsia"/>
          <w:color w:val="000000"/>
          <w:sz w:val="32"/>
          <w:szCs w:val="32"/>
          <w:lang w:val="en-US" w:eastAsia="zh-CN"/>
        </w:rPr>
        <w:t>100</w:t>
      </w:r>
      <w:r>
        <w:rPr>
          <w:rFonts w:hint="eastAsia" w:ascii="仿宋_GB2312" w:eastAsia="仿宋_GB2312"/>
          <w:color w:val="000000"/>
          <w:sz w:val="32"/>
          <w:szCs w:val="32"/>
        </w:rPr>
        <w:t>%。</w:t>
      </w:r>
    </w:p>
    <w:p>
      <w:pPr>
        <w:spacing w:line="600" w:lineRule="exact"/>
        <w:ind w:firstLine="643" w:firstLineChars="200"/>
        <w:rPr>
          <w:rFonts w:ascii="仿宋_GB2312" w:eastAsia="仿宋_GB2312"/>
          <w:color w:val="000000"/>
          <w:sz w:val="32"/>
          <w:szCs w:val="32"/>
        </w:rPr>
      </w:pPr>
      <w:r>
        <w:rPr>
          <w:rStyle w:val="17"/>
          <w:rFonts w:hint="eastAsia" w:ascii="仿宋_GB2312" w:eastAsia="仿宋_GB2312"/>
          <w:bCs/>
          <w:color w:val="000000"/>
          <w:sz w:val="32"/>
          <w:szCs w:val="32"/>
          <w:lang w:val="en-US" w:eastAsia="zh-CN"/>
        </w:rPr>
        <w:t>16.</w:t>
      </w:r>
      <w:r>
        <w:rPr>
          <w:rStyle w:val="17"/>
          <w:rFonts w:hint="eastAsia" w:ascii="仿宋_GB2312" w:eastAsia="仿宋_GB2312"/>
          <w:bCs/>
          <w:color w:val="000000"/>
          <w:sz w:val="32"/>
          <w:szCs w:val="32"/>
        </w:rPr>
        <w:t>卫生健康支出（类）行政事业单位（款）事业单位医疗（项）</w:t>
      </w:r>
      <w:r>
        <w:rPr>
          <w:rStyle w:val="17"/>
          <w:rFonts w:hint="eastAsia" w:ascii="仿宋_GB2312" w:eastAsia="仿宋_GB2312"/>
          <w:b w:val="0"/>
          <w:color w:val="000000"/>
          <w:sz w:val="32"/>
          <w:szCs w:val="32"/>
        </w:rPr>
        <w:t>：用于在职</w:t>
      </w:r>
      <w:r>
        <w:rPr>
          <w:rStyle w:val="17"/>
          <w:rFonts w:hint="eastAsia" w:ascii="仿宋_GB2312" w:eastAsia="仿宋_GB2312"/>
          <w:b w:val="0"/>
          <w:color w:val="000000"/>
          <w:sz w:val="32"/>
          <w:szCs w:val="32"/>
          <w:lang w:eastAsia="zh-CN"/>
        </w:rPr>
        <w:t>在编人员</w:t>
      </w:r>
      <w:r>
        <w:rPr>
          <w:rStyle w:val="17"/>
          <w:rFonts w:hint="eastAsia" w:ascii="仿宋_GB2312" w:eastAsia="仿宋_GB2312"/>
          <w:b w:val="0"/>
          <w:color w:val="000000"/>
          <w:sz w:val="32"/>
          <w:szCs w:val="32"/>
        </w:rPr>
        <w:t>医疗保险支出，</w:t>
      </w:r>
      <w:r>
        <w:rPr>
          <w:rStyle w:val="17"/>
          <w:rFonts w:hint="eastAsia" w:ascii="仿宋_GB2312" w:eastAsia="仿宋_GB2312"/>
          <w:b w:val="0"/>
          <w:color w:val="000000"/>
          <w:sz w:val="32"/>
          <w:szCs w:val="32"/>
          <w:lang w:val="en-US" w:eastAsia="zh-CN"/>
        </w:rPr>
        <w:t>2022</w:t>
      </w:r>
      <w:r>
        <w:rPr>
          <w:rStyle w:val="17"/>
          <w:rFonts w:hint="eastAsia" w:ascii="仿宋_GB2312" w:eastAsia="仿宋_GB2312"/>
          <w:b w:val="0"/>
          <w:color w:val="000000"/>
          <w:sz w:val="32"/>
          <w:szCs w:val="32"/>
        </w:rPr>
        <w:t>年决算数</w:t>
      </w:r>
      <w:r>
        <w:rPr>
          <w:rStyle w:val="17"/>
          <w:rFonts w:hint="eastAsia" w:ascii="仿宋_GB2312" w:eastAsia="仿宋_GB2312"/>
          <w:b w:val="0"/>
          <w:color w:val="000000"/>
          <w:sz w:val="32"/>
          <w:szCs w:val="32"/>
          <w:lang w:val="en-US" w:eastAsia="zh-CN"/>
        </w:rPr>
        <w:t>23.27</w:t>
      </w:r>
      <w:r>
        <w:rPr>
          <w:rStyle w:val="17"/>
          <w:rFonts w:hint="eastAsia" w:ascii="仿宋_GB2312" w:eastAsia="仿宋_GB2312"/>
          <w:b w:val="0"/>
          <w:color w:val="000000"/>
          <w:sz w:val="32"/>
          <w:szCs w:val="32"/>
        </w:rPr>
        <w:t>万元，</w:t>
      </w:r>
      <w:r>
        <w:rPr>
          <w:rFonts w:hint="eastAsia" w:ascii="仿宋_GB2312" w:eastAsia="仿宋_GB2312"/>
          <w:color w:val="000000"/>
          <w:sz w:val="32"/>
          <w:szCs w:val="32"/>
        </w:rPr>
        <w:t>完成预算100%。</w:t>
      </w:r>
    </w:p>
    <w:p>
      <w:pPr>
        <w:spacing w:line="600" w:lineRule="exact"/>
        <w:ind w:firstLine="643" w:firstLineChars="200"/>
        <w:rPr>
          <w:rFonts w:hint="eastAsia" w:ascii="仿宋_GB2312" w:eastAsia="仿宋_GB2312"/>
          <w:color w:val="000000"/>
          <w:sz w:val="32"/>
          <w:szCs w:val="32"/>
        </w:rPr>
      </w:pPr>
      <w:r>
        <w:rPr>
          <w:rStyle w:val="17"/>
          <w:rFonts w:hint="eastAsia" w:ascii="仿宋_GB2312" w:eastAsia="仿宋_GB2312"/>
          <w:color w:val="000000"/>
          <w:sz w:val="32"/>
          <w:szCs w:val="32"/>
          <w:lang w:val="en-US" w:eastAsia="zh-CN"/>
        </w:rPr>
        <w:t>17.</w:t>
      </w:r>
      <w:r>
        <w:rPr>
          <w:rStyle w:val="17"/>
          <w:rFonts w:hint="eastAsia" w:ascii="仿宋_GB2312" w:eastAsia="仿宋_GB2312"/>
          <w:color w:val="000000"/>
          <w:sz w:val="32"/>
          <w:szCs w:val="32"/>
        </w:rPr>
        <w:t>卫生健康支出（类）其他卫生健康支出（款）</w:t>
      </w:r>
      <w:r>
        <w:rPr>
          <w:rFonts w:hint="eastAsia" w:ascii="仿宋_GB2312" w:eastAsia="仿宋_GB2312"/>
          <w:b/>
          <w:bCs/>
          <w:color w:val="000000"/>
          <w:sz w:val="32"/>
          <w:szCs w:val="32"/>
        </w:rPr>
        <w:t>其他卫生健康支出(项)</w:t>
      </w:r>
      <w:r>
        <w:rPr>
          <w:rFonts w:hint="eastAsia" w:ascii="仿宋_GB2312" w:eastAsia="仿宋_GB2312"/>
          <w:color w:val="000000"/>
          <w:sz w:val="32"/>
          <w:szCs w:val="32"/>
        </w:rPr>
        <w:t>:</w:t>
      </w:r>
      <w:r>
        <w:rPr>
          <w:rFonts w:hint="eastAsia" w:ascii="仿宋_GB2312" w:eastAsia="仿宋_GB2312"/>
          <w:color w:val="000000"/>
          <w:sz w:val="32"/>
          <w:szCs w:val="32"/>
          <w:lang w:eastAsia="zh-CN"/>
        </w:rPr>
        <w:t>主要用于人才队伍建设、</w:t>
      </w:r>
      <w:r>
        <w:rPr>
          <w:rFonts w:hint="eastAsia" w:ascii="仿宋_GB2312" w:eastAsia="仿宋_GB2312"/>
          <w:color w:val="000000"/>
          <w:sz w:val="32"/>
          <w:szCs w:val="32"/>
          <w:lang w:val="en-US" w:eastAsia="zh-CN"/>
        </w:rPr>
        <w:t>公立医院改革</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2022</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34.86</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p>
    <w:p>
      <w:pPr>
        <w:spacing w:line="600" w:lineRule="exact"/>
        <w:ind w:firstLine="643" w:firstLineChars="200"/>
        <w:rPr>
          <w:rStyle w:val="17"/>
          <w:rFonts w:hint="eastAsia" w:ascii="仿宋_GB2312" w:eastAsia="仿宋_GB2312"/>
          <w:b w:val="0"/>
          <w:color w:val="000000"/>
          <w:sz w:val="32"/>
          <w:szCs w:val="32"/>
          <w:lang w:eastAsia="zh-CN"/>
        </w:rPr>
      </w:pPr>
      <w:r>
        <w:rPr>
          <w:rStyle w:val="17"/>
          <w:rFonts w:hint="eastAsia" w:ascii="仿宋_GB2312" w:eastAsia="仿宋_GB2312"/>
          <w:color w:val="000000"/>
          <w:sz w:val="32"/>
          <w:szCs w:val="32"/>
          <w:lang w:val="en-US" w:eastAsia="zh-CN"/>
        </w:rPr>
        <w:t>18.</w:t>
      </w:r>
      <w:r>
        <w:rPr>
          <w:rStyle w:val="17"/>
          <w:rFonts w:hint="eastAsia" w:ascii="仿宋_GB2312" w:eastAsia="仿宋_GB2312"/>
          <w:color w:val="000000"/>
          <w:sz w:val="32"/>
          <w:szCs w:val="32"/>
        </w:rPr>
        <w:t>住房保障支出（类）住房改革支出（款）</w:t>
      </w:r>
      <w:r>
        <w:rPr>
          <w:rStyle w:val="17"/>
          <w:rFonts w:hint="eastAsia" w:ascii="仿宋_GB2312" w:eastAsia="仿宋_GB2312"/>
          <w:bCs/>
          <w:color w:val="000000"/>
          <w:sz w:val="32"/>
          <w:szCs w:val="32"/>
        </w:rPr>
        <w:t>住房公积金支出（项）</w:t>
      </w:r>
      <w:r>
        <w:rPr>
          <w:rStyle w:val="17"/>
          <w:rFonts w:hint="eastAsia" w:ascii="仿宋_GB2312" w:eastAsia="仿宋_GB2312"/>
          <w:b w:val="0"/>
          <w:color w:val="000000"/>
          <w:sz w:val="32"/>
          <w:szCs w:val="32"/>
        </w:rPr>
        <w:t>:主要用于</w:t>
      </w:r>
      <w:r>
        <w:rPr>
          <w:rStyle w:val="17"/>
          <w:rFonts w:hint="eastAsia" w:ascii="仿宋_GB2312" w:eastAsia="仿宋_GB2312"/>
          <w:b w:val="0"/>
          <w:color w:val="000000"/>
          <w:sz w:val="32"/>
          <w:szCs w:val="32"/>
          <w:lang w:eastAsia="zh-CN"/>
        </w:rPr>
        <w:t>在职在编人员</w:t>
      </w:r>
      <w:r>
        <w:rPr>
          <w:rStyle w:val="17"/>
          <w:rFonts w:hint="eastAsia" w:ascii="仿宋_GB2312" w:eastAsia="仿宋_GB2312"/>
          <w:b w:val="0"/>
          <w:color w:val="000000"/>
          <w:sz w:val="32"/>
          <w:szCs w:val="32"/>
        </w:rPr>
        <w:t>缴纳住房公积金支出。</w:t>
      </w:r>
      <w:r>
        <w:rPr>
          <w:rStyle w:val="17"/>
          <w:rFonts w:hint="eastAsia" w:ascii="仿宋_GB2312" w:eastAsia="仿宋_GB2312"/>
          <w:b w:val="0"/>
          <w:color w:val="000000"/>
          <w:sz w:val="32"/>
          <w:szCs w:val="32"/>
          <w:lang w:val="en-US" w:eastAsia="zh-CN"/>
        </w:rPr>
        <w:t>2021</w:t>
      </w:r>
      <w:r>
        <w:rPr>
          <w:rStyle w:val="17"/>
          <w:rFonts w:hint="eastAsia" w:ascii="仿宋_GB2312" w:eastAsia="仿宋_GB2312"/>
          <w:b w:val="0"/>
          <w:color w:val="000000"/>
          <w:sz w:val="32"/>
          <w:szCs w:val="32"/>
        </w:rPr>
        <w:t>年决算数为</w:t>
      </w:r>
      <w:r>
        <w:rPr>
          <w:rStyle w:val="17"/>
          <w:rFonts w:hint="eastAsia" w:ascii="仿宋_GB2312" w:eastAsia="仿宋_GB2312"/>
          <w:b w:val="0"/>
          <w:color w:val="000000"/>
          <w:sz w:val="32"/>
          <w:szCs w:val="32"/>
          <w:lang w:val="en-US" w:eastAsia="zh-CN"/>
        </w:rPr>
        <w:t>69.29</w:t>
      </w:r>
      <w:r>
        <w:rPr>
          <w:rStyle w:val="17"/>
          <w:rFonts w:hint="eastAsia" w:ascii="仿宋_GB2312" w:eastAsia="仿宋_GB2312"/>
          <w:b w:val="0"/>
          <w:color w:val="000000"/>
          <w:sz w:val="32"/>
          <w:szCs w:val="32"/>
        </w:rPr>
        <w:t>万元，完成预算</w:t>
      </w:r>
      <w:r>
        <w:rPr>
          <w:rStyle w:val="17"/>
          <w:rFonts w:hint="eastAsia" w:ascii="仿宋_GB2312" w:eastAsia="仿宋_GB2312"/>
          <w:b w:val="0"/>
          <w:color w:val="000000"/>
          <w:sz w:val="32"/>
          <w:szCs w:val="32"/>
          <w:lang w:val="en-US" w:eastAsia="zh-CN"/>
        </w:rPr>
        <w:t>100</w:t>
      </w:r>
      <w:r>
        <w:rPr>
          <w:rStyle w:val="17"/>
          <w:rFonts w:hint="eastAsia" w:ascii="仿宋_GB2312" w:eastAsia="仿宋_GB2312"/>
          <w:b w:val="0"/>
          <w:color w:val="000000"/>
          <w:sz w:val="32"/>
          <w:szCs w:val="32"/>
        </w:rPr>
        <w:t>%</w:t>
      </w:r>
      <w:r>
        <w:rPr>
          <w:rStyle w:val="17"/>
          <w:rFonts w:hint="eastAsia" w:ascii="仿宋_GB2312" w:eastAsia="仿宋_GB2312"/>
          <w:b w:val="0"/>
          <w:color w:val="000000"/>
          <w:sz w:val="32"/>
          <w:szCs w:val="32"/>
          <w:lang w:eastAsia="zh-CN"/>
        </w:rPr>
        <w:t>。</w:t>
      </w:r>
    </w:p>
    <w:p>
      <w:pPr>
        <w:spacing w:line="600" w:lineRule="exact"/>
        <w:ind w:firstLine="640" w:firstLineChars="200"/>
        <w:rPr>
          <w:rFonts w:ascii="仿宋" w:hAnsi="仿宋" w:eastAsia="仿宋"/>
          <w:color w:val="auto"/>
          <w:sz w:val="32"/>
          <w:szCs w:val="32"/>
          <w:highlight w:val="none"/>
        </w:rPr>
      </w:pPr>
    </w:p>
    <w:p>
      <w:pPr>
        <w:tabs>
          <w:tab w:val="right" w:pos="8306"/>
        </w:tabs>
        <w:spacing w:line="600" w:lineRule="exact"/>
        <w:ind w:firstLine="640"/>
        <w:outlineLvl w:val="1"/>
        <w:rPr>
          <w:rStyle w:val="28"/>
          <w:color w:val="auto"/>
          <w:highlight w:val="none"/>
        </w:rPr>
      </w:pPr>
      <w:bookmarkStart w:id="70" w:name="_Toc15396608"/>
      <w:bookmarkStart w:id="71" w:name="_Toc15377214"/>
      <w:bookmarkStart w:id="72" w:name="_Toc24315"/>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般公共预算财政拨款基本支出决算情况说明</w:t>
      </w:r>
      <w:bookmarkEnd w:id="70"/>
      <w:bookmarkEnd w:id="71"/>
      <w:bookmarkEnd w:id="72"/>
      <w:r>
        <w:rPr>
          <w:rStyle w:val="28"/>
          <w:rFonts w:ascii="黑体" w:hAnsi="黑体" w:eastAsia="黑体"/>
          <w:b w:val="0"/>
          <w:color w:val="auto"/>
          <w:highlight w:val="none"/>
        </w:rPr>
        <w:tab/>
      </w:r>
    </w:p>
    <w:p>
      <w:pPr>
        <w:spacing w:line="600" w:lineRule="exact"/>
        <w:ind w:firstLine="645"/>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907.5</w:t>
      </w:r>
      <w:r>
        <w:rPr>
          <w:rFonts w:hint="eastAsia" w:ascii="仿宋" w:hAnsi="仿宋" w:eastAsia="仿宋"/>
          <w:color w:val="auto"/>
          <w:sz w:val="32"/>
          <w:szCs w:val="32"/>
          <w:highlight w:val="none"/>
        </w:rPr>
        <w:t>万元，其中：人员经费</w:t>
      </w:r>
      <w:r>
        <w:rPr>
          <w:rFonts w:hint="eastAsia" w:ascii="仿宋" w:hAnsi="仿宋" w:eastAsia="仿宋"/>
          <w:color w:val="auto"/>
          <w:sz w:val="32"/>
          <w:szCs w:val="32"/>
          <w:highlight w:val="none"/>
          <w:lang w:val="en-US" w:eastAsia="zh-CN"/>
        </w:rPr>
        <w:t>658.88</w:t>
      </w:r>
      <w:r>
        <w:rPr>
          <w:rFonts w:hint="eastAsia" w:ascii="仿宋" w:hAnsi="仿宋" w:eastAsia="仿宋"/>
          <w:color w:val="auto"/>
          <w:sz w:val="32"/>
          <w:szCs w:val="32"/>
          <w:highlight w:val="none"/>
        </w:rPr>
        <w:t>万元，主要包括：基本工资、津贴补贴、机关事业单位基本养老保险缴费、其他社会保障缴费、其他工资福利支出、生活补助、奖励金、住房公积金、其他对个人和家庭的补助支出等。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248.62</w:t>
      </w:r>
      <w:r>
        <w:rPr>
          <w:rFonts w:hint="eastAsia" w:ascii="仿宋" w:hAnsi="仿宋" w:eastAsia="仿宋"/>
          <w:color w:val="auto"/>
          <w:sz w:val="32"/>
          <w:szCs w:val="32"/>
          <w:highlight w:val="none"/>
        </w:rPr>
        <w:t>万元，主要包括：办公费、印刷费、手续费、水费、电费、邮电费、差旅费、维修（护）费、租赁费、会议费、培训费、公务接待费、劳务费、委托业务费、工会经费、公务用车运行维护费、其他交通费、其他商品和服务支出、</w:t>
      </w:r>
      <w:r>
        <w:rPr>
          <w:rFonts w:hint="eastAsia" w:ascii="仿宋" w:hAnsi="仿宋" w:eastAsia="仿宋"/>
          <w:color w:val="auto"/>
          <w:sz w:val="32"/>
          <w:szCs w:val="32"/>
          <w:highlight w:val="none"/>
          <w:lang w:val="en-US" w:eastAsia="zh-CN"/>
        </w:rPr>
        <w:t>房屋建筑物构建、基础设施建设等。</w:t>
      </w:r>
    </w:p>
    <w:p>
      <w:pPr>
        <w:spacing w:line="600" w:lineRule="exact"/>
        <w:ind w:firstLine="640"/>
        <w:outlineLvl w:val="1"/>
        <w:rPr>
          <w:rStyle w:val="28"/>
          <w:rFonts w:ascii="黑体" w:hAnsi="黑体" w:eastAsia="黑体"/>
          <w:b w:val="0"/>
          <w:color w:val="auto"/>
          <w:highlight w:val="none"/>
        </w:rPr>
      </w:pPr>
      <w:bookmarkStart w:id="73" w:name="_Toc15396609"/>
      <w:bookmarkStart w:id="74" w:name="_Toc15377215"/>
      <w:bookmarkStart w:id="75" w:name="_Toc11055"/>
      <w:r>
        <w:rPr>
          <w:rFonts w:hint="eastAsia" w:ascii="黑体" w:eastAsia="黑体"/>
          <w:color w:val="auto"/>
          <w:sz w:val="32"/>
          <w:szCs w:val="32"/>
          <w:highlight w:val="none"/>
        </w:rPr>
        <w:t>七、</w:t>
      </w:r>
      <w:r>
        <w:rPr>
          <w:rStyle w:val="28"/>
          <w:rFonts w:hint="eastAsia" w:ascii="黑体" w:hAnsi="黑体" w:eastAsia="黑体"/>
          <w:b w:val="0"/>
          <w:color w:val="auto"/>
          <w:highlight w:val="none"/>
        </w:rPr>
        <w:t>财政拨款</w:t>
      </w:r>
      <w:r>
        <w:rPr>
          <w:rStyle w:val="28"/>
          <w:rFonts w:hint="eastAsia" w:ascii="黑体" w:hAnsi="黑体" w:eastAsia="黑体"/>
          <w:color w:val="auto"/>
          <w:highlight w:val="none"/>
        </w:rPr>
        <w:t>“</w:t>
      </w:r>
      <w:r>
        <w:rPr>
          <w:rStyle w:val="28"/>
          <w:rFonts w:hint="eastAsia" w:ascii="黑体" w:hAnsi="黑体" w:eastAsia="黑体"/>
          <w:b w:val="0"/>
          <w:color w:val="auto"/>
          <w:highlight w:val="none"/>
        </w:rPr>
        <w:t>三公”经费支出决算情况说明</w:t>
      </w:r>
      <w:bookmarkEnd w:id="73"/>
      <w:bookmarkEnd w:id="74"/>
      <w:bookmarkEnd w:id="75"/>
    </w:p>
    <w:p>
      <w:pPr>
        <w:spacing w:line="600" w:lineRule="exact"/>
        <w:ind w:firstLine="640"/>
        <w:outlineLvl w:val="2"/>
        <w:rPr>
          <w:rFonts w:hint="eastAsia" w:ascii="仿宋" w:hAnsi="仿宋" w:eastAsia="仿宋"/>
          <w:color w:val="auto"/>
          <w:sz w:val="32"/>
          <w:szCs w:val="32"/>
          <w:highlight w:val="none"/>
        </w:rPr>
      </w:pPr>
      <w:bookmarkStart w:id="76" w:name="_Toc15377216"/>
      <w:bookmarkStart w:id="77" w:name="_Toc1817"/>
      <w:bookmarkStart w:id="78" w:name="_Toc6193"/>
      <w:r>
        <w:rPr>
          <w:rFonts w:hint="eastAsia" w:ascii="仿宋" w:hAnsi="仿宋" w:eastAsia="仿宋"/>
          <w:color w:val="auto"/>
          <w:sz w:val="32"/>
          <w:szCs w:val="32"/>
          <w:highlight w:val="none"/>
        </w:rPr>
        <w:t>（一）“三公”经费财政拨款支出决算总体情况说明</w:t>
      </w:r>
      <w:bookmarkEnd w:id="76"/>
      <w:bookmarkEnd w:id="77"/>
      <w:bookmarkEnd w:id="78"/>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2.24</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31.11</w:t>
      </w:r>
      <w:r>
        <w:rPr>
          <w:rFonts w:hint="eastAsia" w:ascii="仿宋" w:hAnsi="仿宋" w:eastAsia="仿宋"/>
          <w:color w:val="auto"/>
          <w:sz w:val="32"/>
          <w:szCs w:val="32"/>
          <w:highlight w:val="none"/>
        </w:rPr>
        <w:t>%，决算数小于预算数的原因是局领导从思想上高度重视，严格执行中央八项规定，进一步健全了各项管理制度，用餐事前审批，严格控制用餐标准、用餐人数、杜绝公款吃喝和铺张浪费行为。</w:t>
      </w:r>
    </w:p>
    <w:p>
      <w:pPr>
        <w:spacing w:line="600" w:lineRule="exact"/>
        <w:ind w:firstLine="640"/>
        <w:outlineLvl w:val="2"/>
        <w:rPr>
          <w:rFonts w:hint="eastAsia" w:ascii="仿宋" w:hAnsi="仿宋" w:eastAsia="仿宋"/>
          <w:color w:val="auto"/>
          <w:sz w:val="32"/>
          <w:szCs w:val="32"/>
          <w:highlight w:val="none"/>
        </w:rPr>
      </w:pPr>
      <w:bookmarkStart w:id="79" w:name="_Toc13619"/>
      <w:bookmarkStart w:id="80" w:name="_Toc14909"/>
      <w:r>
        <w:rPr>
          <w:rFonts w:hint="eastAsia" w:ascii="仿宋" w:hAnsi="仿宋" w:eastAsia="仿宋"/>
          <w:color w:val="auto"/>
          <w:sz w:val="32"/>
          <w:szCs w:val="32"/>
          <w:highlight w:val="none"/>
        </w:rPr>
        <w:t>（二）“三公”经费财政拨款支出决算具体情况说明</w:t>
      </w:r>
      <w:bookmarkEnd w:id="79"/>
      <w:bookmarkEnd w:id="80"/>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年“三公”经费财政拨款支出决算中，因公出国（境）费支出决算0万元，年初未安排预算；公务用车购置及运行维护费支出决算0万元，年初未安排预算；公务接待费支出决算</w:t>
      </w:r>
      <w:r>
        <w:rPr>
          <w:rFonts w:hint="eastAsia" w:ascii="仿宋" w:hAnsi="仿宋" w:eastAsia="仿宋"/>
          <w:color w:val="auto"/>
          <w:sz w:val="32"/>
          <w:szCs w:val="32"/>
          <w:highlight w:val="none"/>
          <w:lang w:val="en-US" w:eastAsia="zh-CN"/>
        </w:rPr>
        <w:t>2.24</w:t>
      </w:r>
      <w:r>
        <w:rPr>
          <w:rFonts w:hint="eastAsia" w:ascii="仿宋" w:hAnsi="仿宋" w:eastAsia="仿宋"/>
          <w:color w:val="auto"/>
          <w:sz w:val="32"/>
          <w:szCs w:val="32"/>
          <w:highlight w:val="none"/>
        </w:rPr>
        <w:t>万元，占100%。具体情况如下：</w:t>
      </w:r>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1.因公出国（境）经费支出0万元，年初未安排预算。</w:t>
      </w:r>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2.公务用车购置及运行维护费支出0万元,年初未安排预算。</w:t>
      </w:r>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3.公务接待费支出</w:t>
      </w:r>
      <w:r>
        <w:rPr>
          <w:rFonts w:hint="eastAsia" w:ascii="仿宋" w:hAnsi="仿宋" w:eastAsia="仿宋"/>
          <w:color w:val="auto"/>
          <w:sz w:val="32"/>
          <w:szCs w:val="32"/>
          <w:highlight w:val="none"/>
          <w:lang w:val="en-US" w:eastAsia="zh-CN"/>
        </w:rPr>
        <w:t>2.24</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31.11</w:t>
      </w:r>
      <w:r>
        <w:rPr>
          <w:rFonts w:hint="eastAsia" w:ascii="仿宋" w:hAnsi="仿宋" w:eastAsia="仿宋"/>
          <w:color w:val="auto"/>
          <w:sz w:val="32"/>
          <w:szCs w:val="32"/>
          <w:highlight w:val="none"/>
        </w:rPr>
        <w:t>%。公务接待费支出决算比202</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年减少</w:t>
      </w:r>
      <w:r>
        <w:rPr>
          <w:rFonts w:hint="eastAsia" w:ascii="仿宋" w:hAnsi="仿宋" w:eastAsia="仿宋"/>
          <w:color w:val="auto"/>
          <w:sz w:val="32"/>
          <w:szCs w:val="32"/>
          <w:highlight w:val="none"/>
          <w:lang w:val="en-US" w:eastAsia="zh-CN"/>
        </w:rPr>
        <w:t>5.52</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71.13</w:t>
      </w:r>
      <w:r>
        <w:rPr>
          <w:rFonts w:hint="eastAsia" w:ascii="仿宋" w:hAnsi="仿宋" w:eastAsia="仿宋"/>
          <w:color w:val="auto"/>
          <w:sz w:val="32"/>
          <w:szCs w:val="32"/>
          <w:highlight w:val="none"/>
        </w:rPr>
        <w:t>%。主要原因是局领导从思想上高度重视，严格执行中央八项规定，进一步健全了各项管理制度，用餐事前审批，严格控制用餐标准、用餐人数、杜绝公款吃喝和铺张浪费行为。</w:t>
      </w:r>
    </w:p>
    <w:p>
      <w:pPr>
        <w:spacing w:line="600" w:lineRule="exact"/>
        <w:ind w:firstLine="64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国内公务接待支出</w:t>
      </w:r>
      <w:r>
        <w:rPr>
          <w:rFonts w:hint="eastAsia" w:ascii="仿宋" w:hAnsi="仿宋" w:eastAsia="仿宋"/>
          <w:color w:val="auto"/>
          <w:sz w:val="32"/>
          <w:szCs w:val="32"/>
          <w:highlight w:val="none"/>
          <w:lang w:val="en-US" w:eastAsia="zh-CN"/>
        </w:rPr>
        <w:t>2.24</w:t>
      </w:r>
      <w:r>
        <w:rPr>
          <w:rFonts w:hint="eastAsia" w:ascii="仿宋" w:hAnsi="仿宋" w:eastAsia="仿宋"/>
          <w:color w:val="auto"/>
          <w:sz w:val="32"/>
          <w:szCs w:val="32"/>
          <w:highlight w:val="none"/>
        </w:rPr>
        <w:t>万元，主要用于各级部门到我系统各项检查、指导医疗服务质量、疫情防控、院感工作，疾病预防控制、妇幼及执法工作，公共卫生、人事、信息、财务、乡村医生等业务培训期间的交通费、住宿费、用餐费等。国内公务接待</w:t>
      </w:r>
      <w:r>
        <w:rPr>
          <w:rFonts w:hint="eastAsia" w:ascii="仿宋" w:hAnsi="仿宋" w:eastAsia="仿宋"/>
          <w:color w:val="auto"/>
          <w:sz w:val="32"/>
          <w:szCs w:val="32"/>
          <w:highlight w:val="none"/>
          <w:lang w:val="en-US" w:eastAsia="zh-CN"/>
        </w:rPr>
        <w:t>60</w:t>
      </w:r>
      <w:r>
        <w:rPr>
          <w:rFonts w:hint="eastAsia" w:ascii="仿宋" w:hAnsi="仿宋" w:eastAsia="仿宋"/>
          <w:color w:val="auto"/>
          <w:sz w:val="32"/>
          <w:szCs w:val="32"/>
          <w:highlight w:val="none"/>
        </w:rPr>
        <w:t>批次，</w:t>
      </w:r>
      <w:r>
        <w:rPr>
          <w:rFonts w:hint="eastAsia" w:ascii="仿宋" w:hAnsi="仿宋" w:eastAsia="仿宋"/>
          <w:color w:val="auto"/>
          <w:sz w:val="32"/>
          <w:szCs w:val="32"/>
          <w:highlight w:val="none"/>
          <w:lang w:val="en-US" w:eastAsia="zh-CN"/>
        </w:rPr>
        <w:t>120</w:t>
      </w:r>
      <w:r>
        <w:rPr>
          <w:rFonts w:hint="eastAsia" w:ascii="仿宋" w:hAnsi="仿宋" w:eastAsia="仿宋"/>
          <w:color w:val="auto"/>
          <w:sz w:val="32"/>
          <w:szCs w:val="32"/>
          <w:highlight w:val="none"/>
        </w:rPr>
        <w:t>人次（不包括陪同人员），共计支出</w:t>
      </w:r>
      <w:r>
        <w:rPr>
          <w:rFonts w:hint="eastAsia" w:ascii="仿宋" w:hAnsi="仿宋" w:eastAsia="仿宋"/>
          <w:color w:val="auto"/>
          <w:sz w:val="32"/>
          <w:szCs w:val="32"/>
          <w:highlight w:val="none"/>
          <w:lang w:val="en-US" w:eastAsia="zh-CN"/>
        </w:rPr>
        <w:t>2.24</w:t>
      </w:r>
      <w:r>
        <w:rPr>
          <w:rFonts w:hint="eastAsia" w:ascii="仿宋" w:hAnsi="仿宋" w:eastAsia="仿宋"/>
          <w:color w:val="auto"/>
          <w:sz w:val="32"/>
          <w:szCs w:val="32"/>
          <w:highlight w:val="none"/>
        </w:rPr>
        <w:t>万元，具体内容包括卫生健康局本级的省市相关部门疫情防控督导检查</w:t>
      </w:r>
      <w:r>
        <w:rPr>
          <w:rFonts w:hint="eastAsia" w:ascii="仿宋" w:hAnsi="仿宋" w:eastAsia="仿宋"/>
          <w:color w:val="auto"/>
          <w:sz w:val="32"/>
          <w:szCs w:val="32"/>
          <w:highlight w:val="none"/>
          <w:lang w:val="en-US" w:eastAsia="zh-CN"/>
        </w:rPr>
        <w:t>0.89</w:t>
      </w:r>
      <w:r>
        <w:rPr>
          <w:rFonts w:hint="eastAsia" w:ascii="仿宋" w:hAnsi="仿宋" w:eastAsia="仿宋"/>
          <w:color w:val="auto"/>
          <w:sz w:val="32"/>
          <w:szCs w:val="32"/>
          <w:highlight w:val="none"/>
        </w:rPr>
        <w:t>万元、接待批次28批次，接待人次50人次，医疗质量、院感省市相关部门的督导检查培训等</w:t>
      </w:r>
      <w:r>
        <w:rPr>
          <w:rFonts w:hint="eastAsia" w:ascii="仿宋" w:hAnsi="仿宋" w:eastAsia="仿宋"/>
          <w:color w:val="auto"/>
          <w:sz w:val="32"/>
          <w:szCs w:val="32"/>
          <w:highlight w:val="none"/>
          <w:lang w:val="en-US" w:eastAsia="zh-CN"/>
        </w:rPr>
        <w:t>1.35</w:t>
      </w:r>
      <w:r>
        <w:rPr>
          <w:rFonts w:hint="eastAsia" w:ascii="仿宋" w:hAnsi="仿宋" w:eastAsia="仿宋"/>
          <w:color w:val="auto"/>
          <w:sz w:val="32"/>
          <w:szCs w:val="32"/>
          <w:highlight w:val="none"/>
        </w:rPr>
        <w:t>万元，接待批次32批次，接待人次70人次</w:t>
      </w:r>
      <w:r>
        <w:rPr>
          <w:rFonts w:hint="eastAsia" w:ascii="仿宋" w:hAnsi="仿宋" w:eastAsia="仿宋"/>
          <w:color w:val="auto"/>
          <w:sz w:val="32"/>
          <w:szCs w:val="32"/>
          <w:highlight w:val="none"/>
          <w:lang w:eastAsia="zh-CN"/>
        </w:rPr>
        <w:t>。</w:t>
      </w:r>
    </w:p>
    <w:p>
      <w:pPr>
        <w:spacing w:line="600" w:lineRule="exact"/>
        <w:ind w:firstLine="640"/>
        <w:outlineLvl w:val="1"/>
        <w:rPr>
          <w:rFonts w:hint="eastAsia" w:ascii="仿宋" w:hAnsi="仿宋" w:eastAsia="仿宋"/>
          <w:color w:val="auto"/>
          <w:sz w:val="32"/>
          <w:szCs w:val="32"/>
          <w:highlight w:val="none"/>
        </w:rPr>
      </w:pPr>
      <w:bookmarkStart w:id="81" w:name="_Toc22823"/>
      <w:bookmarkStart w:id="82" w:name="_Toc18097"/>
      <w:bookmarkStart w:id="83" w:name="_Toc16143"/>
      <w:r>
        <w:rPr>
          <w:rFonts w:hint="eastAsia" w:ascii="仿宋" w:hAnsi="仿宋" w:eastAsia="仿宋"/>
          <w:color w:val="auto"/>
          <w:sz w:val="32"/>
          <w:szCs w:val="32"/>
          <w:highlight w:val="none"/>
        </w:rPr>
        <w:t>外事接待支出0万元，外事接待0批次，0人，共计支出0万元。</w:t>
      </w:r>
      <w:bookmarkEnd w:id="81"/>
      <w:bookmarkEnd w:id="82"/>
      <w:bookmarkEnd w:id="83"/>
      <w:bookmarkStart w:id="84" w:name="_Toc15377218"/>
      <w:bookmarkStart w:id="85" w:name="_Toc15396610"/>
    </w:p>
    <w:p>
      <w:pPr>
        <w:spacing w:line="600" w:lineRule="exact"/>
        <w:ind w:firstLine="640"/>
        <w:outlineLvl w:val="1"/>
        <w:rPr>
          <w:rStyle w:val="28"/>
          <w:rFonts w:ascii="黑体" w:hAnsi="黑体" w:eastAsia="黑体"/>
          <w:color w:val="auto"/>
          <w:highlight w:val="none"/>
        </w:rPr>
      </w:pPr>
      <w:bookmarkStart w:id="86" w:name="_Toc15659"/>
      <w:r>
        <w:rPr>
          <w:rFonts w:hint="eastAsia" w:ascii="黑体" w:eastAsia="黑体"/>
          <w:color w:val="auto"/>
          <w:sz w:val="32"/>
          <w:szCs w:val="32"/>
          <w:highlight w:val="none"/>
        </w:rPr>
        <w:t>八、</w:t>
      </w:r>
      <w:r>
        <w:rPr>
          <w:rStyle w:val="28"/>
          <w:rFonts w:hint="eastAsia" w:ascii="黑体" w:hAnsi="黑体" w:eastAsia="黑体"/>
          <w:b w:val="0"/>
          <w:color w:val="auto"/>
          <w:highlight w:val="none"/>
        </w:rPr>
        <w:t>政府性基金预算支出决算情况说明</w:t>
      </w:r>
      <w:bookmarkEnd w:id="84"/>
      <w:bookmarkEnd w:id="85"/>
      <w:bookmarkEnd w:id="86"/>
    </w:p>
    <w:p>
      <w:pPr>
        <w:spacing w:line="600" w:lineRule="exact"/>
        <w:ind w:firstLine="640"/>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105.33</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8"/>
          <w:rFonts w:ascii="黑体" w:hAnsi="黑体" w:eastAsia="黑体"/>
          <w:b w:val="0"/>
          <w:color w:val="auto"/>
          <w:highlight w:val="none"/>
        </w:rPr>
      </w:pPr>
      <w:bookmarkStart w:id="87" w:name="_Toc15377219"/>
      <w:bookmarkStart w:id="88" w:name="_Toc15396611"/>
      <w:bookmarkStart w:id="89" w:name="_Toc25927"/>
      <w:bookmarkStart w:id="90" w:name="_Toc29902"/>
      <w:bookmarkStart w:id="91" w:name="_Toc15377221"/>
      <w:bookmarkStart w:id="92" w:name="_Toc15396612"/>
      <w:r>
        <w:rPr>
          <w:rStyle w:val="28"/>
          <w:rFonts w:hint="eastAsia" w:ascii="黑体" w:hAnsi="黑体" w:eastAsia="黑体"/>
          <w:b w:val="0"/>
          <w:color w:val="auto"/>
          <w:highlight w:val="none"/>
        </w:rPr>
        <w:t>国有资本经营预算支出决算情况说明</w:t>
      </w:r>
      <w:bookmarkEnd w:id="87"/>
      <w:bookmarkEnd w:id="88"/>
      <w:bookmarkEnd w:id="89"/>
      <w:bookmarkEnd w:id="90"/>
    </w:p>
    <w:p>
      <w:pPr>
        <w:spacing w:line="600" w:lineRule="exact"/>
        <w:ind w:firstLine="640"/>
        <w:rPr>
          <w:rStyle w:val="28"/>
          <w:rFonts w:hint="eastAsia" w:ascii="黑体" w:hAnsi="黑体" w:eastAsia="黑体"/>
          <w:b w:val="0"/>
          <w:color w:val="auto"/>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8"/>
          <w:rFonts w:hint="eastAsia" w:ascii="黑体" w:hAnsi="黑体" w:eastAsia="黑体"/>
          <w:b w:val="0"/>
          <w:color w:val="auto"/>
          <w:highlight w:val="none"/>
        </w:rPr>
      </w:pPr>
      <w:bookmarkStart w:id="93" w:name="_Toc28905"/>
      <w:r>
        <w:rPr>
          <w:rStyle w:val="28"/>
          <w:rFonts w:hint="eastAsia" w:ascii="黑体" w:hAnsi="黑体" w:eastAsia="黑体"/>
          <w:b w:val="0"/>
          <w:color w:val="auto"/>
          <w:highlight w:val="none"/>
        </w:rPr>
        <w:t>其他重要事项的情况说明</w:t>
      </w:r>
      <w:bookmarkEnd w:id="91"/>
      <w:bookmarkEnd w:id="92"/>
      <w:bookmarkEnd w:id="93"/>
    </w:p>
    <w:p>
      <w:pPr>
        <w:spacing w:line="600" w:lineRule="exact"/>
        <w:ind w:firstLine="643" w:firstLineChars="200"/>
        <w:outlineLvl w:val="2"/>
        <w:rPr>
          <w:rFonts w:ascii="仿宋" w:hAnsi="仿宋" w:eastAsia="仿宋"/>
          <w:color w:val="auto"/>
          <w:sz w:val="32"/>
          <w:szCs w:val="32"/>
          <w:highlight w:val="none"/>
        </w:rPr>
      </w:pPr>
      <w:bookmarkStart w:id="94" w:name="_Toc15377222"/>
      <w:bookmarkStart w:id="95" w:name="_Toc10430"/>
      <w:r>
        <w:rPr>
          <w:rFonts w:hint="eastAsia" w:ascii="仿宋" w:hAnsi="仿宋" w:eastAsia="仿宋"/>
          <w:b/>
          <w:color w:val="auto"/>
          <w:sz w:val="32"/>
          <w:szCs w:val="32"/>
          <w:highlight w:val="none"/>
        </w:rPr>
        <w:t>（一）机关运行经费支出情况</w:t>
      </w:r>
      <w:bookmarkEnd w:id="94"/>
      <w:bookmarkEnd w:id="95"/>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卫生健康局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248.62</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减少253.68</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减少50.5</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000000"/>
          <w:sz w:val="32"/>
          <w:szCs w:val="32"/>
          <w:highlight w:val="none"/>
        </w:rPr>
        <w:t>主要</w:t>
      </w:r>
      <w:r>
        <w:rPr>
          <w:rFonts w:hint="eastAsia" w:ascii="仿宋_GB2312" w:eastAsia="仿宋_GB2312"/>
          <w:color w:val="000000"/>
          <w:sz w:val="32"/>
          <w:szCs w:val="32"/>
          <w:highlight w:val="none"/>
          <w:lang w:val="en-US" w:eastAsia="zh-CN"/>
        </w:rPr>
        <w:t>围绕购买</w:t>
      </w:r>
      <w:r>
        <w:rPr>
          <w:rFonts w:hint="eastAsia" w:ascii="仿宋_GB2312" w:eastAsia="仿宋_GB2312"/>
          <w:color w:val="000000"/>
          <w:sz w:val="32"/>
          <w:szCs w:val="32"/>
          <w:highlight w:val="none"/>
          <w:lang w:eastAsia="zh-CN"/>
        </w:rPr>
        <w:t>办公用品、下乡督导差旅费、宣传印刷、</w:t>
      </w:r>
      <w:r>
        <w:rPr>
          <w:rFonts w:hint="eastAsia" w:ascii="仿宋_GB2312" w:eastAsia="仿宋_GB2312"/>
          <w:color w:val="000000"/>
          <w:sz w:val="32"/>
          <w:szCs w:val="32"/>
          <w:highlight w:val="none"/>
          <w:lang w:val="en-US" w:eastAsia="zh-CN"/>
        </w:rPr>
        <w:t>临聘人员工资、工会经费等支出</w:t>
      </w:r>
      <w:r>
        <w:rPr>
          <w:rFonts w:hint="eastAsia" w:ascii="仿宋_GB2312" w:eastAsia="仿宋_GB2312"/>
          <w:color w:val="000000"/>
          <w:sz w:val="32"/>
          <w:szCs w:val="32"/>
          <w:highlight w:val="none"/>
          <w:lang w:eastAsia="zh-CN"/>
        </w:rPr>
        <w:t>，其中办公费</w:t>
      </w:r>
      <w:r>
        <w:rPr>
          <w:rFonts w:hint="eastAsia" w:ascii="仿宋_GB2312" w:eastAsia="仿宋_GB2312"/>
          <w:color w:val="000000"/>
          <w:sz w:val="32"/>
          <w:szCs w:val="32"/>
          <w:highlight w:val="none"/>
          <w:lang w:val="en-US" w:eastAsia="zh-CN"/>
        </w:rPr>
        <w:t>0.64万元、印刷费19.5万元、手续费0.06万元、水费0.91万元、电费2.1万元、邮电费0.04万元、差旅费72.19万元、维修费0.79万元、租赁费19.96万元、会议费1.4万元、培训费7.89万元、公务接待2.24万元、专用材料费62.53万元、劳务费18.68万元、工会经费31.85万元、其他商品服务支出7.83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96" w:name="_Toc15377223"/>
      <w:bookmarkStart w:id="97" w:name="_Toc32063"/>
      <w:r>
        <w:rPr>
          <w:rFonts w:hint="eastAsia" w:ascii="仿宋" w:hAnsi="仿宋" w:eastAsia="仿宋"/>
          <w:b/>
          <w:color w:val="auto"/>
          <w:sz w:val="32"/>
          <w:szCs w:val="32"/>
          <w:highlight w:val="none"/>
        </w:rPr>
        <w:t>（二）政府采购支出情况</w:t>
      </w:r>
      <w:bookmarkEnd w:id="96"/>
      <w:bookmarkEnd w:id="97"/>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卫生健康局机关</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98" w:name="_Toc15377224"/>
      <w:bookmarkStart w:id="99" w:name="_Toc19054"/>
      <w:r>
        <w:rPr>
          <w:rFonts w:hint="eastAsia" w:ascii="仿宋" w:hAnsi="仿宋" w:eastAsia="仿宋"/>
          <w:b/>
          <w:color w:val="auto"/>
          <w:sz w:val="32"/>
          <w:szCs w:val="32"/>
          <w:highlight w:val="none"/>
        </w:rPr>
        <w:t>（三）国有资产占有使用情况</w:t>
      </w:r>
      <w:bookmarkEnd w:id="98"/>
      <w:bookmarkEnd w:id="99"/>
    </w:p>
    <w:p>
      <w:pPr>
        <w:spacing w:line="600" w:lineRule="exact"/>
        <w:ind w:firstLine="64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卫生健康局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bookmarkStart w:id="100" w:name="_Toc1726"/>
      <w:r>
        <w:rPr>
          <w:rFonts w:hint="eastAsia" w:ascii="仿宋" w:hAnsi="仿宋" w:eastAsia="仿宋"/>
          <w:b/>
          <w:color w:val="auto"/>
          <w:sz w:val="32"/>
          <w:szCs w:val="32"/>
          <w:highlight w:val="none"/>
        </w:rPr>
        <w:t>（四）预算绩效管理情况</w:t>
      </w:r>
      <w:bookmarkEnd w:id="100"/>
    </w:p>
    <w:p>
      <w:pPr>
        <w:autoSpaceDE w:val="0"/>
        <w:autoSpaceDN w:val="0"/>
        <w:adjustRightInd w:val="0"/>
        <w:spacing w:line="600" w:lineRule="exact"/>
        <w:ind w:firstLine="640" w:firstLineChars="200"/>
        <w:jc w:val="left"/>
        <w:rPr>
          <w:rFonts w:hint="eastAsia" w:ascii="仿宋_GB2312" w:eastAsia="仿宋_GB2312"/>
          <w:color w:val="000000"/>
          <w:sz w:val="32"/>
          <w:szCs w:val="32"/>
        </w:rPr>
      </w:pPr>
      <w:r>
        <w:rPr>
          <w:rFonts w:hint="eastAsia" w:ascii="仿宋_GB2312" w:hAnsi="仿宋_GB2312" w:eastAsia="仿宋_GB2312" w:cs="仿宋_GB2312"/>
          <w:sz w:val="32"/>
          <w:szCs w:val="32"/>
        </w:rPr>
        <w:t>根据预算绩效管理要求，本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在年初预算编制阶段，组织对</w:t>
      </w:r>
      <w:r>
        <w:rPr>
          <w:rFonts w:hint="eastAsia" w:ascii="仿宋_GB2312" w:hAnsi="仿宋_GB2312" w:eastAsia="仿宋_GB2312" w:cs="仿宋_GB2312"/>
          <w:sz w:val="32"/>
          <w:szCs w:val="32"/>
          <w:lang w:val="en-US" w:eastAsia="zh-CN"/>
        </w:rPr>
        <w:t>单位定额公用经费、</w:t>
      </w:r>
      <w:r>
        <w:rPr>
          <w:rFonts w:hint="eastAsia" w:ascii="仿宋_GB2312" w:eastAsia="仿宋_GB2312"/>
          <w:color w:val="000000"/>
          <w:sz w:val="32"/>
          <w:szCs w:val="32"/>
          <w:lang w:eastAsia="zh-CN"/>
        </w:rPr>
        <w:t>“新生儿”及健康教育经费</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招商引资工作经费、公卫督导经费、基层医改信息系统运行经费、争取资金工作经费、</w:t>
      </w:r>
      <w:r>
        <w:rPr>
          <w:rFonts w:hint="eastAsia" w:ascii="仿宋_GB2312" w:eastAsia="仿宋_GB2312"/>
          <w:color w:val="000000"/>
          <w:sz w:val="32"/>
          <w:szCs w:val="32"/>
        </w:rPr>
        <w:t>独生子女父母奖励金</w:t>
      </w:r>
      <w:r>
        <w:rPr>
          <w:rFonts w:hint="eastAsia" w:ascii="仿宋_GB2312" w:eastAsia="仿宋_GB2312"/>
          <w:color w:val="000000"/>
          <w:sz w:val="32"/>
          <w:szCs w:val="32"/>
          <w:lang w:eastAsia="zh-CN"/>
        </w:rPr>
        <w:t>、</w:t>
      </w:r>
      <w:r>
        <w:rPr>
          <w:rFonts w:hint="eastAsia" w:ascii="仿宋_GB2312" w:eastAsia="仿宋_GB2312"/>
          <w:color w:val="000000"/>
          <w:sz w:val="32"/>
          <w:szCs w:val="32"/>
        </w:rPr>
        <w:t>计划生育家庭伤残</w:t>
      </w:r>
      <w:r>
        <w:rPr>
          <w:rFonts w:hint="eastAsia" w:ascii="仿宋_GB2312" w:eastAsia="仿宋_GB2312"/>
          <w:color w:val="000000"/>
          <w:sz w:val="32"/>
          <w:szCs w:val="32"/>
          <w:lang w:eastAsia="zh-CN"/>
        </w:rPr>
        <w:t>及</w:t>
      </w:r>
      <w:r>
        <w:rPr>
          <w:rFonts w:hint="eastAsia" w:ascii="仿宋_GB2312" w:eastAsia="仿宋_GB2312"/>
          <w:color w:val="000000"/>
          <w:sz w:val="32"/>
          <w:szCs w:val="32"/>
        </w:rPr>
        <w:t>死亡扶助、计划生育家庭特困扶助、计划生育免费</w:t>
      </w:r>
      <w:r>
        <w:rPr>
          <w:rFonts w:hint="eastAsia" w:ascii="仿宋_GB2312" w:eastAsia="仿宋_GB2312"/>
          <w:color w:val="000000"/>
          <w:sz w:val="32"/>
          <w:szCs w:val="32"/>
          <w:lang w:eastAsia="zh-CN"/>
        </w:rPr>
        <w:t>服务</w:t>
      </w:r>
      <w:r>
        <w:rPr>
          <w:rFonts w:hint="eastAsia" w:ascii="仿宋_GB2312" w:eastAsia="仿宋_GB2312"/>
          <w:color w:val="000000"/>
          <w:sz w:val="32"/>
          <w:szCs w:val="32"/>
        </w:rPr>
        <w:t>、</w:t>
      </w:r>
      <w:r>
        <w:rPr>
          <w:rFonts w:hint="eastAsia" w:ascii="仿宋_GB2312" w:eastAsia="仿宋_GB2312"/>
          <w:color w:val="000000"/>
          <w:sz w:val="32"/>
          <w:szCs w:val="32"/>
          <w:lang w:eastAsia="zh-CN"/>
        </w:rPr>
        <w:t>计划生育事业费投入、</w:t>
      </w:r>
      <w:r>
        <w:rPr>
          <w:rFonts w:hint="eastAsia" w:ascii="仿宋_GB2312" w:eastAsia="仿宋_GB2312"/>
          <w:color w:val="000000"/>
          <w:sz w:val="32"/>
          <w:szCs w:val="32"/>
        </w:rPr>
        <w:t>计划生育手术中并发症患者对象、免费婚检、</w:t>
      </w:r>
      <w:r>
        <w:rPr>
          <w:rFonts w:hint="eastAsia" w:ascii="仿宋_GB2312" w:eastAsia="仿宋_GB2312"/>
          <w:color w:val="000000"/>
          <w:sz w:val="32"/>
          <w:szCs w:val="32"/>
          <w:lang w:eastAsia="zh-CN"/>
        </w:rPr>
        <w:t>区级重点项目工作经费、</w:t>
      </w:r>
      <w:r>
        <w:rPr>
          <w:rFonts w:hint="eastAsia" w:ascii="仿宋_GB2312" w:eastAsia="仿宋_GB2312"/>
          <w:color w:val="000000"/>
          <w:sz w:val="32"/>
          <w:szCs w:val="32"/>
        </w:rPr>
        <w:t>特困家庭再扶助（独生子女死亡再扶助）、</w:t>
      </w:r>
      <w:r>
        <w:rPr>
          <w:rFonts w:hint="eastAsia" w:ascii="仿宋_GB2312" w:eastAsia="仿宋_GB2312"/>
          <w:color w:val="000000"/>
          <w:sz w:val="32"/>
          <w:szCs w:val="32"/>
          <w:lang w:eastAsia="zh-CN"/>
        </w:rPr>
        <w:t>乡村医生区级定额补助、</w:t>
      </w:r>
      <w:r>
        <w:rPr>
          <w:rFonts w:hint="eastAsia" w:ascii="仿宋_GB2312" w:eastAsia="仿宋_GB2312"/>
          <w:color w:val="000000"/>
          <w:sz w:val="32"/>
          <w:szCs w:val="32"/>
        </w:rPr>
        <w:t>支付泸定县麻风经费</w:t>
      </w:r>
      <w:r>
        <w:rPr>
          <w:rFonts w:hint="eastAsia" w:ascii="仿宋_GB2312" w:eastAsia="仿宋_GB2312"/>
          <w:color w:val="000000"/>
          <w:sz w:val="32"/>
          <w:szCs w:val="32"/>
          <w:lang w:eastAsia="zh-CN"/>
        </w:rPr>
        <w:t>、</w:t>
      </w:r>
      <w:r>
        <w:rPr>
          <w:rFonts w:hint="eastAsia" w:ascii="仿宋_GB2312" w:eastAsia="仿宋_GB2312"/>
          <w:color w:val="000000"/>
          <w:sz w:val="32"/>
          <w:szCs w:val="32"/>
        </w:rPr>
        <w:t>计划生育家庭奖励扶助-国奖、计划生育家庭奖励扶助--省奖、基本公共卫生服务</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医疗服务与保障能力提升、重大传染病防控补助、基本药物制度补助</w:t>
      </w:r>
      <w:r>
        <w:rPr>
          <w:rFonts w:hint="eastAsia" w:ascii="仿宋_GB2312" w:eastAsia="仿宋_GB2312"/>
          <w:color w:val="000000"/>
          <w:sz w:val="32"/>
          <w:szCs w:val="32"/>
        </w:rPr>
        <w:t>开展了预算事前绩效评估，</w:t>
      </w:r>
      <w:r>
        <w:rPr>
          <w:rFonts w:hint="eastAsia" w:ascii="仿宋_GB2312" w:eastAsia="仿宋_GB2312"/>
          <w:color w:val="000000"/>
          <w:sz w:val="32"/>
          <w:szCs w:val="32"/>
          <w:lang w:eastAsia="zh-CN"/>
        </w:rPr>
        <w:t>并</w:t>
      </w:r>
      <w:r>
        <w:rPr>
          <w:rFonts w:hint="eastAsia" w:ascii="仿宋_GB2312" w:eastAsia="仿宋_GB2312"/>
          <w:color w:val="000000"/>
          <w:sz w:val="32"/>
          <w:szCs w:val="32"/>
        </w:rPr>
        <w:t>对</w:t>
      </w:r>
      <w:r>
        <w:rPr>
          <w:rFonts w:hint="eastAsia" w:ascii="仿宋_GB2312" w:eastAsia="仿宋_GB2312"/>
          <w:color w:val="000000"/>
          <w:sz w:val="32"/>
          <w:szCs w:val="32"/>
          <w:lang w:eastAsia="zh-CN"/>
        </w:rPr>
        <w:t>以上</w:t>
      </w:r>
      <w:r>
        <w:rPr>
          <w:rFonts w:hint="eastAsia" w:ascii="仿宋_GB2312" w:eastAsia="仿宋_GB2312"/>
          <w:color w:val="000000"/>
          <w:sz w:val="32"/>
          <w:szCs w:val="32"/>
          <w:lang w:val="en-US" w:eastAsia="zh-CN"/>
        </w:rPr>
        <w:t>23</w:t>
      </w:r>
      <w:r>
        <w:rPr>
          <w:rFonts w:hint="eastAsia" w:ascii="仿宋_GB2312" w:eastAsia="仿宋_GB2312"/>
          <w:color w:val="000000"/>
          <w:sz w:val="32"/>
          <w:szCs w:val="32"/>
        </w:rPr>
        <w:t>个项目编制了绩效目标，预算执行过程中，选取10个项目开展绩效监控，年终执行完毕后，对</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个项目开展了绩效目标完成情况自评。</w:t>
      </w:r>
    </w:p>
    <w:p>
      <w:pPr>
        <w:autoSpaceDE w:val="0"/>
        <w:autoSpaceDN w:val="0"/>
        <w:adjustRightInd w:val="0"/>
        <w:spacing w:line="600" w:lineRule="exact"/>
        <w:ind w:firstLine="640" w:firstLineChars="200"/>
        <w:jc w:val="left"/>
        <w:rPr>
          <w:rFonts w:hint="eastAsia" w:ascii="仿宋_GB2312" w:eastAsia="仿宋_GB2312"/>
          <w:color w:val="000000"/>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年整体支出开展绩效自评，</w:t>
      </w:r>
      <w:r>
        <w:rPr>
          <w:rFonts w:hint="eastAsia" w:ascii="仿宋_GB2312" w:eastAsia="仿宋_GB2312"/>
          <w:color w:val="000000"/>
          <w:sz w:val="32"/>
          <w:szCs w:val="32"/>
        </w:rPr>
        <w:t>从评价情况来看预算支出未发现无预算、超预算支出，未发现虚列支出和预算科目间相互挤占问题，所有财政资金支出均履行了严格审批手续，未发现挤占、挪用、转移财政资金行为。基本支出严格执行国家有关政策及规定，无擅自扩大开支范围</w:t>
      </w:r>
      <w:r>
        <w:rPr>
          <w:rFonts w:hint="eastAsia" w:ascii="仿宋_GB2312" w:eastAsia="仿宋_GB2312"/>
          <w:color w:val="000000"/>
          <w:sz w:val="32"/>
          <w:szCs w:val="32"/>
          <w:lang w:eastAsia="zh-CN"/>
        </w:rPr>
        <w:t>和</w:t>
      </w:r>
      <w:r>
        <w:rPr>
          <w:rFonts w:hint="eastAsia" w:ascii="仿宋_GB2312" w:eastAsia="仿宋_GB2312"/>
          <w:color w:val="000000"/>
          <w:sz w:val="32"/>
          <w:szCs w:val="32"/>
        </w:rPr>
        <w:t>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w:t>
      </w:r>
      <w:r>
        <w:rPr>
          <w:rFonts w:hint="eastAsia" w:ascii="仿宋_GB2312" w:eastAsia="仿宋_GB2312"/>
          <w:color w:val="000000"/>
          <w:sz w:val="32"/>
          <w:szCs w:val="32"/>
          <w:lang w:eastAsia="zh-CN"/>
        </w:rPr>
        <w:t>有</w:t>
      </w:r>
      <w:r>
        <w:rPr>
          <w:rFonts w:hint="eastAsia" w:ascii="仿宋_GB2312" w:eastAsia="仿宋_GB2312"/>
          <w:color w:val="000000"/>
          <w:sz w:val="32"/>
          <w:szCs w:val="32"/>
        </w:rPr>
        <w:t>资金对外借、贷款问题。本</w:t>
      </w:r>
      <w:r>
        <w:rPr>
          <w:rFonts w:hint="eastAsia" w:ascii="仿宋_GB2312" w:eastAsia="仿宋_GB2312"/>
          <w:color w:val="000000"/>
          <w:sz w:val="32"/>
          <w:szCs w:val="32"/>
          <w:lang w:eastAsia="zh-CN"/>
        </w:rPr>
        <w:t>单位</w:t>
      </w:r>
      <w:r>
        <w:rPr>
          <w:rFonts w:hint="eastAsia" w:ascii="仿宋_GB2312" w:eastAsia="仿宋_GB2312"/>
          <w:color w:val="000000"/>
          <w:sz w:val="32"/>
          <w:szCs w:val="32"/>
        </w:rPr>
        <w:t>还自行组织了项目绩效评价，从评价情况来看我局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pPr>
        <w:pStyle w:val="2"/>
        <w:ind w:firstLine="640" w:firstLineChars="200"/>
        <w:rPr>
          <w:color w:val="auto"/>
          <w:highlight w:val="yellow"/>
        </w:rPr>
      </w:pPr>
      <w:r>
        <w:rPr>
          <w:rFonts w:hint="eastAsia" w:ascii="仿宋_GB2312" w:hAnsi="仿宋_GB2312" w:eastAsia="仿宋_GB2312" w:cs="仿宋_GB2312"/>
          <w:color w:val="auto"/>
          <w:sz w:val="32"/>
          <w:szCs w:val="32"/>
          <w:highlight w:val="none"/>
        </w:rPr>
        <w:t>绩效自评表详见</w:t>
      </w:r>
      <w:r>
        <w:rPr>
          <w:rFonts w:hint="eastAsia" w:hAnsi="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附件。</w:t>
      </w:r>
    </w:p>
    <w:p>
      <w:pPr>
        <w:widowControl/>
        <w:jc w:val="center"/>
        <w:outlineLvl w:val="0"/>
        <w:rPr>
          <w:rFonts w:ascii="宋体"/>
          <w:b/>
          <w:color w:val="auto"/>
          <w:sz w:val="44"/>
          <w:szCs w:val="44"/>
          <w:highlight w:val="none"/>
        </w:rPr>
      </w:pPr>
      <w:bookmarkStart w:id="101" w:name="_Toc15377225"/>
      <w:bookmarkStart w:id="102" w:name="_Toc15396613"/>
      <w:bookmarkStart w:id="103" w:name="_Toc6754"/>
      <w:r>
        <w:rPr>
          <w:rFonts w:hint="eastAsia" w:ascii="黑体" w:hAnsi="黑体" w:eastAsia="黑体"/>
          <w:color w:val="auto"/>
          <w:sz w:val="44"/>
          <w:szCs w:val="44"/>
          <w:highlight w:val="none"/>
          <w:lang w:val="en-US" w:eastAsia="zh-CN"/>
        </w:rPr>
        <w:t xml:space="preserve">第三部分  </w:t>
      </w:r>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101"/>
      <w:bookmarkEnd w:id="102"/>
      <w:bookmarkEnd w:id="103"/>
    </w:p>
    <w:p>
      <w:pPr>
        <w:pStyle w:val="25"/>
        <w:spacing w:line="560" w:lineRule="exact"/>
        <w:ind w:firstLine="640" w:firstLineChars="200"/>
        <w:rPr>
          <w:rFonts w:ascii="仿宋_GB2312" w:eastAsia="仿宋_GB2312"/>
          <w:color w:val="auto"/>
          <w:sz w:val="32"/>
          <w:szCs w:val="32"/>
        </w:rPr>
      </w:pPr>
      <w:bookmarkStart w:id="104" w:name="_Toc10544"/>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5"/>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5"/>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color w:val="000000"/>
          <w:sz w:val="32"/>
          <w:szCs w:val="32"/>
        </w:rPr>
        <w:t>9.</w:t>
      </w:r>
      <w:r>
        <w:rPr>
          <w:rFonts w:hint="eastAsia" w:ascii="仿宋" w:hAnsi="仿宋" w:eastAsia="仿宋"/>
          <w:color w:val="000000"/>
          <w:sz w:val="32"/>
          <w:szCs w:val="32"/>
        </w:rPr>
        <w:t>卫生健康支出</w:t>
      </w:r>
      <w:r>
        <w:rPr>
          <w:rStyle w:val="17"/>
          <w:rFonts w:hint="eastAsia" w:ascii="仿宋" w:hAnsi="仿宋" w:eastAsia="仿宋"/>
          <w:b w:val="0"/>
          <w:color w:val="000000"/>
          <w:sz w:val="32"/>
          <w:szCs w:val="32"/>
        </w:rPr>
        <w:t>（类）卫生健康管理事务（款）行政运行（项）</w:t>
      </w:r>
      <w:r>
        <w:rPr>
          <w:rFonts w:hint="eastAsia" w:ascii="仿宋_GB2312" w:eastAsia="仿宋_GB2312"/>
          <w:color w:val="000000"/>
          <w:sz w:val="32"/>
          <w:szCs w:val="32"/>
        </w:rPr>
        <w:t>：指反映行政单位的基本支出；</w:t>
      </w:r>
      <w:r>
        <w:rPr>
          <w:rFonts w:hint="eastAsia" w:ascii="仿宋" w:hAnsi="仿宋" w:eastAsia="仿宋"/>
          <w:color w:val="000000"/>
          <w:sz w:val="32"/>
          <w:szCs w:val="32"/>
        </w:rPr>
        <w:t>卫生健康支出</w:t>
      </w:r>
      <w:r>
        <w:rPr>
          <w:rFonts w:hint="eastAsia" w:ascii="仿宋_GB2312" w:eastAsia="仿宋_GB2312"/>
          <w:color w:val="000000"/>
          <w:sz w:val="32"/>
          <w:szCs w:val="32"/>
        </w:rPr>
        <w:t>(类)公立医院（款）</w:t>
      </w:r>
      <w:r>
        <w:rPr>
          <w:rStyle w:val="17"/>
          <w:rFonts w:hint="eastAsia" w:ascii="仿宋_GB2312" w:eastAsia="仿宋_GB2312"/>
          <w:b w:val="0"/>
          <w:color w:val="000000"/>
          <w:sz w:val="32"/>
          <w:szCs w:val="32"/>
        </w:rPr>
        <w:t>中医（民族）医院（项）</w:t>
      </w:r>
      <w:r>
        <w:rPr>
          <w:rFonts w:hint="eastAsia" w:ascii="仿宋_GB2312" w:eastAsia="仿宋_GB2312"/>
          <w:color w:val="000000"/>
          <w:sz w:val="32"/>
          <w:szCs w:val="32"/>
        </w:rPr>
        <w:t>：指反映</w:t>
      </w:r>
      <w:r>
        <w:rPr>
          <w:rFonts w:hint="eastAsia" w:ascii="仿宋" w:hAnsi="仿宋" w:eastAsia="仿宋"/>
          <w:color w:val="000000"/>
          <w:sz w:val="32"/>
          <w:szCs w:val="32"/>
        </w:rPr>
        <w:t>卫生健康部门</w:t>
      </w:r>
      <w:r>
        <w:rPr>
          <w:rFonts w:hint="eastAsia" w:ascii="仿宋_GB2312" w:eastAsia="仿宋_GB2312"/>
          <w:color w:val="000000"/>
          <w:sz w:val="32"/>
          <w:szCs w:val="32"/>
        </w:rPr>
        <w:t>所属的中医院支出；</w:t>
      </w:r>
      <w:r>
        <w:rPr>
          <w:rFonts w:hint="eastAsia" w:ascii="仿宋" w:hAnsi="仿宋" w:eastAsia="仿宋"/>
          <w:color w:val="000000"/>
          <w:sz w:val="32"/>
          <w:szCs w:val="32"/>
        </w:rPr>
        <w:t>卫生健康支出</w:t>
      </w:r>
      <w:r>
        <w:rPr>
          <w:rFonts w:hint="eastAsia" w:ascii="仿宋_GB2312" w:eastAsia="仿宋_GB2312"/>
          <w:color w:val="000000"/>
          <w:sz w:val="32"/>
          <w:szCs w:val="32"/>
        </w:rPr>
        <w:t>（类）基层医疗卫生机构（款）</w:t>
      </w:r>
      <w:r>
        <w:rPr>
          <w:rStyle w:val="17"/>
          <w:rFonts w:hint="eastAsia" w:ascii="仿宋_GB2312" w:eastAsia="仿宋_GB2312"/>
          <w:b w:val="0"/>
          <w:color w:val="000000"/>
          <w:sz w:val="32"/>
          <w:szCs w:val="32"/>
        </w:rPr>
        <w:t>乡镇卫生院（项）</w:t>
      </w:r>
      <w:r>
        <w:rPr>
          <w:rFonts w:hint="eastAsia" w:ascii="仿宋_GB2312" w:eastAsia="仿宋_GB2312"/>
          <w:color w:val="000000"/>
          <w:sz w:val="32"/>
          <w:szCs w:val="32"/>
        </w:rPr>
        <w:t>：反映乡镇卫生院的支出；</w:t>
      </w:r>
      <w:r>
        <w:rPr>
          <w:rFonts w:hint="eastAsia" w:ascii="仿宋" w:hAnsi="仿宋" w:eastAsia="仿宋"/>
          <w:color w:val="000000"/>
          <w:sz w:val="32"/>
          <w:szCs w:val="32"/>
        </w:rPr>
        <w:t>卫生健康支出</w:t>
      </w:r>
      <w:r>
        <w:rPr>
          <w:rStyle w:val="17"/>
          <w:rFonts w:hint="eastAsia" w:ascii="仿宋_GB2312" w:eastAsia="仿宋_GB2312"/>
          <w:b w:val="0"/>
          <w:color w:val="000000"/>
          <w:sz w:val="32"/>
          <w:szCs w:val="32"/>
        </w:rPr>
        <w:t>（类）公共卫生（款）疾病预防控制机构（项）</w:t>
      </w:r>
      <w:r>
        <w:rPr>
          <w:rFonts w:hint="eastAsia" w:ascii="仿宋_GB2312" w:eastAsia="仿宋_GB2312"/>
          <w:color w:val="000000"/>
          <w:sz w:val="32"/>
          <w:szCs w:val="32"/>
        </w:rPr>
        <w:t>：反映</w:t>
      </w:r>
      <w:r>
        <w:rPr>
          <w:rFonts w:hint="eastAsia" w:ascii="仿宋" w:hAnsi="仿宋" w:eastAsia="仿宋"/>
          <w:color w:val="000000"/>
          <w:sz w:val="32"/>
          <w:szCs w:val="32"/>
        </w:rPr>
        <w:t>卫生健康</w:t>
      </w:r>
      <w:r>
        <w:rPr>
          <w:rFonts w:hint="eastAsia" w:ascii="仿宋_GB2312" w:eastAsia="仿宋_GB2312"/>
          <w:color w:val="000000"/>
          <w:sz w:val="32"/>
          <w:szCs w:val="32"/>
        </w:rPr>
        <w:t>部门所属的疾病预防控制机构的支出；</w:t>
      </w:r>
      <w:r>
        <w:rPr>
          <w:rFonts w:hint="eastAsia" w:ascii="仿宋" w:hAnsi="仿宋" w:eastAsia="仿宋"/>
          <w:color w:val="000000"/>
          <w:sz w:val="32"/>
          <w:szCs w:val="32"/>
        </w:rPr>
        <w:t>卫生健康支出</w:t>
      </w:r>
      <w:r>
        <w:rPr>
          <w:rStyle w:val="17"/>
          <w:rFonts w:hint="eastAsia" w:ascii="仿宋_GB2312" w:eastAsia="仿宋_GB2312"/>
          <w:b w:val="0"/>
          <w:color w:val="000000"/>
          <w:sz w:val="32"/>
          <w:szCs w:val="32"/>
        </w:rPr>
        <w:t>（类）公共卫生（款）卫生监督机构（项）</w:t>
      </w:r>
      <w:r>
        <w:rPr>
          <w:rFonts w:hint="eastAsia" w:ascii="仿宋_GB2312" w:eastAsia="仿宋_GB2312"/>
          <w:color w:val="000000"/>
          <w:sz w:val="32"/>
          <w:szCs w:val="32"/>
        </w:rPr>
        <w:t>：反映</w:t>
      </w:r>
      <w:r>
        <w:rPr>
          <w:rFonts w:hint="eastAsia" w:ascii="仿宋" w:hAnsi="仿宋" w:eastAsia="仿宋"/>
          <w:color w:val="000000"/>
          <w:sz w:val="32"/>
          <w:szCs w:val="32"/>
        </w:rPr>
        <w:t>卫生健康</w:t>
      </w:r>
      <w:r>
        <w:rPr>
          <w:rFonts w:hint="eastAsia" w:ascii="仿宋_GB2312" w:eastAsia="仿宋_GB2312"/>
          <w:color w:val="000000"/>
          <w:sz w:val="32"/>
          <w:szCs w:val="32"/>
        </w:rPr>
        <w:t>部门所属卫生监督机构的支出；</w:t>
      </w:r>
      <w:r>
        <w:rPr>
          <w:rFonts w:hint="eastAsia" w:ascii="仿宋" w:hAnsi="仿宋" w:eastAsia="仿宋"/>
          <w:color w:val="000000"/>
          <w:sz w:val="32"/>
          <w:szCs w:val="32"/>
        </w:rPr>
        <w:t>卫生健康支出</w:t>
      </w:r>
      <w:r>
        <w:rPr>
          <w:rStyle w:val="17"/>
          <w:rFonts w:hint="eastAsia" w:ascii="仿宋_GB2312" w:eastAsia="仿宋_GB2312"/>
          <w:b w:val="0"/>
          <w:color w:val="000000"/>
          <w:sz w:val="32"/>
          <w:szCs w:val="32"/>
        </w:rPr>
        <w:t>（类）公共卫生（款）妇幼保健机构（项）</w:t>
      </w:r>
      <w:r>
        <w:rPr>
          <w:rFonts w:hint="eastAsia" w:ascii="仿宋_GB2312" w:eastAsia="仿宋_GB2312"/>
          <w:color w:val="000000"/>
          <w:sz w:val="32"/>
          <w:szCs w:val="32"/>
        </w:rPr>
        <w:t>：反映</w:t>
      </w:r>
      <w:r>
        <w:rPr>
          <w:rFonts w:hint="eastAsia" w:ascii="仿宋" w:hAnsi="仿宋" w:eastAsia="仿宋"/>
          <w:color w:val="000000"/>
          <w:sz w:val="32"/>
          <w:szCs w:val="32"/>
        </w:rPr>
        <w:t>卫生健康部门</w:t>
      </w:r>
      <w:r>
        <w:rPr>
          <w:rFonts w:hint="eastAsia" w:ascii="仿宋_GB2312" w:eastAsia="仿宋_GB2312"/>
          <w:color w:val="000000"/>
          <w:sz w:val="32"/>
          <w:szCs w:val="32"/>
        </w:rPr>
        <w:t>所属妇幼保健机构的支出；</w:t>
      </w:r>
      <w:r>
        <w:rPr>
          <w:rStyle w:val="17"/>
          <w:rFonts w:hint="eastAsia" w:ascii="仿宋_GB2312" w:eastAsia="仿宋_GB2312"/>
          <w:b w:val="0"/>
          <w:color w:val="000000"/>
          <w:sz w:val="32"/>
          <w:szCs w:val="32"/>
        </w:rPr>
        <w:t>卫生健康支出（类）公共卫生（款）基本公共卫生服务（项）</w:t>
      </w:r>
      <w:r>
        <w:rPr>
          <w:rFonts w:hint="eastAsia" w:ascii="仿宋_GB2312" w:eastAsia="仿宋_GB2312"/>
          <w:color w:val="000000"/>
          <w:sz w:val="32"/>
          <w:szCs w:val="32"/>
        </w:rPr>
        <w:t>：反映乡镇卫生院、社区卫生机构开展基本公共卫生服务的支出；</w:t>
      </w:r>
      <w:r>
        <w:rPr>
          <w:rStyle w:val="17"/>
          <w:rFonts w:hint="eastAsia" w:ascii="仿宋_GB2312" w:eastAsia="仿宋_GB2312"/>
          <w:b w:val="0"/>
          <w:color w:val="000000"/>
          <w:sz w:val="32"/>
          <w:szCs w:val="32"/>
        </w:rPr>
        <w:t>卫生健康支出（类）公共卫生（款）重大公共卫生专项（项）</w:t>
      </w:r>
      <w:r>
        <w:rPr>
          <w:rFonts w:hint="eastAsia" w:ascii="仿宋_GB2312" w:eastAsia="仿宋_GB2312"/>
          <w:color w:val="000000"/>
          <w:sz w:val="32"/>
          <w:szCs w:val="32"/>
        </w:rPr>
        <w:t>：反映重大疾病预防控制等重大公共卫生服务项目支出；</w:t>
      </w:r>
      <w:r>
        <w:rPr>
          <w:rFonts w:hint="eastAsia" w:ascii="仿宋_GB2312" w:eastAsia="仿宋_GB2312"/>
          <w:bCs/>
          <w:color w:val="000000"/>
          <w:sz w:val="32"/>
          <w:szCs w:val="32"/>
        </w:rPr>
        <w:t>卫生健康支出（类）中医药（款）中医药专项（项）</w:t>
      </w:r>
      <w:r>
        <w:rPr>
          <w:rFonts w:hint="eastAsia" w:ascii="仿宋_GB2312" w:eastAsia="仿宋_GB2312"/>
          <w:color w:val="000000"/>
          <w:sz w:val="32"/>
          <w:szCs w:val="32"/>
        </w:rPr>
        <w:t>:主要用于中医专项支出：</w:t>
      </w:r>
      <w:r>
        <w:rPr>
          <w:rStyle w:val="17"/>
          <w:rFonts w:hint="eastAsia" w:ascii="仿宋_GB2312" w:eastAsia="仿宋_GB2312"/>
          <w:b w:val="0"/>
          <w:color w:val="000000"/>
          <w:sz w:val="32"/>
          <w:szCs w:val="32"/>
        </w:rPr>
        <w:t>卫生健康支出</w:t>
      </w:r>
      <w:r>
        <w:rPr>
          <w:rFonts w:hint="eastAsia" w:ascii="仿宋_GB2312" w:eastAsia="仿宋_GB2312"/>
          <w:color w:val="000000"/>
          <w:sz w:val="32"/>
          <w:szCs w:val="32"/>
        </w:rPr>
        <w:t>（类）基层医疗卫生机构（款）其他基层医疗卫生机构支出（项）</w:t>
      </w:r>
      <w:r>
        <w:rPr>
          <w:rStyle w:val="17"/>
          <w:rFonts w:hint="eastAsia" w:ascii="仿宋_GB2312" w:eastAsia="仿宋_GB2312"/>
          <w:b w:val="0"/>
          <w:color w:val="000000"/>
          <w:sz w:val="32"/>
          <w:szCs w:val="32"/>
        </w:rPr>
        <w:t>：反映除乡镇卫生院、城市社区卫生机构以外的其他用于基层医疗卫生机构的支出；卫生健康支出（类）计划生育事务</w:t>
      </w:r>
      <w:r>
        <w:rPr>
          <w:rFonts w:hint="eastAsia" w:ascii="仿宋_GB2312" w:eastAsia="仿宋_GB2312"/>
          <w:color w:val="000000"/>
          <w:sz w:val="32"/>
          <w:szCs w:val="32"/>
        </w:rPr>
        <w:t>（款）其他计划生育事务支出（项）</w:t>
      </w:r>
      <w:r>
        <w:rPr>
          <w:rStyle w:val="17"/>
          <w:rFonts w:hint="eastAsia" w:ascii="仿宋_GB2312" w:eastAsia="仿宋_GB2312"/>
          <w:b w:val="0"/>
          <w:color w:val="000000"/>
          <w:sz w:val="32"/>
          <w:szCs w:val="32"/>
        </w:rPr>
        <w:t>:反映计划生育服务支出；</w:t>
      </w:r>
      <w:r>
        <w:rPr>
          <w:rStyle w:val="17"/>
          <w:rFonts w:hint="eastAsia" w:ascii="仿宋_GB2312" w:eastAsia="仿宋_GB2312"/>
          <w:b w:val="0"/>
          <w:bCs/>
          <w:color w:val="000000"/>
          <w:sz w:val="32"/>
          <w:szCs w:val="32"/>
        </w:rPr>
        <w:t>卫生健康支出（类）其他卫生健康支出（款）</w:t>
      </w:r>
      <w:r>
        <w:rPr>
          <w:rFonts w:hint="eastAsia" w:ascii="仿宋_GB2312" w:eastAsia="仿宋_GB2312"/>
          <w:bCs/>
          <w:color w:val="000000"/>
          <w:sz w:val="32"/>
          <w:szCs w:val="32"/>
        </w:rPr>
        <w:t>其他卫生健康支出(项)</w:t>
      </w:r>
      <w:r>
        <w:rPr>
          <w:rFonts w:hint="eastAsia" w:ascii="仿宋_GB2312" w:eastAsia="仿宋_GB2312"/>
          <w:color w:val="000000"/>
          <w:sz w:val="32"/>
          <w:szCs w:val="32"/>
        </w:rPr>
        <w:t>:主要用于疫情防控公共卫生体系建设、基层医疗服务提升、疾控中心基本建设、妇幼保健机构基本建设、全科医师转岗、特岗培训、人才队伍建设、二类疫苗接种服务费等支出:</w:t>
      </w:r>
      <w:r>
        <w:rPr>
          <w:rStyle w:val="17"/>
          <w:rFonts w:hint="eastAsia" w:ascii="仿宋_GB2312" w:eastAsia="仿宋_GB2312"/>
          <w:b w:val="0"/>
          <w:color w:val="000000"/>
          <w:sz w:val="32"/>
          <w:szCs w:val="32"/>
        </w:rPr>
        <w:t>卫生健康支出（类）行政事业单位医疗</w:t>
      </w:r>
      <w:r>
        <w:rPr>
          <w:rFonts w:hint="eastAsia" w:ascii="仿宋_GB2312" w:eastAsia="仿宋_GB2312"/>
          <w:color w:val="000000"/>
          <w:sz w:val="32"/>
          <w:szCs w:val="32"/>
        </w:rPr>
        <w:t>（款）  事业单位医疗（项）</w:t>
      </w:r>
      <w:r>
        <w:rPr>
          <w:rStyle w:val="17"/>
          <w:rFonts w:hint="eastAsia" w:ascii="仿宋_GB2312" w:eastAsia="仿宋_GB2312"/>
          <w:b w:val="0"/>
          <w:color w:val="000000"/>
          <w:sz w:val="32"/>
          <w:szCs w:val="32"/>
        </w:rPr>
        <w:t>:</w:t>
      </w:r>
      <w:r>
        <w:rPr>
          <w:rStyle w:val="17"/>
          <w:rFonts w:hint="eastAsia" w:ascii="仿宋_GB2312" w:eastAsia="仿宋_GB2312"/>
          <w:b w:val="0"/>
          <w:sz w:val="32"/>
          <w:szCs w:val="32"/>
        </w:rPr>
        <w:t>反映</w:t>
      </w:r>
      <w:r>
        <w:rPr>
          <w:rStyle w:val="17"/>
          <w:rFonts w:hint="eastAsia" w:ascii="仿宋_GB2312" w:eastAsia="仿宋_GB2312"/>
          <w:b w:val="0"/>
          <w:color w:val="000000"/>
          <w:sz w:val="32"/>
          <w:szCs w:val="32"/>
        </w:rPr>
        <w:t>卫生健康支出中的在职人员医疗保险；卫生健康支出（类）行政事业单位医疗</w:t>
      </w:r>
      <w:r>
        <w:rPr>
          <w:rFonts w:hint="eastAsia" w:ascii="仿宋_GB2312" w:eastAsia="仿宋_GB2312"/>
          <w:color w:val="000000"/>
          <w:sz w:val="32"/>
          <w:szCs w:val="32"/>
        </w:rPr>
        <w:t>（款）其他卫生健康支出（项）反映基层医疗单位贫困人口体检支出：</w:t>
      </w:r>
      <w:r>
        <w:rPr>
          <w:rFonts w:hint="eastAsia" w:ascii="仿宋_GB2312" w:eastAsia="仿宋_GB2312"/>
          <w:sz w:val="32"/>
          <w:szCs w:val="32"/>
        </w:rPr>
        <w:t>农林水支出（类）扶贫（款）其他扶贫支出（项）主要反映健康扶贫支出。</w:t>
      </w:r>
    </w:p>
    <w:p>
      <w:pPr>
        <w:ind w:firstLine="640" w:firstLineChars="200"/>
        <w:rPr>
          <w:rStyle w:val="17"/>
          <w:rFonts w:ascii="仿宋" w:hAnsi="仿宋" w:eastAsia="仿宋" w:cs="仿宋"/>
          <w:b w:val="0"/>
          <w:color w:val="000000"/>
          <w:sz w:val="32"/>
          <w:szCs w:val="32"/>
        </w:rPr>
      </w:pPr>
      <w:r>
        <w:rPr>
          <w:rFonts w:hint="eastAsia" w:ascii="仿宋" w:hAnsi="仿宋" w:eastAsia="仿宋" w:cs="仿宋"/>
          <w:sz w:val="32"/>
          <w:szCs w:val="32"/>
        </w:rPr>
        <w:t>10.社会保障和就业支出：反映政府在社会保障和就业方面的支出。</w:t>
      </w:r>
      <w:r>
        <w:rPr>
          <w:rFonts w:hint="eastAsia" w:ascii="仿宋" w:hAnsi="仿宋" w:eastAsia="仿宋" w:cs="仿宋"/>
          <w:sz w:val="32"/>
          <w:szCs w:val="32"/>
        </w:rPr>
        <w:br w:type="textWrapping"/>
      </w:r>
      <w:r>
        <w:rPr>
          <w:rFonts w:hint="eastAsia" w:ascii="仿宋" w:hAnsi="仿宋" w:eastAsia="仿宋" w:cs="仿宋"/>
          <w:sz w:val="32"/>
          <w:szCs w:val="32"/>
        </w:rPr>
        <w:t>社会保障和就业支出-行政事业单位离退休-机关事业单位基本养老保险缴费支出：反映机关事业单位实施养老保险制度由单位缴纳的基本养老保险支出；</w:t>
      </w:r>
      <w:r>
        <w:rPr>
          <w:rFonts w:hint="eastAsia" w:ascii="仿宋" w:hAnsi="仿宋" w:eastAsia="仿宋" w:cs="仿宋"/>
          <w:sz w:val="32"/>
          <w:szCs w:val="32"/>
        </w:rPr>
        <w:br w:type="textWrapping"/>
      </w:r>
      <w:r>
        <w:rPr>
          <w:rFonts w:hint="eastAsia" w:ascii="仿宋" w:hAnsi="仿宋" w:eastAsia="仿宋" w:cs="仿宋"/>
          <w:sz w:val="32"/>
          <w:szCs w:val="32"/>
        </w:rPr>
        <w:t xml:space="preserve">    11.住房保障支出：住房保障支出-住房改革支出-住房公积金：反映行政事业单位按人力资源和社会保障部、财政部规定的基本工资和津贴补贴以及规定比例为职工缴纳的住房公积金。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5"/>
        <w:spacing w:line="560" w:lineRule="exact"/>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_GB2312" w:eastAsia="仿宋_GB2312"/>
          <w:color w:val="auto"/>
          <w:sz w:val="32"/>
          <w:szCs w:val="32"/>
          <w:highlight w:val="none"/>
        </w:rPr>
      </w:pPr>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四部分 附件</w:t>
      </w:r>
      <w:bookmarkEnd w:id="104"/>
    </w:p>
    <w:tbl>
      <w:tblPr>
        <w:tblStyle w:val="15"/>
        <w:tblpPr w:leftFromText="180" w:rightFromText="180" w:vertAnchor="text" w:horzAnchor="page" w:tblpXSpec="center" w:tblpY="569"/>
        <w:tblOverlap w:val="never"/>
        <w:tblW w:w="8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6"/>
        <w:gridCol w:w="893"/>
        <w:gridCol w:w="1358"/>
        <w:gridCol w:w="486"/>
        <w:gridCol w:w="2178"/>
        <w:gridCol w:w="1205"/>
        <w:gridCol w:w="1016"/>
        <w:gridCol w:w="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6" w:hRule="atLeast"/>
          <w:jc w:val="center"/>
        </w:trPr>
        <w:tc>
          <w:tcPr>
            <w:tcW w:w="852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bookmarkStart w:id="105" w:name="_Toc15396614"/>
            <w:bookmarkStart w:id="106" w:name="_Toc15377226"/>
            <w:r>
              <w:rPr>
                <w:rFonts w:hint="default" w:ascii="方正小标宋简体" w:hAnsi="方正小标宋简体" w:eastAsia="方正小标宋简体" w:cs="方正小标宋简体"/>
                <w:i w:val="0"/>
                <w:iCs w:val="0"/>
                <w:color w:val="000000"/>
                <w:kern w:val="0"/>
                <w:sz w:val="40"/>
                <w:szCs w:val="40"/>
                <w:u w:val="none"/>
                <w:lang w:val="en-US" w:eastAsia="zh-CN" w:bidi="ar"/>
              </w:rPr>
              <w:t>广元市昭化区部门整体支出绩效目标自评表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8520"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4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广元市卫生健康委员会</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367"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1844"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20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9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9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36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5002.44</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5002.44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5002.44</w:t>
            </w:r>
            <w:r>
              <w:rPr>
                <w:rFonts w:hint="eastAsia" w:ascii="宋体" w:hAnsi="宋体" w:eastAsia="宋体" w:cs="宋体"/>
                <w:i w:val="0"/>
                <w:iCs w:val="0"/>
                <w:color w:val="000000"/>
                <w:kern w:val="0"/>
                <w:sz w:val="18"/>
                <w:szCs w:val="18"/>
                <w:u w:val="none"/>
                <w:lang w:val="en-US" w:eastAsia="zh-CN" w:bidi="ar"/>
              </w:rPr>
              <w:t xml:space="preserve"> </w:t>
            </w:r>
          </w:p>
        </w:tc>
        <w:tc>
          <w:tcPr>
            <w:tcW w:w="9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36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5002.44</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5002.44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5002.44</w:t>
            </w:r>
          </w:p>
        </w:tc>
        <w:tc>
          <w:tcPr>
            <w:tcW w:w="9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36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4897.11</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4897.11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4897.11</w:t>
            </w:r>
          </w:p>
        </w:tc>
        <w:tc>
          <w:tcPr>
            <w:tcW w:w="9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36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105.33</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105.33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105.33</w:t>
            </w:r>
          </w:p>
        </w:tc>
        <w:tc>
          <w:tcPr>
            <w:tcW w:w="9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jc w:val="center"/>
        </w:trPr>
        <w:tc>
          <w:tcPr>
            <w:tcW w:w="136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36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36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4"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2194"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w:t>
            </w:r>
          </w:p>
        </w:tc>
        <w:tc>
          <w:tcPr>
            <w:tcW w:w="61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区政府年初发布的传染病疫情信息、突发公共卫生事件等应急处置信息。依照国家检疫传染病和监测传染病目录，参与开展检疫监测工作。健全卫生健康综合监管体系，规范卫生健康行政执法行为，监督检查有关法律法规和政策措施的落实，组织查处重大违法行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组织拟订全区卫生健康政策。统筹规划全区31家医疗机构资源配置。制定并组织实施推进卫生健康基本公共服务均等化、普惠化、便捷化和公共资源向基层延伸等政策措施，加强疾控针对麻风、艾滋等疾病宣教，强化疾病控制、水质监测等工作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保障卫建系统工作全年日常经费开支，提高社会公众满意度，有效提升了全区医疗机构服务能力水平，满足公共卫生防疫要求，保障全区人民生命安全。全年开展卫建系统行业治理培训会、公共卫生督导会等业务会议和培训30余次，“新生儿”及健康教育下乡出差次数超过30次，公共卫生、安全生产检查、行业治理等下乡及出差2000余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3.全年开展免费婚检、疾病控制、水质监测、麻风病、艾滋病防政策宣讲12次以上。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4.发放全区近14032名符合计划生育奖励扶助、计划生育特困补助、计划生育死亡（伤残）补助、独生子女父母奖励金、 特困家庭再扶助（独生子女死亡再扶助）等民生资金，保障全区210个行政村乡村医生补助等。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5、牵头推进全区30个医疗机构医药卫生体制改革。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6、保障全区30个医疗机构贯彻落实国家药物政策和国家基本药物制度。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7、负责职业卫生、放射卫生等公共卫生及传染病防治监督。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8、负责全区计划生育管理和服务工作、推进卫生健康科技创新发展。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9.保障全区464在职职工、140余名退休教职工及三支一扶人员工资的正常发放和保险的按时缴纳。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10.落实全区保健对象的医疗保健工作、负责区直有关部门（单位）离休干部医疗管理工作及负责重要会议与重大活动的医疗卫生保障工作。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11.实施医务人员生活补助，重点向乡村基层人员及村医倾斜，提高医务人员收入水平。12.指导区计划生育协会的业务工作。</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部门整体绩效指标</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艾滋、麻风等疾病等项目宣传数</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≥12次/年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≥12次/年</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2"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符合计划生育奖励扶助、计划生育特困补助、计划生育死亡（伤残）补助、独生子女父母奖励金等民生资金政策享受人数</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≥14032人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≥14032人</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指标3：</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全区医疗机构“大平台”、精神病人监测网络使用保医疗机构数</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=27个</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=27个</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指标4：</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全区医疗系统退休职工数</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≥142人</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指标5：</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全系统职工工资及保险保障人数</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=464人</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指标6：</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乡村医生补助保障行政村村数</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=210个</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=210个</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指标7：</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医疗机构“新生儿”及健康教育政策宣教</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≥4次</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≥4次</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指标8：</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召开、参加卫生健康专项业务会议、公共卫生督导会及培训次数</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≥30次</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≥30次</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传染病和突发公共卫生事件报告率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乡村医生补助兑现率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指标3：</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医疗服务能力提升</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定性优良中低差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定性优良中低差</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指标4：</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医务人员工资每月兑现率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羁绊运转、医疗卫生体制改革、疫情防控工作经费等项目完时限</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12个月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12个月</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计划生育家庭奖励扶助 计划生育家庭伤残等项目完成时限</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12个月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12个月</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指标3：</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乡村医生补助兑现时限</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12个月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12个月</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人员、公用经费运行成本</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≦88.2万元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≦88.2万元</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乡村医生补助 、麻风病防治 、基本公共卫生服务本级配套等项目经费</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≦1169.017万元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≦1169.017万元</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指标3：</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免费婚检</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≦7.56万元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≦7.56万元</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指标4：</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泸定县麻风病人经费</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≦1万元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≦1万元</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保障医务人员工资福利待遇稳步提升</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定性优良中低差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定性优良中低差</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有效改善计生家庭支出负担，提升家庭收益</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形成良好的医德、医风</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定性优良中低差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定性优良中低差</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3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公共卫生防疫受益群众满意度</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计划生育政策受益群众满意度</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9"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指标3：</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社会公众满意</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bookmarkEnd w:id="105"/>
    </w:tbl>
    <w:p>
      <w:pPr>
        <w:pStyle w:val="2"/>
        <w:rPr>
          <w:rFonts w:hint="eastAsia"/>
          <w:lang w:val="en-US" w:eastAsia="zh-CN"/>
        </w:rPr>
      </w:pPr>
      <w:bookmarkStart w:id="107" w:name="_Toc15396618"/>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tbl>
      <w:tblPr>
        <w:tblStyle w:val="15"/>
        <w:tblW w:w="83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1"/>
        <w:gridCol w:w="717"/>
        <w:gridCol w:w="416"/>
        <w:gridCol w:w="1358"/>
        <w:gridCol w:w="1506"/>
        <w:gridCol w:w="1273"/>
        <w:gridCol w:w="1085"/>
        <w:gridCol w:w="1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7" w:hRule="atLeast"/>
          <w:jc w:val="center"/>
        </w:trPr>
        <w:tc>
          <w:tcPr>
            <w:tcW w:w="838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6"/>
                <w:szCs w:val="36"/>
                <w:u w:val="none"/>
              </w:rPr>
            </w:pPr>
            <w:r>
              <w:rPr>
                <w:rFonts w:hint="default" w:ascii="方正小标宋简体" w:hAnsi="方正小标宋简体" w:eastAsia="方正小标宋简体" w:cs="方正小标宋简体"/>
                <w:b/>
                <w:bCs/>
                <w:i w:val="0"/>
                <w:iCs w:val="0"/>
                <w:color w:val="000000"/>
                <w:kern w:val="0"/>
                <w:sz w:val="36"/>
                <w:szCs w:val="36"/>
                <w:u w:val="none"/>
                <w:lang w:val="en-US" w:eastAsia="zh-CN" w:bidi="ar"/>
              </w:rPr>
              <w:t>2022年基本公共卫生服务项目补助资金转移支付项目绩效目标自评表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8380"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66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2022年基本公共卫生服务项目补助资金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1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66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1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广元市昭化区卫生健康局</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2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16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资金投入情况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16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1087.08</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1087.08</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16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3"/>
                <w:lang w:val="en-US" w:eastAsia="zh-CN" w:bidi="ar"/>
              </w:rPr>
              <w:t xml:space="preserve"> </w:t>
            </w:r>
            <w:r>
              <w:rPr>
                <w:rStyle w:val="34"/>
                <w:lang w:val="en-US" w:eastAsia="zh-CN" w:bidi="ar"/>
              </w:rPr>
              <w:t>其中：中央财政资金</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862.99</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862.99</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6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3"/>
                <w:lang w:val="en-US" w:eastAsia="zh-CN" w:bidi="ar"/>
              </w:rPr>
              <w:t xml:space="preserve"> </w:t>
            </w:r>
            <w:r>
              <w:rPr>
                <w:rStyle w:val="35"/>
                <w:lang w:val="en-US" w:eastAsia="zh-CN" w:bidi="ar"/>
              </w:rPr>
              <w:t xml:space="preserve">      地方资金</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218.85</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6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6"/>
                <w:lang w:val="en-US" w:eastAsia="zh-CN" w:bidi="ar"/>
              </w:rPr>
              <w:t xml:space="preserve">      </w:t>
            </w:r>
            <w:r>
              <w:rPr>
                <w:rStyle w:val="34"/>
                <w:lang w:val="en-US" w:eastAsia="zh-CN" w:bidi="ar"/>
              </w:rPr>
              <w:t xml:space="preserve">  其他资金</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16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资金管理情况</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8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情况说明</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4" w:hRule="atLeast"/>
          <w:jc w:val="center"/>
        </w:trPr>
        <w:tc>
          <w:tcPr>
            <w:tcW w:w="16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分配科学性</w:t>
            </w:r>
          </w:p>
        </w:tc>
        <w:tc>
          <w:tcPr>
            <w:tcW w:w="38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按照各镇服务常住人口数，结合省市区绩效评价方案将所有资金100%下达至项目实施单位，同时督促项目实施单位40%下达至村卫生室。</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16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下达及时性</w:t>
            </w:r>
          </w:p>
        </w:tc>
        <w:tc>
          <w:tcPr>
            <w:tcW w:w="38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8月份下达到位资金的80%，12月底将所有资金全部拨付到位。</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16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拨付合规性</w:t>
            </w:r>
          </w:p>
        </w:tc>
        <w:tc>
          <w:tcPr>
            <w:tcW w:w="38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按照各镇常住人口数，结合2022年绩效评价结果合理合规拨付资金。</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16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使用规范性</w:t>
            </w:r>
          </w:p>
        </w:tc>
        <w:tc>
          <w:tcPr>
            <w:tcW w:w="38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本着专款专用的原则，严格按照项目资金审批要求使用项目资金。</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16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执行准确性</w:t>
            </w:r>
          </w:p>
        </w:tc>
        <w:tc>
          <w:tcPr>
            <w:tcW w:w="38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所有资金全部用于基本公共卫生服务项目</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16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预算绩效管理情况</w:t>
            </w:r>
          </w:p>
        </w:tc>
        <w:tc>
          <w:tcPr>
            <w:tcW w:w="38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按照全区常住人口数量预算全年项目资金，提升财政专项资金使用效益</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16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支出责任履行情况</w:t>
            </w:r>
          </w:p>
        </w:tc>
        <w:tc>
          <w:tcPr>
            <w:tcW w:w="38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建立由卫健支出，财政局监督的资金支出制度，确保资金使用的合理合法合规。</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56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3996"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382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3" w:hRule="atLeast"/>
          <w:jc w:val="center"/>
        </w:trPr>
        <w:tc>
          <w:tcPr>
            <w:tcW w:w="56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1、免费向城乡居民提供基本公共卫生服务。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开展对重点疾病及危害因素监测，有效控制疾病流行，为制定相关政策提供科学的依据。保持重点地方病防治措施全面落实，开展职业病监测，最大限度地保护放射工作人员、患者和公众的健康权益，同时推进妇幼卫生、健康素养促进、老年健康服务、卫生应急、计划生育等方面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3.实施职业病行动，引导居民提高自我防范意识，加强对职业病防治知识宣传、培训及督导检查，做好职业病监测警，确保职业病危害得到有效防控，职业病病人权益得到有效保障。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4.开展对新生儿的疾病筛查，有效控制新生儿患病风险，使患儿得以早期诊断，早期治疗，有效避免因脑、肝、肾等器官损害导致生长、智力发育障碍甚至死亡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5.开展农村妇女“两癌”筛查，提高农村妇女“两癌”早诊早治率，降低死亡率，进一步提高广大农村妇女健康水平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6.为符合生育政策、计划怀孕的城乡夫妇免费提供孕前优生检查服务，提高城乡计划怀孕夫妇优生科学知识知晓率，提高免费孕前优生健康检查目标人群覆盖率                           </w:t>
            </w:r>
          </w:p>
        </w:tc>
        <w:tc>
          <w:tcPr>
            <w:tcW w:w="38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全年为辖区13.4万人提供国家基本公共卫生服务，按照12大类分类实施，开展基本公共卫生服务项目培训14次，接受市级督导检查2次，辖区公卫督导及绩效评价2次，主要通过日常工作和现场测评进行考核。全年资金到位1018.867万元，实际支出1018.867万元。完成院内尘肺康复站改造，全年完成110余人的尘肺康复。完成两癌筛查任务：乳腺癌2173人次、宫颈癌2060人次；新生儿筛查337人；符合生育政策、计划怀孕的城乡夫妇（包括流动人口）参检685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6" w:hRule="atLeast"/>
          <w:jc w:val="center"/>
        </w:trPr>
        <w:tc>
          <w:tcPr>
            <w:tcW w:w="561"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41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867"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restart"/>
            <w:tcBorders>
              <w:top w:val="single" w:color="auto"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867" w:type="dxa"/>
            <w:gridSpan w:val="2"/>
            <w:tcBorders>
              <w:top w:val="single" w:color="auto" w:sz="4" w:space="0"/>
              <w:left w:val="single" w:color="000000"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适龄儿童国家免疫规划疫苗接种率</w:t>
            </w:r>
          </w:p>
        </w:tc>
        <w:tc>
          <w:tcPr>
            <w:tcW w:w="127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w:t>
            </w:r>
            <w:r>
              <w:rPr>
                <w:rStyle w:val="37"/>
                <w:rFonts w:ascii="宋体" w:hAnsi="宋体" w:eastAsia="宋体" w:cs="宋体"/>
                <w:sz w:val="24"/>
                <w:szCs w:val="24"/>
                <w:lang w:val="en-US" w:eastAsia="zh-CN" w:bidi="ar"/>
              </w:rPr>
              <w:t>90%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3"/>
                <w:lang w:val="en-US" w:eastAsia="zh-CN" w:bidi="ar"/>
              </w:rPr>
              <w:t>7</w:t>
            </w:r>
            <w:r>
              <w:rPr>
                <w:rStyle w:val="35"/>
                <w:lang w:val="en-US" w:eastAsia="zh-CN" w:bidi="ar"/>
              </w:rPr>
              <w:t>岁以下儿童健康管理率</w:t>
            </w:r>
          </w:p>
        </w:tc>
        <w:tc>
          <w:tcPr>
            <w:tcW w:w="127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w:t>
            </w:r>
            <w:r>
              <w:rPr>
                <w:rStyle w:val="37"/>
                <w:rFonts w:ascii="宋体" w:hAnsi="宋体" w:eastAsia="宋体" w:cs="宋体"/>
                <w:sz w:val="24"/>
                <w:szCs w:val="24"/>
                <w:lang w:val="en-US" w:eastAsia="zh-CN" w:bidi="ar"/>
              </w:rPr>
              <w:t>85%</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3"/>
                <w:lang w:val="en-US" w:eastAsia="zh-CN" w:bidi="ar"/>
              </w:rPr>
              <w:t>0-6</w:t>
            </w:r>
            <w:r>
              <w:rPr>
                <w:rStyle w:val="35"/>
                <w:lang w:val="en-US" w:eastAsia="zh-CN" w:bidi="ar"/>
              </w:rPr>
              <w:t>岁儿童眼保健和视力检查覆盖率</w:t>
            </w:r>
          </w:p>
        </w:tc>
        <w:tc>
          <w:tcPr>
            <w:tcW w:w="127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w:t>
            </w:r>
            <w:r>
              <w:rPr>
                <w:rStyle w:val="37"/>
                <w:rFonts w:ascii="宋体" w:hAnsi="宋体" w:eastAsia="宋体" w:cs="宋体"/>
                <w:sz w:val="24"/>
                <w:szCs w:val="24"/>
                <w:lang w:val="en-US" w:eastAsia="zh-CN" w:bidi="ar"/>
              </w:rPr>
              <w:t>90%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孕产妇系统管理率</w:t>
            </w:r>
          </w:p>
        </w:tc>
        <w:tc>
          <w:tcPr>
            <w:tcW w:w="127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w:t>
            </w:r>
            <w:r>
              <w:rPr>
                <w:rStyle w:val="37"/>
                <w:rFonts w:ascii="宋体" w:hAnsi="宋体" w:eastAsia="宋体" w:cs="宋体"/>
                <w:sz w:val="24"/>
                <w:szCs w:val="24"/>
                <w:lang w:val="en-US" w:eastAsia="zh-CN" w:bidi="ar"/>
              </w:rPr>
              <w:t>90%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99.55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3"/>
                <w:lang w:val="en-US" w:eastAsia="zh-CN" w:bidi="ar"/>
              </w:rPr>
              <w:t>3</w:t>
            </w:r>
            <w:r>
              <w:rPr>
                <w:rStyle w:val="35"/>
                <w:lang w:val="en-US" w:eastAsia="zh-CN" w:bidi="ar"/>
              </w:rPr>
              <w:t>岁以下儿童系统管理率</w:t>
            </w:r>
          </w:p>
        </w:tc>
        <w:tc>
          <w:tcPr>
            <w:tcW w:w="127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w:t>
            </w:r>
            <w:r>
              <w:rPr>
                <w:rStyle w:val="37"/>
                <w:rFonts w:ascii="宋体" w:hAnsi="宋体" w:eastAsia="宋体" w:cs="宋体"/>
                <w:sz w:val="24"/>
                <w:szCs w:val="24"/>
                <w:lang w:val="en-US" w:eastAsia="zh-CN" w:bidi="ar"/>
              </w:rPr>
              <w:t>80%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高血压患者管理人数</w:t>
            </w:r>
          </w:p>
        </w:tc>
        <w:tc>
          <w:tcPr>
            <w:tcW w:w="127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7"/>
                <w:rFonts w:ascii="宋体" w:hAnsi="宋体" w:eastAsia="宋体" w:cs="宋体"/>
                <w:sz w:val="24"/>
                <w:szCs w:val="24"/>
                <w:lang w:val="en-US" w:eastAsia="zh-CN" w:bidi="ar"/>
              </w:rPr>
              <w:t>0.9732</w:t>
            </w:r>
            <w:r>
              <w:rPr>
                <w:rStyle w:val="35"/>
                <w:lang w:val="en-US" w:eastAsia="zh-CN" w:bidi="ar"/>
              </w:rPr>
              <w:t>万人</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7"/>
                <w:rFonts w:ascii="宋体" w:hAnsi="宋体" w:eastAsia="宋体" w:cs="宋体"/>
                <w:sz w:val="24"/>
                <w:szCs w:val="24"/>
                <w:lang w:val="en-US" w:eastAsia="zh-CN" w:bidi="ar"/>
              </w:rPr>
              <w:t>1.14</w:t>
            </w:r>
            <w:r>
              <w:rPr>
                <w:rStyle w:val="35"/>
                <w:lang w:val="en-US" w:eastAsia="zh-CN" w:bidi="ar"/>
              </w:rPr>
              <w:t>万人</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3"/>
                <w:lang w:val="en-US" w:eastAsia="zh-CN" w:bidi="ar"/>
              </w:rPr>
              <w:t>2</w:t>
            </w:r>
            <w:r>
              <w:rPr>
                <w:rStyle w:val="35"/>
                <w:lang w:val="en-US" w:eastAsia="zh-CN" w:bidi="ar"/>
              </w:rPr>
              <w:t>型糖尿病患者管理人数</w:t>
            </w:r>
          </w:p>
        </w:tc>
        <w:tc>
          <w:tcPr>
            <w:tcW w:w="127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7"/>
                <w:rFonts w:ascii="宋体" w:hAnsi="宋体" w:eastAsia="宋体" w:cs="宋体"/>
                <w:sz w:val="24"/>
                <w:szCs w:val="24"/>
                <w:lang w:val="en-US" w:eastAsia="zh-CN" w:bidi="ar"/>
              </w:rPr>
              <w:t>0.2905</w:t>
            </w:r>
            <w:r>
              <w:rPr>
                <w:rStyle w:val="35"/>
                <w:lang w:val="en-US" w:eastAsia="zh-CN" w:bidi="ar"/>
              </w:rPr>
              <w:t>万人</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7"/>
                <w:rFonts w:ascii="宋体" w:hAnsi="宋体" w:eastAsia="宋体" w:cs="宋体"/>
                <w:sz w:val="24"/>
                <w:szCs w:val="24"/>
                <w:lang w:val="en-US" w:eastAsia="zh-CN" w:bidi="ar"/>
              </w:rPr>
              <w:t>0.2496</w:t>
            </w:r>
            <w:r>
              <w:rPr>
                <w:rStyle w:val="35"/>
                <w:lang w:val="en-US" w:eastAsia="zh-CN" w:bidi="ar"/>
              </w:rPr>
              <w:t>万人</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地方病核心指标监测率</w:t>
            </w:r>
          </w:p>
        </w:tc>
        <w:tc>
          <w:tcPr>
            <w:tcW w:w="127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w:t>
            </w:r>
            <w:r>
              <w:rPr>
                <w:rStyle w:val="37"/>
                <w:rFonts w:ascii="宋体" w:hAnsi="宋体" w:eastAsia="宋体" w:cs="宋体"/>
                <w:sz w:val="24"/>
                <w:szCs w:val="24"/>
                <w:lang w:val="en-US" w:eastAsia="zh-CN" w:bidi="ar"/>
              </w:rPr>
              <w:t>90%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职业健康核心指标监测县区覆盖率</w:t>
            </w:r>
          </w:p>
        </w:tc>
        <w:tc>
          <w:tcPr>
            <w:tcW w:w="127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w:t>
            </w:r>
            <w:r>
              <w:rPr>
                <w:rStyle w:val="37"/>
                <w:rFonts w:ascii="宋体" w:hAnsi="宋体" w:eastAsia="宋体" w:cs="宋体"/>
                <w:sz w:val="24"/>
                <w:szCs w:val="24"/>
                <w:lang w:val="en-US" w:eastAsia="zh-CN" w:bidi="ar"/>
              </w:rPr>
              <w:t>92%</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肺结核患者管理率</w:t>
            </w:r>
          </w:p>
        </w:tc>
        <w:tc>
          <w:tcPr>
            <w:tcW w:w="127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w:t>
            </w:r>
            <w:r>
              <w:rPr>
                <w:rStyle w:val="37"/>
                <w:rFonts w:ascii="宋体" w:hAnsi="宋体" w:eastAsia="宋体" w:cs="宋体"/>
                <w:sz w:val="24"/>
                <w:szCs w:val="24"/>
                <w:lang w:val="en-US" w:eastAsia="zh-CN" w:bidi="ar"/>
              </w:rPr>
              <w:t>90%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auto"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社区在册居家严重精神障碍患者健康管理率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w:t>
            </w:r>
            <w:r>
              <w:rPr>
                <w:rStyle w:val="37"/>
                <w:rFonts w:ascii="宋体" w:hAnsi="宋体" w:eastAsia="宋体" w:cs="宋体"/>
                <w:sz w:val="24"/>
                <w:szCs w:val="24"/>
                <w:lang w:val="en-US" w:eastAsia="zh-CN" w:bidi="ar"/>
              </w:rPr>
              <w:t>80%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99.61%</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儿童中医药健康管理率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w:t>
            </w:r>
            <w:r>
              <w:rPr>
                <w:rStyle w:val="37"/>
                <w:rFonts w:ascii="宋体" w:hAnsi="宋体" w:eastAsia="宋体" w:cs="宋体"/>
                <w:sz w:val="24"/>
                <w:szCs w:val="24"/>
                <w:lang w:val="en-US" w:eastAsia="zh-CN" w:bidi="ar"/>
              </w:rPr>
              <w:t>65%</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老年人中医药健康管理率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w:t>
            </w:r>
            <w:r>
              <w:rPr>
                <w:rStyle w:val="37"/>
                <w:rFonts w:ascii="宋体" w:hAnsi="宋体" w:eastAsia="宋体" w:cs="宋体"/>
                <w:sz w:val="24"/>
                <w:szCs w:val="24"/>
                <w:lang w:val="en-US" w:eastAsia="zh-CN" w:bidi="ar"/>
              </w:rPr>
              <w:t>65%</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3"/>
                <w:lang w:val="en-US" w:eastAsia="zh-CN" w:bidi="ar"/>
              </w:rPr>
              <w:t>卫生监督协管各专业每年巡查（访）</w:t>
            </w:r>
            <w:r>
              <w:rPr>
                <w:rStyle w:val="37"/>
                <w:rFonts w:ascii="宋体" w:hAnsi="宋体" w:eastAsia="宋体" w:cs="宋体"/>
                <w:sz w:val="24"/>
                <w:szCs w:val="24"/>
                <w:lang w:val="en-US" w:eastAsia="zh-CN" w:bidi="ar"/>
              </w:rPr>
              <w:t>2</w:t>
            </w:r>
            <w:r>
              <w:rPr>
                <w:rStyle w:val="35"/>
                <w:lang w:val="en-US" w:eastAsia="zh-CN" w:bidi="ar"/>
              </w:rPr>
              <w:t>次完成率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w:t>
            </w:r>
            <w:r>
              <w:rPr>
                <w:rStyle w:val="37"/>
                <w:rFonts w:ascii="宋体" w:hAnsi="宋体" w:eastAsia="宋体" w:cs="宋体"/>
                <w:sz w:val="24"/>
                <w:szCs w:val="24"/>
                <w:lang w:val="en-US" w:eastAsia="zh-CN" w:bidi="ar"/>
              </w:rPr>
              <w:t>90%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贫困地区儿童营养改善国家级贫困县覆盖率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w:t>
            </w:r>
            <w:r>
              <w:rPr>
                <w:rStyle w:val="37"/>
                <w:rFonts w:ascii="宋体" w:hAnsi="宋体" w:eastAsia="宋体" w:cs="宋体"/>
                <w:sz w:val="24"/>
                <w:szCs w:val="24"/>
                <w:lang w:val="en-US" w:eastAsia="zh-CN" w:bidi="ar"/>
              </w:rPr>
              <w:t>100%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目标人群叶酸服用率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w:t>
            </w:r>
            <w:r>
              <w:rPr>
                <w:rStyle w:val="37"/>
                <w:rFonts w:ascii="宋体" w:hAnsi="宋体" w:eastAsia="宋体" w:cs="宋体"/>
                <w:sz w:val="24"/>
                <w:szCs w:val="24"/>
                <w:lang w:val="en-US" w:eastAsia="zh-CN" w:bidi="ar"/>
              </w:rPr>
              <w:t>90%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孕前优生健康检查目标人群覆盖率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w:t>
            </w:r>
            <w:r>
              <w:rPr>
                <w:rStyle w:val="37"/>
                <w:rFonts w:ascii="宋体" w:hAnsi="宋体" w:eastAsia="宋体" w:cs="宋体"/>
                <w:sz w:val="24"/>
                <w:szCs w:val="24"/>
                <w:lang w:val="en-US" w:eastAsia="zh-CN" w:bidi="ar"/>
              </w:rPr>
              <w:t>80%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新生儿听力筛查率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w:t>
            </w:r>
            <w:r>
              <w:rPr>
                <w:rStyle w:val="37"/>
                <w:rFonts w:ascii="宋体" w:hAnsi="宋体" w:eastAsia="宋体" w:cs="宋体"/>
                <w:sz w:val="24"/>
                <w:szCs w:val="24"/>
                <w:lang w:val="en-US" w:eastAsia="zh-CN" w:bidi="ar"/>
              </w:rPr>
              <w:t>85%</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“两癌”检查项目目标任务完成率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3"/>
                <w:lang w:val="en-US" w:eastAsia="zh-CN" w:bidi="ar"/>
              </w:rPr>
              <w:t>65</w:t>
            </w:r>
            <w:r>
              <w:rPr>
                <w:rStyle w:val="35"/>
                <w:lang w:val="en-US" w:eastAsia="zh-CN" w:bidi="ar"/>
              </w:rPr>
              <w:t>岁以上失能老年人健康服务率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居民规范化电子健康档案覆盖率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改造尘肺病康复站</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培养康复医务人员</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3人</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3人</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完成尘肺病患者档案，采购设施设备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110份</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110份</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农村妇女免费“两癌”检查乳腺癌项目人数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≥1800人</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3"/>
                <w:lang w:val="en-US" w:eastAsia="zh-CN" w:bidi="ar"/>
              </w:rPr>
              <w:t>2173</w:t>
            </w:r>
            <w:r>
              <w:rPr>
                <w:rStyle w:val="35"/>
                <w:lang w:val="en-US" w:eastAsia="zh-CN" w:bidi="ar"/>
              </w:rPr>
              <w:t>人</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农村妇女免费“两癌”检查宫颈癌项目人数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≥1800人</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2060人</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计划年度符合生育政策、计划怀孕的城乡夫妇（包括流动人口）参检对数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≥671人</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685人</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新生儿筛查人数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≧330人</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337人</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按照四川省、广元市第二批尘肺病康复站建设标准，规范建好“七个一”。</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达标</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达标</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创新中医药适宜技术参与尘肺病康复</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有机结合</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有机结合</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高血压患者基层规范管理服务率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w:t>
            </w:r>
            <w:r>
              <w:rPr>
                <w:rStyle w:val="37"/>
                <w:rFonts w:ascii="宋体" w:hAnsi="宋体" w:eastAsia="宋体" w:cs="宋体"/>
                <w:sz w:val="24"/>
                <w:szCs w:val="24"/>
                <w:lang w:val="en-US" w:eastAsia="zh-CN" w:bidi="ar"/>
              </w:rPr>
              <w:t>60%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2型糖尿病患者基层规范管理服务率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w:t>
            </w:r>
            <w:r>
              <w:rPr>
                <w:rStyle w:val="37"/>
                <w:rFonts w:ascii="宋体" w:hAnsi="宋体" w:eastAsia="宋体" w:cs="宋体"/>
                <w:sz w:val="24"/>
                <w:szCs w:val="24"/>
                <w:lang w:val="en-US" w:eastAsia="zh-CN" w:bidi="ar"/>
              </w:rPr>
              <w:t>60%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65岁及以上老年人城乡社区规范健康管理服务率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w:t>
            </w:r>
            <w:r>
              <w:rPr>
                <w:rStyle w:val="37"/>
                <w:rFonts w:ascii="宋体" w:hAnsi="宋体" w:eastAsia="宋体" w:cs="宋体"/>
                <w:sz w:val="24"/>
                <w:szCs w:val="24"/>
                <w:lang w:val="en-US" w:eastAsia="zh-CN" w:bidi="ar"/>
              </w:rPr>
              <w:t>60%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传染病和突发公共卫生事件报告率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w:t>
            </w:r>
            <w:r>
              <w:rPr>
                <w:rStyle w:val="37"/>
                <w:rFonts w:ascii="宋体" w:hAnsi="宋体" w:eastAsia="宋体" w:cs="宋体"/>
                <w:sz w:val="24"/>
                <w:szCs w:val="24"/>
                <w:lang w:val="en-US" w:eastAsia="zh-CN" w:bidi="ar"/>
              </w:rPr>
              <w:t>95%</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严重精神障碍患者规范管理率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w:t>
            </w:r>
            <w:r>
              <w:rPr>
                <w:rStyle w:val="37"/>
                <w:rFonts w:ascii="宋体" w:hAnsi="宋体" w:eastAsia="宋体" w:cs="宋体"/>
                <w:sz w:val="24"/>
                <w:szCs w:val="24"/>
                <w:lang w:val="en-US" w:eastAsia="zh-CN" w:bidi="ar"/>
              </w:rPr>
              <w:t>90%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99.61%</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农村妇女“两癌”筛查任务完成率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117.58%</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出生缺陷发生风险</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逐步降低</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逐步降低</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新生儿听力筛查率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新生儿两种遗传代谢病（ PKU和CH)筛查率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6"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完成周期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“两癌”筛查项目标准：宫颈癌检查补助标准</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49元/人</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49元/人</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“两癌”筛查项目标准：乳腺癌检查补助标准</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79元/人</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79元/人</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6"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新生儿筛查项目标准（共计120元/人）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两种遗传代谢病筛查50元/人；听力筛查70元/人</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其中两种遗传代谢病筛查50元/人；听力筛查70元/人</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每对参检夫妇结算标准</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240元/对</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240元/对</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总成本</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≦1018.867万元</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1018.867万元</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4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城乡居民公共卫生服务差距</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不断缩小</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居民健康素养水平</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指标2:城乡计划怀孕夫妇参加免费孕前优生健康检查的主动性和自觉性</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逐步提高</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逐步提高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5"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基本公共卫生服务水平</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0"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bl>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lang w:val="en-US" w:eastAsia="zh-CN"/>
        </w:rPr>
      </w:pPr>
    </w:p>
    <w:tbl>
      <w:tblPr>
        <w:tblStyle w:val="15"/>
        <w:tblW w:w="8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
        <w:gridCol w:w="554"/>
        <w:gridCol w:w="500"/>
        <w:gridCol w:w="1353"/>
        <w:gridCol w:w="1449"/>
        <w:gridCol w:w="1456"/>
        <w:gridCol w:w="1034"/>
        <w:gridCol w:w="1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jc w:val="center"/>
        </w:trPr>
        <w:tc>
          <w:tcPr>
            <w:tcW w:w="852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2"/>
                <w:szCs w:val="32"/>
                <w:u w:val="none"/>
              </w:rPr>
            </w:pPr>
            <w:r>
              <w:rPr>
                <w:rFonts w:hint="default" w:ascii="方正小标宋简体" w:hAnsi="方正小标宋简体" w:eastAsia="方正小标宋简体" w:cs="方正小标宋简体"/>
                <w:b/>
                <w:bCs/>
                <w:i w:val="0"/>
                <w:iCs w:val="0"/>
                <w:color w:val="000000"/>
                <w:kern w:val="0"/>
                <w:sz w:val="32"/>
                <w:szCs w:val="32"/>
                <w:u w:val="none"/>
                <w:lang w:val="en-US" w:eastAsia="zh-CN" w:bidi="ar"/>
              </w:rPr>
              <w:t>2022年度计划生育服务转移支付项目绩效目标自评表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8520"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15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69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2022年度计划生育服务项目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5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69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5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广元市昭化区卫生健康局</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157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资金投入情况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jc w:val="center"/>
        </w:trPr>
        <w:tc>
          <w:tcPr>
            <w:tcW w:w="15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1352.4595</w:t>
            </w:r>
          </w:p>
        </w:tc>
        <w:tc>
          <w:tcPr>
            <w:tcW w:w="2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1352.4595</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jc w:val="center"/>
        </w:trPr>
        <w:tc>
          <w:tcPr>
            <w:tcW w:w="15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其中：中央财政资金</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817.08</w:t>
            </w:r>
          </w:p>
        </w:tc>
        <w:tc>
          <w:tcPr>
            <w:tcW w:w="2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817.08</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jc w:val="center"/>
        </w:trPr>
        <w:tc>
          <w:tcPr>
            <w:tcW w:w="15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地方资金</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535.3795</w:t>
            </w:r>
          </w:p>
        </w:tc>
        <w:tc>
          <w:tcPr>
            <w:tcW w:w="2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535.3795</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15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 xml:space="preserve">  其他资金</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jc w:val="center"/>
        </w:trPr>
        <w:tc>
          <w:tcPr>
            <w:tcW w:w="157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资金管理情况</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情况说明</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15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分配科学性</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严格按照转移支付管理制度以及资金管理办法规定的范围和标准分配资金。</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jc w:val="center"/>
        </w:trPr>
        <w:tc>
          <w:tcPr>
            <w:tcW w:w="15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下达及时性</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严格按照预算法及其实施条例、转移支付管理制度规定以及资金管理办法规定的时限要求分解下达。</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3" w:hRule="atLeast"/>
          <w:jc w:val="center"/>
        </w:trPr>
        <w:tc>
          <w:tcPr>
            <w:tcW w:w="15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拨付合规性</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严格按照国库集中支付制度有关规定支付资金，未出现违规将资金从国库转入财政专户或支付到预算单位实有资金账户等问题。</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15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使用规范性</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严格按照下达预算的科目和项目执行，未出现截留、挤占、挪用或擅自调整等问题。</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15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执行准确性</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按照上级下达和本级预算安排的金额执行，不存在执行数偏离预算数较多的问题。</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jc w:val="center"/>
        </w:trPr>
        <w:tc>
          <w:tcPr>
            <w:tcW w:w="15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预算绩效管理情况</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在细化下达预算时同步下达绩效目标，将有关资金纳入本级预算或对下转移支付绩效管理，开展绩效监控和绩效评价。</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jc w:val="center"/>
        </w:trPr>
        <w:tc>
          <w:tcPr>
            <w:tcW w:w="15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支出责任履行情况</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对共同财政事权转移支付，按照财政事权和支出责任划分有关规定，足额安排资金履行本级支出责任。</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51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3861"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414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0" w:hRule="atLeast"/>
          <w:jc w:val="center"/>
        </w:trPr>
        <w:tc>
          <w:tcPr>
            <w:tcW w:w="5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目标1:实施农村计划生育家庭奖励扶助制度，解决农村独生子女和双女家庭的养老问题，提高家庭发展能力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目标2:实施计划生育家庭特别扶助制度，缓解计划生有困难家庭在生产、生活、医疗和养老等方面的特殊困难，保障和改善民生，促进社会和谐稳定。</w:t>
            </w:r>
          </w:p>
        </w:tc>
        <w:tc>
          <w:tcPr>
            <w:tcW w:w="41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1:完成2022年全年农村计划生育家庭奖励扶助、特别扶助资金。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2.解决农村独生子女和双女家庭的养老问题，提高家庭发展能力。缓解计划生有困难家庭在生产、生活、医疗和养老等方面的特殊困难，保障和改善民生，促进社会和谐稳定。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9" w:hRule="atLeast"/>
          <w:jc w:val="center"/>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独生子女伤残家庭人数</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120人</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120人</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独生子女死亡家庭人数</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234人</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234人</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计划生育手术并发症一级、二级、三级人数</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79人</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79人</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农村部分计划生育家庭奖扶人数</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9374人</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9374人</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独生子女父母奖励金人数</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4591人</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4591人</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9"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符合条件申报对象覆盖率</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奖励和扶助资金到位率</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提标前独生子女伤残家庭扶助金发放标准（元/人/月）</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提标后独生子女伤残家庭扶助金发放标准（元/人/月）</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790</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提标前独生子女死亡家庭扶助金发放标准（元/人/月）</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860</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提标后独生子女死亡家庭扶助金发放标准（元/人/月）</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提标前计划生育手术并发症扶助金发放标准（元/人/月）</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提标后计划生育手术并发症扶助金发放标准（元/人/月）</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农村部分计划生育家庭奖励扶助金发放标准（元/人/月）</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独生子女父母奖励金发放标准（元/人/月）</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家庭发展能力</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逐步提升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逐步提升</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4"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社会稳定水平</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逐步提升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逐步提升</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奖扶对象综合满意度</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95%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99.20%</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9"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满意度调查人数</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3800人</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3800人</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lang w:val="en-US" w:eastAsia="zh-CN"/>
        </w:rPr>
      </w:pPr>
    </w:p>
    <w:tbl>
      <w:tblPr>
        <w:tblStyle w:val="15"/>
        <w:tblpPr w:leftFromText="180" w:rightFromText="180" w:vertAnchor="text" w:horzAnchor="page" w:tblpX="1987" w:tblpY="576"/>
        <w:tblOverlap w:val="never"/>
        <w:tblW w:w="82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
        <w:gridCol w:w="446"/>
        <w:gridCol w:w="992"/>
        <w:gridCol w:w="1464"/>
        <w:gridCol w:w="1219"/>
        <w:gridCol w:w="1391"/>
        <w:gridCol w:w="774"/>
        <w:gridCol w:w="1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8252"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2"/>
                <w:szCs w:val="32"/>
                <w:u w:val="none"/>
              </w:rPr>
            </w:pPr>
            <w:r>
              <w:rPr>
                <w:rFonts w:hint="default" w:ascii="方正小标宋简体" w:hAnsi="方正小标宋简体" w:eastAsia="方正小标宋简体" w:cs="方正小标宋简体"/>
                <w:b/>
                <w:bCs/>
                <w:i w:val="0"/>
                <w:iCs w:val="0"/>
                <w:color w:val="000000"/>
                <w:kern w:val="0"/>
                <w:sz w:val="32"/>
                <w:szCs w:val="32"/>
                <w:u w:val="none"/>
                <w:lang w:val="en-US" w:eastAsia="zh-CN" w:bidi="ar"/>
              </w:rPr>
              <w:t>昭化区卫健局转移支付区域（医疗服务能力提升（卫子次中心建设））绩效目标自评表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8252"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65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医疗服务能力提升（卫子次中心建设）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17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65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17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2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广元市昭化区卫生健康局</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2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广元市昭化区葭萌建设有限公司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174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资金投入情况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17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17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其中：中央财政资金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17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地方资金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17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其他资金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174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资金管理情况</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情况说明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17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分配科学性</w:t>
            </w:r>
          </w:p>
        </w:tc>
        <w:tc>
          <w:tcPr>
            <w:tcW w:w="3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严格按照转移支付管理制度以及资金管理办法规定的范围和标准分配资金。</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17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下达及时性</w:t>
            </w:r>
          </w:p>
        </w:tc>
        <w:tc>
          <w:tcPr>
            <w:tcW w:w="3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严格按照预算法及其实施条例、转移支付管理制度规定以及资金管理办法规定的时限要求分解下达。</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17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拨付合规性</w:t>
            </w:r>
          </w:p>
        </w:tc>
        <w:tc>
          <w:tcPr>
            <w:tcW w:w="3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严格按照国库集中支付制度有关规定支付资金，未出现违规将资金从国库转入财政专户或支付到预算单位实有资金账户等问题。</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17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使用规范性</w:t>
            </w:r>
          </w:p>
        </w:tc>
        <w:tc>
          <w:tcPr>
            <w:tcW w:w="3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严格按照下达预算的科目和项目执行，未出现截留、挤占、挪用或擅自调整等问题。</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17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执行准确性</w:t>
            </w:r>
          </w:p>
        </w:tc>
        <w:tc>
          <w:tcPr>
            <w:tcW w:w="3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按照上级下达和本级预算安排的金额执行，不存在执行数偏离预算数较多的问题。</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17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预算绩效管理情况</w:t>
            </w:r>
          </w:p>
        </w:tc>
        <w:tc>
          <w:tcPr>
            <w:tcW w:w="3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在细化下达预算时同步下达绩效目标，将有关资金纳入本级预算或对下转移支付绩效管理，开展绩效监控和绩效评价。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17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支出责任履行情况</w:t>
            </w:r>
          </w:p>
        </w:tc>
        <w:tc>
          <w:tcPr>
            <w:tcW w:w="3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对共同财政事权转移支付，按照财政事权和支出责任划分有关规定，足额安排资金履行本级支出责任。</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24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4338"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3674"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7" w:hRule="atLeast"/>
        </w:trPr>
        <w:tc>
          <w:tcPr>
            <w:tcW w:w="2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1.支持县域医疗卫生次中心建设，辐射带动周边卫生院发展。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2.按时完成边坡开挖及地下开挖，资金支付100%。</w:t>
            </w:r>
          </w:p>
        </w:tc>
        <w:tc>
          <w:tcPr>
            <w:tcW w:w="36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按时间节点完成边坡开挖及地下开挖，资金支付100%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5" w:hRule="atLeast"/>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指标1：新建业务综合楼一幢</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建筑面积9846.04平方米</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指标2：新增床位数量</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50张</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指标3：新增CT、胃肠镜、等设施设备</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74台/套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县域医疗卫生次中心建设(非民族十年行动计划)</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指标1：项目竣工验收率</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指标2：项目设计方案变更率</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指标3：工程验收标准</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按国家规定的质量标准</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指标1：工程按时开标</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2022年11月20日</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指标2：工程按时竣工验收</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2024年7月30日</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县域医疗卫生次中心建设补助标准(革命老区)</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400万元/个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400万元/个</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指标1：社会满意度</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≥90%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2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指标1：职工满意度</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指标2：门诊患者满意度</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指标3：住院患者满意度</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该项目目前正在施工建设</w:t>
            </w:r>
          </w:p>
        </w:tc>
      </w:tr>
    </w:tbl>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lang w:val="en-US" w:eastAsia="zh-CN"/>
        </w:rPr>
      </w:pPr>
    </w:p>
    <w:tbl>
      <w:tblPr>
        <w:tblStyle w:val="15"/>
        <w:tblpPr w:leftFromText="180" w:rightFromText="180" w:vertAnchor="text" w:horzAnchor="page" w:tblpX="1933" w:tblpY="604"/>
        <w:tblOverlap w:val="never"/>
        <w:tblW w:w="83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
        <w:gridCol w:w="614"/>
        <w:gridCol w:w="18"/>
        <w:gridCol w:w="556"/>
        <w:gridCol w:w="824"/>
        <w:gridCol w:w="1945"/>
        <w:gridCol w:w="671"/>
        <w:gridCol w:w="435"/>
        <w:gridCol w:w="671"/>
        <w:gridCol w:w="352"/>
        <w:gridCol w:w="874"/>
        <w:gridCol w:w="542"/>
        <w:gridCol w:w="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10" w:type="dxa"/>
          <w:trHeight w:val="650" w:hRule="atLeast"/>
        </w:trPr>
        <w:tc>
          <w:tcPr>
            <w:tcW w:w="7900"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default" w:ascii="方正小标宋简体" w:hAnsi="方正小标宋简体" w:eastAsia="方正小标宋简体" w:cs="方正小标宋简体"/>
                <w:i w:val="0"/>
                <w:iCs w:val="0"/>
                <w:color w:val="000000"/>
                <w:kern w:val="0"/>
                <w:sz w:val="32"/>
                <w:szCs w:val="32"/>
                <w:u w:val="none"/>
                <w:lang w:val="en-US" w:eastAsia="zh-CN" w:bidi="ar"/>
              </w:rPr>
              <w:t>重大传染病防治中央转移支付区域（项目）绩效目标自评表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0" w:type="dxa"/>
          <w:trHeight w:val="333" w:hRule="atLeast"/>
        </w:trPr>
        <w:tc>
          <w:tcPr>
            <w:tcW w:w="7900" w:type="dxa"/>
            <w:gridSpan w:val="12"/>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0" w:type="dxa"/>
          <w:trHeight w:val="660"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691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重大传染病防控中央补助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0" w:type="dxa"/>
          <w:trHeight w:val="347"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691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0" w:type="dxa"/>
          <w:trHeight w:val="660" w:hRule="atLeast"/>
        </w:trPr>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33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广元市昭化区卫生健康局</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24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昭化区疾病预防控制中心、昭化区妇幼保健院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0" w:type="dxa"/>
          <w:trHeight w:val="660" w:hRule="atLeast"/>
        </w:trPr>
        <w:tc>
          <w:tcPr>
            <w:tcW w:w="9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资金投入情况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1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0" w:type="dxa"/>
          <w:trHeight w:val="347" w:hRule="atLeast"/>
        </w:trPr>
        <w:tc>
          <w:tcPr>
            <w:tcW w:w="9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92.85</w:t>
            </w:r>
          </w:p>
        </w:tc>
        <w:tc>
          <w:tcPr>
            <w:tcW w:w="21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92.85</w:t>
            </w: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0" w:type="dxa"/>
          <w:trHeight w:val="660" w:hRule="atLeast"/>
        </w:trPr>
        <w:tc>
          <w:tcPr>
            <w:tcW w:w="9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其中：中央财政资金</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92.85</w:t>
            </w:r>
          </w:p>
        </w:tc>
        <w:tc>
          <w:tcPr>
            <w:tcW w:w="21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92.85</w:t>
            </w: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0" w:type="dxa"/>
          <w:trHeight w:val="347" w:hRule="atLeast"/>
        </w:trPr>
        <w:tc>
          <w:tcPr>
            <w:tcW w:w="9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地方资金</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0" w:type="dxa"/>
          <w:trHeight w:val="347" w:hRule="atLeast"/>
        </w:trPr>
        <w:tc>
          <w:tcPr>
            <w:tcW w:w="9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其他资金</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0" w:type="dxa"/>
          <w:trHeight w:val="660" w:hRule="atLeast"/>
        </w:trPr>
        <w:tc>
          <w:tcPr>
            <w:tcW w:w="9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资金管理情况</w:t>
            </w:r>
          </w:p>
        </w:tc>
        <w:tc>
          <w:tcPr>
            <w:tcW w:w="1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0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情况说明</w:t>
            </w: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0" w:type="dxa"/>
          <w:trHeight w:val="660" w:hRule="atLeast"/>
        </w:trPr>
        <w:tc>
          <w:tcPr>
            <w:tcW w:w="9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分配科学性</w:t>
            </w:r>
          </w:p>
        </w:tc>
        <w:tc>
          <w:tcPr>
            <w:tcW w:w="40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严格按照转移支付管理制度以及资金管理办法规定的范围和标准分配资金。</w:t>
            </w: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0" w:type="dxa"/>
          <w:trHeight w:val="660" w:hRule="atLeast"/>
        </w:trPr>
        <w:tc>
          <w:tcPr>
            <w:tcW w:w="9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下达及时性</w:t>
            </w:r>
          </w:p>
        </w:tc>
        <w:tc>
          <w:tcPr>
            <w:tcW w:w="40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严格按照预算法及其实施条例、转移支付管理制度规定以及资金管理办法规定的时限要求分解下达。</w:t>
            </w: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0" w:type="dxa"/>
          <w:trHeight w:val="985" w:hRule="atLeast"/>
        </w:trPr>
        <w:tc>
          <w:tcPr>
            <w:tcW w:w="9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拨付合规性</w:t>
            </w:r>
          </w:p>
        </w:tc>
        <w:tc>
          <w:tcPr>
            <w:tcW w:w="40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严格按照国库集中支付制度有关规定支付资金，未出现违规将资金从国库转入财政专户或支付到预算单位实有资金账户等问题。</w:t>
            </w: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0" w:type="dxa"/>
          <w:trHeight w:val="660" w:hRule="atLeast"/>
        </w:trPr>
        <w:tc>
          <w:tcPr>
            <w:tcW w:w="9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使用规范性</w:t>
            </w:r>
          </w:p>
        </w:tc>
        <w:tc>
          <w:tcPr>
            <w:tcW w:w="40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严格按照下达预算的科目和项目执行，未出现截留、挤占、挪用或擅自调整等问题。</w:t>
            </w: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0" w:type="dxa"/>
          <w:trHeight w:val="660" w:hRule="atLeast"/>
        </w:trPr>
        <w:tc>
          <w:tcPr>
            <w:tcW w:w="9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执行准确性</w:t>
            </w:r>
          </w:p>
        </w:tc>
        <w:tc>
          <w:tcPr>
            <w:tcW w:w="40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按照上级下达和本级预算安排的金额执行，不存在执行数偏离预算数较多的问题。</w:t>
            </w: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0" w:type="dxa"/>
          <w:trHeight w:val="660" w:hRule="atLeast"/>
        </w:trPr>
        <w:tc>
          <w:tcPr>
            <w:tcW w:w="9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预算绩效管理情况</w:t>
            </w:r>
          </w:p>
        </w:tc>
        <w:tc>
          <w:tcPr>
            <w:tcW w:w="40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在细化下达预算时同步下达绩效目标，将有关资金纳入本级预算或对下转移支付绩效管理，开展绩效监控和绩效评价。</w:t>
            </w: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0" w:type="dxa"/>
          <w:trHeight w:val="660" w:hRule="atLeast"/>
        </w:trPr>
        <w:tc>
          <w:tcPr>
            <w:tcW w:w="9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支出责任履行情况</w:t>
            </w:r>
          </w:p>
        </w:tc>
        <w:tc>
          <w:tcPr>
            <w:tcW w:w="40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对共同财政事权转移支付，按照财政事权和支出责任划分有关规定，足额安排资金履行本级支出责任。</w:t>
            </w: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24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4786"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3284"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90" w:hRule="atLeast"/>
        </w:trPr>
        <w:tc>
          <w:tcPr>
            <w:tcW w:w="2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8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1.着力做好艾滋病防治 “关口前移、重心下沉”，建立完善区、乡、村（居委会）户四级艾滋病防控体系；免费向城乡居民提供筛查检查；扩大宣传教育覆盖面，进一步提高群众防艾意识；开展重点人群干预宣有效控制疾病流行，保持重艾滋病防治措施全面落实；按要求完成各项指标任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进一步完善“政府组织领导、部门各负其责、全社会共同参与”的防治机制，全面落实各项结核病防治措施、提高发现率，扩大治疗覆盖面，提升治疗成功率，降低发病率、降低死亡率，降低新发感染，提高感染者和病人的生活质量。及时发现和规范治疗管理结核病患者，持续降低结核病的感染、发生与死亡，确保结核病疫情稳步下降，提高群众健康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开展0-6岁适龄儿童常规接种，保持高水平国家免疫规划疫苗接种率，接种率达90%以上；开展麻疹、AFP等疫苗可预防疾病监测、开展乙肝哨点监测、加强AEFI监测，所有指标均达到方案要求；全区范围内开展乙肝疫苗和麻风腮疫苗查漏补种活动；开展昭化区社区卫生服务中心数字化门诊建设；开展全区疫苗冷链运转，实施疫苗全程冷链监控和全程疫苗追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4.精神卫生防治要求在册患者管理率≧90％，规范管理率≧90％，治疗率≧60％，用于病人的诊断复核，健康教育及治疗检查等。</w:t>
            </w:r>
          </w:p>
        </w:tc>
        <w:tc>
          <w:tcPr>
            <w:tcW w:w="328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1.2022年艾滋病防治各项指标完成情况：筛查检查（25%）完成率39.10%，艾滋病疫情报告质量（95%）完成率100%、感染者/病人随访检测比例（90%）完成率98.67%、配偶检测（90%）完成率100%、抗病毒治疗比例（91%）完成率100%、病毒载量检测率（91%）完成率98.61%、治疗成功率（91%）完成率97.18%、VCT完成率100%、暗娼男同干预覆盖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2.全年收治管理登记肺结核患者86例（其中区外收治管理黄3例），落实了疾病早发现、早诊断、早治疗、早管理。报告发病率54.68/10万，与2021年同期下降17.77%，完成了项目要求的55/10万，成功治疗率98.90%，治疗管理肺结核患者任务数未完成指标人数，其它各项指标均达到项目要求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3.0-6岁儿童建卡率100%，建证率≥98%；新生儿乙肝疫苗99.93%（其中首针及时接种率为97.99%），乙肝全程接种率为99.66%。其他国家免疫规划疫苗接种率均达到99%以上。开展乙肝疫苗和麻腮风疫苗查漏补种，共摸底13895人，应种未种乙肝疫苗儿童619人，实际补种597人，补种率96.45%；0-6岁麻腮风疫苗应种未种儿童236人，实补种230人，补种率97.46%，均完成95%的指标。AFP监测报告3例，发病率为11.07/10万，均为排除病例。麻疹5例，麻疹风疹病例排除报告发病率3.73/10万；AEFI监测报告26例，发生率为26.64/10万，接种单位监测报告覆盖率100%，各项监测均达到绩效目标要求。昭化区社区卫生服务中心年底完成了数字化门诊建设并验收合格；全年冷链运转大于12次，全区疫苗全程冷链和全程追溯实施良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4.在册患者管理率≧90％，规范管理率≧90％，治疗率≧60％，用于病人的诊断复核，健康教育及治疗检查等。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770"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57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44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576" w:type="dxa"/>
            <w:vMerge w:val="restart"/>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440" w:type="dxa"/>
            <w:gridSpan w:val="3"/>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2022年筛查检查52476人，发现并确诊阳性2人</w:t>
            </w:r>
          </w:p>
        </w:tc>
        <w:tc>
          <w:tcPr>
            <w:tcW w:w="110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40200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52476</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1"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感染者/病人随访检测61例</w:t>
            </w:r>
          </w:p>
        </w:tc>
        <w:tc>
          <w:tcPr>
            <w:tcW w:w="110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未完成原因：1例病人在外地在外地务工；改进措施：加强沟通将外地务工病人做到应检尽检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配偶检测14例</w:t>
            </w:r>
          </w:p>
        </w:tc>
        <w:tc>
          <w:tcPr>
            <w:tcW w:w="110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抗病毒治疗75例</w:t>
            </w:r>
          </w:p>
        </w:tc>
        <w:tc>
          <w:tcPr>
            <w:tcW w:w="110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病毒载量检72例</w:t>
            </w:r>
          </w:p>
        </w:tc>
        <w:tc>
          <w:tcPr>
            <w:tcW w:w="110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未完成原因：1例病人在外地在外地务工；改进措施：加强沟通将外地务工病人做到应检尽检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1"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治疗成功率71例</w:t>
            </w:r>
          </w:p>
        </w:tc>
        <w:tc>
          <w:tcPr>
            <w:tcW w:w="110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病人没按时服药出现漏服现象，改进措施：加强随访劝其按时服药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暗娼、MSM干预检查146人次</w:t>
            </w:r>
          </w:p>
        </w:tc>
        <w:tc>
          <w:tcPr>
            <w:tcW w:w="110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开展重点人群艾滋病防治健康教育宣传4次</w:t>
            </w:r>
          </w:p>
        </w:tc>
        <w:tc>
          <w:tcPr>
            <w:tcW w:w="110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开展医疗机构业务培训2次</w:t>
            </w:r>
          </w:p>
        </w:tc>
        <w:tc>
          <w:tcPr>
            <w:tcW w:w="110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开展医疗机构艾滋病防治工作督导2次</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VCT完成199人</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7"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2022年治疗管理肺结核患者人数</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139例</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86例</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主要存在的问题：一是区定点医疗机构无传染病区和病房，造成病人流失。二是因地理位置昭化区离市级定点医院距离太近。三是区定点结核门诊专职人员缺，结防工作人数属兼职。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病原学阳性肺结核患者的密切接触者筛查率</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病原学阳性肺结核患者耐药筛查率</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63例</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严重精神障碍筛查任务完成率</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育龄妇女孕情监测率</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接受HIV检测比率</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筛查检查覆盖率≥25%</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39.10%</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感染者/病人随访检测率≥90%</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98.67%</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配偶检测≥90%</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抗病毒治疗比例完成率≥91%</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病毒载量检测率≥91%</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98.61%</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治疗成功率≥91%</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97.18%</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VCT完成率100%</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暗娼干预覆盖100%</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艾滋病病毒感染者的结核病检查率≥90%</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艾滋病补助发放100%</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肺结核患者成功治疗率</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病原学阳性率</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73.25%</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报告肺结核病患者和疑似肺结核患者的总体到位率</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96.49%</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以乡镇（街道）为单位适龄儿童国家免疫规划疫苗接种率</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严重精神障碍患者规范管理率</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在册严重精神障碍患者治疗率</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在册患者管理率</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孕产妇艾滋病/梅毒/乙肝检测率</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孕早期艾滋病/梅毒/乙肝检测率</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“三线一网底”体系建设</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不断完善</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不断完善</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2023年6月以前完成项目实施</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Style w:val="44"/>
                <w:lang w:val="en-US" w:eastAsia="zh-CN" w:bidi="ar"/>
              </w:rPr>
              <w:t>≦</w:t>
            </w:r>
            <w:r>
              <w:rPr>
                <w:rFonts w:hint="eastAsia" w:ascii="宋体" w:hAnsi="宋体" w:eastAsia="宋体" w:cs="宋体"/>
                <w:i w:val="0"/>
                <w:iCs w:val="0"/>
                <w:color w:val="000000"/>
                <w:kern w:val="0"/>
                <w:sz w:val="20"/>
                <w:szCs w:val="20"/>
                <w:u w:val="none"/>
                <w:lang w:val="en-US" w:eastAsia="zh-CN" w:bidi="ar"/>
              </w:rPr>
              <w:t>12个月</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8个月</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该项目正在实施中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40"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项目总成本</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≦92.85万元</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≦92.85万元</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妇女、儿童生活质量及健康水平</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扩大艾滋病检查率</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艾滋病母婴传播率</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基本公共卫生服务水平</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艾滋病防治社会知晓率</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大幅提升</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大幅提升</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患者满意度</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9"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服务对象综合知晓率</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807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bl>
    <w:p>
      <w:pPr>
        <w:pStyle w:val="2"/>
        <w:rPr>
          <w:rFonts w:hint="eastAsia" w:ascii="仿宋_GB2312" w:hAnsi="Calibri" w:eastAsia="仿宋_GB2312" w:cs="仿宋"/>
          <w:color w:val="auto"/>
          <w:kern w:val="0"/>
          <w:sz w:val="32"/>
          <w:szCs w:val="32"/>
          <w:highlight w:val="none"/>
          <w:lang w:val="en-US" w:eastAsia="zh-CN" w:bidi="ar-SA"/>
        </w:rPr>
      </w:pPr>
    </w:p>
    <w:p>
      <w:pPr>
        <w:spacing w:line="600" w:lineRule="exact"/>
        <w:jc w:val="center"/>
        <w:outlineLvl w:val="9"/>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rPr>
      </w:pPr>
    </w:p>
    <w:tbl>
      <w:tblPr>
        <w:tblStyle w:val="15"/>
        <w:tblW w:w="83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92"/>
        <w:gridCol w:w="767"/>
        <w:gridCol w:w="416"/>
        <w:gridCol w:w="1430"/>
        <w:gridCol w:w="1405"/>
        <w:gridCol w:w="1018"/>
        <w:gridCol w:w="816"/>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jc w:val="center"/>
        </w:trPr>
        <w:tc>
          <w:tcPr>
            <w:tcW w:w="836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2"/>
                <w:szCs w:val="32"/>
                <w:u w:val="none"/>
              </w:rPr>
            </w:pPr>
            <w:r>
              <w:rPr>
                <w:rFonts w:hint="default" w:ascii="方正小标宋简体" w:hAnsi="方正小标宋简体" w:eastAsia="方正小标宋简体" w:cs="方正小标宋简体"/>
                <w:b/>
                <w:bCs/>
                <w:i w:val="0"/>
                <w:iCs w:val="0"/>
                <w:color w:val="000000"/>
                <w:kern w:val="0"/>
                <w:sz w:val="32"/>
                <w:szCs w:val="32"/>
                <w:u w:val="none"/>
                <w:lang w:val="en-US" w:eastAsia="zh-CN" w:bidi="ar"/>
              </w:rPr>
              <w:t>基本药物制度中央补助转移支付项目绩效目标自评表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jc w:val="center"/>
        </w:trPr>
        <w:tc>
          <w:tcPr>
            <w:tcW w:w="8360"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2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600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基本药物制度中央补助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2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600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2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广元市昭化区卫生健康局</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昭化区各镇卫生院、村卫生室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235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资金投入情况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23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328.56</w:t>
            </w:r>
          </w:p>
        </w:tc>
        <w:tc>
          <w:tcPr>
            <w:tcW w:w="1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328.56</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23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其中：中央财政资金</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196.84</w:t>
            </w:r>
          </w:p>
        </w:tc>
        <w:tc>
          <w:tcPr>
            <w:tcW w:w="1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196.84</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23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地方资金</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131.72</w:t>
            </w:r>
          </w:p>
        </w:tc>
        <w:tc>
          <w:tcPr>
            <w:tcW w:w="1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131.72</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23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其他资金</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jc w:val="center"/>
        </w:trPr>
        <w:tc>
          <w:tcPr>
            <w:tcW w:w="235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资金管理情况</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情况说明</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jc w:val="center"/>
        </w:trPr>
        <w:tc>
          <w:tcPr>
            <w:tcW w:w="23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分配科学性</w:t>
            </w:r>
          </w:p>
        </w:tc>
        <w:tc>
          <w:tcPr>
            <w:tcW w:w="3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严格按照转移支付管理制度以及资金管理办法规定的范围和标准分配资金。</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jc w:val="center"/>
        </w:trPr>
        <w:tc>
          <w:tcPr>
            <w:tcW w:w="23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下达及时性</w:t>
            </w:r>
          </w:p>
        </w:tc>
        <w:tc>
          <w:tcPr>
            <w:tcW w:w="3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严格按照预算法及其实施条例、转移支付管理制度规定以及资金管理办法规定的时限要求分解下达。</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1" w:hRule="atLeast"/>
          <w:jc w:val="center"/>
        </w:trPr>
        <w:tc>
          <w:tcPr>
            <w:tcW w:w="23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拨付合规性</w:t>
            </w:r>
          </w:p>
        </w:tc>
        <w:tc>
          <w:tcPr>
            <w:tcW w:w="3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严格按照国库集中支付制度有关规定支付资金，未出现违规将资金从国库转入财政专户或支付到预算单位实有资金账户等问题。</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jc w:val="center"/>
        </w:trPr>
        <w:tc>
          <w:tcPr>
            <w:tcW w:w="23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使用规范性</w:t>
            </w:r>
          </w:p>
        </w:tc>
        <w:tc>
          <w:tcPr>
            <w:tcW w:w="3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严格按照下达预算的科目和项目执行，未出现截留、挤占、挪用或擅自调整等问题。</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jc w:val="center"/>
        </w:trPr>
        <w:tc>
          <w:tcPr>
            <w:tcW w:w="23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执行准确性</w:t>
            </w:r>
          </w:p>
        </w:tc>
        <w:tc>
          <w:tcPr>
            <w:tcW w:w="3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按照上级下达和本级预算安排的金额执行，不存在执行数偏离预算数较多的问题。</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6" w:hRule="atLeast"/>
          <w:jc w:val="center"/>
        </w:trPr>
        <w:tc>
          <w:tcPr>
            <w:tcW w:w="23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预算绩效管理情况</w:t>
            </w:r>
          </w:p>
        </w:tc>
        <w:tc>
          <w:tcPr>
            <w:tcW w:w="3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在细化下达预算时同步下达绩效目标，将有关资金纳入本级预算或对下转移支付绩效管理，开展绩效监控和绩效评价。</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jc w:val="center"/>
        </w:trPr>
        <w:tc>
          <w:tcPr>
            <w:tcW w:w="23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支出责任履行情况</w:t>
            </w:r>
          </w:p>
        </w:tc>
        <w:tc>
          <w:tcPr>
            <w:tcW w:w="3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对共同财政事权转移支付，按照财政事权和支出责任划分有关规定，足额安排资金履行本级支出责任。</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1153"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4040" w:type="dxa"/>
            <w:gridSpan w:val="4"/>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3167" w:type="dxa"/>
            <w:gridSpan w:val="3"/>
            <w:tcBorders>
              <w:top w:val="nil"/>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8" w:hRule="atLeast"/>
          <w:jc w:val="center"/>
        </w:trPr>
        <w:tc>
          <w:tcPr>
            <w:tcW w:w="1153" w:type="dxa"/>
            <w:vMerge w:val="continue"/>
            <w:tcBorders>
              <w:top w:val="nil"/>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40"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目标1:保证所有政府办基层医疗卫生机构实施国家基本药物制度，推进综合改草顺利进行。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目标2:对实施基本药物制度的村卫生室给子补助，支持国家基本药物制度在村卫生室顺利实施。</w:t>
            </w:r>
          </w:p>
        </w:tc>
        <w:tc>
          <w:tcPr>
            <w:tcW w:w="3167"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1:保证所有基层医疗卫生机构实施国家基本药物制度，推进综合改草顺利进行。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2:对实施基本药物制度的村卫生室给子补助，支持国家基本药物制度在村卫生室顺利实施。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jc w:val="center"/>
        </w:trPr>
        <w:tc>
          <w:tcPr>
            <w:tcW w:w="1153"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4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835"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02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1153"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400" w:type="dxa"/>
            <w:vMerge w:val="restart"/>
            <w:tcBorders>
              <w:top w:val="single" w:color="000000"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835"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实施基本药物制度的政府办基层医疗卫生机构数量</w:t>
            </w:r>
          </w:p>
        </w:tc>
        <w:tc>
          <w:tcPr>
            <w:tcW w:w="102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153" w:type="dxa"/>
            <w:vMerge w:val="continue"/>
            <w:tcBorders>
              <w:top w:val="single" w:color="auto" w:sz="4" w:space="0"/>
              <w:left w:val="single" w:color="auto"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05"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5"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实施基本药物制度的村卫生室占比</w:t>
            </w:r>
          </w:p>
        </w:tc>
        <w:tc>
          <w:tcPr>
            <w:tcW w:w="102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1153" w:type="dxa"/>
            <w:vMerge w:val="continue"/>
            <w:tcBorders>
              <w:top w:val="single" w:color="auto" w:sz="4" w:space="0"/>
              <w:left w:val="single" w:color="auto"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05"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vMerge w:val="restart"/>
            <w:tcBorders>
              <w:top w:val="single" w:color="000000"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835"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基层医疗卫生机构“优质服务基层行”活动开展评价机构数比例</w:t>
            </w:r>
          </w:p>
        </w:tc>
        <w:tc>
          <w:tcPr>
            <w:tcW w:w="102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jc w:val="center"/>
        </w:trPr>
        <w:tc>
          <w:tcPr>
            <w:tcW w:w="1153" w:type="dxa"/>
            <w:vMerge w:val="continue"/>
            <w:tcBorders>
              <w:top w:val="single" w:color="auto" w:sz="4" w:space="0"/>
              <w:left w:val="single" w:color="auto"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05"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5" w:type="dxa"/>
            <w:gridSpan w:val="2"/>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基层医疗卫生机构“优质服务基层行”活动达到基本标准及以上的比例</w:t>
            </w:r>
          </w:p>
        </w:tc>
        <w:tc>
          <w:tcPr>
            <w:tcW w:w="102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0"/>
                <w:szCs w:val="20"/>
                <w:u w:val="none"/>
                <w:lang w:val="en-US" w:eastAsia="zh-CN" w:bidi="ar"/>
              </w:rPr>
              <w:t>90%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90.90%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jc w:val="center"/>
        </w:trPr>
        <w:tc>
          <w:tcPr>
            <w:tcW w:w="1153" w:type="dxa"/>
            <w:vMerge w:val="continue"/>
            <w:tcBorders>
              <w:top w:val="single" w:color="auto" w:sz="4" w:space="0"/>
              <w:left w:val="single" w:color="auto"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05"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83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2022年12月以前完成项目实施</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0"/>
                <w:szCs w:val="20"/>
                <w:u w:val="none"/>
                <w:lang w:val="en-US" w:eastAsia="zh-CN" w:bidi="ar"/>
              </w:rPr>
              <w:t>12个月</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1" w:hRule="atLeast"/>
          <w:jc w:val="center"/>
        </w:trPr>
        <w:tc>
          <w:tcPr>
            <w:tcW w:w="1153" w:type="dxa"/>
            <w:vMerge w:val="continue"/>
            <w:tcBorders>
              <w:top w:val="single" w:color="auto" w:sz="4" w:space="0"/>
              <w:left w:val="single" w:color="auto"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05"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项目总成本</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≦328.56万元</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328.56万元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1153" w:type="dxa"/>
            <w:vMerge w:val="continue"/>
            <w:tcBorders>
              <w:top w:val="single" w:color="auto" w:sz="4" w:space="0"/>
              <w:left w:val="single" w:color="auto"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0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妇女、儿童生活质量及健康水平</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5" w:hRule="atLeast"/>
          <w:jc w:val="center"/>
        </w:trPr>
        <w:tc>
          <w:tcPr>
            <w:tcW w:w="1153" w:type="dxa"/>
            <w:vMerge w:val="continue"/>
            <w:tcBorders>
              <w:top w:val="single" w:color="auto" w:sz="4" w:space="0"/>
              <w:left w:val="single" w:color="auto"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扩大艾滋病检查率</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jc w:val="center"/>
        </w:trPr>
        <w:tc>
          <w:tcPr>
            <w:tcW w:w="1153" w:type="dxa"/>
            <w:vMerge w:val="continue"/>
            <w:tcBorders>
              <w:top w:val="single" w:color="auto" w:sz="4" w:space="0"/>
              <w:left w:val="single" w:color="auto"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乡村医生保持稳定收入情况</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同比提升</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较上年提高5%</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1153" w:type="dxa"/>
            <w:vMerge w:val="continue"/>
            <w:tcBorders>
              <w:top w:val="single" w:color="auto" w:sz="4" w:space="0"/>
              <w:left w:val="single" w:color="auto"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基本药物制度在基层持续实施</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稳步推进</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稳步推进</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4" w:hRule="atLeast"/>
          <w:jc w:val="center"/>
        </w:trPr>
        <w:tc>
          <w:tcPr>
            <w:tcW w:w="1153" w:type="dxa"/>
            <w:vMerge w:val="continue"/>
            <w:tcBorders>
              <w:top w:val="single" w:color="auto" w:sz="4" w:space="0"/>
              <w:left w:val="single" w:color="auto"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医共体建设符合“紧密型”、“控费用”、“同质化”、“促分工”发展方向</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推进“医共体”试点</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制定规划，稳步推进</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2" w:hRule="atLeast"/>
          <w:jc w:val="center"/>
        </w:trPr>
        <w:tc>
          <w:tcPr>
            <w:tcW w:w="1153" w:type="dxa"/>
            <w:vMerge w:val="continue"/>
            <w:tcBorders>
              <w:top w:val="single" w:color="auto" w:sz="4" w:space="0"/>
              <w:left w:val="single" w:color="auto"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0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4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对基本药物制度补助满意度</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0"/>
                <w:szCs w:val="20"/>
                <w:u w:val="none"/>
                <w:lang w:val="en-US" w:eastAsia="zh-CN" w:bidi="ar"/>
              </w:rPr>
              <w:t>90%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jc w:val="center"/>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720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无</w:t>
            </w:r>
          </w:p>
        </w:tc>
      </w:tr>
    </w:tbl>
    <w:p>
      <w:pPr>
        <w:spacing w:line="600" w:lineRule="exact"/>
        <w:jc w:val="center"/>
        <w:outlineLvl w:val="9"/>
        <w:rPr>
          <w:rFonts w:hint="eastAsia" w:ascii="黑体" w:hAnsi="黑体" w:eastAsia="黑体"/>
          <w:color w:val="auto"/>
          <w:sz w:val="44"/>
          <w:szCs w:val="44"/>
          <w:highlight w:val="none"/>
        </w:rPr>
      </w:pPr>
    </w:p>
    <w:p>
      <w:pPr>
        <w:spacing w:line="600" w:lineRule="exact"/>
        <w:jc w:val="both"/>
        <w:outlineLvl w:val="9"/>
        <w:rPr>
          <w:rFonts w:hint="eastAsia" w:ascii="黑体" w:hAnsi="黑体" w:eastAsia="黑体"/>
          <w:color w:val="auto"/>
          <w:sz w:val="44"/>
          <w:szCs w:val="44"/>
          <w:highlight w:val="none"/>
          <w:lang w:val="en-US" w:eastAsia="zh-CN"/>
        </w:rPr>
      </w:pPr>
    </w:p>
    <w:p>
      <w:pPr>
        <w:pStyle w:val="2"/>
        <w:rPr>
          <w:rFonts w:hint="eastAsia" w:ascii="黑体" w:hAnsi="黑体" w:eastAsia="黑体"/>
          <w:color w:val="auto"/>
          <w:sz w:val="44"/>
          <w:szCs w:val="44"/>
          <w:highlight w:val="none"/>
          <w:lang w:val="en-US" w:eastAsia="zh-CN"/>
        </w:rPr>
      </w:pPr>
    </w:p>
    <w:p>
      <w:pPr>
        <w:rPr>
          <w:rFonts w:hint="eastAsia" w:ascii="黑体" w:hAnsi="黑体" w:eastAsia="黑体"/>
          <w:color w:val="auto"/>
          <w:sz w:val="44"/>
          <w:szCs w:val="44"/>
          <w:highlight w:val="none"/>
          <w:lang w:val="en-US" w:eastAsia="zh-CN"/>
        </w:rPr>
      </w:pPr>
    </w:p>
    <w:p>
      <w:pPr>
        <w:pStyle w:val="2"/>
        <w:rPr>
          <w:rFonts w:hint="eastAsia" w:ascii="黑体" w:hAnsi="黑体" w:eastAsia="黑体"/>
          <w:color w:val="auto"/>
          <w:sz w:val="44"/>
          <w:szCs w:val="44"/>
          <w:highlight w:val="none"/>
          <w:lang w:val="en-US" w:eastAsia="zh-CN"/>
        </w:rPr>
      </w:pPr>
    </w:p>
    <w:p>
      <w:pPr>
        <w:rPr>
          <w:rFonts w:hint="eastAsia" w:ascii="黑体" w:hAnsi="黑体" w:eastAsia="黑体"/>
          <w:color w:val="auto"/>
          <w:sz w:val="44"/>
          <w:szCs w:val="44"/>
          <w:highlight w:val="none"/>
          <w:lang w:val="en-US" w:eastAsia="zh-CN"/>
        </w:rPr>
      </w:pPr>
    </w:p>
    <w:p>
      <w:pPr>
        <w:pStyle w:val="2"/>
        <w:rPr>
          <w:rFonts w:hint="eastAsia" w:ascii="黑体" w:hAnsi="黑体" w:eastAsia="黑体"/>
          <w:color w:val="auto"/>
          <w:sz w:val="44"/>
          <w:szCs w:val="44"/>
          <w:highlight w:val="none"/>
          <w:lang w:val="en-US" w:eastAsia="zh-CN"/>
        </w:rPr>
      </w:pPr>
    </w:p>
    <w:p>
      <w:pPr>
        <w:rPr>
          <w:rFonts w:hint="eastAsia" w:ascii="黑体" w:hAnsi="黑体" w:eastAsia="黑体"/>
          <w:color w:val="auto"/>
          <w:sz w:val="44"/>
          <w:szCs w:val="44"/>
          <w:highlight w:val="none"/>
          <w:lang w:val="en-US" w:eastAsia="zh-CN"/>
        </w:rPr>
      </w:pPr>
    </w:p>
    <w:p>
      <w:pPr>
        <w:pStyle w:val="2"/>
        <w:rPr>
          <w:rFonts w:hint="eastAsia" w:ascii="黑体" w:hAnsi="黑体" w:eastAsia="黑体"/>
          <w:color w:val="auto"/>
          <w:sz w:val="44"/>
          <w:szCs w:val="44"/>
          <w:highlight w:val="none"/>
          <w:lang w:val="en-US" w:eastAsia="zh-CN"/>
        </w:rPr>
      </w:pPr>
    </w:p>
    <w:p>
      <w:pPr>
        <w:rPr>
          <w:rFonts w:hint="eastAsia" w:ascii="黑体" w:hAnsi="黑体" w:eastAsia="黑体"/>
          <w:color w:val="auto"/>
          <w:sz w:val="44"/>
          <w:szCs w:val="44"/>
          <w:highlight w:val="none"/>
          <w:lang w:val="en-US" w:eastAsia="zh-CN"/>
        </w:rPr>
      </w:pPr>
    </w:p>
    <w:p>
      <w:pPr>
        <w:pStyle w:val="2"/>
        <w:rPr>
          <w:rFonts w:hint="eastAsia" w:ascii="黑体" w:hAnsi="黑体" w:eastAsia="黑体"/>
          <w:color w:val="auto"/>
          <w:sz w:val="44"/>
          <w:szCs w:val="44"/>
          <w:highlight w:val="none"/>
          <w:lang w:val="en-US" w:eastAsia="zh-CN"/>
        </w:rPr>
      </w:pPr>
    </w:p>
    <w:p>
      <w:pPr>
        <w:rPr>
          <w:rFonts w:hint="eastAsia" w:ascii="黑体" w:hAnsi="黑体" w:eastAsia="黑体"/>
          <w:color w:val="auto"/>
          <w:sz w:val="44"/>
          <w:szCs w:val="44"/>
          <w:highlight w:val="none"/>
          <w:lang w:val="en-US" w:eastAsia="zh-CN"/>
        </w:rPr>
      </w:pPr>
    </w:p>
    <w:p>
      <w:pPr>
        <w:pStyle w:val="2"/>
        <w:rPr>
          <w:rFonts w:hint="eastAsia"/>
          <w:lang w:val="en-US" w:eastAsia="zh-CN"/>
        </w:rPr>
      </w:pPr>
    </w:p>
    <w:p>
      <w:pPr>
        <w:spacing w:line="600" w:lineRule="exact"/>
        <w:jc w:val="center"/>
        <w:outlineLvl w:val="0"/>
        <w:rPr>
          <w:rFonts w:hint="eastAsia" w:ascii="黑体" w:hAnsi="黑体" w:eastAsia="黑体"/>
          <w:color w:val="auto"/>
          <w:sz w:val="44"/>
          <w:szCs w:val="44"/>
          <w:highlight w:val="none"/>
        </w:rPr>
      </w:pPr>
      <w:bookmarkStart w:id="108" w:name="_Toc30025"/>
      <w:r>
        <w:rPr>
          <w:rFonts w:hint="eastAsia" w:ascii="黑体" w:hAnsi="黑体" w:eastAsia="黑体"/>
          <w:color w:val="auto"/>
          <w:sz w:val="44"/>
          <w:szCs w:val="44"/>
          <w:highlight w:val="none"/>
          <w:lang w:val="en-US" w:eastAsia="zh-CN"/>
        </w:rPr>
        <w:t xml:space="preserve">第五部分 </w:t>
      </w:r>
      <w:r>
        <w:rPr>
          <w:rFonts w:hint="eastAsia" w:ascii="黑体" w:hAnsi="黑体" w:eastAsia="黑体"/>
          <w:color w:val="auto"/>
          <w:sz w:val="44"/>
          <w:szCs w:val="44"/>
          <w:highlight w:val="none"/>
        </w:rPr>
        <w:t>附表</w:t>
      </w:r>
      <w:bookmarkEnd w:id="106"/>
      <w:bookmarkEnd w:id="107"/>
      <w:bookmarkEnd w:id="108"/>
    </w:p>
    <w:p>
      <w:pPr>
        <w:numPr>
          <w:ilvl w:val="0"/>
          <w:numId w:val="0"/>
        </w:numPr>
        <w:spacing w:line="600" w:lineRule="exact"/>
        <w:jc w:val="both"/>
        <w:outlineLvl w:val="1"/>
        <w:rPr>
          <w:rStyle w:val="28"/>
          <w:rFonts w:hint="eastAsia" w:ascii="仿宋" w:hAnsi="仿宋" w:eastAsia="仿宋"/>
          <w:b w:val="0"/>
          <w:bCs w:val="0"/>
          <w:color w:val="auto"/>
          <w:highlight w:val="none"/>
        </w:rPr>
      </w:pPr>
      <w:bookmarkStart w:id="109" w:name="_Toc26212"/>
      <w:r>
        <w:rPr>
          <w:rStyle w:val="28"/>
          <w:rFonts w:hint="eastAsia" w:ascii="仿宋" w:hAnsi="仿宋" w:eastAsia="仿宋"/>
          <w:b w:val="0"/>
          <w:bCs w:val="0"/>
          <w:color w:val="auto"/>
          <w:highlight w:val="none"/>
          <w:lang w:val="en-US" w:eastAsia="zh-CN"/>
        </w:rPr>
        <w:t>一、</w:t>
      </w:r>
      <w:r>
        <w:rPr>
          <w:rStyle w:val="28"/>
          <w:rFonts w:hint="eastAsia" w:ascii="仿宋" w:hAnsi="仿宋" w:eastAsia="仿宋"/>
          <w:b w:val="0"/>
          <w:bCs w:val="0"/>
          <w:color w:val="auto"/>
          <w:highlight w:val="none"/>
        </w:rPr>
        <w:t>收入支出决算总表</w:t>
      </w:r>
      <w:bookmarkEnd w:id="109"/>
      <w:bookmarkStart w:id="110" w:name="_Toc15396620"/>
    </w:p>
    <w:p>
      <w:pPr>
        <w:numPr>
          <w:ilvl w:val="0"/>
          <w:numId w:val="0"/>
        </w:numPr>
        <w:spacing w:line="600" w:lineRule="exact"/>
        <w:jc w:val="both"/>
        <w:outlineLvl w:val="1"/>
        <w:rPr>
          <w:rStyle w:val="28"/>
          <w:rFonts w:hint="eastAsia" w:ascii="仿宋" w:hAnsi="仿宋" w:eastAsia="仿宋"/>
          <w:b w:val="0"/>
          <w:bCs w:val="0"/>
          <w:color w:val="auto"/>
          <w:highlight w:val="none"/>
        </w:rPr>
      </w:pPr>
      <w:bookmarkStart w:id="111" w:name="_Toc5645"/>
      <w:r>
        <w:rPr>
          <w:rStyle w:val="28"/>
          <w:rFonts w:hint="eastAsia" w:ascii="仿宋" w:hAnsi="仿宋" w:eastAsia="仿宋"/>
          <w:b w:val="0"/>
          <w:bCs w:val="0"/>
          <w:color w:val="auto"/>
          <w:highlight w:val="none"/>
          <w:lang w:val="en-US" w:eastAsia="zh-CN"/>
        </w:rPr>
        <w:t>二、</w:t>
      </w:r>
      <w:r>
        <w:rPr>
          <w:rStyle w:val="28"/>
          <w:rFonts w:hint="eastAsia" w:ascii="仿宋" w:hAnsi="仿宋" w:eastAsia="仿宋"/>
          <w:b w:val="0"/>
          <w:bCs w:val="0"/>
          <w:color w:val="auto"/>
          <w:highlight w:val="none"/>
        </w:rPr>
        <w:t>收入决算表</w:t>
      </w:r>
      <w:bookmarkEnd w:id="110"/>
      <w:bookmarkEnd w:id="111"/>
      <w:bookmarkStart w:id="112" w:name="_Toc15396621"/>
    </w:p>
    <w:p>
      <w:pPr>
        <w:numPr>
          <w:ilvl w:val="0"/>
          <w:numId w:val="0"/>
        </w:numPr>
        <w:spacing w:line="600" w:lineRule="exact"/>
        <w:jc w:val="both"/>
        <w:outlineLvl w:val="1"/>
        <w:rPr>
          <w:rStyle w:val="28"/>
          <w:rFonts w:hint="eastAsia" w:ascii="仿宋" w:hAnsi="仿宋" w:eastAsia="仿宋"/>
          <w:b w:val="0"/>
          <w:bCs w:val="0"/>
          <w:color w:val="auto"/>
          <w:highlight w:val="none"/>
        </w:rPr>
      </w:pPr>
      <w:bookmarkStart w:id="113" w:name="_Toc13458"/>
      <w:r>
        <w:rPr>
          <w:rStyle w:val="28"/>
          <w:rFonts w:hint="eastAsia" w:ascii="仿宋" w:hAnsi="仿宋" w:eastAsia="仿宋"/>
          <w:b w:val="0"/>
          <w:bCs w:val="0"/>
          <w:color w:val="auto"/>
          <w:highlight w:val="none"/>
          <w:lang w:val="en-US" w:eastAsia="zh-CN"/>
        </w:rPr>
        <w:t>三、</w:t>
      </w:r>
      <w:r>
        <w:rPr>
          <w:rStyle w:val="28"/>
          <w:rFonts w:hint="eastAsia" w:ascii="仿宋" w:hAnsi="仿宋" w:eastAsia="仿宋"/>
          <w:b w:val="0"/>
          <w:bCs w:val="0"/>
          <w:color w:val="auto"/>
          <w:highlight w:val="none"/>
        </w:rPr>
        <w:t>支出决算表</w:t>
      </w:r>
      <w:bookmarkEnd w:id="112"/>
      <w:bookmarkEnd w:id="113"/>
      <w:bookmarkStart w:id="114" w:name="_Toc15396622"/>
    </w:p>
    <w:p>
      <w:pPr>
        <w:numPr>
          <w:ilvl w:val="0"/>
          <w:numId w:val="0"/>
        </w:numPr>
        <w:spacing w:line="600" w:lineRule="exact"/>
        <w:jc w:val="both"/>
        <w:outlineLvl w:val="1"/>
        <w:rPr>
          <w:rStyle w:val="28"/>
          <w:rFonts w:hint="eastAsia" w:ascii="仿宋" w:hAnsi="仿宋" w:eastAsia="仿宋"/>
          <w:b w:val="0"/>
          <w:bCs w:val="0"/>
          <w:color w:val="auto"/>
          <w:highlight w:val="none"/>
        </w:rPr>
      </w:pPr>
      <w:bookmarkStart w:id="115" w:name="_Toc27956"/>
      <w:r>
        <w:rPr>
          <w:rStyle w:val="28"/>
          <w:rFonts w:hint="eastAsia" w:ascii="仿宋" w:hAnsi="仿宋" w:eastAsia="仿宋"/>
          <w:b w:val="0"/>
          <w:bCs w:val="0"/>
          <w:color w:val="auto"/>
          <w:highlight w:val="none"/>
          <w:lang w:val="en-US" w:eastAsia="zh-CN"/>
        </w:rPr>
        <w:t>四、</w:t>
      </w:r>
      <w:r>
        <w:rPr>
          <w:rStyle w:val="28"/>
          <w:rFonts w:hint="eastAsia" w:ascii="仿宋" w:hAnsi="仿宋" w:eastAsia="仿宋"/>
          <w:b w:val="0"/>
          <w:bCs w:val="0"/>
          <w:color w:val="auto"/>
          <w:highlight w:val="none"/>
        </w:rPr>
        <w:t>财政拨款收入支出决算总表</w:t>
      </w:r>
      <w:bookmarkEnd w:id="114"/>
      <w:bookmarkEnd w:id="115"/>
      <w:bookmarkStart w:id="116" w:name="_Toc15396623"/>
    </w:p>
    <w:p>
      <w:pPr>
        <w:numPr>
          <w:ilvl w:val="0"/>
          <w:numId w:val="0"/>
        </w:numPr>
        <w:spacing w:line="600" w:lineRule="exact"/>
        <w:jc w:val="both"/>
        <w:outlineLvl w:val="1"/>
        <w:rPr>
          <w:rStyle w:val="28"/>
          <w:rFonts w:hint="eastAsia" w:ascii="仿宋" w:hAnsi="仿宋" w:eastAsia="仿宋"/>
          <w:b w:val="0"/>
          <w:bCs w:val="0"/>
          <w:color w:val="auto"/>
          <w:highlight w:val="none"/>
        </w:rPr>
      </w:pPr>
      <w:bookmarkStart w:id="117" w:name="_Toc28843"/>
      <w:r>
        <w:rPr>
          <w:rStyle w:val="28"/>
          <w:rFonts w:hint="eastAsia" w:ascii="仿宋" w:hAnsi="仿宋" w:eastAsia="仿宋"/>
          <w:b w:val="0"/>
          <w:bCs w:val="0"/>
          <w:color w:val="auto"/>
          <w:highlight w:val="none"/>
        </w:rPr>
        <w:t>五、财政拨款支出决算明细表</w:t>
      </w:r>
      <w:bookmarkEnd w:id="116"/>
      <w:bookmarkEnd w:id="117"/>
      <w:bookmarkStart w:id="118" w:name="_Toc15396624"/>
    </w:p>
    <w:p>
      <w:pPr>
        <w:numPr>
          <w:ilvl w:val="0"/>
          <w:numId w:val="0"/>
        </w:numPr>
        <w:spacing w:line="600" w:lineRule="exact"/>
        <w:jc w:val="both"/>
        <w:outlineLvl w:val="1"/>
        <w:rPr>
          <w:rStyle w:val="28"/>
          <w:rFonts w:hint="eastAsia" w:ascii="仿宋" w:hAnsi="仿宋" w:eastAsia="仿宋"/>
          <w:b w:val="0"/>
          <w:bCs w:val="0"/>
          <w:color w:val="auto"/>
          <w:highlight w:val="none"/>
        </w:rPr>
      </w:pPr>
      <w:bookmarkStart w:id="119" w:name="_Toc24676"/>
      <w:r>
        <w:rPr>
          <w:rStyle w:val="28"/>
          <w:rFonts w:hint="eastAsia" w:ascii="仿宋" w:hAnsi="仿宋" w:eastAsia="仿宋"/>
          <w:b w:val="0"/>
          <w:bCs w:val="0"/>
          <w:color w:val="auto"/>
          <w:highlight w:val="none"/>
        </w:rPr>
        <w:t>六、一般公共预算财政拨款支出决算表</w:t>
      </w:r>
      <w:bookmarkEnd w:id="118"/>
      <w:bookmarkEnd w:id="119"/>
      <w:bookmarkStart w:id="120" w:name="_Toc15396625"/>
    </w:p>
    <w:p>
      <w:pPr>
        <w:numPr>
          <w:ilvl w:val="0"/>
          <w:numId w:val="0"/>
        </w:numPr>
        <w:spacing w:line="600" w:lineRule="exact"/>
        <w:jc w:val="both"/>
        <w:outlineLvl w:val="1"/>
        <w:rPr>
          <w:rStyle w:val="28"/>
          <w:rFonts w:hint="eastAsia" w:ascii="仿宋" w:hAnsi="仿宋" w:eastAsia="仿宋"/>
          <w:b w:val="0"/>
          <w:bCs w:val="0"/>
          <w:color w:val="auto"/>
          <w:highlight w:val="none"/>
        </w:rPr>
      </w:pPr>
      <w:bookmarkStart w:id="121" w:name="_Toc23626"/>
      <w:r>
        <w:rPr>
          <w:rStyle w:val="28"/>
          <w:rFonts w:hint="eastAsia" w:ascii="仿宋" w:hAnsi="仿宋" w:eastAsia="仿宋"/>
          <w:b w:val="0"/>
          <w:bCs w:val="0"/>
          <w:color w:val="auto"/>
          <w:highlight w:val="none"/>
          <w:lang w:val="en-US" w:eastAsia="zh-CN"/>
        </w:rPr>
        <w:t>七</w:t>
      </w:r>
      <w:r>
        <w:rPr>
          <w:rStyle w:val="28"/>
          <w:rFonts w:hint="eastAsia" w:ascii="仿宋" w:hAnsi="仿宋" w:eastAsia="仿宋"/>
          <w:b w:val="0"/>
          <w:bCs w:val="0"/>
          <w:color w:val="auto"/>
          <w:highlight w:val="none"/>
        </w:rPr>
        <w:t>、一般公共预算财政拨款支出决算明细表</w:t>
      </w:r>
      <w:bookmarkEnd w:id="120"/>
      <w:bookmarkEnd w:id="121"/>
      <w:bookmarkStart w:id="122" w:name="_Toc15396626"/>
    </w:p>
    <w:p>
      <w:pPr>
        <w:numPr>
          <w:ilvl w:val="0"/>
          <w:numId w:val="0"/>
        </w:numPr>
        <w:spacing w:line="600" w:lineRule="exact"/>
        <w:jc w:val="both"/>
        <w:outlineLvl w:val="1"/>
        <w:rPr>
          <w:rStyle w:val="28"/>
          <w:rFonts w:hint="eastAsia" w:ascii="仿宋" w:hAnsi="仿宋" w:eastAsia="仿宋"/>
          <w:b w:val="0"/>
          <w:bCs w:val="0"/>
          <w:color w:val="auto"/>
          <w:highlight w:val="none"/>
        </w:rPr>
      </w:pPr>
      <w:bookmarkStart w:id="123" w:name="_Toc6935"/>
      <w:r>
        <w:rPr>
          <w:rStyle w:val="28"/>
          <w:rFonts w:hint="eastAsia" w:ascii="仿宋" w:hAnsi="仿宋" w:eastAsia="仿宋"/>
          <w:b w:val="0"/>
          <w:bCs w:val="0"/>
          <w:color w:val="auto"/>
          <w:highlight w:val="none"/>
          <w:lang w:val="en-US" w:eastAsia="zh-CN"/>
        </w:rPr>
        <w:t>八</w:t>
      </w:r>
      <w:r>
        <w:rPr>
          <w:rStyle w:val="28"/>
          <w:rFonts w:hint="eastAsia" w:ascii="仿宋" w:hAnsi="仿宋" w:eastAsia="仿宋"/>
          <w:b w:val="0"/>
          <w:bCs w:val="0"/>
          <w:color w:val="auto"/>
          <w:highlight w:val="none"/>
        </w:rPr>
        <w:t>、一般公共预算财政拨款基本支出决算表</w:t>
      </w:r>
      <w:bookmarkEnd w:id="122"/>
      <w:bookmarkEnd w:id="123"/>
      <w:bookmarkStart w:id="124" w:name="_Toc15396627"/>
    </w:p>
    <w:p>
      <w:pPr>
        <w:numPr>
          <w:ilvl w:val="0"/>
          <w:numId w:val="0"/>
        </w:numPr>
        <w:spacing w:line="600" w:lineRule="exact"/>
        <w:jc w:val="both"/>
        <w:outlineLvl w:val="1"/>
        <w:rPr>
          <w:rStyle w:val="28"/>
          <w:rFonts w:hint="eastAsia" w:ascii="仿宋" w:hAnsi="仿宋" w:eastAsia="仿宋"/>
          <w:b w:val="0"/>
          <w:bCs w:val="0"/>
          <w:color w:val="auto"/>
          <w:highlight w:val="none"/>
        </w:rPr>
      </w:pPr>
      <w:bookmarkStart w:id="125" w:name="_Toc19498"/>
      <w:r>
        <w:rPr>
          <w:rStyle w:val="28"/>
          <w:rFonts w:hint="eastAsia" w:ascii="仿宋" w:hAnsi="仿宋" w:eastAsia="仿宋"/>
          <w:b w:val="0"/>
          <w:bCs w:val="0"/>
          <w:color w:val="auto"/>
          <w:highlight w:val="none"/>
        </w:rPr>
        <w:t>九、一般公共预算财政拨款项目支出决算表</w:t>
      </w:r>
      <w:bookmarkEnd w:id="124"/>
      <w:bookmarkEnd w:id="125"/>
      <w:bookmarkStart w:id="126" w:name="_Toc15396628"/>
    </w:p>
    <w:p>
      <w:pPr>
        <w:numPr>
          <w:ilvl w:val="0"/>
          <w:numId w:val="0"/>
        </w:numPr>
        <w:spacing w:line="600" w:lineRule="exact"/>
        <w:jc w:val="both"/>
        <w:outlineLvl w:val="1"/>
        <w:rPr>
          <w:rStyle w:val="28"/>
          <w:rFonts w:hint="eastAsia" w:ascii="仿宋" w:hAnsi="仿宋" w:eastAsia="仿宋"/>
          <w:b w:val="0"/>
          <w:bCs w:val="0"/>
          <w:color w:val="auto"/>
          <w:highlight w:val="none"/>
        </w:rPr>
      </w:pPr>
      <w:bookmarkStart w:id="127" w:name="_Toc8625"/>
      <w:r>
        <w:rPr>
          <w:rStyle w:val="28"/>
          <w:rFonts w:hint="eastAsia" w:ascii="仿宋" w:hAnsi="仿宋" w:eastAsia="仿宋"/>
          <w:b w:val="0"/>
          <w:bCs w:val="0"/>
          <w:color w:val="auto"/>
          <w:highlight w:val="none"/>
        </w:rPr>
        <w:t>十、</w:t>
      </w:r>
      <w:bookmarkEnd w:id="126"/>
      <w:r>
        <w:rPr>
          <w:rStyle w:val="28"/>
          <w:rFonts w:hint="eastAsia" w:ascii="仿宋" w:hAnsi="仿宋" w:eastAsia="仿宋"/>
          <w:b w:val="0"/>
          <w:bCs w:val="0"/>
          <w:color w:val="auto"/>
          <w:highlight w:val="none"/>
        </w:rPr>
        <w:t>政府性基金预算财政拨款收入支出决算表</w:t>
      </w:r>
      <w:bookmarkEnd w:id="127"/>
      <w:bookmarkStart w:id="128" w:name="_Toc15396629"/>
    </w:p>
    <w:p>
      <w:pPr>
        <w:numPr>
          <w:ilvl w:val="0"/>
          <w:numId w:val="0"/>
        </w:numPr>
        <w:spacing w:line="600" w:lineRule="exact"/>
        <w:jc w:val="both"/>
        <w:outlineLvl w:val="1"/>
        <w:rPr>
          <w:rStyle w:val="28"/>
          <w:rFonts w:hint="eastAsia" w:ascii="仿宋" w:hAnsi="仿宋" w:eastAsia="仿宋"/>
          <w:b w:val="0"/>
          <w:bCs w:val="0"/>
          <w:color w:val="auto"/>
          <w:highlight w:val="none"/>
        </w:rPr>
      </w:pPr>
      <w:bookmarkStart w:id="129" w:name="_Toc4939"/>
      <w:r>
        <w:rPr>
          <w:rStyle w:val="28"/>
          <w:rFonts w:hint="eastAsia" w:ascii="仿宋" w:hAnsi="仿宋" w:eastAsia="仿宋"/>
          <w:b w:val="0"/>
          <w:bCs w:val="0"/>
          <w:color w:val="auto"/>
          <w:highlight w:val="none"/>
        </w:rPr>
        <w:t>十一、</w:t>
      </w:r>
      <w:bookmarkEnd w:id="128"/>
      <w:r>
        <w:rPr>
          <w:rStyle w:val="28"/>
          <w:rFonts w:hint="eastAsia" w:ascii="仿宋" w:hAnsi="仿宋" w:eastAsia="仿宋"/>
          <w:b w:val="0"/>
          <w:bCs w:val="0"/>
          <w:color w:val="auto"/>
          <w:highlight w:val="none"/>
        </w:rPr>
        <w:t>国有资本经营预算</w:t>
      </w:r>
      <w:r>
        <w:rPr>
          <w:rStyle w:val="28"/>
          <w:rFonts w:hint="eastAsia" w:ascii="仿宋" w:hAnsi="仿宋" w:eastAsia="仿宋"/>
          <w:b w:val="0"/>
          <w:bCs w:val="0"/>
          <w:color w:val="auto"/>
          <w:highlight w:val="none"/>
          <w:lang w:eastAsia="zh-CN"/>
        </w:rPr>
        <w:t>财政拨款收入</w:t>
      </w:r>
      <w:r>
        <w:rPr>
          <w:rStyle w:val="28"/>
          <w:rFonts w:hint="eastAsia" w:ascii="仿宋" w:hAnsi="仿宋" w:eastAsia="仿宋"/>
          <w:b w:val="0"/>
          <w:bCs w:val="0"/>
          <w:color w:val="auto"/>
          <w:highlight w:val="none"/>
        </w:rPr>
        <w:t>支出决算表</w:t>
      </w:r>
      <w:bookmarkEnd w:id="129"/>
      <w:bookmarkStart w:id="130" w:name="_Toc15396630"/>
    </w:p>
    <w:p>
      <w:pPr>
        <w:numPr>
          <w:ilvl w:val="0"/>
          <w:numId w:val="0"/>
        </w:numPr>
        <w:spacing w:line="600" w:lineRule="exact"/>
        <w:jc w:val="both"/>
        <w:outlineLvl w:val="1"/>
        <w:rPr>
          <w:rStyle w:val="28"/>
          <w:rFonts w:hint="eastAsia" w:ascii="仿宋" w:hAnsi="仿宋" w:eastAsia="仿宋"/>
          <w:b w:val="0"/>
          <w:bCs w:val="0"/>
          <w:color w:val="auto"/>
          <w:highlight w:val="none"/>
          <w:lang w:eastAsia="zh-CN"/>
        </w:rPr>
      </w:pPr>
      <w:bookmarkStart w:id="131" w:name="_Toc8864"/>
      <w:r>
        <w:rPr>
          <w:rStyle w:val="28"/>
          <w:rFonts w:hint="eastAsia" w:ascii="仿宋" w:hAnsi="仿宋" w:eastAsia="仿宋"/>
          <w:b w:val="0"/>
          <w:bCs w:val="0"/>
          <w:color w:val="auto"/>
          <w:highlight w:val="none"/>
        </w:rPr>
        <w:t>十二、</w:t>
      </w:r>
      <w:bookmarkEnd w:id="130"/>
      <w:r>
        <w:rPr>
          <w:rStyle w:val="28"/>
          <w:rFonts w:hint="eastAsia" w:ascii="仿宋" w:hAnsi="仿宋" w:eastAsia="仿宋"/>
          <w:b w:val="0"/>
          <w:bCs w:val="0"/>
          <w:color w:val="auto"/>
          <w:highlight w:val="none"/>
          <w:lang w:eastAsia="zh-CN"/>
        </w:rPr>
        <w:t>国有资本经营预算财政拨款支出决算表</w:t>
      </w:r>
      <w:bookmarkEnd w:id="131"/>
      <w:bookmarkStart w:id="132" w:name="_Toc15396631"/>
    </w:p>
    <w:p>
      <w:pPr>
        <w:numPr>
          <w:ilvl w:val="0"/>
          <w:numId w:val="0"/>
        </w:numPr>
        <w:spacing w:line="600" w:lineRule="exact"/>
        <w:jc w:val="both"/>
        <w:outlineLvl w:val="1"/>
        <w:rPr>
          <w:rStyle w:val="28"/>
          <w:rFonts w:hint="eastAsia" w:ascii="仿宋" w:hAnsi="仿宋" w:eastAsia="仿宋"/>
          <w:b w:val="0"/>
          <w:bCs w:val="0"/>
          <w:color w:val="auto"/>
          <w:highlight w:val="none"/>
          <w:lang w:eastAsia="zh-CN"/>
        </w:rPr>
      </w:pPr>
      <w:bookmarkStart w:id="133" w:name="_Toc22566"/>
      <w:r>
        <w:rPr>
          <w:rStyle w:val="28"/>
          <w:rFonts w:hint="eastAsia" w:ascii="仿宋" w:hAnsi="仿宋" w:eastAsia="仿宋"/>
          <w:b w:val="0"/>
          <w:bCs w:val="0"/>
          <w:color w:val="auto"/>
          <w:highlight w:val="none"/>
        </w:rPr>
        <w:t>十三、</w:t>
      </w:r>
      <w:bookmarkEnd w:id="132"/>
      <w:r>
        <w:rPr>
          <w:rStyle w:val="28"/>
          <w:rFonts w:hint="eastAsia" w:ascii="仿宋" w:hAnsi="仿宋" w:eastAsia="仿宋"/>
          <w:b w:val="0"/>
          <w:bCs w:val="0"/>
          <w:color w:val="auto"/>
          <w:highlight w:val="none"/>
          <w:lang w:eastAsia="zh-CN"/>
        </w:rPr>
        <w:t>财政拨款“三公”经费支出决算表</w:t>
      </w:r>
      <w:bookmarkEnd w:id="133"/>
    </w:p>
    <w:p>
      <w:pPr>
        <w:numPr>
          <w:ilvl w:val="0"/>
          <w:numId w:val="0"/>
        </w:numPr>
        <w:spacing w:line="600" w:lineRule="exact"/>
        <w:jc w:val="both"/>
        <w:outlineLvl w:val="9"/>
        <w:rPr>
          <w:rStyle w:val="28"/>
          <w:rFonts w:hint="eastAsia" w:ascii="仿宋" w:hAnsi="仿宋" w:eastAsia="仿宋"/>
          <w:b w:val="0"/>
          <w:bCs w:val="0"/>
          <w:color w:val="auto"/>
          <w:highlight w:val="none"/>
          <w:lang w:eastAsia="zh-CN"/>
        </w:rPr>
      </w:pP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3818A09A"/>
    <w:multiLevelType w:val="singleLevel"/>
    <w:tmpl w:val="3818A09A"/>
    <w:lvl w:ilvl="0" w:tentative="0">
      <w:start w:val="1"/>
      <w:numFmt w:val="chineseCounting"/>
      <w:suff w:val="nothing"/>
      <w:lvlText w:val="%1、"/>
      <w:lvlJc w:val="left"/>
      <w:rPr>
        <w:rFonts w:hint="eastAsia"/>
      </w:rPr>
    </w:lvl>
  </w:abstractNum>
  <w:abstractNum w:abstractNumId="2">
    <w:nsid w:val="6ED61FA3"/>
    <w:multiLevelType w:val="singleLevel"/>
    <w:tmpl w:val="6ED61FA3"/>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NzA2ZjIyZTQwZmFmZGMwZjhhNjI3NTM3OGRmY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DB10E7"/>
    <w:rsid w:val="02CD031F"/>
    <w:rsid w:val="053A62B5"/>
    <w:rsid w:val="0A2032A3"/>
    <w:rsid w:val="0B8A37D8"/>
    <w:rsid w:val="10C055FF"/>
    <w:rsid w:val="118107EC"/>
    <w:rsid w:val="11DD6519"/>
    <w:rsid w:val="16BB723D"/>
    <w:rsid w:val="18015F3F"/>
    <w:rsid w:val="19E00326"/>
    <w:rsid w:val="1ABA37E9"/>
    <w:rsid w:val="1BB277BF"/>
    <w:rsid w:val="1BE8440E"/>
    <w:rsid w:val="1D155CEE"/>
    <w:rsid w:val="207A2D99"/>
    <w:rsid w:val="20F57F95"/>
    <w:rsid w:val="240371BF"/>
    <w:rsid w:val="25711CC6"/>
    <w:rsid w:val="25C741E6"/>
    <w:rsid w:val="27842671"/>
    <w:rsid w:val="29FD04D3"/>
    <w:rsid w:val="2ABE7A3E"/>
    <w:rsid w:val="2CA234A8"/>
    <w:rsid w:val="2EFA178C"/>
    <w:rsid w:val="30B46D73"/>
    <w:rsid w:val="319F7F4E"/>
    <w:rsid w:val="325D02FD"/>
    <w:rsid w:val="3772660A"/>
    <w:rsid w:val="383D272C"/>
    <w:rsid w:val="39AE70AB"/>
    <w:rsid w:val="3C0C0783"/>
    <w:rsid w:val="3F9F3A96"/>
    <w:rsid w:val="47B2035D"/>
    <w:rsid w:val="48BF60AB"/>
    <w:rsid w:val="493C27E9"/>
    <w:rsid w:val="496F39ED"/>
    <w:rsid w:val="49FF41D3"/>
    <w:rsid w:val="4AF00D9F"/>
    <w:rsid w:val="4BE068DB"/>
    <w:rsid w:val="4BF6002B"/>
    <w:rsid w:val="4ECE2238"/>
    <w:rsid w:val="4FF86D5F"/>
    <w:rsid w:val="51DB4B86"/>
    <w:rsid w:val="52DC0984"/>
    <w:rsid w:val="55333C3E"/>
    <w:rsid w:val="57EA1181"/>
    <w:rsid w:val="5F8E3006"/>
    <w:rsid w:val="5FCB4F59"/>
    <w:rsid w:val="608A03B2"/>
    <w:rsid w:val="611649F3"/>
    <w:rsid w:val="64CA39A1"/>
    <w:rsid w:val="64D41B38"/>
    <w:rsid w:val="69630ADE"/>
    <w:rsid w:val="6C4A05C8"/>
    <w:rsid w:val="6D3B1A89"/>
    <w:rsid w:val="6F2D3332"/>
    <w:rsid w:val="71BF4EC2"/>
    <w:rsid w:val="72734D90"/>
    <w:rsid w:val="73532145"/>
    <w:rsid w:val="7412278C"/>
    <w:rsid w:val="75144D07"/>
    <w:rsid w:val="76FD3893"/>
    <w:rsid w:val="77805C5A"/>
    <w:rsid w:val="78DB1939"/>
    <w:rsid w:val="79E7B28D"/>
    <w:rsid w:val="7E192908"/>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4"/>
    <w:qFormat/>
    <w:uiPriority w:val="99"/>
    <w:pPr>
      <w:spacing w:beforeLines="30"/>
    </w:pPr>
    <w:rPr>
      <w:rFonts w:ascii="仿宋_GB2312" w:eastAsia="仿宋_GB2312"/>
      <w:kern w:val="0"/>
      <w:sz w:val="30"/>
    </w:rPr>
  </w:style>
  <w:style w:type="paragraph" w:styleId="6">
    <w:name w:val="Normal Indent"/>
    <w:basedOn w:val="1"/>
    <w:qFormat/>
    <w:uiPriority w:val="0"/>
    <w:pPr>
      <w:ind w:firstLine="420" w:firstLineChars="200"/>
    </w:pPr>
  </w:style>
  <w:style w:type="paragraph" w:styleId="7">
    <w:name w:val="Body Text Indent"/>
    <w:basedOn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outlineLvl w:val="9"/>
    </w:pPr>
    <w:rPr>
      <w:rFonts w:ascii="Times New Roman" w:hAnsi="Times New Roman" w:eastAsia="仿宋_GB2312" w:cs="宋体"/>
      <w:b/>
      <w:snapToGrid/>
      <w:color w:val="000000"/>
      <w:spacing w:val="0"/>
      <w:w w:val="100"/>
      <w:kern w:val="2"/>
      <w:position w:val="0"/>
      <w:sz w:val="32"/>
      <w:szCs w:val="24"/>
      <w:u w:val="none" w:color="auto"/>
      <w:vertAlign w:val="baseline"/>
      <w:lang w:val="en-US" w:eastAsia="zh-CN" w:bidi="ar-SA"/>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Body Text First Indent 2"/>
    <w:basedOn w:val="7"/>
    <w:next w:val="1"/>
    <w:qFormat/>
    <w:uiPriority w:val="0"/>
    <w:pPr>
      <w:ind w:firstLine="420" w:firstLine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3"/>
    <w:qFormat/>
    <w:uiPriority w:val="9"/>
    <w:rPr>
      <w:rFonts w:ascii="Times New Roman" w:hAnsi="Times New Roman"/>
      <w:b/>
      <w:bCs/>
      <w:kern w:val="44"/>
      <w:sz w:val="44"/>
      <w:szCs w:val="44"/>
    </w:rPr>
  </w:style>
  <w:style w:type="character" w:customStyle="1" w:styleId="28">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9"/>
    <w:semiHidden/>
    <w:qFormat/>
    <w:uiPriority w:val="99"/>
    <w:rPr>
      <w:rFonts w:ascii="Times New Roman" w:hAnsi="Times New Roman"/>
      <w:kern w:val="2"/>
      <w:sz w:val="18"/>
      <w:szCs w:val="18"/>
    </w:rPr>
  </w:style>
  <w:style w:type="character" w:customStyle="1" w:styleId="31">
    <w:name w:val="标题 3 Char"/>
    <w:basedOn w:val="16"/>
    <w:link w:val="5"/>
    <w:qFormat/>
    <w:uiPriority w:val="9"/>
    <w:rPr>
      <w:rFonts w:ascii="Times New Roman" w:hAnsi="Times New Roman"/>
      <w:b/>
      <w:bCs/>
      <w:kern w:val="2"/>
      <w:sz w:val="32"/>
      <w:szCs w:val="32"/>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font31"/>
    <w:basedOn w:val="16"/>
    <w:qFormat/>
    <w:uiPriority w:val="0"/>
    <w:rPr>
      <w:rFonts w:hint="eastAsia" w:ascii="宋体" w:hAnsi="宋体" w:eastAsia="宋体" w:cs="宋体"/>
      <w:color w:val="000000"/>
      <w:sz w:val="20"/>
      <w:szCs w:val="20"/>
      <w:u w:val="none"/>
    </w:rPr>
  </w:style>
  <w:style w:type="character" w:customStyle="1" w:styleId="34">
    <w:name w:val="font121"/>
    <w:basedOn w:val="16"/>
    <w:qFormat/>
    <w:uiPriority w:val="0"/>
    <w:rPr>
      <w:rFonts w:hint="eastAsia" w:ascii="宋体" w:hAnsi="宋体" w:eastAsia="宋体" w:cs="宋体"/>
      <w:color w:val="000000"/>
      <w:sz w:val="20"/>
      <w:szCs w:val="20"/>
      <w:u w:val="none"/>
    </w:rPr>
  </w:style>
  <w:style w:type="character" w:customStyle="1" w:styleId="35">
    <w:name w:val="font101"/>
    <w:basedOn w:val="16"/>
    <w:qFormat/>
    <w:uiPriority w:val="0"/>
    <w:rPr>
      <w:rFonts w:hint="eastAsia" w:ascii="宋体" w:hAnsi="宋体" w:eastAsia="宋体" w:cs="宋体"/>
      <w:color w:val="000000"/>
      <w:sz w:val="20"/>
      <w:szCs w:val="20"/>
      <w:u w:val="none"/>
    </w:rPr>
  </w:style>
  <w:style w:type="character" w:customStyle="1" w:styleId="36">
    <w:name w:val="font71"/>
    <w:basedOn w:val="16"/>
    <w:qFormat/>
    <w:uiPriority w:val="0"/>
    <w:rPr>
      <w:rFonts w:hint="eastAsia" w:ascii="宋体" w:hAnsi="宋体" w:eastAsia="宋体" w:cs="宋体"/>
      <w:color w:val="000000"/>
      <w:sz w:val="18"/>
      <w:szCs w:val="18"/>
      <w:u w:val="none"/>
    </w:rPr>
  </w:style>
  <w:style w:type="character" w:customStyle="1" w:styleId="37">
    <w:name w:val="font112"/>
    <w:basedOn w:val="16"/>
    <w:qFormat/>
    <w:uiPriority w:val="0"/>
    <w:rPr>
      <w:rFonts w:hint="eastAsia" w:ascii="宋体" w:hAnsi="宋体" w:eastAsia="宋体" w:cs="宋体"/>
      <w:color w:val="000000"/>
      <w:sz w:val="20"/>
      <w:szCs w:val="20"/>
      <w:u w:val="none"/>
    </w:rPr>
  </w:style>
  <w:style w:type="character" w:customStyle="1" w:styleId="38">
    <w:name w:val="font01"/>
    <w:basedOn w:val="16"/>
    <w:qFormat/>
    <w:uiPriority w:val="0"/>
    <w:rPr>
      <w:rFonts w:hint="eastAsia" w:ascii="宋体" w:hAnsi="宋体" w:eastAsia="宋体" w:cs="宋体"/>
      <w:color w:val="000000"/>
      <w:sz w:val="20"/>
      <w:szCs w:val="20"/>
      <w:u w:val="none"/>
    </w:rPr>
  </w:style>
  <w:style w:type="character" w:customStyle="1" w:styleId="39">
    <w:name w:val="font91"/>
    <w:basedOn w:val="16"/>
    <w:qFormat/>
    <w:uiPriority w:val="0"/>
    <w:rPr>
      <w:rFonts w:ascii="宋体" w:hAnsi="宋体" w:eastAsia="宋体" w:cs="宋体"/>
      <w:color w:val="000000"/>
      <w:sz w:val="20"/>
      <w:szCs w:val="20"/>
      <w:u w:val="none"/>
    </w:rPr>
  </w:style>
  <w:style w:type="character" w:customStyle="1" w:styleId="40">
    <w:name w:val="font21"/>
    <w:basedOn w:val="16"/>
    <w:qFormat/>
    <w:uiPriority w:val="0"/>
    <w:rPr>
      <w:rFonts w:hint="eastAsia" w:ascii="宋体" w:hAnsi="宋体" w:eastAsia="宋体" w:cs="宋体"/>
      <w:color w:val="000000"/>
      <w:sz w:val="20"/>
      <w:szCs w:val="20"/>
      <w:u w:val="none"/>
    </w:rPr>
  </w:style>
  <w:style w:type="character" w:customStyle="1" w:styleId="41">
    <w:name w:val="font41"/>
    <w:basedOn w:val="16"/>
    <w:qFormat/>
    <w:uiPriority w:val="0"/>
    <w:rPr>
      <w:rFonts w:hint="eastAsia" w:ascii="宋体" w:hAnsi="宋体" w:eastAsia="宋体" w:cs="宋体"/>
      <w:color w:val="000000"/>
      <w:sz w:val="20"/>
      <w:szCs w:val="20"/>
      <w:u w:val="none"/>
    </w:rPr>
  </w:style>
  <w:style w:type="character" w:customStyle="1" w:styleId="42">
    <w:name w:val="font131"/>
    <w:basedOn w:val="16"/>
    <w:qFormat/>
    <w:uiPriority w:val="0"/>
    <w:rPr>
      <w:rFonts w:hint="eastAsia" w:ascii="宋体" w:hAnsi="宋体" w:eastAsia="宋体" w:cs="宋体"/>
      <w:color w:val="000000"/>
      <w:sz w:val="20"/>
      <w:szCs w:val="20"/>
      <w:u w:val="none"/>
    </w:rPr>
  </w:style>
  <w:style w:type="character" w:customStyle="1" w:styleId="43">
    <w:name w:val="font81"/>
    <w:basedOn w:val="16"/>
    <w:qFormat/>
    <w:uiPriority w:val="0"/>
    <w:rPr>
      <w:rFonts w:hint="eastAsia" w:ascii="宋体" w:hAnsi="宋体" w:eastAsia="宋体" w:cs="宋体"/>
      <w:color w:val="000000"/>
      <w:sz w:val="18"/>
      <w:szCs w:val="18"/>
      <w:u w:val="none"/>
    </w:rPr>
  </w:style>
  <w:style w:type="character" w:customStyle="1" w:styleId="44">
    <w:name w:val="font111"/>
    <w:basedOn w:val="16"/>
    <w:qFormat/>
    <w:uiPriority w:val="0"/>
    <w:rPr>
      <w:rFonts w:ascii="宋体" w:hAnsi="宋体" w:eastAsia="宋体" w:cs="宋体"/>
      <w:color w:val="000000"/>
      <w:sz w:val="20"/>
      <w:szCs w:val="20"/>
      <w:u w:val="none"/>
    </w:rPr>
  </w:style>
  <w:style w:type="paragraph" w:customStyle="1" w:styleId="45">
    <w:name w:val="WPSOffice手动目录 1"/>
    <w:qFormat/>
    <w:uiPriority w:val="0"/>
    <w:pPr>
      <w:ind w:leftChars="0"/>
    </w:pPr>
    <w:rPr>
      <w:rFonts w:ascii="Times New Roman" w:hAnsi="Times New Roman" w:eastAsia="宋体" w:cs="Times New Roman"/>
      <w:sz w:val="20"/>
      <w:szCs w:val="20"/>
    </w:rPr>
  </w:style>
  <w:style w:type="paragraph" w:customStyle="1" w:styleId="46">
    <w:name w:val="WPSOffice手动目录 2"/>
    <w:qFormat/>
    <w:uiPriority w:val="0"/>
    <w:pPr>
      <w:ind w:leftChars="200"/>
    </w:pPr>
    <w:rPr>
      <w:rFonts w:ascii="Times New Roman" w:hAnsi="Times New Roman" w:eastAsia="宋体" w:cs="Times New Roman"/>
      <w:sz w:val="20"/>
      <w:szCs w:val="20"/>
    </w:rPr>
  </w:style>
  <w:style w:type="paragraph" w:customStyle="1" w:styleId="47">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86152\Desktop\&#26032;&#24314;%20XLS%20&#24037;&#20316;&#34920;.xls"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chartUserShapes" Target="../drawings/drawing2.xml"/><Relationship Id="rId1" Type="http://schemas.openxmlformats.org/officeDocument/2006/relationships/oleObject" Target="file:///C:\Users\86152\Desktop\&#26032;&#24314;%20XLS%20&#24037;&#20316;&#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86152\Desktop\&#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86152\Desktop\&#26032;&#24314;%20XLS%20&#24037;&#20316;&#34920;.xls" TargetMode="External"/></Relationships>
</file>

<file path=word/charts/_rels/chart5.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chartUserShapes" Target="../drawings/drawing1.xml"/><Relationship Id="rId1" Type="http://schemas.openxmlformats.org/officeDocument/2006/relationships/oleObject" Target="file:///C:\Users\86152\Desktop\&#26032;&#24314;%20XLS%20&#24037;&#20316;&#349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86152\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900"/>
              <a:t>单位：万元</a:t>
            </a:r>
            <a:endParaRPr sz="900"/>
          </a:p>
        </c:rich>
      </c:tx>
      <c:layout>
        <c:manualLayout>
          <c:xMode val="edge"/>
          <c:yMode val="edge"/>
          <c:x val="0.745694444444444"/>
          <c:y val="0.902314814814815"/>
        </c:manualLayout>
      </c:layout>
      <c:overlay val="0"/>
      <c:spPr>
        <a:noFill/>
        <a:ln>
          <a:noFill/>
        </a:ln>
        <a:effectLst/>
      </c:spPr>
    </c:title>
    <c:autoTitleDeleted val="0"/>
    <c:plotArea>
      <c:layout/>
      <c:barChart>
        <c:barDir val="col"/>
        <c:grouping val="clustered"/>
        <c:varyColors val="0"/>
        <c:ser>
          <c:idx val="0"/>
          <c:order val="0"/>
          <c:tx>
            <c:strRef>
              <c:f>'[新建 XLS 工作表.xls]Sheet1'!$A$2</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工作表.xls]Sheet1'!$B$1:$C$1</c:f>
              <c:strCache>
                <c:ptCount val="2"/>
                <c:pt idx="0">
                  <c:v>2021年</c:v>
                </c:pt>
                <c:pt idx="1">
                  <c:v>2022年</c:v>
                </c:pt>
              </c:strCache>
            </c:strRef>
          </c:cat>
          <c:val>
            <c:numRef>
              <c:f>'[新建 XLS 工作表.xls]Sheet1'!$B$2:$C$2</c:f>
              <c:numCache>
                <c:formatCode>General</c:formatCode>
                <c:ptCount val="2"/>
                <c:pt idx="0">
                  <c:v>4159.62</c:v>
                </c:pt>
                <c:pt idx="1">
                  <c:v>5002.44</c:v>
                </c:pt>
              </c:numCache>
            </c:numRef>
          </c:val>
        </c:ser>
        <c:ser>
          <c:idx val="1"/>
          <c:order val="1"/>
          <c:tx>
            <c:strRef>
              <c:f>'[新建 XLS 工作表.xls]Sheet1'!$A$3</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工作表.xls]Sheet1'!$B$1:$C$1</c:f>
              <c:strCache>
                <c:ptCount val="2"/>
                <c:pt idx="0">
                  <c:v>2021年</c:v>
                </c:pt>
                <c:pt idx="1">
                  <c:v>2022年</c:v>
                </c:pt>
              </c:strCache>
            </c:strRef>
          </c:cat>
          <c:val>
            <c:numRef>
              <c:f>'[新建 XLS 工作表.xls]Sheet1'!$B$3:$C$3</c:f>
              <c:numCache>
                <c:formatCode>General</c:formatCode>
                <c:ptCount val="2"/>
                <c:pt idx="0">
                  <c:v>3709.61</c:v>
                </c:pt>
                <c:pt idx="1">
                  <c:v>5002.44</c:v>
                </c:pt>
              </c:numCache>
            </c:numRef>
          </c:val>
        </c:ser>
        <c:dLbls>
          <c:showLegendKey val="0"/>
          <c:showVal val="1"/>
          <c:showCatName val="0"/>
          <c:showSerName val="0"/>
          <c:showPercent val="0"/>
          <c:showBubbleSize val="0"/>
        </c:dLbls>
        <c:gapWidth val="219"/>
        <c:overlap val="-27"/>
        <c:axId val="670627877"/>
        <c:axId val="304377469"/>
      </c:barChart>
      <c:catAx>
        <c:axId val="67062787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4377469"/>
        <c:crosses val="autoZero"/>
        <c:auto val="1"/>
        <c:lblAlgn val="ctr"/>
        <c:lblOffset val="100"/>
        <c:noMultiLvlLbl val="0"/>
      </c:catAx>
      <c:valAx>
        <c:axId val="30437746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062787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工作表.xls]Sheet1'!$A$1:$A$2</c:f>
              <c:strCache>
                <c:ptCount val="2"/>
                <c:pt idx="0">
                  <c:v>一般公共预算财政拨款收入</c:v>
                </c:pt>
                <c:pt idx="1">
                  <c:v>政府性基金预算财政拨款收入</c:v>
                </c:pt>
              </c:strCache>
            </c:strRef>
          </c:cat>
          <c:val>
            <c:numRef>
              <c:f>'[新建 XLS 工作表.xls]Sheet1'!$B$1:$B$2</c:f>
              <c:numCache>
                <c:formatCode>General</c:formatCode>
                <c:ptCount val="2"/>
                <c:pt idx="0">
                  <c:v>4897.12</c:v>
                </c:pt>
                <c:pt idx="1">
                  <c:v>105.32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000"/>
              <a:t>单位：万元</a:t>
            </a:r>
            <a:endParaRPr sz="1000"/>
          </a:p>
        </c:rich>
      </c:tx>
      <c:layout>
        <c:manualLayout>
          <c:xMode val="edge"/>
          <c:yMode val="edge"/>
          <c:x val="0.801944444444444"/>
          <c:y val="0.885416666666667"/>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工作表.xls]Sheet1'!$A$1:$A$3</c:f>
              <c:strCache>
                <c:ptCount val="3"/>
                <c:pt idx="0">
                  <c:v>基本支出</c:v>
                </c:pt>
                <c:pt idx="1">
                  <c:v>项目支出</c:v>
                </c:pt>
                <c:pt idx="2">
                  <c:v>政府性基金支出</c:v>
                </c:pt>
              </c:strCache>
            </c:strRef>
          </c:cat>
          <c:val>
            <c:numRef>
              <c:f>'[新建 XLS 工作表.xls]Sheet1'!$B$1:$B$3</c:f>
              <c:numCache>
                <c:formatCode>General</c:formatCode>
                <c:ptCount val="3"/>
                <c:pt idx="0">
                  <c:v>907.5</c:v>
                </c:pt>
                <c:pt idx="1">
                  <c:v>3989.62</c:v>
                </c:pt>
                <c:pt idx="2">
                  <c:v>105.32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000"/>
              <a:t>单位：万元</a:t>
            </a:r>
            <a:endParaRPr lang="en-US" altLang="zh-CN" sz="1000"/>
          </a:p>
        </c:rich>
      </c:tx>
      <c:layout>
        <c:manualLayout>
          <c:xMode val="edge"/>
          <c:yMode val="edge"/>
          <c:x val="0.772777777777778"/>
          <c:y val="0.878472222222222"/>
        </c:manualLayout>
      </c:layout>
      <c:overlay val="0"/>
      <c:spPr>
        <a:noFill/>
        <a:ln>
          <a:noFill/>
        </a:ln>
        <a:effectLst/>
      </c:spPr>
    </c:title>
    <c:autoTitleDeleted val="0"/>
    <c:plotArea>
      <c:layout/>
      <c:barChart>
        <c:barDir val="col"/>
        <c:grouping val="clustered"/>
        <c:varyColors val="0"/>
        <c:ser>
          <c:idx val="0"/>
          <c:order val="0"/>
          <c:tx>
            <c:strRef>
              <c:f>'[新建 XLS 工作表.xls]Sheet1'!$A$2</c:f>
              <c:strCache>
                <c:ptCount val="1"/>
                <c:pt idx="0">
                  <c:v>财政拨款收入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工作表.xls]Sheet1'!$B$1:$C$1</c:f>
              <c:strCache>
                <c:ptCount val="2"/>
                <c:pt idx="0">
                  <c:v>2021年</c:v>
                </c:pt>
                <c:pt idx="1">
                  <c:v>2022年</c:v>
                </c:pt>
              </c:strCache>
            </c:strRef>
          </c:cat>
          <c:val>
            <c:numRef>
              <c:f>'[新建 XLS 工作表.xls]Sheet1'!$B$2:$C$2</c:f>
              <c:numCache>
                <c:formatCode>General</c:formatCode>
                <c:ptCount val="2"/>
                <c:pt idx="0">
                  <c:v>4159.62</c:v>
                </c:pt>
                <c:pt idx="1">
                  <c:v>5002.44</c:v>
                </c:pt>
              </c:numCache>
            </c:numRef>
          </c:val>
        </c:ser>
        <c:ser>
          <c:idx val="1"/>
          <c:order val="1"/>
          <c:tx>
            <c:strRef>
              <c:f>'[新建 XLS 工作表.xls]Sheet1'!$A$3</c:f>
              <c:strCache>
                <c:ptCount val="1"/>
                <c:pt idx="0">
                  <c:v>财政拨款支出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工作表.xls]Sheet1'!$B$1:$C$1</c:f>
              <c:strCache>
                <c:ptCount val="2"/>
                <c:pt idx="0">
                  <c:v>2021年</c:v>
                </c:pt>
                <c:pt idx="1">
                  <c:v>2022年</c:v>
                </c:pt>
              </c:strCache>
            </c:strRef>
          </c:cat>
          <c:val>
            <c:numRef>
              <c:f>'[新建 XLS 工作表.xls]Sheet1'!$B$3:$C$3</c:f>
              <c:numCache>
                <c:formatCode>General</c:formatCode>
                <c:ptCount val="2"/>
                <c:pt idx="0">
                  <c:v>3709.61</c:v>
                </c:pt>
                <c:pt idx="1">
                  <c:v>5002.44</c:v>
                </c:pt>
              </c:numCache>
            </c:numRef>
          </c:val>
        </c:ser>
        <c:dLbls>
          <c:showLegendKey val="0"/>
          <c:showVal val="1"/>
          <c:showCatName val="0"/>
          <c:showSerName val="0"/>
          <c:showPercent val="0"/>
          <c:showBubbleSize val="0"/>
        </c:dLbls>
        <c:gapWidth val="219"/>
        <c:overlap val="-27"/>
        <c:axId val="530379443"/>
        <c:axId val="572996062"/>
      </c:barChart>
      <c:catAx>
        <c:axId val="53037944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2996062"/>
        <c:crosses val="autoZero"/>
        <c:auto val="1"/>
        <c:lblAlgn val="ctr"/>
        <c:lblOffset val="100"/>
        <c:noMultiLvlLbl val="0"/>
      </c:catAx>
      <c:valAx>
        <c:axId val="57299606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037944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'[新建 XLS 工作表.xls]Sheet1'!$A$2</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工作表.xls]Sheet1'!$B$1:$C$1</c:f>
              <c:strCache>
                <c:ptCount val="2"/>
                <c:pt idx="0">
                  <c:v>2021年</c:v>
                </c:pt>
                <c:pt idx="1">
                  <c:v>2022年</c:v>
                </c:pt>
              </c:strCache>
            </c:strRef>
          </c:cat>
          <c:val>
            <c:numRef>
              <c:f>'[新建 XLS 工作表.xls]Sheet1'!$B$2:$C$2</c:f>
              <c:numCache>
                <c:formatCode>General</c:formatCode>
                <c:ptCount val="2"/>
                <c:pt idx="0">
                  <c:v>3400.94</c:v>
                </c:pt>
                <c:pt idx="1">
                  <c:v>4897.12</c:v>
                </c:pt>
              </c:numCache>
            </c:numRef>
          </c:val>
        </c:ser>
        <c:dLbls>
          <c:showLegendKey val="0"/>
          <c:showVal val="1"/>
          <c:showCatName val="0"/>
          <c:showSerName val="0"/>
          <c:showPercent val="0"/>
          <c:showBubbleSize val="0"/>
        </c:dLbls>
        <c:gapWidth val="219"/>
        <c:overlap val="-27"/>
        <c:axId val="28771904"/>
        <c:axId val="22941317"/>
      </c:barChart>
      <c:catAx>
        <c:axId val="287719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941317"/>
        <c:crosses val="autoZero"/>
        <c:auto val="1"/>
        <c:lblAlgn val="ctr"/>
        <c:lblOffset val="100"/>
        <c:noMultiLvlLbl val="0"/>
      </c:catAx>
      <c:valAx>
        <c:axId val="2294131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77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000"/>
              <a:t>单位：万元</a:t>
            </a:r>
            <a:endParaRPr sz="1000"/>
          </a:p>
        </c:rich>
      </c:tx>
      <c:layout>
        <c:manualLayout>
          <c:xMode val="edge"/>
          <c:yMode val="edge"/>
          <c:x val="0.826944444444444"/>
          <c:y val="0.822916666666667"/>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工作表.xls]Sheet1'!$A$1:$A$4</c:f>
              <c:strCache>
                <c:ptCount val="4"/>
                <c:pt idx="0">
                  <c:v>教育支出</c:v>
                </c:pt>
                <c:pt idx="1">
                  <c:v>社会保障和就业支出</c:v>
                </c:pt>
                <c:pt idx="2">
                  <c:v>卫生健康支出</c:v>
                </c:pt>
                <c:pt idx="3">
                  <c:v>住房保障支出</c:v>
                </c:pt>
              </c:strCache>
            </c:strRef>
          </c:cat>
          <c:val>
            <c:numRef>
              <c:f>'[新建 XLS 工作表.xls]Sheet1'!$B$1:$B$4</c:f>
              <c:numCache>
                <c:formatCode>General</c:formatCode>
                <c:ptCount val="4"/>
                <c:pt idx="0">
                  <c:v>679.94</c:v>
                </c:pt>
                <c:pt idx="1">
                  <c:v>99.04</c:v>
                </c:pt>
                <c:pt idx="2">
                  <c:v>4048.84</c:v>
                </c:pt>
                <c:pt idx="3">
                  <c:v>69.3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0.826630828078156</cdr:x>
      <cdr:y>0.922497704315886</cdr:y>
    </cdr:from>
    <cdr:to>
      <cdr:x>1</cdr:x>
      <cdr:y>0.996510560146924</cdr:y>
    </cdr:to>
    <cdr:sp>
      <cdr:nvSpPr>
        <cdr:cNvPr id="2" name="矩形 1"/>
        <cdr:cNvSpPr/>
      </cdr:nvSpPr>
      <cdr:spPr xmlns:a="http://schemas.openxmlformats.org/drawingml/2006/main">
        <a:xfrm xmlns:a="http://schemas.openxmlformats.org/drawingml/2006/main">
          <a:off x="5077460" y="3189605"/>
          <a:ext cx="1064895" cy="255905"/>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r>
            <a:rPr lang="zh-CN" altLang="en-US" sz="1000"/>
            <a:t>单位：万元</a:t>
          </a:r>
          <a:endParaRPr lang="zh-CN" altLang="en-US" sz="1000"/>
        </a:p>
      </cdr:txBody>
    </cdr:sp>
  </cdr:relSizeAnchor>
</c:userShapes>
</file>

<file path=word/drawings/drawing2.xml><?xml version="1.0" encoding="utf-8"?>
<c:userShapes xmlns:c="http://schemas.openxmlformats.org/drawingml/2006/chart">
  <cdr:relSizeAnchor xmlns:cdr="http://schemas.openxmlformats.org/drawingml/2006/chartDrawing">
    <cdr:from>
      <cdr:x>0.736805555555556</cdr:x>
      <cdr:y>0.623842592592593</cdr:y>
    </cdr:from>
    <cdr:to>
      <cdr:x>0.928472222222222</cdr:x>
      <cdr:y>0.80787037037037</cdr:y>
    </cdr:to>
    <cdr:sp>
      <cdr:nvSpPr>
        <cdr:cNvPr id="2" name="矩形 1"/>
        <cdr:cNvSpPr/>
      </cdr:nvSpPr>
      <cdr:spPr xmlns:a="http://schemas.openxmlformats.org/drawingml/2006/main">
        <a:xfrm xmlns:a="http://schemas.openxmlformats.org/drawingml/2006/main">
          <a:off x="3368675" y="1711325"/>
          <a:ext cx="876300" cy="504825"/>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endParaRPr lang="zh-CN" altLang="en-US"/>
        </a:p>
      </cdr:txBody>
    </cdr:sp>
  </cdr:relSizeAnchor>
  <cdr:relSizeAnchor xmlns:cdr="http://schemas.openxmlformats.org/drawingml/2006/chartDrawing">
    <cdr:from>
      <cdr:x>0.745138888888889</cdr:x>
      <cdr:y>0.582175925925926</cdr:y>
    </cdr:from>
    <cdr:to>
      <cdr:x>0.970138888888889</cdr:x>
      <cdr:y>0.804398148148148</cdr:y>
    </cdr:to>
    <cdr:sp>
      <cdr:nvSpPr>
        <cdr:cNvPr id="3" name="矩形 2"/>
        <cdr:cNvSpPr/>
      </cdr:nvSpPr>
      <cdr:spPr xmlns:a="http://schemas.openxmlformats.org/drawingml/2006/main">
        <a:xfrm xmlns:a="http://schemas.openxmlformats.org/drawingml/2006/main">
          <a:off x="3406775" y="1597025"/>
          <a:ext cx="1028700" cy="609600"/>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endParaRPr lang="zh-CN" altLang="en-US"/>
        </a:p>
      </cdr:txBody>
    </cdr:sp>
  </cdr:relSizeAnchor>
  <cdr:relSizeAnchor xmlns:cdr="http://schemas.openxmlformats.org/drawingml/2006/chartDrawing">
    <cdr:from>
      <cdr:x>0.772222222222222</cdr:x>
      <cdr:y>0.762731481481482</cdr:y>
    </cdr:from>
    <cdr:to>
      <cdr:x>0.955555555555556</cdr:x>
      <cdr:y>0.877314814814815</cdr:y>
    </cdr:to>
    <cdr:sp>
      <cdr:nvSpPr>
        <cdr:cNvPr id="4" name="矩形 3"/>
        <cdr:cNvSpPr/>
      </cdr:nvSpPr>
      <cdr:spPr xmlns:a="http://schemas.openxmlformats.org/drawingml/2006/main">
        <a:xfrm xmlns:a="http://schemas.openxmlformats.org/drawingml/2006/main">
          <a:off x="3530600" y="2092325"/>
          <a:ext cx="838200" cy="314325"/>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r>
            <a:rPr lang="zh-CN" altLang="en-US" sz="1000"/>
            <a:t>单位：万元</a:t>
          </a:r>
          <a:endParaRPr lang="zh-CN" altLang="en-US" sz="1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41</Pages>
  <Words>19512</Words>
  <Characters>21520</Characters>
  <Lines>61</Lines>
  <Paragraphs>17</Paragraphs>
  <TotalTime>2</TotalTime>
  <ScaleCrop>false</ScaleCrop>
  <LinksUpToDate>false</LinksUpToDate>
  <CharactersWithSpaces>21719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WPS_1651227375</cp:lastModifiedBy>
  <cp:lastPrinted>2023-07-31T02:35:00Z</cp:lastPrinted>
  <dcterms:modified xsi:type="dcterms:W3CDTF">2023-09-28T08:05:41Z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625B168D1306496EA3C7E9CBA9B2D5E7_12</vt:lpwstr>
  </property>
</Properties>
</file>