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eastAsia="方正小标宋简体"/>
          <w:color w:val="auto"/>
          <w:sz w:val="21"/>
          <w:szCs w:val="21"/>
          <w:highlight w:val="none"/>
        </w:rPr>
      </w:pPr>
      <w:bookmarkStart w:id="0" w:name="_Toc15306267"/>
    </w:p>
    <w:p>
      <w:pPr>
        <w:spacing w:line="600" w:lineRule="exact"/>
        <w:jc w:val="center"/>
        <w:outlineLvl w:val="9"/>
        <w:rPr>
          <w:rFonts w:ascii="方正小标宋简体" w:eastAsia="方正小标宋简体"/>
          <w:color w:val="auto"/>
          <w:sz w:val="72"/>
          <w:szCs w:val="72"/>
          <w:highlight w:val="none"/>
        </w:rPr>
      </w:pPr>
    </w:p>
    <w:p>
      <w:pPr>
        <w:spacing w:line="600" w:lineRule="exact"/>
        <w:jc w:val="center"/>
        <w:outlineLvl w:val="9"/>
        <w:rPr>
          <w:rFonts w:ascii="方正小标宋简体" w:eastAsia="方正小标宋简体"/>
          <w:color w:val="auto"/>
          <w:sz w:val="72"/>
          <w:szCs w:val="72"/>
          <w:highlight w:val="none"/>
        </w:rPr>
      </w:pPr>
    </w:p>
    <w:bookmarkEnd w:id="0"/>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96475"/>
      <w:bookmarkStart w:id="2" w:name="_Toc15396597"/>
      <w:bookmarkStart w:id="3" w:name="_Toc24615"/>
      <w:bookmarkStart w:id="4" w:name="_Toc15377425"/>
      <w:bookmarkStart w:id="5" w:name="_Toc7638"/>
      <w:bookmarkStart w:id="6" w:name="_Toc15377193"/>
      <w:bookmarkStart w:id="7" w:name="_Toc15378441"/>
      <w:bookmarkStart w:id="8" w:name="_Toc510"/>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9" w:name="_Toc15377194"/>
      <w:bookmarkStart w:id="10" w:name="_Toc15377426"/>
      <w:bookmarkStart w:id="11" w:name="_Toc15396598"/>
      <w:bookmarkStart w:id="12" w:name="_Toc15378442"/>
      <w:bookmarkStart w:id="13" w:name="_Toc28891"/>
      <w:bookmarkStart w:id="14" w:name="_Toc30782"/>
      <w:bookmarkStart w:id="15" w:name="_Toc14042"/>
      <w:bookmarkStart w:id="16" w:name="_Toc15396476"/>
      <w:r>
        <w:rPr>
          <w:rFonts w:hint="eastAsia" w:ascii="方正小标宋简体" w:eastAsia="方正小标宋简体" w:cs="方正小标宋简体"/>
          <w:color w:val="auto"/>
          <w:sz w:val="72"/>
          <w:szCs w:val="72"/>
          <w:highlight w:val="none"/>
        </w:rPr>
        <w:t>四川省</w:t>
      </w:r>
      <w:bookmarkStart w:id="17" w:name="_Toc15306268"/>
      <w:r>
        <w:rPr>
          <w:rFonts w:hint="eastAsia" w:ascii="方正小标宋简体" w:eastAsia="方正小标宋简体" w:cs="方正小标宋简体"/>
          <w:color w:val="auto"/>
          <w:sz w:val="72"/>
          <w:szCs w:val="72"/>
          <w:highlight w:val="none"/>
        </w:rPr>
        <w:t>广元市</w:t>
      </w:r>
      <w:r>
        <w:rPr>
          <w:rFonts w:hint="eastAsia" w:ascii="方正小标宋简体" w:eastAsia="方正小标宋简体" w:cs="方正小标宋简体"/>
          <w:color w:val="auto"/>
          <w:sz w:val="72"/>
          <w:szCs w:val="72"/>
          <w:highlight w:val="none"/>
          <w:lang w:eastAsia="zh-CN"/>
        </w:rPr>
        <w:t>昭化区</w:t>
      </w:r>
      <w:r>
        <w:rPr>
          <w:rFonts w:hint="eastAsia" w:ascii="方正小标宋简体" w:eastAsia="方正小标宋简体" w:cs="方正小标宋简体"/>
          <w:b/>
          <w:bCs/>
          <w:color w:val="auto"/>
          <w:sz w:val="72"/>
          <w:szCs w:val="72"/>
          <w:highlight w:val="none"/>
          <w:lang w:eastAsia="zh-CN"/>
        </w:rPr>
        <w:t>青牛乡</w:t>
      </w:r>
      <w:r>
        <w:rPr>
          <w:rFonts w:hint="eastAsia" w:ascii="方正小标宋简体" w:eastAsia="方正小标宋简体" w:cs="方正小标宋简体"/>
          <w:b w:val="0"/>
          <w:bCs w:val="0"/>
          <w:color w:val="auto"/>
          <w:sz w:val="72"/>
          <w:szCs w:val="72"/>
          <w:highlight w:val="none"/>
        </w:rPr>
        <w:t>卫生院</w:t>
      </w:r>
      <w:r>
        <w:rPr>
          <w:rFonts w:hint="eastAsia" w:ascii="方正小标宋简体" w:eastAsia="方正小标宋简体" w:cs="方正小标宋简体"/>
          <w:b w:val="0"/>
          <w:bCs w:val="0"/>
          <w:color w:val="auto"/>
          <w:sz w:val="72"/>
          <w:szCs w:val="72"/>
          <w:highlight w:val="none"/>
          <w:lang w:eastAsia="zh-CN"/>
        </w:rPr>
        <w:t>单位</w:t>
      </w:r>
      <w:r>
        <w:rPr>
          <w:rFonts w:hint="eastAsia" w:ascii="方正小标宋简体" w:eastAsia="方正小标宋简体" w:cs="方正小标宋简体"/>
          <w:b w:val="0"/>
          <w:bCs w:val="0"/>
          <w:color w:val="auto"/>
          <w:sz w:val="72"/>
          <w:szCs w:val="72"/>
          <w:highlight w:val="none"/>
        </w:rPr>
        <w:t>决算</w:t>
      </w:r>
      <w:bookmarkEnd w:id="9"/>
      <w:bookmarkEnd w:id="10"/>
      <w:bookmarkEnd w:id="11"/>
      <w:bookmarkEnd w:id="12"/>
      <w:bookmarkEnd w:id="13"/>
      <w:bookmarkEnd w:id="14"/>
      <w:bookmarkEnd w:id="15"/>
      <w:bookmarkEnd w:id="16"/>
      <w:bookmarkEnd w:id="17"/>
    </w:p>
    <w:p>
      <w:pPr>
        <w:widowControl/>
        <w:jc w:val="center"/>
        <w:rPr>
          <w:rFonts w:hint="eastAsia" w:asci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widowControl/>
        <w:jc w:val="center"/>
        <w:rPr>
          <w:rFonts w:ascii="黑体" w:eastAsia="黑体" w:cs="Arial"/>
          <w:color w:val="auto"/>
          <w:sz w:val="28"/>
          <w:szCs w:val="28"/>
          <w:highlight w:val="none"/>
        </w:rPr>
      </w:pPr>
      <w:r>
        <w:rPr>
          <w:rFonts w:hint="eastAsia" w:ascii="黑体" w:eastAsia="黑体"/>
          <w:color w:val="auto"/>
          <w:sz w:val="48"/>
          <w:szCs w:val="48"/>
          <w:highlight w:val="none"/>
        </w:rPr>
        <w:t>目录</w:t>
      </w:r>
    </w:p>
    <w:p>
      <w:pPr>
        <w:pStyle w:val="8"/>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9 </w:t>
      </w:r>
      <w:r>
        <w:rPr>
          <w:rFonts w:hint="eastAsia"/>
          <w:color w:val="auto"/>
          <w:highlight w:val="none"/>
        </w:rPr>
        <w:t>月</w:t>
      </w:r>
      <w:r>
        <w:rPr>
          <w:rFonts w:hint="eastAsia"/>
          <w:color w:val="auto"/>
          <w:highlight w:val="none"/>
          <w:lang w:val="en-US" w:eastAsia="zh-CN"/>
        </w:rPr>
        <w:t xml:space="preserve">28 </w:t>
      </w:r>
      <w:r>
        <w:rPr>
          <w:rFonts w:hint="eastAsia"/>
          <w:color w:val="auto"/>
          <w:highlight w:val="none"/>
        </w:rPr>
        <w:t>日</w:t>
      </w:r>
    </w:p>
    <w:sdt>
      <w:sdtPr>
        <w:rPr>
          <w:rFonts w:ascii="宋体" w:hAnsi="宋体" w:eastAsia="宋体" w:cs="Times New Roman"/>
          <w:kern w:val="2"/>
          <w:sz w:val="21"/>
          <w:szCs w:val="24"/>
          <w:lang w:val="en-US" w:eastAsia="zh-CN" w:bidi="ar-SA"/>
        </w:rPr>
        <w:id w:val="147467803"/>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8" w:name="_Toc15377196"/>
          <w:bookmarkStart w:id="19" w:name="_Toc15396599"/>
          <w:r>
            <w:fldChar w:fldCharType="begin"/>
          </w:r>
          <w:r>
            <w:instrText xml:space="preserve">TOC \o "1-3" \h \u </w:instrText>
          </w:r>
          <w:r>
            <w:fldChar w:fldCharType="separate"/>
          </w:r>
        </w:p>
        <w:p>
          <w:pPr>
            <w:pStyle w:val="23"/>
            <w:tabs>
              <w:tab w:val="right" w:leader="dot" w:pos="8306"/>
            </w:tabs>
          </w:pPr>
          <w:r>
            <w:fldChar w:fldCharType="begin"/>
          </w:r>
          <w:r>
            <w:instrText xml:space="preserve"> HYPERLINK \l _Toc2550 </w:instrText>
          </w:r>
          <w: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tab/>
          </w:r>
          <w:r>
            <w:fldChar w:fldCharType="begin"/>
          </w:r>
          <w:r>
            <w:instrText xml:space="preserve"> PAGEREF _Toc2550 \h </w:instrText>
          </w:r>
          <w:r>
            <w:fldChar w:fldCharType="separate"/>
          </w:r>
          <w:r>
            <w:t>1</w:t>
          </w:r>
          <w:r>
            <w:fldChar w:fldCharType="end"/>
          </w:r>
          <w:r>
            <w:fldChar w:fldCharType="end"/>
          </w:r>
        </w:p>
        <w:p>
          <w:pPr>
            <w:pStyle w:val="24"/>
            <w:tabs>
              <w:tab w:val="right" w:leader="dot" w:pos="8306"/>
            </w:tabs>
          </w:pPr>
          <w:r>
            <w:fldChar w:fldCharType="begin"/>
          </w:r>
          <w:r>
            <w:instrText xml:space="preserve"> HYPERLINK \l _Toc24088 </w:instrText>
          </w:r>
          <w:r>
            <w:fldChar w:fldCharType="separate"/>
          </w:r>
          <w:r>
            <w:rPr>
              <w:rFonts w:hint="eastAsia" w:ascii="黑体" w:eastAsia="黑体"/>
              <w:bCs w:val="0"/>
              <w:lang w:eastAsia="zh-CN"/>
            </w:rPr>
            <w:t xml:space="preserve">一、 </w:t>
          </w:r>
          <w:r>
            <w:rPr>
              <w:rFonts w:hint="eastAsia" w:ascii="黑体" w:eastAsia="黑体"/>
              <w:bCs w:val="0"/>
              <w:highlight w:val="none"/>
              <w:lang w:eastAsia="zh-CN"/>
            </w:rPr>
            <w:t>主要职责</w:t>
          </w:r>
          <w:r>
            <w:tab/>
          </w:r>
          <w:r>
            <w:fldChar w:fldCharType="begin"/>
          </w:r>
          <w:r>
            <w:instrText xml:space="preserve"> PAGEREF _Toc24088 \h </w:instrText>
          </w:r>
          <w:r>
            <w:fldChar w:fldCharType="separate"/>
          </w:r>
          <w:r>
            <w:t>1</w:t>
          </w:r>
          <w:r>
            <w:fldChar w:fldCharType="end"/>
          </w:r>
          <w:r>
            <w:fldChar w:fldCharType="end"/>
          </w:r>
        </w:p>
        <w:p>
          <w:pPr>
            <w:pStyle w:val="24"/>
            <w:tabs>
              <w:tab w:val="right" w:leader="dot" w:pos="8306"/>
            </w:tabs>
          </w:pPr>
          <w:r>
            <w:fldChar w:fldCharType="begin"/>
          </w:r>
          <w:r>
            <w:instrText xml:space="preserve"> HYPERLINK \l _Toc14317 </w:instrText>
          </w:r>
          <w:r>
            <w:fldChar w:fldCharType="separate"/>
          </w:r>
          <w:r>
            <w:rPr>
              <w:rFonts w:hint="eastAsia" w:ascii="黑体" w:eastAsia="黑体"/>
              <w:lang w:val="en-US" w:eastAsia="zh-CN"/>
            </w:rPr>
            <w:t xml:space="preserve">二、 </w:t>
          </w:r>
          <w:r>
            <w:rPr>
              <w:rFonts w:hint="eastAsia" w:ascii="黑体" w:eastAsia="黑体"/>
              <w:highlight w:val="none"/>
              <w:lang w:val="en-US" w:eastAsia="zh-CN"/>
            </w:rPr>
            <w:t>机构设置</w:t>
          </w:r>
          <w:r>
            <w:tab/>
          </w:r>
          <w:r>
            <w:fldChar w:fldCharType="begin"/>
          </w:r>
          <w:r>
            <w:instrText xml:space="preserve"> PAGEREF _Toc14317 \h </w:instrText>
          </w:r>
          <w:r>
            <w:fldChar w:fldCharType="separate"/>
          </w:r>
          <w:r>
            <w:t>2</w:t>
          </w:r>
          <w:r>
            <w:fldChar w:fldCharType="end"/>
          </w:r>
          <w:r>
            <w:fldChar w:fldCharType="end"/>
          </w:r>
        </w:p>
        <w:p>
          <w:pPr>
            <w:pStyle w:val="23"/>
            <w:tabs>
              <w:tab w:val="right" w:leader="dot" w:pos="8306"/>
            </w:tabs>
          </w:pPr>
          <w:r>
            <w:fldChar w:fldCharType="begin"/>
          </w:r>
          <w:r>
            <w:instrText xml:space="preserve"> HYPERLINK \l _Toc24491 </w:instrText>
          </w:r>
          <w:r>
            <w:fldChar w:fldCharType="separate"/>
          </w:r>
          <w:r>
            <w:rPr>
              <w:rFonts w:hint="eastAsia" w:ascii="黑体" w:hAnsi="Times New Roman" w:eastAsia="黑体" w:cs="Times New Roman"/>
              <w:bCs/>
              <w:highlight w:val="none"/>
            </w:rPr>
            <w:t xml:space="preserve">第二部分 </w:t>
          </w:r>
          <w:r>
            <w:rPr>
              <w:rFonts w:hint="eastAsia" w:ascii="黑体" w:hAnsi="Times New Roman" w:eastAsia="黑体" w:cs="Times New Roman"/>
              <w:bCs/>
              <w:highlight w:val="none"/>
              <w:lang w:val="en-US" w:eastAsia="zh-CN"/>
            </w:rPr>
            <w:t>2022年度</w:t>
          </w:r>
          <w:r>
            <w:rPr>
              <w:rFonts w:hint="eastAsia" w:ascii="黑体" w:hAnsi="Times New Roman" w:eastAsia="黑体" w:cs="Times New Roman"/>
              <w:bCs/>
              <w:highlight w:val="none"/>
              <w:lang w:eastAsia="zh-CN"/>
            </w:rPr>
            <w:t>单位</w:t>
          </w:r>
          <w:r>
            <w:rPr>
              <w:rFonts w:hint="eastAsia" w:ascii="黑体" w:hAnsi="Times New Roman" w:eastAsia="黑体" w:cs="Times New Roman"/>
              <w:bCs/>
              <w:highlight w:val="none"/>
            </w:rPr>
            <w:t>决算情况说明</w:t>
          </w:r>
          <w:r>
            <w:tab/>
          </w:r>
          <w:r>
            <w:fldChar w:fldCharType="begin"/>
          </w:r>
          <w:r>
            <w:instrText xml:space="preserve"> PAGEREF _Toc24491 \h </w:instrText>
          </w:r>
          <w:r>
            <w:fldChar w:fldCharType="separate"/>
          </w:r>
          <w:r>
            <w:t>3</w:t>
          </w:r>
          <w:r>
            <w:fldChar w:fldCharType="end"/>
          </w:r>
          <w:r>
            <w:fldChar w:fldCharType="end"/>
          </w:r>
        </w:p>
        <w:p>
          <w:pPr>
            <w:pStyle w:val="24"/>
            <w:tabs>
              <w:tab w:val="right" w:leader="dot" w:pos="8306"/>
            </w:tabs>
          </w:pPr>
          <w:r>
            <w:fldChar w:fldCharType="begin"/>
          </w:r>
          <w:r>
            <w:instrText xml:space="preserve"> HYPERLINK \l _Toc8563 </w:instrText>
          </w:r>
          <w: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_Toc8563 \h </w:instrText>
          </w:r>
          <w:r>
            <w:fldChar w:fldCharType="separate"/>
          </w:r>
          <w:r>
            <w:t>3</w:t>
          </w:r>
          <w:r>
            <w:fldChar w:fldCharType="end"/>
          </w:r>
          <w:r>
            <w:fldChar w:fldCharType="end"/>
          </w:r>
        </w:p>
        <w:p>
          <w:pPr>
            <w:pStyle w:val="24"/>
            <w:tabs>
              <w:tab w:val="right" w:leader="dot" w:pos="8306"/>
            </w:tabs>
          </w:pPr>
          <w:r>
            <w:fldChar w:fldCharType="begin"/>
          </w:r>
          <w:r>
            <w:instrText xml:space="preserve"> HYPERLINK \l _Toc24676 </w:instrText>
          </w:r>
          <w:r>
            <w:fldChar w:fldCharType="separate"/>
          </w:r>
          <w:r>
            <w:rPr>
              <w:rFonts w:hint="default" w:ascii="黑体" w:eastAsia="黑体"/>
            </w:rPr>
            <w:t xml:space="preserve">二、 </w:t>
          </w:r>
          <w:r>
            <w:rPr>
              <w:rFonts w:hint="eastAsia" w:ascii="黑体" w:eastAsia="黑体"/>
              <w:szCs w:val="32"/>
              <w:highlight w:val="none"/>
            </w:rPr>
            <w:t>收</w:t>
          </w:r>
          <w:r>
            <w:rPr>
              <w:rFonts w:hint="eastAsia" w:ascii="黑体" w:eastAsia="黑体"/>
              <w:highlight w:val="none"/>
            </w:rPr>
            <w:t>入决算情况说明</w:t>
          </w:r>
          <w:r>
            <w:tab/>
          </w:r>
          <w:r>
            <w:fldChar w:fldCharType="begin"/>
          </w:r>
          <w:r>
            <w:instrText xml:space="preserve"> PAGEREF _Toc24676 \h </w:instrText>
          </w:r>
          <w:r>
            <w:fldChar w:fldCharType="separate"/>
          </w:r>
          <w:r>
            <w:t>3</w:t>
          </w:r>
          <w:r>
            <w:fldChar w:fldCharType="end"/>
          </w:r>
          <w:r>
            <w:fldChar w:fldCharType="end"/>
          </w:r>
        </w:p>
        <w:p>
          <w:pPr>
            <w:pStyle w:val="24"/>
            <w:tabs>
              <w:tab w:val="right" w:leader="dot" w:pos="8306"/>
            </w:tabs>
          </w:pPr>
          <w:r>
            <w:fldChar w:fldCharType="begin"/>
          </w:r>
          <w:r>
            <w:instrText xml:space="preserve"> HYPERLINK \l _Toc23684 </w:instrText>
          </w:r>
          <w:r>
            <w:fldChar w:fldCharType="separate"/>
          </w:r>
          <w:r>
            <w:rPr>
              <w:rFonts w:hint="default" w:ascii="黑体" w:eastAsia="黑体"/>
            </w:rPr>
            <w:t xml:space="preserve">三、 </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_Toc23684 \h </w:instrText>
          </w:r>
          <w:r>
            <w:fldChar w:fldCharType="separate"/>
          </w:r>
          <w:r>
            <w:t>4</w:t>
          </w:r>
          <w:r>
            <w:fldChar w:fldCharType="end"/>
          </w:r>
          <w:r>
            <w:fldChar w:fldCharType="end"/>
          </w:r>
        </w:p>
        <w:p>
          <w:pPr>
            <w:pStyle w:val="24"/>
            <w:tabs>
              <w:tab w:val="right" w:leader="dot" w:pos="8306"/>
            </w:tabs>
          </w:pPr>
          <w:r>
            <w:fldChar w:fldCharType="begin"/>
          </w:r>
          <w:r>
            <w:instrText xml:space="preserve"> HYPERLINK \l _Toc2849 </w:instrText>
          </w:r>
          <w: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_Toc2849 \h </w:instrText>
          </w:r>
          <w:r>
            <w:fldChar w:fldCharType="separate"/>
          </w:r>
          <w:r>
            <w:t>4</w:t>
          </w:r>
          <w:r>
            <w:fldChar w:fldCharType="end"/>
          </w:r>
          <w:r>
            <w:fldChar w:fldCharType="end"/>
          </w:r>
        </w:p>
        <w:p>
          <w:pPr>
            <w:pStyle w:val="24"/>
            <w:tabs>
              <w:tab w:val="right" w:leader="dot" w:pos="8306"/>
            </w:tabs>
          </w:pPr>
          <w:r>
            <w:fldChar w:fldCharType="begin"/>
          </w:r>
          <w:r>
            <w:instrText xml:space="preserve"> HYPERLINK \l _Toc2033 </w:instrText>
          </w:r>
          <w: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_Toc2033 \h </w:instrText>
          </w:r>
          <w:r>
            <w:fldChar w:fldCharType="separate"/>
          </w:r>
          <w:r>
            <w:t>5</w:t>
          </w:r>
          <w:r>
            <w:fldChar w:fldCharType="end"/>
          </w:r>
          <w:r>
            <w:fldChar w:fldCharType="end"/>
          </w:r>
        </w:p>
        <w:p>
          <w:pPr>
            <w:pStyle w:val="26"/>
            <w:tabs>
              <w:tab w:val="right" w:leader="dot" w:pos="8306"/>
            </w:tabs>
          </w:pPr>
          <w:r>
            <w:fldChar w:fldCharType="begin"/>
          </w:r>
          <w:r>
            <w:instrText xml:space="preserve"> HYPERLINK \l _Toc31261 </w:instrText>
          </w:r>
          <w:r>
            <w:fldChar w:fldCharType="separate"/>
          </w:r>
          <w:r>
            <w:rPr>
              <w:rFonts w:hint="eastAsia" w:ascii="仿宋" w:eastAsia="仿宋"/>
              <w:szCs w:val="32"/>
              <w:highlight w:val="none"/>
            </w:rPr>
            <w:t>（一）一般公共预算财政拨款支出决算总体情况</w:t>
          </w:r>
          <w:r>
            <w:tab/>
          </w:r>
          <w:r>
            <w:fldChar w:fldCharType="begin"/>
          </w:r>
          <w:r>
            <w:instrText xml:space="preserve"> PAGEREF _Toc31261 \h </w:instrText>
          </w:r>
          <w:r>
            <w:fldChar w:fldCharType="separate"/>
          </w:r>
          <w:r>
            <w:t>5</w:t>
          </w:r>
          <w:r>
            <w:fldChar w:fldCharType="end"/>
          </w:r>
          <w:r>
            <w:fldChar w:fldCharType="end"/>
          </w:r>
        </w:p>
        <w:p>
          <w:pPr>
            <w:pStyle w:val="26"/>
            <w:tabs>
              <w:tab w:val="right" w:leader="dot" w:pos="8306"/>
            </w:tabs>
          </w:pPr>
          <w:r>
            <w:fldChar w:fldCharType="begin"/>
          </w:r>
          <w:r>
            <w:instrText xml:space="preserve"> HYPERLINK \l _Toc6259 </w:instrText>
          </w:r>
          <w:r>
            <w:fldChar w:fldCharType="separate"/>
          </w:r>
          <w:r>
            <w:rPr>
              <w:rFonts w:hint="eastAsia" w:ascii="仿宋" w:eastAsia="仿宋"/>
              <w:szCs w:val="32"/>
              <w:highlight w:val="none"/>
            </w:rPr>
            <w:t>（二）一般公共预算财政拨款支出决算结构情况</w:t>
          </w:r>
          <w:r>
            <w:tab/>
          </w:r>
          <w:r>
            <w:fldChar w:fldCharType="begin"/>
          </w:r>
          <w:r>
            <w:instrText xml:space="preserve"> PAGEREF _Toc6259 \h </w:instrText>
          </w:r>
          <w:r>
            <w:fldChar w:fldCharType="separate"/>
          </w:r>
          <w:r>
            <w:t>5</w:t>
          </w:r>
          <w:r>
            <w:fldChar w:fldCharType="end"/>
          </w:r>
          <w:r>
            <w:fldChar w:fldCharType="end"/>
          </w:r>
        </w:p>
        <w:p>
          <w:pPr>
            <w:pStyle w:val="26"/>
            <w:tabs>
              <w:tab w:val="right" w:leader="dot" w:pos="8306"/>
            </w:tabs>
          </w:pPr>
          <w:r>
            <w:fldChar w:fldCharType="begin"/>
          </w:r>
          <w:r>
            <w:instrText xml:space="preserve"> HYPERLINK \l _Toc4812 </w:instrText>
          </w:r>
          <w:r>
            <w:fldChar w:fldCharType="separate"/>
          </w:r>
          <w:r>
            <w:rPr>
              <w:rFonts w:hint="eastAsia" w:ascii="仿宋" w:eastAsia="仿宋"/>
              <w:szCs w:val="32"/>
              <w:highlight w:val="none"/>
            </w:rPr>
            <w:t>（三）一般公共预算财政拨款支出决算具体情况</w:t>
          </w:r>
          <w:r>
            <w:tab/>
          </w:r>
          <w:r>
            <w:fldChar w:fldCharType="begin"/>
          </w:r>
          <w:r>
            <w:instrText xml:space="preserve"> PAGEREF _Toc4812 \h </w:instrText>
          </w:r>
          <w:r>
            <w:fldChar w:fldCharType="separate"/>
          </w:r>
          <w:r>
            <w:t>6</w:t>
          </w:r>
          <w:r>
            <w:fldChar w:fldCharType="end"/>
          </w:r>
          <w:r>
            <w:fldChar w:fldCharType="end"/>
          </w:r>
        </w:p>
        <w:p>
          <w:pPr>
            <w:pStyle w:val="24"/>
            <w:tabs>
              <w:tab w:val="right" w:leader="dot" w:pos="8306"/>
            </w:tabs>
          </w:pPr>
          <w:r>
            <w:fldChar w:fldCharType="begin"/>
          </w:r>
          <w:r>
            <w:instrText xml:space="preserve"> HYPERLINK \l _Toc4027 </w:instrText>
          </w:r>
          <w: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_Toc4027 \h </w:instrText>
          </w:r>
          <w:r>
            <w:fldChar w:fldCharType="separate"/>
          </w:r>
          <w:r>
            <w:t>7</w:t>
          </w:r>
          <w:r>
            <w:fldChar w:fldCharType="end"/>
          </w:r>
          <w:r>
            <w:fldChar w:fldCharType="end"/>
          </w:r>
        </w:p>
        <w:p>
          <w:pPr>
            <w:pStyle w:val="24"/>
            <w:tabs>
              <w:tab w:val="right" w:leader="dot" w:pos="8306"/>
            </w:tabs>
          </w:pPr>
          <w:r>
            <w:fldChar w:fldCharType="begin"/>
          </w:r>
          <w:r>
            <w:instrText xml:space="preserve"> HYPERLINK \l _Toc18585 </w:instrText>
          </w:r>
          <w: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tab/>
          </w:r>
          <w:r>
            <w:fldChar w:fldCharType="begin"/>
          </w:r>
          <w:r>
            <w:instrText xml:space="preserve"> PAGEREF _Toc18585 \h </w:instrText>
          </w:r>
          <w:r>
            <w:fldChar w:fldCharType="separate"/>
          </w:r>
          <w:r>
            <w:t>7</w:t>
          </w:r>
          <w:r>
            <w:fldChar w:fldCharType="end"/>
          </w:r>
          <w:r>
            <w:fldChar w:fldCharType="end"/>
          </w:r>
        </w:p>
        <w:p>
          <w:pPr>
            <w:pStyle w:val="26"/>
            <w:tabs>
              <w:tab w:val="right" w:leader="dot" w:pos="8306"/>
            </w:tabs>
          </w:pPr>
          <w:r>
            <w:fldChar w:fldCharType="begin"/>
          </w:r>
          <w:r>
            <w:instrText xml:space="preserve"> HYPERLINK \l _Toc23458 </w:instrText>
          </w:r>
          <w:r>
            <w:fldChar w:fldCharType="separate"/>
          </w:r>
          <w:r>
            <w:rPr>
              <w:rFonts w:hint="eastAsia" w:ascii="仿宋" w:eastAsia="仿宋"/>
              <w:szCs w:val="32"/>
              <w:highlight w:val="none"/>
            </w:rPr>
            <w:t>（一）“三公”经费财政拨款支出决算总体情况说明</w:t>
          </w:r>
          <w:r>
            <w:tab/>
          </w:r>
          <w:r>
            <w:fldChar w:fldCharType="begin"/>
          </w:r>
          <w:r>
            <w:instrText xml:space="preserve"> PAGEREF _Toc23458 \h </w:instrText>
          </w:r>
          <w:r>
            <w:fldChar w:fldCharType="separate"/>
          </w:r>
          <w:r>
            <w:t>8</w:t>
          </w:r>
          <w:r>
            <w:fldChar w:fldCharType="end"/>
          </w:r>
          <w:r>
            <w:fldChar w:fldCharType="end"/>
          </w:r>
        </w:p>
        <w:p>
          <w:pPr>
            <w:pStyle w:val="26"/>
            <w:tabs>
              <w:tab w:val="right" w:leader="dot" w:pos="8306"/>
            </w:tabs>
          </w:pPr>
          <w:r>
            <w:fldChar w:fldCharType="begin"/>
          </w:r>
          <w:r>
            <w:instrText xml:space="preserve"> HYPERLINK \l _Toc23758 </w:instrText>
          </w:r>
          <w:r>
            <w:fldChar w:fldCharType="separate"/>
          </w:r>
          <w:r>
            <w:rPr>
              <w:rFonts w:hint="eastAsia" w:ascii="仿宋" w:eastAsia="仿宋"/>
              <w:szCs w:val="32"/>
              <w:highlight w:val="none"/>
            </w:rPr>
            <w:t>（二）“三公”经费财政拨款支出决算具体情况说明</w:t>
          </w:r>
          <w:r>
            <w:tab/>
          </w:r>
          <w:r>
            <w:fldChar w:fldCharType="begin"/>
          </w:r>
          <w:r>
            <w:instrText xml:space="preserve"> PAGEREF _Toc23758 \h </w:instrText>
          </w:r>
          <w:r>
            <w:fldChar w:fldCharType="separate"/>
          </w:r>
          <w:r>
            <w:t>8</w:t>
          </w:r>
          <w:r>
            <w:fldChar w:fldCharType="end"/>
          </w:r>
          <w:r>
            <w:fldChar w:fldCharType="end"/>
          </w:r>
        </w:p>
        <w:p>
          <w:pPr>
            <w:pStyle w:val="24"/>
            <w:tabs>
              <w:tab w:val="right" w:leader="dot" w:pos="8306"/>
            </w:tabs>
          </w:pPr>
          <w:r>
            <w:fldChar w:fldCharType="begin"/>
          </w:r>
          <w:r>
            <w:instrText xml:space="preserve"> HYPERLINK \l _Toc4324 </w:instrText>
          </w:r>
          <w: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_Toc4324 \h </w:instrText>
          </w:r>
          <w:r>
            <w:fldChar w:fldCharType="separate"/>
          </w:r>
          <w:r>
            <w:t>8</w:t>
          </w:r>
          <w:r>
            <w:fldChar w:fldCharType="end"/>
          </w:r>
          <w:r>
            <w:fldChar w:fldCharType="end"/>
          </w:r>
        </w:p>
        <w:p>
          <w:pPr>
            <w:pStyle w:val="24"/>
            <w:tabs>
              <w:tab w:val="right" w:leader="dot" w:pos="8306"/>
            </w:tabs>
          </w:pPr>
          <w:r>
            <w:fldChar w:fldCharType="begin"/>
          </w:r>
          <w:r>
            <w:instrText xml:space="preserve"> HYPERLINK \l _Toc23168 </w:instrText>
          </w:r>
          <w:r>
            <w:fldChar w:fldCharType="separate"/>
          </w:r>
          <w:r>
            <w:rPr>
              <w:rFonts w:hint="eastAsia" w:ascii="黑体" w:eastAsia="黑体"/>
            </w:rPr>
            <w:t xml:space="preserve">九、 </w:t>
          </w:r>
          <w:r>
            <w:rPr>
              <w:rFonts w:hint="eastAsia" w:ascii="黑体" w:eastAsia="黑体"/>
              <w:highlight w:val="none"/>
            </w:rPr>
            <w:t>国有资本经营预算支出决算情况说明</w:t>
          </w:r>
          <w:bookmarkStart w:id="141" w:name="_GoBack"/>
          <w:bookmarkEnd w:id="141"/>
          <w:r>
            <w:tab/>
          </w:r>
          <w:r>
            <w:fldChar w:fldCharType="begin"/>
          </w:r>
          <w:r>
            <w:instrText xml:space="preserve"> PAGEREF _Toc23168 \h </w:instrText>
          </w:r>
          <w:r>
            <w:fldChar w:fldCharType="separate"/>
          </w:r>
          <w:r>
            <w:t>8</w:t>
          </w:r>
          <w:r>
            <w:fldChar w:fldCharType="end"/>
          </w:r>
          <w:r>
            <w:fldChar w:fldCharType="end"/>
          </w:r>
        </w:p>
        <w:p>
          <w:pPr>
            <w:pStyle w:val="24"/>
            <w:tabs>
              <w:tab w:val="right" w:leader="dot" w:pos="8306"/>
            </w:tabs>
          </w:pPr>
          <w:r>
            <w:fldChar w:fldCharType="begin"/>
          </w:r>
          <w:r>
            <w:instrText xml:space="preserve"> HYPERLINK \l _Toc26116 </w:instrText>
          </w:r>
          <w:r>
            <w:fldChar w:fldCharType="separate"/>
          </w:r>
          <w:r>
            <w:rPr>
              <w:rFonts w:hint="eastAsia" w:ascii="黑体" w:eastAsia="黑体"/>
            </w:rPr>
            <w:t xml:space="preserve">十、 </w:t>
          </w:r>
          <w:r>
            <w:rPr>
              <w:rFonts w:hint="eastAsia" w:ascii="黑体" w:eastAsia="黑体"/>
              <w:highlight w:val="none"/>
            </w:rPr>
            <w:t>其他重要事项的情况说明</w:t>
          </w:r>
          <w:r>
            <w:tab/>
          </w:r>
          <w:r>
            <w:fldChar w:fldCharType="begin"/>
          </w:r>
          <w:r>
            <w:instrText xml:space="preserve"> PAGEREF _Toc26116 \h </w:instrText>
          </w:r>
          <w:r>
            <w:fldChar w:fldCharType="separate"/>
          </w:r>
          <w:r>
            <w:t>8</w:t>
          </w:r>
          <w:r>
            <w:fldChar w:fldCharType="end"/>
          </w:r>
          <w:r>
            <w:fldChar w:fldCharType="end"/>
          </w:r>
        </w:p>
        <w:p>
          <w:pPr>
            <w:pStyle w:val="26"/>
            <w:tabs>
              <w:tab w:val="right" w:leader="dot" w:pos="8306"/>
            </w:tabs>
          </w:pPr>
          <w:r>
            <w:fldChar w:fldCharType="begin"/>
          </w:r>
          <w:r>
            <w:instrText xml:space="preserve"> HYPERLINK \l _Toc31908 </w:instrText>
          </w:r>
          <w:r>
            <w:fldChar w:fldCharType="separate"/>
          </w:r>
          <w:r>
            <w:rPr>
              <w:rFonts w:hint="eastAsia" w:ascii="仿宋" w:eastAsia="仿宋"/>
              <w:szCs w:val="32"/>
              <w:highlight w:val="none"/>
            </w:rPr>
            <w:t>（一）机关运行经费支出情况</w:t>
          </w:r>
          <w:r>
            <w:tab/>
          </w:r>
          <w:r>
            <w:fldChar w:fldCharType="begin"/>
          </w:r>
          <w:r>
            <w:instrText xml:space="preserve"> PAGEREF _Toc31908 \h </w:instrText>
          </w:r>
          <w:r>
            <w:fldChar w:fldCharType="separate"/>
          </w:r>
          <w:r>
            <w:t>8</w:t>
          </w:r>
          <w:r>
            <w:fldChar w:fldCharType="end"/>
          </w:r>
          <w:r>
            <w:fldChar w:fldCharType="end"/>
          </w:r>
        </w:p>
        <w:p>
          <w:pPr>
            <w:pStyle w:val="26"/>
            <w:tabs>
              <w:tab w:val="right" w:leader="dot" w:pos="8306"/>
            </w:tabs>
          </w:pPr>
          <w:r>
            <w:fldChar w:fldCharType="begin"/>
          </w:r>
          <w:r>
            <w:instrText xml:space="preserve"> HYPERLINK \l _Toc30384 </w:instrText>
          </w:r>
          <w:r>
            <w:fldChar w:fldCharType="separate"/>
          </w:r>
          <w:r>
            <w:rPr>
              <w:rFonts w:hint="eastAsia" w:ascii="仿宋" w:eastAsia="仿宋"/>
              <w:szCs w:val="32"/>
              <w:highlight w:val="none"/>
            </w:rPr>
            <w:t>（二）政府采购支出情况</w:t>
          </w:r>
          <w:r>
            <w:tab/>
          </w:r>
          <w:r>
            <w:fldChar w:fldCharType="begin"/>
          </w:r>
          <w:r>
            <w:instrText xml:space="preserve"> PAGEREF _Toc30384 \h </w:instrText>
          </w:r>
          <w:r>
            <w:fldChar w:fldCharType="separate"/>
          </w:r>
          <w:r>
            <w:t>8</w:t>
          </w:r>
          <w:r>
            <w:fldChar w:fldCharType="end"/>
          </w:r>
          <w:r>
            <w:fldChar w:fldCharType="end"/>
          </w:r>
        </w:p>
        <w:p>
          <w:pPr>
            <w:pStyle w:val="26"/>
            <w:tabs>
              <w:tab w:val="right" w:leader="dot" w:pos="8306"/>
            </w:tabs>
          </w:pPr>
          <w:r>
            <w:fldChar w:fldCharType="begin"/>
          </w:r>
          <w:r>
            <w:instrText xml:space="preserve"> HYPERLINK \l _Toc21108 </w:instrText>
          </w:r>
          <w:r>
            <w:fldChar w:fldCharType="separate"/>
          </w:r>
          <w:r>
            <w:rPr>
              <w:rFonts w:hint="eastAsia" w:ascii="仿宋" w:eastAsia="仿宋"/>
              <w:szCs w:val="32"/>
            </w:rPr>
            <w:t xml:space="preserve">（三） </w:t>
          </w:r>
          <w:r>
            <w:rPr>
              <w:rFonts w:hint="eastAsia" w:ascii="仿宋" w:eastAsia="仿宋"/>
              <w:szCs w:val="32"/>
              <w:highlight w:val="none"/>
            </w:rPr>
            <w:t>国有资产占有使用情况</w:t>
          </w:r>
          <w:r>
            <w:tab/>
          </w:r>
          <w:r>
            <w:fldChar w:fldCharType="begin"/>
          </w:r>
          <w:r>
            <w:instrText xml:space="preserve"> PAGEREF _Toc21108 \h </w:instrText>
          </w:r>
          <w:r>
            <w:fldChar w:fldCharType="separate"/>
          </w:r>
          <w:r>
            <w:t>8</w:t>
          </w:r>
          <w:r>
            <w:fldChar w:fldCharType="end"/>
          </w:r>
          <w:r>
            <w:fldChar w:fldCharType="end"/>
          </w:r>
        </w:p>
        <w:p>
          <w:pPr>
            <w:pStyle w:val="26"/>
            <w:tabs>
              <w:tab w:val="right" w:leader="dot" w:pos="8306"/>
            </w:tabs>
          </w:pPr>
          <w:r>
            <w:fldChar w:fldCharType="begin"/>
          </w:r>
          <w:r>
            <w:instrText xml:space="preserve"> HYPERLINK \l _Toc5726 </w:instrText>
          </w:r>
          <w:r>
            <w:fldChar w:fldCharType="separate"/>
          </w:r>
          <w:r>
            <w:rPr>
              <w:rFonts w:hint="eastAsia" w:ascii="仿宋" w:eastAsia="仿宋"/>
              <w:szCs w:val="32"/>
              <w:highlight w:val="none"/>
            </w:rPr>
            <w:t>（四）预算绩效管理情况</w:t>
          </w:r>
          <w:r>
            <w:tab/>
          </w:r>
          <w:r>
            <w:fldChar w:fldCharType="begin"/>
          </w:r>
          <w:r>
            <w:instrText xml:space="preserve"> PAGEREF _Toc5726 \h </w:instrText>
          </w:r>
          <w:r>
            <w:fldChar w:fldCharType="separate"/>
          </w:r>
          <w:r>
            <w:t>8</w:t>
          </w:r>
          <w:r>
            <w:fldChar w:fldCharType="end"/>
          </w:r>
          <w:r>
            <w:fldChar w:fldCharType="end"/>
          </w:r>
        </w:p>
        <w:p>
          <w:pPr>
            <w:pStyle w:val="23"/>
            <w:tabs>
              <w:tab w:val="right" w:leader="dot" w:pos="8306"/>
            </w:tabs>
          </w:pPr>
          <w:r>
            <w:fldChar w:fldCharType="begin"/>
          </w:r>
          <w:r>
            <w:instrText xml:space="preserve"> HYPERLINK \l _Toc26158 </w:instrText>
          </w:r>
          <w: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_Toc26158 \h </w:instrText>
          </w:r>
          <w:r>
            <w:fldChar w:fldCharType="separate"/>
          </w:r>
          <w:r>
            <w:t>10</w:t>
          </w:r>
          <w:r>
            <w:fldChar w:fldCharType="end"/>
          </w:r>
          <w:r>
            <w:fldChar w:fldCharType="end"/>
          </w:r>
        </w:p>
        <w:p>
          <w:pPr>
            <w:pStyle w:val="23"/>
            <w:tabs>
              <w:tab w:val="right" w:leader="dot" w:pos="8306"/>
            </w:tabs>
          </w:pPr>
          <w:r>
            <w:fldChar w:fldCharType="begin"/>
          </w:r>
          <w:r>
            <w:instrText xml:space="preserve"> HYPERLINK \l _Toc7177 </w:instrText>
          </w:r>
          <w:r>
            <w:fldChar w:fldCharType="separate"/>
          </w:r>
          <w:r>
            <w:rPr>
              <w:rFonts w:hint="eastAsia" w:ascii="黑体" w:eastAsia="黑体"/>
              <w:szCs w:val="44"/>
              <w:highlight w:val="none"/>
            </w:rPr>
            <w:t>第</w:t>
          </w:r>
          <w:r>
            <w:rPr>
              <w:rFonts w:hint="eastAsia" w:ascii="黑体" w:eastAsia="黑体"/>
              <w:highlight w:val="none"/>
            </w:rPr>
            <w:t>四部分 附件</w:t>
          </w:r>
          <w:r>
            <w:tab/>
          </w:r>
          <w:r>
            <w:fldChar w:fldCharType="begin"/>
          </w:r>
          <w:r>
            <w:instrText xml:space="preserve"> PAGEREF _Toc7177 \h </w:instrText>
          </w:r>
          <w:r>
            <w:fldChar w:fldCharType="separate"/>
          </w:r>
          <w:r>
            <w:t>13</w:t>
          </w:r>
          <w:r>
            <w:fldChar w:fldCharType="end"/>
          </w:r>
          <w:r>
            <w:fldChar w:fldCharType="end"/>
          </w:r>
        </w:p>
        <w:p>
          <w:pPr>
            <w:pStyle w:val="23"/>
            <w:tabs>
              <w:tab w:val="right" w:leader="dot" w:pos="8306"/>
            </w:tabs>
          </w:pPr>
          <w:r>
            <w:fldChar w:fldCharType="begin"/>
          </w:r>
          <w:r>
            <w:instrText xml:space="preserve"> HYPERLINK \l _Toc29230 </w:instrText>
          </w:r>
          <w: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_Toc29230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_Toc3530 </w:instrText>
          </w:r>
          <w:r>
            <w:fldChar w:fldCharType="separate"/>
          </w:r>
          <w:r>
            <w:rPr>
              <w:rFonts w:hint="eastAsia" w:ascii="仿宋" w:eastAsia="仿宋" w:cs="Times New Roman"/>
              <w:bCs w:val="0"/>
              <w:highlight w:val="none"/>
            </w:rPr>
            <w:t>一、收入支出决算总表</w:t>
          </w:r>
          <w:r>
            <w:tab/>
          </w:r>
          <w:r>
            <w:fldChar w:fldCharType="begin"/>
          </w:r>
          <w:r>
            <w:instrText xml:space="preserve"> PAGEREF _Toc3530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_Toc16240 </w:instrText>
          </w:r>
          <w:r>
            <w:fldChar w:fldCharType="separate"/>
          </w:r>
          <w:r>
            <w:rPr>
              <w:rFonts w:hint="eastAsia" w:ascii="仿宋" w:eastAsia="仿宋" w:cs="Times New Roman"/>
              <w:bCs w:val="0"/>
              <w:highlight w:val="none"/>
            </w:rPr>
            <w:t>二、收入决算表</w:t>
          </w:r>
          <w:r>
            <w:tab/>
          </w:r>
          <w:r>
            <w:fldChar w:fldCharType="begin"/>
          </w:r>
          <w:r>
            <w:instrText xml:space="preserve"> PAGEREF _Toc16240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_Toc11327 </w:instrText>
          </w:r>
          <w:r>
            <w:fldChar w:fldCharType="separate"/>
          </w:r>
          <w:r>
            <w:rPr>
              <w:rFonts w:hint="eastAsia" w:ascii="仿宋" w:eastAsia="仿宋" w:cs="Times New Roman"/>
              <w:bCs w:val="0"/>
              <w:highlight w:val="none"/>
            </w:rPr>
            <w:t>三、支出决算表</w:t>
          </w:r>
          <w:r>
            <w:tab/>
          </w:r>
          <w:r>
            <w:fldChar w:fldCharType="begin"/>
          </w:r>
          <w:r>
            <w:instrText xml:space="preserve"> PAGEREF _Toc11327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_Toc29437 </w:instrText>
          </w:r>
          <w:r>
            <w:fldChar w:fldCharType="separate"/>
          </w:r>
          <w:r>
            <w:rPr>
              <w:rFonts w:hint="eastAsia" w:ascii="仿宋" w:eastAsia="仿宋" w:cs="Times New Roman"/>
              <w:bCs w:val="0"/>
              <w:highlight w:val="none"/>
            </w:rPr>
            <w:t>四、财政拨款收入支出决算总表</w:t>
          </w:r>
          <w:r>
            <w:tab/>
          </w:r>
          <w:r>
            <w:fldChar w:fldCharType="begin"/>
          </w:r>
          <w:r>
            <w:instrText xml:space="preserve"> PAGEREF _Toc29437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_Toc32754 </w:instrText>
          </w:r>
          <w:r>
            <w:fldChar w:fldCharType="separate"/>
          </w:r>
          <w:r>
            <w:rPr>
              <w:rFonts w:hint="eastAsia" w:ascii="仿宋" w:eastAsia="仿宋" w:cs="Times New Roman"/>
              <w:bCs w:val="0"/>
              <w:highlight w:val="none"/>
            </w:rPr>
            <w:t>五、财政拨款支出决算明细表</w:t>
          </w:r>
          <w:r>
            <w:tab/>
          </w:r>
          <w:r>
            <w:fldChar w:fldCharType="begin"/>
          </w:r>
          <w:r>
            <w:instrText xml:space="preserve"> PAGEREF _Toc32754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_Toc23410 </w:instrText>
          </w:r>
          <w:r>
            <w:fldChar w:fldCharType="separate"/>
          </w:r>
          <w:r>
            <w:rPr>
              <w:rFonts w:hint="eastAsia" w:ascii="仿宋" w:eastAsia="仿宋" w:cs="Times New Roman"/>
              <w:bCs w:val="0"/>
              <w:highlight w:val="none"/>
            </w:rPr>
            <w:t>六、一般公共预算财政拨款支出决算表</w:t>
          </w:r>
          <w:r>
            <w:tab/>
          </w:r>
          <w:r>
            <w:fldChar w:fldCharType="begin"/>
          </w:r>
          <w:r>
            <w:instrText xml:space="preserve"> PAGEREF _Toc23410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_Toc4104 </w:instrText>
          </w:r>
          <w:r>
            <w:fldChar w:fldCharType="separate"/>
          </w:r>
          <w:r>
            <w:rPr>
              <w:rFonts w:hint="eastAsia" w:ascii="仿宋" w:eastAsia="仿宋" w:cs="Times New Roman"/>
              <w:bCs w:val="0"/>
              <w:highlight w:val="none"/>
            </w:rPr>
            <w:t>七、一般公</w:t>
          </w:r>
          <w:r>
            <w:rPr>
              <w:rFonts w:hint="eastAsia" w:ascii="仿宋" w:eastAsia="仿宋"/>
              <w:bCs w:val="0"/>
              <w:highlight w:val="none"/>
            </w:rPr>
            <w:t>共预算财政拨款支出决算明细表</w:t>
          </w:r>
          <w:r>
            <w:tab/>
          </w:r>
          <w:r>
            <w:fldChar w:fldCharType="begin"/>
          </w:r>
          <w:r>
            <w:instrText xml:space="preserve"> PAGEREF _Toc4104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_Toc29299 </w:instrText>
          </w:r>
          <w:r>
            <w:fldChar w:fldCharType="separate"/>
          </w:r>
          <w:r>
            <w:rPr>
              <w:rFonts w:hint="eastAsia" w:ascii="仿宋" w:eastAsia="仿宋"/>
              <w:bCs w:val="0"/>
              <w:highlight w:val="none"/>
            </w:rPr>
            <w:t>八、</w:t>
          </w:r>
          <w:r>
            <w:rPr>
              <w:rFonts w:hint="eastAsia" w:ascii="仿宋" w:eastAsia="仿宋"/>
              <w:highlight w:val="none"/>
            </w:rPr>
            <w:t>一</w:t>
          </w:r>
          <w:r>
            <w:rPr>
              <w:rFonts w:hint="eastAsia" w:ascii="仿宋" w:eastAsia="仿宋"/>
              <w:bCs w:val="0"/>
              <w:highlight w:val="none"/>
            </w:rPr>
            <w:t>般公共预算财政拨款基本支出决算表</w:t>
          </w:r>
          <w:r>
            <w:tab/>
          </w:r>
          <w:r>
            <w:fldChar w:fldCharType="begin"/>
          </w:r>
          <w:r>
            <w:instrText xml:space="preserve"> PAGEREF _Toc29299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_Toc2655 </w:instrText>
          </w:r>
          <w:r>
            <w:fldChar w:fldCharType="separate"/>
          </w:r>
          <w:r>
            <w:rPr>
              <w:rFonts w:hint="eastAsia" w:ascii="仿宋" w:eastAsia="仿宋"/>
              <w:bCs w:val="0"/>
              <w:highlight w:val="none"/>
            </w:rPr>
            <w:t>九、</w:t>
          </w:r>
          <w:r>
            <w:rPr>
              <w:rFonts w:hint="eastAsia" w:ascii="仿宋" w:eastAsia="仿宋"/>
              <w:highlight w:val="none"/>
            </w:rPr>
            <w:t>一</w:t>
          </w:r>
          <w:r>
            <w:rPr>
              <w:rFonts w:hint="eastAsia" w:ascii="仿宋" w:eastAsia="仿宋"/>
              <w:bCs w:val="0"/>
              <w:highlight w:val="none"/>
            </w:rPr>
            <w:t>般公共预算财政拨款项目支出决算表</w:t>
          </w:r>
          <w:r>
            <w:tab/>
          </w:r>
          <w:r>
            <w:fldChar w:fldCharType="begin"/>
          </w:r>
          <w:r>
            <w:instrText xml:space="preserve"> PAGEREF _Toc2655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_Toc1544 </w:instrText>
          </w:r>
          <w:r>
            <w:fldChar w:fldCharType="separate"/>
          </w:r>
          <w:r>
            <w:rPr>
              <w:rFonts w:hint="eastAsia" w:ascii="仿宋" w:eastAsia="仿宋"/>
              <w:bCs w:val="0"/>
              <w:highlight w:val="none"/>
            </w:rPr>
            <w:t>十、</w:t>
          </w:r>
          <w:r>
            <w:rPr>
              <w:rFonts w:hint="eastAsia" w:ascii="仿宋" w:eastAsia="仿宋"/>
              <w:highlight w:val="none"/>
            </w:rPr>
            <w:t>政</w:t>
          </w:r>
          <w:r>
            <w:rPr>
              <w:rFonts w:hint="eastAsia" w:ascii="仿宋" w:eastAsia="仿宋"/>
              <w:bCs w:val="0"/>
              <w:highlight w:val="none"/>
            </w:rPr>
            <w:t>府性基金预算财政拨款收入支出决算表</w:t>
          </w:r>
          <w:r>
            <w:tab/>
          </w:r>
          <w:r>
            <w:fldChar w:fldCharType="begin"/>
          </w:r>
          <w:r>
            <w:instrText xml:space="preserve"> PAGEREF _Toc1544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_Toc1523 </w:instrText>
          </w:r>
          <w:r>
            <w:fldChar w:fldCharType="separate"/>
          </w:r>
          <w:r>
            <w:rPr>
              <w:rFonts w:hint="eastAsia" w:ascii="仿宋" w:eastAsia="仿宋"/>
              <w:bCs w:val="0"/>
              <w:highlight w:val="none"/>
            </w:rPr>
            <w:t>十一、</w:t>
          </w:r>
          <w:r>
            <w:rPr>
              <w:rFonts w:hint="eastAsia" w:ascii="仿宋" w:eastAsia="仿宋"/>
              <w:highlight w:val="none"/>
            </w:rPr>
            <w:t>国</w:t>
          </w:r>
          <w:r>
            <w:rPr>
              <w:rFonts w:hint="eastAsia" w:ascii="仿宋" w:eastAsia="仿宋"/>
              <w:bCs w:val="0"/>
              <w:highlight w:val="none"/>
            </w:rPr>
            <w:t>有资本经营预算</w:t>
          </w:r>
          <w:r>
            <w:rPr>
              <w:rFonts w:hint="eastAsia" w:ascii="仿宋" w:eastAsia="仿宋"/>
              <w:bCs w:val="0"/>
              <w:highlight w:val="none"/>
              <w:lang w:eastAsia="zh-CN"/>
            </w:rPr>
            <w:t>财政拨款收入</w:t>
          </w:r>
          <w:r>
            <w:rPr>
              <w:rFonts w:hint="eastAsia" w:ascii="仿宋" w:eastAsia="仿宋"/>
              <w:bCs w:val="0"/>
              <w:highlight w:val="none"/>
            </w:rPr>
            <w:t>支出决算表</w:t>
          </w:r>
          <w:r>
            <w:tab/>
          </w:r>
          <w:r>
            <w:fldChar w:fldCharType="begin"/>
          </w:r>
          <w:r>
            <w:instrText xml:space="preserve"> PAGEREF _Toc1523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_Toc13804 </w:instrText>
          </w:r>
          <w:r>
            <w:fldChar w:fldCharType="separate"/>
          </w:r>
          <w:r>
            <w:rPr>
              <w:rFonts w:hint="eastAsia" w:ascii="仿宋" w:eastAsia="仿宋"/>
              <w:bCs w:val="0"/>
              <w:highlight w:val="none"/>
            </w:rPr>
            <w:t>十二、</w:t>
          </w:r>
          <w:r>
            <w:rPr>
              <w:rFonts w:hint="eastAsia" w:ascii="仿宋" w:eastAsia="仿宋"/>
              <w:bCs w:val="0"/>
              <w:highlight w:val="none"/>
              <w:lang w:eastAsia="zh-CN"/>
            </w:rPr>
            <w:t>国有资本经营预算财政拨款支出决算表</w:t>
          </w:r>
          <w:r>
            <w:tab/>
          </w:r>
          <w:r>
            <w:fldChar w:fldCharType="begin"/>
          </w:r>
          <w:r>
            <w:instrText xml:space="preserve"> PAGEREF _Toc13804 \h </w:instrText>
          </w:r>
          <w:r>
            <w:fldChar w:fldCharType="separate"/>
          </w:r>
          <w:r>
            <w:t>21</w:t>
          </w:r>
          <w:r>
            <w:fldChar w:fldCharType="end"/>
          </w:r>
          <w:r>
            <w:fldChar w:fldCharType="end"/>
          </w:r>
        </w:p>
        <w:p>
          <w:pPr>
            <w:pStyle w:val="24"/>
            <w:tabs>
              <w:tab w:val="right" w:leader="dot" w:pos="8306"/>
            </w:tabs>
          </w:pPr>
          <w:r>
            <w:fldChar w:fldCharType="begin"/>
          </w:r>
          <w:r>
            <w:instrText xml:space="preserve"> HYPERLINK \l _Toc15747 </w:instrText>
          </w:r>
          <w:r>
            <w:fldChar w:fldCharType="separate"/>
          </w:r>
          <w:r>
            <w:rPr>
              <w:rFonts w:hint="eastAsia" w:ascii="仿宋" w:eastAsia="仿宋"/>
              <w:bCs w:val="0"/>
              <w:highlight w:val="none"/>
            </w:rPr>
            <w:t>十三、</w:t>
          </w:r>
          <w:r>
            <w:rPr>
              <w:rFonts w:hint="eastAsia" w:ascii="仿宋" w:eastAsia="仿宋"/>
              <w:bCs w:val="0"/>
              <w:highlight w:val="none"/>
              <w:lang w:eastAsia="zh-CN"/>
            </w:rPr>
            <w:t>财政拨款“三公”经费支出决算表</w:t>
          </w:r>
          <w:r>
            <w:tab/>
          </w:r>
          <w:r>
            <w:fldChar w:fldCharType="begin"/>
          </w:r>
          <w:r>
            <w:instrText xml:space="preserve"> PAGEREF _Toc15747 \h </w:instrText>
          </w:r>
          <w:r>
            <w:fldChar w:fldCharType="separate"/>
          </w:r>
          <w:r>
            <w:t>21</w:t>
          </w:r>
          <w:r>
            <w:fldChar w:fldCharType="end"/>
          </w:r>
          <w:r>
            <w:fldChar w:fldCharType="end"/>
          </w:r>
        </w:p>
        <w:p>
          <w:pPr>
            <w:sectPr>
              <w:footerReference r:id="rId6" w:type="first"/>
              <w:footerReference r:id="rId5" w:type="default"/>
              <w:pgSz w:w="11906" w:h="16838"/>
              <w:pgMar w:top="1440" w:right="1800" w:bottom="1440" w:left="1800" w:header="851" w:footer="992" w:gutter="0"/>
              <w:pgNumType w:start="1"/>
              <w:cols w:space="720" w:num="1"/>
              <w:docGrid w:type="lines" w:linePitch="312" w:charSpace="0"/>
            </w:sectPr>
          </w:pPr>
        </w:p>
        <w:p>
          <w:pPr>
            <w:spacing w:afterAutospacing="0"/>
          </w:pPr>
          <w:r>
            <w:fldChar w:fldCharType="end"/>
          </w:r>
        </w:p>
      </w:sdtContent>
    </w:sdt>
    <w:p>
      <w:pPr>
        <w:pStyle w:val="3"/>
        <w:spacing w:before="0" w:beforeAutospacing="0" w:after="0" w:afterAutospacing="0"/>
        <w:jc w:val="center"/>
        <w:rPr>
          <w:rFonts w:ascii="黑体" w:eastAsia="黑体"/>
          <w:color w:val="auto"/>
          <w:sz w:val="32"/>
          <w:szCs w:val="32"/>
          <w:highlight w:val="none"/>
        </w:rPr>
      </w:pPr>
      <w:bookmarkStart w:id="20" w:name="_Toc2550"/>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4"/>
          <w:rFonts w:hint="eastAsia" w:ascii="黑体" w:eastAsia="黑体"/>
          <w:b w:val="0"/>
          <w:bCs w:val="0"/>
          <w:color w:val="auto"/>
          <w:highlight w:val="none"/>
        </w:rPr>
        <w:t>概况</w:t>
      </w:r>
      <w:bookmarkEnd w:id="18"/>
      <w:bookmarkEnd w:id="19"/>
      <w:bookmarkEnd w:id="20"/>
    </w:p>
    <w:p>
      <w:pPr>
        <w:pStyle w:val="4"/>
        <w:keepNext/>
        <w:keepLines/>
        <w:pageBreakBefore w:val="0"/>
        <w:widowControl w:val="0"/>
        <w:numPr>
          <w:ilvl w:val="0"/>
          <w:numId w:val="1"/>
        </w:numPr>
        <w:kinsoku/>
        <w:wordWrap/>
        <w:overflowPunct/>
        <w:topLinePunct w:val="0"/>
        <w:autoSpaceDE/>
        <w:autoSpaceDN/>
        <w:bidi w:val="0"/>
        <w:adjustRightInd/>
        <w:snapToGrid/>
        <w:spacing w:before="0" w:beforeAutospacing="0" w:after="0" w:afterAutospacing="0" w:line="416" w:lineRule="auto"/>
        <w:ind w:firstLine="640" w:firstLineChars="200"/>
        <w:textAlignment w:val="auto"/>
        <w:rPr>
          <w:rStyle w:val="15"/>
          <w:rFonts w:hint="eastAsia" w:ascii="黑体" w:eastAsia="黑体"/>
          <w:b w:val="0"/>
          <w:bCs w:val="0"/>
          <w:color w:val="auto"/>
          <w:highlight w:val="none"/>
          <w:lang w:eastAsia="zh-CN"/>
        </w:rPr>
      </w:pPr>
      <w:bookmarkStart w:id="21" w:name="_Toc24088"/>
      <w:bookmarkStart w:id="22" w:name="_Toc15377197"/>
      <w:bookmarkStart w:id="23" w:name="_Toc15396600"/>
      <w:r>
        <w:rPr>
          <w:rStyle w:val="15"/>
          <w:rFonts w:hint="eastAsia" w:ascii="黑体" w:eastAsia="黑体"/>
          <w:b w:val="0"/>
          <w:bCs w:val="0"/>
          <w:color w:val="auto"/>
          <w:highlight w:val="none"/>
          <w:lang w:eastAsia="zh-CN"/>
        </w:rPr>
        <w:t>主要职责</w:t>
      </w:r>
      <w:bookmarkEnd w:id="21"/>
    </w:p>
    <w:p>
      <w:pPr>
        <w:pStyle w:val="10"/>
        <w:numPr>
          <w:ilvl w:val="0"/>
          <w:numId w:val="0"/>
        </w:numPr>
        <w:shd w:val="clear" w:color="auto" w:fill="FFFFFF"/>
        <w:spacing w:before="0" w:beforeAutospacing="0" w:after="0" w:afterAutospacing="0" w:line="330" w:lineRule="atLeast"/>
        <w:ind w:firstLine="622" w:firstLineChars="200"/>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pPr>
      <w:bookmarkStart w:id="24" w:name="_Toc987_WPSOffice_Level2"/>
      <w:bookmarkStart w:id="25" w:name="_Toc15377199"/>
      <w:bookmarkStart w:id="26" w:name="_Toc15378446"/>
      <w:r>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t>（一）基本公共卫生服务方面</w:t>
      </w:r>
      <w:bookmarkEnd w:id="24"/>
    </w:p>
    <w:p>
      <w:pPr>
        <w:pStyle w:val="10"/>
        <w:numPr>
          <w:ilvl w:val="0"/>
          <w:numId w:val="0"/>
        </w:numPr>
        <w:shd w:val="clear" w:color="auto" w:fill="FFFFFF"/>
        <w:spacing w:before="0" w:beforeAutospacing="0" w:after="0" w:afterAutospacing="0" w:line="330" w:lineRule="atLeast"/>
        <w:rPr>
          <w:rFonts w:hint="eastAsia" w:ascii="仿宋" w:hAnsi="仿宋" w:eastAsia="仿宋" w:cs="仿宋"/>
          <w:i w:val="0"/>
          <w:iCs w:val="0"/>
          <w:caps w:val="0"/>
          <w:snapToGrid w:val="0"/>
          <w:color w:val="000000"/>
          <w:spacing w:val="0"/>
          <w:sz w:val="32"/>
          <w:szCs w:val="32"/>
          <w:shd w:val="clear" w:color="auto" w:fill="FFFFFF"/>
          <w:lang w:val="en-US" w:eastAsia="zh-CN"/>
        </w:rPr>
      </w:pPr>
      <w:r>
        <w:rPr>
          <w:rFonts w:hint="eastAsia" w:ascii="宋体" w:hAnsi="宋体" w:eastAsia="宋体" w:cs="宋体"/>
          <w:color w:val="000000"/>
          <w:sz w:val="32"/>
          <w:szCs w:val="32"/>
          <w:highlight w:val="none"/>
          <w:lang w:val="en-US" w:eastAsia="zh-CN"/>
        </w:rPr>
        <w:t xml:space="preserve"> </w:t>
      </w:r>
      <w:r>
        <w:rPr>
          <w:rFonts w:hint="eastAsia" w:ascii="宋体" w:hAnsi="宋体" w:cs="宋体"/>
          <w:color w:val="000000"/>
          <w:sz w:val="32"/>
          <w:szCs w:val="32"/>
          <w:highlight w:val="none"/>
          <w:lang w:val="en-US" w:eastAsia="zh-CN"/>
        </w:rPr>
        <w:t xml:space="preserve">  </w:t>
      </w:r>
      <w:r>
        <w:rPr>
          <w:rFonts w:hint="eastAsia" w:ascii="仿宋" w:hAnsi="仿宋" w:eastAsia="仿宋" w:cs="仿宋"/>
          <w:i w:val="0"/>
          <w:iCs w:val="0"/>
          <w:caps w:val="0"/>
          <w:snapToGrid w:val="0"/>
          <w:color w:val="000000"/>
          <w:spacing w:val="0"/>
          <w:sz w:val="32"/>
          <w:szCs w:val="32"/>
          <w:shd w:val="clear" w:color="auto" w:fill="FFFFFF"/>
          <w:lang w:val="en-US" w:eastAsia="zh-CN"/>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单位委托，对辖区内传染病防治、学校卫生、饮用水卫生、职业卫生以及村级预防保健工作进行指导、培训、考核与监督等。</w:t>
      </w:r>
    </w:p>
    <w:p>
      <w:pPr>
        <w:pStyle w:val="10"/>
        <w:numPr>
          <w:ilvl w:val="0"/>
          <w:numId w:val="0"/>
        </w:numPr>
        <w:shd w:val="clear" w:color="auto" w:fill="FFFFFF"/>
        <w:spacing w:before="0" w:beforeAutospacing="0" w:after="0" w:afterAutospacing="0" w:line="330" w:lineRule="atLeast"/>
        <w:ind w:firstLine="640" w:firstLineChars="200"/>
        <w:outlineLvl w:val="1"/>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pPr>
      <w:bookmarkStart w:id="27" w:name="_Toc16167_WPSOffice_Level2"/>
      <w:bookmarkStart w:id="28" w:name="_Toc4155"/>
      <w:bookmarkStart w:id="29" w:name="_Toc16772"/>
      <w:r>
        <w:rPr>
          <w:rFonts w:hint="eastAsia" w:ascii="宋体" w:hAnsi="宋体" w:cs="宋体"/>
          <w:color w:val="000000"/>
          <w:sz w:val="32"/>
          <w:szCs w:val="32"/>
          <w:highlight w:val="none"/>
          <w:lang w:val="en-US" w:eastAsia="zh-CN"/>
        </w:rPr>
        <w:t>（二）</w:t>
      </w:r>
      <w:r>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t>基本医疗服务方面</w:t>
      </w:r>
      <w:bookmarkEnd w:id="27"/>
      <w:bookmarkEnd w:id="28"/>
      <w:bookmarkEnd w:id="29"/>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right="0" w:firstLine="640" w:firstLineChars="200"/>
        <w:jc w:val="both"/>
        <w:rPr>
          <w:rFonts w:hint="eastAsia" w:ascii="仿宋" w:hAnsi="仿宋" w:eastAsia="仿宋" w:cs="仿宋"/>
          <w:i w:val="0"/>
          <w:iCs w:val="0"/>
          <w:caps w:val="0"/>
          <w:snapToGrid w:val="0"/>
          <w:color w:val="000000"/>
          <w:spacing w:val="0"/>
          <w:sz w:val="32"/>
          <w:szCs w:val="32"/>
          <w:shd w:val="clear" w:color="auto" w:fill="FFFFFF"/>
          <w:lang w:val="en-US" w:eastAsia="zh-CN"/>
        </w:rPr>
      </w:pPr>
      <w:r>
        <w:rPr>
          <w:rFonts w:hint="eastAsia" w:ascii="仿宋" w:hAnsi="仿宋" w:eastAsia="仿宋" w:cs="仿宋"/>
          <w:i w:val="0"/>
          <w:iCs w:val="0"/>
          <w:caps w:val="0"/>
          <w:snapToGrid w:val="0"/>
          <w:color w:val="000000"/>
          <w:spacing w:val="0"/>
          <w:sz w:val="32"/>
          <w:szCs w:val="32"/>
          <w:shd w:val="clear" w:color="auto" w:fill="FFFFFF"/>
          <w:lang w:val="en-US" w:eastAsia="zh-CN"/>
        </w:rPr>
        <w:t xml:space="preserve">正确处理常见病，多发病，对疑难杂症进行恰当的处理与转诊；加强急诊救护体系建设，承担乡村现场应急救护，转诊和康复服务；认真执行国家基本药物制度，加强医疗质量管理及院感防控。    </w:t>
      </w:r>
    </w:p>
    <w:p>
      <w:pPr>
        <w:pStyle w:val="10"/>
        <w:numPr>
          <w:ilvl w:val="0"/>
          <w:numId w:val="0"/>
        </w:numPr>
        <w:shd w:val="clear" w:color="auto" w:fill="FFFFFF"/>
        <w:spacing w:before="0" w:beforeAutospacing="0" w:after="0" w:afterAutospacing="0" w:line="330" w:lineRule="atLeast"/>
        <w:ind w:firstLine="640" w:firstLineChars="200"/>
        <w:outlineLvl w:val="1"/>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pPr>
      <w:bookmarkStart w:id="30" w:name="_Toc8135_WPSOffice_Level2"/>
      <w:bookmarkStart w:id="31" w:name="_Toc24374"/>
      <w:bookmarkStart w:id="32" w:name="_Toc22109"/>
      <w:r>
        <w:rPr>
          <w:rFonts w:hint="eastAsia" w:ascii="宋体" w:hAnsi="宋体" w:cs="宋体"/>
          <w:color w:val="000000"/>
          <w:sz w:val="32"/>
          <w:szCs w:val="32"/>
          <w:highlight w:val="none"/>
          <w:lang w:val="en-US" w:eastAsia="zh-CN"/>
        </w:rPr>
        <w:t>（三）</w:t>
      </w:r>
      <w:r>
        <w:rPr>
          <w:rFonts w:hint="eastAsia" w:ascii="仿宋_GB2312" w:hAnsi="微软雅黑" w:eastAsia="仿宋_GB2312" w:cs="仿宋_GB2312"/>
          <w:b/>
          <w:bCs/>
          <w:i w:val="0"/>
          <w:iCs w:val="0"/>
          <w:caps w:val="0"/>
          <w:snapToGrid w:val="0"/>
          <w:color w:val="000000"/>
          <w:spacing w:val="0"/>
          <w:sz w:val="31"/>
          <w:szCs w:val="31"/>
          <w:shd w:val="clear" w:color="auto" w:fill="FFFFFF"/>
          <w:lang w:val="en-US" w:eastAsia="zh-CN"/>
        </w:rPr>
        <w:t>基本管理服务</w:t>
      </w:r>
      <w:bookmarkEnd w:id="30"/>
      <w:bookmarkEnd w:id="31"/>
      <w:bookmarkEnd w:id="32"/>
    </w:p>
    <w:p>
      <w:pPr>
        <w:pStyle w:val="10"/>
        <w:numPr>
          <w:ilvl w:val="0"/>
          <w:numId w:val="0"/>
        </w:numPr>
        <w:shd w:val="clear" w:color="auto" w:fill="FFFFFF"/>
        <w:spacing w:before="0" w:beforeAutospacing="0" w:after="0" w:afterAutospacing="0" w:line="330" w:lineRule="atLeast"/>
        <w:ind w:firstLine="640" w:firstLineChars="200"/>
        <w:rPr>
          <w:rFonts w:hint="eastAsia"/>
          <w:lang w:eastAsia="zh-CN"/>
        </w:rPr>
      </w:pPr>
      <w:r>
        <w:rPr>
          <w:rFonts w:hint="eastAsia" w:ascii="仿宋" w:hAnsi="仿宋" w:eastAsia="仿宋" w:cs="仿宋"/>
          <w:i w:val="0"/>
          <w:iCs w:val="0"/>
          <w:caps w:val="0"/>
          <w:snapToGrid w:val="0"/>
          <w:color w:val="000000"/>
          <w:spacing w:val="0"/>
          <w:sz w:val="32"/>
          <w:szCs w:val="32"/>
          <w:shd w:val="clear" w:color="auto" w:fill="FFFFFF"/>
          <w:lang w:val="en-US" w:eastAsia="zh-CN"/>
        </w:rPr>
        <w:t>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各项工作。落实健康扶贫相关政策。</w:t>
      </w:r>
      <w:r>
        <w:rPr>
          <w:rFonts w:hint="eastAsia" w:ascii="宋体" w:hAnsi="宋体" w:eastAsia="宋体" w:cs="宋体"/>
          <w:color w:val="000000"/>
          <w:sz w:val="32"/>
          <w:szCs w:val="32"/>
          <w:highlight w:val="none"/>
          <w:lang w:val="en-US" w:eastAsia="zh-CN"/>
        </w:rPr>
        <w:t xml:space="preserve">  </w:t>
      </w:r>
      <w:bookmarkEnd w:id="25"/>
      <w:bookmarkEnd w:id="26"/>
    </w:p>
    <w:p>
      <w:pPr>
        <w:pStyle w:val="4"/>
        <w:keepNext/>
        <w:keepLines/>
        <w:pageBreakBefore w:val="0"/>
        <w:widowControl w:val="0"/>
        <w:numPr>
          <w:ilvl w:val="0"/>
          <w:numId w:val="1"/>
        </w:numPr>
        <w:kinsoku/>
        <w:wordWrap/>
        <w:overflowPunct/>
        <w:topLinePunct w:val="0"/>
        <w:autoSpaceDE/>
        <w:autoSpaceDN/>
        <w:bidi w:val="0"/>
        <w:adjustRightInd/>
        <w:snapToGrid/>
        <w:spacing w:before="0" w:beforeAutospacing="0" w:after="0" w:afterAutospacing="0" w:line="416" w:lineRule="auto"/>
        <w:ind w:left="0" w:leftChars="0" w:firstLine="640" w:firstLineChars="200"/>
        <w:textAlignment w:val="auto"/>
        <w:rPr>
          <w:rFonts w:hint="eastAsia" w:ascii="黑体" w:eastAsia="黑体"/>
          <w:b w:val="0"/>
          <w:color w:val="auto"/>
          <w:highlight w:val="none"/>
          <w:lang w:val="en-US" w:eastAsia="zh-CN"/>
        </w:rPr>
      </w:pPr>
      <w:bookmarkStart w:id="33" w:name="_Toc14317"/>
      <w:r>
        <w:rPr>
          <w:rFonts w:hint="eastAsia" w:ascii="黑体" w:eastAsia="黑体"/>
          <w:b w:val="0"/>
          <w:color w:val="auto"/>
          <w:highlight w:val="none"/>
          <w:lang w:val="en-US" w:eastAsia="zh-CN"/>
        </w:rPr>
        <w:t>机构设置</w:t>
      </w:r>
      <w:bookmarkEnd w:id="33"/>
    </w:p>
    <w:p>
      <w:pPr>
        <w:pStyle w:val="3"/>
        <w:pageBreakBefore w:val="0"/>
        <w:wordWrap/>
        <w:overflowPunct/>
        <w:topLinePunct w:val="0"/>
        <w:bidi w:val="0"/>
        <w:spacing w:before="0" w:beforeAutospacing="0" w:after="0" w:afterAutospacing="0" w:line="580" w:lineRule="exact"/>
        <w:ind w:right="0" w:rightChars="0" w:firstLine="640" w:firstLineChars="200"/>
        <w:jc w:val="left"/>
        <w:rPr>
          <w:rFonts w:hint="eastAsia" w:ascii="仿宋" w:hAnsi="仿宋" w:eastAsia="仿宋"/>
          <w:b w:val="0"/>
          <w:bCs w:val="0"/>
          <w:color w:val="auto"/>
          <w:sz w:val="32"/>
          <w:szCs w:val="32"/>
          <w:highlight w:val="none"/>
          <w:lang w:eastAsia="zh-CN"/>
        </w:rPr>
      </w:pPr>
      <w:bookmarkStart w:id="34" w:name="_Toc24467"/>
      <w:bookmarkStart w:id="35" w:name="_Toc23709"/>
      <w:bookmarkStart w:id="36" w:name="_Toc14348"/>
      <w:bookmarkStart w:id="37" w:name="_Toc15188"/>
      <w:r>
        <w:rPr>
          <w:rFonts w:hint="eastAsia" w:ascii="仿宋" w:hAnsi="仿宋" w:eastAsia="仿宋"/>
          <w:b w:val="0"/>
          <w:bCs w:val="0"/>
          <w:color w:val="auto"/>
          <w:sz w:val="32"/>
          <w:szCs w:val="32"/>
          <w:highlight w:val="none"/>
          <w:lang w:eastAsia="zh-CN"/>
        </w:rPr>
        <w:t>青牛镇卫生院属于主管部门下属单位，属于二级预算单位，无下属机构。</w:t>
      </w:r>
      <w:bookmarkEnd w:id="34"/>
      <w:bookmarkEnd w:id="35"/>
      <w:bookmarkEnd w:id="36"/>
      <w:bookmarkEnd w:id="37"/>
    </w:p>
    <w:p>
      <w:pPr>
        <w:numPr>
          <w:ilvl w:val="0"/>
          <w:numId w:val="0"/>
        </w:numPr>
        <w:spacing w:beforeAutospacing="0"/>
        <w:ind w:leftChars="0"/>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bookmarkEnd w:id="22"/>
    <w:bookmarkEnd w:id="23"/>
    <w:p>
      <w:pPr>
        <w:widowControl/>
        <w:jc w:val="center"/>
        <w:outlineLvl w:val="0"/>
        <w:rPr>
          <w:color w:val="auto"/>
          <w:highlight w:val="none"/>
        </w:rPr>
      </w:pPr>
      <w:bookmarkStart w:id="38" w:name="_Toc24491"/>
      <w:bookmarkStart w:id="39" w:name="_Toc15377204"/>
      <w:bookmarkStart w:id="40" w:name="_Toc15396602"/>
      <w:r>
        <w:rPr>
          <w:rStyle w:val="14"/>
          <w:rFonts w:hint="eastAsia" w:ascii="黑体" w:hAnsi="Times New Roman" w:eastAsia="黑体" w:cs="Times New Roman"/>
          <w:b w:val="0"/>
          <w:bCs/>
          <w:color w:val="auto"/>
          <w:highlight w:val="none"/>
        </w:rPr>
        <w:t xml:space="preserve">第二部分 </w:t>
      </w:r>
      <w:r>
        <w:rPr>
          <w:rStyle w:val="14"/>
          <w:rFonts w:hint="eastAsia" w:ascii="黑体" w:hAnsi="Times New Roman" w:eastAsia="黑体" w:cs="Times New Roman"/>
          <w:b w:val="0"/>
          <w:bCs/>
          <w:color w:val="auto"/>
          <w:highlight w:val="none"/>
          <w:lang w:val="en-US" w:eastAsia="zh-CN"/>
        </w:rPr>
        <w:t>2022年度</w:t>
      </w:r>
      <w:r>
        <w:rPr>
          <w:rStyle w:val="14"/>
          <w:rFonts w:hint="eastAsia" w:ascii="黑体" w:hAnsi="Times New Roman" w:eastAsia="黑体" w:cs="Times New Roman"/>
          <w:b w:val="0"/>
          <w:bCs/>
          <w:color w:val="auto"/>
          <w:highlight w:val="none"/>
          <w:lang w:eastAsia="zh-CN"/>
        </w:rPr>
        <w:t>单位</w:t>
      </w:r>
      <w:r>
        <w:rPr>
          <w:rStyle w:val="14"/>
          <w:rFonts w:hint="eastAsia" w:ascii="黑体" w:hAnsi="Times New Roman" w:eastAsia="黑体" w:cs="Times New Roman"/>
          <w:b w:val="0"/>
          <w:bCs/>
          <w:color w:val="auto"/>
          <w:highlight w:val="none"/>
        </w:rPr>
        <w:t>决算情况说明</w:t>
      </w:r>
      <w:bookmarkEnd w:id="38"/>
      <w:bookmarkEnd w:id="39"/>
      <w:bookmarkEnd w:id="40"/>
    </w:p>
    <w:p>
      <w:pPr>
        <w:pStyle w:val="16"/>
        <w:numPr>
          <w:ilvl w:val="0"/>
          <w:numId w:val="2"/>
        </w:numPr>
        <w:spacing w:line="600" w:lineRule="exact"/>
        <w:ind w:firstLineChars="0"/>
        <w:outlineLvl w:val="1"/>
        <w:rPr>
          <w:rStyle w:val="15"/>
          <w:rFonts w:ascii="黑体" w:eastAsia="黑体"/>
          <w:b w:val="0"/>
          <w:color w:val="auto"/>
          <w:highlight w:val="none"/>
        </w:rPr>
      </w:pPr>
      <w:bookmarkStart w:id="41" w:name="_Toc15396603"/>
      <w:bookmarkStart w:id="42" w:name="_Toc15377205"/>
      <w:bookmarkStart w:id="43" w:name="_Toc8563"/>
      <w:r>
        <w:rPr>
          <w:rFonts w:hint="eastAsia" w:ascii="黑体" w:eastAsia="黑体"/>
          <w:color w:val="auto"/>
          <w:sz w:val="32"/>
          <w:szCs w:val="32"/>
          <w:highlight w:val="none"/>
        </w:rPr>
        <w:t>收</w:t>
      </w:r>
      <w:r>
        <w:rPr>
          <w:rStyle w:val="15"/>
          <w:rFonts w:hint="eastAsia" w:ascii="黑体" w:eastAsia="黑体"/>
          <w:b w:val="0"/>
          <w:color w:val="auto"/>
          <w:highlight w:val="none"/>
        </w:rPr>
        <w:t>入支出决算总体情况说明</w:t>
      </w:r>
      <w:bookmarkEnd w:id="41"/>
      <w:bookmarkEnd w:id="42"/>
      <w:bookmarkEnd w:id="43"/>
    </w:p>
    <w:p>
      <w:pPr>
        <w:spacing w:line="600" w:lineRule="exact"/>
        <w:ind w:firstLine="640" w:firstLineChars="200"/>
        <w:rPr>
          <w:rFonts w:hint="eastAsia" w:ascii="仿宋" w:eastAsia="仿宋" w:cs="仿宋"/>
          <w:color w:val="auto"/>
          <w:sz w:val="32"/>
          <w:szCs w:val="32"/>
          <w:lang w:val="en-US" w:eastAsia="zh-CN"/>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hint="eastAsia" w:ascii="仿宋" w:eastAsia="仿宋"/>
          <w:color w:val="auto"/>
          <w:sz w:val="32"/>
          <w:szCs w:val="32"/>
          <w:highlight w:val="none"/>
          <w:lang w:val="en-US" w:eastAsia="zh-CN"/>
        </w:rPr>
        <w:t>273.65</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w:t>
      </w:r>
      <w:r>
        <w:rPr>
          <w:rFonts w:hint="eastAsia" w:ascii="仿宋" w:eastAsia="仿宋"/>
          <w:color w:val="auto"/>
          <w:sz w:val="32"/>
          <w:szCs w:val="32"/>
          <w:highlight w:val="none"/>
          <w:lang w:eastAsia="zh-CN"/>
        </w:rPr>
        <w:t>减少</w:t>
      </w:r>
      <w:r>
        <w:rPr>
          <w:rFonts w:hint="eastAsia" w:ascii="仿宋" w:eastAsia="仿宋"/>
          <w:color w:val="auto"/>
          <w:sz w:val="32"/>
          <w:szCs w:val="32"/>
          <w:highlight w:val="none"/>
          <w:lang w:val="en-US" w:eastAsia="zh-CN"/>
        </w:rPr>
        <w:t>47.91</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下降</w:t>
      </w:r>
      <w:r>
        <w:rPr>
          <w:rFonts w:hint="eastAsia" w:ascii="仿宋" w:eastAsia="仿宋"/>
          <w:color w:val="auto"/>
          <w:sz w:val="32"/>
          <w:szCs w:val="32"/>
          <w:highlight w:val="none"/>
          <w:lang w:val="en-US" w:eastAsia="zh-CN"/>
        </w:rPr>
        <w:t>21.22</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收入</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w:t>
      </w:r>
      <w:r>
        <w:rPr>
          <w:rFonts w:hint="eastAsia" w:ascii="仿宋" w:eastAsia="仿宋" w:cs="仿宋"/>
          <w:color w:val="auto"/>
          <w:sz w:val="32"/>
          <w:szCs w:val="32"/>
          <w:lang w:val="en-US" w:eastAsia="zh-CN"/>
        </w:rPr>
        <w:t>2022年一般公共预算财政拨款收入相比上年增加了4.33万元；政府性基金预算财政拨款收入相比上年增加了5.94万元；事业收入相比上年增加了37.64万元。2022年支出主要变动的原因是：社会保障和就业支出增加了6.3万元；城乡社区支出增加了5.94万元；卫生健康支出增加了34.8万元；住房保障支出增加了0.88万元。</w:t>
      </w:r>
    </w:p>
    <w:p>
      <w:pPr>
        <w:pStyle w:val="2"/>
        <w:ind w:firstLine="600" w:firstLineChars="200"/>
      </w:pPr>
      <w:r>
        <w:rPr>
          <w:rFonts w:hint="eastAsia"/>
          <w:lang w:val="en-US" w:eastAsia="zh-CN"/>
        </w:rPr>
        <w:t xml:space="preserve">     </w:t>
      </w:r>
      <w:r>
        <w:drawing>
          <wp:inline distT="0" distB="0" distL="114300" distR="114300">
            <wp:extent cx="3636010" cy="202692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ind w:firstLine="640" w:firstLineChars="200"/>
        <w:rPr>
          <w:rFonts w:ascii="仿宋_GB2312" w:eastAsia="仿宋_GB2312"/>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16"/>
        <w:numPr>
          <w:ilvl w:val="0"/>
          <w:numId w:val="2"/>
        </w:numPr>
        <w:spacing w:line="600" w:lineRule="exact"/>
        <w:ind w:firstLineChars="0"/>
        <w:outlineLvl w:val="1"/>
        <w:rPr>
          <w:rStyle w:val="15"/>
          <w:rFonts w:ascii="黑体" w:eastAsia="黑体"/>
          <w:b w:val="0"/>
          <w:color w:val="auto"/>
          <w:highlight w:val="none"/>
        </w:rPr>
      </w:pPr>
      <w:bookmarkStart w:id="44" w:name="_Toc15396604"/>
      <w:bookmarkStart w:id="45" w:name="_Toc15377206"/>
      <w:bookmarkStart w:id="46" w:name="_Toc24676"/>
      <w:r>
        <w:rPr>
          <w:rFonts w:hint="eastAsia" w:ascii="黑体" w:eastAsia="黑体"/>
          <w:color w:val="auto"/>
          <w:sz w:val="32"/>
          <w:szCs w:val="32"/>
          <w:highlight w:val="none"/>
        </w:rPr>
        <w:t>收</w:t>
      </w:r>
      <w:r>
        <w:rPr>
          <w:rStyle w:val="15"/>
          <w:rFonts w:hint="eastAsia" w:ascii="黑体" w:eastAsia="黑体"/>
          <w:b w:val="0"/>
          <w:color w:val="auto"/>
          <w:highlight w:val="none"/>
        </w:rPr>
        <w:t>入决算情况说明</w:t>
      </w:r>
      <w:bookmarkEnd w:id="44"/>
      <w:bookmarkEnd w:id="45"/>
      <w:bookmarkEnd w:id="46"/>
    </w:p>
    <w:p>
      <w:pPr>
        <w:spacing w:line="600" w:lineRule="exact"/>
        <w:ind w:firstLine="640" w:firstLineChars="200"/>
        <w:outlineLvl w:val="1"/>
        <w:rPr>
          <w:rFonts w:hint="eastAsia"/>
          <w:lang w:val="en-US" w:eastAsia="zh-CN"/>
        </w:rPr>
      </w:pPr>
      <w:bookmarkStart w:id="47" w:name="_Toc6597"/>
      <w:bookmarkStart w:id="48" w:name="_Toc9378"/>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hint="eastAsia" w:ascii="仿宋" w:eastAsia="仿宋"/>
          <w:color w:val="auto"/>
          <w:sz w:val="32"/>
          <w:szCs w:val="32"/>
          <w:highlight w:val="none"/>
          <w:lang w:val="en-US" w:eastAsia="zh-CN"/>
        </w:rPr>
        <w:t>273.65</w:t>
      </w:r>
      <w:r>
        <w:rPr>
          <w:rFonts w:hint="eastAsia" w:ascii="仿宋" w:eastAsia="仿宋"/>
          <w:color w:val="auto"/>
          <w:sz w:val="32"/>
          <w:szCs w:val="32"/>
          <w:highlight w:val="none"/>
        </w:rPr>
        <w:t>万元，其中：财政拨款收入</w:t>
      </w:r>
      <w:r>
        <w:rPr>
          <w:rFonts w:hint="eastAsia" w:ascii="仿宋" w:eastAsia="仿宋"/>
          <w:color w:val="auto"/>
          <w:sz w:val="32"/>
          <w:szCs w:val="32"/>
          <w:highlight w:val="none"/>
          <w:lang w:val="en-US" w:eastAsia="zh-CN"/>
        </w:rPr>
        <w:t>145.81</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53.28</w:t>
      </w:r>
      <w:r>
        <w:rPr>
          <w:rFonts w:ascii="仿宋" w:eastAsia="仿宋"/>
          <w:color w:val="auto"/>
          <w:sz w:val="32"/>
          <w:szCs w:val="32"/>
          <w:highlight w:val="none"/>
        </w:rPr>
        <w:t>%</w:t>
      </w:r>
      <w:r>
        <w:rPr>
          <w:rFonts w:hint="eastAsia" w:ascii="仿宋" w:eastAsia="仿宋"/>
          <w:color w:val="auto"/>
          <w:sz w:val="32"/>
          <w:szCs w:val="32"/>
          <w:highlight w:val="none"/>
        </w:rPr>
        <w:t>；事业收入127.83万元，占</w:t>
      </w:r>
      <w:r>
        <w:rPr>
          <w:rFonts w:hint="eastAsia" w:ascii="仿宋" w:eastAsia="仿宋"/>
          <w:color w:val="auto"/>
          <w:sz w:val="32"/>
          <w:szCs w:val="32"/>
          <w:highlight w:val="none"/>
          <w:lang w:val="en-US" w:eastAsia="zh-CN"/>
        </w:rPr>
        <w:t>46.72</w:t>
      </w:r>
      <w:r>
        <w:rPr>
          <w:rFonts w:ascii="仿宋" w:eastAsia="仿宋"/>
          <w:color w:val="auto"/>
          <w:sz w:val="32"/>
          <w:szCs w:val="32"/>
          <w:highlight w:val="none"/>
        </w:rPr>
        <w:t>%</w:t>
      </w:r>
      <w:r>
        <w:rPr>
          <w:rFonts w:hint="eastAsia" w:ascii="仿宋" w:eastAsia="仿宋"/>
          <w:color w:val="auto"/>
          <w:sz w:val="32"/>
          <w:szCs w:val="32"/>
          <w:highlight w:val="none"/>
          <w:lang w:eastAsia="zh-CN"/>
        </w:rPr>
        <w:t>。</w:t>
      </w:r>
      <w:bookmarkEnd w:id="47"/>
      <w:bookmarkEnd w:id="48"/>
      <w:r>
        <w:rPr>
          <w:rFonts w:hint="eastAsia"/>
          <w:lang w:val="en-US" w:eastAsia="zh-CN"/>
        </w:rPr>
        <w:t xml:space="preserve">         </w:t>
      </w:r>
    </w:p>
    <w:p>
      <w:pPr>
        <w:spacing w:line="600" w:lineRule="exact"/>
        <w:outlineLvl w:val="1"/>
        <w:rPr>
          <w:rFonts w:hint="eastAsia"/>
          <w:lang w:val="en-US" w:eastAsia="zh-CN"/>
        </w:rPr>
      </w:pPr>
      <w:bookmarkStart w:id="49" w:name="_Toc8304"/>
      <w:bookmarkStart w:id="50" w:name="_Toc27368"/>
      <w:r>
        <w:rPr>
          <w:rFonts w:hint="eastAsia"/>
          <w:lang w:val="en-US" w:eastAsia="zh-CN"/>
        </w:rPr>
        <w:t xml:space="preserve">              </w:t>
      </w:r>
    </w:p>
    <w:p>
      <w:pPr>
        <w:spacing w:line="600" w:lineRule="exact"/>
        <w:outlineLvl w:val="1"/>
        <w:rPr>
          <w:rFonts w:hint="eastAsia"/>
          <w:lang w:val="en-US" w:eastAsia="zh-CN"/>
        </w:rPr>
      </w:pPr>
    </w:p>
    <w:p>
      <w:pPr>
        <w:pStyle w:val="2"/>
        <w:rPr>
          <w:rFonts w:hint="eastAsia"/>
          <w:lang w:val="en-US" w:eastAsia="zh-CN"/>
        </w:rPr>
      </w:pPr>
    </w:p>
    <w:p>
      <w:pPr>
        <w:rPr>
          <w:rFonts w:hint="eastAsia"/>
          <w:lang w:val="en-US" w:eastAsia="zh-CN"/>
        </w:rPr>
      </w:pPr>
      <w:r>
        <w:drawing>
          <wp:anchor distT="0" distB="0" distL="114935" distR="114935" simplePos="0" relativeHeight="251659264" behindDoc="0" locked="0" layoutInCell="1" allowOverlap="1">
            <wp:simplePos x="0" y="0"/>
            <wp:positionH relativeFrom="column">
              <wp:posOffset>823595</wp:posOffset>
            </wp:positionH>
            <wp:positionV relativeFrom="paragraph">
              <wp:posOffset>-3810</wp:posOffset>
            </wp:positionV>
            <wp:extent cx="3599815" cy="1736090"/>
            <wp:effectExtent l="6350" t="6350" r="13335" b="1016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spacing w:after="74" w:afterLines="23" w:afterAutospacing="0" w:line="600" w:lineRule="exact"/>
        <w:jc w:val="center"/>
        <w:outlineLvl w:val="1"/>
      </w:pPr>
      <w:r>
        <w:rPr>
          <w:rFonts w:hint="eastAsia" w:ascii="仿宋" w:eastAsia="仿宋"/>
          <w:color w:val="auto"/>
          <w:sz w:val="32"/>
          <w:szCs w:val="32"/>
          <w:highlight w:val="none"/>
        </w:rPr>
        <w:t>（图2：收入决算结构图）（饼状图）</w:t>
      </w:r>
      <w:bookmarkEnd w:id="49"/>
      <w:bookmarkEnd w:id="50"/>
    </w:p>
    <w:p>
      <w:pPr>
        <w:pStyle w:val="16"/>
        <w:numPr>
          <w:ilvl w:val="0"/>
          <w:numId w:val="2"/>
        </w:numPr>
        <w:spacing w:line="600" w:lineRule="exact"/>
        <w:ind w:firstLineChars="0"/>
        <w:outlineLvl w:val="1"/>
        <w:rPr>
          <w:rStyle w:val="15"/>
          <w:rFonts w:ascii="黑体" w:eastAsia="黑体"/>
          <w:b w:val="0"/>
          <w:color w:val="auto"/>
          <w:highlight w:val="none"/>
        </w:rPr>
      </w:pPr>
      <w:bookmarkStart w:id="51" w:name="_Toc23684"/>
      <w:bookmarkStart w:id="52" w:name="_Toc15396605"/>
      <w:bookmarkStart w:id="53" w:name="_Toc15377207"/>
      <w:r>
        <w:rPr>
          <w:rFonts w:hint="eastAsia" w:ascii="黑体" w:eastAsia="黑体"/>
          <w:color w:val="auto"/>
          <w:sz w:val="32"/>
          <w:szCs w:val="32"/>
          <w:highlight w:val="none"/>
        </w:rPr>
        <w:t>支</w:t>
      </w:r>
      <w:r>
        <w:rPr>
          <w:rStyle w:val="15"/>
          <w:rFonts w:hint="eastAsia" w:ascii="黑体" w:eastAsia="黑体"/>
          <w:b w:val="0"/>
          <w:color w:val="auto"/>
          <w:highlight w:val="none"/>
        </w:rPr>
        <w:t>出决算情况说明</w:t>
      </w:r>
      <w:bookmarkEnd w:id="51"/>
      <w:bookmarkEnd w:id="52"/>
      <w:bookmarkEnd w:id="53"/>
    </w:p>
    <w:p>
      <w:pPr>
        <w:spacing w:line="600" w:lineRule="exact"/>
        <w:ind w:firstLine="640" w:firstLineChars="200"/>
        <w:outlineLvl w:val="1"/>
        <w:rPr>
          <w:rFonts w:ascii="仿宋" w:eastAsia="仿宋"/>
          <w:color w:val="auto"/>
          <w:sz w:val="32"/>
          <w:szCs w:val="32"/>
          <w:highlight w:val="none"/>
        </w:rPr>
      </w:pPr>
      <w:bookmarkStart w:id="54" w:name="_Toc20585"/>
      <w:bookmarkStart w:id="55" w:name="_Toc534"/>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hint="eastAsia" w:ascii="仿宋" w:eastAsia="仿宋"/>
          <w:color w:val="auto"/>
          <w:sz w:val="32"/>
          <w:szCs w:val="32"/>
          <w:highlight w:val="none"/>
          <w:lang w:val="en-US" w:eastAsia="zh-CN"/>
        </w:rPr>
        <w:t>273.65</w:t>
      </w:r>
      <w:r>
        <w:rPr>
          <w:rFonts w:hint="eastAsia" w:ascii="仿宋" w:eastAsia="仿宋"/>
          <w:color w:val="auto"/>
          <w:sz w:val="32"/>
          <w:szCs w:val="32"/>
          <w:highlight w:val="none"/>
        </w:rPr>
        <w:t>万元，其中：基本支出237.9万元，占</w:t>
      </w:r>
      <w:r>
        <w:rPr>
          <w:rFonts w:hint="eastAsia" w:ascii="仿宋" w:eastAsia="仿宋"/>
          <w:color w:val="auto"/>
          <w:sz w:val="32"/>
          <w:szCs w:val="32"/>
          <w:highlight w:val="none"/>
          <w:lang w:val="en-US" w:eastAsia="zh-CN"/>
        </w:rPr>
        <w:t>86.93</w:t>
      </w:r>
      <w:r>
        <w:rPr>
          <w:rFonts w:ascii="仿宋" w:eastAsia="仿宋"/>
          <w:color w:val="auto"/>
          <w:sz w:val="32"/>
          <w:szCs w:val="32"/>
          <w:highlight w:val="none"/>
        </w:rPr>
        <w:t>%</w:t>
      </w:r>
      <w:r>
        <w:rPr>
          <w:rFonts w:hint="eastAsia" w:ascii="仿宋" w:eastAsia="仿宋"/>
          <w:color w:val="auto"/>
          <w:sz w:val="32"/>
          <w:szCs w:val="32"/>
          <w:highlight w:val="none"/>
        </w:rPr>
        <w:t>；项目支出35.75万元，占</w:t>
      </w:r>
      <w:r>
        <w:rPr>
          <w:rFonts w:hint="eastAsia" w:ascii="仿宋" w:eastAsia="仿宋"/>
          <w:color w:val="auto"/>
          <w:sz w:val="32"/>
          <w:szCs w:val="32"/>
          <w:highlight w:val="none"/>
          <w:lang w:val="en-US" w:eastAsia="zh-CN"/>
        </w:rPr>
        <w:t>13.07</w:t>
      </w:r>
      <w:r>
        <w:rPr>
          <w:rFonts w:ascii="仿宋" w:eastAsia="仿宋"/>
          <w:color w:val="auto"/>
          <w:sz w:val="32"/>
          <w:szCs w:val="32"/>
          <w:highlight w:val="none"/>
        </w:rPr>
        <w:t>%</w:t>
      </w:r>
      <w:r>
        <w:rPr>
          <w:rFonts w:hint="eastAsia" w:ascii="仿宋" w:eastAsia="仿宋"/>
          <w:color w:val="auto"/>
          <w:sz w:val="32"/>
          <w:szCs w:val="32"/>
          <w:highlight w:val="none"/>
        </w:rPr>
        <w:t>。</w:t>
      </w:r>
      <w:bookmarkEnd w:id="54"/>
      <w:bookmarkEnd w:id="55"/>
    </w:p>
    <w:p>
      <w:pPr>
        <w:spacing w:line="600" w:lineRule="exact"/>
        <w:ind w:firstLine="640"/>
        <w:rPr>
          <w:rFonts w:ascii="仿宋_GB2312" w:eastAsia="仿宋_GB2312"/>
          <w:color w:val="auto"/>
          <w:sz w:val="32"/>
          <w:szCs w:val="32"/>
          <w:highlight w:val="none"/>
        </w:rPr>
      </w:pPr>
      <w:r>
        <w:drawing>
          <wp:anchor distT="0" distB="0" distL="114935" distR="114935" simplePos="0" relativeHeight="251659264" behindDoc="0" locked="0" layoutInCell="1" allowOverlap="1">
            <wp:simplePos x="0" y="0"/>
            <wp:positionH relativeFrom="column">
              <wp:posOffset>653415</wp:posOffset>
            </wp:positionH>
            <wp:positionV relativeFrom="paragraph">
              <wp:posOffset>179070</wp:posOffset>
            </wp:positionV>
            <wp:extent cx="3788410" cy="2172335"/>
            <wp:effectExtent l="0" t="0" r="0" b="0"/>
            <wp:wrapTopAndBottom/>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lang w:val="en-US" w:eastAsia="zh-CN"/>
        </w:rPr>
        <w:t xml:space="preserve">         </w:t>
      </w:r>
      <w:r>
        <w:rPr>
          <w:rFonts w:hint="eastAsia" w:ascii="仿宋" w:eastAsia="仿宋"/>
          <w:color w:val="auto"/>
          <w:sz w:val="32"/>
          <w:szCs w:val="32"/>
          <w:highlight w:val="none"/>
        </w:rPr>
        <w:t>（图3：支出决算结构图）（饼状图）</w:t>
      </w:r>
    </w:p>
    <w:p>
      <w:pPr>
        <w:spacing w:line="600" w:lineRule="exact"/>
        <w:ind w:firstLine="640" w:firstLineChars="200"/>
        <w:outlineLvl w:val="1"/>
        <w:rPr>
          <w:rStyle w:val="15"/>
          <w:rFonts w:ascii="黑体" w:eastAsia="黑体"/>
          <w:b w:val="0"/>
          <w:color w:val="auto"/>
          <w:highlight w:val="none"/>
        </w:rPr>
      </w:pPr>
      <w:bookmarkStart w:id="56" w:name="_Toc15396606"/>
      <w:bookmarkStart w:id="57" w:name="_Toc15377208"/>
      <w:bookmarkStart w:id="58" w:name="_Toc2849"/>
      <w:r>
        <w:rPr>
          <w:rFonts w:hint="eastAsia" w:ascii="黑体" w:eastAsia="黑体"/>
          <w:color w:val="auto"/>
          <w:sz w:val="32"/>
          <w:szCs w:val="32"/>
          <w:highlight w:val="none"/>
        </w:rPr>
        <w:t>四、财</w:t>
      </w:r>
      <w:r>
        <w:rPr>
          <w:rStyle w:val="15"/>
          <w:rFonts w:hint="eastAsia" w:ascii="黑体" w:eastAsia="黑体"/>
          <w:b w:val="0"/>
          <w:color w:val="auto"/>
          <w:highlight w:val="none"/>
        </w:rPr>
        <w:t>政拨款收入支出决算总体情况说明</w:t>
      </w:r>
      <w:bookmarkEnd w:id="56"/>
      <w:bookmarkEnd w:id="57"/>
      <w:bookmarkEnd w:id="58"/>
    </w:p>
    <w:p>
      <w:pPr>
        <w:spacing w:line="600" w:lineRule="exact"/>
        <w:ind w:firstLine="640"/>
        <w:rPr>
          <w:rFonts w:hint="eastAsia" w:ascii="仿宋" w:eastAsia="仿宋" w:cs="仿宋"/>
          <w:color w:val="auto"/>
          <w:sz w:val="32"/>
          <w:szCs w:val="32"/>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hint="eastAsia" w:ascii="仿宋" w:eastAsia="仿宋"/>
          <w:color w:val="auto"/>
          <w:sz w:val="32"/>
          <w:szCs w:val="32"/>
          <w:highlight w:val="none"/>
          <w:lang w:val="en-US" w:eastAsia="zh-CN"/>
        </w:rPr>
        <w:t>145.81</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w:t>
      </w:r>
      <w:r>
        <w:rPr>
          <w:rFonts w:hint="eastAsia" w:ascii="仿宋" w:eastAsia="仿宋"/>
          <w:color w:val="auto"/>
          <w:sz w:val="32"/>
          <w:szCs w:val="32"/>
          <w:highlight w:val="none"/>
          <w:lang w:eastAsia="zh-CN"/>
        </w:rPr>
        <w:t>增加</w:t>
      </w:r>
      <w:r>
        <w:rPr>
          <w:rFonts w:hint="eastAsia" w:ascii="仿宋" w:eastAsia="仿宋"/>
          <w:color w:val="auto"/>
          <w:sz w:val="32"/>
          <w:szCs w:val="32"/>
          <w:highlight w:val="none"/>
          <w:lang w:val="en-US" w:eastAsia="zh-CN"/>
        </w:rPr>
        <w:t>10.26</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增长</w:t>
      </w:r>
      <w:r>
        <w:rPr>
          <w:rFonts w:hint="eastAsia" w:ascii="仿宋" w:eastAsia="仿宋"/>
          <w:color w:val="auto"/>
          <w:sz w:val="32"/>
          <w:szCs w:val="32"/>
          <w:highlight w:val="none"/>
          <w:lang w:val="en-US" w:eastAsia="zh-CN"/>
        </w:rPr>
        <w:t>7.57</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val="en-US" w:eastAsia="zh-CN"/>
        </w:rPr>
        <w:t>2022年收入</w:t>
      </w:r>
      <w:r>
        <w:rPr>
          <w:rFonts w:hint="eastAsia" w:ascii="仿宋" w:eastAsia="仿宋"/>
          <w:color w:val="auto"/>
          <w:sz w:val="32"/>
          <w:szCs w:val="32"/>
          <w:highlight w:val="none"/>
        </w:rPr>
        <w:t>主要变动原因</w:t>
      </w:r>
      <w:r>
        <w:rPr>
          <w:rFonts w:hint="eastAsia" w:ascii="仿宋" w:eastAsia="仿宋"/>
          <w:color w:val="auto"/>
          <w:sz w:val="32"/>
          <w:szCs w:val="32"/>
          <w:highlight w:val="none"/>
          <w:lang w:eastAsia="zh-CN"/>
        </w:rPr>
        <w:t>是：政府性基金预算财政拨款收入增加了</w:t>
      </w:r>
      <w:r>
        <w:rPr>
          <w:rFonts w:hint="eastAsia" w:ascii="仿宋" w:eastAsia="仿宋"/>
          <w:color w:val="auto"/>
          <w:sz w:val="32"/>
          <w:szCs w:val="32"/>
          <w:highlight w:val="none"/>
          <w:lang w:val="en-US" w:eastAsia="zh-CN"/>
        </w:rPr>
        <w:t>5.94万元，</w:t>
      </w:r>
      <w:r>
        <w:rPr>
          <w:rFonts w:hint="eastAsia" w:ascii="仿宋" w:eastAsia="仿宋"/>
          <w:color w:val="auto"/>
          <w:sz w:val="32"/>
          <w:szCs w:val="32"/>
          <w:highlight w:val="none"/>
          <w:lang w:eastAsia="zh-CN"/>
        </w:rPr>
        <w:t>一般公共预算财政拨款收入增加</w:t>
      </w:r>
      <w:r>
        <w:rPr>
          <w:rFonts w:hint="eastAsia" w:ascii="仿宋" w:eastAsia="仿宋" w:cs="仿宋"/>
          <w:color w:val="auto"/>
          <w:sz w:val="32"/>
          <w:szCs w:val="32"/>
          <w:lang w:val="en-US" w:eastAsia="zh-CN"/>
        </w:rPr>
        <w:t>了4.33万元。2022年支出变动主要原因是：社会保障和就业支出增加了6.3万元；卫生健康支出减少了2.85万元；住房保障支出增加了0.88万元；城乡社区支出增加了5.94万元。</w:t>
      </w:r>
    </w:p>
    <w:p>
      <w:pPr>
        <w:pStyle w:val="2"/>
        <w:rPr>
          <w:rFonts w:hint="eastAsia"/>
          <w:lang w:val="en-US" w:eastAsia="zh-CN"/>
        </w:rPr>
      </w:pPr>
      <w:r>
        <w:drawing>
          <wp:anchor distT="0" distB="0" distL="114935" distR="114935" simplePos="0" relativeHeight="251659264" behindDoc="0" locked="0" layoutInCell="1" allowOverlap="1">
            <wp:simplePos x="0" y="0"/>
            <wp:positionH relativeFrom="column">
              <wp:posOffset>887730</wp:posOffset>
            </wp:positionH>
            <wp:positionV relativeFrom="paragraph">
              <wp:posOffset>111125</wp:posOffset>
            </wp:positionV>
            <wp:extent cx="3543935" cy="1768475"/>
            <wp:effectExtent l="0" t="0" r="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lang w:val="en-US" w:eastAsia="zh-CN"/>
        </w:rPr>
        <w:t xml:space="preserve">       </w:t>
      </w:r>
    </w:p>
    <w:p>
      <w:pPr>
        <w:pStyle w:val="2"/>
        <w:rPr>
          <w:rFonts w:hint="eastAsia"/>
          <w:lang w:val="en-US" w:eastAsia="zh-CN"/>
        </w:rPr>
      </w:pPr>
    </w:p>
    <w:p>
      <w:pPr>
        <w:pStyle w:val="2"/>
        <w:rPr>
          <w:rFonts w:hint="eastAsia"/>
          <w:lang w:val="en-US" w:eastAsia="zh-CN"/>
        </w:rPr>
      </w:pPr>
      <w:r>
        <w:rPr>
          <w:rFonts w:hint="eastAsia"/>
          <w:lang w:val="en-US" w:eastAsia="zh-CN"/>
        </w:rPr>
        <w:t xml:space="preserve">  </w:t>
      </w:r>
    </w:p>
    <w:p>
      <w:pPr>
        <w:pStyle w:val="2"/>
        <w:rPr>
          <w:lang w:val="en-US"/>
        </w:rPr>
      </w:pPr>
    </w:p>
    <w:p>
      <w:pPr>
        <w:spacing w:line="600" w:lineRule="exact"/>
        <w:ind w:firstLine="640" w:firstLineChars="200"/>
        <w:jc w:val="center"/>
        <w:rPr>
          <w:rFonts w:ascii="仿宋" w:eastAsia="仿宋"/>
          <w:b/>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firstLine="640" w:firstLineChars="200"/>
        <w:outlineLvl w:val="1"/>
        <w:rPr>
          <w:rStyle w:val="15"/>
          <w:rFonts w:ascii="黑体" w:eastAsia="黑体"/>
          <w:b w:val="0"/>
          <w:color w:val="auto"/>
          <w:highlight w:val="none"/>
        </w:rPr>
      </w:pPr>
      <w:bookmarkStart w:id="59" w:name="_Toc15396607"/>
      <w:bookmarkStart w:id="60" w:name="_Toc15377209"/>
      <w:bookmarkStart w:id="61" w:name="_Toc2033"/>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5"/>
          <w:rFonts w:hint="eastAsia" w:ascii="黑体" w:eastAsia="黑体"/>
          <w:b w:val="0"/>
          <w:color w:val="auto"/>
          <w:highlight w:val="none"/>
        </w:rPr>
        <w:t>般公共预算财政拨款支出决算情况说明</w:t>
      </w:r>
      <w:bookmarkEnd w:id="59"/>
      <w:bookmarkEnd w:id="60"/>
      <w:bookmarkEnd w:id="61"/>
    </w:p>
    <w:p>
      <w:pPr>
        <w:spacing w:line="600" w:lineRule="exact"/>
        <w:ind w:firstLine="643" w:firstLineChars="200"/>
        <w:outlineLvl w:val="2"/>
        <w:rPr>
          <w:rFonts w:ascii="仿宋" w:eastAsia="仿宋"/>
          <w:b/>
          <w:color w:val="auto"/>
          <w:sz w:val="32"/>
          <w:szCs w:val="32"/>
          <w:highlight w:val="none"/>
        </w:rPr>
      </w:pPr>
      <w:bookmarkStart w:id="62" w:name="_Toc15377210"/>
      <w:bookmarkStart w:id="63" w:name="_Toc31261"/>
      <w:r>
        <w:rPr>
          <w:rFonts w:hint="eastAsia" w:ascii="仿宋" w:eastAsia="仿宋"/>
          <w:b/>
          <w:color w:val="auto"/>
          <w:sz w:val="32"/>
          <w:szCs w:val="32"/>
          <w:highlight w:val="none"/>
        </w:rPr>
        <w:t>（一）一般公共预算财政拨款支出决算总体情况</w:t>
      </w:r>
      <w:bookmarkEnd w:id="62"/>
      <w:bookmarkEnd w:id="63"/>
    </w:p>
    <w:p>
      <w:pPr>
        <w:spacing w:line="600" w:lineRule="exact"/>
        <w:ind w:firstLine="640" w:firstLineChars="200"/>
        <w:rPr>
          <w:rFonts w:hint="eastAsia" w:ascii="仿宋" w:eastAsia="仿宋"/>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139.88</w:t>
      </w:r>
      <w:r>
        <w:rPr>
          <w:rFonts w:hint="eastAsia" w:ascii="仿宋" w:eastAsia="仿宋"/>
          <w:color w:val="auto"/>
          <w:sz w:val="32"/>
          <w:szCs w:val="32"/>
          <w:highlight w:val="none"/>
        </w:rPr>
        <w:t>万元，占本年支出合计的</w:t>
      </w:r>
      <w:r>
        <w:rPr>
          <w:rFonts w:hint="eastAsia" w:ascii="仿宋" w:eastAsia="仿宋"/>
          <w:color w:val="auto"/>
          <w:sz w:val="32"/>
          <w:szCs w:val="32"/>
          <w:highlight w:val="none"/>
          <w:lang w:val="en-US" w:eastAsia="zh-CN"/>
        </w:rPr>
        <w:t>51.11</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支出增加了</w:t>
      </w:r>
      <w:r>
        <w:rPr>
          <w:rFonts w:hint="eastAsia" w:ascii="仿宋" w:eastAsia="仿宋"/>
          <w:color w:val="auto"/>
          <w:sz w:val="32"/>
          <w:szCs w:val="32"/>
          <w:highlight w:val="none"/>
          <w:lang w:val="en-US" w:eastAsia="zh-CN"/>
        </w:rPr>
        <w:t>4.33</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增长</w:t>
      </w:r>
      <w:r>
        <w:rPr>
          <w:rFonts w:hint="eastAsia" w:ascii="仿宋" w:eastAsia="仿宋"/>
          <w:color w:val="auto"/>
          <w:sz w:val="32"/>
          <w:szCs w:val="32"/>
          <w:highlight w:val="none"/>
          <w:lang w:val="en-US" w:eastAsia="zh-CN"/>
        </w:rPr>
        <w:t>3.2</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基本支出增加了</w:t>
      </w:r>
      <w:r>
        <w:rPr>
          <w:rFonts w:hint="eastAsia" w:ascii="仿宋" w:eastAsia="仿宋"/>
          <w:color w:val="auto"/>
          <w:sz w:val="32"/>
          <w:szCs w:val="32"/>
          <w:highlight w:val="none"/>
          <w:lang w:val="en-US" w:eastAsia="zh-CN"/>
        </w:rPr>
        <w:t>37.41万元，项目支出减少了33.09万元。</w:t>
      </w:r>
    </w:p>
    <w:p>
      <w:pPr>
        <w:pStyle w:val="2"/>
        <w:rPr>
          <w:lang w:val="en-US" w:eastAsia="zh-CN"/>
        </w:rPr>
      </w:pPr>
      <w:r>
        <w:rPr>
          <w:rFonts w:hint="eastAsia"/>
          <w:lang w:val="en-US" w:eastAsia="zh-CN"/>
        </w:rPr>
        <w:t xml:space="preserve">           </w:t>
      </w:r>
      <w:r>
        <w:drawing>
          <wp:inline distT="0" distB="0" distL="114300" distR="114300">
            <wp:extent cx="3162935" cy="18288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eastAsia="仿宋"/>
          <w:b/>
          <w:color w:val="auto"/>
          <w:sz w:val="32"/>
          <w:szCs w:val="32"/>
          <w:highlight w:val="none"/>
        </w:rPr>
      </w:pPr>
      <w:bookmarkStart w:id="64" w:name="_Toc15377211"/>
      <w:bookmarkStart w:id="65" w:name="_Toc6259"/>
      <w:r>
        <w:rPr>
          <w:rFonts w:hint="eastAsia" w:ascii="仿宋" w:eastAsia="仿宋"/>
          <w:b/>
          <w:color w:val="auto"/>
          <w:sz w:val="32"/>
          <w:szCs w:val="32"/>
          <w:highlight w:val="none"/>
        </w:rPr>
        <w:t>（二）一般公共预算财政拨款支出决算结构情况</w:t>
      </w:r>
      <w:bookmarkEnd w:id="64"/>
      <w:bookmarkEnd w:id="65"/>
    </w:p>
    <w:p>
      <w:pPr>
        <w:spacing w:line="600" w:lineRule="exact"/>
        <w:ind w:firstLine="640"/>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139.88</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w:t>
      </w:r>
      <w:r>
        <w:rPr>
          <w:rFonts w:hint="eastAsia" w:ascii="仿宋" w:eastAsia="仿宋" w:cs="Times New Roman"/>
          <w:b/>
          <w:color w:val="auto"/>
          <w:sz w:val="32"/>
          <w:szCs w:val="32"/>
          <w:highlight w:val="none"/>
        </w:rPr>
        <w:t>就业支出</w:t>
      </w:r>
      <w:r>
        <w:rPr>
          <w:rFonts w:hint="eastAsia" w:ascii="仿宋" w:eastAsia="仿宋"/>
          <w:color w:val="auto"/>
          <w:sz w:val="32"/>
          <w:szCs w:val="32"/>
          <w:highlight w:val="none"/>
          <w:lang w:val="en-US" w:eastAsia="zh-CN"/>
        </w:rPr>
        <w:t>14.61</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10.44</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hint="eastAsia" w:ascii="仿宋" w:eastAsia="仿宋"/>
          <w:color w:val="auto"/>
          <w:sz w:val="32"/>
          <w:szCs w:val="32"/>
          <w:highlight w:val="none"/>
          <w:lang w:val="en-US" w:eastAsia="zh-CN"/>
        </w:rPr>
        <w:t>118.08</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84.41</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s="Times New Roman"/>
          <w:b/>
          <w:color w:val="auto"/>
          <w:sz w:val="32"/>
          <w:szCs w:val="32"/>
          <w:highlight w:val="none"/>
        </w:rPr>
        <w:t>住房保障支出</w:t>
      </w:r>
      <w:r>
        <w:rPr>
          <w:rFonts w:hint="eastAsia" w:ascii="仿宋" w:eastAsia="仿宋"/>
          <w:color w:val="auto"/>
          <w:sz w:val="32"/>
          <w:szCs w:val="32"/>
          <w:highlight w:val="none"/>
          <w:lang w:val="en-US" w:eastAsia="zh-CN"/>
        </w:rPr>
        <w:t>7.18</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5.15</w:t>
      </w:r>
      <w:r>
        <w:rPr>
          <w:rFonts w:ascii="仿宋" w:eastAsia="仿宋"/>
          <w:color w:val="auto"/>
          <w:sz w:val="32"/>
          <w:szCs w:val="32"/>
          <w:highlight w:val="none"/>
        </w:rPr>
        <w:t>%</w:t>
      </w:r>
      <w:r>
        <w:rPr>
          <w:rFonts w:hint="eastAsia" w:ascii="仿宋" w:eastAsia="仿宋"/>
          <w:color w:val="auto"/>
          <w:sz w:val="32"/>
          <w:szCs w:val="32"/>
          <w:highlight w:val="none"/>
        </w:rPr>
        <w:t>。</w:t>
      </w:r>
    </w:p>
    <w:p>
      <w:pPr>
        <w:pStyle w:val="2"/>
      </w:pPr>
      <w:r>
        <w:rPr>
          <w:rFonts w:hint="eastAsia"/>
          <w:lang w:val="en-US" w:eastAsia="zh-CN"/>
        </w:rPr>
        <w:t xml:space="preserve">         </w:t>
      </w:r>
      <w:r>
        <w:drawing>
          <wp:inline distT="0" distB="0" distL="114300" distR="114300">
            <wp:extent cx="3633470" cy="2262505"/>
            <wp:effectExtent l="0" t="0" r="0" b="0"/>
            <wp:docPr id="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spacing w:line="600" w:lineRule="exact"/>
        <w:ind w:firstLine="643" w:firstLineChars="200"/>
        <w:outlineLvl w:val="2"/>
        <w:rPr>
          <w:rFonts w:hint="eastAsia" w:ascii="仿宋" w:hAnsi="仿宋" w:eastAsia="仿宋" w:cs="仿宋"/>
          <w:b/>
          <w:color w:val="auto"/>
          <w:sz w:val="32"/>
          <w:szCs w:val="32"/>
          <w:highlight w:val="none"/>
        </w:rPr>
      </w:pPr>
      <w:bookmarkStart w:id="66" w:name="_Toc15377212"/>
      <w:bookmarkStart w:id="67" w:name="_Toc4812"/>
      <w:r>
        <w:rPr>
          <w:rFonts w:hint="eastAsia" w:ascii="仿宋" w:hAnsi="仿宋" w:eastAsia="仿宋" w:cs="仿宋"/>
          <w:b/>
          <w:color w:val="auto"/>
          <w:sz w:val="32"/>
          <w:szCs w:val="32"/>
          <w:highlight w:val="none"/>
        </w:rPr>
        <w:t>（三）一般公共预算财政拨款支出决算具体情况</w:t>
      </w:r>
      <w:bookmarkEnd w:id="66"/>
      <w:bookmarkEnd w:id="67"/>
    </w:p>
    <w:p>
      <w:pPr>
        <w:spacing w:line="600" w:lineRule="exact"/>
        <w:ind w:firstLine="643" w:firstLineChars="200"/>
        <w:outlineLvl w:val="1"/>
        <w:rPr>
          <w:rStyle w:val="13"/>
          <w:rFonts w:hint="eastAsia" w:ascii="仿宋" w:hAnsi="仿宋" w:eastAsia="仿宋" w:cs="仿宋"/>
          <w:bCs/>
          <w:color w:val="000000"/>
          <w:sz w:val="32"/>
          <w:szCs w:val="32"/>
        </w:rPr>
      </w:pPr>
      <w:bookmarkStart w:id="68" w:name="_Toc15377444"/>
      <w:bookmarkStart w:id="69" w:name="_Toc19962"/>
      <w:bookmarkStart w:id="70" w:name="_Toc15378460"/>
      <w:bookmarkStart w:id="71" w:name="_Toc15377213"/>
      <w:bookmarkStart w:id="72" w:name="_Toc18400"/>
      <w:r>
        <w:rPr>
          <w:rFonts w:hint="eastAsia" w:ascii="仿宋" w:hAnsi="仿宋" w:eastAsia="仿宋" w:cs="仿宋"/>
          <w:b/>
          <w:color w:val="000000"/>
          <w:sz w:val="32"/>
          <w:szCs w:val="32"/>
          <w:lang w:eastAsia="zh-CN"/>
        </w:rPr>
        <w:t>202</w:t>
      </w:r>
      <w:r>
        <w:rPr>
          <w:rFonts w:hint="eastAsia" w:ascii="仿宋" w:hAnsi="仿宋" w:eastAsia="仿宋" w:cs="仿宋"/>
          <w:b/>
          <w:color w:val="000000"/>
          <w:sz w:val="32"/>
          <w:szCs w:val="32"/>
          <w:lang w:val="en-US" w:eastAsia="zh-CN"/>
        </w:rPr>
        <w:t>2</w:t>
      </w:r>
      <w:r>
        <w:rPr>
          <w:rFonts w:hint="eastAsia" w:ascii="仿宋" w:hAnsi="仿宋" w:eastAsia="仿宋" w:cs="仿宋"/>
          <w:b/>
          <w:color w:val="000000"/>
          <w:sz w:val="32"/>
          <w:szCs w:val="32"/>
        </w:rPr>
        <w:t>年一般公共预算支出决算数为</w:t>
      </w:r>
      <w:r>
        <w:rPr>
          <w:rFonts w:hint="eastAsia" w:ascii="仿宋" w:hAnsi="仿宋" w:eastAsia="仿宋" w:cs="仿宋"/>
          <w:b/>
          <w:color w:val="000000"/>
          <w:sz w:val="32"/>
          <w:szCs w:val="32"/>
          <w:lang w:val="en-US" w:eastAsia="zh-CN"/>
        </w:rPr>
        <w:t>139.88万元</w:t>
      </w:r>
      <w:r>
        <w:rPr>
          <w:rFonts w:hint="eastAsia" w:ascii="仿宋" w:hAnsi="仿宋" w:eastAsia="仿宋" w:cs="仿宋"/>
          <w:color w:val="000000"/>
          <w:sz w:val="32"/>
          <w:szCs w:val="32"/>
        </w:rPr>
        <w:t>，</w:t>
      </w:r>
      <w:r>
        <w:rPr>
          <w:rStyle w:val="13"/>
          <w:rFonts w:hint="eastAsia" w:ascii="仿宋" w:hAnsi="仿宋" w:eastAsia="仿宋" w:cs="仿宋"/>
          <w:bCs/>
          <w:color w:val="000000"/>
          <w:sz w:val="32"/>
          <w:szCs w:val="32"/>
        </w:rPr>
        <w:t>完成预算</w:t>
      </w:r>
      <w:r>
        <w:rPr>
          <w:rStyle w:val="13"/>
          <w:rFonts w:hint="eastAsia" w:ascii="仿宋" w:hAnsi="仿宋" w:eastAsia="仿宋" w:cs="仿宋"/>
          <w:bCs/>
          <w:color w:val="000000"/>
          <w:sz w:val="32"/>
          <w:szCs w:val="32"/>
          <w:lang w:val="en-US" w:eastAsia="zh-CN"/>
        </w:rPr>
        <w:t>100</w:t>
      </w:r>
      <w:r>
        <w:rPr>
          <w:rStyle w:val="13"/>
          <w:rFonts w:hint="eastAsia" w:ascii="仿宋" w:hAnsi="仿宋" w:eastAsia="仿宋" w:cs="仿宋"/>
          <w:bCs/>
          <w:color w:val="000000"/>
          <w:sz w:val="32"/>
          <w:szCs w:val="32"/>
        </w:rPr>
        <w:t>%。其中：</w:t>
      </w:r>
      <w:bookmarkEnd w:id="68"/>
      <w:bookmarkEnd w:id="69"/>
      <w:bookmarkEnd w:id="70"/>
      <w:bookmarkEnd w:id="71"/>
      <w:bookmarkEnd w:id="72"/>
    </w:p>
    <w:p>
      <w:pPr>
        <w:spacing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卫生健康支出</w:t>
      </w:r>
      <w:r>
        <w:rPr>
          <w:rFonts w:hint="eastAsia" w:ascii="仿宋" w:hAnsi="仿宋" w:eastAsia="仿宋" w:cs="仿宋"/>
          <w:b/>
          <w:color w:val="000000"/>
          <w:sz w:val="32"/>
          <w:szCs w:val="32"/>
        </w:rPr>
        <w:t>（类）基层医疗卫生机构（款）</w:t>
      </w:r>
      <w:r>
        <w:rPr>
          <w:rStyle w:val="13"/>
          <w:rFonts w:hint="eastAsia" w:ascii="仿宋" w:hAnsi="仿宋" w:eastAsia="仿宋" w:cs="仿宋"/>
          <w:color w:val="000000"/>
          <w:sz w:val="32"/>
          <w:szCs w:val="32"/>
        </w:rPr>
        <w:t>乡镇卫生院（项）</w:t>
      </w:r>
      <w:r>
        <w:rPr>
          <w:rStyle w:val="13"/>
          <w:rFonts w:hint="eastAsia" w:ascii="仿宋" w:hAnsi="仿宋" w:eastAsia="仿宋" w:cs="仿宋"/>
          <w:color w:val="000000"/>
          <w:sz w:val="32"/>
          <w:szCs w:val="32"/>
          <w:lang w:eastAsia="zh-CN"/>
        </w:rPr>
        <w:t>：</w:t>
      </w:r>
      <w:r>
        <w:rPr>
          <w:rStyle w:val="13"/>
          <w:rFonts w:hint="eastAsia" w:ascii="仿宋" w:hAnsi="仿宋" w:eastAsia="仿宋" w:cs="仿宋"/>
          <w:b w:val="0"/>
          <w:color w:val="000000"/>
          <w:sz w:val="32"/>
          <w:szCs w:val="32"/>
        </w:rPr>
        <w:t>主要</w:t>
      </w:r>
      <w:r>
        <w:rPr>
          <w:rStyle w:val="13"/>
          <w:rFonts w:hint="eastAsia" w:ascii="仿宋" w:hAnsi="仿宋" w:eastAsia="仿宋" w:cs="仿宋"/>
          <w:b w:val="0"/>
          <w:color w:val="000000"/>
          <w:sz w:val="32"/>
          <w:szCs w:val="32"/>
          <w:lang w:eastAsia="zh-CN"/>
        </w:rPr>
        <w:t>用于乡镇</w:t>
      </w:r>
      <w:r>
        <w:rPr>
          <w:rStyle w:val="13"/>
          <w:rFonts w:hint="eastAsia" w:ascii="仿宋" w:hAnsi="仿宋" w:eastAsia="仿宋" w:cs="仿宋"/>
          <w:b w:val="0"/>
          <w:color w:val="000000"/>
          <w:sz w:val="32"/>
          <w:szCs w:val="32"/>
        </w:rPr>
        <w:t>卫生院人员</w:t>
      </w:r>
      <w:r>
        <w:rPr>
          <w:rStyle w:val="13"/>
          <w:rFonts w:hint="eastAsia" w:ascii="仿宋" w:hAnsi="仿宋" w:eastAsia="仿宋" w:cs="仿宋"/>
          <w:b w:val="0"/>
          <w:color w:val="000000"/>
          <w:sz w:val="32"/>
          <w:szCs w:val="32"/>
          <w:lang w:eastAsia="zh-CN"/>
        </w:rPr>
        <w:t>工资、保险，</w:t>
      </w:r>
      <w:r>
        <w:rPr>
          <w:rStyle w:val="13"/>
          <w:rFonts w:hint="eastAsia" w:ascii="仿宋" w:hAnsi="仿宋" w:eastAsia="仿宋" w:cs="仿宋"/>
          <w:b w:val="0"/>
          <w:bCs/>
          <w:color w:val="000000"/>
          <w:sz w:val="32"/>
          <w:szCs w:val="32"/>
        </w:rPr>
        <w:t>决算数</w:t>
      </w:r>
      <w:r>
        <w:rPr>
          <w:rStyle w:val="13"/>
          <w:rFonts w:hint="eastAsia" w:ascii="仿宋" w:hAnsi="仿宋" w:eastAsia="仿宋" w:cs="仿宋"/>
          <w:b w:val="0"/>
          <w:bCs/>
          <w:color w:val="000000"/>
          <w:sz w:val="32"/>
          <w:szCs w:val="32"/>
          <w:lang w:val="en-US" w:eastAsia="zh-CN"/>
        </w:rPr>
        <w:t>101.28</w:t>
      </w:r>
      <w:r>
        <w:rPr>
          <w:rStyle w:val="13"/>
          <w:rFonts w:hint="eastAsia" w:ascii="仿宋" w:hAnsi="仿宋" w:eastAsia="仿宋" w:cs="仿宋"/>
          <w:b w:val="0"/>
          <w:bCs/>
          <w:color w:val="000000"/>
          <w:sz w:val="32"/>
          <w:szCs w:val="32"/>
        </w:rPr>
        <w:t>万元</w:t>
      </w:r>
      <w:r>
        <w:rPr>
          <w:rStyle w:val="13"/>
          <w:rFonts w:hint="eastAsia" w:ascii="仿宋" w:hAnsi="仿宋" w:eastAsia="仿宋" w:cs="仿宋"/>
          <w:color w:val="000000"/>
          <w:sz w:val="32"/>
          <w:szCs w:val="32"/>
        </w:rPr>
        <w:t>，</w:t>
      </w:r>
      <w:r>
        <w:rPr>
          <w:rFonts w:hint="eastAsia" w:ascii="仿宋" w:hAnsi="仿宋" w:eastAsia="仿宋" w:cs="仿宋"/>
          <w:color w:val="000000"/>
          <w:sz w:val="32"/>
          <w:szCs w:val="32"/>
        </w:rPr>
        <w:t>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spacing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卫生健康支出</w:t>
      </w:r>
      <w:r>
        <w:rPr>
          <w:rFonts w:hint="eastAsia" w:ascii="仿宋" w:hAnsi="仿宋" w:eastAsia="仿宋" w:cs="仿宋"/>
          <w:b/>
          <w:color w:val="000000"/>
          <w:sz w:val="32"/>
          <w:szCs w:val="32"/>
        </w:rPr>
        <w:t>（类）基层医疗卫生机构（款）</w:t>
      </w:r>
      <w:r>
        <w:rPr>
          <w:rStyle w:val="13"/>
          <w:rFonts w:hint="eastAsia" w:ascii="仿宋" w:hAnsi="仿宋" w:eastAsia="仿宋" w:cs="仿宋"/>
          <w:color w:val="000000"/>
          <w:sz w:val="32"/>
          <w:szCs w:val="32"/>
        </w:rPr>
        <w:t xml:space="preserve"> 其他基层医疗卫生机构支出（项）</w:t>
      </w:r>
      <w:r>
        <w:rPr>
          <w:rStyle w:val="13"/>
          <w:rFonts w:hint="eastAsia" w:ascii="仿宋" w:hAnsi="仿宋" w:eastAsia="仿宋" w:cs="仿宋"/>
          <w:color w:val="000000"/>
          <w:sz w:val="32"/>
          <w:szCs w:val="32"/>
          <w:lang w:eastAsia="zh-CN"/>
        </w:rPr>
        <w:t>：</w:t>
      </w:r>
      <w:r>
        <w:rPr>
          <w:rStyle w:val="13"/>
          <w:rFonts w:hint="eastAsia" w:ascii="仿宋" w:hAnsi="仿宋" w:eastAsia="仿宋" w:cs="仿宋"/>
          <w:b w:val="0"/>
          <w:color w:val="000000"/>
          <w:sz w:val="32"/>
          <w:szCs w:val="32"/>
          <w:lang w:eastAsia="zh-CN"/>
        </w:rPr>
        <w:t>主要用于乡镇卫生院专用材料费、劳务费，</w:t>
      </w:r>
      <w:r>
        <w:rPr>
          <w:rStyle w:val="13"/>
          <w:rFonts w:hint="eastAsia" w:ascii="仿宋" w:hAnsi="仿宋" w:eastAsia="仿宋" w:cs="仿宋"/>
          <w:b w:val="0"/>
          <w:bCs/>
          <w:color w:val="000000"/>
          <w:sz w:val="32"/>
          <w:szCs w:val="32"/>
        </w:rPr>
        <w:t>决算数</w:t>
      </w:r>
      <w:r>
        <w:rPr>
          <w:rStyle w:val="13"/>
          <w:rFonts w:hint="eastAsia" w:ascii="仿宋" w:hAnsi="仿宋" w:eastAsia="仿宋" w:cs="仿宋"/>
          <w:b w:val="0"/>
          <w:bCs/>
          <w:color w:val="000000"/>
          <w:sz w:val="32"/>
          <w:szCs w:val="32"/>
          <w:lang w:val="en-US" w:eastAsia="zh-CN"/>
        </w:rPr>
        <w:t>7.29</w:t>
      </w:r>
      <w:r>
        <w:rPr>
          <w:rStyle w:val="13"/>
          <w:rFonts w:hint="eastAsia" w:ascii="仿宋" w:hAnsi="仿宋" w:eastAsia="仿宋" w:cs="仿宋"/>
          <w:b w:val="0"/>
          <w:bCs/>
          <w:color w:val="000000"/>
          <w:sz w:val="32"/>
          <w:szCs w:val="32"/>
        </w:rPr>
        <w:t>万元</w:t>
      </w:r>
      <w:r>
        <w:rPr>
          <w:rStyle w:val="13"/>
          <w:rFonts w:hint="eastAsia" w:ascii="仿宋" w:hAnsi="仿宋" w:eastAsia="仿宋" w:cs="仿宋"/>
          <w:color w:val="000000"/>
          <w:sz w:val="32"/>
          <w:szCs w:val="32"/>
        </w:rPr>
        <w:t>，</w:t>
      </w:r>
      <w:r>
        <w:rPr>
          <w:rFonts w:hint="eastAsia" w:ascii="仿宋" w:hAnsi="仿宋" w:eastAsia="仿宋" w:cs="仿宋"/>
          <w:color w:val="000000"/>
          <w:sz w:val="32"/>
          <w:szCs w:val="32"/>
        </w:rPr>
        <w:t>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spacing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卫生健康支出</w:t>
      </w:r>
      <w:r>
        <w:rPr>
          <w:rFonts w:hint="eastAsia" w:ascii="仿宋" w:hAnsi="仿宋" w:eastAsia="仿宋" w:cs="仿宋"/>
          <w:b/>
          <w:color w:val="000000"/>
          <w:sz w:val="32"/>
          <w:szCs w:val="32"/>
        </w:rPr>
        <w:t>（类）公共卫生（款）</w:t>
      </w:r>
      <w:r>
        <w:rPr>
          <w:rStyle w:val="13"/>
          <w:rFonts w:hint="eastAsia" w:ascii="仿宋" w:hAnsi="仿宋" w:eastAsia="仿宋" w:cs="仿宋"/>
          <w:color w:val="000000"/>
          <w:sz w:val="32"/>
          <w:szCs w:val="32"/>
        </w:rPr>
        <w:t xml:space="preserve"> 重大公共卫生服务（项）</w:t>
      </w:r>
      <w:r>
        <w:rPr>
          <w:rStyle w:val="13"/>
          <w:rFonts w:hint="eastAsia" w:ascii="仿宋" w:hAnsi="仿宋" w:eastAsia="仿宋" w:cs="仿宋"/>
          <w:color w:val="000000"/>
          <w:sz w:val="32"/>
          <w:szCs w:val="32"/>
          <w:lang w:eastAsia="zh-CN"/>
        </w:rPr>
        <w:t>：</w:t>
      </w:r>
      <w:r>
        <w:rPr>
          <w:rStyle w:val="13"/>
          <w:rFonts w:hint="eastAsia" w:ascii="仿宋" w:hAnsi="仿宋" w:eastAsia="仿宋" w:cs="仿宋"/>
          <w:b w:val="0"/>
          <w:color w:val="000000"/>
          <w:sz w:val="32"/>
          <w:szCs w:val="32"/>
          <w:lang w:eastAsia="zh-CN"/>
        </w:rPr>
        <w:t>主要用于乡镇卫生院专用材料费、劳务费，</w:t>
      </w:r>
      <w:r>
        <w:rPr>
          <w:rStyle w:val="13"/>
          <w:rFonts w:hint="eastAsia" w:ascii="仿宋" w:hAnsi="仿宋" w:eastAsia="仿宋" w:cs="仿宋"/>
          <w:b w:val="0"/>
          <w:bCs/>
          <w:color w:val="000000"/>
          <w:sz w:val="32"/>
          <w:szCs w:val="32"/>
        </w:rPr>
        <w:t>决算数</w:t>
      </w:r>
      <w:r>
        <w:rPr>
          <w:rStyle w:val="13"/>
          <w:rFonts w:hint="eastAsia" w:ascii="仿宋" w:hAnsi="仿宋" w:eastAsia="仿宋" w:cs="仿宋"/>
          <w:b w:val="0"/>
          <w:bCs/>
          <w:color w:val="000000"/>
          <w:sz w:val="32"/>
          <w:szCs w:val="32"/>
          <w:lang w:val="en-US" w:eastAsia="zh-CN"/>
        </w:rPr>
        <w:t>2.05</w:t>
      </w:r>
      <w:r>
        <w:rPr>
          <w:rStyle w:val="13"/>
          <w:rFonts w:hint="eastAsia" w:ascii="仿宋" w:hAnsi="仿宋" w:eastAsia="仿宋" w:cs="仿宋"/>
          <w:b w:val="0"/>
          <w:bCs/>
          <w:color w:val="000000"/>
          <w:sz w:val="32"/>
          <w:szCs w:val="32"/>
        </w:rPr>
        <w:t>万元</w:t>
      </w:r>
      <w:r>
        <w:rPr>
          <w:rStyle w:val="13"/>
          <w:rFonts w:hint="eastAsia" w:ascii="仿宋" w:hAnsi="仿宋" w:eastAsia="仿宋" w:cs="仿宋"/>
          <w:color w:val="000000"/>
          <w:sz w:val="32"/>
          <w:szCs w:val="32"/>
        </w:rPr>
        <w:t>，</w:t>
      </w:r>
      <w:r>
        <w:rPr>
          <w:rFonts w:hint="eastAsia" w:ascii="仿宋" w:hAnsi="仿宋" w:eastAsia="仿宋" w:cs="仿宋"/>
          <w:color w:val="000000"/>
          <w:sz w:val="32"/>
          <w:szCs w:val="32"/>
        </w:rPr>
        <w:t>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pStyle w:val="2"/>
        <w:rPr>
          <w:rFonts w:hint="eastAsia" w:ascii="仿宋" w:hAnsi="仿宋" w:eastAsia="仿宋" w:cs="仿宋"/>
          <w:lang w:eastAsia="zh-CN"/>
        </w:rPr>
      </w:pPr>
    </w:p>
    <w:p>
      <w:pPr>
        <w:spacing w:line="600" w:lineRule="exact"/>
        <w:ind w:firstLine="643" w:firstLineChars="200"/>
        <w:rPr>
          <w:rStyle w:val="13"/>
          <w:rFonts w:hint="eastAsia" w:ascii="仿宋" w:hAnsi="仿宋" w:eastAsia="仿宋" w:cs="仿宋"/>
          <w:color w:val="000000"/>
          <w:sz w:val="32"/>
          <w:szCs w:val="32"/>
        </w:rPr>
      </w:pPr>
      <w:r>
        <w:rPr>
          <w:rFonts w:hint="eastAsia" w:ascii="仿宋" w:hAnsi="仿宋" w:eastAsia="仿宋" w:cs="仿宋"/>
          <w:b/>
          <w:bCs/>
          <w:color w:val="000000"/>
          <w:sz w:val="32"/>
          <w:szCs w:val="32"/>
        </w:rPr>
        <w:t>卫生健康支出</w:t>
      </w:r>
      <w:r>
        <w:rPr>
          <w:rFonts w:hint="eastAsia" w:ascii="仿宋" w:hAnsi="仿宋" w:eastAsia="仿宋" w:cs="仿宋"/>
          <w:b/>
          <w:color w:val="000000"/>
          <w:sz w:val="32"/>
          <w:szCs w:val="32"/>
        </w:rPr>
        <w:t>（类）行政事业单位医疗（款）</w:t>
      </w:r>
      <w:r>
        <w:rPr>
          <w:rStyle w:val="13"/>
          <w:rFonts w:hint="eastAsia" w:ascii="仿宋" w:hAnsi="仿宋" w:eastAsia="仿宋" w:cs="仿宋"/>
          <w:color w:val="000000"/>
          <w:sz w:val="32"/>
          <w:szCs w:val="32"/>
        </w:rPr>
        <w:t xml:space="preserve"> 事业单位医疗（项）</w:t>
      </w:r>
      <w:r>
        <w:rPr>
          <w:rStyle w:val="13"/>
          <w:rFonts w:hint="eastAsia" w:ascii="仿宋" w:hAnsi="仿宋" w:eastAsia="仿宋" w:cs="仿宋"/>
          <w:color w:val="000000"/>
          <w:sz w:val="32"/>
          <w:szCs w:val="32"/>
          <w:lang w:eastAsia="zh-CN"/>
        </w:rPr>
        <w:t>：</w:t>
      </w:r>
      <w:r>
        <w:rPr>
          <w:rStyle w:val="13"/>
          <w:rFonts w:hint="eastAsia" w:ascii="仿宋" w:hAnsi="仿宋" w:eastAsia="仿宋" w:cs="仿宋"/>
          <w:b w:val="0"/>
          <w:color w:val="000000"/>
          <w:sz w:val="32"/>
          <w:szCs w:val="32"/>
          <w:lang w:eastAsia="zh-CN"/>
        </w:rPr>
        <w:t>主要用于乡镇卫生院专用材料费、劳务费，</w:t>
      </w:r>
      <w:r>
        <w:rPr>
          <w:rStyle w:val="13"/>
          <w:rFonts w:hint="eastAsia" w:ascii="仿宋" w:hAnsi="仿宋" w:eastAsia="仿宋" w:cs="仿宋"/>
          <w:b w:val="0"/>
          <w:bCs/>
          <w:color w:val="000000"/>
          <w:sz w:val="32"/>
          <w:szCs w:val="32"/>
        </w:rPr>
        <w:t>决算数</w:t>
      </w:r>
      <w:r>
        <w:rPr>
          <w:rStyle w:val="13"/>
          <w:rFonts w:hint="eastAsia" w:ascii="仿宋" w:hAnsi="仿宋" w:eastAsia="仿宋" w:cs="仿宋"/>
          <w:b w:val="0"/>
          <w:bCs/>
          <w:color w:val="000000"/>
          <w:sz w:val="32"/>
          <w:szCs w:val="32"/>
          <w:lang w:val="en-US" w:eastAsia="zh-CN"/>
        </w:rPr>
        <w:t>7.46</w:t>
      </w:r>
      <w:r>
        <w:rPr>
          <w:rStyle w:val="13"/>
          <w:rFonts w:hint="eastAsia" w:ascii="仿宋" w:hAnsi="仿宋" w:eastAsia="仿宋" w:cs="仿宋"/>
          <w:b w:val="0"/>
          <w:bCs/>
          <w:color w:val="000000"/>
          <w:sz w:val="32"/>
          <w:szCs w:val="32"/>
        </w:rPr>
        <w:t>万元</w:t>
      </w:r>
      <w:r>
        <w:rPr>
          <w:rStyle w:val="13"/>
          <w:rFonts w:hint="eastAsia" w:ascii="仿宋" w:hAnsi="仿宋" w:eastAsia="仿宋" w:cs="仿宋"/>
          <w:color w:val="000000"/>
          <w:sz w:val="32"/>
          <w:szCs w:val="32"/>
        </w:rPr>
        <w:t>，</w:t>
      </w:r>
      <w:r>
        <w:rPr>
          <w:rFonts w:hint="eastAsia" w:ascii="仿宋" w:hAnsi="仿宋" w:eastAsia="仿宋" w:cs="仿宋"/>
          <w:color w:val="000000"/>
          <w:sz w:val="32"/>
          <w:szCs w:val="32"/>
        </w:rPr>
        <w:t>完成预算</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spacing w:line="600" w:lineRule="exact"/>
        <w:ind w:firstLine="643" w:firstLineChars="200"/>
        <w:rPr>
          <w:rStyle w:val="13"/>
          <w:rFonts w:hint="eastAsia" w:ascii="仿宋" w:hAnsi="仿宋" w:eastAsia="仿宋" w:cs="仿宋"/>
          <w:b w:val="0"/>
          <w:color w:val="000000"/>
          <w:sz w:val="32"/>
          <w:szCs w:val="32"/>
          <w:lang w:eastAsia="zh-CN"/>
        </w:rPr>
      </w:pPr>
      <w:r>
        <w:rPr>
          <w:rStyle w:val="13"/>
          <w:rFonts w:hint="eastAsia" w:ascii="仿宋" w:hAnsi="仿宋" w:eastAsia="仿宋" w:cs="仿宋"/>
          <w:color w:val="000000"/>
          <w:sz w:val="32"/>
          <w:szCs w:val="32"/>
        </w:rPr>
        <w:t>住房保障支出（类）住房改革支出（款）</w:t>
      </w:r>
      <w:r>
        <w:rPr>
          <w:rStyle w:val="13"/>
          <w:rFonts w:hint="eastAsia" w:ascii="仿宋" w:hAnsi="仿宋" w:eastAsia="仿宋" w:cs="仿宋"/>
          <w:bCs/>
          <w:color w:val="000000"/>
          <w:sz w:val="32"/>
          <w:szCs w:val="32"/>
        </w:rPr>
        <w:t>住房公积金支出（项）</w:t>
      </w:r>
      <w:r>
        <w:rPr>
          <w:rStyle w:val="13"/>
          <w:rFonts w:hint="eastAsia" w:ascii="仿宋" w:hAnsi="仿宋" w:eastAsia="仿宋" w:cs="仿宋"/>
          <w:b w:val="0"/>
          <w:color w:val="000000"/>
          <w:sz w:val="32"/>
          <w:szCs w:val="32"/>
        </w:rPr>
        <w:t>:主要用于</w:t>
      </w:r>
      <w:r>
        <w:rPr>
          <w:rStyle w:val="13"/>
          <w:rFonts w:hint="eastAsia" w:ascii="仿宋" w:hAnsi="仿宋" w:eastAsia="仿宋" w:cs="仿宋"/>
          <w:b w:val="0"/>
          <w:color w:val="000000"/>
          <w:sz w:val="32"/>
          <w:szCs w:val="32"/>
          <w:lang w:eastAsia="zh-CN"/>
        </w:rPr>
        <w:t>在职在编人员</w:t>
      </w:r>
      <w:r>
        <w:rPr>
          <w:rStyle w:val="13"/>
          <w:rFonts w:hint="eastAsia" w:ascii="仿宋" w:hAnsi="仿宋" w:eastAsia="仿宋" w:cs="仿宋"/>
          <w:b w:val="0"/>
          <w:color w:val="000000"/>
          <w:sz w:val="32"/>
          <w:szCs w:val="32"/>
        </w:rPr>
        <w:t>缴纳住房公积金支出。决算数为</w:t>
      </w:r>
      <w:r>
        <w:rPr>
          <w:rStyle w:val="13"/>
          <w:rFonts w:hint="eastAsia" w:ascii="仿宋" w:hAnsi="仿宋" w:eastAsia="仿宋" w:cs="仿宋"/>
          <w:b w:val="0"/>
          <w:color w:val="000000"/>
          <w:sz w:val="32"/>
          <w:szCs w:val="32"/>
          <w:lang w:val="en-US" w:eastAsia="zh-CN"/>
        </w:rPr>
        <w:t>7.18</w:t>
      </w:r>
      <w:r>
        <w:rPr>
          <w:rStyle w:val="13"/>
          <w:rFonts w:hint="eastAsia" w:ascii="仿宋" w:hAnsi="仿宋" w:eastAsia="仿宋" w:cs="仿宋"/>
          <w:b w:val="0"/>
          <w:color w:val="000000"/>
          <w:sz w:val="32"/>
          <w:szCs w:val="32"/>
        </w:rPr>
        <w:t>万元，完成预算</w:t>
      </w:r>
      <w:r>
        <w:rPr>
          <w:rStyle w:val="13"/>
          <w:rFonts w:hint="eastAsia" w:ascii="仿宋" w:hAnsi="仿宋" w:eastAsia="仿宋" w:cs="仿宋"/>
          <w:b w:val="0"/>
          <w:color w:val="000000"/>
          <w:sz w:val="32"/>
          <w:szCs w:val="32"/>
          <w:lang w:val="en-US" w:eastAsia="zh-CN"/>
        </w:rPr>
        <w:t>100</w:t>
      </w:r>
      <w:r>
        <w:rPr>
          <w:rStyle w:val="13"/>
          <w:rFonts w:hint="eastAsia" w:ascii="仿宋" w:hAnsi="仿宋" w:eastAsia="仿宋" w:cs="仿宋"/>
          <w:b w:val="0"/>
          <w:color w:val="000000"/>
          <w:sz w:val="32"/>
          <w:szCs w:val="32"/>
        </w:rPr>
        <w:t>%</w:t>
      </w:r>
      <w:r>
        <w:rPr>
          <w:rStyle w:val="13"/>
          <w:rFonts w:hint="eastAsia" w:ascii="仿宋" w:hAnsi="仿宋" w:eastAsia="仿宋" w:cs="仿宋"/>
          <w:b w:val="0"/>
          <w:color w:val="000000"/>
          <w:sz w:val="32"/>
          <w:szCs w:val="32"/>
          <w:lang w:eastAsia="zh-CN"/>
        </w:rPr>
        <w:t>。</w:t>
      </w:r>
    </w:p>
    <w:p>
      <w:pPr>
        <w:spacing w:line="600" w:lineRule="exact"/>
        <w:ind w:firstLine="643" w:firstLineChars="200"/>
        <w:rPr>
          <w:rFonts w:hint="eastAsia" w:ascii="仿宋" w:hAnsi="仿宋" w:eastAsia="仿宋" w:cs="仿宋"/>
          <w:sz w:val="32"/>
          <w:szCs w:val="32"/>
        </w:rPr>
      </w:pPr>
      <w:r>
        <w:rPr>
          <w:rStyle w:val="13"/>
          <w:rFonts w:hint="eastAsia" w:ascii="仿宋" w:hAnsi="仿宋" w:eastAsia="仿宋" w:cs="仿宋"/>
          <w:color w:val="000000"/>
          <w:sz w:val="32"/>
          <w:szCs w:val="32"/>
        </w:rPr>
        <w:t>社会保障和就业支出(类)行政事业单位养老支出（款）</w:t>
      </w:r>
      <w:r>
        <w:rPr>
          <w:rFonts w:hint="eastAsia" w:ascii="仿宋" w:hAnsi="仿宋" w:eastAsia="仿宋" w:cs="仿宋"/>
          <w:b/>
          <w:color w:val="000000"/>
          <w:sz w:val="32"/>
          <w:szCs w:val="32"/>
        </w:rPr>
        <w:t xml:space="preserve">  机关事业单位基本养老保险缴费支出（项）：</w:t>
      </w:r>
      <w:r>
        <w:rPr>
          <w:rFonts w:hint="eastAsia" w:ascii="仿宋" w:hAnsi="仿宋" w:eastAsia="仿宋" w:cs="仿宋"/>
          <w:b w:val="0"/>
          <w:bCs/>
          <w:color w:val="000000"/>
          <w:sz w:val="32"/>
          <w:szCs w:val="32"/>
          <w:lang w:eastAsia="zh-CN"/>
        </w:rPr>
        <w:t>主要用于在职在编人员基本养老保险支出，</w:t>
      </w:r>
      <w:r>
        <w:rPr>
          <w:rFonts w:hint="eastAsia" w:ascii="仿宋" w:hAnsi="仿宋" w:eastAsia="仿宋" w:cs="仿宋"/>
          <w:sz w:val="32"/>
          <w:szCs w:val="32"/>
        </w:rPr>
        <w:t>决算数为</w:t>
      </w:r>
      <w:r>
        <w:rPr>
          <w:rFonts w:hint="eastAsia" w:ascii="仿宋" w:hAnsi="仿宋" w:eastAsia="仿宋" w:cs="仿宋"/>
          <w:sz w:val="32"/>
          <w:szCs w:val="32"/>
          <w:lang w:val="en-US" w:eastAsia="zh-CN"/>
        </w:rPr>
        <w:t>7.32</w:t>
      </w:r>
      <w:r>
        <w:rPr>
          <w:rFonts w:hint="eastAsia" w:ascii="仿宋" w:hAnsi="仿宋" w:eastAsia="仿宋" w:cs="仿宋"/>
          <w:sz w:val="32"/>
          <w:szCs w:val="32"/>
        </w:rPr>
        <w:t>万元，完成预算100%。</w:t>
      </w:r>
    </w:p>
    <w:p>
      <w:pPr>
        <w:spacing w:line="600" w:lineRule="exact"/>
        <w:ind w:firstLine="643" w:firstLineChars="200"/>
        <w:rPr>
          <w:rFonts w:ascii="仿宋" w:eastAsia="仿宋"/>
          <w:b/>
          <w:color w:val="auto"/>
          <w:sz w:val="32"/>
          <w:szCs w:val="32"/>
          <w:highlight w:val="none"/>
        </w:rPr>
      </w:pPr>
      <w:r>
        <w:rPr>
          <w:rStyle w:val="13"/>
          <w:rFonts w:hint="eastAsia" w:ascii="仿宋" w:hAnsi="仿宋" w:eastAsia="仿宋" w:cs="仿宋"/>
          <w:color w:val="000000"/>
          <w:sz w:val="32"/>
          <w:szCs w:val="32"/>
        </w:rPr>
        <w:t>社会保障和就业支出(类)行政事业单位养老支出（款）</w:t>
      </w:r>
      <w:r>
        <w:rPr>
          <w:rFonts w:hint="eastAsia" w:ascii="仿宋" w:hAnsi="仿宋" w:eastAsia="仿宋" w:cs="仿宋"/>
          <w:b/>
          <w:sz w:val="32"/>
          <w:szCs w:val="32"/>
        </w:rPr>
        <w:t xml:space="preserve">  机关事业单位职业年金缴费支出（项）：</w:t>
      </w:r>
      <w:r>
        <w:rPr>
          <w:rFonts w:hint="eastAsia" w:ascii="仿宋" w:hAnsi="仿宋" w:eastAsia="仿宋" w:cs="仿宋"/>
          <w:b w:val="0"/>
          <w:bCs/>
          <w:color w:val="000000"/>
          <w:sz w:val="32"/>
          <w:szCs w:val="32"/>
          <w:lang w:eastAsia="zh-CN"/>
        </w:rPr>
        <w:t>主要用于在职在编人员职业年金支出，</w:t>
      </w:r>
      <w:r>
        <w:rPr>
          <w:rFonts w:hint="eastAsia" w:ascii="仿宋" w:hAnsi="仿宋" w:eastAsia="仿宋" w:cs="仿宋"/>
          <w:sz w:val="32"/>
          <w:szCs w:val="32"/>
        </w:rPr>
        <w:t>决算数为</w:t>
      </w:r>
      <w:r>
        <w:rPr>
          <w:rFonts w:hint="eastAsia" w:ascii="仿宋" w:hAnsi="仿宋" w:eastAsia="仿宋" w:cs="仿宋"/>
          <w:sz w:val="32"/>
          <w:szCs w:val="32"/>
          <w:lang w:val="en-US" w:eastAsia="zh-CN"/>
        </w:rPr>
        <w:t>7.29</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p>
    <w:p>
      <w:pPr>
        <w:tabs>
          <w:tab w:val="right" w:pos="8306"/>
        </w:tabs>
        <w:spacing w:line="600" w:lineRule="exact"/>
        <w:ind w:firstLine="640"/>
        <w:outlineLvl w:val="1"/>
        <w:rPr>
          <w:rStyle w:val="15"/>
          <w:color w:val="auto"/>
          <w:highlight w:val="none"/>
        </w:rPr>
      </w:pPr>
      <w:bookmarkStart w:id="73" w:name="_Toc15377214"/>
      <w:bookmarkStart w:id="74" w:name="_Toc15396608"/>
      <w:bookmarkStart w:id="75" w:name="_Toc4027"/>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5"/>
          <w:rFonts w:hint="eastAsia" w:ascii="黑体" w:eastAsia="黑体"/>
          <w:b w:val="0"/>
          <w:color w:val="auto"/>
          <w:highlight w:val="none"/>
        </w:rPr>
        <w:t>般公共预算财政拨款基本支出决算情况说明</w:t>
      </w:r>
      <w:bookmarkEnd w:id="73"/>
      <w:bookmarkEnd w:id="74"/>
      <w:bookmarkEnd w:id="75"/>
      <w:r>
        <w:rPr>
          <w:rStyle w:val="15"/>
          <w:rFonts w:ascii="黑体" w:eastAsia="黑体"/>
          <w:b w:val="0"/>
          <w:color w:val="auto"/>
          <w:highlight w:val="none"/>
        </w:rPr>
        <w:tab/>
      </w:r>
    </w:p>
    <w:p>
      <w:pPr>
        <w:spacing w:line="600" w:lineRule="exact"/>
        <w:ind w:firstLine="645"/>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w:t>
      </w:r>
      <w:r>
        <w:rPr>
          <w:rFonts w:hint="eastAsia" w:ascii="仿宋" w:eastAsia="仿宋"/>
          <w:color w:val="auto"/>
          <w:sz w:val="32"/>
          <w:szCs w:val="32"/>
          <w:highlight w:val="none"/>
          <w:lang w:val="en-US" w:eastAsia="zh-CN"/>
        </w:rPr>
        <w:t>110.07</w:t>
      </w:r>
      <w:r>
        <w:rPr>
          <w:rFonts w:hint="eastAsia" w:ascii="仿宋" w:eastAsia="仿宋"/>
          <w:color w:val="auto"/>
          <w:sz w:val="32"/>
          <w:szCs w:val="32"/>
          <w:highlight w:val="none"/>
        </w:rPr>
        <w:t>万元，其中：</w:t>
      </w:r>
    </w:p>
    <w:p>
      <w:pPr>
        <w:spacing w:line="600" w:lineRule="exact"/>
        <w:ind w:firstLine="645"/>
        <w:rPr>
          <w:rFonts w:hint="eastAsia" w:ascii="仿宋" w:eastAsia="仿宋"/>
          <w:color w:val="auto"/>
          <w:sz w:val="32"/>
          <w:szCs w:val="32"/>
          <w:highlight w:val="none"/>
          <w:lang w:eastAsia="zh-CN"/>
        </w:rPr>
      </w:pPr>
      <w:r>
        <w:rPr>
          <w:rFonts w:hint="eastAsia" w:ascii="仿宋" w:eastAsia="仿宋"/>
          <w:color w:val="auto"/>
          <w:sz w:val="32"/>
          <w:szCs w:val="32"/>
          <w:highlight w:val="none"/>
        </w:rPr>
        <w:t>人员经费109.81万元，主要包括：基本工资46.59</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、津贴补贴5.839</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、绩效工资28.149</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、机关事业单位基本养老保险缴费7.329</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、职业年金缴费7.299</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、职工基本医疗保险缴费7.469</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、住房公积金7.189</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w:t>
      </w:r>
    </w:p>
    <w:p>
      <w:pPr>
        <w:spacing w:line="600" w:lineRule="exact"/>
        <w:ind w:left="0" w:leftChars="0" w:firstLine="640" w:firstLineChars="200"/>
        <w:rPr>
          <w:rFonts w:ascii="仿宋" w:eastAsia="仿宋"/>
          <w:b/>
          <w:color w:val="auto"/>
          <w:sz w:val="32"/>
          <w:szCs w:val="32"/>
          <w:highlight w:val="none"/>
        </w:rPr>
      </w:pPr>
      <w:r>
        <w:rPr>
          <w:rFonts w:hint="eastAsia" w:ascii="仿宋" w:eastAsia="仿宋"/>
          <w:color w:val="auto"/>
          <w:sz w:val="32"/>
          <w:szCs w:val="32"/>
          <w:highlight w:val="none"/>
        </w:rPr>
        <w:t>公用经费</w:t>
      </w:r>
      <w:r>
        <w:rPr>
          <w:rFonts w:hint="eastAsia" w:ascii="仿宋" w:eastAsia="仿宋"/>
          <w:color w:val="auto"/>
          <w:sz w:val="32"/>
          <w:szCs w:val="32"/>
          <w:highlight w:val="none"/>
          <w:lang w:val="en-US" w:eastAsia="zh-CN"/>
        </w:rPr>
        <w:t>0.26</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w:t>
      </w:r>
      <w:r>
        <w:rPr>
          <w:rFonts w:hint="eastAsia" w:ascii="仿宋" w:eastAsia="仿宋"/>
          <w:color w:val="000000"/>
          <w:sz w:val="32"/>
          <w:szCs w:val="32"/>
          <w:lang w:val="en-US" w:eastAsia="zh-CN"/>
        </w:rPr>
        <w:t>其中邮电费</w:t>
      </w:r>
      <w:r>
        <w:rPr>
          <w:rFonts w:hint="eastAsia" w:ascii="仿宋" w:eastAsia="仿宋"/>
          <w:color w:val="auto"/>
          <w:sz w:val="32"/>
          <w:szCs w:val="32"/>
          <w:highlight w:val="none"/>
          <w:lang w:val="en-US" w:eastAsia="zh-CN"/>
        </w:rPr>
        <w:t>0.26</w:t>
      </w:r>
      <w:r>
        <w:rPr>
          <w:rFonts w:hint="eastAsia" w:ascii="仿宋" w:eastAsia="仿宋"/>
          <w:color w:val="000000"/>
          <w:sz w:val="32"/>
          <w:szCs w:val="32"/>
          <w:lang w:val="en-US" w:eastAsia="zh-CN"/>
        </w:rPr>
        <w:t>万元。</w:t>
      </w:r>
    </w:p>
    <w:p>
      <w:pPr>
        <w:spacing w:line="600" w:lineRule="exact"/>
        <w:ind w:firstLine="640"/>
        <w:outlineLvl w:val="1"/>
        <w:rPr>
          <w:rStyle w:val="15"/>
          <w:rFonts w:ascii="黑体" w:eastAsia="黑体"/>
          <w:b w:val="0"/>
          <w:color w:val="auto"/>
          <w:highlight w:val="none"/>
        </w:rPr>
      </w:pPr>
      <w:bookmarkStart w:id="76" w:name="_Toc15377215"/>
      <w:bookmarkStart w:id="77" w:name="_Toc15396609"/>
      <w:bookmarkStart w:id="78" w:name="_Toc18585"/>
      <w:r>
        <w:rPr>
          <w:rFonts w:hint="eastAsia" w:ascii="黑体" w:eastAsia="黑体"/>
          <w:color w:val="auto"/>
          <w:sz w:val="32"/>
          <w:szCs w:val="32"/>
          <w:highlight w:val="none"/>
        </w:rPr>
        <w:t>七、</w:t>
      </w:r>
      <w:r>
        <w:rPr>
          <w:rStyle w:val="15"/>
          <w:rFonts w:hint="eastAsia" w:ascii="黑体" w:eastAsia="黑体"/>
          <w:b w:val="0"/>
          <w:color w:val="auto"/>
          <w:highlight w:val="none"/>
        </w:rPr>
        <w:t>财政拨款</w:t>
      </w:r>
      <w:r>
        <w:rPr>
          <w:rStyle w:val="15"/>
          <w:rFonts w:hint="eastAsia" w:ascii="黑体" w:eastAsia="黑体"/>
          <w:color w:val="auto"/>
          <w:highlight w:val="none"/>
        </w:rPr>
        <w:t>“</w:t>
      </w:r>
      <w:r>
        <w:rPr>
          <w:rStyle w:val="15"/>
          <w:rFonts w:hint="eastAsia" w:ascii="黑体" w:eastAsia="黑体"/>
          <w:b w:val="0"/>
          <w:color w:val="auto"/>
          <w:highlight w:val="none"/>
        </w:rPr>
        <w:t>三公”经费支出决算情况说明</w:t>
      </w:r>
      <w:bookmarkEnd w:id="76"/>
      <w:bookmarkEnd w:id="77"/>
      <w:bookmarkEnd w:id="78"/>
    </w:p>
    <w:p>
      <w:pPr>
        <w:spacing w:line="600" w:lineRule="exact"/>
        <w:ind w:firstLine="640"/>
        <w:outlineLvl w:val="2"/>
        <w:rPr>
          <w:rFonts w:ascii="仿宋" w:eastAsia="仿宋"/>
          <w:b/>
          <w:color w:val="auto"/>
          <w:sz w:val="32"/>
          <w:szCs w:val="32"/>
          <w:highlight w:val="none"/>
        </w:rPr>
      </w:pPr>
      <w:bookmarkStart w:id="79" w:name="_Toc15377216"/>
      <w:bookmarkStart w:id="80" w:name="_Toc23458"/>
      <w:bookmarkStart w:id="81" w:name="_Toc15396610"/>
      <w:bookmarkStart w:id="82" w:name="_Toc15377218"/>
      <w:r>
        <w:rPr>
          <w:rFonts w:hint="eastAsia" w:ascii="仿宋" w:eastAsia="仿宋"/>
          <w:b/>
          <w:color w:val="auto"/>
          <w:sz w:val="32"/>
          <w:szCs w:val="32"/>
          <w:highlight w:val="none"/>
        </w:rPr>
        <w:t>（一）“三公”经费财政拨款支出决算总体情况说明</w:t>
      </w:r>
      <w:bookmarkEnd w:id="79"/>
      <w:bookmarkEnd w:id="80"/>
    </w:p>
    <w:p>
      <w:pPr>
        <w:spacing w:line="600" w:lineRule="exact"/>
        <w:ind w:firstLine="640"/>
        <w:rPr>
          <w:rFonts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outlineLvl w:val="2"/>
        <w:rPr>
          <w:rFonts w:hint="eastAsia" w:ascii="仿宋" w:hAnsi="仿宋" w:eastAsia="仿宋" w:cs="仿宋"/>
          <w:b/>
          <w:color w:val="auto"/>
          <w:sz w:val="32"/>
          <w:szCs w:val="32"/>
          <w:highlight w:val="none"/>
        </w:rPr>
      </w:pPr>
      <w:bookmarkStart w:id="83" w:name="_Toc15377217"/>
      <w:bookmarkStart w:id="84" w:name="_Toc23758"/>
      <w:r>
        <w:rPr>
          <w:rFonts w:hint="eastAsia" w:ascii="仿宋" w:eastAsia="仿宋"/>
          <w:b/>
          <w:color w:val="auto"/>
          <w:sz w:val="32"/>
          <w:szCs w:val="32"/>
          <w:highlight w:val="none"/>
        </w:rPr>
        <w:t>（二）“三公</w:t>
      </w:r>
      <w:r>
        <w:rPr>
          <w:rFonts w:hint="eastAsia" w:ascii="仿宋" w:hAnsi="仿宋" w:eastAsia="仿宋" w:cs="仿宋"/>
          <w:b/>
          <w:color w:val="auto"/>
          <w:sz w:val="32"/>
          <w:szCs w:val="32"/>
          <w:highlight w:val="none"/>
        </w:rPr>
        <w:t>”经费财政拨款支出决算具体情况说明</w:t>
      </w:r>
      <w:bookmarkEnd w:id="83"/>
      <w:bookmarkEnd w:id="84"/>
    </w:p>
    <w:p>
      <w:pPr>
        <w:spacing w:line="600" w:lineRule="exact"/>
        <w:ind w:firstLine="64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年“三公”经费财政拨款支出决算中</w:t>
      </w:r>
      <w:r>
        <w:rPr>
          <w:rFonts w:hint="eastAsia" w:ascii="仿宋" w:hAnsi="仿宋" w:eastAsia="仿宋" w:cs="仿宋"/>
          <w:color w:val="auto"/>
          <w:sz w:val="32"/>
          <w:szCs w:val="32"/>
          <w:highlight w:val="none"/>
          <w:lang w:eastAsia="zh-CN"/>
        </w:rPr>
        <w:t>：</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1.因公出国（境）经费支出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年初未安排预算</w:t>
      </w:r>
      <w:r>
        <w:rPr>
          <w:rStyle w:val="13"/>
          <w:rFonts w:hint="eastAsia" w:ascii="仿宋" w:hAnsi="仿宋" w:eastAsia="仿宋" w:cs="仿宋"/>
          <w:b w:val="0"/>
          <w:bCs/>
          <w:color w:val="auto"/>
          <w:sz w:val="32"/>
          <w:szCs w:val="32"/>
          <w:highlight w:val="none"/>
        </w:rPr>
        <w:t>。</w:t>
      </w:r>
    </w:p>
    <w:p>
      <w:pPr>
        <w:spacing w:line="600" w:lineRule="exact"/>
        <w:ind w:firstLine="64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2.公务用车购置及运行维护费支出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年初未安排预算</w:t>
      </w:r>
      <w:r>
        <w:rPr>
          <w:rStyle w:val="13"/>
          <w:rFonts w:hint="eastAsia" w:ascii="仿宋" w:hAnsi="仿宋" w:eastAsia="仿宋" w:cs="仿宋"/>
          <w:b w:val="0"/>
          <w:bCs/>
          <w:color w:val="auto"/>
          <w:sz w:val="32"/>
          <w:szCs w:val="32"/>
          <w:highlight w:val="none"/>
        </w:rPr>
        <w:t>。</w:t>
      </w:r>
    </w:p>
    <w:p>
      <w:pPr>
        <w:spacing w:line="600" w:lineRule="exact"/>
        <w:ind w:firstLine="640"/>
        <w:rPr>
          <w:rFonts w:ascii="黑体" w:eastAsia="黑体"/>
          <w:color w:val="auto"/>
          <w:sz w:val="32"/>
          <w:szCs w:val="32"/>
          <w:highlight w:val="none"/>
        </w:rPr>
      </w:pPr>
      <w:r>
        <w:rPr>
          <w:rFonts w:hint="eastAsia" w:ascii="仿宋" w:hAnsi="仿宋" w:eastAsia="仿宋" w:cs="仿宋"/>
          <w:b/>
          <w:color w:val="auto"/>
          <w:sz w:val="32"/>
          <w:szCs w:val="32"/>
          <w:highlight w:val="none"/>
        </w:rPr>
        <w:t>3.公务接待费支出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年初未安排预算</w:t>
      </w:r>
      <w:r>
        <w:rPr>
          <w:rStyle w:val="13"/>
          <w:rFonts w:hint="eastAsia" w:ascii="仿宋" w:hAnsi="仿宋" w:eastAsia="仿宋" w:cs="仿宋"/>
          <w:b w:val="0"/>
          <w:bCs/>
          <w:color w:val="auto"/>
          <w:sz w:val="32"/>
          <w:szCs w:val="32"/>
          <w:highlight w:val="none"/>
        </w:rPr>
        <w:t>。</w:t>
      </w:r>
    </w:p>
    <w:p>
      <w:pPr>
        <w:spacing w:line="600" w:lineRule="exact"/>
        <w:ind w:firstLine="640"/>
        <w:outlineLvl w:val="1"/>
        <w:rPr>
          <w:rStyle w:val="15"/>
          <w:rFonts w:ascii="黑体" w:eastAsia="黑体"/>
          <w:color w:val="auto"/>
          <w:highlight w:val="none"/>
        </w:rPr>
      </w:pPr>
      <w:bookmarkStart w:id="85" w:name="_Toc4324"/>
      <w:r>
        <w:rPr>
          <w:rFonts w:hint="eastAsia" w:ascii="黑体" w:eastAsia="黑体"/>
          <w:color w:val="auto"/>
          <w:sz w:val="32"/>
          <w:szCs w:val="32"/>
          <w:highlight w:val="none"/>
        </w:rPr>
        <w:t>八、</w:t>
      </w:r>
      <w:r>
        <w:rPr>
          <w:rStyle w:val="15"/>
          <w:rFonts w:hint="eastAsia" w:ascii="黑体" w:eastAsia="黑体"/>
          <w:b w:val="0"/>
          <w:color w:val="auto"/>
          <w:highlight w:val="none"/>
        </w:rPr>
        <w:t>政府性基金预算支出决算情况说明</w:t>
      </w:r>
      <w:bookmarkEnd w:id="81"/>
      <w:bookmarkEnd w:id="82"/>
      <w:bookmarkEnd w:id="85"/>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年政府性基金预算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5.94</w:t>
      </w:r>
      <w:r>
        <w:rPr>
          <w:rFonts w:hint="eastAsia" w:ascii="仿宋" w:hAnsi="仿宋" w:eastAsia="仿宋" w:cs="仿宋"/>
          <w:color w:val="auto"/>
          <w:sz w:val="32"/>
          <w:szCs w:val="32"/>
          <w:highlight w:val="none"/>
        </w:rPr>
        <w:t>万元。</w:t>
      </w:r>
    </w:p>
    <w:p>
      <w:pPr>
        <w:numPr>
          <w:ilvl w:val="0"/>
          <w:numId w:val="3"/>
        </w:numPr>
        <w:spacing w:line="600" w:lineRule="exact"/>
        <w:ind w:left="0" w:firstLine="640"/>
        <w:outlineLvl w:val="1"/>
        <w:rPr>
          <w:rStyle w:val="15"/>
          <w:rFonts w:ascii="黑体" w:eastAsia="黑体"/>
          <w:b w:val="0"/>
          <w:color w:val="auto"/>
          <w:highlight w:val="none"/>
        </w:rPr>
      </w:pPr>
      <w:bookmarkStart w:id="86" w:name="_Toc15396611"/>
      <w:bookmarkStart w:id="87" w:name="_Toc23168"/>
      <w:bookmarkStart w:id="88" w:name="_Toc15377219"/>
      <w:r>
        <w:rPr>
          <w:rStyle w:val="15"/>
          <w:rFonts w:hint="eastAsia" w:ascii="黑体" w:eastAsia="黑体"/>
          <w:b w:val="0"/>
          <w:color w:val="auto"/>
          <w:highlight w:val="none"/>
        </w:rPr>
        <w:t>国有资本经营预算支出决算情况说明</w:t>
      </w:r>
      <w:bookmarkEnd w:id="86"/>
      <w:bookmarkEnd w:id="87"/>
      <w:bookmarkEnd w:id="88"/>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年国有资本经营预算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3"/>
        </w:numPr>
        <w:spacing w:line="600" w:lineRule="exact"/>
        <w:ind w:left="0" w:firstLine="640"/>
        <w:outlineLvl w:val="1"/>
        <w:rPr>
          <w:rStyle w:val="15"/>
          <w:rFonts w:hint="eastAsia" w:ascii="黑体" w:eastAsia="黑体"/>
          <w:b w:val="0"/>
          <w:color w:val="auto"/>
          <w:highlight w:val="none"/>
        </w:rPr>
      </w:pPr>
      <w:bookmarkStart w:id="89" w:name="_Toc26116"/>
      <w:bookmarkStart w:id="90" w:name="_Toc15377221"/>
      <w:bookmarkStart w:id="91" w:name="_Toc15396612"/>
      <w:r>
        <w:rPr>
          <w:rStyle w:val="15"/>
          <w:rFonts w:hint="eastAsia" w:ascii="黑体" w:eastAsia="黑体"/>
          <w:b w:val="0"/>
          <w:color w:val="auto"/>
          <w:highlight w:val="none"/>
        </w:rPr>
        <w:t>其他重要事项的情况说明</w:t>
      </w:r>
      <w:bookmarkEnd w:id="89"/>
      <w:bookmarkEnd w:id="90"/>
      <w:bookmarkEnd w:id="91"/>
    </w:p>
    <w:p>
      <w:pPr>
        <w:spacing w:line="600" w:lineRule="exact"/>
        <w:ind w:firstLine="643" w:firstLineChars="200"/>
        <w:outlineLvl w:val="2"/>
        <w:rPr>
          <w:rFonts w:ascii="仿宋" w:eastAsia="仿宋"/>
          <w:color w:val="auto"/>
          <w:sz w:val="32"/>
          <w:szCs w:val="32"/>
          <w:highlight w:val="none"/>
        </w:rPr>
      </w:pPr>
      <w:bookmarkStart w:id="92" w:name="_Toc15377222"/>
      <w:bookmarkStart w:id="93" w:name="_Toc31908"/>
      <w:r>
        <w:rPr>
          <w:rFonts w:hint="eastAsia" w:ascii="仿宋" w:eastAsia="仿宋"/>
          <w:b/>
          <w:color w:val="auto"/>
          <w:sz w:val="32"/>
          <w:szCs w:val="32"/>
          <w:highlight w:val="none"/>
        </w:rPr>
        <w:t>（一）机关运行经费支出情况</w:t>
      </w:r>
      <w:bookmarkEnd w:id="92"/>
      <w:bookmarkEnd w:id="93"/>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本单位未发生机关运行经费支出。</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94" w:name="_Toc15377223"/>
      <w:bookmarkStart w:id="95" w:name="_Toc30384"/>
      <w:r>
        <w:rPr>
          <w:rFonts w:hint="eastAsia" w:ascii="仿宋" w:eastAsia="仿宋"/>
          <w:b/>
          <w:color w:val="auto"/>
          <w:sz w:val="32"/>
          <w:szCs w:val="32"/>
          <w:highlight w:val="none"/>
        </w:rPr>
        <w:t>（二）政府采购支出情况</w:t>
      </w:r>
      <w:bookmarkEnd w:id="94"/>
      <w:bookmarkEnd w:id="95"/>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 w:hAnsi="仿宋" w:eastAsia="仿宋" w:cs="仿宋"/>
          <w:color w:val="auto"/>
          <w:sz w:val="32"/>
          <w:szCs w:val="32"/>
          <w:highlight w:val="none"/>
          <w:lang w:eastAsia="zh-CN"/>
        </w:rPr>
        <w:t>本年未发生政府采购</w:t>
      </w:r>
      <w:r>
        <w:rPr>
          <w:rFonts w:hint="eastAsia" w:ascii="仿宋_GB2312" w:eastAsia="仿宋_GB2312"/>
          <w:color w:val="auto"/>
          <w:sz w:val="32"/>
          <w:szCs w:val="32"/>
          <w:highlight w:val="none"/>
          <w:lang w:eastAsia="zh-CN"/>
        </w:rPr>
        <w:t>。</w:t>
      </w:r>
    </w:p>
    <w:p>
      <w:pPr>
        <w:numPr>
          <w:ilvl w:val="0"/>
          <w:numId w:val="4"/>
        </w:numPr>
        <w:autoSpaceDE w:val="0"/>
        <w:autoSpaceDN w:val="0"/>
        <w:adjustRightInd w:val="0"/>
        <w:spacing w:line="600" w:lineRule="exact"/>
        <w:ind w:left="0" w:firstLine="643" w:firstLineChars="200"/>
        <w:jc w:val="left"/>
        <w:outlineLvl w:val="2"/>
        <w:rPr>
          <w:rFonts w:hint="eastAsia" w:ascii="仿宋" w:eastAsia="仿宋"/>
          <w:b/>
          <w:color w:val="auto"/>
          <w:sz w:val="32"/>
          <w:szCs w:val="32"/>
          <w:highlight w:val="none"/>
        </w:rPr>
      </w:pPr>
      <w:bookmarkStart w:id="96" w:name="_Toc15377224"/>
      <w:bookmarkStart w:id="97" w:name="_Toc21108"/>
      <w:r>
        <w:rPr>
          <w:rFonts w:hint="eastAsia" w:ascii="仿宋" w:eastAsia="仿宋"/>
          <w:b/>
          <w:color w:val="auto"/>
          <w:sz w:val="32"/>
          <w:szCs w:val="32"/>
          <w:highlight w:val="none"/>
        </w:rPr>
        <w:t>国有资产占有使用情况</w:t>
      </w:r>
      <w:bookmarkEnd w:id="96"/>
      <w:bookmarkEnd w:id="97"/>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截至202</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1日，青牛卫生院共有车辆</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辆，</w:t>
      </w:r>
      <w:r>
        <w:rPr>
          <w:rFonts w:hint="eastAsia" w:ascii="仿宋" w:hAnsi="仿宋" w:eastAsia="仿宋" w:cs="仿宋"/>
          <w:color w:val="auto"/>
          <w:sz w:val="32"/>
          <w:szCs w:val="32"/>
          <w:highlight w:val="none"/>
          <w:lang w:val="en-US" w:eastAsia="zh-CN"/>
        </w:rPr>
        <w:t>主要用于急诊、急救及危重病人的转运，</w:t>
      </w:r>
      <w:r>
        <w:rPr>
          <w:rFonts w:hint="eastAsia" w:ascii="仿宋" w:hAnsi="仿宋" w:eastAsia="仿宋" w:cs="仿宋"/>
          <w:color w:val="auto"/>
          <w:sz w:val="32"/>
          <w:szCs w:val="32"/>
          <w:highlight w:val="none"/>
          <w:lang w:eastAsia="zh-CN"/>
        </w:rPr>
        <w:t>单价50万元以上通用设备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lang w:eastAsia="zh-CN"/>
        </w:rPr>
        <w:t>台（套），单价100万元以上专用设备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lang w:eastAsia="zh-CN"/>
        </w:rPr>
        <w:t>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98" w:name="_Toc5726"/>
      <w:r>
        <w:rPr>
          <w:rFonts w:hint="eastAsia" w:ascii="仿宋" w:eastAsia="仿宋"/>
          <w:b/>
          <w:color w:val="auto"/>
          <w:sz w:val="32"/>
          <w:szCs w:val="32"/>
          <w:highlight w:val="none"/>
        </w:rPr>
        <w:t>（四）预算绩效管理情况</w:t>
      </w:r>
      <w:bookmarkEnd w:id="98"/>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1.绩效目标管理情况</w:t>
      </w:r>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按照预算绩效管理要求，本单位对202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年一般公共预算项目支出中的其他基层医疗卫生机构支出（村站基药补助项目）、基本公共卫生服务项目开展了绩效目标管理，共编制绩效目标</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个。</w:t>
      </w:r>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单位整体支出绩效自评开展情况</w:t>
      </w:r>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本单位按要求对202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单位整体支出开展绩效自评，从评价情况来看未发现虚列支出，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widowControl/>
        <w:jc w:val="left"/>
        <w:rPr>
          <w:rFonts w:ascii="仿宋_GB2312" w:eastAsia="仿宋_GB2312"/>
          <w:b/>
          <w:color w:val="auto"/>
          <w:sz w:val="32"/>
          <w:szCs w:val="32"/>
          <w:highlight w:val="none"/>
        </w:rPr>
      </w:pPr>
    </w:p>
    <w:p>
      <w:pPr>
        <w:numPr>
          <w:ilvl w:val="0"/>
          <w:numId w:val="5"/>
        </w:numPr>
        <w:spacing w:line="600" w:lineRule="exact"/>
        <w:ind w:left="0" w:firstLine="660" w:firstLineChars="150"/>
        <w:jc w:val="center"/>
        <w:outlineLvl w:val="0"/>
        <w:rPr>
          <w:rStyle w:val="14"/>
          <w:rFonts w:ascii="黑体" w:eastAsia="黑体"/>
          <w:b w:val="0"/>
          <w:color w:val="auto"/>
          <w:highlight w:val="none"/>
        </w:rPr>
      </w:pPr>
      <w:bookmarkStart w:id="99" w:name="_Toc15377225"/>
      <w:bookmarkStart w:id="100" w:name="_Toc15396613"/>
      <w:bookmarkStart w:id="101" w:name="_Toc26158"/>
      <w:r>
        <w:rPr>
          <w:rFonts w:hint="eastAsia" w:ascii="黑体" w:eastAsia="黑体"/>
          <w:color w:val="auto"/>
          <w:sz w:val="44"/>
          <w:szCs w:val="44"/>
          <w:highlight w:val="none"/>
        </w:rPr>
        <w:t>名</w:t>
      </w:r>
      <w:r>
        <w:rPr>
          <w:rStyle w:val="14"/>
          <w:rFonts w:hint="eastAsia" w:ascii="黑体" w:eastAsia="黑体"/>
          <w:b w:val="0"/>
          <w:color w:val="auto"/>
          <w:highlight w:val="none"/>
        </w:rPr>
        <w:t>词解释</w:t>
      </w:r>
      <w:bookmarkEnd w:id="99"/>
      <w:bookmarkEnd w:id="100"/>
      <w:bookmarkEnd w:id="101"/>
    </w:p>
    <w:p>
      <w:pPr>
        <w:spacing w:line="600" w:lineRule="exact"/>
        <w:jc w:val="left"/>
        <w:rPr>
          <w:rFonts w:ascii="宋体"/>
          <w:b/>
          <w:color w:val="auto"/>
          <w:sz w:val="44"/>
          <w:szCs w:val="44"/>
          <w:highlight w:val="none"/>
        </w:rPr>
      </w:pPr>
    </w:p>
    <w:p>
      <w:pPr>
        <w:pStyle w:val="17"/>
        <w:pageBreakBefore w:val="0"/>
        <w:wordWrap/>
        <w:overflowPunct/>
        <w:topLinePunct w:val="0"/>
        <w:bidi w:val="0"/>
        <w:spacing w:beforeAutospacing="0" w:line="580" w:lineRule="exact"/>
        <w:ind w:firstLine="640" w:firstLineChars="200"/>
        <w:outlineLvl w:val="1"/>
        <w:rPr>
          <w:rFonts w:hint="eastAsia" w:ascii="仿宋" w:hAnsi="仿宋" w:eastAsia="仿宋" w:cs="仿宋"/>
          <w:sz w:val="32"/>
          <w:szCs w:val="32"/>
        </w:rPr>
      </w:pPr>
      <w:bookmarkStart w:id="102" w:name="_Toc12416"/>
      <w:bookmarkStart w:id="103" w:name="_Toc136"/>
      <w:bookmarkStart w:id="104" w:name="_Toc15377226"/>
      <w:r>
        <w:rPr>
          <w:rFonts w:hint="eastAsia" w:ascii="仿宋" w:hAnsi="仿宋" w:eastAsia="仿宋" w:cs="仿宋"/>
          <w:sz w:val="32"/>
          <w:szCs w:val="32"/>
        </w:rPr>
        <w:t>1.财政拨款收入：指单位从同级财政</w:t>
      </w:r>
      <w:r>
        <w:rPr>
          <w:rFonts w:hint="eastAsia" w:ascii="仿宋" w:hAnsi="仿宋" w:eastAsia="仿宋" w:cs="仿宋"/>
          <w:sz w:val="32"/>
          <w:szCs w:val="32"/>
          <w:lang w:eastAsia="zh-CN"/>
        </w:rPr>
        <w:t>单位</w:t>
      </w:r>
      <w:r>
        <w:rPr>
          <w:rFonts w:hint="eastAsia" w:ascii="仿宋" w:hAnsi="仿宋" w:eastAsia="仿宋" w:cs="仿宋"/>
          <w:sz w:val="32"/>
          <w:szCs w:val="32"/>
        </w:rPr>
        <w:t>取得的</w:t>
      </w:r>
      <w:r>
        <w:rPr>
          <w:rFonts w:hint="eastAsia" w:ascii="仿宋" w:hAnsi="仿宋" w:eastAsia="仿宋" w:cs="仿宋"/>
          <w:sz w:val="32"/>
          <w:szCs w:val="32"/>
          <w:lang w:eastAsia="zh-CN"/>
        </w:rPr>
        <w:t>各类拨款</w:t>
      </w:r>
      <w:r>
        <w:rPr>
          <w:rFonts w:hint="eastAsia" w:ascii="仿宋" w:hAnsi="仿宋" w:eastAsia="仿宋" w:cs="仿宋"/>
          <w:sz w:val="32"/>
          <w:szCs w:val="32"/>
        </w:rPr>
        <w:t>。</w:t>
      </w:r>
      <w:bookmarkEnd w:id="102"/>
      <w:bookmarkEnd w:id="103"/>
    </w:p>
    <w:p>
      <w:pPr>
        <w:pStyle w:val="17"/>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2.事业收入：指事业单位开展专业业务活动及辅助活动取得的收入。如</w:t>
      </w:r>
      <w:r>
        <w:rPr>
          <w:rFonts w:hint="eastAsia" w:ascii="仿宋" w:hAnsi="仿宋" w:eastAsia="仿宋" w:cs="仿宋"/>
          <w:sz w:val="32"/>
          <w:szCs w:val="32"/>
          <w:lang w:eastAsia="zh-CN"/>
        </w:rPr>
        <w:t>区人民医院、</w:t>
      </w:r>
      <w:r>
        <w:rPr>
          <w:rFonts w:hint="eastAsia" w:ascii="仿宋" w:hAnsi="仿宋" w:eastAsia="仿宋" w:cs="仿宋"/>
          <w:sz w:val="32"/>
          <w:szCs w:val="32"/>
        </w:rPr>
        <w:t>妇幼保健</w:t>
      </w:r>
      <w:r>
        <w:rPr>
          <w:rFonts w:hint="eastAsia" w:ascii="仿宋" w:hAnsi="仿宋" w:eastAsia="仿宋" w:cs="仿宋"/>
          <w:sz w:val="32"/>
          <w:szCs w:val="32"/>
          <w:lang w:eastAsia="zh-CN"/>
        </w:rPr>
        <w:t>计生生育</w:t>
      </w:r>
      <w:r>
        <w:rPr>
          <w:rFonts w:hint="eastAsia" w:ascii="仿宋" w:hAnsi="仿宋" w:eastAsia="仿宋" w:cs="仿宋"/>
          <w:sz w:val="32"/>
          <w:szCs w:val="32"/>
        </w:rPr>
        <w:t>服务中心</w:t>
      </w:r>
      <w:r>
        <w:rPr>
          <w:rFonts w:hint="eastAsia" w:ascii="仿宋" w:hAnsi="仿宋" w:eastAsia="仿宋" w:cs="仿宋"/>
          <w:sz w:val="32"/>
          <w:szCs w:val="32"/>
          <w:lang w:eastAsia="zh-CN"/>
        </w:rPr>
        <w:t>、区中医医院、乡镇卫生院医疗收入</w:t>
      </w:r>
      <w:r>
        <w:rPr>
          <w:rFonts w:hint="eastAsia" w:ascii="仿宋" w:hAnsi="仿宋" w:eastAsia="仿宋" w:cs="仿宋"/>
          <w:sz w:val="32"/>
          <w:szCs w:val="32"/>
        </w:rPr>
        <w:t>等。</w:t>
      </w:r>
    </w:p>
    <w:p>
      <w:pPr>
        <w:pStyle w:val="17"/>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eastAsia="zh-CN"/>
        </w:rPr>
        <w:t>利息收入</w:t>
      </w:r>
      <w:r>
        <w:rPr>
          <w:rFonts w:hint="eastAsia" w:ascii="仿宋" w:hAnsi="仿宋" w:eastAsia="仿宋" w:cs="仿宋"/>
          <w:sz w:val="32"/>
          <w:szCs w:val="32"/>
        </w:rPr>
        <w:t xml:space="preserve">等。 </w:t>
      </w:r>
    </w:p>
    <w:p>
      <w:pPr>
        <w:pStyle w:val="17"/>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7"/>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.年初结转和结余：指以前年度尚未完成、结转到本年按有关规定继续使用的资金。 </w:t>
      </w:r>
    </w:p>
    <w:p>
      <w:pPr>
        <w:pStyle w:val="17"/>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本年盈余</w:t>
      </w:r>
      <w:r>
        <w:rPr>
          <w:rFonts w:hint="eastAsia" w:ascii="仿宋" w:hAnsi="仿宋" w:eastAsia="仿宋" w:cs="仿宋"/>
          <w:sz w:val="32"/>
          <w:szCs w:val="32"/>
        </w:rPr>
        <w:t>分配：指事业单位按照</w:t>
      </w:r>
      <w:r>
        <w:rPr>
          <w:rFonts w:hint="eastAsia" w:ascii="仿宋" w:hAnsi="仿宋" w:eastAsia="仿宋" w:cs="仿宋"/>
          <w:sz w:val="32"/>
          <w:szCs w:val="32"/>
          <w:lang w:eastAsia="zh-CN"/>
        </w:rPr>
        <w:t>政府</w:t>
      </w:r>
      <w:r>
        <w:rPr>
          <w:rFonts w:hint="eastAsia" w:ascii="仿宋" w:hAnsi="仿宋" w:eastAsia="仿宋" w:cs="仿宋"/>
          <w:sz w:val="32"/>
          <w:szCs w:val="32"/>
        </w:rPr>
        <w:t>会计制度的规定从非财政</w:t>
      </w:r>
      <w:r>
        <w:rPr>
          <w:rFonts w:hint="eastAsia" w:ascii="仿宋" w:hAnsi="仿宋" w:eastAsia="仿宋" w:cs="仿宋"/>
          <w:sz w:val="32"/>
          <w:szCs w:val="32"/>
          <w:lang w:eastAsia="zh-CN"/>
        </w:rPr>
        <w:t>拨款</w:t>
      </w:r>
      <w:r>
        <w:rPr>
          <w:rFonts w:hint="eastAsia" w:ascii="仿宋" w:hAnsi="仿宋" w:eastAsia="仿宋" w:cs="仿宋"/>
          <w:sz w:val="32"/>
          <w:szCs w:val="32"/>
        </w:rPr>
        <w:t>结余</w:t>
      </w:r>
      <w:r>
        <w:rPr>
          <w:rFonts w:hint="eastAsia" w:ascii="仿宋" w:hAnsi="仿宋" w:eastAsia="仿宋" w:cs="仿宋"/>
          <w:sz w:val="32"/>
          <w:szCs w:val="32"/>
          <w:lang w:eastAsia="zh-CN"/>
        </w:rPr>
        <w:t>或事业结余</w:t>
      </w:r>
      <w:r>
        <w:rPr>
          <w:rFonts w:hint="eastAsia" w:ascii="仿宋" w:hAnsi="仿宋" w:eastAsia="仿宋" w:cs="仿宋"/>
          <w:sz w:val="32"/>
          <w:szCs w:val="32"/>
        </w:rPr>
        <w:t>中</w:t>
      </w:r>
      <w:r>
        <w:rPr>
          <w:rFonts w:hint="eastAsia" w:ascii="仿宋" w:hAnsi="仿宋" w:eastAsia="仿宋" w:cs="仿宋"/>
          <w:sz w:val="32"/>
          <w:szCs w:val="32"/>
          <w:lang w:eastAsia="zh-CN"/>
        </w:rPr>
        <w:t>提取</w:t>
      </w:r>
      <w:r>
        <w:rPr>
          <w:rFonts w:hint="eastAsia" w:ascii="仿宋" w:hAnsi="仿宋" w:eastAsia="仿宋" w:cs="仿宋"/>
          <w:sz w:val="32"/>
          <w:szCs w:val="32"/>
        </w:rPr>
        <w:t>的</w:t>
      </w:r>
      <w:r>
        <w:rPr>
          <w:rFonts w:hint="eastAsia" w:ascii="仿宋" w:hAnsi="仿宋" w:eastAsia="仿宋" w:cs="仿宋"/>
          <w:sz w:val="32"/>
          <w:szCs w:val="32"/>
          <w:lang w:eastAsia="zh-CN"/>
        </w:rPr>
        <w:t>奖励</w:t>
      </w:r>
      <w:r>
        <w:rPr>
          <w:rFonts w:hint="eastAsia" w:ascii="仿宋" w:hAnsi="仿宋" w:eastAsia="仿宋" w:cs="仿宋"/>
          <w:sz w:val="32"/>
          <w:szCs w:val="32"/>
        </w:rPr>
        <w:t>基金和职工福利基金等。</w:t>
      </w:r>
    </w:p>
    <w:p>
      <w:pPr>
        <w:pStyle w:val="17"/>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年末结转和结余：指单位按有关规定结转到下年或以后年度继续使用的资金。</w:t>
      </w:r>
    </w:p>
    <w:p>
      <w:pPr>
        <w:pageBreakBefore w:val="0"/>
        <w:wordWrap/>
        <w:overflowPunct/>
        <w:topLinePunct w:val="0"/>
        <w:bidi w:val="0"/>
        <w:spacing w:line="580" w:lineRule="exact"/>
        <w:ind w:firstLine="640" w:firstLineChars="200"/>
        <w:rPr>
          <w:rStyle w:val="13"/>
          <w:rFonts w:hint="eastAsia" w:ascii="仿宋" w:hAnsi="仿宋" w:eastAsia="仿宋" w:cs="仿宋"/>
          <w:b w:val="0"/>
          <w:color w:val="000000"/>
          <w:sz w:val="32"/>
          <w:szCs w:val="32"/>
        </w:rPr>
      </w:pPr>
      <w:r>
        <w:rPr>
          <w:rFonts w:hint="eastAsia" w:ascii="仿宋" w:hAnsi="仿宋" w:eastAsia="仿宋" w:cs="仿宋"/>
          <w:color w:val="000000"/>
          <w:sz w:val="32"/>
          <w:szCs w:val="32"/>
        </w:rPr>
        <w:t>8.卫生健康支出（类）基层医疗卫生机构（款）</w:t>
      </w:r>
      <w:r>
        <w:rPr>
          <w:rStyle w:val="13"/>
          <w:rFonts w:hint="eastAsia" w:ascii="仿宋" w:hAnsi="仿宋" w:eastAsia="仿宋" w:cs="仿宋"/>
          <w:b w:val="0"/>
          <w:color w:val="000000"/>
          <w:sz w:val="32"/>
          <w:szCs w:val="32"/>
        </w:rPr>
        <w:t>乡镇卫生院（项）</w:t>
      </w:r>
      <w:r>
        <w:rPr>
          <w:rFonts w:hint="eastAsia" w:ascii="仿宋" w:hAnsi="仿宋" w:eastAsia="仿宋" w:cs="仿宋"/>
          <w:color w:val="000000"/>
          <w:sz w:val="32"/>
          <w:szCs w:val="32"/>
        </w:rPr>
        <w:t>：反映乡镇卫生院的支出；</w:t>
      </w:r>
      <w:r>
        <w:rPr>
          <w:rStyle w:val="13"/>
          <w:rFonts w:hint="eastAsia" w:ascii="仿宋" w:hAnsi="仿宋" w:eastAsia="仿宋" w:cs="仿宋"/>
          <w:b w:val="0"/>
          <w:color w:val="000000"/>
          <w:sz w:val="32"/>
          <w:szCs w:val="32"/>
        </w:rPr>
        <w:t>卫生健康支出（类）公共卫生（款）基本公共卫生服务（项）</w:t>
      </w:r>
      <w:r>
        <w:rPr>
          <w:rFonts w:hint="eastAsia" w:ascii="仿宋" w:hAnsi="仿宋" w:eastAsia="仿宋" w:cs="仿宋"/>
          <w:color w:val="000000"/>
          <w:sz w:val="32"/>
          <w:szCs w:val="32"/>
        </w:rPr>
        <w:t>：反映乡镇卫生院、社区卫生机构开展基本公共卫生服务的支出；</w:t>
      </w:r>
      <w:r>
        <w:rPr>
          <w:rStyle w:val="13"/>
          <w:rFonts w:hint="eastAsia" w:ascii="仿宋" w:hAnsi="仿宋" w:eastAsia="仿宋" w:cs="仿宋"/>
          <w:b w:val="0"/>
          <w:color w:val="000000"/>
          <w:sz w:val="32"/>
          <w:szCs w:val="32"/>
        </w:rPr>
        <w:t>卫生健康支出</w:t>
      </w:r>
      <w:r>
        <w:rPr>
          <w:rFonts w:hint="eastAsia" w:ascii="仿宋" w:hAnsi="仿宋" w:eastAsia="仿宋" w:cs="仿宋"/>
          <w:color w:val="000000"/>
          <w:sz w:val="32"/>
          <w:szCs w:val="32"/>
        </w:rPr>
        <w:t>（类）基层医疗卫生机构（款）其他基层医疗卫生机构支出（项）</w:t>
      </w:r>
      <w:r>
        <w:rPr>
          <w:rStyle w:val="13"/>
          <w:rFonts w:hint="eastAsia" w:ascii="仿宋" w:hAnsi="仿宋" w:eastAsia="仿宋" w:cs="仿宋"/>
          <w:b w:val="0"/>
          <w:color w:val="000000"/>
          <w:sz w:val="32"/>
          <w:szCs w:val="32"/>
        </w:rPr>
        <w:t>：反映除乡镇卫生院、城市社区卫生机构以外的其他用于基层医疗卫生机构的支出；卫生健康支出（类）行政事业单位医疗</w:t>
      </w:r>
      <w:r>
        <w:rPr>
          <w:rFonts w:hint="eastAsia" w:ascii="仿宋" w:hAnsi="仿宋" w:eastAsia="仿宋" w:cs="仿宋"/>
          <w:color w:val="000000"/>
          <w:sz w:val="32"/>
          <w:szCs w:val="32"/>
        </w:rPr>
        <w:t>（款）事业单位医疗（项）</w:t>
      </w:r>
      <w:r>
        <w:rPr>
          <w:rStyle w:val="13"/>
          <w:rFonts w:hint="eastAsia" w:ascii="仿宋" w:hAnsi="仿宋" w:eastAsia="仿宋" w:cs="仿宋"/>
          <w:b w:val="0"/>
          <w:color w:val="000000"/>
          <w:sz w:val="32"/>
          <w:szCs w:val="32"/>
        </w:rPr>
        <w:t>:</w:t>
      </w:r>
      <w:r>
        <w:rPr>
          <w:rStyle w:val="13"/>
          <w:rFonts w:hint="eastAsia" w:ascii="仿宋" w:hAnsi="仿宋" w:eastAsia="仿宋" w:cs="仿宋"/>
          <w:b w:val="0"/>
          <w:sz w:val="32"/>
          <w:szCs w:val="32"/>
        </w:rPr>
        <w:t>反映</w:t>
      </w:r>
      <w:r>
        <w:rPr>
          <w:rStyle w:val="13"/>
          <w:rFonts w:hint="eastAsia" w:ascii="仿宋" w:hAnsi="仿宋" w:eastAsia="仿宋" w:cs="仿宋"/>
          <w:b w:val="0"/>
          <w:color w:val="000000"/>
          <w:sz w:val="32"/>
          <w:szCs w:val="32"/>
        </w:rPr>
        <w:t>卫生健康支出中的在职人员医疗保险。</w:t>
      </w:r>
    </w:p>
    <w:p>
      <w:pPr>
        <w:pageBreakBefore w:val="0"/>
        <w:wordWrap/>
        <w:overflowPunct/>
        <w:topLinePunct w:val="0"/>
        <w:bidi w:val="0"/>
        <w:spacing w:line="580" w:lineRule="exact"/>
        <w:ind w:firstLine="640" w:firstLineChars="200"/>
        <w:outlineLvl w:val="1"/>
        <w:rPr>
          <w:rFonts w:hint="eastAsia" w:ascii="仿宋" w:hAnsi="仿宋" w:eastAsia="仿宋" w:cs="仿宋"/>
          <w:sz w:val="32"/>
          <w:szCs w:val="32"/>
          <w:lang w:val="en-US" w:eastAsia="zh-CN" w:bidi="ar"/>
        </w:rPr>
      </w:pPr>
      <w:bookmarkStart w:id="105" w:name="_Toc28964"/>
      <w:bookmarkStart w:id="106" w:name="_Toc16073"/>
      <w:r>
        <w:rPr>
          <w:rFonts w:hint="eastAsia" w:ascii="仿宋" w:hAnsi="仿宋" w:eastAsia="仿宋" w:cs="仿宋"/>
          <w:sz w:val="32"/>
          <w:szCs w:val="32"/>
          <w:lang w:val="en-US" w:eastAsia="zh-CN" w:bidi="ar"/>
        </w:rPr>
        <w:t>9.社会保障和就业支出：反映政府在社会保障和就业方面的支出。</w:t>
      </w:r>
      <w:bookmarkEnd w:id="105"/>
      <w:bookmarkEnd w:id="106"/>
    </w:p>
    <w:p>
      <w:pPr>
        <w:pageBreakBefore w:val="0"/>
        <w:wordWrap/>
        <w:overflowPunct/>
        <w:topLinePunct w:val="0"/>
        <w:bidi w:val="0"/>
        <w:spacing w:line="580" w:lineRule="exact"/>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p>
    <w:p>
      <w:pPr>
        <w:pageBreakBefore w:val="0"/>
        <w:wordWrap/>
        <w:overflowPunct/>
        <w:topLinePunct w:val="0"/>
        <w:bidi w:val="0"/>
        <w:spacing w:line="580" w:lineRule="exact"/>
        <w:ind w:firstLine="640" w:firstLineChars="200"/>
        <w:rPr>
          <w:rStyle w:val="13"/>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bidi="ar"/>
        </w:rPr>
        <w:t xml:space="preserve">    10.住房保障支出：住房保障支出-住房改革支出-住房公积金：反映行政事业单位按人力资源和社会保障部、财政部规定的基本工资和津贴补贴以及规定比例为职工缴纳的住房公积金。</w:t>
      </w:r>
    </w:p>
    <w:p>
      <w:pPr>
        <w:pageBreakBefore w:val="0"/>
        <w:wordWrap/>
        <w:overflowPunct/>
        <w:topLinePunct w:val="0"/>
        <w:bidi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.基本支出：指为保障机构正常运转、完成日常工作任务而发生的人员支出和公用支出。</w:t>
      </w:r>
    </w:p>
    <w:p>
      <w:pPr>
        <w:pageBreakBefore w:val="0"/>
        <w:wordWrap/>
        <w:overflowPunct/>
        <w:topLinePunct w:val="0"/>
        <w:bidi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17"/>
        <w:pageBreakBefore w:val="0"/>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.“三公”经费：指</w:t>
      </w:r>
      <w:r>
        <w:rPr>
          <w:rFonts w:hint="eastAsia" w:ascii="仿宋" w:hAnsi="仿宋" w:eastAsia="仿宋" w:cs="仿宋"/>
          <w:sz w:val="32"/>
          <w:szCs w:val="32"/>
          <w:lang w:eastAsia="zh-CN"/>
        </w:rPr>
        <w:t>单位</w:t>
      </w:r>
      <w:r>
        <w:rPr>
          <w:rFonts w:hint="eastAsia" w:ascii="仿宋" w:hAnsi="仿宋" w:eastAsia="仿宋" w:cs="仿宋"/>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pageBreakBefore w:val="0"/>
        <w:kinsoku/>
        <w:wordWrap/>
        <w:overflowPunct/>
        <w:topLinePunct w:val="0"/>
        <w:bidi w:val="0"/>
        <w:spacing w:afterAutospacing="0" w:line="580" w:lineRule="exact"/>
        <w:ind w:firstLine="640" w:firstLineChars="200"/>
        <w:rPr>
          <w:rFonts w:hint="eastAsia" w:ascii="仿宋" w:hAnsi="仿宋" w:eastAsia="仿宋" w:cs="仿宋"/>
          <w:color w:val="000000"/>
          <w:sz w:val="44"/>
          <w:szCs w:val="44"/>
        </w:rPr>
      </w:pPr>
      <w:r>
        <w:rPr>
          <w:rFonts w:hint="eastAsia" w:ascii="仿宋" w:hAnsi="仿宋" w:eastAsia="仿宋" w:cs="仿宋"/>
          <w:sz w:val="32"/>
          <w:szCs w:val="32"/>
          <w:lang w:val="en-US" w:eastAsia="zh-CN"/>
        </w:rPr>
        <w:t>14</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4"/>
          <w:rFonts w:ascii="黑体" w:eastAsia="黑体"/>
          <w:b w:val="0"/>
          <w:color w:val="auto"/>
          <w:highlight w:val="none"/>
        </w:rPr>
      </w:pPr>
      <w:r>
        <w:rPr>
          <w:rFonts w:ascii="宋体"/>
          <w:b/>
          <w:color w:val="auto"/>
          <w:sz w:val="44"/>
          <w:szCs w:val="44"/>
          <w:highlight w:val="none"/>
        </w:rPr>
        <w:br w:type="page"/>
      </w:r>
      <w:bookmarkStart w:id="107" w:name="_Toc15396614"/>
      <w:bookmarkStart w:id="108" w:name="_Toc7177"/>
      <w:r>
        <w:rPr>
          <w:rFonts w:hint="eastAsia" w:ascii="黑体" w:eastAsia="黑体"/>
          <w:color w:val="auto"/>
          <w:sz w:val="44"/>
          <w:szCs w:val="44"/>
          <w:highlight w:val="none"/>
        </w:rPr>
        <w:t>第</w:t>
      </w:r>
      <w:r>
        <w:rPr>
          <w:rStyle w:val="14"/>
          <w:rFonts w:hint="eastAsia" w:ascii="黑体" w:eastAsia="黑体"/>
          <w:b w:val="0"/>
          <w:color w:val="auto"/>
          <w:highlight w:val="none"/>
        </w:rPr>
        <w:t>四部分 附件</w:t>
      </w:r>
      <w:bookmarkEnd w:id="107"/>
      <w:bookmarkEnd w:id="108"/>
    </w:p>
    <w:p>
      <w:pPr>
        <w:keepNext w:val="0"/>
        <w:keepLines w:val="0"/>
        <w:pageBreakBefore w:val="0"/>
        <w:widowControl w:val="0"/>
        <w:kinsoku/>
        <w:wordWrap/>
        <w:overflowPunct/>
        <w:topLinePunct w:val="0"/>
        <w:autoSpaceDE/>
        <w:autoSpaceDN/>
        <w:bidi w:val="0"/>
        <w:spacing w:line="572" w:lineRule="exact"/>
        <w:jc w:val="left"/>
        <w:textAlignment w:val="auto"/>
        <w:outlineLvl w:val="9"/>
        <w:rPr>
          <w:rFonts w:ascii="仿宋_GB2312" w:eastAsia="仿宋_GB2312" w:cs="仿宋_GB2312"/>
          <w:color w:val="auto"/>
          <w:sz w:val="32"/>
          <w:szCs w:val="32"/>
          <w:highlight w:val="none"/>
        </w:rPr>
      </w:pPr>
    </w:p>
    <w:p>
      <w:pPr>
        <w:spacing w:line="600" w:lineRule="exact"/>
        <w:jc w:val="center"/>
        <w:outlineLvl w:val="1"/>
        <w:rPr>
          <w:rFonts w:hint="eastAsia" w:ascii="宋体" w:eastAsia="宋体" w:cs="宋体"/>
          <w:color w:val="auto"/>
          <w:kern w:val="0"/>
          <w:sz w:val="32"/>
          <w:szCs w:val="32"/>
          <w:highlight w:val="none"/>
          <w:lang w:val="en-US" w:eastAsia="zh-CN" w:bidi="ar-SA"/>
        </w:rPr>
      </w:pPr>
      <w:bookmarkStart w:id="109" w:name="_Toc1898"/>
      <w:bookmarkStart w:id="110" w:name="_Toc15473"/>
      <w:bookmarkStart w:id="111" w:name="_Toc15396618"/>
      <w:r>
        <w:rPr>
          <w:rFonts w:hint="eastAsia" w:ascii="宋体" w:eastAsia="宋体" w:cs="宋体"/>
          <w:color w:val="auto"/>
          <w:kern w:val="0"/>
          <w:sz w:val="32"/>
          <w:szCs w:val="32"/>
          <w:highlight w:val="none"/>
          <w:lang w:val="en-US" w:eastAsia="zh-CN" w:bidi="ar-SA"/>
        </w:rPr>
        <w:t>部门预算项目支出绩效自评表（2022年度）</w:t>
      </w:r>
      <w:bookmarkEnd w:id="109"/>
      <w:bookmarkEnd w:id="110"/>
    </w:p>
    <w:p>
      <w:pPr>
        <w:spacing w:line="600" w:lineRule="exact"/>
        <w:jc w:val="left"/>
        <w:outlineLvl w:val="9"/>
        <w:rPr>
          <w:rFonts w:hint="eastAsia" w:ascii="仿宋_GB2312" w:eastAsia="仿宋_GB2312" w:cs="仿宋"/>
          <w:color w:val="auto"/>
          <w:kern w:val="0"/>
          <w:sz w:val="32"/>
          <w:szCs w:val="32"/>
          <w:highlight w:val="none"/>
          <w:lang w:val="en-US" w:eastAsia="zh-CN" w:bidi="ar-SA"/>
        </w:rPr>
      </w:pPr>
    </w:p>
    <w:tbl>
      <w:tblPr>
        <w:tblStyle w:val="11"/>
        <w:tblpPr w:leftFromText="180" w:rightFromText="180" w:vertAnchor="text" w:horzAnchor="page" w:tblpX="1912" w:tblpY="555"/>
        <w:tblOverlap w:val="never"/>
        <w:tblW w:w="8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2"/>
        <w:gridCol w:w="534"/>
        <w:gridCol w:w="295"/>
        <w:gridCol w:w="150"/>
        <w:gridCol w:w="17"/>
        <w:gridCol w:w="379"/>
        <w:gridCol w:w="307"/>
        <w:gridCol w:w="407"/>
        <w:gridCol w:w="888"/>
        <w:gridCol w:w="516"/>
        <w:gridCol w:w="53"/>
        <w:gridCol w:w="213"/>
        <w:gridCol w:w="958"/>
        <w:gridCol w:w="637"/>
        <w:gridCol w:w="121"/>
        <w:gridCol w:w="696"/>
        <w:gridCol w:w="83"/>
        <w:gridCol w:w="357"/>
        <w:gridCol w:w="266"/>
        <w:gridCol w:w="762"/>
        <w:gridCol w:w="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00" w:hRule="atLeast"/>
        </w:trPr>
        <w:tc>
          <w:tcPr>
            <w:tcW w:w="8325" w:type="dxa"/>
            <w:gridSpan w:val="21"/>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bookmarkStart w:id="112" w:name="_Hlk115001465"/>
            <w:r>
              <w:rPr>
                <w:rFonts w:hint="default" w:ascii="方正小标宋简体" w:hAnsi="方正小标宋简体" w:eastAsia="方正小标宋简体" w:cs="方正小标宋简体"/>
                <w:b/>
                <w:bCs/>
                <w:i w:val="0"/>
                <w:iCs w:val="0"/>
                <w:color w:val="000000"/>
                <w:kern w:val="0"/>
                <w:sz w:val="36"/>
                <w:szCs w:val="36"/>
                <w:u w:val="none"/>
                <w:lang w:val="en-US" w:eastAsia="zh-CN" w:bidi="ar"/>
              </w:rPr>
              <w:t>2022年基本公共卫生服务项目补助资金转移支付项目绩效目标自评表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0" w:hRule="atLeast"/>
        </w:trPr>
        <w:tc>
          <w:tcPr>
            <w:tcW w:w="8325" w:type="dxa"/>
            <w:gridSpan w:val="21"/>
            <w:tcBorders>
              <w:top w:val="nil"/>
              <w:left w:val="nil"/>
              <w:bottom w:val="single" w:color="000000" w:sz="4" w:space="0"/>
              <w:right w:val="nil"/>
            </w:tcBorders>
            <w:noWrap w:val="0"/>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0" w:hRule="atLeast"/>
        </w:trPr>
        <w:tc>
          <w:tcPr>
            <w:tcW w:w="16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697"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2022年基本公共卫生服务项目补助资金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0" w:hRule="atLeast"/>
        </w:trPr>
        <w:tc>
          <w:tcPr>
            <w:tcW w:w="16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697"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60" w:hRule="atLeast"/>
        </w:trPr>
        <w:tc>
          <w:tcPr>
            <w:tcW w:w="162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198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23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33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w:t>
            </w:r>
            <w:r>
              <w:rPr>
                <w:rFonts w:hint="eastAsia" w:ascii="宋体" w:hAnsi="宋体" w:cs="宋体"/>
                <w:i w:val="0"/>
                <w:iCs w:val="0"/>
                <w:color w:val="000000"/>
                <w:kern w:val="0"/>
                <w:sz w:val="20"/>
                <w:szCs w:val="20"/>
                <w:u w:val="none"/>
                <w:lang w:val="en-US" w:eastAsia="zh-CN" w:bidi="ar"/>
              </w:rPr>
              <w:t>青牛镇</w:t>
            </w:r>
            <w:r>
              <w:rPr>
                <w:rFonts w:hint="eastAsia" w:ascii="宋体" w:hAnsi="宋体" w:eastAsia="宋体" w:cs="宋体"/>
                <w:i w:val="0"/>
                <w:iCs w:val="0"/>
                <w:color w:val="000000"/>
                <w:kern w:val="0"/>
                <w:sz w:val="20"/>
                <w:szCs w:val="20"/>
                <w:u w:val="none"/>
                <w:lang w:val="en-US" w:eastAsia="zh-CN" w:bidi="ar"/>
              </w:rPr>
              <w:t>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0" w:hRule="atLeast"/>
        </w:trPr>
        <w:tc>
          <w:tcPr>
            <w:tcW w:w="1628"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资金投入情况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4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06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20.46 </w:t>
            </w:r>
          </w:p>
        </w:tc>
        <w:tc>
          <w:tcPr>
            <w:tcW w:w="306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20.46 </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8"/>
                <w:lang w:val="en-US" w:eastAsia="zh-CN" w:bidi="ar"/>
              </w:rPr>
              <w:t xml:space="preserve"> </w:t>
            </w:r>
            <w:r>
              <w:rPr>
                <w:rStyle w:val="19"/>
                <w:lang w:val="en-US" w:eastAsia="zh-CN" w:bidi="ar"/>
              </w:rPr>
              <w:t>其中：中央财政资金</w:t>
            </w:r>
          </w:p>
        </w:tc>
        <w:tc>
          <w:tcPr>
            <w:tcW w:w="14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16.24 </w:t>
            </w:r>
          </w:p>
        </w:tc>
        <w:tc>
          <w:tcPr>
            <w:tcW w:w="306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16.24 </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8"/>
                <w:lang w:val="en-US" w:eastAsia="zh-CN" w:bidi="ar"/>
              </w:rPr>
              <w:t xml:space="preserve"> </w:t>
            </w:r>
            <w:r>
              <w:rPr>
                <w:rStyle w:val="20"/>
                <w:lang w:val="en-US" w:eastAsia="zh-CN" w:bidi="ar"/>
              </w:rPr>
              <w:t xml:space="preserve">      地方资金</w:t>
            </w:r>
          </w:p>
        </w:tc>
        <w:tc>
          <w:tcPr>
            <w:tcW w:w="14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4.12 </w:t>
            </w:r>
          </w:p>
        </w:tc>
        <w:tc>
          <w:tcPr>
            <w:tcW w:w="306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4.12 </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21"/>
                <w:lang w:val="en-US" w:eastAsia="zh-CN" w:bidi="ar"/>
              </w:rPr>
              <w:t xml:space="preserve">      </w:t>
            </w:r>
            <w:r>
              <w:rPr>
                <w:rStyle w:val="19"/>
                <w:lang w:val="en-US" w:eastAsia="zh-CN" w:bidi="ar"/>
              </w:rPr>
              <w:t xml:space="preserve">  其他资金</w:t>
            </w:r>
          </w:p>
        </w:tc>
        <w:tc>
          <w:tcPr>
            <w:tcW w:w="14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0.10 </w:t>
            </w:r>
          </w:p>
        </w:tc>
        <w:tc>
          <w:tcPr>
            <w:tcW w:w="306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0.10 </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0" w:hRule="atLeast"/>
        </w:trPr>
        <w:tc>
          <w:tcPr>
            <w:tcW w:w="1628"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6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按照各镇服务常住人口数，结合省市区绩效评价方案将所有资金100%下达至项目实施单位，同时督促项目实施单位40%下达至村卫生室。</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8月份下达到位资金的80%，12月底将所有资金全部拨付到位。</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按照各镇常住人口数，结合2022年绩效评价结果合理合规拨付资金。</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本着专款专用的原则，严格按照项目资金审批要求使用项目资金。</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所有资金全部用于基本公共卫生服务项目</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按照全区常住人口数量预算全年项目资金，提升财政专项资金使用效益</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20" w:hRule="atLeast"/>
        </w:trPr>
        <w:tc>
          <w:tcPr>
            <w:tcW w:w="162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建立由卫健支出，财政局监督的资金支出制度，确保资金使用的合理合法合规。</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717" w:type="dxa"/>
            <w:gridSpan w:val="1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922" w:type="dxa"/>
            <w:gridSpan w:val="7"/>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2780" w:hRule="atLeast"/>
        </w:trPr>
        <w:tc>
          <w:tcPr>
            <w:tcW w:w="63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17"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1:免费向常住城乡居民提供12类国家基本公共卫生服务；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2、开展对重点疾病及危害因素检测，有效控制疾病流行，为制定相关政策提供科学依据；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4、开展职业病检测，最大限度地保护放射工作人员，患者和公众的健康权益。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5、同时推进妇幼健康、健康素养促进、医养结合和老年健康服务、卫生应急、计划生育等方面工作。</w:t>
            </w:r>
          </w:p>
        </w:tc>
        <w:tc>
          <w:tcPr>
            <w:tcW w:w="292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1.全乡承担基本公共卫生项目基层医疗卫生机构免费为辖区居民提供12类基本公共卫生服务。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2.开展对重点疾病及危害因素监测，有效控制疾病流行，为制定相关政策提供科学依据。重点疾病监测项目完成相应指标。</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3.助力国家脱贫攻坚，保持重点地方病防治措施全面落实。完成地方病监测任务。</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4.全面完成职业病监测各项任务。最大限度地保护放射工作人员、患者和公众的健康权益。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5.推进妇幼健康、健康素养促进、医养结合和老年健康服务、卫生应急、计划生育等方面工作，确保各项指标达标及工作落实。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600" w:hRule="atLeast"/>
        </w:trPr>
        <w:tc>
          <w:tcPr>
            <w:tcW w:w="632"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841" w:type="dxa"/>
            <w:gridSpan w:val="4"/>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342" w:type="dxa"/>
            <w:gridSpan w:val="7"/>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restar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restart"/>
            <w:tcBorders>
              <w:top w:val="single" w:color="auto" w:sz="4" w:space="0"/>
              <w:left w:val="single" w:color="auto"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342" w:type="dxa"/>
            <w:gridSpan w:val="7"/>
            <w:tcBorders>
              <w:top w:val="single" w:color="auto"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适龄儿童国家免疫规划疫苗接种率</w:t>
            </w:r>
          </w:p>
        </w:tc>
        <w:tc>
          <w:tcPr>
            <w:tcW w:w="75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90%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8"/>
                <w:lang w:val="en-US" w:eastAsia="zh-CN" w:bidi="ar"/>
              </w:rPr>
              <w:t>7</w:t>
            </w:r>
            <w:r>
              <w:rPr>
                <w:rStyle w:val="20"/>
                <w:lang w:val="en-US" w:eastAsia="zh-CN" w:bidi="ar"/>
              </w:rPr>
              <w:t>岁以下儿童健康管理率</w:t>
            </w:r>
          </w:p>
        </w:tc>
        <w:tc>
          <w:tcPr>
            <w:tcW w:w="75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85%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8"/>
                <w:lang w:val="en-US" w:eastAsia="zh-CN" w:bidi="ar"/>
              </w:rPr>
              <w:t>0-6</w:t>
            </w:r>
            <w:r>
              <w:rPr>
                <w:rStyle w:val="20"/>
                <w:lang w:val="en-US" w:eastAsia="zh-CN" w:bidi="ar"/>
              </w:rPr>
              <w:t>岁儿童眼保健和视力检查覆盖率</w:t>
            </w:r>
          </w:p>
        </w:tc>
        <w:tc>
          <w:tcPr>
            <w:tcW w:w="75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90%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孕产妇系统管理率</w:t>
            </w:r>
          </w:p>
        </w:tc>
        <w:tc>
          <w:tcPr>
            <w:tcW w:w="75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90%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99.77%</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8"/>
                <w:lang w:val="en-US" w:eastAsia="zh-CN" w:bidi="ar"/>
              </w:rPr>
              <w:t>3</w:t>
            </w:r>
            <w:r>
              <w:rPr>
                <w:rStyle w:val="20"/>
                <w:lang w:val="en-US" w:eastAsia="zh-CN" w:bidi="ar"/>
              </w:rPr>
              <w:t>岁以下儿童系统管理率</w:t>
            </w:r>
          </w:p>
        </w:tc>
        <w:tc>
          <w:tcPr>
            <w:tcW w:w="75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80%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高血压患者管理人数</w:t>
            </w:r>
          </w:p>
        </w:tc>
        <w:tc>
          <w:tcPr>
            <w:tcW w:w="75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2"/>
                <w:rFonts w:hint="eastAsia" w:ascii="宋体" w:hAnsi="宋体" w:eastAsia="宋体" w:cs="宋体"/>
                <w:sz w:val="24"/>
                <w:szCs w:val="24"/>
                <w:lang w:val="en-US" w:eastAsia="zh-CN" w:bidi="ar"/>
              </w:rPr>
              <w:t>0.0</w:t>
            </w:r>
            <w:r>
              <w:rPr>
                <w:rStyle w:val="22"/>
                <w:rFonts w:hint="eastAsia" w:ascii="宋体" w:hAnsi="宋体" w:cs="宋体"/>
                <w:sz w:val="24"/>
                <w:szCs w:val="24"/>
                <w:lang w:val="en-US" w:eastAsia="zh-CN" w:bidi="ar"/>
              </w:rPr>
              <w:t>365</w:t>
            </w:r>
            <w:r>
              <w:rPr>
                <w:rStyle w:val="20"/>
                <w:lang w:val="en-US" w:eastAsia="zh-CN" w:bidi="ar"/>
              </w:rPr>
              <w:t>万人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2"/>
                <w:rFonts w:hint="eastAsia" w:ascii="宋体" w:hAnsi="宋体" w:eastAsia="宋体" w:cs="宋体"/>
                <w:sz w:val="24"/>
                <w:szCs w:val="24"/>
                <w:lang w:val="en-US" w:eastAsia="zh-CN" w:bidi="ar"/>
              </w:rPr>
              <w:t>0.0</w:t>
            </w:r>
            <w:r>
              <w:rPr>
                <w:rStyle w:val="22"/>
                <w:rFonts w:hint="eastAsia" w:ascii="宋体" w:hAnsi="宋体" w:cs="宋体"/>
                <w:sz w:val="24"/>
                <w:szCs w:val="24"/>
                <w:lang w:val="en-US" w:eastAsia="zh-CN" w:bidi="ar"/>
              </w:rPr>
              <w:t>365</w:t>
            </w:r>
            <w:r>
              <w:rPr>
                <w:rStyle w:val="20"/>
                <w:lang w:val="en-US" w:eastAsia="zh-CN" w:bidi="ar"/>
              </w:rPr>
              <w:t>万人</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8"/>
                <w:lang w:val="en-US" w:eastAsia="zh-CN" w:bidi="ar"/>
              </w:rPr>
              <w:t>2</w:t>
            </w:r>
            <w:r>
              <w:rPr>
                <w:rStyle w:val="20"/>
                <w:lang w:val="en-US" w:eastAsia="zh-CN" w:bidi="ar"/>
              </w:rPr>
              <w:t>型糖尿病患者管理人数</w:t>
            </w:r>
          </w:p>
        </w:tc>
        <w:tc>
          <w:tcPr>
            <w:tcW w:w="75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2"/>
                <w:rFonts w:hint="eastAsia" w:ascii="宋体" w:hAnsi="宋体" w:eastAsia="宋体" w:cs="宋体"/>
                <w:sz w:val="24"/>
                <w:szCs w:val="24"/>
                <w:lang w:val="en-US" w:eastAsia="zh-CN" w:bidi="ar"/>
              </w:rPr>
              <w:t>0.0</w:t>
            </w:r>
            <w:r>
              <w:rPr>
                <w:rStyle w:val="22"/>
                <w:rFonts w:hint="eastAsia" w:ascii="宋体" w:hAnsi="宋体" w:cs="宋体"/>
                <w:sz w:val="24"/>
                <w:szCs w:val="24"/>
                <w:lang w:val="en-US" w:eastAsia="zh-CN" w:bidi="ar"/>
              </w:rPr>
              <w:t>071</w:t>
            </w:r>
            <w:r>
              <w:rPr>
                <w:rStyle w:val="20"/>
                <w:lang w:val="en-US" w:eastAsia="zh-CN" w:bidi="ar"/>
              </w:rPr>
              <w:t>万人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2"/>
                <w:rFonts w:hint="eastAsia" w:ascii="宋体" w:hAnsi="宋体" w:eastAsia="宋体" w:cs="宋体"/>
                <w:sz w:val="24"/>
                <w:szCs w:val="24"/>
                <w:lang w:val="en-US" w:eastAsia="zh-CN" w:bidi="ar"/>
              </w:rPr>
              <w:t>0.0</w:t>
            </w:r>
            <w:r>
              <w:rPr>
                <w:rStyle w:val="22"/>
                <w:rFonts w:hint="eastAsia" w:ascii="宋体" w:hAnsi="宋体" w:cs="宋体"/>
                <w:sz w:val="24"/>
                <w:szCs w:val="24"/>
                <w:lang w:val="en-US" w:eastAsia="zh-CN" w:bidi="ar"/>
              </w:rPr>
              <w:t>071</w:t>
            </w:r>
            <w:r>
              <w:rPr>
                <w:rStyle w:val="20"/>
                <w:lang w:val="en-US" w:eastAsia="zh-CN" w:bidi="ar"/>
              </w:rPr>
              <w:t>万人</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地方病核心指标监测率</w:t>
            </w:r>
          </w:p>
        </w:tc>
        <w:tc>
          <w:tcPr>
            <w:tcW w:w="75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90%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职业健康核心指标监测县区覆盖率</w:t>
            </w:r>
          </w:p>
        </w:tc>
        <w:tc>
          <w:tcPr>
            <w:tcW w:w="75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92%</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肺结核患者管理率</w:t>
            </w:r>
          </w:p>
        </w:tc>
        <w:tc>
          <w:tcPr>
            <w:tcW w:w="75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90%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auto"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社区在册居家严重精神障碍患者健康管理率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80%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99.99%</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儿童中医药健康管理率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65%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老年人中医药健康管理率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65%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8"/>
                <w:lang w:val="en-US" w:eastAsia="zh-CN" w:bidi="ar"/>
              </w:rPr>
              <w:t>卫生监督协管各专业每年巡查（访）</w:t>
            </w:r>
            <w:r>
              <w:rPr>
                <w:rStyle w:val="22"/>
                <w:rFonts w:ascii="宋体" w:hAnsi="宋体" w:eastAsia="宋体" w:cs="宋体"/>
                <w:sz w:val="24"/>
                <w:szCs w:val="24"/>
                <w:lang w:val="en-US" w:eastAsia="zh-CN" w:bidi="ar"/>
              </w:rPr>
              <w:t>2</w:t>
            </w:r>
            <w:r>
              <w:rPr>
                <w:rStyle w:val="20"/>
                <w:lang w:val="en-US" w:eastAsia="zh-CN" w:bidi="ar"/>
              </w:rPr>
              <w:t>次完成率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90%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贫困地区儿童营养改善国家级贫困县覆盖率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100%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目标人群叶酸服用率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90%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孕前优生健康检查目标人群覆盖率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80%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新生儿听力筛查率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85%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99.91%</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“两癌”检查项目目标任务完成率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8"/>
                <w:lang w:val="en-US" w:eastAsia="zh-CN" w:bidi="ar"/>
              </w:rPr>
              <w:t>65</w:t>
            </w:r>
            <w:r>
              <w:rPr>
                <w:rStyle w:val="20"/>
                <w:lang w:val="en-US" w:eastAsia="zh-CN" w:bidi="ar"/>
              </w:rPr>
              <w:t>岁以上失能老年人健康服务率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9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居民规范化电子健康档案覆盖率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改造尘肺病康复站</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培养康复医务人员</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1人</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完成尘肺病患者档案，采购设施设备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份</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份</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农村妇女免费“两癌”检查乳腺癌项目人数</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8"/>
                <w:rFonts w:hint="eastAsia"/>
                <w:lang w:val="en-US" w:eastAsia="zh-CN" w:bidi="ar"/>
              </w:rPr>
              <w:t>265</w:t>
            </w:r>
            <w:r>
              <w:rPr>
                <w:rStyle w:val="20"/>
                <w:lang w:val="en-US" w:eastAsia="zh-CN" w:bidi="ar"/>
              </w:rPr>
              <w:t>人</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农村妇女免费“两癌”检查宫颈癌项目人数</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225</w:t>
            </w:r>
            <w:r>
              <w:rPr>
                <w:rFonts w:hint="eastAsia" w:ascii="宋体" w:hAnsi="宋体" w:eastAsia="宋体" w:cs="宋体"/>
                <w:i w:val="0"/>
                <w:iCs w:val="0"/>
                <w:color w:val="000000"/>
                <w:kern w:val="0"/>
                <w:sz w:val="20"/>
                <w:szCs w:val="20"/>
                <w:u w:val="none"/>
                <w:lang w:val="en-US" w:eastAsia="zh-CN" w:bidi="ar"/>
              </w:rPr>
              <w:t>人</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计划年度符合生育政策、计划怀孕的城乡夫妇（包括流动人口）参检对数</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人</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新生儿筛查人数</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16</w:t>
            </w:r>
            <w:r>
              <w:rPr>
                <w:rFonts w:hint="eastAsia" w:ascii="宋体" w:hAnsi="宋体" w:eastAsia="宋体" w:cs="宋体"/>
                <w:i w:val="0"/>
                <w:iCs w:val="0"/>
                <w:color w:val="000000"/>
                <w:kern w:val="0"/>
                <w:sz w:val="20"/>
                <w:szCs w:val="20"/>
                <w:u w:val="none"/>
                <w:lang w:val="en-US" w:eastAsia="zh-CN" w:bidi="ar"/>
              </w:rPr>
              <w:t>人</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按照四川省、广元市第二批尘肺病康复站建设标准，规范建好“七个一”。</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创新中医药适宜技术参与尘肺病康复</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有机结合</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有机结合</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高血压患者基层规范管理服务率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2型糖尿病患者基层规范管理服务率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65岁及以上老年人城乡社区规范健康管理服务率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传染病和突发公共卫生事件报告率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95%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w:t>
            </w:r>
            <w:r>
              <w:rPr>
                <w:rStyle w:val="22"/>
                <w:rFonts w:ascii="宋体" w:hAnsi="宋体" w:eastAsia="宋体" w:cs="宋体"/>
                <w:sz w:val="24"/>
                <w:szCs w:val="24"/>
                <w:lang w:val="en-US" w:eastAsia="zh-CN" w:bidi="ar"/>
              </w:rPr>
              <w:t>90%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99.61%</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农村妇女“两癌”筛查任务完成率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117.58%</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出生缺陷发生风险</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逐步降低</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逐步降低</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新生儿听力筛查率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新生儿两种遗传代谢病（ PKU和CH)筛查率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完成周期</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“两癌”筛查项目标准：宫颈癌检查补助标准</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49元/人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49元/人</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“两癌”筛查项目标准：乳腺癌检查补助标准</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79元/人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79元/人</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9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新生儿筛查项目标准（共计120元/人）</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两种遗传代谢病筛查50元/人；听力筛查70元/人</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其中两种遗传代谢病筛查50元/人；听力筛查70元/人</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每对参检夫妇结算标准</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240元/对</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240元/对</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总成本</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≦1018.867万元</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1018.867万元</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84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城乡居民公共卫生服务差距</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不断缩小</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居民健康素养水平</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指标2:城乡计划怀孕夫妇参加免费孕前优生健康检查的主动性和自觉性</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逐步提高</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逐步提高</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20"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1906" w:hRule="atLeast"/>
        </w:trPr>
        <w:tc>
          <w:tcPr>
            <w:tcW w:w="632"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4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34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146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bookmarkEnd w:id="11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00" w:hRule="atLeast"/>
        </w:trPr>
        <w:tc>
          <w:tcPr>
            <w:tcW w:w="8325" w:type="dxa"/>
            <w:gridSpan w:val="21"/>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2"/>
                <w:szCs w:val="32"/>
                <w:u w:val="none"/>
              </w:rPr>
            </w:pPr>
            <w:r>
              <w:rPr>
                <w:rFonts w:hint="default" w:ascii="方正小标宋简体" w:hAnsi="方正小标宋简体" w:eastAsia="方正小标宋简体" w:cs="方正小标宋简体"/>
                <w:b/>
                <w:bCs/>
                <w:i w:val="0"/>
                <w:iCs w:val="0"/>
                <w:color w:val="000000"/>
                <w:kern w:val="0"/>
                <w:sz w:val="32"/>
                <w:szCs w:val="32"/>
                <w:u w:val="none"/>
                <w:lang w:val="en-US" w:eastAsia="zh-CN" w:bidi="ar"/>
              </w:rPr>
              <w:t>基本药物制度中央补助转移支付项目绩效目标自评表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0" w:hRule="atLeast"/>
        </w:trPr>
        <w:tc>
          <w:tcPr>
            <w:tcW w:w="8325" w:type="dxa"/>
            <w:gridSpan w:val="21"/>
            <w:tcBorders>
              <w:top w:val="nil"/>
              <w:left w:val="nil"/>
              <w:bottom w:val="single" w:color="000000" w:sz="4" w:space="0"/>
              <w:right w:val="nil"/>
            </w:tcBorders>
            <w:noWrap w:val="0"/>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52" w:hRule="atLeast"/>
        </w:trPr>
        <w:tc>
          <w:tcPr>
            <w:tcW w:w="16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714"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基本药物制度中央补助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3" w:hRule="atLeast"/>
        </w:trPr>
        <w:tc>
          <w:tcPr>
            <w:tcW w:w="16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714"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46" w:hRule="atLeast"/>
        </w:trPr>
        <w:tc>
          <w:tcPr>
            <w:tcW w:w="16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51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276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14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青牛</w:t>
            </w:r>
            <w:r>
              <w:rPr>
                <w:rFonts w:hint="eastAsia" w:ascii="宋体" w:hAnsi="宋体" w:eastAsia="宋体" w:cs="宋体"/>
                <w:i w:val="0"/>
                <w:iCs w:val="0"/>
                <w:color w:val="000000"/>
                <w:kern w:val="0"/>
                <w:sz w:val="20"/>
                <w:szCs w:val="20"/>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20" w:hRule="atLeast"/>
        </w:trPr>
        <w:tc>
          <w:tcPr>
            <w:tcW w:w="161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资金投入情况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4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11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3"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7.29 </w:t>
            </w:r>
          </w:p>
        </w:tc>
        <w:tc>
          <w:tcPr>
            <w:tcW w:w="3118"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7.29 </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3"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14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4.37 </w:t>
            </w:r>
          </w:p>
        </w:tc>
        <w:tc>
          <w:tcPr>
            <w:tcW w:w="3118"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4.37 </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3"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4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2.92 </w:t>
            </w:r>
          </w:p>
        </w:tc>
        <w:tc>
          <w:tcPr>
            <w:tcW w:w="311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2.92 </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3"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p>
        </w:tc>
        <w:tc>
          <w:tcPr>
            <w:tcW w:w="140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118"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40" w:hRule="atLeast"/>
        </w:trPr>
        <w:tc>
          <w:tcPr>
            <w:tcW w:w="161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60"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严格按照转移支付管理制度以及资金管理办法规定的范围和标准分配资金。</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60"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60"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240"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60"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267"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1307" w:hRule="atLeast"/>
        </w:trPr>
        <w:tc>
          <w:tcPr>
            <w:tcW w:w="16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452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10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40" w:hRule="atLeast"/>
        </w:trPr>
        <w:tc>
          <w:tcPr>
            <w:tcW w:w="632"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3759" w:type="dxa"/>
            <w:gridSpan w:val="11"/>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880" w:type="dxa"/>
            <w:gridSpan w:val="8"/>
            <w:tcBorders>
              <w:top w:val="nil"/>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2363" w:hRule="atLeast"/>
        </w:trPr>
        <w:tc>
          <w:tcPr>
            <w:tcW w:w="632" w:type="dxa"/>
            <w:vMerge w:val="continue"/>
            <w:tcBorders>
              <w:top w:val="nil"/>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759" w:type="dxa"/>
            <w:gridSpan w:val="11"/>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目标1：保证所有政府办基层医疗卫生机构实施国家基本药物制度，推进综合改革顺利进行；  目标2：对实施国家基本药物制度的村卫生室给予补助，支持国家基本药物制度在村卫生室顺利实施；</w:t>
            </w:r>
          </w:p>
        </w:tc>
        <w:tc>
          <w:tcPr>
            <w:tcW w:w="3880" w:type="dxa"/>
            <w:gridSpan w:val="8"/>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全镇</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个村卫生站、</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个村医全面实施国家基本药物制度，确保基本药物制度的实施，解决了老百姓看病贵的问题，稳定了乡村医生的收入。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522" w:hRule="atLeast"/>
        </w:trPr>
        <w:tc>
          <w:tcPr>
            <w:tcW w:w="63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853"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77" w:type="dxa"/>
            <w:gridSpan w:val="5"/>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716"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360" w:hRule="atLeast"/>
        </w:trPr>
        <w:tc>
          <w:tcPr>
            <w:tcW w:w="632"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853" w:type="dxa"/>
            <w:gridSpan w:val="4"/>
            <w:vMerge w:val="restart"/>
            <w:tcBorders>
              <w:top w:val="single" w:color="000000" w:sz="4" w:space="0"/>
              <w:left w:val="single" w:color="auto"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77" w:type="dxa"/>
            <w:gridSpan w:val="5"/>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实施基本药物制度的政府办基层医疗卫生机构数量</w:t>
            </w:r>
          </w:p>
        </w:tc>
        <w:tc>
          <w:tcPr>
            <w:tcW w:w="1716"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个</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个</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360" w:hRule="atLeast"/>
        </w:trPr>
        <w:tc>
          <w:tcPr>
            <w:tcW w:w="632"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53" w:type="dxa"/>
            <w:gridSpan w:val="4"/>
            <w:vMerge w:val="continue"/>
            <w:tcBorders>
              <w:top w:val="single" w:color="000000" w:sz="4" w:space="0"/>
              <w:left w:val="single" w:color="auto"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077" w:type="dxa"/>
            <w:gridSpan w:val="5"/>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实施基本药物制度的村卫生室占比</w:t>
            </w:r>
          </w:p>
        </w:tc>
        <w:tc>
          <w:tcPr>
            <w:tcW w:w="1716"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90" w:hRule="atLeast"/>
        </w:trPr>
        <w:tc>
          <w:tcPr>
            <w:tcW w:w="632"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53" w:type="dxa"/>
            <w:gridSpan w:val="4"/>
            <w:vMerge w:val="restart"/>
            <w:tcBorders>
              <w:top w:val="single" w:color="000000" w:sz="4" w:space="0"/>
              <w:left w:val="single" w:color="auto"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77" w:type="dxa"/>
            <w:gridSpan w:val="5"/>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基层医疗卫生机构“优质服务基层行”活动开展评价机构数比例</w:t>
            </w:r>
          </w:p>
        </w:tc>
        <w:tc>
          <w:tcPr>
            <w:tcW w:w="1716"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680" w:hRule="atLeast"/>
        </w:trPr>
        <w:tc>
          <w:tcPr>
            <w:tcW w:w="632"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53" w:type="dxa"/>
            <w:gridSpan w:val="4"/>
            <w:vMerge w:val="continue"/>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077" w:type="dxa"/>
            <w:gridSpan w:val="5"/>
            <w:tcBorders>
              <w:top w:val="single" w:color="000000"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基层医疗卫生机构“优质服务基层行”活动达到基本标准及以上的比例</w:t>
            </w:r>
          </w:p>
        </w:tc>
        <w:tc>
          <w:tcPr>
            <w:tcW w:w="1716" w:type="dxa"/>
            <w:gridSpan w:val="3"/>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90.90%</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580" w:hRule="atLeast"/>
        </w:trPr>
        <w:tc>
          <w:tcPr>
            <w:tcW w:w="632"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53" w:type="dxa"/>
            <w:gridSpan w:val="4"/>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77" w:type="dxa"/>
            <w:gridSpan w:val="5"/>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2022年12月以前完成项目实施</w:t>
            </w:r>
          </w:p>
        </w:tc>
        <w:tc>
          <w:tcPr>
            <w:tcW w:w="17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980" w:hRule="atLeast"/>
        </w:trPr>
        <w:tc>
          <w:tcPr>
            <w:tcW w:w="632"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853"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7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7.29</w:t>
            </w:r>
            <w:r>
              <w:rPr>
                <w:rFonts w:hint="eastAsia" w:ascii="宋体" w:hAnsi="宋体" w:eastAsia="宋体" w:cs="宋体"/>
                <w:i w:val="0"/>
                <w:iCs w:val="0"/>
                <w:color w:val="000000"/>
                <w:kern w:val="0"/>
                <w:sz w:val="20"/>
                <w:szCs w:val="20"/>
                <w:u w:val="none"/>
                <w:lang w:val="en-US" w:eastAsia="zh-CN" w:bidi="ar"/>
              </w:rPr>
              <w:t>万元</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7.29</w:t>
            </w:r>
            <w:r>
              <w:rPr>
                <w:rFonts w:hint="eastAsia" w:ascii="宋体" w:hAnsi="宋体" w:eastAsia="宋体" w:cs="宋体"/>
                <w:i w:val="0"/>
                <w:iCs w:val="0"/>
                <w:color w:val="000000"/>
                <w:kern w:val="0"/>
                <w:sz w:val="20"/>
                <w:szCs w:val="20"/>
                <w:u w:val="none"/>
                <w:lang w:val="en-US" w:eastAsia="zh-CN" w:bidi="ar"/>
              </w:rPr>
              <w:t>万元</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360" w:hRule="atLeast"/>
        </w:trPr>
        <w:tc>
          <w:tcPr>
            <w:tcW w:w="632"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853"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303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妇女、儿童生活质量及健康水平</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80" w:hRule="atLeast"/>
        </w:trPr>
        <w:tc>
          <w:tcPr>
            <w:tcW w:w="632"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0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扩大艾滋病检查率</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480" w:hRule="atLeast"/>
        </w:trPr>
        <w:tc>
          <w:tcPr>
            <w:tcW w:w="632"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3"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p>
        </w:tc>
        <w:tc>
          <w:tcPr>
            <w:tcW w:w="30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乡村医生保持稳定收入情况</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同比提升</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较上年提高5%</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1012" w:hRule="atLeast"/>
        </w:trPr>
        <w:tc>
          <w:tcPr>
            <w:tcW w:w="632"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3" w:type="dxa"/>
            <w:gridSpan w:val="4"/>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0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基本药物制度在基层持续实施</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2144" w:hRule="atLeast"/>
        </w:trPr>
        <w:tc>
          <w:tcPr>
            <w:tcW w:w="632" w:type="dxa"/>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53" w:type="dxa"/>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0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医共体建设符合“紧密型”、“控费用”、“同质化”、“促分工”发展方向</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推进“医共体”试点</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制定规划，稳步推进</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600" w:hRule="atLeast"/>
        </w:trPr>
        <w:tc>
          <w:tcPr>
            <w:tcW w:w="632" w:type="dxa"/>
            <w:vMerge w:val="continue"/>
            <w:tcBorders>
              <w:top w:val="single" w:color="auto" w:sz="4" w:space="0"/>
              <w:left w:val="single" w:color="auto" w:sz="4" w:space="0"/>
              <w:bottom w:val="nil"/>
              <w:right w:val="single" w:color="000000" w:sz="4" w:space="0"/>
            </w:tcBorders>
            <w:noWrap w:val="0"/>
            <w:textDirection w:val="tbRlV"/>
            <w:vAlign w:val="center"/>
          </w:tcPr>
          <w:p>
            <w:pPr>
              <w:jc w:val="center"/>
              <w:rPr>
                <w:rFonts w:hint="eastAsia" w:ascii="宋体" w:hAnsi="宋体" w:eastAsia="宋体" w:cs="宋体"/>
                <w:i w:val="0"/>
                <w:iCs w:val="0"/>
                <w:color w:val="000000"/>
                <w:sz w:val="20"/>
                <w:szCs w:val="20"/>
                <w:u w:val="none"/>
              </w:rPr>
            </w:pPr>
          </w:p>
        </w:tc>
        <w:tc>
          <w:tcPr>
            <w:tcW w:w="829"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53" w:type="dxa"/>
            <w:gridSpan w:val="4"/>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0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对基本药物制度补助满意度</w:t>
            </w:r>
          </w:p>
        </w:tc>
        <w:tc>
          <w:tcPr>
            <w:tcW w:w="7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140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 w:type="dxa"/>
          <w:trHeight w:val="360" w:hRule="atLeast"/>
        </w:trPr>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7639" w:type="dxa"/>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无</w:t>
            </w:r>
          </w:p>
        </w:tc>
      </w:tr>
    </w:tbl>
    <w:tbl>
      <w:tblPr>
        <w:tblStyle w:val="11"/>
        <w:tblW w:w="8290" w:type="dxa"/>
        <w:jc w:val="center"/>
        <w:tblLayout w:type="fixed"/>
        <w:tblCellMar>
          <w:top w:w="0" w:type="dxa"/>
          <w:left w:w="0" w:type="dxa"/>
          <w:bottom w:w="0" w:type="dxa"/>
          <w:right w:w="0" w:type="dxa"/>
        </w:tblCellMar>
      </w:tblPr>
      <w:tblGrid>
        <w:gridCol w:w="490"/>
        <w:gridCol w:w="990"/>
        <w:gridCol w:w="990"/>
        <w:gridCol w:w="990"/>
        <w:gridCol w:w="810"/>
        <w:gridCol w:w="610"/>
        <w:gridCol w:w="440"/>
        <w:gridCol w:w="752"/>
        <w:gridCol w:w="878"/>
        <w:gridCol w:w="354"/>
        <w:gridCol w:w="986"/>
      </w:tblGrid>
      <w:tr>
        <w:tblPrEx>
          <w:tblCellMar>
            <w:top w:w="0" w:type="dxa"/>
            <w:left w:w="0" w:type="dxa"/>
            <w:bottom w:w="0" w:type="dxa"/>
            <w:right w:w="0" w:type="dxa"/>
          </w:tblCellMar>
        </w:tblPrEx>
        <w:trPr>
          <w:wAfter w:w="0" w:type="auto"/>
          <w:trHeight w:val="580" w:hRule="atLeast"/>
          <w:jc w:val="center"/>
        </w:trPr>
        <w:tc>
          <w:tcPr>
            <w:tcW w:w="8290" w:type="dxa"/>
            <w:gridSpan w:val="11"/>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wAfter w:w="0" w:type="auto"/>
          <w:trHeight w:val="759" w:hRule="atLeast"/>
          <w:jc w:val="center"/>
        </w:trPr>
        <w:tc>
          <w:tcPr>
            <w:tcW w:w="14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6810"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51081122T000006832293-二类疫苗服务费</w:t>
            </w:r>
          </w:p>
        </w:tc>
      </w:tr>
      <w:tr>
        <w:tblPrEx>
          <w:tblCellMar>
            <w:top w:w="0" w:type="dxa"/>
            <w:left w:w="0" w:type="dxa"/>
            <w:bottom w:w="0" w:type="dxa"/>
            <w:right w:w="0" w:type="dxa"/>
          </w:tblCellMar>
        </w:tblPrEx>
        <w:trPr>
          <w:wAfter w:w="0" w:type="auto"/>
          <w:trHeight w:val="903" w:hRule="atLeast"/>
          <w:jc w:val="center"/>
        </w:trPr>
        <w:tc>
          <w:tcPr>
            <w:tcW w:w="148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3840"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广元市昭化区卫生健康局部门</w:t>
            </w:r>
          </w:p>
        </w:tc>
        <w:tc>
          <w:tcPr>
            <w:tcW w:w="752" w:type="dxa"/>
            <w:tcBorders>
              <w:top w:val="nil"/>
              <w:left w:val="nil"/>
              <w:bottom w:val="nil"/>
              <w:right w:val="nil"/>
            </w:tcBorders>
            <w:noWrap w:val="0"/>
            <w:tcMar>
              <w:top w:w="10" w:type="dxa"/>
              <w:left w:w="10" w:type="dxa"/>
              <w:right w:w="10" w:type="dxa"/>
            </w:tcMar>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218"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青牛</w:t>
            </w:r>
            <w:r>
              <w:rPr>
                <w:rFonts w:hint="eastAsia" w:ascii="宋体" w:hAnsi="宋体" w:eastAsia="宋体" w:cs="宋体"/>
                <w:i w:val="0"/>
                <w:color w:val="000000"/>
                <w:kern w:val="0"/>
                <w:sz w:val="18"/>
                <w:szCs w:val="18"/>
                <w:u w:val="none"/>
                <w:lang w:val="en-US" w:eastAsia="zh-CN" w:bidi="ar"/>
              </w:rPr>
              <w:t>镇</w:t>
            </w:r>
            <w:r>
              <w:rPr>
                <w:rFonts w:ascii="宋体" w:hAnsi="宋体" w:eastAsia="宋体" w:cs="宋体"/>
                <w:i w:val="0"/>
                <w:color w:val="000000"/>
                <w:kern w:val="0"/>
                <w:sz w:val="18"/>
                <w:szCs w:val="18"/>
                <w:u w:val="none"/>
                <w:lang w:val="en-US" w:eastAsia="zh-CN" w:bidi="ar"/>
              </w:rPr>
              <w:t>卫生院</w:t>
            </w:r>
          </w:p>
        </w:tc>
      </w:tr>
      <w:tr>
        <w:tblPrEx>
          <w:tblCellMar>
            <w:top w:w="0" w:type="dxa"/>
            <w:left w:w="0" w:type="dxa"/>
            <w:bottom w:w="0" w:type="dxa"/>
            <w:right w:w="0" w:type="dxa"/>
          </w:tblCellMar>
        </w:tblPrEx>
        <w:trPr>
          <w:wAfter w:w="0" w:type="auto"/>
          <w:trHeight w:val="40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9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3840"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297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wAfter w:w="0" w:type="auto"/>
          <w:trHeight w:val="2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3840"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0.89</w:t>
            </w:r>
            <w:r>
              <w:rPr>
                <w:rFonts w:hint="eastAsia" w:ascii="宋体" w:hAnsi="宋体" w:eastAsia="宋体" w:cs="宋体"/>
                <w:i w:val="0"/>
                <w:color w:val="000000"/>
                <w:sz w:val="18"/>
                <w:szCs w:val="18"/>
                <w:u w:val="none"/>
                <w:lang w:val="en-US" w:eastAsia="zh-CN"/>
              </w:rPr>
              <w:t>万元</w:t>
            </w:r>
          </w:p>
        </w:tc>
        <w:tc>
          <w:tcPr>
            <w:tcW w:w="2970"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lang w:val="en-US"/>
              </w:rPr>
            </w:pPr>
            <w:r>
              <w:rPr>
                <w:rFonts w:hint="eastAsia" w:ascii="黑体" w:hAnsi="黑体" w:eastAsia="黑体" w:cs="黑体"/>
                <w:i w:val="0"/>
                <w:color w:val="000000"/>
                <w:kern w:val="0"/>
                <w:sz w:val="18"/>
                <w:szCs w:val="18"/>
                <w:u w:val="none"/>
                <w:lang w:val="en-US" w:eastAsia="zh-CN" w:bidi="ar"/>
              </w:rPr>
              <w:t>100%</w:t>
            </w:r>
          </w:p>
        </w:tc>
      </w:tr>
      <w:tr>
        <w:tblPrEx>
          <w:tblCellMar>
            <w:top w:w="0" w:type="dxa"/>
            <w:left w:w="0" w:type="dxa"/>
            <w:bottom w:w="0" w:type="dxa"/>
            <w:right w:w="0" w:type="dxa"/>
          </w:tblCellMar>
        </w:tblPrEx>
        <w:trPr>
          <w:wAfter w:w="0" w:type="auto"/>
          <w:trHeight w:val="1918"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6810"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CellMar>
            <w:top w:w="0" w:type="dxa"/>
            <w:left w:w="0" w:type="dxa"/>
            <w:bottom w:w="0" w:type="dxa"/>
            <w:right w:w="0" w:type="dxa"/>
          </w:tblCellMar>
        </w:tblPrEx>
        <w:trPr>
          <w:trHeight w:val="480"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86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7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8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86" w:type="dxa"/>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544"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0.89</w:t>
            </w:r>
          </w:p>
        </w:tc>
        <w:tc>
          <w:tcPr>
            <w:tcW w:w="186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0.89</w:t>
            </w:r>
          </w:p>
        </w:tc>
        <w:tc>
          <w:tcPr>
            <w:tcW w:w="7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8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354"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4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0.89</w:t>
            </w:r>
          </w:p>
        </w:tc>
        <w:tc>
          <w:tcPr>
            <w:tcW w:w="186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0.89</w:t>
            </w:r>
          </w:p>
        </w:tc>
        <w:tc>
          <w:tcPr>
            <w:tcW w:w="7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8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4"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48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6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4"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598"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6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7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4"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44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186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8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4"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1178" w:hRule="atLeast"/>
          <w:jc w:val="center"/>
        </w:trPr>
        <w:tc>
          <w:tcPr>
            <w:tcW w:w="4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7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8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354"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40" w:hRule="atLeast"/>
          <w:jc w:val="center"/>
        </w:trPr>
        <w:tc>
          <w:tcPr>
            <w:tcW w:w="4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5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8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3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86"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0" w:hRule="atLeast"/>
          <w:jc w:val="center"/>
        </w:trPr>
        <w:tc>
          <w:tcPr>
            <w:tcW w:w="6072"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87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3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wAfter w:w="0" w:type="auto"/>
          <w:trHeight w:val="728" w:hRule="atLeast"/>
          <w:jc w:val="center"/>
        </w:trPr>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800"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二类疫苗接种服务费收入全额上缴国库，纳入财政预算管理，实施效果较好</w:t>
            </w:r>
          </w:p>
        </w:tc>
      </w:tr>
      <w:tr>
        <w:tblPrEx>
          <w:tblCellMar>
            <w:top w:w="0" w:type="dxa"/>
            <w:left w:w="0" w:type="dxa"/>
            <w:bottom w:w="0" w:type="dxa"/>
            <w:right w:w="0" w:type="dxa"/>
          </w:tblCellMar>
        </w:tblPrEx>
        <w:trPr>
          <w:wAfter w:w="0" w:type="auto"/>
          <w:trHeight w:val="666" w:hRule="atLeast"/>
          <w:jc w:val="center"/>
        </w:trPr>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800"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wAfter w:w="0" w:type="auto"/>
          <w:trHeight w:val="632" w:hRule="atLeast"/>
          <w:jc w:val="center"/>
        </w:trPr>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800"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wAfter w:w="0" w:type="auto"/>
          <w:trHeight w:val="495" w:hRule="atLeast"/>
          <w:jc w:val="center"/>
        </w:trPr>
        <w:tc>
          <w:tcPr>
            <w:tcW w:w="4270"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02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bl>
    <w:p>
      <w:pPr>
        <w:pStyle w:val="2"/>
        <w:rPr>
          <w:rFonts w:hint="eastAsia" w:ascii="仿宋_GB2312" w:eastAsia="仿宋_GB2312" w:cs="仿宋"/>
          <w:color w:val="auto"/>
          <w:kern w:val="0"/>
          <w:sz w:val="32"/>
          <w:szCs w:val="32"/>
          <w:highlight w:val="none"/>
          <w:lang w:val="en-US" w:eastAsia="zh-CN" w:bidi="ar-SA"/>
        </w:rPr>
      </w:pPr>
    </w:p>
    <w:p>
      <w:pPr>
        <w:spacing w:line="600" w:lineRule="exact"/>
        <w:jc w:val="center"/>
        <w:outlineLvl w:val="0"/>
        <w:rPr>
          <w:rFonts w:hint="eastAsia" w:ascii="黑体" w:eastAsia="黑体"/>
          <w:color w:val="auto"/>
          <w:sz w:val="44"/>
          <w:szCs w:val="44"/>
          <w:highlight w:val="none"/>
        </w:rPr>
      </w:pPr>
      <w:bookmarkStart w:id="113" w:name="_Toc32000"/>
      <w:bookmarkStart w:id="114" w:name="_Toc29230"/>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Style w:val="14"/>
          <w:rFonts w:hint="eastAsia" w:ascii="黑体" w:eastAsia="黑体"/>
          <w:b w:val="0"/>
          <w:color w:val="auto"/>
          <w:highlight w:val="none"/>
        </w:rPr>
      </w:pPr>
      <w:r>
        <w:rPr>
          <w:rFonts w:hint="eastAsia" w:ascii="黑体" w:eastAsia="黑体"/>
          <w:color w:val="auto"/>
          <w:sz w:val="44"/>
          <w:szCs w:val="44"/>
          <w:highlight w:val="none"/>
        </w:rPr>
        <w:t>第</w:t>
      </w:r>
      <w:r>
        <w:rPr>
          <w:rStyle w:val="14"/>
          <w:rFonts w:hint="eastAsia" w:ascii="黑体" w:eastAsia="黑体"/>
          <w:b w:val="0"/>
          <w:color w:val="auto"/>
          <w:highlight w:val="none"/>
        </w:rPr>
        <w:t>五部分 附表</w:t>
      </w:r>
      <w:bookmarkEnd w:id="104"/>
      <w:bookmarkEnd w:id="111"/>
      <w:bookmarkEnd w:id="113"/>
      <w:bookmarkEnd w:id="114"/>
      <w:bookmarkStart w:id="115" w:name="_Toc15396619"/>
    </w:p>
    <w:p>
      <w:pPr>
        <w:spacing w:line="600" w:lineRule="exact"/>
        <w:jc w:val="both"/>
        <w:outlineLvl w:val="1"/>
        <w:rPr>
          <w:rStyle w:val="15"/>
          <w:rFonts w:hint="eastAsia" w:ascii="仿宋" w:eastAsia="仿宋" w:cs="Times New Roman"/>
          <w:b w:val="0"/>
          <w:bCs w:val="0"/>
          <w:color w:val="auto"/>
          <w:highlight w:val="none"/>
        </w:rPr>
      </w:pPr>
      <w:bookmarkStart w:id="116" w:name="_Toc3530"/>
      <w:r>
        <w:rPr>
          <w:rStyle w:val="15"/>
          <w:rFonts w:hint="eastAsia" w:ascii="仿宋" w:eastAsia="仿宋" w:cs="Times New Roman"/>
          <w:b w:val="0"/>
          <w:bCs w:val="0"/>
          <w:color w:val="auto"/>
          <w:highlight w:val="none"/>
        </w:rPr>
        <w:t>一、收入支出决算总表</w:t>
      </w:r>
      <w:bookmarkEnd w:id="115"/>
      <w:bookmarkEnd w:id="116"/>
      <w:bookmarkStart w:id="117" w:name="_Toc15396620"/>
    </w:p>
    <w:p>
      <w:pPr>
        <w:spacing w:line="600" w:lineRule="exact"/>
        <w:jc w:val="both"/>
        <w:outlineLvl w:val="1"/>
        <w:rPr>
          <w:rStyle w:val="15"/>
          <w:rFonts w:hint="eastAsia" w:ascii="仿宋" w:eastAsia="仿宋" w:cs="Times New Roman"/>
          <w:b w:val="0"/>
          <w:bCs w:val="0"/>
          <w:color w:val="auto"/>
          <w:highlight w:val="none"/>
        </w:rPr>
      </w:pPr>
      <w:bookmarkStart w:id="118" w:name="_Toc16240"/>
      <w:r>
        <w:rPr>
          <w:rStyle w:val="15"/>
          <w:rFonts w:hint="eastAsia" w:ascii="仿宋" w:eastAsia="仿宋" w:cs="Times New Roman"/>
          <w:b w:val="0"/>
          <w:bCs w:val="0"/>
          <w:color w:val="auto"/>
          <w:highlight w:val="none"/>
        </w:rPr>
        <w:t>二、收入决算表</w:t>
      </w:r>
      <w:bookmarkEnd w:id="117"/>
      <w:bookmarkEnd w:id="118"/>
      <w:bookmarkStart w:id="119" w:name="_Toc15396621"/>
    </w:p>
    <w:p>
      <w:pPr>
        <w:spacing w:line="600" w:lineRule="exact"/>
        <w:jc w:val="both"/>
        <w:outlineLvl w:val="1"/>
        <w:rPr>
          <w:rStyle w:val="15"/>
          <w:rFonts w:hint="eastAsia" w:ascii="仿宋" w:eastAsia="仿宋" w:cs="Times New Roman"/>
          <w:b w:val="0"/>
          <w:bCs w:val="0"/>
          <w:color w:val="auto"/>
          <w:highlight w:val="none"/>
        </w:rPr>
      </w:pPr>
      <w:bookmarkStart w:id="120" w:name="_Toc11327"/>
      <w:r>
        <w:rPr>
          <w:rStyle w:val="15"/>
          <w:rFonts w:hint="eastAsia" w:ascii="仿宋" w:eastAsia="仿宋" w:cs="Times New Roman"/>
          <w:b w:val="0"/>
          <w:bCs w:val="0"/>
          <w:color w:val="auto"/>
          <w:highlight w:val="none"/>
        </w:rPr>
        <w:t>三、支出决算表</w:t>
      </w:r>
      <w:bookmarkEnd w:id="119"/>
      <w:bookmarkEnd w:id="120"/>
      <w:bookmarkStart w:id="121" w:name="_Toc15396622"/>
    </w:p>
    <w:p>
      <w:pPr>
        <w:spacing w:line="600" w:lineRule="exact"/>
        <w:jc w:val="both"/>
        <w:outlineLvl w:val="1"/>
        <w:rPr>
          <w:rStyle w:val="15"/>
          <w:rFonts w:hint="eastAsia" w:ascii="仿宋" w:eastAsia="仿宋" w:cs="Times New Roman"/>
          <w:b w:val="0"/>
          <w:bCs w:val="0"/>
          <w:color w:val="auto"/>
          <w:highlight w:val="none"/>
        </w:rPr>
      </w:pPr>
      <w:bookmarkStart w:id="122" w:name="_Toc29437"/>
      <w:r>
        <w:rPr>
          <w:rStyle w:val="15"/>
          <w:rFonts w:hint="eastAsia" w:ascii="仿宋" w:eastAsia="仿宋" w:cs="Times New Roman"/>
          <w:b w:val="0"/>
          <w:bCs w:val="0"/>
          <w:color w:val="auto"/>
          <w:highlight w:val="none"/>
        </w:rPr>
        <w:t>四、财政拨款收入支出决算总表</w:t>
      </w:r>
      <w:bookmarkEnd w:id="121"/>
      <w:bookmarkEnd w:id="122"/>
      <w:bookmarkStart w:id="123" w:name="_Toc15396623"/>
    </w:p>
    <w:p>
      <w:pPr>
        <w:spacing w:line="600" w:lineRule="exact"/>
        <w:jc w:val="both"/>
        <w:outlineLvl w:val="1"/>
        <w:rPr>
          <w:rStyle w:val="15"/>
          <w:rFonts w:hint="eastAsia" w:ascii="仿宋" w:eastAsia="仿宋" w:cs="Times New Roman"/>
          <w:b w:val="0"/>
          <w:bCs w:val="0"/>
          <w:color w:val="auto"/>
          <w:highlight w:val="none"/>
        </w:rPr>
      </w:pPr>
      <w:bookmarkStart w:id="124" w:name="_Toc32754"/>
      <w:r>
        <w:rPr>
          <w:rStyle w:val="15"/>
          <w:rFonts w:hint="eastAsia" w:ascii="仿宋" w:eastAsia="仿宋" w:cs="Times New Roman"/>
          <w:b w:val="0"/>
          <w:bCs w:val="0"/>
          <w:color w:val="auto"/>
          <w:highlight w:val="none"/>
        </w:rPr>
        <w:t>五、财政拨款支出决算明细表</w:t>
      </w:r>
      <w:bookmarkEnd w:id="123"/>
      <w:bookmarkEnd w:id="124"/>
      <w:bookmarkStart w:id="125" w:name="_Toc15396624"/>
    </w:p>
    <w:p>
      <w:pPr>
        <w:spacing w:line="600" w:lineRule="exact"/>
        <w:jc w:val="both"/>
        <w:outlineLvl w:val="1"/>
        <w:rPr>
          <w:rStyle w:val="15"/>
          <w:rFonts w:hint="eastAsia" w:ascii="仿宋" w:eastAsia="仿宋" w:cs="Times New Roman"/>
          <w:b w:val="0"/>
          <w:bCs w:val="0"/>
          <w:color w:val="auto"/>
          <w:highlight w:val="none"/>
        </w:rPr>
      </w:pPr>
      <w:bookmarkStart w:id="126" w:name="_Toc23410"/>
      <w:r>
        <w:rPr>
          <w:rStyle w:val="15"/>
          <w:rFonts w:hint="eastAsia" w:ascii="仿宋" w:eastAsia="仿宋" w:cs="Times New Roman"/>
          <w:b w:val="0"/>
          <w:bCs w:val="0"/>
          <w:color w:val="auto"/>
          <w:highlight w:val="none"/>
        </w:rPr>
        <w:t>六、一般公共预算财政拨款支出决算表</w:t>
      </w:r>
      <w:bookmarkEnd w:id="125"/>
      <w:bookmarkEnd w:id="126"/>
      <w:bookmarkStart w:id="127" w:name="_Toc15396625"/>
    </w:p>
    <w:p>
      <w:pPr>
        <w:spacing w:line="600" w:lineRule="exact"/>
        <w:jc w:val="both"/>
        <w:outlineLvl w:val="1"/>
        <w:rPr>
          <w:rStyle w:val="15"/>
          <w:rFonts w:hint="eastAsia" w:ascii="仿宋" w:eastAsia="仿宋" w:cs="Times New Roman"/>
          <w:b w:val="0"/>
          <w:bCs w:val="0"/>
          <w:color w:val="auto"/>
          <w:highlight w:val="none"/>
        </w:rPr>
      </w:pPr>
      <w:bookmarkStart w:id="128" w:name="_Toc4104"/>
      <w:r>
        <w:rPr>
          <w:rStyle w:val="15"/>
          <w:rFonts w:hint="eastAsia" w:ascii="仿宋" w:eastAsia="仿宋" w:cs="Times New Roman"/>
          <w:b w:val="0"/>
          <w:bCs w:val="0"/>
          <w:color w:val="auto"/>
          <w:highlight w:val="none"/>
        </w:rPr>
        <w:t>七、一般公共预算财政拨款支出决算明细表</w:t>
      </w:r>
      <w:bookmarkEnd w:id="127"/>
      <w:bookmarkEnd w:id="128"/>
    </w:p>
    <w:p>
      <w:pPr>
        <w:spacing w:line="600" w:lineRule="exact"/>
        <w:jc w:val="both"/>
        <w:outlineLvl w:val="1"/>
        <w:rPr>
          <w:rStyle w:val="15"/>
          <w:rFonts w:hint="eastAsia" w:ascii="仿宋" w:eastAsia="仿宋" w:cs="Times New Roman"/>
          <w:b w:val="0"/>
          <w:bCs w:val="0"/>
          <w:color w:val="auto"/>
          <w:highlight w:val="none"/>
        </w:rPr>
      </w:pPr>
      <w:bookmarkStart w:id="129" w:name="_Toc15396626"/>
      <w:bookmarkStart w:id="130" w:name="_Toc29299"/>
      <w:r>
        <w:rPr>
          <w:rStyle w:val="15"/>
          <w:rFonts w:hint="eastAsia" w:ascii="仿宋" w:eastAsia="仿宋" w:cs="Times New Roman"/>
          <w:b w:val="0"/>
          <w:bCs w:val="0"/>
          <w:color w:val="auto"/>
          <w:highlight w:val="none"/>
        </w:rPr>
        <w:t>八、一般公共预算财政拨款基本支出决算表</w:t>
      </w:r>
      <w:bookmarkEnd w:id="129"/>
      <w:bookmarkEnd w:id="130"/>
    </w:p>
    <w:p>
      <w:pPr>
        <w:spacing w:line="600" w:lineRule="exact"/>
        <w:jc w:val="both"/>
        <w:outlineLvl w:val="1"/>
        <w:rPr>
          <w:rStyle w:val="15"/>
          <w:rFonts w:hint="eastAsia" w:ascii="仿宋" w:eastAsia="仿宋" w:cs="Times New Roman"/>
          <w:b w:val="0"/>
          <w:bCs w:val="0"/>
          <w:color w:val="auto"/>
          <w:highlight w:val="none"/>
        </w:rPr>
      </w:pPr>
      <w:bookmarkStart w:id="131" w:name="_Toc15396627"/>
      <w:bookmarkStart w:id="132" w:name="_Toc2655"/>
      <w:r>
        <w:rPr>
          <w:rStyle w:val="15"/>
          <w:rFonts w:hint="eastAsia" w:ascii="仿宋" w:eastAsia="仿宋" w:cs="Times New Roman"/>
          <w:b w:val="0"/>
          <w:bCs w:val="0"/>
          <w:color w:val="auto"/>
          <w:highlight w:val="none"/>
        </w:rPr>
        <w:t>九、一般公共预算财政拨款项目支出决算表</w:t>
      </w:r>
      <w:bookmarkEnd w:id="131"/>
      <w:bookmarkEnd w:id="132"/>
    </w:p>
    <w:p>
      <w:pPr>
        <w:spacing w:line="600" w:lineRule="exact"/>
        <w:jc w:val="both"/>
        <w:outlineLvl w:val="1"/>
        <w:rPr>
          <w:rStyle w:val="15"/>
          <w:rFonts w:hint="eastAsia" w:ascii="仿宋" w:eastAsia="仿宋" w:cs="Times New Roman"/>
          <w:b w:val="0"/>
          <w:bCs w:val="0"/>
          <w:color w:val="auto"/>
          <w:highlight w:val="none"/>
        </w:rPr>
      </w:pPr>
      <w:bookmarkStart w:id="133" w:name="_Toc15396628"/>
      <w:bookmarkStart w:id="134" w:name="_Toc1544"/>
      <w:r>
        <w:rPr>
          <w:rStyle w:val="15"/>
          <w:rFonts w:hint="eastAsia" w:ascii="仿宋" w:eastAsia="仿宋" w:cs="Times New Roman"/>
          <w:b w:val="0"/>
          <w:bCs w:val="0"/>
          <w:color w:val="auto"/>
          <w:highlight w:val="none"/>
        </w:rPr>
        <w:t>十、</w:t>
      </w:r>
      <w:bookmarkEnd w:id="133"/>
      <w:r>
        <w:rPr>
          <w:rStyle w:val="15"/>
          <w:rFonts w:hint="eastAsia" w:ascii="仿宋" w:eastAsia="仿宋" w:cs="Times New Roman"/>
          <w:b w:val="0"/>
          <w:bCs w:val="0"/>
          <w:color w:val="auto"/>
          <w:highlight w:val="none"/>
        </w:rPr>
        <w:t>政府性基金预算财政拨款收入支出决算表</w:t>
      </w:r>
      <w:bookmarkEnd w:id="134"/>
    </w:p>
    <w:p>
      <w:pPr>
        <w:spacing w:line="600" w:lineRule="exact"/>
        <w:jc w:val="both"/>
        <w:outlineLvl w:val="1"/>
        <w:rPr>
          <w:rStyle w:val="15"/>
          <w:rFonts w:hint="eastAsia" w:ascii="仿宋" w:eastAsia="仿宋" w:cs="Times New Roman"/>
          <w:b w:val="0"/>
          <w:bCs w:val="0"/>
          <w:color w:val="auto"/>
          <w:highlight w:val="none"/>
        </w:rPr>
      </w:pPr>
      <w:bookmarkStart w:id="135" w:name="_Toc15396629"/>
      <w:bookmarkStart w:id="136" w:name="_Toc1523"/>
      <w:r>
        <w:rPr>
          <w:rStyle w:val="15"/>
          <w:rFonts w:hint="eastAsia" w:ascii="仿宋" w:eastAsia="仿宋" w:cs="Times New Roman"/>
          <w:b w:val="0"/>
          <w:bCs w:val="0"/>
          <w:color w:val="auto"/>
          <w:highlight w:val="none"/>
        </w:rPr>
        <w:t>十一、</w:t>
      </w:r>
      <w:bookmarkEnd w:id="135"/>
      <w:r>
        <w:rPr>
          <w:rStyle w:val="15"/>
          <w:rFonts w:hint="eastAsia" w:ascii="仿宋" w:eastAsia="仿宋" w:cs="Times New Roman"/>
          <w:b w:val="0"/>
          <w:bCs w:val="0"/>
          <w:color w:val="auto"/>
          <w:highlight w:val="none"/>
        </w:rPr>
        <w:t>国有资本经营预算</w:t>
      </w:r>
      <w:r>
        <w:rPr>
          <w:rStyle w:val="15"/>
          <w:rFonts w:hint="eastAsia" w:ascii="仿宋" w:eastAsia="仿宋" w:cs="Times New Roman"/>
          <w:b w:val="0"/>
          <w:bCs w:val="0"/>
          <w:color w:val="auto"/>
          <w:highlight w:val="none"/>
          <w:lang w:eastAsia="zh-CN"/>
        </w:rPr>
        <w:t>财政拨款收入</w:t>
      </w:r>
      <w:r>
        <w:rPr>
          <w:rStyle w:val="15"/>
          <w:rFonts w:hint="eastAsia" w:ascii="仿宋" w:eastAsia="仿宋" w:cs="Times New Roman"/>
          <w:b w:val="0"/>
          <w:bCs w:val="0"/>
          <w:color w:val="auto"/>
          <w:highlight w:val="none"/>
        </w:rPr>
        <w:t>支出决算表</w:t>
      </w:r>
      <w:bookmarkEnd w:id="136"/>
    </w:p>
    <w:p>
      <w:pPr>
        <w:spacing w:line="600" w:lineRule="exact"/>
        <w:jc w:val="both"/>
        <w:outlineLvl w:val="1"/>
        <w:rPr>
          <w:rStyle w:val="15"/>
          <w:rFonts w:hint="eastAsia" w:ascii="仿宋" w:eastAsia="仿宋" w:cs="Times New Roman"/>
          <w:b w:val="0"/>
          <w:bCs w:val="0"/>
          <w:color w:val="auto"/>
          <w:highlight w:val="none"/>
        </w:rPr>
      </w:pPr>
      <w:bookmarkStart w:id="137" w:name="_Toc15396630"/>
      <w:bookmarkStart w:id="138" w:name="_Toc13804"/>
      <w:r>
        <w:rPr>
          <w:rStyle w:val="15"/>
          <w:rFonts w:hint="eastAsia" w:ascii="仿宋" w:eastAsia="仿宋" w:cs="Times New Roman"/>
          <w:b w:val="0"/>
          <w:bCs w:val="0"/>
          <w:color w:val="auto"/>
          <w:highlight w:val="none"/>
        </w:rPr>
        <w:t>十二、</w:t>
      </w:r>
      <w:bookmarkEnd w:id="137"/>
      <w:r>
        <w:rPr>
          <w:rStyle w:val="15"/>
          <w:rFonts w:hint="eastAsia" w:ascii="仿宋" w:eastAsia="仿宋" w:cs="Times New Roman"/>
          <w:b w:val="0"/>
          <w:bCs w:val="0"/>
          <w:color w:val="auto"/>
          <w:highlight w:val="none"/>
          <w:lang w:eastAsia="zh-CN"/>
        </w:rPr>
        <w:t>国有资本经营预算财政拨款支出决算表</w:t>
      </w:r>
      <w:bookmarkEnd w:id="138"/>
    </w:p>
    <w:p>
      <w:pPr>
        <w:spacing w:line="600" w:lineRule="exact"/>
        <w:jc w:val="both"/>
        <w:outlineLvl w:val="1"/>
        <w:rPr>
          <w:rStyle w:val="15"/>
          <w:rFonts w:hint="eastAsia" w:ascii="仿宋" w:eastAsia="仿宋" w:cs="Times New Roman"/>
          <w:b w:val="0"/>
          <w:bCs w:val="0"/>
          <w:color w:val="auto"/>
          <w:highlight w:val="none"/>
          <w:lang w:eastAsia="zh-CN"/>
        </w:rPr>
      </w:pPr>
      <w:bookmarkStart w:id="139" w:name="_Toc15396631"/>
      <w:bookmarkStart w:id="140" w:name="_Toc15747"/>
      <w:r>
        <w:rPr>
          <w:rStyle w:val="15"/>
          <w:rFonts w:hint="eastAsia" w:ascii="仿宋" w:eastAsia="仿宋" w:cs="Times New Roman"/>
          <w:b w:val="0"/>
          <w:bCs w:val="0"/>
          <w:color w:val="auto"/>
          <w:highlight w:val="none"/>
        </w:rPr>
        <w:t>十三、</w:t>
      </w:r>
      <w:bookmarkEnd w:id="139"/>
      <w:r>
        <w:rPr>
          <w:rStyle w:val="15"/>
          <w:rFonts w:hint="eastAsia" w:ascii="仿宋" w:eastAsia="仿宋" w:cs="Times New Roman"/>
          <w:b w:val="0"/>
          <w:bCs w:val="0"/>
          <w:color w:val="auto"/>
          <w:highlight w:val="none"/>
          <w:lang w:eastAsia="zh-CN"/>
        </w:rPr>
        <w:t>财政拨款“三公”经费支出决算表</w:t>
      </w:r>
      <w:bookmarkEnd w:id="140"/>
    </w:p>
    <w:p>
      <w:pPr>
        <w:spacing w:line="600" w:lineRule="exact"/>
        <w:jc w:val="both"/>
        <w:outlineLvl w:val="1"/>
        <w:rPr>
          <w:rStyle w:val="15"/>
          <w:rFonts w:hint="eastAsia" w:ascii="仿宋" w:eastAsia="仿宋" w:cs="Times New Roman"/>
          <w:b w:val="0"/>
          <w:bCs w:val="0"/>
          <w:color w:val="auto"/>
          <w:highlight w:val="none"/>
        </w:rPr>
      </w:pPr>
    </w:p>
    <w:p>
      <w:pPr>
        <w:spacing w:line="600" w:lineRule="exact"/>
        <w:jc w:val="both"/>
        <w:outlineLvl w:val="1"/>
        <w:rPr>
          <w:rStyle w:val="15"/>
          <w:rFonts w:hint="eastAsia" w:ascii="仿宋" w:eastAsia="仿宋" w:cs="Times New Roman"/>
          <w:b w:val="0"/>
          <w:bCs w:val="0"/>
          <w:color w:val="auto"/>
          <w:highlight w:val="none"/>
        </w:rPr>
      </w:pPr>
    </w:p>
    <w:p>
      <w:pPr>
        <w:spacing w:line="600" w:lineRule="exact"/>
        <w:jc w:val="both"/>
        <w:outlineLvl w:val="1"/>
        <w:rPr>
          <w:rStyle w:val="15"/>
          <w:rFonts w:hint="eastAsia" w:ascii="仿宋" w:eastAsia="仿宋" w:cs="Times New Roman"/>
          <w:b w:val="0"/>
          <w:bCs w:val="0"/>
          <w:color w:val="auto"/>
          <w:highlight w:val="none"/>
        </w:rPr>
      </w:pPr>
    </w:p>
    <w:sectPr>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189222"/>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189222"/>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abstractNum w:abstractNumId="4">
    <w:nsid w:val="5714519A"/>
    <w:multiLevelType w:val="singleLevel"/>
    <w:tmpl w:val="5714519A"/>
    <w:lvl w:ilvl="0" w:tentative="0">
      <w:start w:val="3"/>
      <w:numFmt w:val="chineseCounting"/>
      <w:suff w:val="nothing"/>
      <w:lvlText w:val="（%1）"/>
      <w:lvlJc w:val="left"/>
      <w:pPr>
        <w:ind w:left="0" w:firstLine="0"/>
      </w:pPr>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OWMwMDdjMDFjZjQ1NWM1ZjZjMDI2NDMyZGQyNmU4MjQifQ=="/>
  </w:docVars>
  <w:rsids>
    <w:rsidRoot w:val="00000000"/>
    <w:rsid w:val="4D4E3ACC"/>
    <w:rsid w:val="4EBF787B"/>
    <w:rsid w:val="60896C76"/>
    <w:rsid w:val="6E0E3D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25"/>
    <w:qFormat/>
    <w:uiPriority w:val="0"/>
    <w:pPr>
      <w:keepNext/>
      <w:keepLines/>
      <w:widowControl w:val="0"/>
      <w:spacing w:before="260" w:after="260" w:line="415" w:lineRule="auto"/>
      <w:outlineLvl w:val="1"/>
    </w:pPr>
    <w:rPr>
      <w:rFonts w:ascii="Calibri Light" w:hAnsi="Calibri Light"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qFormat/>
    <w:uiPriority w:val="0"/>
    <w:pPr>
      <w:tabs>
        <w:tab w:val="right" w:leader="dot" w:pos="8296"/>
      </w:tabs>
      <w:spacing w:before="93"/>
      <w:jc w:val="center"/>
    </w:pPr>
    <w:rPr>
      <w:rFonts w:ascii="仿宋" w:eastAsia="仿宋"/>
      <w:sz w:val="28"/>
      <w:szCs w:val="28"/>
    </w:rPr>
  </w:style>
  <w:style w:type="paragraph" w:styleId="9">
    <w:name w:val="toc 2"/>
    <w:basedOn w:val="1"/>
    <w:next w:val="1"/>
    <w:qFormat/>
    <w:uiPriority w:val="0"/>
    <w:pPr>
      <w:tabs>
        <w:tab w:val="right" w:leader="dot" w:pos="8296"/>
      </w:tabs>
      <w:ind w:left="20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customStyle="1" w:styleId="14">
    <w:name w:val="heading 1 Char"/>
    <w:basedOn w:val="12"/>
    <w:link w:val="3"/>
    <w:qFormat/>
    <w:uiPriority w:val="0"/>
    <w:rPr>
      <w:rFonts w:ascii="Times New Roman" w:hAnsi="Times New Roman" w:eastAsia="宋体" w:cs="Times New Roman"/>
      <w:b/>
      <w:bCs/>
      <w:kern w:val="44"/>
      <w:sz w:val="44"/>
      <w:szCs w:val="44"/>
      <w:lang w:val="en-US" w:eastAsia="zh-CN" w:bidi="ar-SA"/>
    </w:rPr>
  </w:style>
  <w:style w:type="character" w:customStyle="1" w:styleId="15">
    <w:name w:val="heading 2 Char"/>
    <w:basedOn w:val="12"/>
    <w:link w:val="4"/>
    <w:qFormat/>
    <w:uiPriority w:val="0"/>
    <w:rPr>
      <w:rFonts w:ascii="Calibri Light" w:hAnsi="Calibri Light" w:eastAsia="宋体" w:cs="Times New Roman"/>
      <w:b/>
      <w:bCs/>
      <w:kern w:val="2"/>
      <w:sz w:val="32"/>
      <w:szCs w:val="32"/>
      <w:lang w:val="en-US" w:eastAsia="zh-CN" w:bidi="ar-SA"/>
    </w:rPr>
  </w:style>
  <w:style w:type="paragraph" w:styleId="16">
    <w:name w:val="List Paragraph"/>
    <w:basedOn w:val="1"/>
    <w:qFormat/>
    <w:uiPriority w:val="0"/>
    <w:pPr>
      <w:ind w:firstLine="200" w:firstLineChars="200"/>
    </w:pPr>
  </w:style>
  <w:style w:type="paragraph" w:customStyle="1" w:styleId="17">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8">
    <w:name w:val="font31"/>
    <w:basedOn w:val="12"/>
    <w:qFormat/>
    <w:uiPriority w:val="0"/>
    <w:rPr>
      <w:rFonts w:hint="eastAsia" w:ascii="宋体" w:hAnsi="宋体" w:eastAsia="宋体" w:cs="宋体"/>
      <w:color w:val="000000"/>
      <w:sz w:val="20"/>
      <w:szCs w:val="20"/>
      <w:u w:val="none"/>
    </w:rPr>
  </w:style>
  <w:style w:type="character" w:customStyle="1" w:styleId="19">
    <w:name w:val="font121"/>
    <w:basedOn w:val="12"/>
    <w:qFormat/>
    <w:uiPriority w:val="0"/>
    <w:rPr>
      <w:rFonts w:hint="eastAsia" w:ascii="宋体" w:hAnsi="宋体" w:eastAsia="宋体" w:cs="宋体"/>
      <w:color w:val="000000"/>
      <w:sz w:val="18"/>
      <w:szCs w:val="18"/>
      <w:u w:val="none"/>
    </w:rPr>
  </w:style>
  <w:style w:type="character" w:customStyle="1" w:styleId="20">
    <w:name w:val="font101"/>
    <w:basedOn w:val="12"/>
    <w:qFormat/>
    <w:uiPriority w:val="0"/>
    <w:rPr>
      <w:rFonts w:hint="eastAsia" w:ascii="宋体" w:hAnsi="宋体" w:eastAsia="宋体" w:cs="宋体"/>
      <w:color w:val="000000"/>
      <w:sz w:val="18"/>
      <w:szCs w:val="18"/>
      <w:u w:val="none"/>
    </w:rPr>
  </w:style>
  <w:style w:type="character" w:customStyle="1" w:styleId="21">
    <w:name w:val="font71"/>
    <w:basedOn w:val="12"/>
    <w:qFormat/>
    <w:uiPriority w:val="0"/>
    <w:rPr>
      <w:rFonts w:hint="eastAsia" w:ascii="宋体" w:hAnsi="宋体" w:eastAsia="宋体" w:cs="宋体"/>
      <w:color w:val="000000"/>
      <w:sz w:val="18"/>
      <w:szCs w:val="18"/>
      <w:u w:val="none"/>
    </w:rPr>
  </w:style>
  <w:style w:type="character" w:customStyle="1" w:styleId="22">
    <w:name w:val="font112"/>
    <w:basedOn w:val="12"/>
    <w:qFormat/>
    <w:uiPriority w:val="0"/>
    <w:rPr>
      <w:rFonts w:hint="eastAsia" w:ascii="宋体" w:hAnsi="宋体" w:eastAsia="宋体" w:cs="宋体"/>
      <w:color w:val="000000"/>
      <w:sz w:val="20"/>
      <w:szCs w:val="20"/>
      <w:u w:val="none"/>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2"/>
    <w:qFormat/>
    <w:uiPriority w:val="0"/>
    <w:pPr>
      <w:ind w:leftChars="200"/>
    </w:pPr>
    <w:rPr>
      <w:rFonts w:ascii="Times New Roman" w:hAnsi="Times New Roman" w:eastAsia="宋体" w:cs="Times New Roman"/>
      <w:sz w:val="20"/>
      <w:szCs w:val="20"/>
    </w:rPr>
  </w:style>
  <w:style w:type="character" w:customStyle="1" w:styleId="25">
    <w:name w:val="标题 2 Char"/>
    <w:basedOn w:val="12"/>
    <w:link w:val="4"/>
    <w:qFormat/>
    <w:uiPriority w:val="9"/>
    <w:rPr>
      <w:rFonts w:ascii="Cambria" w:hAnsi="Cambria" w:eastAsia="宋体" w:cs="Times New Roman"/>
      <w:b/>
      <w:bCs/>
      <w:kern w:val="2"/>
      <w:sz w:val="32"/>
      <w:szCs w:val="32"/>
    </w:rPr>
  </w:style>
  <w:style w:type="paragraph" w:customStyle="1" w:styleId="26">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2021年</c:f>
              <c:strCache>
                <c:ptCount val="1"/>
                <c:pt idx="0">
                  <c:v>2021年</c:v>
                </c:pt>
              </c:strCache>
            </c:strRef>
          </c:tx>
          <c:spPr>
            <a:solidFill>
              <a:srgbClr val="5B9BD5">
                <a:alpha val="85000"/>
              </a:srgbClr>
            </a:solidFill>
            <a:ln w="12700">
              <a:solidFill>
                <a:srgbClr val="FFFFFF"/>
              </a:solidFill>
              <a:prstDash val="solid"/>
            </a:ln>
          </c:spPr>
          <c:invertIfNegative val="0"/>
          <c:dLbls>
            <c:numFmt formatCode="0.00_ "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{"收入","支出"}</c:f>
              <c:strCache>
                <c:ptCount val="2"/>
                <c:pt idx="0">
                  <c:v>收入</c:v>
                </c:pt>
                <c:pt idx="1">
                  <c:v>支出</c:v>
                </c:pt>
              </c:strCache>
            </c:strRef>
          </c:cat>
          <c:val>
            <c:numRef>
              <c:f>{225.74,225.74}</c:f>
              <c:numCache>
                <c:formatCode>0.00_ </c:formatCode>
                <c:ptCount val="2"/>
                <c:pt idx="0">
                  <c:v>225.74</c:v>
                </c:pt>
                <c:pt idx="1">
                  <c:v>225.74</c:v>
                </c:pt>
              </c:numCache>
            </c:numRef>
          </c:val>
        </c:ser>
        <c:ser>
          <c:idx val="1"/>
          <c:order val="1"/>
          <c:tx>
            <c:strRef>
              <c:f>2022年</c:f>
              <c:strCache>
                <c:ptCount val="1"/>
                <c:pt idx="0">
                  <c:v>2022年</c:v>
                </c:pt>
              </c:strCache>
            </c:strRef>
          </c:tx>
          <c:spPr>
            <a:solidFill>
              <a:srgbClr val="ED7D31">
                <a:alpha val="85000"/>
              </a:srgbClr>
            </a:solidFill>
            <a:ln w="12700">
              <a:solidFill>
                <a:srgbClr val="FFFFFF"/>
              </a:solidFill>
              <a:prstDash val="solid"/>
            </a:ln>
          </c:spPr>
          <c:invertIfNegative val="0"/>
          <c:dLbls>
            <c:numFmt formatCode="0.00_ "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{"收入","支出"}</c:f>
              <c:strCache>
                <c:ptCount val="2"/>
                <c:pt idx="0">
                  <c:v>收入</c:v>
                </c:pt>
                <c:pt idx="1">
                  <c:v>支出</c:v>
                </c:pt>
              </c:strCache>
            </c:strRef>
          </c:cat>
          <c:val>
            <c:numRef>
              <c:f>{273.65,273.65}</c:f>
              <c:numCache>
                <c:formatCode>0.00_ </c:formatCode>
                <c:ptCount val="2"/>
                <c:pt idx="0">
                  <c:v>273.65</c:v>
                </c:pt>
                <c:pt idx="1">
                  <c:v>273.65</c:v>
                </c:pt>
              </c:numCache>
            </c:numRef>
          </c:val>
        </c:ser>
        <c:dLbls>
          <c:showLegendKey val="0"/>
          <c:showVal val="1"/>
          <c:showCatName val="0"/>
          <c:showSerName val="0"/>
          <c:showPercent val="0"/>
          <c:showBubbleSize val="0"/>
        </c:dLbls>
        <c:gapWidth val="65"/>
        <c:axId val="0"/>
        <c:axId val="1"/>
      </c:barChart>
      <c:catAx>
        <c:axId val="0"/>
        <c:scaling>
          <c:orientation val="minMax"/>
        </c:scaling>
        <c:delete val="0"/>
        <c:axPos val="b"/>
        <c:numFmt formatCode="General" sourceLinked="0"/>
        <c:majorTickMark val="out"/>
        <c:minorTickMark val="none"/>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numFmt formatCode="0.00_ " sourceLinked="1"/>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3287641732768"/>
          <c:y val="0.335350510952381"/>
          <c:w val="0.9388889"/>
          <c:h val="0.64560187"/>
        </c:manualLayout>
      </c:layout>
      <c:pieChart>
        <c:varyColors val="1"/>
        <c:ser>
          <c:idx val="0"/>
          <c:order val="0"/>
          <c:spPr>
            <a:ln>
              <a:noFill/>
            </a:ln>
          </c:spPr>
          <c:explosion val="0"/>
          <c:dPt>
            <c:idx val="0"/>
            <c:bubble3D val="0"/>
            <c:spPr>
              <a:solidFill>
                <a:srgbClr val="5B9BD5"/>
              </a:solidFill>
              <a:ln>
                <a:noFill/>
              </a:ln>
              <a:effectLst>
                <a:outerShdw dist="35921" dir="2700000" algn="br">
                  <a:srgbClr val="000000"/>
                </a:outerShdw>
              </a:effectLst>
            </c:spPr>
          </c:dPt>
          <c:dPt>
            <c:idx val="1"/>
            <c:bubble3D val="0"/>
            <c:explosion val="27"/>
            <c:spPr>
              <a:solidFill>
                <a:srgbClr val="ED7D31"/>
              </a:solidFill>
              <a:ln>
                <a:noFill/>
              </a:ln>
              <a:effectLst>
                <a:outerShdw dist="35921" dir="2700000" algn="br">
                  <a:srgbClr val="000000"/>
                </a:outerShdw>
              </a:effectLst>
            </c:spPr>
          </c:dPt>
          <c:dPt>
            <c:idx val="2"/>
            <c:bubble3D val="0"/>
            <c:explosion val="21"/>
            <c:spPr>
              <a:solidFill>
                <a:srgbClr val="A5A5A5"/>
              </a:solidFill>
              <a:ln>
                <a:noFill/>
              </a:ln>
              <a:effectLst>
                <a:outerShdw dist="35921" dir="2700000" algn="br">
                  <a:srgbClr val="000000"/>
                </a:outerShdw>
              </a:effectLst>
            </c:spPr>
          </c:dPt>
          <c:dLbls>
            <c:dLbl>
              <c:idx val="0"/>
              <c:layout>
                <c:manualLayout>
                  <c:x val="-0.14486924"/>
                  <c:y val="-0.22868355"/>
                </c:manualLayout>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财政拨款收入53.28</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000000"/>
                        </a:solidFill>
                        <a:latin typeface="Times New Roman" panose="02020603050405020304"/>
                        <a:ea typeface="宋体" panose="02010600030101010101" charset="-122"/>
                        <a:cs typeface="Arial" panose="020B0604020202020204" pitchFamily="2"/>
                      </a:rPr>
                      <a:t>政府性基金6.36%</a:t>
                    </a:r>
                    <a:endParaRPr lang="zh-CN" sz="9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13220935"/>
                  <c:y val="-0.010641895"/>
                </c:manualLayout>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事业收入46.72%</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{"财政拨款收入","","事业收入"}</c:f>
              <c:strCache>
                <c:ptCount val="3"/>
                <c:pt idx="0">
                  <c:v>财政拨款收入</c:v>
                </c:pt>
                <c:pt idx="2">
                  <c:v>事业收入</c:v>
                </c:pt>
              </c:strCache>
            </c:strRef>
          </c:cat>
          <c:val>
            <c:numRef>
              <c:f>{145.81,#N/A,127.83}</c:f>
              <c:numCache>
                <c:formatCode>General</c:formatCode>
                <c:ptCount val="3"/>
                <c:pt idx="0">
                  <c:v>145.81</c:v>
                </c:pt>
                <c:pt idx="2">
                  <c:v>127.83</c:v>
                </c:pt>
              </c:numCache>
            </c:numRef>
          </c:val>
        </c:ser>
        <c:ser>
          <c:idx val="1"/>
          <c:order val="1"/>
          <c:spPr>
            <a:ln>
              <a:noFill/>
            </a:ln>
          </c:spPr>
          <c:explosion val="0"/>
          <c:dPt>
            <c:idx val="0"/>
            <c:bubble3D val="0"/>
            <c:spPr>
              <a:ln>
                <a:noFill/>
              </a:ln>
              <a:effectLst>
                <a:outerShdw dist="35921" dir="2700000" algn="br">
                  <a:srgbClr val="000000"/>
                </a:outerShdw>
              </a:effectLst>
            </c:spPr>
          </c:dPt>
          <c:dPt>
            <c:idx val="1"/>
            <c:bubble3D val="0"/>
            <c:spPr>
              <a:ln>
                <a:noFill/>
              </a:ln>
              <a:effectLst>
                <a:outerShdw dist="35921" dir="2700000" algn="br">
                  <a:srgbClr val="000000"/>
                </a:outerShdw>
              </a:effectLst>
            </c:spPr>
          </c:dPt>
          <c:dPt>
            <c:idx val="2"/>
            <c:bubble3D val="0"/>
            <c:spPr>
              <a:ln>
                <a:noFill/>
              </a:ln>
              <a:effectLst>
                <a:outerShdw dist="35921" dir="2700000" algn="br">
                  <a:srgbClr val="000000"/>
                </a:outerShdw>
              </a:effectLst>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{"财政拨款收入","","事业收入"}</c:f>
              <c:strCache>
                <c:ptCount val="3"/>
                <c:pt idx="0">
                  <c:v>财政拨款收入</c:v>
                </c:pt>
                <c:pt idx="2">
                  <c:v>事业收入</c:v>
                </c:pt>
              </c:strCache>
            </c:strRef>
          </c:cat>
          <c:val>
            <c:numRef>
              <c:f>{0.7443,#N/A,0.2557}</c:f>
              <c:numCache>
                <c:formatCode>General</c:formatCode>
                <c:ptCount val="3"/>
                <c:pt idx="0">
                  <c:v>0.7443</c:v>
                </c:pt>
                <c:pt idx="2">
                  <c:v>0.2557</c:v>
                </c:pt>
              </c:numCache>
            </c:numRef>
          </c:val>
        </c:ser>
        <c:dLbls>
          <c:showLegendKey val="0"/>
          <c:showVal val="0"/>
          <c:showCatName val="0"/>
          <c:showSerName val="0"/>
          <c:showPercent val="1"/>
          <c:showBubbleSize val="0"/>
          <c:showLeaderLines val="1"/>
        </c:dLbls>
        <c:firstSliceAng val="0"/>
      </c:pieChart>
      <c:spPr>
        <a:noFill/>
        <a:ln>
          <a:noFill/>
        </a:ln>
      </c:spPr>
    </c:plotArea>
    <c:legend>
      <c:legendPos val="b"/>
      <c:legendEntry>
        <c:idx val="0"/>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ayout/>
      <c:overlay val="0"/>
      <c:spPr>
        <a:solidFill>
          <a:srgbClr val="FFFFFF">
            <a:alpha val="78000"/>
          </a:srgbClr>
        </a:solidFill>
        <a:ln>
          <a:noFill/>
        </a:ln>
      </c:spPr>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pattFill prst="pct5">
      <a:fgClr>
        <a:srgbClr val="F2F2F2"/>
      </a:fgClr>
      <a:bgClr>
        <a:srgbClr val="FFFFFF"/>
      </a:bgClr>
    </a:patt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446115"/>
          <c:y val="0.22005376"/>
          <c:w val="0.91541356"/>
          <c:h val="0.60155314"/>
        </c:manualLayout>
      </c:layout>
      <c:pieChart>
        <c:varyColors val="1"/>
        <c:ser>
          <c:idx val="0"/>
          <c:order val="0"/>
          <c:spPr>
            <a:ln>
              <a:noFill/>
            </a:ln>
          </c:spPr>
          <c:explosion val="0"/>
          <c:dPt>
            <c:idx val="0"/>
            <c:bubble3D val="0"/>
            <c:spPr>
              <a:solidFill>
                <a:srgbClr val="5B9BD5"/>
              </a:solidFill>
              <a:ln w="25400">
                <a:solidFill>
                  <a:srgbClr val="FFFFFF"/>
                </a:solidFill>
                <a:prstDash val="solid"/>
              </a:ln>
            </c:spPr>
          </c:dPt>
          <c:dPt>
            <c:idx val="1"/>
            <c:bubble3D val="0"/>
            <c:explosion val="25"/>
            <c:spPr>
              <a:solidFill>
                <a:srgbClr val="ED7D31"/>
              </a:solidFill>
              <a:ln w="25400">
                <a:solidFill>
                  <a:srgbClr val="FFFFFF"/>
                </a:solidFill>
                <a:prstDash val="solid"/>
              </a:ln>
            </c:spPr>
          </c:dPt>
          <c:dPt>
            <c:idx val="2"/>
            <c:bubble3D val="0"/>
            <c:spPr>
              <a:solidFill>
                <a:srgbClr val="A5A5A5"/>
              </a:solidFill>
              <a:ln w="25400">
                <a:solidFill>
                  <a:srgbClr val="FFFFFF"/>
                </a:solidFill>
                <a:prstDash val="solid"/>
              </a:ln>
            </c:spPr>
          </c:dPt>
          <c:dLbls>
            <c:dLbl>
              <c:idx val="0"/>
              <c:layout>
                <c:manualLayout>
                  <c:x val="-0.15640903"/>
                  <c:y val="-0.25398636"/>
                </c:manualLayout>
              </c:layout>
              <c:tx>
                <c:rich>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404040"/>
                        </a:solidFill>
                        <a:latin typeface="Times New Roman" panose="02020603050405020304"/>
                        <a:ea typeface="宋体" panose="02010600030101010101" charset="-122"/>
                        <a:cs typeface="Arial" panose="020B0604020202020204" pitchFamily="2"/>
                      </a:rPr>
                      <a:t>基本支出86.93%</a:t>
                    </a:r>
                    <a:endParaRPr lang="zh-CN" sz="900" b="1"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404040"/>
                        </a:solidFill>
                        <a:latin typeface="Times New Roman" panose="02020603050405020304"/>
                        <a:ea typeface="宋体" panose="02010600030101010101" charset="-122"/>
                        <a:cs typeface="Arial" panose="020B0604020202020204" pitchFamily="2"/>
                      </a:rPr>
                      <a:t>项目支出13.07%</a:t>
                    </a:r>
                    <a:endParaRPr lang="zh-CN" sz="900" b="1"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{"基本支出","项目支出",""}</c:f>
              <c:strCache>
                <c:ptCount val="3"/>
                <c:pt idx="0">
                  <c:v>基本支出</c:v>
                </c:pt>
                <c:pt idx="1">
                  <c:v>项目支出</c:v>
                </c:pt>
              </c:strCache>
            </c:strRef>
          </c:cat>
          <c:val>
            <c:numRef>
              <c:f>{237.9,35.75,#N/A}</c:f>
              <c:numCache>
                <c:formatCode>General</c:formatCode>
                <c:ptCount val="3"/>
                <c:pt idx="0">
                  <c:v>237.9</c:v>
                </c:pt>
                <c:pt idx="1">
                  <c:v>35.75</c:v>
                </c:pt>
              </c:numCache>
            </c:numRef>
          </c:val>
        </c:ser>
        <c:ser>
          <c:idx val="1"/>
          <c:order val="1"/>
          <c:spPr>
            <a:ln>
              <a:noFill/>
            </a:ln>
          </c:spPr>
          <c:explosion val="0"/>
          <c:dPt>
            <c:idx val="0"/>
            <c:bubble3D val="0"/>
            <c:spPr>
              <a:ln w="25400">
                <a:solidFill>
                  <a:srgbClr val="FFFFFF"/>
                </a:solidFill>
                <a:prstDash val="solid"/>
              </a:ln>
            </c:spPr>
          </c:dPt>
          <c:dPt>
            <c:idx val="1"/>
            <c:bubble3D val="0"/>
            <c:spPr>
              <a:ln w="25400">
                <a:solidFill>
                  <a:srgbClr val="FFFFFF"/>
                </a:solidFill>
                <a:prstDash val="solid"/>
              </a:ln>
            </c:spPr>
          </c:dPt>
          <c:dPt>
            <c:idx val="2"/>
            <c:bubble3D val="0"/>
            <c:spPr>
              <a:ln w="25400">
                <a:solidFill>
                  <a:srgbClr val="FFFFFF"/>
                </a:solidFill>
                <a:prstDash val="solid"/>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{"基本支出","项目支出",""}</c:f>
              <c:strCache>
                <c:ptCount val="3"/>
                <c:pt idx="0">
                  <c:v>基本支出</c:v>
                </c:pt>
                <c:pt idx="1">
                  <c:v>项目支出</c:v>
                </c:pt>
              </c:strCache>
            </c:strRef>
          </c:cat>
          <c:val>
            <c:numRef>
              <c:f>{0.9842,0.0158,#N/A}</c:f>
              <c:numCache>
                <c:formatCode>General</c:formatCode>
                <c:ptCount val="3"/>
                <c:pt idx="0">
                  <c:v>0.9842</c:v>
                </c:pt>
                <c:pt idx="1">
                  <c:v>0.0158</c:v>
                </c:pt>
              </c:numCache>
            </c:numRef>
          </c:val>
        </c:ser>
        <c:dLbls>
          <c:showLegendKey val="0"/>
          <c:showVal val="0"/>
          <c:showCatName val="1"/>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7269305"/>
          <c:y val="0.07899462"/>
          <c:w val="0.92116106"/>
          <c:h val="0.58470374"/>
        </c:manualLayout>
      </c:layout>
      <c:barChart>
        <c:barDir val="col"/>
        <c:grouping val="clustered"/>
        <c:varyColors val="0"/>
        <c:ser>
          <c:idx val="0"/>
          <c:order val="0"/>
          <c:tx>
            <c:strRef>
              <c:f>2021年</c:f>
              <c:strCache>
                <c:ptCount val="1"/>
                <c:pt idx="0">
                  <c:v>2021年</c:v>
                </c:pt>
              </c:strCache>
            </c:strRef>
          </c:tx>
          <c:spPr>
            <a:solidFill>
              <a:srgbClr val="5B9BD5">
                <a:alpha val="85000"/>
              </a:srgbClr>
            </a:solidFill>
            <a:ln w="12700">
              <a:solidFill>
                <a:srgbClr val="FFFFFF"/>
              </a:solidFill>
              <a:prstDash val="solid"/>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{"财政拨款支出","财政拨款收入"}</c:f>
              <c:strCache>
                <c:ptCount val="2"/>
                <c:pt idx="0">
                  <c:v>财政拨款支出</c:v>
                </c:pt>
                <c:pt idx="1">
                  <c:v>财政拨款收入</c:v>
                </c:pt>
              </c:strCache>
            </c:strRef>
          </c:cat>
          <c:val>
            <c:numRef>
              <c:f>{135.55,135.55}</c:f>
              <c:numCache>
                <c:formatCode>General</c:formatCode>
                <c:ptCount val="2"/>
                <c:pt idx="0">
                  <c:v>135.55</c:v>
                </c:pt>
                <c:pt idx="1">
                  <c:v>135.55</c:v>
                </c:pt>
              </c:numCache>
            </c:numRef>
          </c:val>
        </c:ser>
        <c:ser>
          <c:idx val="1"/>
          <c:order val="1"/>
          <c:tx>
            <c:strRef>
              <c:f>2022年</c:f>
              <c:strCache>
                <c:ptCount val="1"/>
                <c:pt idx="0">
                  <c:v>2022年</c:v>
                </c:pt>
              </c:strCache>
            </c:strRef>
          </c:tx>
          <c:spPr>
            <a:solidFill>
              <a:srgbClr val="ED7D31">
                <a:alpha val="85000"/>
              </a:srgbClr>
            </a:solidFill>
            <a:ln w="12700">
              <a:solidFill>
                <a:srgbClr val="FFFFFF"/>
              </a:solidFill>
              <a:prstDash val="solid"/>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{"财政拨款支出","财政拨款收入"}</c:f>
              <c:strCache>
                <c:ptCount val="2"/>
                <c:pt idx="0">
                  <c:v>财政拨款支出</c:v>
                </c:pt>
                <c:pt idx="1">
                  <c:v>财政拨款收入</c:v>
                </c:pt>
              </c:strCache>
            </c:strRef>
          </c:cat>
          <c:val>
            <c:numRef>
              <c:f>{145.81,145.81}</c:f>
              <c:numCache>
                <c:formatCode>General</c:formatCode>
                <c:ptCount val="2"/>
                <c:pt idx="0">
                  <c:v>145.81</c:v>
                </c:pt>
                <c:pt idx="1">
                  <c:v>145.81</c:v>
                </c:pt>
              </c:numCache>
            </c:numRef>
          </c:val>
        </c:ser>
        <c:dLbls>
          <c:showLegendKey val="0"/>
          <c:showVal val="1"/>
          <c:showCatName val="0"/>
          <c:showSerName val="0"/>
          <c:showPercent val="0"/>
          <c:showBubbleSize val="0"/>
        </c:dLbls>
        <c:gapWidth val="65"/>
        <c:axId val="0"/>
        <c:axId val="1"/>
      </c:barChart>
      <c:catAx>
        <c:axId val="0"/>
        <c:scaling>
          <c:orientation val="minMax"/>
        </c:scaling>
        <c:delete val="0"/>
        <c:axPos val="b"/>
        <c:numFmt formatCode="General" sourceLinked="0"/>
        <c:majorTickMark val="none"/>
        <c:minorTickMark val="none"/>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1"/>
        <c:axPos val="l"/>
        <c:majorGridlines>
          <c:spPr>
            <a:ln w="12700" cap="flat" cmpd="sng" algn="ctr">
              <a:solidFill>
                <a:srgbClr val="868686"/>
              </a:solidFill>
              <a:prstDash val="solid"/>
              <a:round/>
            </a:ln>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cap="all" baseline="0">
                <a:solidFill>
                  <a:srgbClr val="595959"/>
                </a:solidFill>
                <a:latin typeface="Times New Roman" panose="02020603050405020304"/>
                <a:ea typeface="宋体" panose="02010600030101010101" charset="-122"/>
                <a:cs typeface="Arial" panose="020B0604020202020204" pitchFamily="2"/>
              </a:defRPr>
            </a:pPr>
            <a:r>
              <a:rPr lang="zh-CN"/>
              <a:t>一般公共预算财政拨款支出</a:t>
            </a:r>
            <a:endParaRPr lang="zh-CN"/>
          </a:p>
        </c:rich>
      </c:tx>
      <c:layout>
        <c:manualLayout>
          <c:xMode val="edge"/>
          <c:yMode val="edge"/>
          <c:x val="0.09897611"/>
          <c:y val="0.04027778"/>
        </c:manualLayout>
      </c:layout>
      <c:overlay val="0"/>
      <c:spPr>
        <a:noFill/>
        <a:ln>
          <a:noFill/>
        </a:ln>
      </c:spPr>
    </c:title>
    <c:autoTitleDeleted val="0"/>
    <c:plotArea>
      <c:layout>
        <c:manualLayout>
          <c:layoutTarget val="inner"/>
          <c:xMode val="edge"/>
          <c:yMode val="edge"/>
          <c:x val="0.04416784"/>
          <c:y val="0.26875"/>
          <c:w val="0.9116643"/>
          <c:h val="0.5822222"/>
        </c:manualLayout>
      </c:layout>
      <c:barChart>
        <c:barDir val="col"/>
        <c:grouping val="stacked"/>
        <c:varyColors val="0"/>
        <c:ser>
          <c:idx val="0"/>
          <c:order val="0"/>
          <c:spPr>
            <a:solidFill>
              <a:srgbClr val="5B9BD5"/>
            </a:solidFill>
            <a:ln>
              <a:noFill/>
            </a:ln>
          </c:spPr>
          <c:invertIfNegative val="0"/>
          <c:dLbls>
            <c:dLbl>
              <c:idx val="1"/>
              <c:layout>
                <c:manualLayout>
                  <c:x val="-0.009636619"/>
                  <c:y val="-0.09583333"/>
                </c:manualLayout>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{"2021年","2022年"}</c:f>
              <c:strCache>
                <c:ptCount val="2"/>
                <c:pt idx="0">
                  <c:v>2021年</c:v>
                </c:pt>
                <c:pt idx="1">
                  <c:v>2022年</c:v>
                </c:pt>
              </c:strCache>
            </c:strRef>
          </c:cat>
          <c:val>
            <c:numRef>
              <c:f>{135.55,139.88}</c:f>
              <c:numCache>
                <c:formatCode>General</c:formatCode>
                <c:ptCount val="2"/>
                <c:pt idx="0">
                  <c:v>135.55</c:v>
                </c:pt>
                <c:pt idx="1">
                  <c:v>139.88</c:v>
                </c:pt>
              </c:numCache>
            </c:numRef>
          </c:val>
        </c:ser>
        <c:dLbls>
          <c:showLegendKey val="0"/>
          <c:showVal val="1"/>
          <c:showCatName val="0"/>
          <c:showSerName val="0"/>
          <c:showPercent val="0"/>
          <c:showBubbleSize val="0"/>
        </c:dLbls>
        <c:gapWidth val="79"/>
        <c:overlap val="100"/>
        <c:axId val="0"/>
        <c:axId val="1"/>
      </c:barChart>
      <c:catAx>
        <c:axId val="0"/>
        <c:scaling>
          <c:orientation val="minMax"/>
        </c:scaling>
        <c:delete val="0"/>
        <c:axPos val="b"/>
        <c:majorGridlines>
          <c:spPr>
            <a:ln w="12700" cap="flat" cmpd="sng" algn="ctr">
              <a:solidFill>
                <a:srgbClr val="D9D9D9"/>
              </a:solidFill>
              <a:prstDash val="solid"/>
              <a:round/>
            </a:ln>
          </c:spPr>
        </c:majorGridlines>
        <c:numFmt formatCode="General" sourceLinked="0"/>
        <c:majorTickMark val="none"/>
        <c:minorTickMark val="none"/>
        <c:tickLblPos val="nextTo"/>
        <c:spPr>
          <a:ln w="12700" cap="flat" cmpd="sng" algn="ctr">
            <a:solidFill>
              <a:srgbClr val="D9D9D9"/>
            </a:solidFill>
            <a:prstDash val="solid"/>
            <a:round/>
          </a:ln>
        </c:spPr>
        <c:txPr>
          <a:bodyPr rot="-60000000" spcFirstLastPara="0" vertOverflow="ellipsis" vert="horz" wrap="square" anchor="ctr" anchorCtr="1"/>
          <a:lstStyle/>
          <a:p>
            <a:pPr>
              <a:defRPr lang="zh-CN" sz="800" b="0" i="0" u="none" strike="noStrike" kern="1200" cap="all"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0470935"/>
          <c:y val="0.046783626"/>
          <c:w val="0.6111111"/>
          <c:h val="0.87134504"/>
        </c:manualLayout>
      </c:layout>
      <c:pieChart>
        <c:varyColors val="1"/>
        <c:ser>
          <c:idx val="0"/>
          <c:order val="0"/>
          <c:spPr>
            <a:ln>
              <a:noFill/>
            </a:ln>
          </c:spPr>
          <c:explosion val="0"/>
          <c:dPt>
            <c:idx val="0"/>
            <c:bubble3D val="0"/>
            <c:explosion val="11"/>
            <c:spPr>
              <a:solidFill>
                <a:srgbClr val="5B9BD5"/>
              </a:solidFill>
              <a:ln>
                <a:noFill/>
              </a:ln>
              <a:effectLst>
                <a:outerShdw dist="35921" dir="2700000" algn="br">
                  <a:srgbClr val="000000"/>
                </a:outerShdw>
              </a:effectLst>
            </c:spPr>
          </c:dPt>
          <c:dPt>
            <c:idx val="1"/>
            <c:bubble3D val="0"/>
            <c:explosion val="42"/>
            <c:spPr>
              <a:solidFill>
                <a:srgbClr val="ED7D31"/>
              </a:solidFill>
              <a:ln>
                <a:noFill/>
              </a:ln>
              <a:effectLst>
                <a:outerShdw dist="35921" dir="2700000" algn="br">
                  <a:srgbClr val="000000"/>
                </a:outerShdw>
              </a:effectLst>
            </c:spPr>
          </c:dPt>
          <c:dPt>
            <c:idx val="2"/>
            <c:bubble3D val="0"/>
            <c:explosion val="19"/>
            <c:spPr>
              <a:solidFill>
                <a:srgbClr val="A5A5A5"/>
              </a:solidFill>
              <a:ln>
                <a:noFill/>
              </a:ln>
              <a:effectLst>
                <a:outerShdw dist="35921" dir="2700000" algn="br">
                  <a:srgbClr val="000000"/>
                </a:outerShdw>
              </a:effectLst>
            </c:spPr>
          </c:dPt>
          <c:dLbls>
            <c:dLbl>
              <c:idx val="0"/>
              <c:layout>
                <c:manualLayout>
                  <c:x val="0.046670634"/>
                  <c:y val="0"/>
                </c:manualLayout>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社会保障和就业支出10.44%</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卫生健康支出84.41%</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extLst>
                <c:ext xmlns:c15="http://schemas.microsoft.com/office/drawing/2012/chart" uri="{CE6537A1-D6FC-4f65-9D91-7224C49458BB}"/>
              </c:extLst>
            </c:dLbl>
            <c:dLbl>
              <c:idx val="2"/>
              <c:layout>
                <c:manualLayout>
                  <c:x val="-0.036476"/>
                  <c:y val="0.018955473"/>
                </c:manualLayout>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住房保障支出5.15%</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pattFill prst="pct75">
                <a:fgClr>
                  <a:srgbClr val="404040"/>
                </a:fgClr>
                <a:bgClr>
                  <a:srgbClr val="595959"/>
                </a:bgClr>
              </a:patt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{"社会保障和就业（类）支出","卫生健康支出","住房保障"}</c:f>
              <c:strCache>
                <c:ptCount val="3"/>
                <c:pt idx="0">
                  <c:v>社会保障和就业（类）支出</c:v>
                </c:pt>
                <c:pt idx="1">
                  <c:v>卫生健康支出</c:v>
                </c:pt>
                <c:pt idx="2">
                  <c:v>住房保障</c:v>
                </c:pt>
              </c:strCache>
            </c:strRef>
          </c:cat>
          <c:val>
            <c:numRef>
              <c:f>{14.61,118.08,7.18}</c:f>
              <c:numCache>
                <c:formatCode>General</c:formatCode>
                <c:ptCount val="3"/>
                <c:pt idx="0">
                  <c:v>14.61</c:v>
                </c:pt>
                <c:pt idx="1">
                  <c:v>118.08</c:v>
                </c:pt>
                <c:pt idx="2">
                  <c:v>7.18</c:v>
                </c:pt>
              </c:numCache>
            </c:numRef>
          </c:val>
        </c:ser>
        <c:ser>
          <c:idx val="1"/>
          <c:order val="1"/>
          <c:spPr>
            <a:ln>
              <a:noFill/>
            </a:ln>
          </c:spPr>
          <c:explosion val="0"/>
          <c:dPt>
            <c:idx val="0"/>
            <c:bubble3D val="0"/>
            <c:spPr>
              <a:ln>
                <a:noFill/>
              </a:ln>
              <a:effectLst>
                <a:outerShdw dist="35921" dir="2700000" algn="br">
                  <a:srgbClr val="000000"/>
                </a:outerShdw>
              </a:effectLst>
            </c:spPr>
          </c:dPt>
          <c:dPt>
            <c:idx val="1"/>
            <c:bubble3D val="0"/>
            <c:spPr>
              <a:ln>
                <a:noFill/>
              </a:ln>
              <a:effectLst>
                <a:outerShdw dist="35921" dir="2700000" algn="br">
                  <a:srgbClr val="000000"/>
                </a:outerShdw>
              </a:effectLst>
            </c:spPr>
          </c:dPt>
          <c:dPt>
            <c:idx val="2"/>
            <c:bubble3D val="0"/>
            <c:spPr>
              <a:ln>
                <a:noFill/>
              </a:ln>
              <a:effectLst>
                <a:outerShdw dist="35921" dir="2700000" algn="br">
                  <a:srgbClr val="000000"/>
                </a:outerShdw>
              </a:effectLst>
            </c:spPr>
          </c:dPt>
          <c:dLbls>
            <c:numFmt formatCode="0%" sourceLinked="0"/>
            <c:spPr>
              <a:pattFill prst="pct75">
                <a:fgClr>
                  <a:srgbClr val="404040"/>
                </a:fgClr>
                <a:bgClr>
                  <a:srgbClr val="595959"/>
                </a:bgClr>
              </a:patt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{"社会保障和就业（类）支出","卫生健康支出","住房保障"}</c:f>
              <c:strCache>
                <c:ptCount val="3"/>
                <c:pt idx="0">
                  <c:v>社会保障和就业（类）支出</c:v>
                </c:pt>
                <c:pt idx="1">
                  <c:v>卫生健康支出</c:v>
                </c:pt>
                <c:pt idx="2">
                  <c:v>住房保障</c:v>
                </c:pt>
              </c:strCache>
            </c:strRef>
          </c:cat>
          <c:val>
            <c:numRef>
              <c:f>{0.1438,0.7571,0.0991}</c:f>
              <c:numCache>
                <c:formatCode>General</c:formatCode>
                <c:ptCount val="3"/>
                <c:pt idx="0">
                  <c:v>0.1438</c:v>
                </c:pt>
                <c:pt idx="1">
                  <c:v>0.7571</c:v>
                </c:pt>
                <c:pt idx="2">
                  <c:v>0.0991</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egendEntry>
        <c:idx val="0"/>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1"/>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ayout>
        <c:manualLayout>
          <c:xMode val="edge"/>
          <c:yMode val="edge"/>
          <c:x val="0.6929395"/>
          <c:y val="0.22444832"/>
          <c:w val="0.301468"/>
          <c:h val="0.5595238"/>
        </c:manualLayout>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22</Pages>
  <Words>8425</Words>
  <Characters>9274</Characters>
  <Lines>0</Lines>
  <Paragraphs>191</Paragraphs>
  <TotalTime>15</TotalTime>
  <ScaleCrop>false</ScaleCrop>
  <LinksUpToDate>false</LinksUpToDate>
  <CharactersWithSpaces>9553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2023-09-21T13:00:00Z</dcterms:created>
  <dc:creator>魏连春</dc:creator>
  <cp:lastModifiedBy>兔子</cp:lastModifiedBy>
  <dcterms:modified xsi:type="dcterms:W3CDTF">2023-09-28T08:33:58Z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75C632B5A5CF431CB8BAA4778EA06CC2_12</vt:lpwstr>
  </property>
</Properties>
</file>