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bookmarkStart w:id="0" w:name="_Hlk57883707"/>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bookmarkEnd w:id="0"/>
    <w:p>
      <w:pPr>
        <w:adjustRightInd w:val="0"/>
        <w:snapToGrid w:val="0"/>
        <w:jc w:val="center"/>
        <w:outlineLvl w:val="0"/>
        <w:rPr>
          <w:rFonts w:hint="eastAsia" w:ascii="方正小标宋_GBK" w:eastAsia="方正小标宋_GBK"/>
          <w:bCs/>
          <w:sz w:val="72"/>
          <w:szCs w:val="72"/>
        </w:rPr>
      </w:pPr>
      <w:bookmarkStart w:id="1" w:name="_Toc30000"/>
      <w:r>
        <w:rPr>
          <w:rFonts w:hint="eastAsia" w:ascii="方正小标宋_GBK" w:eastAsia="方正小标宋_GBK"/>
          <w:bCs/>
          <w:sz w:val="72"/>
          <w:szCs w:val="72"/>
        </w:rPr>
        <w:t>建设项目环境影响报告表</w:t>
      </w:r>
      <w:bookmarkEnd w:id="1"/>
    </w:p>
    <w:p>
      <w:pPr>
        <w:adjustRightInd w:val="0"/>
        <w:snapToGrid w:val="0"/>
        <w:spacing w:line="288" w:lineRule="auto"/>
        <w:jc w:val="center"/>
        <w:outlineLvl w:val="0"/>
        <w:rPr>
          <w:rFonts w:hint="eastAsia" w:ascii="华文仿宋" w:hAnsi="华文仿宋" w:eastAsia="华文仿宋" w:cs="华文仿宋"/>
          <w:color w:val="000000"/>
          <w:kern w:val="44"/>
          <w:sz w:val="44"/>
          <w:szCs w:val="44"/>
          <w:lang w:eastAsia="zh-CN"/>
        </w:rPr>
      </w:pPr>
      <w:bookmarkStart w:id="2" w:name="_Hlk57883728"/>
      <w:r>
        <w:rPr>
          <w:rFonts w:hint="eastAsia" w:ascii="华文仿宋" w:hAnsi="华文仿宋" w:eastAsia="华文仿宋" w:cs="华文仿宋"/>
          <w:color w:val="000000"/>
          <w:kern w:val="44"/>
          <w:sz w:val="44"/>
          <w:szCs w:val="44"/>
          <w:lang w:eastAsia="zh-CN"/>
        </w:rPr>
        <w:t>（</w:t>
      </w:r>
      <w:r>
        <w:rPr>
          <w:rFonts w:hint="eastAsia" w:ascii="华文仿宋" w:hAnsi="华文仿宋" w:eastAsia="华文仿宋" w:cs="华文仿宋"/>
          <w:color w:val="000000"/>
          <w:kern w:val="44"/>
          <w:sz w:val="44"/>
          <w:szCs w:val="44"/>
          <w:lang w:val="en-US" w:eastAsia="zh-CN"/>
        </w:rPr>
        <w:t>生态影响类</w:t>
      </w:r>
      <w:r>
        <w:rPr>
          <w:rFonts w:hint="eastAsia" w:ascii="华文仿宋" w:hAnsi="华文仿宋" w:eastAsia="华文仿宋" w:cs="华文仿宋"/>
          <w:color w:val="000000"/>
          <w:kern w:val="44"/>
          <w:sz w:val="44"/>
          <w:szCs w:val="44"/>
          <w:lang w:eastAsia="zh-CN"/>
        </w:rPr>
        <w:t>）</w:t>
      </w: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pStyle w:val="2"/>
      </w:pPr>
      <w:bookmarkStart w:id="99" w:name="_GoBack"/>
      <w:bookmarkEnd w:id="99"/>
    </w:p>
    <w:p>
      <w:pPr>
        <w:ind w:firstLine="1040"/>
        <w:rPr>
          <w:rFonts w:eastAsia="仿宋"/>
          <w:sz w:val="44"/>
          <w:szCs w:val="44"/>
        </w:rPr>
      </w:pPr>
    </w:p>
    <w:bookmarkEnd w:id="2"/>
    <w:p>
      <w:pPr>
        <w:adjustRightInd w:val="0"/>
        <w:snapToGrid w:val="0"/>
        <w:spacing w:line="288" w:lineRule="auto"/>
        <w:ind w:left="1800" w:hanging="1800" w:hangingChars="500"/>
        <w:rPr>
          <w:rFonts w:hint="eastAsia" w:ascii="仿宋_GB2312" w:eastAsia="仿宋_GB2312"/>
          <w:sz w:val="36"/>
          <w:szCs w:val="36"/>
          <w:u w:val="single"/>
        </w:rPr>
      </w:pPr>
      <w:r>
        <w:rPr>
          <w:rFonts w:hint="eastAsia" w:ascii="仿宋_GB2312" w:eastAsia="仿宋_GB2312"/>
          <w:sz w:val="36"/>
          <w:szCs w:val="36"/>
        </w:rPr>
        <w:t>项目名称：</w:t>
      </w:r>
      <w:r>
        <w:rPr>
          <w:rFonts w:hint="eastAsia" w:ascii="仿宋_GB2312" w:eastAsia="仿宋_GB2312"/>
          <w:sz w:val="36"/>
          <w:szCs w:val="36"/>
          <w:u w:val="single"/>
          <w:lang w:val="en-US" w:eastAsia="zh-CN"/>
        </w:rPr>
        <w:t>广元市昭化区重点采煤沉陷区生态环境综合治理项目</w:t>
      </w:r>
      <w:r>
        <w:rPr>
          <w:rFonts w:hint="eastAsia" w:ascii="仿宋_GB2312" w:eastAsia="仿宋_GB2312"/>
          <w:sz w:val="36"/>
          <w:szCs w:val="36"/>
          <w:u w:val="single"/>
        </w:rPr>
        <w:t xml:space="preserve"> </w:t>
      </w:r>
    </w:p>
    <w:p>
      <w:pPr>
        <w:adjustRightInd w:val="0"/>
        <w:snapToGrid w:val="0"/>
        <w:spacing w:line="288" w:lineRule="auto"/>
        <w:rPr>
          <w:rFonts w:hint="eastAsia" w:ascii="仿宋_GB2312" w:eastAsia="仿宋_GB2312"/>
          <w:sz w:val="36"/>
          <w:szCs w:val="36"/>
          <w:u w:val="single"/>
          <w:lang w:val="en-US" w:eastAsia="zh-CN"/>
        </w:rPr>
      </w:pPr>
      <w:r>
        <w:rPr>
          <w:rFonts w:hint="eastAsia" w:ascii="仿宋_GB2312" w:eastAsia="仿宋_GB2312"/>
          <w:sz w:val="36"/>
          <w:szCs w:val="36"/>
        </w:rPr>
        <w:t>建设单位（盖章）：</w:t>
      </w:r>
      <w:r>
        <w:rPr>
          <w:rFonts w:hint="eastAsia" w:ascii="仿宋_GB2312" w:eastAsia="仿宋_GB2312"/>
          <w:sz w:val="36"/>
          <w:szCs w:val="36"/>
          <w:u w:val="single"/>
          <w:lang w:val="en-US" w:eastAsia="zh-CN"/>
        </w:rPr>
        <w:t>广元市昭化区东盛国有投资有限公司</w:t>
      </w:r>
      <w:r>
        <w:rPr>
          <w:rFonts w:hint="eastAsia" w:ascii="仿宋_GB2312" w:eastAsia="仿宋_GB2312"/>
          <w:sz w:val="36"/>
          <w:szCs w:val="36"/>
          <w:u w:val="none"/>
          <w:lang w:val="en-US" w:eastAsia="zh-CN"/>
        </w:rPr>
        <w:t xml:space="preserve"> </w:t>
      </w:r>
    </w:p>
    <w:p>
      <w:pPr>
        <w:adjustRightInd w:val="0"/>
        <w:snapToGrid w:val="0"/>
        <w:spacing w:line="288" w:lineRule="auto"/>
        <w:rPr>
          <w:rFonts w:hint="eastAsia"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 xml:space="preserve">     二〇二四</w:t>
      </w:r>
      <w:r>
        <w:rPr>
          <w:rFonts w:hint="default" w:ascii="仿宋_GB2312" w:eastAsia="仿宋_GB2312"/>
          <w:sz w:val="36"/>
          <w:szCs w:val="36"/>
          <w:u w:val="single"/>
          <w:lang w:val="en-US" w:eastAsia="zh-CN"/>
        </w:rPr>
        <w:t>年</w:t>
      </w:r>
      <w:r>
        <w:rPr>
          <w:rFonts w:hint="eastAsia" w:ascii="仿宋_GB2312" w:eastAsia="仿宋_GB2312"/>
          <w:sz w:val="36"/>
          <w:szCs w:val="36"/>
          <w:u w:val="single"/>
          <w:lang w:val="en-US" w:eastAsia="zh-CN"/>
        </w:rPr>
        <w:t>四</w:t>
      </w:r>
      <w:r>
        <w:rPr>
          <w:rFonts w:hint="default" w:ascii="仿宋_GB2312" w:eastAsia="仿宋_GB2312"/>
          <w:sz w:val="36"/>
          <w:szCs w:val="36"/>
          <w:u w:val="single"/>
          <w:lang w:val="en-US" w:eastAsia="zh-CN"/>
        </w:rPr>
        <w:t>月</w:t>
      </w:r>
      <w:r>
        <w:rPr>
          <w:rFonts w:hint="eastAsia" w:ascii="仿宋_GB2312" w:eastAsia="仿宋_GB2312"/>
          <w:sz w:val="36"/>
          <w:szCs w:val="36"/>
          <w:u w:val="single"/>
          <w:lang w:val="en-US" w:eastAsia="zh-CN"/>
        </w:rPr>
        <w:t xml:space="preserve">   </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hint="eastAsia" w:ascii="仿宋_GB2312" w:eastAsia="仿宋_GB2312"/>
          <w:sz w:val="36"/>
          <w:szCs w:val="36"/>
          <w:u w:val="single"/>
        </w:rPr>
        <w:t xml:space="preserve"> </w:t>
      </w:r>
    </w:p>
    <w:p>
      <w:pPr>
        <w:adjustRightInd w:val="0"/>
        <w:snapToGrid w:val="0"/>
        <w:spacing w:line="288" w:lineRule="auto"/>
        <w:ind w:firstLine="1040"/>
        <w:rPr>
          <w:rFonts w:ascii="仿宋_GB2312" w:eastAsia="仿宋_GB2312"/>
          <w:sz w:val="36"/>
          <w:szCs w:val="36"/>
          <w:u w:val="single"/>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p>
      <w:pPr>
        <w:pStyle w:val="28"/>
        <w:ind w:left="0" w:leftChars="0" w:firstLine="0" w:firstLineChars="0"/>
        <w:rPr>
          <w:rFonts w:hint="eastAsia" w:ascii="仿宋_GB2312" w:eastAsia="仿宋_GB2312"/>
          <w:sz w:val="36"/>
          <w:szCs w:val="36"/>
        </w:rPr>
      </w:pPr>
    </w:p>
    <w:p>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p>
    <w:p>
      <w:pPr>
        <w:spacing w:before="0" w:beforeLines="0" w:after="0" w:afterLines="0" w:line="240" w:lineRule="auto"/>
        <w:ind w:left="0" w:leftChars="0" w:right="0" w:rightChars="0" w:firstLine="0" w:firstLineChars="0"/>
        <w:jc w:val="center"/>
        <w:rPr>
          <w:b/>
          <w:bCs/>
          <w:color w:val="auto"/>
          <w:sz w:val="24"/>
          <w:szCs w:val="24"/>
        </w:rPr>
      </w:pPr>
      <w:r>
        <w:rPr>
          <w:rFonts w:ascii="宋体" w:hAnsi="宋体" w:eastAsia="宋体"/>
          <w:b/>
          <w:bCs/>
          <w:color w:val="auto"/>
          <w:sz w:val="24"/>
          <w:szCs w:val="24"/>
        </w:rPr>
        <w:t>目</w:t>
      </w:r>
      <w:r>
        <w:rPr>
          <w:rFonts w:hint="eastAsia" w:ascii="宋体" w:hAnsi="宋体" w:eastAsia="宋体"/>
          <w:b/>
          <w:bCs/>
          <w:color w:val="auto"/>
          <w:sz w:val="24"/>
          <w:szCs w:val="24"/>
          <w:lang w:val="en-US" w:eastAsia="zh-CN"/>
        </w:rPr>
        <w:t xml:space="preserve">   </w:t>
      </w:r>
      <w:r>
        <w:rPr>
          <w:rFonts w:ascii="宋体" w:hAnsi="宋体" w:eastAsia="宋体"/>
          <w:b/>
          <w:bCs/>
          <w:color w:val="auto"/>
          <w:sz w:val="24"/>
          <w:szCs w:val="24"/>
        </w:rPr>
        <w:t>录</w:t>
      </w:r>
    </w:p>
    <w:p>
      <w:pPr>
        <w:pStyle w:val="24"/>
        <w:tabs>
          <w:tab w:val="right" w:leader="dot" w:pos="8844"/>
        </w:tabs>
      </w:pPr>
      <w:r>
        <w:rPr>
          <w:rFonts w:hint="eastAsia" w:ascii="楷体_GB2312" w:eastAsia="楷体_GB2312"/>
          <w:color w:val="auto"/>
          <w:sz w:val="24"/>
          <w:szCs w:val="24"/>
        </w:rPr>
        <w:fldChar w:fldCharType="begin"/>
      </w:r>
      <w:r>
        <w:rPr>
          <w:rFonts w:hint="eastAsia" w:ascii="楷体_GB2312" w:eastAsia="楷体_GB2312"/>
          <w:color w:val="auto"/>
          <w:sz w:val="24"/>
          <w:szCs w:val="24"/>
        </w:rPr>
        <w:instrText xml:space="preserve">TOC \o "1-1" \h \u </w:instrText>
      </w:r>
      <w:r>
        <w:rPr>
          <w:rFonts w:hint="eastAsia" w:ascii="楷体_GB2312" w:eastAsia="楷体_GB2312"/>
          <w:color w:val="auto"/>
          <w:sz w:val="24"/>
          <w:szCs w:val="24"/>
        </w:rPr>
        <w:fldChar w:fldCharType="separate"/>
      </w:r>
    </w:p>
    <w:p>
      <w:pPr>
        <w:pStyle w:val="24"/>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sz w:val="24"/>
          <w:szCs w:val="32"/>
        </w:rPr>
      </w:pPr>
      <w:r>
        <w:rPr>
          <w:rFonts w:hint="eastAsia" w:ascii="楷体_GB2312" w:eastAsia="楷体_GB2312"/>
          <w:color w:val="auto"/>
          <w:sz w:val="24"/>
          <w:szCs w:val="32"/>
        </w:rPr>
        <w:fldChar w:fldCharType="begin"/>
      </w:r>
      <w:r>
        <w:rPr>
          <w:rFonts w:hint="eastAsia" w:ascii="楷体_GB2312" w:eastAsia="楷体_GB2312"/>
          <w:sz w:val="24"/>
          <w:szCs w:val="32"/>
        </w:rPr>
        <w:instrText xml:space="preserve"> HYPERLINK \l _Toc23868 </w:instrText>
      </w:r>
      <w:r>
        <w:rPr>
          <w:rFonts w:hint="eastAsia" w:ascii="楷体_GB2312" w:eastAsia="楷体_GB2312"/>
          <w:sz w:val="24"/>
          <w:szCs w:val="32"/>
        </w:rPr>
        <w:fldChar w:fldCharType="separate"/>
      </w:r>
      <w:r>
        <w:rPr>
          <w:rFonts w:hint="eastAsia" w:ascii="黑体" w:hAnsi="黑体" w:eastAsia="黑体"/>
          <w:snapToGrid w:val="0"/>
          <w:sz w:val="24"/>
          <w:szCs w:val="36"/>
          <w:lang w:val="en-US" w:eastAsia="zh-CN"/>
        </w:rPr>
        <w:t>一、建设项目基本情况</w:t>
      </w:r>
      <w:r>
        <w:rPr>
          <w:sz w:val="24"/>
          <w:szCs w:val="32"/>
        </w:rPr>
        <w:tab/>
      </w:r>
      <w:r>
        <w:rPr>
          <w:sz w:val="24"/>
          <w:szCs w:val="32"/>
        </w:rPr>
        <w:fldChar w:fldCharType="begin"/>
      </w:r>
      <w:r>
        <w:rPr>
          <w:sz w:val="24"/>
          <w:szCs w:val="32"/>
        </w:rPr>
        <w:instrText xml:space="preserve"> PAGEREF _Toc23868 \h </w:instrText>
      </w:r>
      <w:r>
        <w:rPr>
          <w:sz w:val="24"/>
          <w:szCs w:val="32"/>
        </w:rPr>
        <w:fldChar w:fldCharType="separate"/>
      </w:r>
      <w:r>
        <w:rPr>
          <w:sz w:val="24"/>
          <w:szCs w:val="32"/>
        </w:rPr>
        <w:t>- 1 -</w:t>
      </w:r>
      <w:r>
        <w:rPr>
          <w:sz w:val="24"/>
          <w:szCs w:val="32"/>
        </w:rPr>
        <w:fldChar w:fldCharType="end"/>
      </w:r>
      <w:r>
        <w:rPr>
          <w:rFonts w:hint="eastAsia" w:ascii="楷体_GB2312" w:eastAsia="楷体_GB2312"/>
          <w:color w:val="auto"/>
          <w:sz w:val="24"/>
          <w:szCs w:val="32"/>
        </w:rPr>
        <w:fldChar w:fldCharType="end"/>
      </w:r>
    </w:p>
    <w:p>
      <w:pPr>
        <w:pStyle w:val="24"/>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sz w:val="24"/>
          <w:szCs w:val="32"/>
        </w:rPr>
      </w:pPr>
      <w:r>
        <w:rPr>
          <w:rFonts w:hint="eastAsia" w:ascii="楷体_GB2312" w:eastAsia="楷体_GB2312"/>
          <w:color w:val="auto"/>
          <w:sz w:val="24"/>
          <w:szCs w:val="32"/>
        </w:rPr>
        <w:fldChar w:fldCharType="begin"/>
      </w:r>
      <w:r>
        <w:rPr>
          <w:rFonts w:hint="eastAsia" w:ascii="楷体_GB2312" w:eastAsia="楷体_GB2312"/>
          <w:sz w:val="24"/>
          <w:szCs w:val="32"/>
        </w:rPr>
        <w:instrText xml:space="preserve"> HYPERLINK \l _Toc4816 </w:instrText>
      </w:r>
      <w:r>
        <w:rPr>
          <w:rFonts w:hint="eastAsia" w:ascii="楷体_GB2312" w:eastAsia="楷体_GB2312"/>
          <w:sz w:val="24"/>
          <w:szCs w:val="32"/>
        </w:rPr>
        <w:fldChar w:fldCharType="separate"/>
      </w:r>
      <w:r>
        <w:rPr>
          <w:rFonts w:hint="eastAsia" w:ascii="黑体" w:hAnsi="黑体" w:eastAsia="黑体"/>
          <w:snapToGrid w:val="0"/>
          <w:sz w:val="24"/>
          <w:szCs w:val="36"/>
          <w:lang w:val="en-US" w:eastAsia="zh-CN"/>
        </w:rPr>
        <w:t>二、建设内容</w:t>
      </w:r>
      <w:r>
        <w:rPr>
          <w:sz w:val="24"/>
          <w:szCs w:val="32"/>
        </w:rPr>
        <w:tab/>
      </w:r>
      <w:r>
        <w:rPr>
          <w:sz w:val="24"/>
          <w:szCs w:val="32"/>
        </w:rPr>
        <w:fldChar w:fldCharType="begin"/>
      </w:r>
      <w:r>
        <w:rPr>
          <w:sz w:val="24"/>
          <w:szCs w:val="32"/>
        </w:rPr>
        <w:instrText xml:space="preserve"> PAGEREF _Toc4816 \h </w:instrText>
      </w:r>
      <w:r>
        <w:rPr>
          <w:sz w:val="24"/>
          <w:szCs w:val="32"/>
        </w:rPr>
        <w:fldChar w:fldCharType="separate"/>
      </w:r>
      <w:r>
        <w:rPr>
          <w:sz w:val="24"/>
          <w:szCs w:val="32"/>
        </w:rPr>
        <w:t>- 16 -</w:t>
      </w:r>
      <w:r>
        <w:rPr>
          <w:sz w:val="24"/>
          <w:szCs w:val="32"/>
        </w:rPr>
        <w:fldChar w:fldCharType="end"/>
      </w:r>
      <w:r>
        <w:rPr>
          <w:rFonts w:hint="eastAsia" w:ascii="楷体_GB2312" w:eastAsia="楷体_GB2312"/>
          <w:color w:val="auto"/>
          <w:sz w:val="24"/>
          <w:szCs w:val="32"/>
        </w:rPr>
        <w:fldChar w:fldCharType="end"/>
      </w:r>
    </w:p>
    <w:p>
      <w:pPr>
        <w:pStyle w:val="24"/>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sz w:val="24"/>
          <w:szCs w:val="32"/>
        </w:rPr>
      </w:pPr>
      <w:r>
        <w:rPr>
          <w:rFonts w:hint="eastAsia" w:ascii="楷体_GB2312" w:eastAsia="楷体_GB2312"/>
          <w:color w:val="auto"/>
          <w:sz w:val="24"/>
          <w:szCs w:val="32"/>
        </w:rPr>
        <w:fldChar w:fldCharType="begin"/>
      </w:r>
      <w:r>
        <w:rPr>
          <w:rFonts w:hint="eastAsia" w:ascii="楷体_GB2312" w:eastAsia="楷体_GB2312"/>
          <w:sz w:val="24"/>
          <w:szCs w:val="32"/>
        </w:rPr>
        <w:instrText xml:space="preserve"> HYPERLINK \l _Toc2970 </w:instrText>
      </w:r>
      <w:r>
        <w:rPr>
          <w:rFonts w:hint="eastAsia" w:ascii="楷体_GB2312" w:eastAsia="楷体_GB2312"/>
          <w:sz w:val="24"/>
          <w:szCs w:val="32"/>
        </w:rPr>
        <w:fldChar w:fldCharType="separate"/>
      </w:r>
      <w:r>
        <w:rPr>
          <w:rFonts w:hint="eastAsia" w:ascii="黑体" w:hAnsi="黑体" w:eastAsia="黑体"/>
          <w:snapToGrid w:val="0"/>
          <w:sz w:val="24"/>
          <w:szCs w:val="36"/>
          <w:lang w:val="en-US" w:eastAsia="zh-CN"/>
        </w:rPr>
        <w:t>三、生态环境现状、保护目标及评价标准</w:t>
      </w:r>
      <w:r>
        <w:rPr>
          <w:sz w:val="24"/>
          <w:szCs w:val="32"/>
        </w:rPr>
        <w:tab/>
      </w:r>
      <w:r>
        <w:rPr>
          <w:sz w:val="24"/>
          <w:szCs w:val="32"/>
        </w:rPr>
        <w:fldChar w:fldCharType="begin"/>
      </w:r>
      <w:r>
        <w:rPr>
          <w:sz w:val="24"/>
          <w:szCs w:val="32"/>
        </w:rPr>
        <w:instrText xml:space="preserve"> PAGEREF _Toc2970 \h </w:instrText>
      </w:r>
      <w:r>
        <w:rPr>
          <w:sz w:val="24"/>
          <w:szCs w:val="32"/>
        </w:rPr>
        <w:fldChar w:fldCharType="separate"/>
      </w:r>
      <w:r>
        <w:rPr>
          <w:sz w:val="24"/>
          <w:szCs w:val="32"/>
        </w:rPr>
        <w:t>- 46 -</w:t>
      </w:r>
      <w:r>
        <w:rPr>
          <w:sz w:val="24"/>
          <w:szCs w:val="32"/>
        </w:rPr>
        <w:fldChar w:fldCharType="end"/>
      </w:r>
      <w:r>
        <w:rPr>
          <w:rFonts w:hint="eastAsia" w:ascii="楷体_GB2312" w:eastAsia="楷体_GB2312"/>
          <w:color w:val="auto"/>
          <w:sz w:val="24"/>
          <w:szCs w:val="32"/>
        </w:rPr>
        <w:fldChar w:fldCharType="end"/>
      </w:r>
    </w:p>
    <w:p>
      <w:pPr>
        <w:pStyle w:val="24"/>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sz w:val="24"/>
          <w:szCs w:val="32"/>
        </w:rPr>
      </w:pPr>
      <w:r>
        <w:rPr>
          <w:rFonts w:hint="eastAsia" w:ascii="楷体_GB2312" w:eastAsia="楷体_GB2312"/>
          <w:color w:val="auto"/>
          <w:sz w:val="24"/>
          <w:szCs w:val="32"/>
        </w:rPr>
        <w:fldChar w:fldCharType="begin"/>
      </w:r>
      <w:r>
        <w:rPr>
          <w:rFonts w:hint="eastAsia" w:ascii="楷体_GB2312" w:eastAsia="楷体_GB2312"/>
          <w:sz w:val="24"/>
          <w:szCs w:val="32"/>
        </w:rPr>
        <w:instrText xml:space="preserve"> HYPERLINK \l _Toc27804 </w:instrText>
      </w:r>
      <w:r>
        <w:rPr>
          <w:rFonts w:hint="eastAsia" w:ascii="楷体_GB2312" w:eastAsia="楷体_GB2312"/>
          <w:sz w:val="24"/>
          <w:szCs w:val="32"/>
        </w:rPr>
        <w:fldChar w:fldCharType="separate"/>
      </w:r>
      <w:r>
        <w:rPr>
          <w:rFonts w:hint="eastAsia" w:ascii="黑体" w:hAnsi="黑体" w:eastAsia="黑体"/>
          <w:snapToGrid w:val="0"/>
          <w:sz w:val="24"/>
          <w:szCs w:val="36"/>
          <w:lang w:val="en-US" w:eastAsia="zh-CN"/>
        </w:rPr>
        <w:t>四、生态环境影响分析</w:t>
      </w:r>
      <w:r>
        <w:rPr>
          <w:sz w:val="24"/>
          <w:szCs w:val="32"/>
        </w:rPr>
        <w:tab/>
      </w:r>
      <w:r>
        <w:rPr>
          <w:sz w:val="24"/>
          <w:szCs w:val="32"/>
        </w:rPr>
        <w:fldChar w:fldCharType="begin"/>
      </w:r>
      <w:r>
        <w:rPr>
          <w:sz w:val="24"/>
          <w:szCs w:val="32"/>
        </w:rPr>
        <w:instrText xml:space="preserve"> PAGEREF _Toc27804 \h </w:instrText>
      </w:r>
      <w:r>
        <w:rPr>
          <w:sz w:val="24"/>
          <w:szCs w:val="32"/>
        </w:rPr>
        <w:fldChar w:fldCharType="separate"/>
      </w:r>
      <w:r>
        <w:rPr>
          <w:sz w:val="24"/>
          <w:szCs w:val="32"/>
        </w:rPr>
        <w:t>- 65 -</w:t>
      </w:r>
      <w:r>
        <w:rPr>
          <w:sz w:val="24"/>
          <w:szCs w:val="32"/>
        </w:rPr>
        <w:fldChar w:fldCharType="end"/>
      </w:r>
      <w:r>
        <w:rPr>
          <w:rFonts w:hint="eastAsia" w:ascii="楷体_GB2312" w:eastAsia="楷体_GB2312"/>
          <w:color w:val="auto"/>
          <w:sz w:val="24"/>
          <w:szCs w:val="32"/>
        </w:rPr>
        <w:fldChar w:fldCharType="end"/>
      </w:r>
    </w:p>
    <w:p>
      <w:pPr>
        <w:pStyle w:val="24"/>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sz w:val="24"/>
          <w:szCs w:val="32"/>
        </w:rPr>
      </w:pPr>
      <w:r>
        <w:rPr>
          <w:rFonts w:hint="eastAsia" w:ascii="楷体_GB2312" w:eastAsia="楷体_GB2312"/>
          <w:color w:val="auto"/>
          <w:sz w:val="24"/>
          <w:szCs w:val="32"/>
        </w:rPr>
        <w:fldChar w:fldCharType="begin"/>
      </w:r>
      <w:r>
        <w:rPr>
          <w:rFonts w:hint="eastAsia" w:ascii="楷体_GB2312" w:eastAsia="楷体_GB2312"/>
          <w:sz w:val="24"/>
          <w:szCs w:val="32"/>
        </w:rPr>
        <w:instrText xml:space="preserve"> HYPERLINK \l _Toc24484 </w:instrText>
      </w:r>
      <w:r>
        <w:rPr>
          <w:rFonts w:hint="eastAsia" w:ascii="楷体_GB2312" w:eastAsia="楷体_GB2312"/>
          <w:sz w:val="24"/>
          <w:szCs w:val="32"/>
        </w:rPr>
        <w:fldChar w:fldCharType="separate"/>
      </w:r>
      <w:r>
        <w:rPr>
          <w:rFonts w:hint="eastAsia" w:ascii="黑体" w:hAnsi="黑体" w:eastAsia="黑体"/>
          <w:snapToGrid w:val="0"/>
          <w:sz w:val="24"/>
          <w:szCs w:val="36"/>
        </w:rPr>
        <w:t>五、主要生态环境保护措施</w:t>
      </w:r>
      <w:r>
        <w:rPr>
          <w:sz w:val="24"/>
          <w:szCs w:val="32"/>
        </w:rPr>
        <w:tab/>
      </w:r>
      <w:r>
        <w:rPr>
          <w:sz w:val="24"/>
          <w:szCs w:val="32"/>
        </w:rPr>
        <w:fldChar w:fldCharType="begin"/>
      </w:r>
      <w:r>
        <w:rPr>
          <w:sz w:val="24"/>
          <w:szCs w:val="32"/>
        </w:rPr>
        <w:instrText xml:space="preserve"> PAGEREF _Toc24484 \h </w:instrText>
      </w:r>
      <w:r>
        <w:rPr>
          <w:sz w:val="24"/>
          <w:szCs w:val="32"/>
        </w:rPr>
        <w:fldChar w:fldCharType="separate"/>
      </w:r>
      <w:r>
        <w:rPr>
          <w:sz w:val="24"/>
          <w:szCs w:val="32"/>
        </w:rPr>
        <w:t>- 87 -</w:t>
      </w:r>
      <w:r>
        <w:rPr>
          <w:sz w:val="24"/>
          <w:szCs w:val="32"/>
        </w:rPr>
        <w:fldChar w:fldCharType="end"/>
      </w:r>
      <w:r>
        <w:rPr>
          <w:rFonts w:hint="eastAsia" w:ascii="楷体_GB2312" w:eastAsia="楷体_GB2312"/>
          <w:color w:val="auto"/>
          <w:sz w:val="24"/>
          <w:szCs w:val="32"/>
        </w:rPr>
        <w:fldChar w:fldCharType="end"/>
      </w:r>
    </w:p>
    <w:p>
      <w:pPr>
        <w:pStyle w:val="24"/>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sz w:val="24"/>
          <w:szCs w:val="32"/>
        </w:rPr>
      </w:pPr>
      <w:r>
        <w:rPr>
          <w:rFonts w:hint="eastAsia" w:ascii="楷体_GB2312" w:eastAsia="楷体_GB2312"/>
          <w:color w:val="auto"/>
          <w:sz w:val="24"/>
          <w:szCs w:val="32"/>
        </w:rPr>
        <w:fldChar w:fldCharType="begin"/>
      </w:r>
      <w:r>
        <w:rPr>
          <w:rFonts w:hint="eastAsia" w:ascii="楷体_GB2312" w:eastAsia="楷体_GB2312"/>
          <w:sz w:val="24"/>
          <w:szCs w:val="32"/>
        </w:rPr>
        <w:instrText xml:space="preserve"> HYPERLINK \l _Toc7121 </w:instrText>
      </w:r>
      <w:r>
        <w:rPr>
          <w:rFonts w:hint="eastAsia" w:ascii="楷体_GB2312" w:eastAsia="楷体_GB2312"/>
          <w:sz w:val="24"/>
          <w:szCs w:val="32"/>
        </w:rPr>
        <w:fldChar w:fldCharType="separate"/>
      </w:r>
      <w:r>
        <w:rPr>
          <w:rFonts w:hint="eastAsia" w:ascii="黑体" w:hAnsi="黑体" w:eastAsia="黑体"/>
          <w:snapToGrid w:val="0"/>
          <w:sz w:val="24"/>
          <w:szCs w:val="36"/>
        </w:rPr>
        <w:t>六、生态环境保护措施监督检查清单</w:t>
      </w:r>
      <w:r>
        <w:rPr>
          <w:sz w:val="24"/>
          <w:szCs w:val="32"/>
        </w:rPr>
        <w:tab/>
      </w:r>
      <w:r>
        <w:rPr>
          <w:sz w:val="24"/>
          <w:szCs w:val="32"/>
        </w:rPr>
        <w:fldChar w:fldCharType="begin"/>
      </w:r>
      <w:r>
        <w:rPr>
          <w:sz w:val="24"/>
          <w:szCs w:val="32"/>
        </w:rPr>
        <w:instrText xml:space="preserve"> PAGEREF _Toc7121 \h </w:instrText>
      </w:r>
      <w:r>
        <w:rPr>
          <w:sz w:val="24"/>
          <w:szCs w:val="32"/>
        </w:rPr>
        <w:fldChar w:fldCharType="separate"/>
      </w:r>
      <w:r>
        <w:rPr>
          <w:sz w:val="24"/>
          <w:szCs w:val="32"/>
        </w:rPr>
        <w:t>- 101 -</w:t>
      </w:r>
      <w:r>
        <w:rPr>
          <w:sz w:val="24"/>
          <w:szCs w:val="32"/>
        </w:rPr>
        <w:fldChar w:fldCharType="end"/>
      </w:r>
      <w:r>
        <w:rPr>
          <w:rFonts w:hint="eastAsia" w:ascii="楷体_GB2312" w:eastAsia="楷体_GB2312"/>
          <w:color w:val="auto"/>
          <w:sz w:val="24"/>
          <w:szCs w:val="32"/>
        </w:rPr>
        <w:fldChar w:fldCharType="end"/>
      </w:r>
    </w:p>
    <w:p>
      <w:pPr>
        <w:pStyle w:val="24"/>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sz w:val="24"/>
          <w:szCs w:val="32"/>
        </w:rPr>
      </w:pPr>
      <w:r>
        <w:rPr>
          <w:rFonts w:hint="eastAsia" w:ascii="楷体_GB2312" w:eastAsia="楷体_GB2312"/>
          <w:color w:val="auto"/>
          <w:sz w:val="24"/>
          <w:szCs w:val="32"/>
        </w:rPr>
        <w:fldChar w:fldCharType="begin"/>
      </w:r>
      <w:r>
        <w:rPr>
          <w:rFonts w:hint="eastAsia" w:ascii="楷体_GB2312" w:eastAsia="楷体_GB2312"/>
          <w:sz w:val="24"/>
          <w:szCs w:val="32"/>
        </w:rPr>
        <w:instrText xml:space="preserve"> HYPERLINK \l _Toc1626 </w:instrText>
      </w:r>
      <w:r>
        <w:rPr>
          <w:rFonts w:hint="eastAsia" w:ascii="楷体_GB2312" w:eastAsia="楷体_GB2312"/>
          <w:sz w:val="24"/>
          <w:szCs w:val="32"/>
        </w:rPr>
        <w:fldChar w:fldCharType="separate"/>
      </w:r>
      <w:r>
        <w:rPr>
          <w:rFonts w:hint="eastAsia" w:ascii="黑体" w:hAnsi="黑体" w:eastAsia="黑体"/>
          <w:snapToGrid w:val="0"/>
          <w:sz w:val="24"/>
          <w:szCs w:val="36"/>
          <w:lang w:val="en-US" w:eastAsia="zh-CN"/>
        </w:rPr>
        <w:t>七、</w:t>
      </w:r>
      <w:r>
        <w:rPr>
          <w:rFonts w:hint="eastAsia" w:ascii="黑体" w:hAnsi="黑体" w:eastAsia="黑体"/>
          <w:snapToGrid w:val="0"/>
          <w:sz w:val="24"/>
          <w:szCs w:val="36"/>
        </w:rPr>
        <w:t>结论</w:t>
      </w:r>
      <w:r>
        <w:rPr>
          <w:sz w:val="24"/>
          <w:szCs w:val="32"/>
        </w:rPr>
        <w:tab/>
      </w:r>
      <w:r>
        <w:rPr>
          <w:sz w:val="24"/>
          <w:szCs w:val="32"/>
        </w:rPr>
        <w:fldChar w:fldCharType="begin"/>
      </w:r>
      <w:r>
        <w:rPr>
          <w:sz w:val="24"/>
          <w:szCs w:val="32"/>
        </w:rPr>
        <w:instrText xml:space="preserve"> PAGEREF _Toc1626 \h </w:instrText>
      </w:r>
      <w:r>
        <w:rPr>
          <w:sz w:val="24"/>
          <w:szCs w:val="32"/>
        </w:rPr>
        <w:fldChar w:fldCharType="separate"/>
      </w:r>
      <w:r>
        <w:rPr>
          <w:sz w:val="24"/>
          <w:szCs w:val="32"/>
        </w:rPr>
        <w:t>- 104 -</w:t>
      </w:r>
      <w:r>
        <w:rPr>
          <w:sz w:val="24"/>
          <w:szCs w:val="32"/>
        </w:rPr>
        <w:fldChar w:fldCharType="end"/>
      </w:r>
      <w:r>
        <w:rPr>
          <w:rFonts w:hint="eastAsia" w:ascii="楷体_GB2312" w:eastAsia="楷体_GB2312"/>
          <w:color w:val="auto"/>
          <w:sz w:val="24"/>
          <w:szCs w:val="32"/>
        </w:rPr>
        <w:fldChar w:fldCharType="end"/>
      </w:r>
    </w:p>
    <w:p>
      <w:pPr>
        <w:keepNext w:val="0"/>
        <w:keepLines w:val="0"/>
        <w:pageBreakBefore w:val="0"/>
        <w:widowControl w:val="0"/>
        <w:tabs>
          <w:tab w:val="right" w:leader="dot" w:pos="8460"/>
        </w:tabs>
        <w:kinsoku/>
        <w:wordWrap/>
        <w:overflowPunct/>
        <w:topLinePunct w:val="0"/>
        <w:autoSpaceDE/>
        <w:autoSpaceDN/>
        <w:bidi w:val="0"/>
        <w:adjustRightInd/>
        <w:snapToGrid/>
        <w:spacing w:line="360" w:lineRule="auto"/>
        <w:ind w:firstLine="0" w:firstLineChars="0"/>
        <w:jc w:val="left"/>
        <w:textAlignment w:val="auto"/>
        <w:rPr>
          <w:rFonts w:hint="eastAsia" w:ascii="楷体_GB2312" w:eastAsia="楷体_GB2312"/>
          <w:color w:val="auto"/>
          <w:sz w:val="24"/>
          <w:szCs w:val="24"/>
        </w:rPr>
      </w:pPr>
      <w:r>
        <w:rPr>
          <w:rFonts w:hint="eastAsia" w:ascii="楷体_GB2312" w:eastAsia="楷体_GB2312"/>
          <w:color w:val="auto"/>
          <w:szCs w:val="24"/>
        </w:rPr>
        <w:fldChar w:fldCharType="end"/>
      </w:r>
    </w:p>
    <w:p>
      <w:pPr>
        <w:keepNext w:val="0"/>
        <w:keepLines w:val="0"/>
        <w:pageBreakBefore w:val="0"/>
        <w:widowControl w:val="0"/>
        <w:tabs>
          <w:tab w:val="right" w:leader="dot" w:pos="8460"/>
        </w:tabs>
        <w:kinsoku/>
        <w:wordWrap/>
        <w:overflowPunct/>
        <w:topLinePunct w:val="0"/>
        <w:autoSpaceDE/>
        <w:autoSpaceDN/>
        <w:bidi w:val="0"/>
        <w:adjustRightInd/>
        <w:snapToGrid/>
        <w:spacing w:line="360" w:lineRule="auto"/>
        <w:ind w:firstLine="0" w:firstLineChars="0"/>
        <w:jc w:val="left"/>
        <w:textAlignment w:val="auto"/>
        <w:rPr>
          <w:rFonts w:hint="eastAsia"/>
          <w:b/>
          <w:bCs/>
          <w:color w:val="auto"/>
          <w:sz w:val="24"/>
          <w:szCs w:val="24"/>
          <w:lang w:val="zh-CN"/>
        </w:rPr>
      </w:pPr>
      <w:r>
        <w:rPr>
          <w:rFonts w:hint="eastAsia"/>
          <w:b/>
          <w:bCs/>
          <w:color w:val="auto"/>
          <w:sz w:val="24"/>
          <w:szCs w:val="24"/>
          <w:lang w:val="zh-CN"/>
        </w:rPr>
        <w:t>附图：</w:t>
      </w:r>
    </w:p>
    <w:p>
      <w:pPr>
        <w:keepNext w:val="0"/>
        <w:keepLines w:val="0"/>
        <w:pageBreakBefore w:val="0"/>
        <w:widowControl w:val="0"/>
        <w:tabs>
          <w:tab w:val="right" w:leader="dot" w:pos="8460"/>
        </w:tabs>
        <w:kinsoku/>
        <w:wordWrap/>
        <w:overflowPunct/>
        <w:topLinePunct w:val="0"/>
        <w:autoSpaceDE/>
        <w:autoSpaceDN/>
        <w:bidi w:val="0"/>
        <w:adjustRightInd/>
        <w:snapToGrid/>
        <w:spacing w:line="360" w:lineRule="auto"/>
        <w:ind w:firstLine="0" w:firstLineChars="0"/>
        <w:jc w:val="left"/>
        <w:textAlignment w:val="auto"/>
        <w:rPr>
          <w:rFonts w:hint="eastAsia"/>
          <w:bCs/>
          <w:color w:val="auto"/>
          <w:sz w:val="24"/>
          <w:szCs w:val="24"/>
          <w:lang w:val="zh-CN"/>
        </w:rPr>
      </w:pPr>
      <w:r>
        <w:rPr>
          <w:rFonts w:hint="eastAsia"/>
          <w:bCs/>
          <w:color w:val="auto"/>
          <w:sz w:val="24"/>
          <w:szCs w:val="24"/>
          <w:lang w:val="zh-CN"/>
        </w:rPr>
        <w:t>附图1  项目地理位置图</w:t>
      </w:r>
    </w:p>
    <w:p>
      <w:pPr>
        <w:keepNext w:val="0"/>
        <w:keepLines w:val="0"/>
        <w:pageBreakBefore w:val="0"/>
        <w:widowControl w:val="0"/>
        <w:tabs>
          <w:tab w:val="right" w:leader="dot" w:pos="8460"/>
        </w:tabs>
        <w:kinsoku/>
        <w:wordWrap/>
        <w:overflowPunct/>
        <w:topLinePunct w:val="0"/>
        <w:autoSpaceDE/>
        <w:autoSpaceDN/>
        <w:bidi w:val="0"/>
        <w:adjustRightInd/>
        <w:snapToGrid/>
        <w:spacing w:line="360" w:lineRule="auto"/>
        <w:ind w:firstLine="0" w:firstLineChars="0"/>
        <w:jc w:val="left"/>
        <w:textAlignment w:val="auto"/>
        <w:rPr>
          <w:rFonts w:hint="eastAsia" w:ascii="Times New Roman" w:hAnsi="Times New Roman" w:eastAsia="宋体" w:cs="Times New Roman"/>
          <w:bCs/>
          <w:color w:val="auto"/>
          <w:sz w:val="24"/>
          <w:szCs w:val="24"/>
          <w:lang w:val="zh-CN"/>
        </w:rPr>
      </w:pPr>
      <w:r>
        <w:rPr>
          <w:rFonts w:hint="eastAsia" w:ascii="Times New Roman" w:hAnsi="Times New Roman" w:eastAsia="宋体" w:cs="Times New Roman"/>
          <w:bCs/>
          <w:color w:val="auto"/>
          <w:sz w:val="24"/>
          <w:szCs w:val="24"/>
          <w:lang w:val="zh-CN"/>
        </w:rPr>
        <w:t xml:space="preserve">附图2 </w:t>
      </w:r>
      <w:r>
        <w:rPr>
          <w:rFonts w:hint="eastAsia" w:ascii="Times New Roman" w:hAnsi="Times New Roman" w:eastAsia="宋体" w:cs="Times New Roman"/>
          <w:bCs/>
          <w:color w:val="auto"/>
          <w:sz w:val="24"/>
          <w:szCs w:val="24"/>
          <w:lang w:val="en-US" w:eastAsia="zh-CN"/>
        </w:rPr>
        <w:t xml:space="preserve"> 项目走向图</w:t>
      </w:r>
    </w:p>
    <w:p>
      <w:pPr>
        <w:keepNext w:val="0"/>
        <w:keepLines w:val="0"/>
        <w:pageBreakBefore w:val="0"/>
        <w:widowControl w:val="0"/>
        <w:tabs>
          <w:tab w:val="right" w:leader="dot" w:pos="8460"/>
        </w:tabs>
        <w:kinsoku/>
        <w:wordWrap/>
        <w:overflowPunct/>
        <w:topLinePunct w:val="0"/>
        <w:autoSpaceDE/>
        <w:autoSpaceDN/>
        <w:bidi w:val="0"/>
        <w:adjustRightInd/>
        <w:snapToGrid/>
        <w:spacing w:line="360" w:lineRule="auto"/>
        <w:ind w:firstLine="0" w:firstLineChars="0"/>
        <w:jc w:val="left"/>
        <w:textAlignment w:val="auto"/>
        <w:rPr>
          <w:bCs/>
          <w:color w:val="auto"/>
          <w:sz w:val="24"/>
          <w:szCs w:val="24"/>
          <w:lang w:val="zh-CN"/>
        </w:rPr>
      </w:pPr>
      <w:r>
        <w:rPr>
          <w:rFonts w:hint="eastAsia"/>
          <w:bCs/>
          <w:color w:val="auto"/>
          <w:sz w:val="24"/>
          <w:szCs w:val="24"/>
          <w:lang w:val="zh-CN"/>
        </w:rPr>
        <w:t>附图3  外环境关系图</w:t>
      </w:r>
    </w:p>
    <w:p>
      <w:pPr>
        <w:keepNext w:val="0"/>
        <w:keepLines w:val="0"/>
        <w:pageBreakBefore w:val="0"/>
        <w:widowControl w:val="0"/>
        <w:tabs>
          <w:tab w:val="right" w:leader="dot" w:pos="8460"/>
        </w:tabs>
        <w:kinsoku/>
        <w:wordWrap/>
        <w:overflowPunct/>
        <w:topLinePunct w:val="0"/>
        <w:autoSpaceDE/>
        <w:autoSpaceDN/>
        <w:bidi w:val="0"/>
        <w:adjustRightInd/>
        <w:snapToGrid/>
        <w:spacing w:line="360" w:lineRule="auto"/>
        <w:ind w:firstLine="0" w:firstLineChars="0"/>
        <w:jc w:val="left"/>
        <w:textAlignment w:val="auto"/>
        <w:rPr>
          <w:rFonts w:hint="eastAsia" w:cs="Times New Roman"/>
          <w:bCs/>
          <w:color w:val="auto"/>
          <w:sz w:val="24"/>
          <w:szCs w:val="24"/>
          <w:lang w:val="en-US" w:eastAsia="zh-CN"/>
        </w:rPr>
      </w:pPr>
      <w:r>
        <w:rPr>
          <w:rFonts w:hint="eastAsia" w:ascii="Times New Roman" w:hAnsi="Times New Roman" w:eastAsia="宋体" w:cs="Times New Roman"/>
          <w:bCs/>
          <w:color w:val="auto"/>
          <w:sz w:val="24"/>
          <w:szCs w:val="24"/>
          <w:lang w:val="zh-CN"/>
        </w:rPr>
        <w:t xml:space="preserve">附图4  </w:t>
      </w:r>
      <w:r>
        <w:rPr>
          <w:rFonts w:hint="eastAsia" w:cs="Times New Roman"/>
          <w:bCs/>
          <w:color w:val="auto"/>
          <w:sz w:val="24"/>
          <w:szCs w:val="24"/>
          <w:lang w:val="en-US" w:eastAsia="zh-CN"/>
        </w:rPr>
        <w:t>平面布置图</w:t>
      </w:r>
    </w:p>
    <w:p>
      <w:pPr>
        <w:keepNext w:val="0"/>
        <w:keepLines w:val="0"/>
        <w:pageBreakBefore w:val="0"/>
        <w:widowControl w:val="0"/>
        <w:tabs>
          <w:tab w:val="right" w:leader="dot" w:pos="8460"/>
        </w:tabs>
        <w:kinsoku/>
        <w:wordWrap/>
        <w:overflowPunct/>
        <w:topLinePunct w:val="0"/>
        <w:autoSpaceDE/>
        <w:autoSpaceDN/>
        <w:bidi w:val="0"/>
        <w:adjustRightInd/>
        <w:snapToGrid/>
        <w:spacing w:line="360" w:lineRule="auto"/>
        <w:ind w:firstLine="0" w:firstLineChars="0"/>
        <w:jc w:val="left"/>
        <w:textAlignment w:val="auto"/>
        <w:rPr>
          <w:rFonts w:hint="eastAsia" w:ascii="Times New Roman" w:hAnsi="Times New Roman" w:eastAsia="宋体" w:cs="Times New Roman"/>
          <w:bCs/>
          <w:color w:val="auto"/>
          <w:sz w:val="24"/>
          <w:szCs w:val="24"/>
          <w:lang w:val="zh-CN"/>
        </w:rPr>
      </w:pPr>
      <w:r>
        <w:rPr>
          <w:rFonts w:hint="eastAsia" w:cs="Times New Roman"/>
          <w:bCs/>
          <w:color w:val="auto"/>
          <w:sz w:val="24"/>
          <w:szCs w:val="24"/>
          <w:lang w:val="en-US" w:eastAsia="zh-CN"/>
        </w:rPr>
        <w:t xml:space="preserve">附图5  </w:t>
      </w:r>
      <w:r>
        <w:rPr>
          <w:rFonts w:hint="eastAsia" w:ascii="Times New Roman" w:hAnsi="Times New Roman" w:eastAsia="宋体" w:cs="Times New Roman"/>
          <w:bCs/>
          <w:color w:val="auto"/>
          <w:sz w:val="24"/>
          <w:szCs w:val="24"/>
          <w:lang w:val="zh-CN"/>
        </w:rPr>
        <w:t>施工</w:t>
      </w:r>
      <w:r>
        <w:rPr>
          <w:rFonts w:hint="eastAsia" w:ascii="Times New Roman" w:hAnsi="Times New Roman" w:eastAsia="宋体" w:cs="Times New Roman"/>
          <w:bCs/>
          <w:color w:val="auto"/>
          <w:sz w:val="24"/>
          <w:szCs w:val="24"/>
          <w:lang w:val="en-US" w:eastAsia="zh-CN"/>
        </w:rPr>
        <w:t>平面</w:t>
      </w:r>
      <w:r>
        <w:rPr>
          <w:rFonts w:hint="eastAsia" w:ascii="Times New Roman" w:hAnsi="Times New Roman" w:eastAsia="宋体" w:cs="Times New Roman"/>
          <w:bCs/>
          <w:color w:val="auto"/>
          <w:sz w:val="24"/>
          <w:szCs w:val="24"/>
          <w:lang w:val="zh-CN"/>
        </w:rPr>
        <w:t>布置图</w:t>
      </w:r>
    </w:p>
    <w:p>
      <w:pPr>
        <w:keepNext w:val="0"/>
        <w:keepLines w:val="0"/>
        <w:pageBreakBefore w:val="0"/>
        <w:widowControl w:val="0"/>
        <w:tabs>
          <w:tab w:val="right" w:leader="dot" w:pos="8460"/>
        </w:tabs>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zh-CN"/>
        </w:rPr>
        <w:t>附图</w:t>
      </w:r>
      <w:r>
        <w:rPr>
          <w:rFonts w:hint="eastAsia" w:cs="Times New Roman"/>
          <w:bCs/>
          <w:color w:val="auto"/>
          <w:sz w:val="24"/>
          <w:szCs w:val="24"/>
          <w:lang w:val="en-US" w:eastAsia="zh-CN"/>
        </w:rPr>
        <w:t>6</w:t>
      </w:r>
      <w:r>
        <w:rPr>
          <w:rFonts w:hint="eastAsia" w:ascii="Times New Roman" w:hAnsi="Times New Roman" w:eastAsia="宋体" w:cs="Times New Roman"/>
          <w:bCs/>
          <w:color w:val="auto"/>
          <w:sz w:val="24"/>
          <w:szCs w:val="24"/>
          <w:lang w:val="zh-CN"/>
        </w:rPr>
        <w:t xml:space="preserve"> </w:t>
      </w:r>
      <w:r>
        <w:rPr>
          <w:rFonts w:hint="eastAsia" w:ascii="Times New Roman" w:hAnsi="Times New Roman" w:eastAsia="宋体" w:cs="Times New Roman"/>
          <w:bCs/>
          <w:color w:val="auto"/>
          <w:sz w:val="24"/>
          <w:szCs w:val="24"/>
          <w:lang w:val="en-US" w:eastAsia="zh-CN"/>
        </w:rPr>
        <w:t xml:space="preserve"> 项目区水系图</w:t>
      </w:r>
    </w:p>
    <w:p>
      <w:pPr>
        <w:keepNext w:val="0"/>
        <w:keepLines w:val="0"/>
        <w:pageBreakBefore w:val="0"/>
        <w:widowControl w:val="0"/>
        <w:tabs>
          <w:tab w:val="right" w:leader="dot" w:pos="8460"/>
        </w:tabs>
        <w:kinsoku/>
        <w:wordWrap/>
        <w:overflowPunct/>
        <w:topLinePunct w:val="0"/>
        <w:autoSpaceDE/>
        <w:autoSpaceDN/>
        <w:bidi w:val="0"/>
        <w:adjustRightInd/>
        <w:snapToGrid/>
        <w:spacing w:line="360" w:lineRule="auto"/>
        <w:ind w:firstLine="0" w:firstLineChars="0"/>
        <w:jc w:val="left"/>
        <w:textAlignment w:val="auto"/>
        <w:rPr>
          <w:rFonts w:hint="eastAsia" w:ascii="Times New Roman" w:hAnsi="Times New Roman" w:eastAsia="宋体" w:cs="Times New Roman"/>
          <w:bCs/>
          <w:color w:val="auto"/>
          <w:sz w:val="24"/>
          <w:szCs w:val="24"/>
          <w:lang w:val="zh-CN"/>
        </w:rPr>
      </w:pPr>
      <w:r>
        <w:rPr>
          <w:rFonts w:hint="eastAsia" w:ascii="Times New Roman" w:hAnsi="Times New Roman" w:eastAsia="宋体" w:cs="Times New Roman"/>
          <w:bCs/>
          <w:color w:val="auto"/>
          <w:sz w:val="24"/>
          <w:szCs w:val="24"/>
          <w:lang w:val="zh-CN"/>
        </w:rPr>
        <w:t>附图</w:t>
      </w:r>
      <w:r>
        <w:rPr>
          <w:rFonts w:hint="eastAsia" w:cs="Times New Roman"/>
          <w:bCs/>
          <w:color w:val="auto"/>
          <w:sz w:val="24"/>
          <w:szCs w:val="24"/>
          <w:lang w:val="en-US" w:eastAsia="zh-CN"/>
        </w:rPr>
        <w:t>7</w:t>
      </w:r>
      <w:r>
        <w:rPr>
          <w:rFonts w:hint="eastAsia" w:ascii="Times New Roman" w:hAnsi="Times New Roman" w:eastAsia="宋体" w:cs="Times New Roman"/>
          <w:bCs/>
          <w:color w:val="auto"/>
          <w:sz w:val="24"/>
          <w:szCs w:val="24"/>
          <w:lang w:val="zh-CN"/>
        </w:rPr>
        <w:t xml:space="preserve">  项目区土壤侵蚀分布图</w:t>
      </w:r>
    </w:p>
    <w:p>
      <w:pPr>
        <w:keepNext w:val="0"/>
        <w:keepLines w:val="0"/>
        <w:pageBreakBefore w:val="0"/>
        <w:widowControl w:val="0"/>
        <w:tabs>
          <w:tab w:val="right" w:leader="dot" w:pos="8460"/>
        </w:tabs>
        <w:kinsoku/>
        <w:wordWrap/>
        <w:overflowPunct/>
        <w:topLinePunct w:val="0"/>
        <w:autoSpaceDE/>
        <w:autoSpaceDN/>
        <w:bidi w:val="0"/>
        <w:adjustRightInd/>
        <w:snapToGrid/>
        <w:spacing w:line="360" w:lineRule="auto"/>
        <w:ind w:firstLine="0" w:firstLineChars="0"/>
        <w:jc w:val="left"/>
        <w:textAlignment w:val="auto"/>
        <w:rPr>
          <w:rFonts w:hint="eastAsia" w:ascii="Times New Roman" w:hAnsi="Times New Roman" w:eastAsia="宋体" w:cs="Times New Roman"/>
          <w:bCs/>
          <w:color w:val="auto"/>
          <w:sz w:val="24"/>
          <w:szCs w:val="24"/>
          <w:lang w:val="zh-CN"/>
        </w:rPr>
      </w:pPr>
      <w:r>
        <w:rPr>
          <w:rFonts w:hint="eastAsia" w:ascii="Times New Roman" w:hAnsi="Times New Roman" w:eastAsia="宋体" w:cs="Times New Roman"/>
          <w:bCs/>
          <w:color w:val="auto"/>
          <w:sz w:val="24"/>
          <w:szCs w:val="24"/>
          <w:lang w:val="en-US" w:eastAsia="zh-CN"/>
        </w:rPr>
        <w:t xml:space="preserve">附图8  </w:t>
      </w:r>
      <w:r>
        <w:rPr>
          <w:rFonts w:hint="eastAsia" w:ascii="Times New Roman" w:hAnsi="Times New Roman" w:eastAsia="宋体" w:cs="Times New Roman"/>
          <w:bCs/>
          <w:color w:val="auto"/>
          <w:sz w:val="24"/>
          <w:szCs w:val="24"/>
          <w:lang w:val="zh-CN"/>
        </w:rPr>
        <w:t>项目噪声、废气监测计划布点示意图</w:t>
      </w:r>
    </w:p>
    <w:p>
      <w:pPr>
        <w:pStyle w:val="20"/>
        <w:spacing w:line="240" w:lineRule="auto"/>
        <w:ind w:left="0" w:leftChars="0" w:firstLine="0" w:firstLineChars="0"/>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附图</w:t>
      </w:r>
      <w:r>
        <w:rPr>
          <w:rFonts w:hint="eastAsia" w:cs="Times New Roman"/>
          <w:bCs/>
          <w:color w:val="auto"/>
          <w:sz w:val="24"/>
          <w:szCs w:val="24"/>
          <w:lang w:val="en-US" w:eastAsia="zh-CN"/>
        </w:rPr>
        <w:t>9</w:t>
      </w:r>
      <w:r>
        <w:rPr>
          <w:rFonts w:hint="eastAsia" w:ascii="Times New Roman" w:hAnsi="Times New Roman" w:eastAsia="宋体" w:cs="Times New Roman"/>
          <w:bCs/>
          <w:color w:val="auto"/>
          <w:sz w:val="24"/>
          <w:szCs w:val="24"/>
          <w:lang w:val="en-US" w:eastAsia="zh-CN"/>
        </w:rPr>
        <w:t xml:space="preserve"> </w:t>
      </w:r>
      <w:r>
        <w:rPr>
          <w:rFonts w:hint="eastAsia" w:cs="Times New Roman"/>
          <w:bCs/>
          <w:color w:val="auto"/>
          <w:sz w:val="24"/>
          <w:szCs w:val="24"/>
          <w:lang w:val="en-US" w:eastAsia="zh-CN"/>
        </w:rPr>
        <w:t xml:space="preserve"> </w:t>
      </w:r>
      <w:r>
        <w:rPr>
          <w:rFonts w:hint="eastAsia" w:ascii="Times New Roman" w:hAnsi="Times New Roman" w:eastAsia="宋体" w:cs="Times New Roman"/>
          <w:bCs/>
          <w:color w:val="auto"/>
          <w:sz w:val="24"/>
          <w:szCs w:val="24"/>
          <w:lang w:val="en-US" w:eastAsia="zh-CN"/>
        </w:rPr>
        <w:t>主要生态环境保护措施平面布置示意图</w:t>
      </w:r>
    </w:p>
    <w:p>
      <w:pPr>
        <w:keepNext w:val="0"/>
        <w:keepLines w:val="0"/>
        <w:pageBreakBefore w:val="0"/>
        <w:widowControl w:val="0"/>
        <w:tabs>
          <w:tab w:val="right" w:leader="dot" w:pos="8460"/>
        </w:tabs>
        <w:kinsoku/>
        <w:wordWrap/>
        <w:overflowPunct/>
        <w:topLinePunct w:val="0"/>
        <w:autoSpaceDE/>
        <w:autoSpaceDN/>
        <w:bidi w:val="0"/>
        <w:adjustRightInd/>
        <w:snapToGrid/>
        <w:spacing w:line="360" w:lineRule="auto"/>
        <w:ind w:firstLine="0" w:firstLineChars="0"/>
        <w:jc w:val="left"/>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附图1</w:t>
      </w:r>
      <w:r>
        <w:rPr>
          <w:rFonts w:hint="eastAsia" w:cs="Times New Roman"/>
          <w:bCs/>
          <w:color w:val="auto"/>
          <w:sz w:val="24"/>
          <w:szCs w:val="24"/>
          <w:lang w:val="en-US" w:eastAsia="zh-CN"/>
        </w:rPr>
        <w:t>0</w:t>
      </w:r>
      <w:r>
        <w:rPr>
          <w:rFonts w:hint="eastAsia" w:ascii="Times New Roman" w:hAnsi="Times New Roman" w:eastAsia="宋体" w:cs="Times New Roman"/>
          <w:bCs/>
          <w:color w:val="auto"/>
          <w:sz w:val="24"/>
          <w:szCs w:val="24"/>
          <w:lang w:val="en-US" w:eastAsia="zh-CN"/>
        </w:rPr>
        <w:t xml:space="preserve"> 生态环境保护措施典型设计图</w:t>
      </w:r>
    </w:p>
    <w:p>
      <w:pPr>
        <w:keepNext w:val="0"/>
        <w:keepLines w:val="0"/>
        <w:pageBreakBefore w:val="0"/>
        <w:widowControl w:val="0"/>
        <w:tabs>
          <w:tab w:val="right" w:leader="dot" w:pos="8460"/>
        </w:tabs>
        <w:kinsoku/>
        <w:wordWrap/>
        <w:overflowPunct/>
        <w:topLinePunct w:val="0"/>
        <w:autoSpaceDE/>
        <w:autoSpaceDN/>
        <w:bidi w:val="0"/>
        <w:adjustRightInd/>
        <w:snapToGrid/>
        <w:spacing w:line="360" w:lineRule="auto"/>
        <w:ind w:firstLine="0" w:firstLineChars="0"/>
        <w:jc w:val="left"/>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附图1</w:t>
      </w:r>
      <w:r>
        <w:rPr>
          <w:rFonts w:hint="eastAsia" w:cs="Times New Roman"/>
          <w:bCs/>
          <w:color w:val="auto"/>
          <w:sz w:val="24"/>
          <w:szCs w:val="24"/>
          <w:lang w:val="en-US" w:eastAsia="zh-CN"/>
        </w:rPr>
        <w:t>1</w:t>
      </w:r>
      <w:r>
        <w:rPr>
          <w:rFonts w:hint="eastAsia" w:ascii="Times New Roman" w:hAnsi="Times New Roman" w:eastAsia="宋体" w:cs="Times New Roman"/>
          <w:bCs/>
          <w:color w:val="auto"/>
          <w:sz w:val="24"/>
          <w:szCs w:val="24"/>
          <w:lang w:val="en-US" w:eastAsia="zh-CN"/>
        </w:rPr>
        <w:t xml:space="preserve"> 植被类型图</w:t>
      </w:r>
    </w:p>
    <w:p>
      <w:pPr>
        <w:keepNext w:val="0"/>
        <w:keepLines w:val="0"/>
        <w:pageBreakBefore w:val="0"/>
        <w:widowControl w:val="0"/>
        <w:tabs>
          <w:tab w:val="right" w:leader="dot" w:pos="8460"/>
        </w:tabs>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附图1</w:t>
      </w:r>
      <w:r>
        <w:rPr>
          <w:rFonts w:hint="eastAsia" w:cs="Times New Roman"/>
          <w:bCs/>
          <w:color w:val="auto"/>
          <w:sz w:val="24"/>
          <w:szCs w:val="24"/>
          <w:lang w:val="en-US" w:eastAsia="zh-CN"/>
        </w:rPr>
        <w:t>2</w:t>
      </w:r>
      <w:r>
        <w:rPr>
          <w:rFonts w:hint="eastAsia" w:ascii="Times New Roman" w:hAnsi="Times New Roman" w:eastAsia="宋体" w:cs="Times New Roman"/>
          <w:bCs/>
          <w:color w:val="auto"/>
          <w:sz w:val="24"/>
          <w:szCs w:val="24"/>
          <w:lang w:val="en-US" w:eastAsia="zh-CN"/>
        </w:rPr>
        <w:t xml:space="preserve"> 土</w:t>
      </w:r>
      <w:r>
        <w:rPr>
          <w:rFonts w:hint="eastAsia" w:cs="Times New Roman"/>
          <w:bCs/>
          <w:color w:val="auto"/>
          <w:sz w:val="24"/>
          <w:szCs w:val="24"/>
          <w:lang w:val="en-US" w:eastAsia="zh-CN"/>
        </w:rPr>
        <w:t>地</w:t>
      </w:r>
      <w:r>
        <w:rPr>
          <w:rFonts w:hint="eastAsia" w:ascii="Times New Roman" w:hAnsi="Times New Roman" w:eastAsia="宋体" w:cs="Times New Roman"/>
          <w:bCs/>
          <w:color w:val="auto"/>
          <w:sz w:val="24"/>
          <w:szCs w:val="24"/>
          <w:lang w:val="en-US" w:eastAsia="zh-CN"/>
        </w:rPr>
        <w:t>用现状图</w:t>
      </w:r>
    </w:p>
    <w:p>
      <w:pPr>
        <w:keepNext w:val="0"/>
        <w:keepLines w:val="0"/>
        <w:pageBreakBefore w:val="0"/>
        <w:widowControl w:val="0"/>
        <w:tabs>
          <w:tab w:val="right" w:leader="dot" w:pos="8460"/>
        </w:tabs>
        <w:kinsoku/>
        <w:wordWrap/>
        <w:overflowPunct/>
        <w:topLinePunct w:val="0"/>
        <w:autoSpaceDE/>
        <w:autoSpaceDN/>
        <w:bidi w:val="0"/>
        <w:adjustRightInd/>
        <w:snapToGrid/>
        <w:spacing w:line="360" w:lineRule="auto"/>
        <w:ind w:firstLine="0" w:firstLineChars="0"/>
        <w:jc w:val="left"/>
        <w:textAlignment w:val="auto"/>
        <w:rPr>
          <w:rFonts w:hint="eastAsia"/>
          <w:bCs/>
          <w:color w:val="0000FF"/>
          <w:sz w:val="24"/>
          <w:szCs w:val="24"/>
          <w:lang w:val="zh-CN"/>
        </w:rPr>
      </w:pPr>
    </w:p>
    <w:p>
      <w:pPr>
        <w:keepNext w:val="0"/>
        <w:keepLines w:val="0"/>
        <w:pageBreakBefore w:val="0"/>
        <w:widowControl w:val="0"/>
        <w:tabs>
          <w:tab w:val="right" w:leader="dot" w:pos="8460"/>
        </w:tabs>
        <w:kinsoku/>
        <w:wordWrap/>
        <w:overflowPunct/>
        <w:topLinePunct w:val="0"/>
        <w:autoSpaceDE/>
        <w:autoSpaceDN/>
        <w:bidi w:val="0"/>
        <w:adjustRightInd/>
        <w:snapToGrid/>
        <w:spacing w:line="360" w:lineRule="auto"/>
        <w:ind w:firstLine="0" w:firstLineChars="0"/>
        <w:jc w:val="left"/>
        <w:textAlignment w:val="auto"/>
        <w:rPr>
          <w:rFonts w:hint="eastAsia"/>
          <w:b/>
          <w:bCs/>
          <w:color w:val="auto"/>
          <w:sz w:val="24"/>
          <w:szCs w:val="24"/>
          <w:lang w:val="zh-CN"/>
        </w:rPr>
      </w:pPr>
      <w:r>
        <w:rPr>
          <w:rFonts w:hint="eastAsia"/>
          <w:b/>
          <w:bCs/>
          <w:color w:val="auto"/>
          <w:sz w:val="24"/>
          <w:szCs w:val="24"/>
          <w:lang w:val="zh-CN"/>
        </w:rPr>
        <w:t>附件：</w:t>
      </w:r>
    </w:p>
    <w:p>
      <w:pPr>
        <w:keepNext w:val="0"/>
        <w:keepLines w:val="0"/>
        <w:pageBreakBefore w:val="0"/>
        <w:widowControl w:val="0"/>
        <w:tabs>
          <w:tab w:val="right" w:leader="dot" w:pos="8460"/>
        </w:tabs>
        <w:kinsoku/>
        <w:wordWrap/>
        <w:overflowPunct/>
        <w:topLinePunct w:val="0"/>
        <w:autoSpaceDE/>
        <w:autoSpaceDN/>
        <w:bidi w:val="0"/>
        <w:adjustRightInd/>
        <w:snapToGrid/>
        <w:spacing w:line="360" w:lineRule="auto"/>
        <w:ind w:left="720" w:hanging="720" w:hangingChars="300"/>
        <w:jc w:val="left"/>
        <w:textAlignment w:val="auto"/>
        <w:rPr>
          <w:rFonts w:hint="eastAsia" w:ascii="Times New Roman" w:hAnsi="Times New Roman" w:eastAsia="宋体" w:cs="Times New Roman"/>
          <w:bCs/>
          <w:color w:val="auto"/>
          <w:sz w:val="24"/>
          <w:szCs w:val="24"/>
          <w:lang w:val="zh-CN"/>
        </w:rPr>
      </w:pPr>
      <w:r>
        <w:rPr>
          <w:rFonts w:hint="eastAsia" w:ascii="Times New Roman" w:hAnsi="Times New Roman" w:eastAsia="宋体" w:cs="Times New Roman"/>
          <w:bCs/>
          <w:color w:val="auto"/>
          <w:sz w:val="24"/>
          <w:szCs w:val="24"/>
          <w:lang w:val="zh-CN"/>
        </w:rPr>
        <w:t>附件1 广元市</w:t>
      </w:r>
      <w:r>
        <w:rPr>
          <w:rFonts w:hint="eastAsia" w:ascii="Times New Roman" w:hAnsi="Times New Roman" w:eastAsia="宋体" w:cs="Times New Roman"/>
          <w:bCs/>
          <w:color w:val="auto"/>
          <w:sz w:val="24"/>
          <w:szCs w:val="24"/>
          <w:lang w:val="en-US" w:eastAsia="zh-CN"/>
        </w:rPr>
        <w:t>昭化区</w:t>
      </w:r>
      <w:r>
        <w:rPr>
          <w:rFonts w:hint="eastAsia" w:ascii="Times New Roman" w:hAnsi="Times New Roman" w:eastAsia="宋体" w:cs="Times New Roman"/>
          <w:bCs/>
          <w:color w:val="auto"/>
          <w:sz w:val="24"/>
          <w:szCs w:val="24"/>
          <w:lang w:val="zh-CN"/>
        </w:rPr>
        <w:t>水利局关于</w:t>
      </w:r>
      <w:r>
        <w:rPr>
          <w:rFonts w:hint="eastAsia" w:ascii="Times New Roman" w:hAnsi="Times New Roman" w:cs="Times New Roman"/>
          <w:sz w:val="24"/>
          <w:szCs w:val="24"/>
          <w:lang w:eastAsia="zh-CN"/>
        </w:rPr>
        <w:t>项目</w:t>
      </w:r>
      <w:r>
        <w:rPr>
          <w:rFonts w:hint="eastAsia" w:ascii="Times New Roman" w:hAnsi="Times New Roman" w:eastAsia="宋体" w:cs="Times New Roman"/>
          <w:bCs/>
          <w:color w:val="auto"/>
          <w:sz w:val="24"/>
          <w:szCs w:val="24"/>
          <w:lang w:val="en-US" w:eastAsia="zh-CN"/>
        </w:rPr>
        <w:t>初步设计报告</w:t>
      </w:r>
      <w:r>
        <w:rPr>
          <w:rFonts w:hint="eastAsia" w:ascii="Times New Roman" w:hAnsi="Times New Roman" w:eastAsia="宋体" w:cs="Times New Roman"/>
          <w:bCs/>
          <w:color w:val="auto"/>
          <w:sz w:val="24"/>
          <w:szCs w:val="24"/>
          <w:lang w:val="zh-CN"/>
        </w:rPr>
        <w:t>的批复（</w:t>
      </w:r>
      <w:r>
        <w:rPr>
          <w:rFonts w:hint="eastAsia" w:ascii="Times New Roman" w:hAnsi="Times New Roman" w:eastAsia="宋体" w:cs="Times New Roman"/>
          <w:bCs/>
          <w:color w:val="auto"/>
          <w:sz w:val="24"/>
          <w:szCs w:val="24"/>
          <w:lang w:val="en-US" w:eastAsia="zh-CN"/>
        </w:rPr>
        <w:t>昭</w:t>
      </w:r>
      <w:r>
        <w:rPr>
          <w:rFonts w:hint="eastAsia" w:ascii="Times New Roman" w:hAnsi="Times New Roman" w:eastAsia="宋体" w:cs="Times New Roman"/>
          <w:bCs/>
          <w:color w:val="auto"/>
          <w:sz w:val="24"/>
          <w:szCs w:val="24"/>
          <w:lang w:val="zh-CN"/>
        </w:rPr>
        <w:t>水函〔202</w:t>
      </w:r>
      <w:r>
        <w:rPr>
          <w:rFonts w:hint="eastAsia" w:ascii="Times New Roman" w:hAnsi="Times New Roman" w:eastAsia="宋体" w:cs="Times New Roman"/>
          <w:bCs/>
          <w:color w:val="auto"/>
          <w:sz w:val="24"/>
          <w:szCs w:val="24"/>
          <w:lang w:val="en-US" w:eastAsia="zh-CN"/>
        </w:rPr>
        <w:t>3</w:t>
      </w:r>
      <w:r>
        <w:rPr>
          <w:rFonts w:hint="eastAsia" w:ascii="Times New Roman" w:hAnsi="Times New Roman" w:eastAsia="宋体" w:cs="Times New Roman"/>
          <w:bCs/>
          <w:color w:val="auto"/>
          <w:sz w:val="24"/>
          <w:szCs w:val="24"/>
          <w:lang w:val="zh-CN"/>
        </w:rPr>
        <w:t>〕</w:t>
      </w:r>
      <w:r>
        <w:rPr>
          <w:rFonts w:hint="eastAsia" w:ascii="Times New Roman" w:hAnsi="Times New Roman" w:eastAsia="宋体" w:cs="Times New Roman"/>
          <w:bCs/>
          <w:color w:val="auto"/>
          <w:sz w:val="24"/>
          <w:szCs w:val="24"/>
          <w:lang w:val="en-US" w:eastAsia="zh-CN"/>
        </w:rPr>
        <w:t>154</w:t>
      </w:r>
      <w:r>
        <w:rPr>
          <w:rFonts w:hint="eastAsia" w:ascii="Times New Roman" w:hAnsi="Times New Roman" w:eastAsia="宋体" w:cs="Times New Roman"/>
          <w:bCs/>
          <w:color w:val="auto"/>
          <w:sz w:val="24"/>
          <w:szCs w:val="24"/>
          <w:lang w:val="zh-CN"/>
        </w:rPr>
        <w:t>号）；</w:t>
      </w:r>
    </w:p>
    <w:p>
      <w:pPr>
        <w:keepNext w:val="0"/>
        <w:keepLines w:val="0"/>
        <w:pageBreakBefore w:val="0"/>
        <w:widowControl w:val="0"/>
        <w:tabs>
          <w:tab w:val="right" w:leader="dot" w:pos="8460"/>
        </w:tabs>
        <w:kinsoku/>
        <w:wordWrap/>
        <w:overflowPunct/>
        <w:topLinePunct w:val="0"/>
        <w:autoSpaceDE/>
        <w:autoSpaceDN/>
        <w:bidi w:val="0"/>
        <w:adjustRightInd/>
        <w:snapToGrid/>
        <w:spacing w:line="360" w:lineRule="auto"/>
        <w:ind w:left="720" w:hanging="720" w:hangingChars="300"/>
        <w:jc w:val="left"/>
        <w:textAlignment w:val="auto"/>
        <w:rPr>
          <w:rFonts w:hint="eastAsia"/>
          <w:bCs/>
          <w:color w:val="auto"/>
          <w:sz w:val="24"/>
          <w:szCs w:val="24"/>
          <w:lang w:val="en-US" w:eastAsia="zh-CN"/>
        </w:rPr>
      </w:pPr>
      <w:r>
        <w:rPr>
          <w:rFonts w:hint="eastAsia"/>
          <w:bCs/>
          <w:color w:val="auto"/>
          <w:sz w:val="24"/>
          <w:szCs w:val="24"/>
          <w:lang w:val="zh-CN"/>
        </w:rPr>
        <w:t xml:space="preserve">附件2 </w:t>
      </w:r>
      <w:r>
        <w:rPr>
          <w:rFonts w:hint="eastAsia"/>
          <w:bCs/>
          <w:color w:val="auto"/>
          <w:sz w:val="24"/>
          <w:szCs w:val="24"/>
          <w:lang w:val="en-US" w:eastAsia="zh-CN"/>
        </w:rPr>
        <w:t>广元市昭化区水利局关于启动项目建设用地补偿工作的请示</w:t>
      </w:r>
    </w:p>
    <w:p>
      <w:pPr>
        <w:pStyle w:val="2"/>
        <w:spacing w:line="360" w:lineRule="auto"/>
        <w:ind w:left="0" w:leftChars="0" w:firstLine="0" w:firstLineChars="0"/>
        <w:rPr>
          <w:rFonts w:hint="eastAsia"/>
          <w:sz w:val="24"/>
          <w:szCs w:val="18"/>
          <w:lang w:val="en-US" w:eastAsia="zh-CN"/>
        </w:rPr>
      </w:pPr>
      <w:r>
        <w:rPr>
          <w:rFonts w:hint="eastAsia"/>
          <w:sz w:val="24"/>
          <w:szCs w:val="18"/>
          <w:lang w:val="en-US" w:eastAsia="zh-CN"/>
        </w:rPr>
        <w:t>附件3 项目不涉及鱼类三场的证明</w:t>
      </w:r>
    </w:p>
    <w:p>
      <w:pPr>
        <w:keepNext w:val="0"/>
        <w:keepLines w:val="0"/>
        <w:pageBreakBefore w:val="0"/>
        <w:widowControl w:val="0"/>
        <w:tabs>
          <w:tab w:val="right" w:leader="dot" w:pos="8460"/>
        </w:tabs>
        <w:kinsoku/>
        <w:wordWrap/>
        <w:overflowPunct/>
        <w:topLinePunct w:val="0"/>
        <w:autoSpaceDE/>
        <w:autoSpaceDN/>
        <w:bidi w:val="0"/>
        <w:adjustRightInd/>
        <w:snapToGrid/>
        <w:spacing w:line="360" w:lineRule="auto"/>
        <w:ind w:firstLine="0" w:firstLineChars="0"/>
        <w:jc w:val="left"/>
        <w:textAlignment w:val="auto"/>
        <w:rPr>
          <w:rFonts w:hint="eastAsia"/>
          <w:bCs/>
          <w:color w:val="auto"/>
          <w:sz w:val="24"/>
          <w:szCs w:val="24"/>
          <w:lang w:val="zh-CN"/>
        </w:rPr>
      </w:pPr>
      <w:r>
        <w:rPr>
          <w:rFonts w:hint="eastAsia"/>
          <w:bCs/>
          <w:color w:val="auto"/>
          <w:sz w:val="24"/>
          <w:szCs w:val="24"/>
          <w:lang w:val="zh-CN"/>
        </w:rPr>
        <w:t>附件</w:t>
      </w:r>
      <w:r>
        <w:rPr>
          <w:rFonts w:hint="eastAsia"/>
          <w:bCs/>
          <w:color w:val="auto"/>
          <w:sz w:val="24"/>
          <w:szCs w:val="24"/>
          <w:lang w:val="en-US" w:eastAsia="zh-CN"/>
        </w:rPr>
        <w:t>4 检测</w:t>
      </w:r>
      <w:r>
        <w:rPr>
          <w:rFonts w:hint="eastAsia"/>
          <w:bCs/>
          <w:color w:val="auto"/>
          <w:sz w:val="24"/>
          <w:szCs w:val="24"/>
          <w:lang w:val="zh-CN"/>
        </w:rPr>
        <w:t>报告</w:t>
      </w: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黑体" w:hAnsi="黑体" w:eastAsia="黑体"/>
          <w:snapToGrid w:val="0"/>
          <w:sz w:val="30"/>
          <w:szCs w:val="30"/>
          <w:lang w:val="en-US" w:eastAsia="zh-CN"/>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numberInDash" w:start="1"/>
          <w:cols w:space="720" w:num="1"/>
          <w:docGrid w:linePitch="312" w:charSpace="0"/>
        </w:sectPr>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黑体" w:hAnsi="黑体" w:eastAsia="黑体"/>
          <w:snapToGrid w:val="0"/>
          <w:sz w:val="30"/>
          <w:szCs w:val="30"/>
          <w:lang w:val="en-US" w:eastAsia="zh-CN"/>
        </w:rPr>
      </w:pPr>
      <w:bookmarkStart w:id="3" w:name="_Toc23868"/>
      <w:r>
        <w:rPr>
          <w:rFonts w:hint="eastAsia" w:ascii="黑体" w:hAnsi="黑体" w:eastAsia="黑体"/>
          <w:snapToGrid w:val="0"/>
          <w:sz w:val="30"/>
          <w:szCs w:val="30"/>
          <w:lang w:val="en-US" w:eastAsia="zh-CN"/>
        </w:rPr>
        <w:t>一、建设项目基本情况</w:t>
      </w:r>
      <w:bookmarkEnd w:id="3"/>
    </w:p>
    <w:tbl>
      <w:tblPr>
        <w:tblStyle w:val="30"/>
        <w:tblW w:w="8838" w:type="dxa"/>
        <w:tblInd w:w="17"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57"/>
        <w:gridCol w:w="1499"/>
        <w:gridCol w:w="2045"/>
        <w:gridCol w:w="12"/>
        <w:gridCol w:w="41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157" w:type="dxa"/>
            <w:noWrap w:val="0"/>
            <w:tcMar>
              <w:top w:w="16" w:type="dxa"/>
              <w:left w:w="16" w:type="dxa"/>
              <w:right w:w="16" w:type="dxa"/>
            </w:tcMar>
            <w:vAlign w:val="center"/>
          </w:tcPr>
          <w:p>
            <w:pPr>
              <w:adjustRightInd w:val="0"/>
              <w:snapToGrid w:val="0"/>
              <w:jc w:val="center"/>
              <w:rPr>
                <w:rFonts w:ascii="宋体" w:hAnsi="宋体" w:cs="宋体"/>
                <w:b/>
                <w:bCs/>
                <w:sz w:val="24"/>
                <w:szCs w:val="24"/>
              </w:rPr>
            </w:pPr>
            <w:r>
              <w:rPr>
                <w:rFonts w:hint="eastAsia" w:ascii="宋体" w:hAnsi="宋体" w:cs="宋体"/>
                <w:b/>
                <w:bCs/>
                <w:sz w:val="24"/>
                <w:szCs w:val="24"/>
              </w:rPr>
              <w:t>建设项目名称</w:t>
            </w:r>
          </w:p>
        </w:tc>
        <w:tc>
          <w:tcPr>
            <w:tcW w:w="7681" w:type="dxa"/>
            <w:gridSpan w:val="4"/>
            <w:noWrap w:val="0"/>
            <w:vAlign w:val="center"/>
          </w:tcPr>
          <w:p>
            <w:pPr>
              <w:adjustRightInd w:val="0"/>
              <w:snapToGrid w:val="0"/>
              <w:jc w:val="center"/>
              <w:rPr>
                <w:rFonts w:hint="default" w:ascii="Times New Roman" w:hAnsi="Times New Roman" w:cs="Times New Roman"/>
                <w:sz w:val="24"/>
                <w:szCs w:val="24"/>
              </w:rPr>
            </w:pPr>
            <w:r>
              <w:rPr>
                <w:rFonts w:hint="eastAsia" w:cs="Times New Roman"/>
                <w:sz w:val="24"/>
                <w:szCs w:val="24"/>
                <w:lang w:eastAsia="zh-CN"/>
              </w:rPr>
              <w:t>广元市昭化区重点采煤沉陷区生态环境综合治理项目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157" w:type="dxa"/>
            <w:noWrap w:val="0"/>
            <w:tcMar>
              <w:top w:w="16" w:type="dxa"/>
              <w:left w:w="16" w:type="dxa"/>
              <w:right w:w="16" w:type="dxa"/>
            </w:tcMar>
            <w:vAlign w:val="center"/>
          </w:tcPr>
          <w:p>
            <w:pPr>
              <w:adjustRightInd w:val="0"/>
              <w:snapToGrid w:val="0"/>
              <w:jc w:val="center"/>
              <w:rPr>
                <w:rFonts w:ascii="宋体" w:hAnsi="宋体" w:cs="宋体"/>
                <w:b/>
                <w:bCs/>
                <w:color w:val="auto"/>
                <w:sz w:val="24"/>
                <w:szCs w:val="24"/>
              </w:rPr>
            </w:pPr>
            <w:r>
              <w:rPr>
                <w:rFonts w:hint="eastAsia" w:ascii="宋体" w:hAnsi="宋体" w:cs="宋体"/>
                <w:b/>
                <w:bCs/>
                <w:color w:val="auto"/>
                <w:sz w:val="24"/>
                <w:szCs w:val="24"/>
              </w:rPr>
              <w:t>项目代码</w:t>
            </w:r>
          </w:p>
        </w:tc>
        <w:tc>
          <w:tcPr>
            <w:tcW w:w="7681" w:type="dxa"/>
            <w:gridSpan w:val="4"/>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2020-510811-48-01-498255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157" w:type="dxa"/>
            <w:noWrap w:val="0"/>
            <w:tcMar>
              <w:top w:w="16" w:type="dxa"/>
              <w:left w:w="16" w:type="dxa"/>
              <w:right w:w="16" w:type="dxa"/>
            </w:tcMar>
            <w:vAlign w:val="center"/>
          </w:tcPr>
          <w:p>
            <w:pPr>
              <w:adjustRightInd w:val="0"/>
              <w:snapToGrid w:val="0"/>
              <w:jc w:val="center"/>
              <w:rPr>
                <w:rFonts w:ascii="宋体" w:hAnsi="宋体" w:cs="宋体"/>
                <w:b/>
                <w:bCs/>
                <w:color w:val="auto"/>
                <w:sz w:val="24"/>
                <w:szCs w:val="24"/>
              </w:rPr>
            </w:pPr>
            <w:r>
              <w:rPr>
                <w:rFonts w:hint="eastAsia" w:ascii="宋体" w:hAnsi="宋体" w:cs="宋体"/>
                <w:b/>
                <w:bCs/>
                <w:color w:val="auto"/>
                <w:sz w:val="24"/>
                <w:szCs w:val="24"/>
              </w:rPr>
              <w:t>建设单位联系人</w:t>
            </w:r>
          </w:p>
        </w:tc>
        <w:tc>
          <w:tcPr>
            <w:tcW w:w="1499" w:type="dxa"/>
            <w:noWrap w:val="0"/>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俞</w:t>
            </w:r>
            <w:r>
              <w:rPr>
                <w:rFonts w:hint="eastAsia" w:cs="Times New Roman"/>
                <w:color w:val="auto"/>
                <w:sz w:val="24"/>
                <w:szCs w:val="24"/>
                <w:highlight w:val="none"/>
                <w:lang w:val="en-US" w:eastAsia="zh-CN"/>
              </w:rPr>
              <w:t>天跃</w:t>
            </w:r>
          </w:p>
        </w:tc>
        <w:tc>
          <w:tcPr>
            <w:tcW w:w="2057" w:type="dxa"/>
            <w:gridSpan w:val="2"/>
            <w:noWrap w:val="0"/>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联系方式</w:t>
            </w:r>
          </w:p>
        </w:tc>
        <w:tc>
          <w:tcPr>
            <w:tcW w:w="4125" w:type="dxa"/>
            <w:noWrap w:val="0"/>
            <w:vAlign w:val="center"/>
          </w:tcPr>
          <w:p>
            <w:pPr>
              <w:adjustRightInd w:val="0"/>
              <w:snapToGrid w:val="0"/>
              <w:jc w:val="center"/>
              <w:rPr>
                <w:rFonts w:hint="default" w:ascii="Times New Roman" w:hAnsi="Times New Roman" w:cs="Times New Roman"/>
                <w:color w:val="auto"/>
                <w:sz w:val="24"/>
                <w:szCs w:val="24"/>
                <w:highlight w:val="none"/>
                <w:lang w:val="en-US"/>
              </w:rPr>
            </w:pPr>
            <w:r>
              <w:rPr>
                <w:rFonts w:hint="eastAsia" w:ascii="Times New Roman" w:hAnsi="Times New Roman" w:eastAsia="宋体" w:cs="Times New Roman"/>
                <w:color w:val="auto"/>
                <w:sz w:val="24"/>
                <w:szCs w:val="24"/>
                <w:highlight w:val="none"/>
                <w:lang w:val="en-US" w:eastAsia="zh-CN"/>
              </w:rPr>
              <w:t xml:space="preserve"> 13350033483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157" w:type="dxa"/>
            <w:noWrap w:val="0"/>
            <w:tcMar>
              <w:top w:w="16" w:type="dxa"/>
              <w:left w:w="16" w:type="dxa"/>
              <w:right w:w="16" w:type="dxa"/>
            </w:tcMar>
            <w:vAlign w:val="center"/>
          </w:tcPr>
          <w:p>
            <w:pPr>
              <w:adjustRightInd w:val="0"/>
              <w:snapToGrid w:val="0"/>
              <w:jc w:val="center"/>
              <w:rPr>
                <w:rFonts w:ascii="宋体" w:hAnsi="宋体" w:cs="宋体"/>
                <w:b/>
                <w:bCs/>
                <w:sz w:val="24"/>
                <w:szCs w:val="24"/>
              </w:rPr>
            </w:pPr>
            <w:r>
              <w:rPr>
                <w:rFonts w:hint="eastAsia" w:ascii="宋体" w:hAnsi="宋体" w:cs="宋体"/>
                <w:b/>
                <w:bCs/>
                <w:sz w:val="24"/>
                <w:szCs w:val="24"/>
              </w:rPr>
              <w:t>建设地点</w:t>
            </w:r>
          </w:p>
        </w:tc>
        <w:tc>
          <w:tcPr>
            <w:tcW w:w="7681" w:type="dxa"/>
            <w:gridSpan w:val="4"/>
            <w:noWrap w:val="0"/>
            <w:vAlign w:val="center"/>
          </w:tcPr>
          <w:p>
            <w:pPr>
              <w:pStyle w:val="12"/>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u w:val="none"/>
                <w:lang w:eastAsia="zh-CN"/>
              </w:rPr>
              <w:t>四川省广元市昭化区元坝镇</w:t>
            </w:r>
            <w:r>
              <w:rPr>
                <w:rFonts w:hint="eastAsia" w:ascii="Times New Roman" w:hAnsi="Times New Roman" w:eastAsia="宋体" w:cs="Times New Roman"/>
                <w:sz w:val="24"/>
                <w:szCs w:val="24"/>
                <w:u w:val="none"/>
                <w:lang w:val="en-US" w:eastAsia="zh-CN"/>
              </w:rPr>
              <w:t>长坝社区</w:t>
            </w:r>
            <w:r>
              <w:rPr>
                <w:rFonts w:hint="eastAsia" w:ascii="Times New Roman" w:hAnsi="Times New Roman" w:eastAsia="宋体" w:cs="Times New Roman"/>
                <w:sz w:val="24"/>
                <w:szCs w:val="24"/>
                <w:u w:val="none"/>
                <w:lang w:eastAsia="zh-CN"/>
              </w:rPr>
              <w:t>（本工程位于长滩河支流</w:t>
            </w:r>
            <w:r>
              <w:rPr>
                <w:rFonts w:hint="eastAsia" w:ascii="Times New Roman" w:hAnsi="Times New Roman" w:eastAsia="宋体" w:cs="Times New Roman"/>
                <w:sz w:val="24"/>
                <w:szCs w:val="24"/>
                <w:u w:val="none"/>
                <w:lang w:val="en-US" w:eastAsia="zh-CN"/>
              </w:rPr>
              <w:t>庄子沟</w:t>
            </w:r>
            <w:r>
              <w:rPr>
                <w:rFonts w:hint="eastAsia" w:ascii="Times New Roman" w:hAnsi="Times New Roman" w:eastAsia="宋体" w:cs="Times New Roman"/>
                <w:sz w:val="24"/>
                <w:szCs w:val="24"/>
                <w:u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1157" w:type="dxa"/>
            <w:noWrap w:val="0"/>
            <w:tcMar>
              <w:top w:w="16" w:type="dxa"/>
              <w:left w:w="16" w:type="dxa"/>
              <w:right w:w="16" w:type="dxa"/>
            </w:tcMar>
            <w:vAlign w:val="center"/>
          </w:tcPr>
          <w:p>
            <w:pPr>
              <w:adjustRightInd w:val="0"/>
              <w:snapToGrid w:val="0"/>
              <w:jc w:val="center"/>
              <w:rPr>
                <w:rFonts w:ascii="宋体" w:hAnsi="宋体" w:cs="宋体"/>
                <w:b/>
                <w:bCs/>
                <w:color w:val="auto"/>
                <w:sz w:val="24"/>
                <w:szCs w:val="24"/>
              </w:rPr>
            </w:pPr>
            <w:r>
              <w:rPr>
                <w:rFonts w:hint="eastAsia" w:ascii="宋体" w:hAnsi="宋体" w:cs="宋体"/>
                <w:b/>
                <w:bCs/>
                <w:color w:val="auto"/>
                <w:sz w:val="24"/>
                <w:szCs w:val="24"/>
              </w:rPr>
              <w:t>地理坐标</w:t>
            </w:r>
          </w:p>
        </w:tc>
        <w:tc>
          <w:tcPr>
            <w:tcW w:w="7681" w:type="dxa"/>
            <w:gridSpan w:val="4"/>
            <w:noWrap w:val="0"/>
            <w:vAlign w:val="center"/>
          </w:tcPr>
          <w:p>
            <w:pPr>
              <w:adjustRightInd w:val="0"/>
              <w:snapToGrid w:val="0"/>
              <w:jc w:val="center"/>
              <w:rPr>
                <w:rFonts w:hint="default"/>
                <w:color w:val="auto"/>
                <w:sz w:val="24"/>
                <w:szCs w:val="24"/>
                <w:lang w:val="en-US" w:eastAsia="zh-CN"/>
              </w:rPr>
            </w:pPr>
            <w:r>
              <w:rPr>
                <w:rFonts w:hint="eastAsia"/>
                <w:color w:val="auto"/>
                <w:sz w:val="24"/>
                <w:szCs w:val="24"/>
                <w:lang w:eastAsia="zh-CN"/>
              </w:rPr>
              <w:t>起点：</w:t>
            </w:r>
            <w:r>
              <w:rPr>
                <w:rFonts w:hint="eastAsia"/>
                <w:color w:val="auto"/>
                <w:sz w:val="24"/>
                <w:szCs w:val="24"/>
                <w:lang w:val="en-US" w:eastAsia="zh-CN"/>
              </w:rPr>
              <w:t>105.973150587</w:t>
            </w:r>
            <w:r>
              <w:rPr>
                <w:rFonts w:hint="default"/>
                <w:color w:val="auto"/>
                <w:sz w:val="24"/>
                <w:szCs w:val="24"/>
              </w:rPr>
              <w:t>，</w:t>
            </w:r>
            <w:r>
              <w:rPr>
                <w:rFonts w:hint="eastAsia"/>
                <w:color w:val="auto"/>
                <w:sz w:val="24"/>
                <w:szCs w:val="24"/>
                <w:lang w:val="en-US" w:eastAsia="zh-CN"/>
              </w:rPr>
              <w:t>32.351163448</w:t>
            </w:r>
          </w:p>
          <w:p>
            <w:pPr>
              <w:pStyle w:val="28"/>
              <w:jc w:val="center"/>
              <w:rPr>
                <w:rFonts w:hint="default" w:eastAsia="宋体"/>
                <w:color w:val="auto"/>
                <w:sz w:val="24"/>
                <w:szCs w:val="24"/>
                <w:lang w:val="en-US" w:eastAsia="zh-CN"/>
              </w:rPr>
            </w:pPr>
            <w:r>
              <w:rPr>
                <w:rFonts w:hint="eastAsia" w:ascii="Times New Roman" w:hAnsi="Times New Roman" w:cs="Times New Roman"/>
                <w:color w:val="auto"/>
                <w:sz w:val="24"/>
                <w:szCs w:val="24"/>
                <w:lang w:eastAsia="zh-CN"/>
              </w:rPr>
              <w:t>终点：</w:t>
            </w:r>
            <w:r>
              <w:rPr>
                <w:rFonts w:hint="eastAsia" w:ascii="Times New Roman" w:hAnsi="Times New Roman" w:cs="Times New Roman"/>
                <w:color w:val="auto"/>
                <w:sz w:val="24"/>
                <w:szCs w:val="24"/>
                <w:lang w:val="en-US" w:eastAsia="zh-CN"/>
              </w:rPr>
              <w:t>105.968895058</w:t>
            </w:r>
            <w:r>
              <w:rPr>
                <w:rFonts w:hint="default"/>
                <w:color w:val="auto"/>
                <w:sz w:val="24"/>
                <w:szCs w:val="24"/>
              </w:rPr>
              <w:t>，</w:t>
            </w:r>
            <w:r>
              <w:rPr>
                <w:rFonts w:hint="eastAsia" w:ascii="Times New Roman" w:hAnsi="Times New Roman" w:cs="Times New Roman"/>
                <w:color w:val="auto"/>
                <w:sz w:val="24"/>
                <w:szCs w:val="24"/>
                <w:lang w:val="en-US" w:eastAsia="zh-CN"/>
              </w:rPr>
              <w:t>32.352112743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157" w:type="dxa"/>
            <w:noWrap w:val="0"/>
            <w:tcMar>
              <w:top w:w="16" w:type="dxa"/>
              <w:left w:w="16" w:type="dxa"/>
              <w:right w:w="16" w:type="dxa"/>
            </w:tcMar>
            <w:vAlign w:val="center"/>
          </w:tcPr>
          <w:p>
            <w:pPr>
              <w:adjustRightInd w:val="0"/>
              <w:snapToGrid w:val="0"/>
              <w:jc w:val="center"/>
              <w:rPr>
                <w:rFonts w:ascii="宋体" w:hAnsi="宋体" w:cs="宋体"/>
                <w:b/>
                <w:bCs/>
                <w:sz w:val="24"/>
                <w:szCs w:val="24"/>
              </w:rPr>
            </w:pPr>
            <w:r>
              <w:rPr>
                <w:rFonts w:hint="eastAsia" w:ascii="宋体" w:hAnsi="宋体" w:cs="宋体"/>
                <w:b/>
                <w:bCs/>
                <w:sz w:val="24"/>
                <w:szCs w:val="24"/>
              </w:rPr>
              <w:t>建设项目</w:t>
            </w:r>
          </w:p>
          <w:p>
            <w:pPr>
              <w:adjustRightInd w:val="0"/>
              <w:snapToGrid w:val="0"/>
              <w:jc w:val="center"/>
              <w:rPr>
                <w:rFonts w:ascii="宋体" w:hAnsi="宋体" w:cs="宋体"/>
                <w:b/>
                <w:bCs/>
                <w:sz w:val="24"/>
                <w:szCs w:val="24"/>
              </w:rPr>
            </w:pPr>
            <w:r>
              <w:rPr>
                <w:rFonts w:hint="eastAsia" w:ascii="宋体" w:hAnsi="宋体" w:cs="宋体"/>
                <w:b/>
                <w:bCs/>
                <w:sz w:val="24"/>
                <w:szCs w:val="24"/>
              </w:rPr>
              <w:t>行业类别</w:t>
            </w:r>
          </w:p>
        </w:tc>
        <w:tc>
          <w:tcPr>
            <w:tcW w:w="1499" w:type="dxa"/>
            <w:noWrap w:val="0"/>
            <w:vAlign w:val="center"/>
          </w:tcPr>
          <w:p>
            <w:pPr>
              <w:adjustRightInd w:val="0"/>
              <w:snapToGrid w:val="0"/>
              <w:jc w:val="center"/>
              <w:rPr>
                <w:rFonts w:hint="default" w:ascii="Times New Roman" w:hAnsi="Times New Roman" w:cs="Times New Roman"/>
                <w:sz w:val="24"/>
                <w:szCs w:val="24"/>
              </w:rPr>
            </w:pPr>
            <w:r>
              <w:rPr>
                <w:rFonts w:hint="eastAsia" w:ascii="Times New Roman" w:hAnsi="Times New Roman" w:eastAsia="宋体" w:cs="Times New Roman"/>
                <w:sz w:val="24"/>
                <w:szCs w:val="24"/>
                <w:highlight w:val="none"/>
                <w:u w:val="none"/>
                <w:lang w:val="en-US" w:eastAsia="zh-CN"/>
              </w:rPr>
              <w:t xml:space="preserve">127“防洪除涝工程” </w:t>
            </w:r>
            <w:r>
              <w:rPr>
                <w:rFonts w:hint="eastAsia" w:cs="Times New Roman"/>
                <w:sz w:val="24"/>
                <w:szCs w:val="24"/>
                <w:highlight w:val="none"/>
                <w:u w:val="none"/>
                <w:lang w:val="en-US" w:eastAsia="zh-CN"/>
              </w:rPr>
              <w:t>、</w:t>
            </w:r>
            <w:r>
              <w:rPr>
                <w:rFonts w:hint="eastAsia" w:ascii="Times New Roman" w:hAnsi="Times New Roman" w:eastAsia="宋体" w:cs="Times New Roman"/>
                <w:sz w:val="24"/>
                <w:szCs w:val="24"/>
                <w:u w:val="none"/>
                <w:lang w:val="en-US" w:eastAsia="zh-CN"/>
              </w:rPr>
              <w:t xml:space="preserve">128“河湖整治（不含农村 塘堰、水渠）” </w:t>
            </w:r>
          </w:p>
        </w:tc>
        <w:tc>
          <w:tcPr>
            <w:tcW w:w="2045" w:type="dxa"/>
            <w:noWrap w:val="0"/>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用地（用海）面积（m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）/长度（km）</w:t>
            </w:r>
          </w:p>
        </w:tc>
        <w:tc>
          <w:tcPr>
            <w:tcW w:w="4137" w:type="dxa"/>
            <w:gridSpan w:val="2"/>
            <w:noWrap w:val="0"/>
            <w:vAlign w:val="center"/>
          </w:tcPr>
          <w:p>
            <w:pPr>
              <w:adjustRightInd w:val="0"/>
              <w:snapToGrid w:val="0"/>
              <w:jc w:val="center"/>
              <w:rPr>
                <w:rFonts w:hint="eastAsia" w:ascii="Times New Roman" w:hAnsi="Times New Roman" w:eastAsia="宋体" w:cs="Times New Roman"/>
                <w:sz w:val="24"/>
                <w:szCs w:val="24"/>
                <w:lang w:val="en-US" w:eastAsia="zh-CN"/>
              </w:rPr>
            </w:pPr>
            <w:r>
              <w:rPr>
                <w:rFonts w:hint="eastAsia"/>
                <w:sz w:val="24"/>
                <w:szCs w:val="24"/>
              </w:rPr>
              <w:t>河道综合治理长度</w:t>
            </w:r>
            <w:r>
              <w:rPr>
                <w:rFonts w:hint="eastAsia"/>
                <w:sz w:val="24"/>
                <w:szCs w:val="24"/>
                <w:lang w:val="en-US" w:eastAsia="zh-CN"/>
              </w:rPr>
              <w:t>0.452</w:t>
            </w:r>
            <w:r>
              <w:rPr>
                <w:sz w:val="24"/>
                <w:szCs w:val="24"/>
              </w:rPr>
              <w:t>km</w:t>
            </w:r>
            <w:r>
              <w:rPr>
                <w:rFonts w:hint="eastAsia"/>
                <w:sz w:val="24"/>
                <w:szCs w:val="24"/>
              </w:rPr>
              <w:t>，其中新建堤防</w:t>
            </w:r>
            <w:r>
              <w:rPr>
                <w:rFonts w:hint="eastAsia"/>
                <w:sz w:val="24"/>
                <w:szCs w:val="24"/>
                <w:lang w:val="en-US" w:eastAsia="zh-CN"/>
              </w:rPr>
              <w:t>0.906</w:t>
            </w:r>
            <w:r>
              <w:rPr>
                <w:rFonts w:hint="eastAsia"/>
                <w:sz w:val="24"/>
                <w:szCs w:val="24"/>
              </w:rPr>
              <w:t>km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157" w:type="dxa"/>
            <w:noWrap w:val="0"/>
            <w:tcMar>
              <w:top w:w="16" w:type="dxa"/>
              <w:left w:w="16" w:type="dxa"/>
              <w:right w:w="16" w:type="dxa"/>
            </w:tcMar>
            <w:vAlign w:val="center"/>
          </w:tcPr>
          <w:p>
            <w:pPr>
              <w:adjustRightInd w:val="0"/>
              <w:snapToGrid w:val="0"/>
              <w:jc w:val="center"/>
              <w:rPr>
                <w:rFonts w:ascii="宋体" w:hAnsi="宋体" w:cs="宋体"/>
                <w:b/>
                <w:bCs/>
                <w:sz w:val="24"/>
                <w:szCs w:val="24"/>
              </w:rPr>
            </w:pPr>
            <w:r>
              <w:rPr>
                <w:rFonts w:hint="eastAsia" w:ascii="宋体" w:hAnsi="宋体" w:cs="宋体"/>
                <w:b/>
                <w:bCs/>
                <w:sz w:val="24"/>
                <w:szCs w:val="24"/>
              </w:rPr>
              <w:t>建设性质</w:t>
            </w:r>
          </w:p>
        </w:tc>
        <w:tc>
          <w:tcPr>
            <w:tcW w:w="1499" w:type="dxa"/>
            <w:noWrap w:val="0"/>
            <w:vAlign w:val="center"/>
          </w:tcPr>
          <w:p>
            <w:pPr>
              <w:adjustRightInd w:val="0"/>
              <w:snapToGrid w:val="0"/>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52"/>
            </w:r>
            <w:r>
              <w:rPr>
                <w:rFonts w:hint="default" w:ascii="Times New Roman" w:hAnsi="Times New Roman" w:cs="Times New Roman"/>
                <w:sz w:val="24"/>
                <w:szCs w:val="24"/>
              </w:rPr>
              <w:t>新建（迁建）</w:t>
            </w:r>
          </w:p>
          <w:p>
            <w:pPr>
              <w:adjustRightInd w:val="0"/>
              <w:snapToGrid w:val="0"/>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A3"/>
            </w:r>
            <w:r>
              <w:rPr>
                <w:rFonts w:hint="default" w:ascii="Times New Roman" w:hAnsi="Times New Roman" w:cs="Times New Roman"/>
                <w:sz w:val="24"/>
                <w:szCs w:val="24"/>
              </w:rPr>
              <w:t>改建</w:t>
            </w:r>
          </w:p>
          <w:p>
            <w:pPr>
              <w:adjustRightInd w:val="0"/>
              <w:snapToGrid w:val="0"/>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A3"/>
            </w:r>
            <w:r>
              <w:rPr>
                <w:rFonts w:hint="default" w:ascii="Times New Roman" w:hAnsi="Times New Roman" w:cs="Times New Roman"/>
                <w:sz w:val="24"/>
                <w:szCs w:val="24"/>
              </w:rPr>
              <w:t>扩建</w:t>
            </w:r>
          </w:p>
          <w:p>
            <w:pPr>
              <w:adjustRightInd w:val="0"/>
              <w:snapToGrid w:val="0"/>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A3"/>
            </w:r>
            <w:r>
              <w:rPr>
                <w:rFonts w:hint="default" w:ascii="Times New Roman" w:hAnsi="Times New Roman" w:cs="Times New Roman"/>
                <w:sz w:val="24"/>
                <w:szCs w:val="24"/>
              </w:rPr>
              <w:t>技术改造</w:t>
            </w:r>
          </w:p>
        </w:tc>
        <w:tc>
          <w:tcPr>
            <w:tcW w:w="2045" w:type="dxa"/>
            <w:noWrap w:val="0"/>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建设项目</w:t>
            </w:r>
          </w:p>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申报情形</w:t>
            </w:r>
          </w:p>
        </w:tc>
        <w:tc>
          <w:tcPr>
            <w:tcW w:w="4137" w:type="dxa"/>
            <w:gridSpan w:val="2"/>
            <w:noWrap w:val="0"/>
            <w:vAlign w:val="center"/>
          </w:tcPr>
          <w:p>
            <w:pPr>
              <w:adjustRightInd w:val="0"/>
              <w:snapToGrid w:val="0"/>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52"/>
            </w:r>
            <w:r>
              <w:rPr>
                <w:rFonts w:hint="default" w:ascii="Times New Roman" w:hAnsi="Times New Roman" w:cs="Times New Roman"/>
                <w:sz w:val="24"/>
                <w:szCs w:val="24"/>
              </w:rPr>
              <w:t>首次申报项目</w:t>
            </w:r>
          </w:p>
          <w:p>
            <w:pPr>
              <w:adjustRightInd w:val="0"/>
              <w:snapToGrid w:val="0"/>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A3"/>
            </w:r>
            <w:r>
              <w:rPr>
                <w:rFonts w:hint="default" w:ascii="Times New Roman" w:hAnsi="Times New Roman" w:cs="Times New Roman"/>
                <w:sz w:val="24"/>
                <w:szCs w:val="24"/>
              </w:rPr>
              <w:t>不予批准后再次申报项目</w:t>
            </w:r>
          </w:p>
          <w:p>
            <w:pPr>
              <w:adjustRightInd w:val="0"/>
              <w:snapToGrid w:val="0"/>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A3"/>
            </w:r>
            <w:r>
              <w:rPr>
                <w:rFonts w:hint="default" w:ascii="Times New Roman" w:hAnsi="Times New Roman" w:cs="Times New Roman"/>
                <w:sz w:val="24"/>
                <w:szCs w:val="24"/>
              </w:rPr>
              <w:t>超五年重新审核项目</w:t>
            </w:r>
          </w:p>
          <w:p>
            <w:pPr>
              <w:adjustRightInd w:val="0"/>
              <w:snapToGrid w:val="0"/>
              <w:rPr>
                <w:rFonts w:hint="default" w:ascii="Times New Roman" w:hAnsi="Times New Roman" w:cs="Times New Roman"/>
                <w:sz w:val="24"/>
                <w:szCs w:val="24"/>
              </w:rPr>
            </w:pPr>
            <w:r>
              <w:rPr>
                <w:rFonts w:hint="default" w:ascii="Times New Roman" w:hAnsi="Times New Roman" w:cs="Times New Roman"/>
                <w:sz w:val="24"/>
                <w:szCs w:val="24"/>
              </w:rPr>
              <w:sym w:font="Wingdings 2" w:char="00A3"/>
            </w:r>
            <w:r>
              <w:rPr>
                <w:rFonts w:hint="default" w:ascii="Times New Roman" w:hAnsi="Times New Roman" w:cs="Times New Roman"/>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157" w:type="dxa"/>
            <w:noWrap w:val="0"/>
            <w:tcMar>
              <w:top w:w="16" w:type="dxa"/>
              <w:left w:w="16" w:type="dxa"/>
              <w:right w:w="16" w:type="dxa"/>
            </w:tcMar>
            <w:vAlign w:val="center"/>
          </w:tcPr>
          <w:p>
            <w:pPr>
              <w:adjustRightInd w:val="0"/>
              <w:snapToGrid w:val="0"/>
              <w:jc w:val="center"/>
              <w:rPr>
                <w:rFonts w:ascii="宋体" w:hAnsi="宋体" w:cs="宋体"/>
                <w:b/>
                <w:bCs/>
                <w:color w:val="auto"/>
                <w:sz w:val="24"/>
                <w:szCs w:val="24"/>
              </w:rPr>
            </w:pPr>
            <w:r>
              <w:rPr>
                <w:rFonts w:hint="eastAsia" w:ascii="宋体" w:hAnsi="宋体" w:cs="宋体"/>
                <w:b/>
                <w:bCs/>
                <w:color w:val="auto"/>
                <w:sz w:val="24"/>
                <w:szCs w:val="24"/>
              </w:rPr>
              <w:t>项目审批（核准</w:t>
            </w:r>
            <w:r>
              <w:rPr>
                <w:rFonts w:ascii="宋体" w:hAnsi="宋体" w:cs="宋体"/>
                <w:b/>
                <w:bCs/>
                <w:color w:val="auto"/>
                <w:sz w:val="24"/>
                <w:szCs w:val="24"/>
              </w:rPr>
              <w:t>/</w:t>
            </w:r>
          </w:p>
          <w:p>
            <w:pPr>
              <w:adjustRightInd w:val="0"/>
              <w:snapToGrid w:val="0"/>
              <w:jc w:val="center"/>
              <w:rPr>
                <w:rFonts w:ascii="宋体" w:hAnsi="宋体" w:cs="宋体"/>
                <w:b/>
                <w:bCs/>
                <w:color w:val="auto"/>
                <w:sz w:val="24"/>
                <w:szCs w:val="24"/>
              </w:rPr>
            </w:pPr>
            <w:r>
              <w:rPr>
                <w:rFonts w:hint="eastAsia" w:ascii="宋体" w:hAnsi="宋体" w:cs="宋体"/>
                <w:b/>
                <w:bCs/>
                <w:color w:val="auto"/>
                <w:sz w:val="24"/>
                <w:szCs w:val="24"/>
              </w:rPr>
              <w:t>备案）部门</w:t>
            </w:r>
          </w:p>
        </w:tc>
        <w:tc>
          <w:tcPr>
            <w:tcW w:w="1499" w:type="dxa"/>
            <w:noWrap w:val="0"/>
            <w:vAlign w:val="center"/>
          </w:tcPr>
          <w:p>
            <w:pPr>
              <w:adjustRightInd w:val="0"/>
              <w:snapToGrid w:val="0"/>
              <w:jc w:val="center"/>
              <w:rPr>
                <w:rFonts w:hint="default" w:ascii="Times New Roman" w:hAnsi="Times New Roman" w:cs="Times New Roman"/>
                <w:color w:val="auto"/>
                <w:sz w:val="24"/>
                <w:szCs w:val="24"/>
                <w:lang w:val="en-US"/>
              </w:rPr>
            </w:pPr>
            <w:r>
              <w:rPr>
                <w:rFonts w:hint="eastAsia" w:ascii="Times New Roman" w:hAnsi="Times New Roman" w:eastAsia="宋体" w:cs="Times New Roman"/>
                <w:color w:val="auto"/>
                <w:kern w:val="0"/>
                <w:sz w:val="24"/>
                <w:szCs w:val="24"/>
                <w:lang w:val="en-US" w:eastAsia="zh-CN" w:bidi="ar"/>
              </w:rPr>
              <w:t>广元市昭化区</w:t>
            </w:r>
            <w:r>
              <w:rPr>
                <w:rFonts w:hint="eastAsia" w:cs="Times New Roman"/>
                <w:color w:val="auto"/>
                <w:kern w:val="0"/>
                <w:sz w:val="24"/>
                <w:szCs w:val="24"/>
                <w:lang w:val="en-US" w:eastAsia="zh-CN" w:bidi="ar"/>
              </w:rPr>
              <w:t>水利局</w:t>
            </w:r>
          </w:p>
        </w:tc>
        <w:tc>
          <w:tcPr>
            <w:tcW w:w="2045"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备案）文号</w:t>
            </w:r>
          </w:p>
        </w:tc>
        <w:tc>
          <w:tcPr>
            <w:tcW w:w="4137" w:type="dxa"/>
            <w:gridSpan w:val="2"/>
            <w:noWrap w:val="0"/>
            <w:vAlign w:val="center"/>
          </w:tcPr>
          <w:p>
            <w:pPr>
              <w:adjustRightInd w:val="0"/>
              <w:snapToGrid w:val="0"/>
              <w:jc w:val="center"/>
              <w:rPr>
                <w:rFonts w:hint="default" w:ascii="Times New Roman" w:hAnsi="Times New Roman" w:eastAsia="宋体" w:cs="Times New Roman"/>
                <w:color w:val="auto"/>
                <w:kern w:val="0"/>
                <w:sz w:val="24"/>
                <w:szCs w:val="24"/>
                <w:lang w:val="en-US" w:eastAsia="zh-CN" w:bidi="ar"/>
              </w:rPr>
            </w:pPr>
            <w:r>
              <w:rPr>
                <w:rFonts w:hint="eastAsia" w:cs="Times New Roman"/>
                <w:color w:val="auto"/>
                <w:kern w:val="0"/>
                <w:sz w:val="24"/>
                <w:szCs w:val="24"/>
                <w:lang w:val="en-US" w:eastAsia="zh-CN" w:bidi="ar"/>
              </w:rPr>
              <w:t>昭水函[2023]154号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157" w:type="dxa"/>
            <w:noWrap w:val="0"/>
            <w:tcMar>
              <w:top w:w="16" w:type="dxa"/>
              <w:left w:w="16" w:type="dxa"/>
              <w:right w:w="16" w:type="dxa"/>
            </w:tcMar>
            <w:vAlign w:val="center"/>
          </w:tcPr>
          <w:p>
            <w:pPr>
              <w:adjustRightInd w:val="0"/>
              <w:snapToGrid w:val="0"/>
              <w:jc w:val="center"/>
              <w:rPr>
                <w:rFonts w:ascii="宋体" w:hAnsi="宋体" w:cs="宋体"/>
                <w:b/>
                <w:bCs/>
                <w:color w:val="auto"/>
                <w:sz w:val="24"/>
                <w:szCs w:val="24"/>
              </w:rPr>
            </w:pPr>
            <w:r>
              <w:rPr>
                <w:rFonts w:hint="eastAsia" w:ascii="宋体" w:hAnsi="宋体" w:cs="宋体"/>
                <w:b/>
                <w:bCs/>
                <w:color w:val="auto"/>
                <w:sz w:val="24"/>
                <w:szCs w:val="24"/>
              </w:rPr>
              <w:t>总投资（万元）</w:t>
            </w:r>
          </w:p>
        </w:tc>
        <w:tc>
          <w:tcPr>
            <w:tcW w:w="1499" w:type="dxa"/>
            <w:noWrap w:val="0"/>
            <w:vAlign w:val="center"/>
          </w:tcPr>
          <w:p>
            <w:pPr>
              <w:adjustRightInd w:val="0"/>
              <w:snapToGrid w:val="0"/>
              <w:jc w:val="center"/>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665.72</w:t>
            </w:r>
            <w:r>
              <w:rPr>
                <w:rFonts w:hint="default" w:ascii="Times New Roman" w:hAnsi="Times New Roman" w:eastAsia="宋体" w:cs="Times New Roman"/>
                <w:color w:val="auto"/>
                <w:sz w:val="24"/>
                <w:szCs w:val="24"/>
                <w:highlight w:val="none"/>
                <w:lang w:val="en-US" w:eastAsia="zh-CN"/>
              </w:rPr>
              <w:t>万元</w:t>
            </w:r>
          </w:p>
        </w:tc>
        <w:tc>
          <w:tcPr>
            <w:tcW w:w="2045"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环保投资（万元）</w:t>
            </w:r>
          </w:p>
        </w:tc>
        <w:tc>
          <w:tcPr>
            <w:tcW w:w="4137" w:type="dxa"/>
            <w:gridSpan w:val="2"/>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34.38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157" w:type="dxa"/>
            <w:noWrap w:val="0"/>
            <w:tcMar>
              <w:top w:w="16" w:type="dxa"/>
              <w:left w:w="16" w:type="dxa"/>
              <w:right w:w="16" w:type="dxa"/>
            </w:tcMar>
            <w:vAlign w:val="center"/>
          </w:tcPr>
          <w:p>
            <w:pPr>
              <w:adjustRightInd w:val="0"/>
              <w:snapToGrid w:val="0"/>
              <w:jc w:val="center"/>
              <w:rPr>
                <w:rFonts w:ascii="宋体" w:hAnsi="宋体" w:cs="宋体"/>
                <w:b/>
                <w:bCs/>
                <w:color w:val="auto"/>
                <w:sz w:val="24"/>
                <w:szCs w:val="24"/>
              </w:rPr>
            </w:pPr>
            <w:r>
              <w:rPr>
                <w:rFonts w:hint="eastAsia" w:ascii="宋体" w:hAnsi="宋体" w:cs="宋体"/>
                <w:b/>
                <w:bCs/>
                <w:color w:val="auto"/>
                <w:sz w:val="24"/>
                <w:szCs w:val="24"/>
              </w:rPr>
              <w:t>环保投资占比（</w:t>
            </w:r>
            <w:r>
              <w:rPr>
                <w:rFonts w:ascii="宋体" w:hAnsi="宋体" w:cs="宋体"/>
                <w:b/>
                <w:bCs/>
                <w:color w:val="auto"/>
                <w:sz w:val="24"/>
                <w:szCs w:val="24"/>
              </w:rPr>
              <w:t>%</w:t>
            </w:r>
            <w:r>
              <w:rPr>
                <w:rFonts w:hint="eastAsia" w:ascii="宋体" w:hAnsi="宋体" w:cs="宋体"/>
                <w:b/>
                <w:bCs/>
                <w:color w:val="auto"/>
                <w:sz w:val="24"/>
                <w:szCs w:val="24"/>
              </w:rPr>
              <w:t>）</w:t>
            </w:r>
          </w:p>
        </w:tc>
        <w:tc>
          <w:tcPr>
            <w:tcW w:w="1499"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5.16</w:t>
            </w:r>
          </w:p>
        </w:tc>
        <w:tc>
          <w:tcPr>
            <w:tcW w:w="2045"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施工工期</w:t>
            </w:r>
          </w:p>
        </w:tc>
        <w:tc>
          <w:tcPr>
            <w:tcW w:w="4137" w:type="dxa"/>
            <w:gridSpan w:val="2"/>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highlight w:val="none"/>
                <w:lang w:val="en-US" w:eastAsia="zh-CN"/>
              </w:rPr>
              <w:t>6个月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157" w:type="dxa"/>
            <w:noWrap w:val="0"/>
            <w:tcMar>
              <w:top w:w="16" w:type="dxa"/>
              <w:left w:w="16" w:type="dxa"/>
              <w:right w:w="16" w:type="dxa"/>
            </w:tcMar>
            <w:vAlign w:val="center"/>
          </w:tcPr>
          <w:p>
            <w:pPr>
              <w:adjustRightInd w:val="0"/>
              <w:snapToGrid w:val="0"/>
              <w:jc w:val="center"/>
              <w:rPr>
                <w:rFonts w:ascii="宋体" w:hAnsi="宋体" w:cs="宋体"/>
                <w:b/>
                <w:bCs/>
                <w:sz w:val="24"/>
                <w:szCs w:val="24"/>
              </w:rPr>
            </w:pPr>
            <w:r>
              <w:rPr>
                <w:rFonts w:hint="eastAsia" w:ascii="宋体" w:hAnsi="宋体" w:cs="宋体"/>
                <w:b/>
                <w:bCs/>
                <w:sz w:val="24"/>
                <w:szCs w:val="24"/>
              </w:rPr>
              <w:t>是否开工建设</w:t>
            </w:r>
          </w:p>
        </w:tc>
        <w:tc>
          <w:tcPr>
            <w:tcW w:w="7681" w:type="dxa"/>
            <w:gridSpan w:val="4"/>
            <w:noWrap w:val="0"/>
            <w:vAlign w:val="center"/>
          </w:tcPr>
          <w:p>
            <w:pPr>
              <w:adjustRightInd w:val="0"/>
              <w:snapToGrid w:val="0"/>
              <w:ind w:firstLine="105"/>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52"/>
            </w:r>
            <w:r>
              <w:rPr>
                <w:rFonts w:hint="default" w:ascii="Times New Roman" w:hAnsi="Times New Roman" w:cs="Times New Roman"/>
                <w:sz w:val="24"/>
                <w:szCs w:val="24"/>
              </w:rPr>
              <w:t>否</w:t>
            </w:r>
          </w:p>
          <w:p>
            <w:pPr>
              <w:adjustRightInd w:val="0"/>
              <w:snapToGrid w:val="0"/>
              <w:ind w:firstLine="92"/>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A3"/>
            </w:r>
            <w:r>
              <w:rPr>
                <w:rFonts w:hint="default" w:ascii="Times New Roman" w:hAnsi="Times New Roman" w:cs="Times New Roman"/>
                <w:sz w:val="24"/>
                <w:szCs w:val="24"/>
              </w:rPr>
              <w:t>是：</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u w:val="single"/>
                <w:lang w:val="en-US" w:eastAsia="zh-CN"/>
              </w:rPr>
              <w:t>/</w:t>
            </w:r>
            <w:r>
              <w:rPr>
                <w:rFonts w:hint="default" w:ascii="Times New Roman" w:hAnsi="Times New Roman" w:cs="Times New Roman"/>
                <w:sz w:val="24"/>
                <w:szCs w:val="24"/>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09" w:hRule="atLeast"/>
        </w:trPr>
        <w:tc>
          <w:tcPr>
            <w:tcW w:w="1157" w:type="dxa"/>
            <w:noWrap w:val="0"/>
            <w:tcMar>
              <w:top w:w="16" w:type="dxa"/>
              <w:left w:w="16" w:type="dxa"/>
              <w:right w:w="16" w:type="dxa"/>
            </w:tcMar>
            <w:vAlign w:val="center"/>
          </w:tcPr>
          <w:p>
            <w:pPr>
              <w:autoSpaceDE w:val="0"/>
              <w:autoSpaceDN w:val="0"/>
              <w:adjustRightInd w:val="0"/>
              <w:snapToGrid w:val="0"/>
              <w:jc w:val="center"/>
              <w:rPr>
                <w:rFonts w:ascii="宋体" w:hAnsi="宋体" w:cs="宋体"/>
                <w:b/>
                <w:bCs/>
                <w:color w:val="auto"/>
                <w:kern w:val="0"/>
                <w:sz w:val="24"/>
                <w:szCs w:val="24"/>
              </w:rPr>
            </w:pPr>
            <w:r>
              <w:rPr>
                <w:rFonts w:hint="eastAsia" w:ascii="宋体" w:hAnsi="宋体" w:cs="宋体"/>
                <w:b/>
                <w:bCs/>
                <w:color w:val="auto"/>
                <w:kern w:val="0"/>
                <w:sz w:val="24"/>
                <w:szCs w:val="24"/>
              </w:rPr>
              <w:t>专项评价设置情况</w:t>
            </w:r>
          </w:p>
        </w:tc>
        <w:tc>
          <w:tcPr>
            <w:tcW w:w="7681" w:type="dxa"/>
            <w:gridSpan w:val="4"/>
            <w:noWrap w:val="0"/>
            <w:tcMar>
              <w:top w:w="16" w:type="dxa"/>
              <w:left w:w="16" w:type="dxa"/>
              <w:right w:w="16" w:type="dxa"/>
            </w:tcMar>
            <w:vAlign w:val="top"/>
          </w:tcPr>
          <w:p>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本项目属于河道堤防及清淤工程，不涉及生态敏感区。根据《建设项目环境影响报告表编制技术指南（生态影响类）》（试行），专项评价设置原则如下表所示：</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0"/>
              <w:gridCol w:w="3307"/>
              <w:gridCol w:w="1766"/>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0"/>
                  <w:vAlign w:val="center"/>
                </w:tcPr>
                <w:p>
                  <w:pPr>
                    <w:pStyle w:val="28"/>
                    <w:ind w:left="0" w:leftChars="0" w:firstLine="0" w:firstLineChars="0"/>
                    <w:jc w:val="center"/>
                    <w:rPr>
                      <w:rFonts w:hint="default"/>
                      <w:b/>
                      <w:bCs/>
                      <w:color w:val="auto"/>
                      <w:sz w:val="21"/>
                      <w:szCs w:val="21"/>
                      <w:vertAlign w:val="baseline"/>
                      <w:lang w:val="en-US" w:eastAsia="zh-CN"/>
                    </w:rPr>
                  </w:pPr>
                  <w:r>
                    <w:rPr>
                      <w:rFonts w:hint="default"/>
                      <w:b/>
                      <w:bCs/>
                      <w:color w:val="auto"/>
                      <w:sz w:val="21"/>
                      <w:szCs w:val="21"/>
                      <w:vertAlign w:val="baseline"/>
                      <w:lang w:val="en-US" w:eastAsia="zh-CN"/>
                    </w:rPr>
                    <w:t>专项评价</w:t>
                  </w:r>
                </w:p>
                <w:p>
                  <w:pPr>
                    <w:pStyle w:val="28"/>
                    <w:ind w:left="0" w:leftChars="0" w:firstLine="0" w:firstLineChars="0"/>
                    <w:jc w:val="center"/>
                    <w:rPr>
                      <w:rFonts w:hint="default"/>
                      <w:b/>
                      <w:bCs/>
                      <w:color w:val="auto"/>
                      <w:sz w:val="21"/>
                      <w:szCs w:val="21"/>
                      <w:vertAlign w:val="baseline"/>
                      <w:lang w:val="en-US" w:eastAsia="zh-CN"/>
                    </w:rPr>
                  </w:pPr>
                  <w:r>
                    <w:rPr>
                      <w:rFonts w:hint="default"/>
                      <w:b/>
                      <w:bCs/>
                      <w:color w:val="auto"/>
                      <w:sz w:val="21"/>
                      <w:szCs w:val="21"/>
                      <w:vertAlign w:val="baseline"/>
                      <w:lang w:val="en-US" w:eastAsia="zh-CN"/>
                    </w:rPr>
                    <w:t>的类别</w:t>
                  </w:r>
                </w:p>
              </w:tc>
              <w:tc>
                <w:tcPr>
                  <w:tcW w:w="3416" w:type="dxa"/>
                  <w:noWrap w:val="0"/>
                  <w:vAlign w:val="center"/>
                </w:tcPr>
                <w:p>
                  <w:pPr>
                    <w:pStyle w:val="28"/>
                    <w:jc w:val="center"/>
                    <w:rPr>
                      <w:rFonts w:hint="default"/>
                      <w:b/>
                      <w:bCs/>
                      <w:color w:val="auto"/>
                      <w:sz w:val="21"/>
                      <w:szCs w:val="21"/>
                      <w:vertAlign w:val="baseline"/>
                      <w:lang w:val="en-US" w:eastAsia="zh-CN"/>
                    </w:rPr>
                  </w:pPr>
                  <w:r>
                    <w:rPr>
                      <w:rFonts w:hint="default"/>
                      <w:b/>
                      <w:bCs/>
                      <w:color w:val="auto"/>
                      <w:sz w:val="21"/>
                      <w:szCs w:val="21"/>
                      <w:vertAlign w:val="baseline"/>
                      <w:lang w:val="en-US" w:eastAsia="zh-CN"/>
                    </w:rPr>
                    <w:t>设置原则</w:t>
                  </w:r>
                </w:p>
              </w:tc>
              <w:tc>
                <w:tcPr>
                  <w:tcW w:w="1811" w:type="dxa"/>
                  <w:noWrap w:val="0"/>
                  <w:vAlign w:val="center"/>
                </w:tcPr>
                <w:p>
                  <w:pPr>
                    <w:pStyle w:val="28"/>
                    <w:jc w:val="center"/>
                    <w:rPr>
                      <w:rFonts w:hint="default"/>
                      <w:b/>
                      <w:bCs/>
                      <w:color w:val="auto"/>
                      <w:sz w:val="21"/>
                      <w:szCs w:val="21"/>
                      <w:vertAlign w:val="baseline"/>
                      <w:lang w:val="en-US" w:eastAsia="zh-CN"/>
                    </w:rPr>
                  </w:pPr>
                  <w:r>
                    <w:rPr>
                      <w:rFonts w:hint="default"/>
                      <w:b/>
                      <w:bCs/>
                      <w:color w:val="auto"/>
                      <w:sz w:val="21"/>
                      <w:szCs w:val="21"/>
                      <w:vertAlign w:val="baseline"/>
                      <w:lang w:val="en-US" w:eastAsia="zh-CN"/>
                    </w:rPr>
                    <w:t>本项目情况</w:t>
                  </w:r>
                </w:p>
                <w:p>
                  <w:pPr>
                    <w:pStyle w:val="28"/>
                    <w:jc w:val="center"/>
                    <w:rPr>
                      <w:rFonts w:hint="default"/>
                      <w:b/>
                      <w:bCs/>
                      <w:color w:val="auto"/>
                      <w:sz w:val="21"/>
                      <w:szCs w:val="21"/>
                      <w:vertAlign w:val="baseline"/>
                      <w:lang w:val="en-US" w:eastAsia="zh-CN"/>
                    </w:rPr>
                  </w:pPr>
                </w:p>
              </w:tc>
              <w:tc>
                <w:tcPr>
                  <w:tcW w:w="1383" w:type="dxa"/>
                  <w:noWrap w:val="0"/>
                  <w:vAlign w:val="center"/>
                </w:tcPr>
                <w:p>
                  <w:pPr>
                    <w:pStyle w:val="28"/>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是</w:t>
                  </w:r>
                  <w:r>
                    <w:rPr>
                      <w:rFonts w:hint="default"/>
                      <w:b/>
                      <w:bCs/>
                      <w:color w:val="auto"/>
                      <w:sz w:val="21"/>
                      <w:szCs w:val="21"/>
                      <w:vertAlign w:val="baseline"/>
                      <w:lang w:val="en-US" w:eastAsia="zh-CN"/>
                    </w:rPr>
                    <w:t>否设置</w:t>
                  </w:r>
                </w:p>
                <w:p>
                  <w:pPr>
                    <w:pStyle w:val="28"/>
                    <w:jc w:val="center"/>
                    <w:rPr>
                      <w:rFonts w:hint="default"/>
                      <w:b/>
                      <w:bCs/>
                      <w:color w:val="auto"/>
                      <w:sz w:val="21"/>
                      <w:szCs w:val="21"/>
                      <w:vertAlign w:val="baseline"/>
                      <w:lang w:val="en-US" w:eastAsia="zh-CN"/>
                    </w:rPr>
                  </w:pPr>
                  <w:r>
                    <w:rPr>
                      <w:rFonts w:hint="default"/>
                      <w:b/>
                      <w:bCs/>
                      <w:color w:val="auto"/>
                      <w:sz w:val="21"/>
                      <w:szCs w:val="21"/>
                      <w:vertAlign w:val="baseline"/>
                      <w:lang w:val="en-US" w:eastAsia="zh-CN"/>
                    </w:rPr>
                    <w:t>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0"/>
                  <w:vAlign w:val="center"/>
                </w:tcPr>
                <w:p>
                  <w:pPr>
                    <w:pStyle w:val="28"/>
                    <w:jc w:val="center"/>
                    <w:rPr>
                      <w:rFonts w:hint="default"/>
                      <w:color w:val="auto"/>
                      <w:sz w:val="21"/>
                      <w:szCs w:val="21"/>
                      <w:vertAlign w:val="baseline"/>
                      <w:lang w:val="en-US" w:eastAsia="zh-CN"/>
                    </w:rPr>
                  </w:pPr>
                  <w:r>
                    <w:rPr>
                      <w:rFonts w:hint="eastAsia"/>
                      <w:color w:val="auto"/>
                      <w:sz w:val="21"/>
                      <w:szCs w:val="21"/>
                      <w:vertAlign w:val="baseline"/>
                      <w:lang w:val="en-US" w:eastAsia="zh-CN"/>
                    </w:rPr>
                    <w:t>地表水</w:t>
                  </w:r>
                </w:p>
              </w:tc>
              <w:tc>
                <w:tcPr>
                  <w:tcW w:w="3416" w:type="dxa"/>
                  <w:noWrap w:val="0"/>
                  <w:vAlign w:val="center"/>
                </w:tcPr>
                <w:p>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 xml:space="preserve">水力发电：引水式发电、涉及调峰发电的项目； </w:t>
                  </w:r>
                </w:p>
                <w:p>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人工湖、人工湿地：全部；</w:t>
                  </w:r>
                </w:p>
                <w:p>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 xml:space="preserve">水库：全部； </w:t>
                  </w:r>
                </w:p>
                <w:p>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 xml:space="preserve">引水工程：全部（配套的管线工程等除外）； </w:t>
                  </w:r>
                </w:p>
                <w:p>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 xml:space="preserve">防洪除涝工程：包含水库的项目； </w:t>
                  </w:r>
                </w:p>
                <w:p>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河湖整治：涉及清淤且底泥存在重金属污染的项目。</w:t>
                  </w:r>
                </w:p>
              </w:tc>
              <w:tc>
                <w:tcPr>
                  <w:tcW w:w="1811" w:type="dxa"/>
                  <w:noWrap w:val="0"/>
                  <w:vAlign w:val="center"/>
                </w:tcPr>
                <w:p>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本项目为河道</w:t>
                  </w:r>
                  <w:r>
                    <w:rPr>
                      <w:rFonts w:hint="eastAsia" w:cs="Times New Roman"/>
                      <w:color w:val="auto"/>
                      <w:sz w:val="21"/>
                      <w:szCs w:val="21"/>
                      <w:vertAlign w:val="baseline"/>
                      <w:lang w:val="en-US" w:eastAsia="zh-CN"/>
                    </w:rPr>
                    <w:t>堤防及清淤工程</w:t>
                  </w:r>
                  <w:r>
                    <w:rPr>
                      <w:rFonts w:hint="default" w:ascii="Times New Roman" w:hAnsi="Times New Roman" w:eastAsia="宋体" w:cs="Times New Roman"/>
                      <w:color w:val="auto"/>
                      <w:sz w:val="21"/>
                      <w:szCs w:val="21"/>
                      <w:vertAlign w:val="baseline"/>
                      <w:lang w:val="en-US" w:eastAsia="zh-CN"/>
                    </w:rPr>
                    <w:t>，涉及河道清淤</w:t>
                  </w:r>
                  <w:r>
                    <w:rPr>
                      <w:rFonts w:hint="eastAsia" w:ascii="Times New Roman" w:hAnsi="Times New Roman" w:eastAsia="宋体" w:cs="Times New Roman"/>
                      <w:color w:val="auto"/>
                      <w:sz w:val="21"/>
                      <w:szCs w:val="21"/>
                      <w:vertAlign w:val="baseline"/>
                      <w:lang w:val="en-US" w:eastAsia="zh-CN"/>
                    </w:rPr>
                    <w:t>但底泥中不存在重金属污染</w:t>
                  </w:r>
                  <w:r>
                    <w:rPr>
                      <w:rFonts w:hint="default" w:ascii="Times New Roman" w:hAnsi="Times New Roman" w:eastAsia="宋体" w:cs="Times New Roman"/>
                      <w:color w:val="auto"/>
                      <w:sz w:val="21"/>
                      <w:szCs w:val="21"/>
                      <w:vertAlign w:val="baseline"/>
                      <w:lang w:val="en-US" w:eastAsia="zh-CN"/>
                    </w:rPr>
                    <w:t>。</w:t>
                  </w:r>
                </w:p>
                <w:p>
                  <w:pPr>
                    <w:pStyle w:val="28"/>
                    <w:jc w:val="center"/>
                    <w:rPr>
                      <w:rFonts w:hint="default"/>
                      <w:color w:val="auto"/>
                      <w:sz w:val="21"/>
                      <w:szCs w:val="21"/>
                      <w:vertAlign w:val="baseline"/>
                      <w:lang w:val="en-US" w:eastAsia="zh-CN"/>
                    </w:rPr>
                  </w:pPr>
                </w:p>
              </w:tc>
              <w:tc>
                <w:tcPr>
                  <w:tcW w:w="1383" w:type="dxa"/>
                  <w:noWrap w:val="0"/>
                  <w:vAlign w:val="center"/>
                </w:tcPr>
                <w:p>
                  <w:pPr>
                    <w:pStyle w:val="28"/>
                    <w:jc w:val="center"/>
                    <w:rPr>
                      <w:rFonts w:hint="default"/>
                      <w:color w:val="auto"/>
                      <w:sz w:val="21"/>
                      <w:szCs w:val="21"/>
                      <w:vertAlign w:val="baseline"/>
                      <w:lang w:val="en-US" w:eastAsia="zh-CN"/>
                    </w:rPr>
                  </w:pPr>
                  <w:r>
                    <w:rPr>
                      <w:rFonts w:hint="eastAsia"/>
                      <w:color w:val="auto"/>
                      <w:sz w:val="21"/>
                      <w:szCs w:val="21"/>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0"/>
                  <w:vAlign w:val="center"/>
                </w:tcPr>
                <w:p>
                  <w:pPr>
                    <w:pStyle w:val="28"/>
                    <w:jc w:val="center"/>
                    <w:rPr>
                      <w:rFonts w:hint="default"/>
                      <w:color w:val="auto"/>
                      <w:sz w:val="21"/>
                      <w:szCs w:val="21"/>
                      <w:vertAlign w:val="baseline"/>
                      <w:lang w:val="en-US" w:eastAsia="zh-CN"/>
                    </w:rPr>
                  </w:pPr>
                  <w:r>
                    <w:rPr>
                      <w:rFonts w:hint="eastAsia"/>
                      <w:color w:val="auto"/>
                      <w:sz w:val="21"/>
                      <w:szCs w:val="21"/>
                      <w:vertAlign w:val="baseline"/>
                      <w:lang w:val="en-US" w:eastAsia="zh-CN"/>
                    </w:rPr>
                    <w:t>地下水</w:t>
                  </w:r>
                </w:p>
              </w:tc>
              <w:tc>
                <w:tcPr>
                  <w:tcW w:w="3416" w:type="dxa"/>
                  <w:noWrap w:val="0"/>
                  <w:vAlign w:val="center"/>
                </w:tcPr>
                <w:p>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陆地石油和天然气开采：全部； </w:t>
                  </w:r>
                </w:p>
                <w:p>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地下水（含矿泉水）开采：全部； </w:t>
                  </w:r>
                </w:p>
                <w:p>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水利、水电、交通等：含穿越可溶岩地层隧道的项目。</w:t>
                  </w:r>
                </w:p>
              </w:tc>
              <w:tc>
                <w:tcPr>
                  <w:tcW w:w="1811" w:type="dxa"/>
                  <w:noWrap w:val="0"/>
                  <w:vAlign w:val="center"/>
                </w:tcPr>
                <w:p>
                  <w:pPr>
                    <w:pStyle w:val="28"/>
                    <w:jc w:val="center"/>
                    <w:rPr>
                      <w:rFonts w:hint="default"/>
                      <w:color w:val="auto"/>
                      <w:sz w:val="21"/>
                      <w:szCs w:val="21"/>
                      <w:vertAlign w:val="baseline"/>
                      <w:lang w:val="en-US" w:eastAsia="zh-CN"/>
                    </w:rPr>
                  </w:pPr>
                  <w:r>
                    <w:rPr>
                      <w:rFonts w:hint="eastAsia"/>
                      <w:color w:val="auto"/>
                      <w:sz w:val="21"/>
                      <w:szCs w:val="21"/>
                      <w:vertAlign w:val="baseline"/>
                      <w:lang w:val="en-US" w:eastAsia="zh-CN"/>
                    </w:rPr>
                    <w:t>不涉及</w:t>
                  </w:r>
                </w:p>
              </w:tc>
              <w:tc>
                <w:tcPr>
                  <w:tcW w:w="1383" w:type="dxa"/>
                  <w:noWrap w:val="0"/>
                  <w:vAlign w:val="center"/>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0"/>
                  <w:vAlign w:val="center"/>
                </w:tcPr>
                <w:p>
                  <w:pPr>
                    <w:pStyle w:val="28"/>
                    <w:jc w:val="center"/>
                    <w:rPr>
                      <w:rFonts w:hint="default"/>
                      <w:color w:val="auto"/>
                      <w:sz w:val="21"/>
                      <w:szCs w:val="21"/>
                      <w:vertAlign w:val="baseline"/>
                      <w:lang w:val="en-US" w:eastAsia="zh-CN"/>
                    </w:rPr>
                  </w:pPr>
                  <w:r>
                    <w:rPr>
                      <w:rFonts w:hint="eastAsia"/>
                      <w:color w:val="auto"/>
                      <w:sz w:val="21"/>
                      <w:szCs w:val="21"/>
                      <w:vertAlign w:val="baseline"/>
                      <w:lang w:val="en-US" w:eastAsia="zh-CN"/>
                    </w:rPr>
                    <w:t>生态</w:t>
                  </w:r>
                </w:p>
              </w:tc>
              <w:tc>
                <w:tcPr>
                  <w:tcW w:w="3416" w:type="dxa"/>
                  <w:noWrap w:val="0"/>
                  <w:vAlign w:val="center"/>
                </w:tcPr>
                <w:p>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涉及环境敏感区（不包括饮用水水源保护区，以居住、</w:t>
                  </w:r>
                </w:p>
                <w:p>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医疗卫生、文化教育、科研、</w:t>
                  </w:r>
                </w:p>
                <w:p>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行政办公为主要功能的区域，以及文物保护单位）的项目。</w:t>
                  </w:r>
                </w:p>
              </w:tc>
              <w:tc>
                <w:tcPr>
                  <w:tcW w:w="1811" w:type="dxa"/>
                  <w:noWrap w:val="0"/>
                  <w:vAlign w:val="center"/>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不涉及</w:t>
                  </w:r>
                </w:p>
              </w:tc>
              <w:tc>
                <w:tcPr>
                  <w:tcW w:w="1383" w:type="dxa"/>
                  <w:noWrap w:val="0"/>
                  <w:vAlign w:val="center"/>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0"/>
                  <w:vAlign w:val="center"/>
                </w:tcPr>
                <w:p>
                  <w:pPr>
                    <w:pStyle w:val="28"/>
                    <w:jc w:val="center"/>
                    <w:rPr>
                      <w:rFonts w:hint="default"/>
                      <w:color w:val="auto"/>
                      <w:sz w:val="21"/>
                      <w:szCs w:val="21"/>
                      <w:vertAlign w:val="baseline"/>
                      <w:lang w:val="en-US" w:eastAsia="zh-CN"/>
                    </w:rPr>
                  </w:pPr>
                  <w:r>
                    <w:rPr>
                      <w:rFonts w:hint="eastAsia"/>
                      <w:color w:val="auto"/>
                      <w:sz w:val="21"/>
                      <w:szCs w:val="21"/>
                      <w:vertAlign w:val="baseline"/>
                      <w:lang w:val="en-US" w:eastAsia="zh-CN"/>
                    </w:rPr>
                    <w:t>大气</w:t>
                  </w:r>
                </w:p>
              </w:tc>
              <w:tc>
                <w:tcPr>
                  <w:tcW w:w="3416" w:type="dxa"/>
                  <w:noWrap w:val="0"/>
                  <w:vAlign w:val="center"/>
                </w:tcPr>
                <w:p>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油气、液体化工码头：全部；</w:t>
                  </w:r>
                </w:p>
                <w:p>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干散货（含煤炭、矿石）、件杂、多用途、通用码头：</w:t>
                  </w:r>
                </w:p>
                <w:p>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涉及粉尘、挥发性有机物排放的项目。</w:t>
                  </w:r>
                </w:p>
              </w:tc>
              <w:tc>
                <w:tcPr>
                  <w:tcW w:w="1811" w:type="dxa"/>
                  <w:noWrap w:val="0"/>
                  <w:vAlign w:val="center"/>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不涉及</w:t>
                  </w:r>
                </w:p>
              </w:tc>
              <w:tc>
                <w:tcPr>
                  <w:tcW w:w="1383" w:type="dxa"/>
                  <w:noWrap w:val="0"/>
                  <w:vAlign w:val="center"/>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0"/>
                  <w:vAlign w:val="center"/>
                </w:tcPr>
                <w:p>
                  <w:pPr>
                    <w:pStyle w:val="28"/>
                    <w:jc w:val="center"/>
                    <w:rPr>
                      <w:rFonts w:hint="default"/>
                      <w:color w:val="auto"/>
                      <w:sz w:val="21"/>
                      <w:szCs w:val="21"/>
                      <w:vertAlign w:val="baseline"/>
                      <w:lang w:val="en-US" w:eastAsia="zh-CN"/>
                    </w:rPr>
                  </w:pPr>
                  <w:r>
                    <w:rPr>
                      <w:rFonts w:hint="eastAsia"/>
                      <w:color w:val="auto"/>
                      <w:sz w:val="21"/>
                      <w:szCs w:val="21"/>
                      <w:vertAlign w:val="baseline"/>
                      <w:lang w:val="en-US" w:eastAsia="zh-CN"/>
                    </w:rPr>
                    <w:t>噪声</w:t>
                  </w:r>
                </w:p>
              </w:tc>
              <w:tc>
                <w:tcPr>
                  <w:tcW w:w="3416" w:type="dxa"/>
                  <w:noWrap w:val="0"/>
                  <w:vAlign w:val="center"/>
                </w:tcPr>
                <w:p>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公路、铁路、机场等交通运输业涉及环境敏感区（以居</w:t>
                  </w:r>
                </w:p>
                <w:p>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住、医疗卫生、文化教育、</w:t>
                  </w:r>
                </w:p>
                <w:p>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 xml:space="preserve">科研、行政办公为主要功能的区域）的项目； </w:t>
                  </w:r>
                </w:p>
                <w:p>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城市道路（不含维护，不含支路、人行天桥、人行地道）：全部。</w:t>
                  </w:r>
                </w:p>
              </w:tc>
              <w:tc>
                <w:tcPr>
                  <w:tcW w:w="1811" w:type="dxa"/>
                  <w:noWrap w:val="0"/>
                  <w:vAlign w:val="center"/>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不涉及</w:t>
                  </w:r>
                </w:p>
              </w:tc>
              <w:tc>
                <w:tcPr>
                  <w:tcW w:w="1383" w:type="dxa"/>
                  <w:noWrap w:val="0"/>
                  <w:vAlign w:val="center"/>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0"/>
                  <w:vAlign w:val="center"/>
                </w:tcPr>
                <w:p>
                  <w:pPr>
                    <w:pStyle w:val="28"/>
                    <w:jc w:val="center"/>
                    <w:rPr>
                      <w:rFonts w:hint="default"/>
                      <w:color w:val="auto"/>
                      <w:sz w:val="21"/>
                      <w:szCs w:val="21"/>
                      <w:vertAlign w:val="baseline"/>
                      <w:lang w:val="en-US" w:eastAsia="zh-CN"/>
                    </w:rPr>
                  </w:pPr>
                  <w:r>
                    <w:rPr>
                      <w:rFonts w:hint="eastAsia"/>
                      <w:color w:val="auto"/>
                      <w:sz w:val="21"/>
                      <w:szCs w:val="21"/>
                      <w:vertAlign w:val="baseline"/>
                      <w:lang w:val="en-US" w:eastAsia="zh-CN"/>
                    </w:rPr>
                    <w:t>环境风险</w:t>
                  </w:r>
                </w:p>
              </w:tc>
              <w:tc>
                <w:tcPr>
                  <w:tcW w:w="3416" w:type="dxa"/>
                  <w:noWrap w:val="0"/>
                  <w:vAlign w:val="center"/>
                </w:tcPr>
                <w:p>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石油和天然气开采：全部；</w:t>
                  </w:r>
                </w:p>
                <w:p>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油气、液体化工码头：全部；</w:t>
                  </w:r>
                </w:p>
                <w:p>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原油、成品油、天然气管线（不含城镇天然气管线、企</w:t>
                  </w:r>
                </w:p>
                <w:p>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业场区内管线），危险化学品输送管线（不含企业场区</w:t>
                  </w:r>
                </w:p>
                <w:p>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内管线）：全部。</w:t>
                  </w:r>
                </w:p>
              </w:tc>
              <w:tc>
                <w:tcPr>
                  <w:tcW w:w="1811" w:type="dxa"/>
                  <w:noWrap w:val="0"/>
                  <w:vAlign w:val="center"/>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不涉及</w:t>
                  </w:r>
                </w:p>
              </w:tc>
              <w:tc>
                <w:tcPr>
                  <w:tcW w:w="1383" w:type="dxa"/>
                  <w:noWrap w:val="0"/>
                  <w:vAlign w:val="center"/>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否</w:t>
                  </w:r>
                </w:p>
              </w:tc>
            </w:tr>
          </w:tbl>
          <w:p>
            <w:pPr>
              <w:keepNext w:val="0"/>
              <w:keepLines w:val="0"/>
              <w:widowControl/>
              <w:suppressLineNumbers w:val="0"/>
              <w:ind w:firstLine="480" w:firstLineChars="200"/>
              <w:jc w:val="left"/>
              <w:rPr>
                <w:rFonts w:hint="default"/>
                <w:color w:val="auto"/>
                <w:sz w:val="24"/>
                <w:szCs w:val="24"/>
                <w:lang w:val="en-US" w:eastAsia="zh-CN"/>
              </w:rPr>
            </w:pPr>
            <w:r>
              <w:rPr>
                <w:rFonts w:hint="eastAsia" w:ascii="宋体" w:hAnsi="宋体" w:eastAsia="宋体" w:cs="宋体"/>
                <w:color w:val="000000"/>
                <w:kern w:val="0"/>
                <w:sz w:val="24"/>
                <w:szCs w:val="24"/>
                <w:lang w:val="en-US" w:eastAsia="zh-CN" w:bidi="ar"/>
              </w:rPr>
              <w:t>由上表可知，本项目无需设置专项评价。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157" w:type="dxa"/>
            <w:noWrap w:val="0"/>
            <w:tcMar>
              <w:top w:w="16" w:type="dxa"/>
              <w:left w:w="16" w:type="dxa"/>
              <w:right w:w="16" w:type="dxa"/>
            </w:tcMar>
            <w:vAlign w:val="center"/>
          </w:tcPr>
          <w:p>
            <w:pPr>
              <w:autoSpaceDE w:val="0"/>
              <w:autoSpaceDN w:val="0"/>
              <w:adjustRightInd w:val="0"/>
              <w:snapToGrid w:val="0"/>
              <w:jc w:val="center"/>
              <w:rPr>
                <w:rFonts w:ascii="宋体" w:hAnsi="宋体" w:cs="宋体"/>
                <w:b/>
                <w:bCs/>
                <w:kern w:val="0"/>
                <w:sz w:val="24"/>
                <w:szCs w:val="24"/>
              </w:rPr>
            </w:pPr>
            <w:r>
              <w:rPr>
                <w:rFonts w:hint="eastAsia" w:ascii="宋体" w:hAnsi="宋体" w:cs="宋体"/>
                <w:b/>
                <w:bCs/>
                <w:sz w:val="24"/>
                <w:szCs w:val="24"/>
              </w:rPr>
              <w:t>规划情况</w:t>
            </w:r>
          </w:p>
        </w:tc>
        <w:tc>
          <w:tcPr>
            <w:tcW w:w="7681" w:type="dxa"/>
            <w:gridSpan w:val="4"/>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157" w:type="dxa"/>
            <w:noWrap w:val="0"/>
            <w:tcMar>
              <w:top w:w="16" w:type="dxa"/>
              <w:left w:w="16" w:type="dxa"/>
              <w:right w:w="16" w:type="dxa"/>
            </w:tcMar>
            <w:vAlign w:val="center"/>
          </w:tcPr>
          <w:p>
            <w:pPr>
              <w:autoSpaceDE w:val="0"/>
              <w:autoSpaceDN w:val="0"/>
              <w:adjustRightInd w:val="0"/>
              <w:snapToGrid w:val="0"/>
              <w:jc w:val="center"/>
              <w:rPr>
                <w:rFonts w:ascii="宋体" w:hAnsi="宋体" w:cs="宋体"/>
                <w:b/>
                <w:bCs/>
                <w:sz w:val="24"/>
                <w:szCs w:val="24"/>
              </w:rPr>
            </w:pPr>
            <w:r>
              <w:rPr>
                <w:rFonts w:hint="eastAsia" w:ascii="宋体" w:hAnsi="宋体" w:cs="宋体"/>
                <w:b/>
                <w:bCs/>
                <w:sz w:val="24"/>
                <w:szCs w:val="24"/>
              </w:rPr>
              <w:t>规划环境影响</w:t>
            </w:r>
          </w:p>
          <w:p>
            <w:pPr>
              <w:autoSpaceDE w:val="0"/>
              <w:autoSpaceDN w:val="0"/>
              <w:adjustRightInd w:val="0"/>
              <w:snapToGrid w:val="0"/>
              <w:jc w:val="center"/>
              <w:rPr>
                <w:rFonts w:ascii="宋体" w:hAnsi="宋体" w:cs="宋体"/>
                <w:b/>
                <w:bCs/>
                <w:kern w:val="0"/>
                <w:sz w:val="24"/>
                <w:szCs w:val="24"/>
              </w:rPr>
            </w:pPr>
            <w:r>
              <w:rPr>
                <w:rFonts w:hint="eastAsia" w:ascii="宋体" w:hAnsi="宋体" w:cs="宋体"/>
                <w:b/>
                <w:bCs/>
                <w:sz w:val="24"/>
                <w:szCs w:val="24"/>
              </w:rPr>
              <w:t>评价情况</w:t>
            </w:r>
          </w:p>
        </w:tc>
        <w:tc>
          <w:tcPr>
            <w:tcW w:w="7681" w:type="dxa"/>
            <w:gridSpan w:val="4"/>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68" w:hRule="atLeast"/>
        </w:trPr>
        <w:tc>
          <w:tcPr>
            <w:tcW w:w="1157" w:type="dxa"/>
            <w:noWrap w:val="0"/>
            <w:tcMar>
              <w:top w:w="16" w:type="dxa"/>
              <w:left w:w="16" w:type="dxa"/>
              <w:right w:w="16" w:type="dxa"/>
            </w:tcMar>
            <w:vAlign w:val="center"/>
          </w:tcPr>
          <w:p>
            <w:pPr>
              <w:pStyle w:val="83"/>
              <w:keepNext w:val="0"/>
              <w:keepLines w:val="0"/>
              <w:pageBreakBefore w:val="0"/>
              <w:widowControl w:val="0"/>
              <w:kinsoku/>
              <w:wordWrap/>
              <w:topLinePunct w:val="0"/>
              <w:bidi w:val="0"/>
              <w:adjustRightInd/>
              <w:snapToGrid/>
              <w:spacing w:line="360" w:lineRule="auto"/>
              <w:jc w:val="center"/>
              <w:textAlignment w:val="auto"/>
              <w:rPr>
                <w:rFonts w:hint="eastAsia" w:ascii="Times New Roman" w:hAnsi="Times New Roman" w:eastAsia="宋体" w:cs="Times New Roman"/>
                <w:b w:val="0"/>
                <w:bCs/>
                <w:color w:val="000000"/>
                <w:sz w:val="24"/>
                <w:szCs w:val="24"/>
              </w:rPr>
            </w:pPr>
            <w:r>
              <w:rPr>
                <w:rFonts w:hint="eastAsia" w:ascii="Times New Roman" w:hAnsi="Times New Roman" w:eastAsia="宋体" w:cs="Times New Roman"/>
                <w:b/>
                <w:bCs w:val="0"/>
                <w:color w:val="000000"/>
                <w:sz w:val="24"/>
                <w:szCs w:val="24"/>
              </w:rPr>
              <w:t>规划及规划环境影响评价符合性分析</w:t>
            </w:r>
          </w:p>
        </w:tc>
        <w:tc>
          <w:tcPr>
            <w:tcW w:w="7681" w:type="dxa"/>
            <w:gridSpan w:val="4"/>
            <w:noWrap w:val="0"/>
            <w:tcMar>
              <w:top w:w="16" w:type="dxa"/>
              <w:left w:w="16" w:type="dxa"/>
              <w:right w:w="16" w:type="dxa"/>
            </w:tcMar>
            <w:vAlign w:val="center"/>
          </w:tcPr>
          <w:p>
            <w:pPr>
              <w:spacing w:before="120" w:beforeLines="50" w:line="360" w:lineRule="auto"/>
              <w:ind w:firstLine="482" w:firstLineChars="200"/>
              <w:rPr>
                <w:rFonts w:hint="eastAsia" w:ascii="Times New Roman" w:hAnsi="宋体" w:eastAsia="宋体" w:cs="Times New Roman"/>
                <w:b/>
                <w:bCs w:val="0"/>
                <w:color w:val="auto"/>
                <w:kern w:val="2"/>
                <w:sz w:val="24"/>
                <w:szCs w:val="24"/>
                <w:lang w:val="en-US" w:eastAsia="zh-CN" w:bidi="ar-SA"/>
              </w:rPr>
            </w:pPr>
            <w:r>
              <w:rPr>
                <w:rFonts w:hint="default" w:ascii="Times New Roman" w:hAnsi="宋体" w:eastAsia="宋体" w:cs="Times New Roman"/>
                <w:b/>
                <w:bCs w:val="0"/>
                <w:color w:val="auto"/>
                <w:kern w:val="2"/>
                <w:sz w:val="24"/>
                <w:szCs w:val="24"/>
                <w:lang w:val="en-US" w:eastAsia="zh-CN" w:bidi="ar-SA"/>
              </w:rPr>
              <w:t>1</w:t>
            </w:r>
            <w:r>
              <w:rPr>
                <w:rFonts w:hint="eastAsia" w:ascii="Times New Roman" w:hAnsi="宋体" w:eastAsia="宋体" w:cs="Times New Roman"/>
                <w:b/>
                <w:bCs w:val="0"/>
                <w:color w:val="auto"/>
                <w:kern w:val="2"/>
                <w:sz w:val="24"/>
                <w:szCs w:val="24"/>
                <w:lang w:val="en-US" w:eastAsia="zh-CN" w:bidi="ar-SA"/>
              </w:rPr>
              <w:t>、与《广元市昭化区国民经济和社会发展第十四个五年规划和二O三五年远景目标纲要》符合性分析</w:t>
            </w:r>
          </w:p>
          <w:p>
            <w:pPr>
              <w:spacing w:before="120" w:beforeLines="50" w:line="360" w:lineRule="auto"/>
              <w:ind w:firstLine="480" w:firstLineChars="200"/>
              <w:rPr>
                <w:rFonts w:hint="eastAsia" w:ascii="Times New Roman" w:hAnsi="宋体" w:eastAsia="宋体" w:cs="Times New Roman"/>
                <w:b w:val="0"/>
                <w:bCs/>
                <w:color w:val="auto"/>
                <w:kern w:val="2"/>
                <w:sz w:val="24"/>
                <w:szCs w:val="24"/>
                <w:lang w:val="en-US" w:eastAsia="zh-CN" w:bidi="ar-SA"/>
              </w:rPr>
            </w:pPr>
            <w:r>
              <w:rPr>
                <w:rFonts w:hint="eastAsia" w:ascii="Times New Roman" w:hAnsi="宋体" w:eastAsia="宋体" w:cs="Times New Roman"/>
                <w:b w:val="0"/>
                <w:bCs/>
                <w:color w:val="auto"/>
                <w:kern w:val="2"/>
                <w:sz w:val="24"/>
                <w:szCs w:val="24"/>
                <w:lang w:val="en-US" w:eastAsia="zh-CN" w:bidi="ar-SA"/>
              </w:rPr>
              <w:t>《广元市昭化区国民经济和社会发展第十四个五年规划和二O三五年远景目标纲要》中第十六章“提升水安全保障能力”</w:t>
            </w:r>
            <w:bookmarkStart w:id="4" w:name="_Toc66030566"/>
            <w:r>
              <w:rPr>
                <w:rFonts w:hint="eastAsia" w:ascii="Times New Roman" w:hAnsi="宋体" w:eastAsia="宋体" w:cs="Times New Roman"/>
                <w:b w:val="0"/>
                <w:bCs/>
                <w:color w:val="auto"/>
                <w:kern w:val="2"/>
                <w:sz w:val="24"/>
                <w:szCs w:val="24"/>
                <w:lang w:val="en-US" w:eastAsia="zh-CN" w:bidi="ar-SA"/>
              </w:rPr>
              <w:t>第三节 完善农村水利基础设施建设</w:t>
            </w:r>
            <w:bookmarkEnd w:id="4"/>
            <w:r>
              <w:rPr>
                <w:rFonts w:hint="eastAsia" w:ascii="Times New Roman" w:hAnsi="宋体" w:eastAsia="宋体" w:cs="Times New Roman"/>
                <w:b w:val="0"/>
                <w:bCs/>
                <w:color w:val="auto"/>
                <w:kern w:val="2"/>
                <w:sz w:val="24"/>
                <w:szCs w:val="24"/>
                <w:lang w:val="en-US" w:eastAsia="zh-CN" w:bidi="ar-SA"/>
              </w:rPr>
              <w:t>中专栏10水利工程重点项目（一）水资源配置优化工程2.河湖水系连通及生态治理工程：实施山青河至赖椿坝河湖连通工程，实施嘉陵江、</w:t>
            </w:r>
            <w:r>
              <w:rPr>
                <w:rFonts w:hint="eastAsia" w:ascii="Times New Roman" w:hAnsi="宋体" w:eastAsia="宋体" w:cs="Times New Roman"/>
                <w:b/>
                <w:bCs w:val="0"/>
                <w:color w:val="auto"/>
                <w:kern w:val="2"/>
                <w:sz w:val="24"/>
                <w:szCs w:val="24"/>
                <w:lang w:val="en-US" w:eastAsia="zh-CN" w:bidi="ar-SA"/>
              </w:rPr>
              <w:t>长滩河</w:t>
            </w:r>
            <w:r>
              <w:rPr>
                <w:rFonts w:hint="eastAsia" w:ascii="Times New Roman" w:hAnsi="宋体" w:eastAsia="宋体" w:cs="Times New Roman"/>
                <w:b w:val="0"/>
                <w:bCs/>
                <w:color w:val="auto"/>
                <w:kern w:val="2"/>
                <w:sz w:val="24"/>
                <w:szCs w:val="24"/>
                <w:lang w:val="en-US" w:eastAsia="zh-CN" w:bidi="ar-SA"/>
              </w:rPr>
              <w:t>、插江、张家沟、文庙河5条河道及工农水库、紫云水库等12座中小型水库水环境治理工程；实施</w:t>
            </w:r>
            <w:r>
              <w:rPr>
                <w:rFonts w:hint="eastAsia" w:ascii="Times New Roman" w:hAnsi="宋体" w:eastAsia="宋体" w:cs="Times New Roman"/>
                <w:b/>
                <w:bCs w:val="0"/>
                <w:color w:val="auto"/>
                <w:kern w:val="2"/>
                <w:sz w:val="24"/>
                <w:szCs w:val="24"/>
                <w:lang w:val="en-US" w:eastAsia="zh-CN" w:bidi="ar-SA"/>
              </w:rPr>
              <w:t>长滩河</w:t>
            </w:r>
            <w:r>
              <w:rPr>
                <w:rFonts w:hint="eastAsia" w:ascii="Times New Roman" w:hAnsi="宋体" w:eastAsia="宋体" w:cs="Times New Roman"/>
                <w:b w:val="0"/>
                <w:bCs/>
                <w:color w:val="auto"/>
                <w:kern w:val="2"/>
                <w:sz w:val="24"/>
                <w:szCs w:val="24"/>
                <w:lang w:val="en-US" w:eastAsia="zh-CN" w:bidi="ar-SA"/>
              </w:rPr>
              <w:t>、插江和掛旗河小流域生态治理工程。本项目为长滩河流域支流庄子沟段生态环境综合治理，通过项目的实施实现治理河段水质优化，有利于提高长滩河流域水质，该项目是昭化区十四五综合规划实施的重点工程内容之一，项目建设与《广元市昭化区国民经济和社会发展第十四个五年规划和二O三五年远景目标纲要》相符。</w:t>
            </w:r>
          </w:p>
          <w:p>
            <w:pPr>
              <w:spacing w:before="120" w:beforeLines="50" w:line="360" w:lineRule="auto"/>
              <w:ind w:firstLine="482" w:firstLineChars="200"/>
              <w:rPr>
                <w:rFonts w:hint="default" w:ascii="Times New Roman" w:hAnsi="宋体" w:eastAsia="宋体" w:cs="Times New Roman"/>
                <w:b/>
                <w:bCs w:val="0"/>
                <w:color w:val="auto"/>
                <w:kern w:val="2"/>
                <w:sz w:val="24"/>
                <w:szCs w:val="24"/>
                <w:lang w:val="en-US" w:eastAsia="zh-CN" w:bidi="ar-SA"/>
              </w:rPr>
            </w:pPr>
            <w:r>
              <w:rPr>
                <w:rFonts w:hint="default" w:ascii="Times New Roman" w:hAnsi="宋体" w:eastAsia="宋体" w:cs="Times New Roman"/>
                <w:b/>
                <w:bCs w:val="0"/>
                <w:color w:val="auto"/>
                <w:kern w:val="2"/>
                <w:sz w:val="24"/>
                <w:szCs w:val="24"/>
                <w:lang w:val="en-US" w:eastAsia="zh-CN" w:bidi="ar-SA"/>
              </w:rPr>
              <w:t xml:space="preserve">2、与产业政策符合性分析 </w:t>
            </w:r>
          </w:p>
          <w:p>
            <w:pPr>
              <w:spacing w:before="120" w:beforeLines="50" w:line="360" w:lineRule="auto"/>
              <w:ind w:firstLine="480" w:firstLineChars="200"/>
              <w:rPr>
                <w:rFonts w:hint="default" w:ascii="Times New Roman" w:hAnsi="宋体" w:eastAsia="宋体" w:cs="Times New Roman"/>
                <w:b w:val="0"/>
                <w:bCs/>
                <w:color w:val="auto"/>
                <w:kern w:val="2"/>
                <w:sz w:val="24"/>
                <w:szCs w:val="24"/>
                <w:lang w:val="en-US" w:eastAsia="zh-CN" w:bidi="ar-SA"/>
              </w:rPr>
            </w:pPr>
            <w:r>
              <w:rPr>
                <w:rFonts w:hint="default" w:ascii="Times New Roman" w:hAnsi="宋体" w:eastAsia="宋体" w:cs="Times New Roman"/>
                <w:b w:val="0"/>
                <w:bCs/>
                <w:color w:val="auto"/>
                <w:kern w:val="2"/>
                <w:sz w:val="24"/>
                <w:szCs w:val="24"/>
                <w:lang w:val="en-US" w:eastAsia="zh-CN" w:bidi="ar-SA"/>
              </w:rPr>
              <w:t>本项目为</w:t>
            </w:r>
            <w:r>
              <w:rPr>
                <w:rFonts w:hint="eastAsia" w:hAnsi="宋体" w:cs="Times New Roman"/>
                <w:b w:val="0"/>
                <w:bCs/>
                <w:color w:val="auto"/>
                <w:kern w:val="2"/>
                <w:sz w:val="24"/>
                <w:szCs w:val="24"/>
                <w:lang w:val="en-US" w:eastAsia="zh-CN" w:bidi="ar-SA"/>
              </w:rPr>
              <w:t>广元市昭化区重点采煤沉陷区生态环境综合治理项目</w:t>
            </w:r>
            <w:r>
              <w:rPr>
                <w:rFonts w:hint="eastAsia" w:ascii="Times New Roman" w:hAnsi="宋体" w:eastAsia="宋体" w:cs="Times New Roman"/>
                <w:b w:val="0"/>
                <w:bCs/>
                <w:color w:val="auto"/>
                <w:kern w:val="2"/>
                <w:sz w:val="24"/>
                <w:szCs w:val="24"/>
                <w:lang w:val="en-US" w:eastAsia="zh-CN" w:bidi="ar-SA"/>
              </w:rPr>
              <w:t>，治理河道为长滩河流域支流庄子沟</w:t>
            </w:r>
            <w:r>
              <w:rPr>
                <w:rFonts w:hint="default" w:ascii="Times New Roman" w:hAnsi="宋体" w:eastAsia="宋体" w:cs="Times New Roman"/>
                <w:b w:val="0"/>
                <w:bCs/>
                <w:color w:val="auto"/>
                <w:kern w:val="2"/>
                <w:sz w:val="24"/>
                <w:szCs w:val="24"/>
                <w:lang w:val="en-US" w:eastAsia="zh-CN" w:bidi="ar-SA"/>
              </w:rPr>
              <w:t>，根据《产业结构调整指导目录（20</w:t>
            </w:r>
            <w:r>
              <w:rPr>
                <w:rFonts w:hint="eastAsia" w:hAnsi="宋体" w:cs="Times New Roman"/>
                <w:b w:val="0"/>
                <w:bCs/>
                <w:color w:val="auto"/>
                <w:kern w:val="2"/>
                <w:sz w:val="24"/>
                <w:szCs w:val="24"/>
                <w:lang w:val="en-US" w:eastAsia="zh-CN" w:bidi="ar-SA"/>
              </w:rPr>
              <w:t>24</w:t>
            </w:r>
            <w:r>
              <w:rPr>
                <w:rFonts w:hint="default" w:ascii="Times New Roman" w:hAnsi="宋体" w:eastAsia="宋体" w:cs="Times New Roman"/>
                <w:b w:val="0"/>
                <w:bCs/>
                <w:color w:val="auto"/>
                <w:kern w:val="2"/>
                <w:sz w:val="24"/>
                <w:szCs w:val="24"/>
                <w:lang w:val="en-US" w:eastAsia="zh-CN" w:bidi="ar-SA"/>
              </w:rPr>
              <w:t>年本）》，本工程属于“第一类 鼓励类”中的第二项 “水利”的中“3．防洪提升工程”内容。项目于2023年</w:t>
            </w:r>
            <w:r>
              <w:rPr>
                <w:rFonts w:hint="eastAsia" w:ascii="Times New Roman" w:hAnsi="宋体" w:eastAsia="宋体" w:cs="Times New Roman"/>
                <w:b w:val="0"/>
                <w:bCs/>
                <w:color w:val="auto"/>
                <w:kern w:val="2"/>
                <w:sz w:val="24"/>
                <w:szCs w:val="24"/>
                <w:lang w:val="en-US" w:eastAsia="zh-CN" w:bidi="ar-SA"/>
              </w:rPr>
              <w:t>11</w:t>
            </w:r>
            <w:r>
              <w:rPr>
                <w:rFonts w:hint="default" w:ascii="Times New Roman" w:hAnsi="宋体" w:eastAsia="宋体" w:cs="Times New Roman"/>
                <w:b w:val="0"/>
                <w:bCs/>
                <w:color w:val="auto"/>
                <w:kern w:val="2"/>
                <w:sz w:val="24"/>
                <w:szCs w:val="24"/>
                <w:lang w:val="en-US" w:eastAsia="zh-CN" w:bidi="ar-SA"/>
              </w:rPr>
              <w:t>月2</w:t>
            </w:r>
            <w:r>
              <w:rPr>
                <w:rFonts w:hint="eastAsia" w:ascii="Times New Roman" w:hAnsi="宋体" w:eastAsia="宋体" w:cs="Times New Roman"/>
                <w:b w:val="0"/>
                <w:bCs/>
                <w:color w:val="auto"/>
                <w:kern w:val="2"/>
                <w:sz w:val="24"/>
                <w:szCs w:val="24"/>
                <w:lang w:val="en-US" w:eastAsia="zh-CN" w:bidi="ar-SA"/>
              </w:rPr>
              <w:t>0</w:t>
            </w:r>
            <w:r>
              <w:rPr>
                <w:rFonts w:hint="default" w:ascii="Times New Roman" w:hAnsi="宋体" w:eastAsia="宋体" w:cs="Times New Roman"/>
                <w:b w:val="0"/>
                <w:bCs/>
                <w:color w:val="auto"/>
                <w:kern w:val="2"/>
                <w:sz w:val="24"/>
                <w:szCs w:val="24"/>
                <w:lang w:val="en-US" w:eastAsia="zh-CN" w:bidi="ar-SA"/>
              </w:rPr>
              <w:t>日项目取得了广元市</w:t>
            </w:r>
            <w:r>
              <w:rPr>
                <w:rFonts w:hint="eastAsia" w:ascii="Times New Roman" w:hAnsi="宋体" w:eastAsia="宋体" w:cs="Times New Roman"/>
                <w:b w:val="0"/>
                <w:bCs/>
                <w:color w:val="auto"/>
                <w:kern w:val="2"/>
                <w:sz w:val="24"/>
                <w:szCs w:val="24"/>
                <w:lang w:val="en-US" w:eastAsia="zh-CN" w:bidi="ar-SA"/>
              </w:rPr>
              <w:t>昭化区水利局</w:t>
            </w:r>
            <w:r>
              <w:rPr>
                <w:rFonts w:hint="default" w:ascii="Times New Roman" w:hAnsi="宋体" w:eastAsia="宋体" w:cs="Times New Roman"/>
                <w:b w:val="0"/>
                <w:bCs/>
                <w:color w:val="auto"/>
                <w:kern w:val="2"/>
                <w:sz w:val="24"/>
                <w:szCs w:val="24"/>
                <w:lang w:val="en-US" w:eastAsia="zh-CN" w:bidi="ar-SA"/>
              </w:rPr>
              <w:t>出具的《关于</w:t>
            </w:r>
            <w:r>
              <w:rPr>
                <w:rFonts w:hint="eastAsia" w:hAnsi="宋体" w:cs="Times New Roman"/>
                <w:b w:val="0"/>
                <w:bCs/>
                <w:color w:val="auto"/>
                <w:kern w:val="2"/>
                <w:sz w:val="24"/>
                <w:szCs w:val="24"/>
                <w:lang w:val="en-US" w:eastAsia="zh-CN" w:bidi="ar-SA"/>
              </w:rPr>
              <w:t>广元市昭化区重点采煤沉陷区生态环境综合治理项目</w:t>
            </w:r>
            <w:r>
              <w:rPr>
                <w:rFonts w:hint="default" w:ascii="Times New Roman" w:hAnsi="宋体" w:eastAsia="宋体" w:cs="Times New Roman"/>
                <w:b w:val="0"/>
                <w:bCs/>
                <w:color w:val="auto"/>
                <w:kern w:val="2"/>
                <w:sz w:val="24"/>
                <w:szCs w:val="24"/>
                <w:lang w:val="en-US" w:eastAsia="zh-CN" w:bidi="ar-SA"/>
              </w:rPr>
              <w:t>初步设计</w:t>
            </w:r>
            <w:r>
              <w:rPr>
                <w:rFonts w:hint="eastAsia" w:ascii="Times New Roman" w:hAnsi="宋体" w:eastAsia="宋体" w:cs="Times New Roman"/>
                <w:b w:val="0"/>
                <w:bCs/>
                <w:color w:val="auto"/>
                <w:kern w:val="2"/>
                <w:sz w:val="24"/>
                <w:szCs w:val="24"/>
                <w:lang w:val="en-US" w:eastAsia="zh-CN" w:bidi="ar-SA"/>
              </w:rPr>
              <w:t>报告</w:t>
            </w:r>
            <w:r>
              <w:rPr>
                <w:rFonts w:hint="default" w:ascii="Times New Roman" w:hAnsi="宋体" w:eastAsia="宋体" w:cs="Times New Roman"/>
                <w:b w:val="0"/>
                <w:bCs/>
                <w:color w:val="auto"/>
                <w:kern w:val="2"/>
                <w:sz w:val="24"/>
                <w:szCs w:val="24"/>
                <w:lang w:val="en-US" w:eastAsia="zh-CN" w:bidi="ar-SA"/>
              </w:rPr>
              <w:t>的批复》（</w:t>
            </w:r>
            <w:r>
              <w:rPr>
                <w:rFonts w:hint="eastAsia" w:ascii="Times New Roman" w:hAnsi="宋体" w:eastAsia="宋体" w:cs="Times New Roman"/>
                <w:b w:val="0"/>
                <w:bCs/>
                <w:color w:val="auto"/>
                <w:kern w:val="2"/>
                <w:sz w:val="24"/>
                <w:szCs w:val="24"/>
                <w:lang w:val="en-US" w:eastAsia="zh-CN" w:bidi="ar-SA"/>
              </w:rPr>
              <w:t>昭水</w:t>
            </w:r>
            <w:r>
              <w:rPr>
                <w:rFonts w:hint="default" w:ascii="Times New Roman" w:hAnsi="宋体" w:eastAsia="宋体" w:cs="Times New Roman"/>
                <w:b w:val="0"/>
                <w:bCs/>
                <w:color w:val="auto"/>
                <w:kern w:val="2"/>
                <w:sz w:val="24"/>
                <w:szCs w:val="24"/>
                <w:lang w:val="en-US" w:eastAsia="zh-CN" w:bidi="ar-SA"/>
              </w:rPr>
              <w:t>函[2023]1</w:t>
            </w:r>
            <w:r>
              <w:rPr>
                <w:rFonts w:hint="eastAsia" w:ascii="Times New Roman" w:hAnsi="宋体" w:eastAsia="宋体" w:cs="Times New Roman"/>
                <w:b w:val="0"/>
                <w:bCs/>
                <w:color w:val="auto"/>
                <w:kern w:val="2"/>
                <w:sz w:val="24"/>
                <w:szCs w:val="24"/>
                <w:lang w:val="en-US" w:eastAsia="zh-CN" w:bidi="ar-SA"/>
              </w:rPr>
              <w:t>54</w:t>
            </w:r>
            <w:r>
              <w:rPr>
                <w:rFonts w:hint="default" w:ascii="Times New Roman" w:hAnsi="宋体" w:eastAsia="宋体" w:cs="Times New Roman"/>
                <w:b w:val="0"/>
                <w:bCs/>
                <w:color w:val="auto"/>
                <w:kern w:val="2"/>
                <w:sz w:val="24"/>
                <w:szCs w:val="24"/>
                <w:lang w:val="en-US" w:eastAsia="zh-CN" w:bidi="ar-SA"/>
              </w:rPr>
              <w:t>号）。</w:t>
            </w:r>
          </w:p>
          <w:p>
            <w:pPr>
              <w:spacing w:before="120" w:beforeLines="50" w:line="360" w:lineRule="auto"/>
              <w:ind w:firstLine="480" w:firstLineChars="200"/>
              <w:rPr>
                <w:rFonts w:hint="eastAsia" w:ascii="Times New Roman" w:hAnsi="宋体" w:eastAsia="宋体" w:cs="Times New Roman"/>
                <w:b w:val="0"/>
                <w:bCs/>
                <w:color w:val="auto"/>
                <w:kern w:val="2"/>
                <w:sz w:val="24"/>
                <w:szCs w:val="24"/>
                <w:lang w:val="en-US" w:eastAsia="zh-CN" w:bidi="ar-SA"/>
              </w:rPr>
            </w:pPr>
            <w:r>
              <w:rPr>
                <w:rFonts w:hint="default" w:ascii="Times New Roman" w:hAnsi="宋体" w:eastAsia="宋体" w:cs="Times New Roman"/>
                <w:b w:val="0"/>
                <w:bCs/>
                <w:color w:val="auto"/>
                <w:kern w:val="2"/>
                <w:sz w:val="24"/>
                <w:szCs w:val="24"/>
                <w:lang w:val="en-US" w:eastAsia="zh-CN" w:bidi="ar-SA"/>
              </w:rPr>
              <w:t>因此，本工程符合产业政策</w:t>
            </w:r>
            <w:r>
              <w:rPr>
                <w:rFonts w:hint="eastAsia" w:ascii="Times New Roman" w:hAnsi="宋体" w:eastAsia="宋体" w:cs="Times New Roman"/>
                <w:b w:val="0"/>
                <w:bCs/>
                <w:color w:val="auto"/>
                <w:kern w:val="2"/>
                <w:sz w:val="24"/>
                <w:szCs w:val="24"/>
                <w:lang w:val="en-US" w:eastAsia="zh-CN" w:bidi="ar-SA"/>
              </w:rPr>
              <w:t>。</w:t>
            </w:r>
          </w:p>
          <w:p>
            <w:pPr>
              <w:adjustRightInd w:val="0"/>
              <w:snapToGrid w:val="0"/>
              <w:spacing w:line="360" w:lineRule="auto"/>
              <w:ind w:firstLine="482" w:firstLineChars="200"/>
              <w:rPr>
                <w:b/>
                <w:color w:val="auto"/>
                <w:sz w:val="24"/>
              </w:rPr>
            </w:pPr>
            <w:r>
              <w:rPr>
                <w:rFonts w:hint="eastAsia" w:ascii="Times New Roman" w:hAnsi="宋体" w:eastAsia="宋体" w:cs="Times New Roman"/>
                <w:b/>
                <w:bCs w:val="0"/>
                <w:color w:val="auto"/>
                <w:kern w:val="2"/>
                <w:sz w:val="24"/>
                <w:szCs w:val="24"/>
                <w:lang w:val="en-US" w:eastAsia="zh-CN" w:bidi="ar-SA"/>
              </w:rPr>
              <w:t>3、</w:t>
            </w:r>
            <w:r>
              <w:rPr>
                <w:rFonts w:hint="default" w:ascii="Times New Roman" w:hAnsi="宋体" w:eastAsia="宋体" w:cs="Times New Roman"/>
                <w:b/>
                <w:bCs w:val="0"/>
                <w:color w:val="auto"/>
                <w:kern w:val="2"/>
                <w:sz w:val="24"/>
                <w:szCs w:val="24"/>
                <w:lang w:val="en-US" w:eastAsia="zh-CN" w:bidi="ar-SA"/>
              </w:rPr>
              <w:t>与《四川省“十四五”水安全保障规划》符合性分析</w:t>
            </w:r>
          </w:p>
          <w:p>
            <w:pPr>
              <w:adjustRightInd w:val="0"/>
              <w:snapToGrid w:val="0"/>
              <w:spacing w:line="360" w:lineRule="auto"/>
              <w:ind w:firstLine="480" w:firstLineChars="200"/>
              <w:rPr>
                <w:bCs/>
                <w:color w:val="auto"/>
                <w:sz w:val="24"/>
              </w:rPr>
            </w:pPr>
            <w:r>
              <w:rPr>
                <w:bCs/>
                <w:color w:val="auto"/>
                <w:sz w:val="24"/>
              </w:rPr>
              <w:t>《四川省“十四五”水安全保障规划》提出：提升水旱灾害防御能力：统筹发展与安全，坚持人民至上、生命至上，切实践行“两个坚持、三个转变”防灾减灾救灾理念，实施防洪提升工程，解决防汛薄弱环节，强化流域防洪调度，加强洪水风险管理，构建工程措施和非工程措施相结合的现代水旱灾害防治体系，实现“更高标准、更严要求、更快反应、更好效果”，保障人民生命财产安全和经济社会和谐稳定。加强主要江河和中小河流防洪治理：……加强中小河流治理，优先解决城镇河段防洪不达标、近年洪涝灾害频发、河堤损毁严重等问题。</w:t>
            </w:r>
          </w:p>
          <w:p>
            <w:pPr>
              <w:adjustRightInd w:val="0"/>
              <w:snapToGrid w:val="0"/>
              <w:spacing w:line="360" w:lineRule="auto"/>
              <w:ind w:firstLine="480" w:firstLineChars="200"/>
              <w:rPr>
                <w:bCs/>
                <w:color w:val="auto"/>
                <w:sz w:val="24"/>
              </w:rPr>
            </w:pPr>
            <w:r>
              <w:rPr>
                <w:bCs/>
                <w:color w:val="auto"/>
                <w:sz w:val="24"/>
              </w:rPr>
              <w:t>本项目属于</w:t>
            </w:r>
            <w:r>
              <w:rPr>
                <w:rFonts w:hint="eastAsia" w:hAnsi="宋体" w:cs="Times New Roman"/>
                <w:b w:val="0"/>
                <w:bCs/>
                <w:color w:val="auto"/>
                <w:kern w:val="2"/>
                <w:sz w:val="24"/>
                <w:szCs w:val="24"/>
                <w:lang w:val="en-US" w:eastAsia="zh-CN" w:bidi="ar-SA"/>
              </w:rPr>
              <w:t>广元市昭化区重点采煤沉陷区生态环境综合治理项目</w:t>
            </w:r>
            <w:r>
              <w:rPr>
                <w:bCs/>
                <w:color w:val="auto"/>
                <w:sz w:val="24"/>
              </w:rPr>
              <w:t>，主要目的是提高</w:t>
            </w:r>
            <w:r>
              <w:rPr>
                <w:rFonts w:hint="eastAsia"/>
                <w:bCs/>
                <w:color w:val="auto"/>
                <w:sz w:val="24"/>
                <w:lang w:val="en-US" w:eastAsia="zh-CN"/>
              </w:rPr>
              <w:t>长滩河</w:t>
            </w:r>
            <w:r>
              <w:rPr>
                <w:bCs/>
                <w:color w:val="auto"/>
                <w:sz w:val="24"/>
              </w:rPr>
              <w:t>河道行洪能力，完善河段防洪体系，改善沿河人居环境，保护两岸人民群众的生命财产安全，故项目建设符合《四川省“十四五”水安全保障规划》。</w:t>
            </w:r>
          </w:p>
          <w:p>
            <w:pPr>
              <w:adjustRightInd w:val="0"/>
              <w:snapToGrid w:val="0"/>
              <w:spacing w:line="360" w:lineRule="auto"/>
              <w:ind w:firstLine="482" w:firstLineChars="200"/>
              <w:rPr>
                <w:b/>
                <w:color w:val="auto"/>
                <w:sz w:val="24"/>
                <w:lang w:bidi="zh-TW"/>
              </w:rPr>
            </w:pPr>
            <w:r>
              <w:rPr>
                <w:rFonts w:hint="eastAsia"/>
                <w:b/>
                <w:color w:val="auto"/>
                <w:sz w:val="24"/>
                <w:lang w:val="en-US" w:eastAsia="zh-CN" w:bidi="zh-TW"/>
              </w:rPr>
              <w:t>4</w:t>
            </w:r>
            <w:r>
              <w:rPr>
                <w:b/>
                <w:color w:val="auto"/>
                <w:sz w:val="24"/>
                <w:lang w:bidi="zh-TW"/>
              </w:rPr>
              <w:t>、项目与《嘉陵江流域综合规划》符合性分析</w:t>
            </w:r>
          </w:p>
          <w:p>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color w:val="auto"/>
                <w:kern w:val="0"/>
                <w:sz w:val="24"/>
              </w:rPr>
              <w:t>根据《嘉陵江流域综合规划》中防洪规划：采用工程措施和非工程措施相结合的综合防治方案，可显著提高嘉陵江中下游沿江两岸城乡的抗洪能力，其中广元市、南充市和北碚城区的抗洪能力可提高到50年一遇，其它沿江县级城镇的抗洪能力可提高到20年一遇，沿江乡镇和其它相对集中居民</w:t>
            </w:r>
            <w:r>
              <w:rPr>
                <w:rFonts w:ascii="Times New Roman" w:hAnsi="Times New Roman" w:eastAsia="宋体" w:cs="Times New Roman"/>
                <w:color w:val="auto"/>
                <w:kern w:val="0"/>
                <w:sz w:val="24"/>
              </w:rPr>
              <w:t>区及农田的抗洪能力可提高到10年一遇标准。</w:t>
            </w:r>
          </w:p>
          <w:p>
            <w:pPr>
              <w:autoSpaceDE w:val="0"/>
              <w:autoSpaceDN w:val="0"/>
              <w:adjustRightInd w:val="0"/>
              <w:snapToGrid w:val="0"/>
              <w:spacing w:line="360" w:lineRule="auto"/>
              <w:ind w:firstLine="480" w:firstLineChars="200"/>
              <w:rPr>
                <w:rFonts w:hint="default"/>
                <w:lang w:val="en-US" w:eastAsia="zh-CN"/>
              </w:rPr>
            </w:pPr>
            <w:r>
              <w:rPr>
                <w:rFonts w:ascii="Times New Roman" w:hAnsi="Times New Roman" w:eastAsia="宋体" w:cs="Times New Roman"/>
                <w:color w:val="auto"/>
                <w:kern w:val="0"/>
                <w:sz w:val="24"/>
              </w:rPr>
              <w:t>本项目施工所在河段为</w:t>
            </w:r>
            <w:r>
              <w:rPr>
                <w:rFonts w:hint="eastAsia" w:ascii="Times New Roman" w:hAnsi="宋体" w:eastAsia="宋体" w:cs="Times New Roman"/>
                <w:b w:val="0"/>
                <w:bCs/>
                <w:color w:val="auto"/>
                <w:kern w:val="2"/>
                <w:sz w:val="24"/>
                <w:szCs w:val="24"/>
                <w:lang w:val="en-US" w:eastAsia="zh-CN" w:bidi="ar-SA"/>
              </w:rPr>
              <w:t>长滩河流域支流庄子沟</w:t>
            </w:r>
            <w:r>
              <w:rPr>
                <w:rFonts w:ascii="Times New Roman" w:hAnsi="Times New Roman" w:eastAsia="宋体" w:cs="Times New Roman"/>
                <w:color w:val="auto"/>
                <w:kern w:val="0"/>
                <w:sz w:val="24"/>
              </w:rPr>
              <w:t>，本项目堤防工程防洪标准确定为</w:t>
            </w:r>
            <w:r>
              <w:rPr>
                <w:rFonts w:hint="eastAsia" w:ascii="Times New Roman" w:hAnsi="Times New Roman" w:eastAsia="宋体" w:cs="Times New Roman"/>
                <w:color w:val="auto"/>
                <w:kern w:val="0"/>
                <w:sz w:val="24"/>
                <w:lang w:val="en-US" w:eastAsia="zh-CN"/>
              </w:rPr>
              <w:t>20</w:t>
            </w:r>
            <w:r>
              <w:rPr>
                <w:rFonts w:ascii="Times New Roman" w:hAnsi="Times New Roman" w:eastAsia="宋体" w:cs="Times New Roman"/>
                <w:color w:val="auto"/>
                <w:kern w:val="0"/>
                <w:sz w:val="24"/>
              </w:rPr>
              <w:t>年一遇洪水，符合《嘉陵江流域综合规划》</w:t>
            </w:r>
            <w:r>
              <w:rPr>
                <w:rFonts w:hint="eastAsia" w:ascii="Times New Roman" w:hAnsi="Times New Roman" w:eastAsia="宋体" w:cs="Times New Roman"/>
                <w:color w:val="auto"/>
                <w:kern w:val="0"/>
                <w:sz w:val="24"/>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157" w:type="dxa"/>
            <w:noWrap w:val="0"/>
            <w:tcMar>
              <w:top w:w="16" w:type="dxa"/>
              <w:left w:w="16" w:type="dxa"/>
              <w:right w:w="16" w:type="dxa"/>
            </w:tcMar>
            <w:vAlign w:val="center"/>
          </w:tcPr>
          <w:p>
            <w:pPr>
              <w:autoSpaceDE w:val="0"/>
              <w:autoSpaceDN w:val="0"/>
              <w:adjustRightInd w:val="0"/>
              <w:snapToGrid w:val="0"/>
              <w:jc w:val="center"/>
              <w:rPr>
                <w:rFonts w:ascii="宋体" w:hAnsi="宋体" w:cs="宋体"/>
                <w:kern w:val="0"/>
                <w:sz w:val="24"/>
                <w:szCs w:val="24"/>
              </w:rPr>
            </w:pPr>
            <w:bookmarkStart w:id="5" w:name="_Hlk56690880"/>
            <w:r>
              <w:rPr>
                <w:rFonts w:hint="eastAsia" w:ascii="宋体" w:hAnsi="宋体" w:cs="宋体"/>
                <w:b/>
                <w:bCs/>
                <w:kern w:val="0"/>
                <w:sz w:val="24"/>
                <w:szCs w:val="24"/>
              </w:rPr>
              <w:t>其他符合性分析</w:t>
            </w:r>
            <w:bookmarkEnd w:id="5"/>
          </w:p>
        </w:tc>
        <w:tc>
          <w:tcPr>
            <w:tcW w:w="7681" w:type="dxa"/>
            <w:gridSpan w:val="4"/>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宋体" w:eastAsia="宋体" w:cs="Times New Roman"/>
                <w:b/>
                <w:color w:val="auto"/>
                <w:sz w:val="24"/>
                <w:szCs w:val="24"/>
                <w:lang w:eastAsia="zh-CN"/>
              </w:rPr>
            </w:pPr>
            <w:bookmarkStart w:id="6" w:name="_Toc17881"/>
            <w:bookmarkStart w:id="7" w:name="_Toc77099712"/>
            <w:r>
              <w:rPr>
                <w:rFonts w:hint="eastAsia" w:hAnsi="宋体" w:cs="Times New Roman"/>
                <w:b/>
                <w:color w:val="auto"/>
                <w:sz w:val="24"/>
                <w:szCs w:val="24"/>
                <w:lang w:val="en-US" w:eastAsia="zh-CN"/>
              </w:rPr>
              <w:t>1</w:t>
            </w:r>
            <w:r>
              <w:rPr>
                <w:rFonts w:hint="eastAsia" w:ascii="Times New Roman" w:hAnsi="宋体" w:eastAsia="宋体" w:cs="Times New Roman"/>
                <w:b/>
                <w:color w:val="auto"/>
                <w:sz w:val="24"/>
                <w:szCs w:val="24"/>
                <w:lang w:val="en-US" w:eastAsia="zh-CN"/>
              </w:rPr>
              <w:t>、</w:t>
            </w:r>
            <w:r>
              <w:rPr>
                <w:rFonts w:hint="eastAsia" w:ascii="Times New Roman" w:hAnsi="宋体" w:eastAsia="宋体" w:cs="Times New Roman"/>
                <w:b/>
                <w:color w:val="auto"/>
                <w:sz w:val="24"/>
                <w:szCs w:val="24"/>
                <w:lang w:eastAsia="zh-CN"/>
              </w:rPr>
              <w:t>“三线一单”符合性分析</w:t>
            </w:r>
          </w:p>
          <w:bookmarkEnd w:id="6"/>
          <w:bookmarkEnd w:id="7"/>
          <w:p>
            <w:pPr>
              <w:autoSpaceDE w:val="0"/>
              <w:autoSpaceDN w:val="0"/>
              <w:spacing w:line="360" w:lineRule="auto"/>
              <w:ind w:firstLine="482" w:firstLineChars="200"/>
              <w:contextualSpacing/>
              <w:jc w:val="left"/>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与《关于印发&lt;产业园区规划环评“三线一单”符合性分析技术要点（试行）&gt;和&lt;项目环评“三线一单”符合性分析技术要点（试行）&gt;的通知》（川环办函【2021】469号）符合性分析</w:t>
            </w:r>
          </w:p>
          <w:p>
            <w:pPr>
              <w:autoSpaceDE w:val="0"/>
              <w:autoSpaceDN w:val="0"/>
              <w:spacing w:line="360" w:lineRule="auto"/>
              <w:ind w:firstLine="480" w:firstLineChars="200"/>
              <w:contextualSpacing/>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经查询“四川政务服务网“三线一单”符合性分析”在线系统，项目所在地涉及广元市4个管控单元，详见下图所示：</w:t>
            </w:r>
          </w:p>
          <w:p>
            <w:pPr>
              <w:keepNext w:val="0"/>
              <w:keepLines w:val="0"/>
              <w:widowControl/>
              <w:suppressLineNumbers w:val="0"/>
              <w:ind w:firstLine="482" w:firstLineChars="200"/>
              <w:jc w:val="left"/>
              <w:rPr>
                <w:rFonts w:hint="default"/>
                <w:lang w:val="en-US"/>
              </w:rPr>
            </w:pPr>
            <w:r>
              <w:rPr>
                <w:rFonts w:hint="eastAsia" w:ascii="宋体" w:hAnsi="宋体" w:eastAsia="宋体" w:cs="宋体"/>
                <w:b/>
                <w:bCs/>
                <w:color w:val="000000"/>
                <w:kern w:val="0"/>
                <w:sz w:val="24"/>
                <w:szCs w:val="24"/>
                <w:lang w:val="en-US" w:eastAsia="zh-CN" w:bidi="ar"/>
              </w:rPr>
              <w:t>本项目所在环境管控单元查询结果如下：</w:t>
            </w:r>
          </w:p>
          <w:p>
            <w:pPr>
              <w:pStyle w:val="28"/>
            </w:pPr>
            <w:r>
              <w:drawing>
                <wp:inline distT="0" distB="0" distL="114300" distR="114300">
                  <wp:extent cx="4388485" cy="3239770"/>
                  <wp:effectExtent l="0" t="0" r="12065" b="17780"/>
                  <wp:docPr id="4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8"/>
                          <pic:cNvPicPr>
                            <a:picLocks noChangeAspect="1"/>
                          </pic:cNvPicPr>
                        </pic:nvPicPr>
                        <pic:blipFill>
                          <a:blip r:embed="rId8"/>
                          <a:stretch>
                            <a:fillRect/>
                          </a:stretch>
                        </pic:blipFill>
                        <pic:spPr>
                          <a:xfrm>
                            <a:off x="0" y="0"/>
                            <a:ext cx="4388485" cy="3239770"/>
                          </a:xfrm>
                          <a:prstGeom prst="rect">
                            <a:avLst/>
                          </a:prstGeom>
                          <a:noFill/>
                          <a:ln>
                            <a:noFill/>
                          </a:ln>
                        </pic:spPr>
                      </pic:pic>
                    </a:graphicData>
                  </a:graphic>
                </wp:inline>
              </w:drawing>
            </w:r>
          </w:p>
          <w:p>
            <w:pPr>
              <w:pStyle w:val="69"/>
              <w:numPr>
                <w:ilvl w:val="0"/>
                <w:numId w:val="7"/>
              </w:numPr>
              <w:spacing w:line="360" w:lineRule="auto"/>
              <w:ind w:left="0" w:firstLine="0"/>
              <w:jc w:val="center"/>
              <w:rPr>
                <w:b/>
                <w:color w:val="auto"/>
                <w:szCs w:val="21"/>
                <w:lang w:bidi="zh-TW"/>
              </w:rPr>
            </w:pPr>
            <w:r>
              <w:rPr>
                <w:b/>
                <w:color w:val="auto"/>
                <w:szCs w:val="21"/>
                <w:lang w:bidi="zh-TW"/>
              </w:rPr>
              <w:t>项目起点“三线一单”符合性分析结果截图</w:t>
            </w:r>
          </w:p>
          <w:p>
            <w:pPr>
              <w:pStyle w:val="28"/>
            </w:pPr>
            <w:r>
              <w:drawing>
                <wp:inline distT="0" distB="0" distL="114300" distR="114300">
                  <wp:extent cx="4438650" cy="3239770"/>
                  <wp:effectExtent l="0" t="0" r="0" b="17780"/>
                  <wp:docPr id="49"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2"/>
                          <pic:cNvPicPr>
                            <a:picLocks noChangeAspect="1"/>
                          </pic:cNvPicPr>
                        </pic:nvPicPr>
                        <pic:blipFill>
                          <a:blip r:embed="rId9"/>
                          <a:stretch>
                            <a:fillRect/>
                          </a:stretch>
                        </pic:blipFill>
                        <pic:spPr>
                          <a:xfrm>
                            <a:off x="0" y="0"/>
                            <a:ext cx="4438650" cy="3239770"/>
                          </a:xfrm>
                          <a:prstGeom prst="rect">
                            <a:avLst/>
                          </a:prstGeom>
                          <a:noFill/>
                          <a:ln>
                            <a:noFill/>
                          </a:ln>
                        </pic:spPr>
                      </pic:pic>
                    </a:graphicData>
                  </a:graphic>
                </wp:inline>
              </w:drawing>
            </w:r>
          </w:p>
          <w:p>
            <w:pPr>
              <w:pStyle w:val="69"/>
              <w:numPr>
                <w:ilvl w:val="0"/>
                <w:numId w:val="7"/>
              </w:numPr>
              <w:spacing w:line="360" w:lineRule="auto"/>
              <w:ind w:left="0" w:firstLine="0"/>
              <w:jc w:val="center"/>
              <w:rPr>
                <w:b/>
                <w:color w:val="auto"/>
                <w:szCs w:val="21"/>
                <w:lang w:bidi="zh-TW"/>
              </w:rPr>
            </w:pPr>
            <w:r>
              <w:rPr>
                <w:b/>
                <w:color w:val="auto"/>
                <w:szCs w:val="21"/>
                <w:lang w:bidi="zh-TW"/>
              </w:rPr>
              <w:t>项目</w:t>
            </w:r>
            <w:r>
              <w:rPr>
                <w:rFonts w:hint="eastAsia"/>
                <w:b/>
                <w:color w:val="auto"/>
                <w:szCs w:val="21"/>
                <w:lang w:val="en-US" w:eastAsia="zh-CN" w:bidi="zh-TW"/>
              </w:rPr>
              <w:t>终点</w:t>
            </w:r>
            <w:r>
              <w:rPr>
                <w:b/>
                <w:color w:val="auto"/>
                <w:szCs w:val="21"/>
                <w:lang w:bidi="zh-TW"/>
              </w:rPr>
              <w:t>“三线一单”符合性分析结果截图</w:t>
            </w:r>
          </w:p>
          <w:p>
            <w:pPr>
              <w:pStyle w:val="69"/>
              <w:numPr>
                <w:ilvl w:val="0"/>
                <w:numId w:val="0"/>
              </w:numPr>
              <w:spacing w:line="360" w:lineRule="auto"/>
              <w:ind w:left="420" w:leftChars="0" w:hanging="420" w:firstLineChars="0"/>
              <w:jc w:val="center"/>
              <w:rPr>
                <w:b/>
                <w:color w:val="auto"/>
                <w:szCs w:val="21"/>
                <w:lang w:bidi="zh-TW"/>
              </w:rPr>
            </w:pPr>
            <w:r>
              <w:rPr>
                <w:rFonts w:hint="eastAsia" w:cs="宋体"/>
                <w:b/>
                <w:i w:val="0"/>
                <w:color w:val="auto"/>
                <w:kern w:val="2"/>
                <w:sz w:val="21"/>
                <w:szCs w:val="21"/>
                <w:lang w:val="en-US" w:eastAsia="zh-CN" w:bidi="zh-TW"/>
              </w:rPr>
              <w:t>表</w:t>
            </w:r>
            <w:r>
              <w:rPr>
                <w:rFonts w:hint="eastAsia" w:ascii="宋体" w:hAnsi="宋体" w:eastAsia="宋体" w:cs="宋体"/>
                <w:b/>
                <w:i w:val="0"/>
                <w:color w:val="auto"/>
                <w:kern w:val="2"/>
                <w:sz w:val="21"/>
                <w:szCs w:val="21"/>
                <w:lang w:val="zh-CN" w:eastAsia="zh-CN" w:bidi="zh-TW"/>
              </w:rPr>
              <w:t>1-1</w:t>
            </w:r>
            <w:r>
              <w:rPr>
                <w:rFonts w:hint="eastAsia" w:cs="宋体"/>
                <w:b/>
                <w:i w:val="0"/>
                <w:color w:val="auto"/>
                <w:kern w:val="2"/>
                <w:sz w:val="21"/>
                <w:szCs w:val="21"/>
                <w:lang w:val="en-US" w:eastAsia="zh-CN" w:bidi="zh-TW"/>
              </w:rPr>
              <w:t xml:space="preserve"> </w:t>
            </w:r>
            <w:r>
              <w:rPr>
                <w:b/>
                <w:color w:val="auto"/>
                <w:szCs w:val="21"/>
              </w:rPr>
              <w:t>项目所涉及的环境管控单元清单</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1791"/>
              <w:gridCol w:w="1392"/>
              <w:gridCol w:w="865"/>
              <w:gridCol w:w="880"/>
              <w:gridCol w:w="856"/>
              <w:gridCol w:w="13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noWrap w:val="0"/>
                  <w:vAlign w:val="center"/>
                </w:tcPr>
                <w:p>
                  <w:pPr>
                    <w:widowControl/>
                    <w:jc w:val="center"/>
                    <w:rPr>
                      <w:rFonts w:hint="eastAsia" w:ascii="宋体" w:hAnsi="宋体" w:eastAsia="宋体" w:cs="宋体"/>
                      <w:color w:val="auto"/>
                      <w:sz w:val="21"/>
                      <w:szCs w:val="21"/>
                    </w:rPr>
                  </w:pPr>
                  <w:r>
                    <w:rPr>
                      <w:rFonts w:hint="eastAsia" w:ascii="宋体" w:hAnsi="宋体" w:eastAsia="宋体" w:cs="宋体"/>
                      <w:b/>
                      <w:bCs/>
                      <w:color w:val="auto"/>
                      <w:kern w:val="0"/>
                      <w:sz w:val="21"/>
                      <w:szCs w:val="21"/>
                    </w:rPr>
                    <w:t>序号</w:t>
                  </w:r>
                </w:p>
              </w:tc>
              <w:tc>
                <w:tcPr>
                  <w:tcW w:w="1170" w:type="pct"/>
                  <w:noWrap w:val="0"/>
                  <w:vAlign w:val="center"/>
                </w:tcPr>
                <w:p>
                  <w:pPr>
                    <w:widowControl/>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管控单元编码</w:t>
                  </w:r>
                </w:p>
              </w:tc>
              <w:tc>
                <w:tcPr>
                  <w:tcW w:w="909" w:type="pct"/>
                  <w:noWrap w:val="0"/>
                  <w:vAlign w:val="center"/>
                </w:tcPr>
                <w:p>
                  <w:pPr>
                    <w:widowControl/>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管控单元名称</w:t>
                  </w:r>
                </w:p>
              </w:tc>
              <w:tc>
                <w:tcPr>
                  <w:tcW w:w="565" w:type="pct"/>
                  <w:noWrap w:val="0"/>
                  <w:vAlign w:val="center"/>
                </w:tcPr>
                <w:p>
                  <w:pPr>
                    <w:widowControl/>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所属城市</w:t>
                  </w:r>
                </w:p>
              </w:tc>
              <w:tc>
                <w:tcPr>
                  <w:tcW w:w="575" w:type="pct"/>
                  <w:noWrap w:val="0"/>
                  <w:vAlign w:val="center"/>
                </w:tcPr>
                <w:p>
                  <w:pPr>
                    <w:widowControl/>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所属区县</w:t>
                  </w:r>
                </w:p>
              </w:tc>
              <w:tc>
                <w:tcPr>
                  <w:tcW w:w="559" w:type="pct"/>
                  <w:noWrap w:val="0"/>
                  <w:vAlign w:val="center"/>
                </w:tcPr>
                <w:p>
                  <w:pPr>
                    <w:widowControl/>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准入清单类型</w:t>
                  </w:r>
                </w:p>
              </w:tc>
              <w:tc>
                <w:tcPr>
                  <w:tcW w:w="856" w:type="pct"/>
                  <w:noWrap w:val="0"/>
                  <w:vAlign w:val="center"/>
                </w:tcPr>
                <w:p>
                  <w:pPr>
                    <w:widowControl/>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管控类型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noWrap w:val="0"/>
                  <w:vAlign w:val="center"/>
                </w:tcPr>
                <w:p>
                  <w:pPr>
                    <w:pStyle w:val="131"/>
                    <w:widowControl/>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170" w:type="pct"/>
                  <w:noWrap w:val="0"/>
                  <w:vAlign w:val="center"/>
                </w:tcPr>
                <w:p>
                  <w:pPr>
                    <w:pStyle w:val="139"/>
                    <w:widowControl/>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ZH51081120005</w:t>
                  </w:r>
                </w:p>
              </w:tc>
              <w:tc>
                <w:tcPr>
                  <w:tcW w:w="909" w:type="pct"/>
                  <w:noWrap w:val="0"/>
                  <w:vAlign w:val="center"/>
                </w:tcPr>
                <w:p>
                  <w:pPr>
                    <w:pStyle w:val="139"/>
                    <w:widowControl/>
                    <w:spacing w:line="240" w:lineRule="auto"/>
                    <w:ind w:firstLine="0" w:firstLineChars="0"/>
                    <w:jc w:val="center"/>
                    <w:rPr>
                      <w:rFonts w:hint="eastAsia" w:ascii="宋体" w:hAnsi="宋体" w:eastAsia="宋体" w:cs="宋体"/>
                      <w:color w:val="auto"/>
                      <w:sz w:val="21"/>
                      <w:szCs w:val="21"/>
                    </w:rPr>
                  </w:pPr>
                  <w:r>
                    <w:rPr>
                      <w:rStyle w:val="32"/>
                      <w:rFonts w:hint="eastAsia" w:ascii="宋体" w:hAnsi="宋体" w:eastAsia="宋体" w:cs="宋体"/>
                      <w:kern w:val="2"/>
                      <w:sz w:val="21"/>
                      <w:szCs w:val="21"/>
                      <w:lang w:val="en-US" w:eastAsia="zh-CN" w:bidi="ar-SA"/>
                    </w:rPr>
                    <w:t>昭化区要素重点管控单元</w:t>
                  </w:r>
                </w:p>
              </w:tc>
              <w:tc>
                <w:tcPr>
                  <w:tcW w:w="565" w:type="pct"/>
                  <w:noWrap w:val="0"/>
                  <w:vAlign w:val="center"/>
                </w:tcPr>
                <w:p>
                  <w:pPr>
                    <w:pStyle w:val="139"/>
                    <w:widowControl/>
                    <w:spacing w:line="240" w:lineRule="auto"/>
                    <w:ind w:firstLine="0" w:firstLineChars="0"/>
                    <w:jc w:val="center"/>
                    <w:rPr>
                      <w:rFonts w:hint="eastAsia" w:ascii="宋体" w:hAnsi="宋体" w:eastAsia="宋体" w:cs="宋体"/>
                      <w:color w:val="auto"/>
                      <w:sz w:val="21"/>
                      <w:szCs w:val="21"/>
                    </w:rPr>
                  </w:pPr>
                  <w:r>
                    <w:rPr>
                      <w:rStyle w:val="32"/>
                      <w:rFonts w:hint="eastAsia" w:ascii="宋体" w:hAnsi="宋体" w:eastAsia="宋体" w:cs="宋体"/>
                      <w:kern w:val="2"/>
                      <w:sz w:val="21"/>
                      <w:szCs w:val="21"/>
                      <w:lang w:val="en-US" w:eastAsia="zh-CN" w:bidi="ar-SA"/>
                    </w:rPr>
                    <w:t>广元市</w:t>
                  </w:r>
                </w:p>
              </w:tc>
              <w:tc>
                <w:tcPr>
                  <w:tcW w:w="575" w:type="pct"/>
                  <w:noWrap w:val="0"/>
                  <w:vAlign w:val="center"/>
                </w:tcPr>
                <w:p>
                  <w:pPr>
                    <w:pStyle w:val="139"/>
                    <w:widowControl/>
                    <w:spacing w:line="240" w:lineRule="auto"/>
                    <w:ind w:firstLine="0" w:firstLineChars="0"/>
                    <w:jc w:val="center"/>
                    <w:rPr>
                      <w:rFonts w:hint="eastAsia" w:ascii="宋体" w:hAnsi="宋体" w:eastAsia="宋体" w:cs="宋体"/>
                      <w:color w:val="auto"/>
                      <w:sz w:val="21"/>
                      <w:szCs w:val="21"/>
                    </w:rPr>
                  </w:pPr>
                  <w:r>
                    <w:rPr>
                      <w:rStyle w:val="32"/>
                      <w:rFonts w:hint="eastAsia" w:ascii="宋体" w:hAnsi="宋体" w:eastAsia="宋体" w:cs="宋体"/>
                      <w:kern w:val="2"/>
                      <w:sz w:val="21"/>
                      <w:szCs w:val="21"/>
                      <w:lang w:val="en-US" w:eastAsia="zh-CN" w:bidi="ar-SA"/>
                    </w:rPr>
                    <w:t>昭化区</w:t>
                  </w:r>
                </w:p>
              </w:tc>
              <w:tc>
                <w:tcPr>
                  <w:tcW w:w="559" w:type="pct"/>
                  <w:noWrap w:val="0"/>
                  <w:vAlign w:val="center"/>
                </w:tcPr>
                <w:p>
                  <w:pPr>
                    <w:pStyle w:val="139"/>
                    <w:widowControl/>
                    <w:spacing w:line="240" w:lineRule="auto"/>
                    <w:ind w:firstLine="0" w:firstLineChars="0"/>
                    <w:jc w:val="center"/>
                    <w:rPr>
                      <w:rFonts w:hint="default" w:ascii="宋体" w:hAnsi="宋体" w:eastAsia="宋体" w:cs="宋体"/>
                      <w:color w:val="auto"/>
                      <w:sz w:val="21"/>
                      <w:szCs w:val="21"/>
                      <w:lang w:val="en-US"/>
                    </w:rPr>
                  </w:pPr>
                  <w:r>
                    <w:rPr>
                      <w:rStyle w:val="32"/>
                      <w:rFonts w:hint="eastAsia" w:ascii="宋体" w:hAnsi="宋体" w:eastAsia="宋体" w:cs="宋体"/>
                      <w:kern w:val="2"/>
                      <w:sz w:val="21"/>
                      <w:szCs w:val="21"/>
                      <w:lang w:val="en-US" w:eastAsia="zh-CN" w:bidi="ar-SA"/>
                    </w:rPr>
                    <w:t>环境综合</w:t>
                  </w:r>
                </w:p>
              </w:tc>
              <w:tc>
                <w:tcPr>
                  <w:tcW w:w="856" w:type="pct"/>
                  <w:noWrap w:val="0"/>
                  <w:vAlign w:val="center"/>
                </w:tcPr>
                <w:p>
                  <w:pPr>
                    <w:pStyle w:val="139"/>
                    <w:widowControl/>
                    <w:spacing w:line="240" w:lineRule="auto"/>
                    <w:ind w:firstLine="0" w:firstLineChars="0"/>
                    <w:jc w:val="center"/>
                    <w:rPr>
                      <w:rFonts w:hint="eastAsia" w:ascii="宋体" w:hAnsi="宋体" w:eastAsia="宋体" w:cs="宋体"/>
                      <w:color w:val="auto"/>
                      <w:sz w:val="21"/>
                      <w:szCs w:val="21"/>
                    </w:rPr>
                  </w:pPr>
                  <w:r>
                    <w:rPr>
                      <w:rStyle w:val="32"/>
                      <w:rFonts w:hint="eastAsia" w:ascii="宋体" w:hAnsi="宋体" w:eastAsia="宋体" w:cs="宋体"/>
                      <w:kern w:val="2"/>
                      <w:sz w:val="21"/>
                      <w:szCs w:val="21"/>
                      <w:lang w:val="en-US" w:eastAsia="zh-CN" w:bidi="ar-SA"/>
                    </w:rPr>
                    <w:t>环境综合管控单元要素重点管控单元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noWrap w:val="0"/>
                  <w:vAlign w:val="center"/>
                </w:tcPr>
                <w:p>
                  <w:pPr>
                    <w:pStyle w:val="131"/>
                    <w:widowControl/>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170" w:type="pct"/>
                  <w:noWrap w:val="0"/>
                  <w:vAlign w:val="center"/>
                </w:tcPr>
                <w:p>
                  <w:pPr>
                    <w:pStyle w:val="139"/>
                    <w:widowControl/>
                    <w:spacing w:line="240" w:lineRule="auto"/>
                    <w:ind w:firstLine="0" w:firstLineChars="0"/>
                    <w:jc w:val="center"/>
                    <w:rPr>
                      <w:rFonts w:hint="eastAsia" w:ascii="宋体" w:hAnsi="宋体" w:eastAsia="宋体" w:cs="宋体"/>
                      <w:color w:val="auto"/>
                      <w:sz w:val="21"/>
                      <w:szCs w:val="21"/>
                    </w:rPr>
                  </w:pPr>
                  <w:r>
                    <w:rPr>
                      <w:rStyle w:val="32"/>
                      <w:rFonts w:hint="eastAsia" w:ascii="宋体" w:hAnsi="宋体" w:eastAsia="宋体" w:cs="宋体"/>
                      <w:kern w:val="2"/>
                      <w:sz w:val="21"/>
                      <w:szCs w:val="21"/>
                      <w:lang w:val="en-US" w:eastAsia="zh-CN" w:bidi="ar-SA"/>
                    </w:rPr>
                    <w:t>YS5108113210001</w:t>
                  </w:r>
                </w:p>
              </w:tc>
              <w:tc>
                <w:tcPr>
                  <w:tcW w:w="909" w:type="pct"/>
                  <w:noWrap w:val="0"/>
                  <w:vAlign w:val="center"/>
                </w:tcPr>
                <w:p>
                  <w:pPr>
                    <w:pStyle w:val="139"/>
                    <w:widowControl/>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b w:val="0"/>
                      <w:bCs/>
                      <w:sz w:val="21"/>
                      <w:szCs w:val="21"/>
                      <w:highlight w:val="none"/>
                      <w:lang w:val="en-US" w:eastAsia="zh-CN"/>
                    </w:rPr>
                    <w:t>南渡-昭化区-管控单元</w:t>
                  </w:r>
                </w:p>
              </w:tc>
              <w:tc>
                <w:tcPr>
                  <w:tcW w:w="565" w:type="pct"/>
                  <w:noWrap w:val="0"/>
                  <w:vAlign w:val="center"/>
                </w:tcPr>
                <w:p>
                  <w:pPr>
                    <w:pStyle w:val="139"/>
                    <w:widowControl/>
                    <w:spacing w:line="240" w:lineRule="auto"/>
                    <w:ind w:firstLine="0" w:firstLineChars="0"/>
                    <w:jc w:val="center"/>
                    <w:rPr>
                      <w:rFonts w:hint="eastAsia" w:ascii="宋体" w:hAnsi="宋体" w:eastAsia="宋体" w:cs="宋体"/>
                      <w:color w:val="auto"/>
                      <w:sz w:val="21"/>
                      <w:szCs w:val="21"/>
                    </w:rPr>
                  </w:pPr>
                  <w:r>
                    <w:rPr>
                      <w:rStyle w:val="32"/>
                      <w:rFonts w:hint="eastAsia" w:ascii="宋体" w:hAnsi="宋体" w:eastAsia="宋体" w:cs="宋体"/>
                      <w:kern w:val="2"/>
                      <w:sz w:val="21"/>
                      <w:szCs w:val="21"/>
                      <w:lang w:val="en-US" w:eastAsia="zh-CN" w:bidi="ar-SA"/>
                    </w:rPr>
                    <w:t>广元市</w:t>
                  </w:r>
                </w:p>
              </w:tc>
              <w:tc>
                <w:tcPr>
                  <w:tcW w:w="575" w:type="pct"/>
                  <w:noWrap w:val="0"/>
                  <w:vAlign w:val="center"/>
                </w:tcPr>
                <w:p>
                  <w:pPr>
                    <w:pStyle w:val="139"/>
                    <w:widowControl/>
                    <w:spacing w:line="240" w:lineRule="auto"/>
                    <w:ind w:firstLine="0" w:firstLineChars="0"/>
                    <w:jc w:val="center"/>
                    <w:rPr>
                      <w:rFonts w:hint="eastAsia" w:ascii="宋体" w:hAnsi="宋体" w:eastAsia="宋体" w:cs="宋体"/>
                      <w:color w:val="auto"/>
                      <w:sz w:val="21"/>
                      <w:szCs w:val="21"/>
                    </w:rPr>
                  </w:pPr>
                  <w:r>
                    <w:rPr>
                      <w:rStyle w:val="32"/>
                      <w:rFonts w:hint="eastAsia" w:ascii="宋体" w:hAnsi="宋体" w:eastAsia="宋体" w:cs="宋体"/>
                      <w:kern w:val="2"/>
                      <w:sz w:val="21"/>
                      <w:szCs w:val="21"/>
                      <w:lang w:val="en-US" w:eastAsia="zh-CN" w:bidi="ar-SA"/>
                    </w:rPr>
                    <w:t>昭化区</w:t>
                  </w:r>
                </w:p>
              </w:tc>
              <w:tc>
                <w:tcPr>
                  <w:tcW w:w="559" w:type="pct"/>
                  <w:noWrap w:val="0"/>
                  <w:vAlign w:val="center"/>
                </w:tcPr>
                <w:p>
                  <w:pPr>
                    <w:pStyle w:val="139"/>
                    <w:widowControl/>
                    <w:spacing w:line="240" w:lineRule="auto"/>
                    <w:ind w:firstLine="0" w:firstLineChars="0"/>
                    <w:jc w:val="center"/>
                    <w:rPr>
                      <w:rFonts w:hint="eastAsia" w:ascii="宋体" w:hAnsi="宋体" w:eastAsia="宋体" w:cs="宋体"/>
                      <w:color w:val="auto"/>
                      <w:sz w:val="21"/>
                      <w:szCs w:val="21"/>
                    </w:rPr>
                  </w:pPr>
                  <w:r>
                    <w:rPr>
                      <w:rStyle w:val="32"/>
                      <w:rFonts w:hint="eastAsia" w:ascii="宋体" w:hAnsi="宋体" w:eastAsia="宋体" w:cs="宋体"/>
                      <w:kern w:val="2"/>
                      <w:sz w:val="21"/>
                      <w:szCs w:val="21"/>
                      <w:lang w:val="en-US" w:eastAsia="zh-CN" w:bidi="ar-SA"/>
                    </w:rPr>
                    <w:t>水环境分区</w:t>
                  </w:r>
                </w:p>
              </w:tc>
              <w:tc>
                <w:tcPr>
                  <w:tcW w:w="856" w:type="pct"/>
                  <w:noWrap w:val="0"/>
                  <w:vAlign w:val="center"/>
                </w:tcPr>
                <w:p>
                  <w:pPr>
                    <w:pStyle w:val="139"/>
                    <w:widowControl/>
                    <w:spacing w:line="240" w:lineRule="auto"/>
                    <w:ind w:firstLine="0" w:firstLineChars="0"/>
                    <w:jc w:val="center"/>
                    <w:rPr>
                      <w:rFonts w:hint="eastAsia" w:ascii="宋体" w:hAnsi="宋体" w:eastAsia="宋体" w:cs="宋体"/>
                      <w:color w:val="auto"/>
                      <w:sz w:val="21"/>
                      <w:szCs w:val="21"/>
                    </w:rPr>
                  </w:pPr>
                  <w:r>
                    <w:rPr>
                      <w:rStyle w:val="32"/>
                      <w:rFonts w:hint="eastAsia" w:ascii="宋体" w:hAnsi="宋体" w:eastAsia="宋体" w:cs="宋体"/>
                      <w:kern w:val="2"/>
                      <w:sz w:val="21"/>
                      <w:szCs w:val="21"/>
                      <w:lang w:val="en-US" w:eastAsia="zh-CN" w:bidi="ar-SA"/>
                    </w:rPr>
                    <w:t>水环境一般管控区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noWrap w:val="0"/>
                  <w:vAlign w:val="center"/>
                </w:tcPr>
                <w:p>
                  <w:pPr>
                    <w:pStyle w:val="131"/>
                    <w:widowControl/>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1170" w:type="pct"/>
                  <w:noWrap w:val="0"/>
                  <w:vAlign w:val="center"/>
                </w:tcPr>
                <w:p>
                  <w:pPr>
                    <w:jc w:val="center"/>
                    <w:rPr>
                      <w:rStyle w:val="32"/>
                      <w:rFonts w:hint="eastAsia" w:ascii="宋体" w:hAnsi="宋体" w:eastAsia="宋体" w:cs="宋体"/>
                      <w:kern w:val="2"/>
                      <w:sz w:val="21"/>
                      <w:szCs w:val="21"/>
                      <w:lang w:val="en-US" w:eastAsia="zh-CN" w:bidi="ar-SA"/>
                    </w:rPr>
                  </w:pPr>
                  <w:r>
                    <w:rPr>
                      <w:rStyle w:val="32"/>
                      <w:rFonts w:hint="eastAsia" w:ascii="宋体" w:hAnsi="宋体" w:eastAsia="宋体" w:cs="宋体"/>
                      <w:kern w:val="2"/>
                      <w:sz w:val="21"/>
                      <w:szCs w:val="21"/>
                      <w:lang w:val="en-US" w:eastAsia="zh-CN" w:bidi="ar-SA"/>
                    </w:rPr>
                    <w:t>YS5108112330001</w:t>
                  </w:r>
                </w:p>
              </w:tc>
              <w:tc>
                <w:tcPr>
                  <w:tcW w:w="909" w:type="pct"/>
                  <w:noWrap w:val="0"/>
                  <w:vAlign w:val="center"/>
                </w:tcPr>
                <w:p>
                  <w:pPr>
                    <w:pStyle w:val="139"/>
                    <w:widowControl/>
                    <w:spacing w:line="240" w:lineRule="auto"/>
                    <w:ind w:firstLine="0" w:firstLineChars="0"/>
                    <w:jc w:val="center"/>
                    <w:rPr>
                      <w:rStyle w:val="32"/>
                      <w:rFonts w:hint="eastAsia" w:ascii="宋体" w:hAnsi="宋体" w:eastAsia="宋体" w:cs="宋体"/>
                      <w:kern w:val="2"/>
                      <w:sz w:val="21"/>
                      <w:szCs w:val="21"/>
                      <w:lang w:val="en-US" w:eastAsia="zh-CN" w:bidi="ar-SA"/>
                    </w:rPr>
                  </w:pPr>
                  <w:r>
                    <w:rPr>
                      <w:rStyle w:val="32"/>
                      <w:rFonts w:hint="eastAsia" w:ascii="宋体" w:hAnsi="宋体" w:eastAsia="宋体" w:cs="宋体"/>
                      <w:kern w:val="2"/>
                      <w:sz w:val="21"/>
                      <w:szCs w:val="21"/>
                      <w:lang w:val="en-US" w:eastAsia="zh-CN" w:bidi="ar-SA"/>
                    </w:rPr>
                    <w:t>昭化区大气环境弱扩散重点管控区</w:t>
                  </w:r>
                </w:p>
              </w:tc>
              <w:tc>
                <w:tcPr>
                  <w:tcW w:w="565" w:type="pct"/>
                  <w:noWrap w:val="0"/>
                  <w:vAlign w:val="center"/>
                </w:tcPr>
                <w:p>
                  <w:pPr>
                    <w:pStyle w:val="139"/>
                    <w:widowControl/>
                    <w:spacing w:line="240" w:lineRule="auto"/>
                    <w:ind w:firstLine="0" w:firstLineChars="0"/>
                    <w:jc w:val="center"/>
                    <w:rPr>
                      <w:rStyle w:val="32"/>
                      <w:rFonts w:hint="eastAsia" w:ascii="宋体" w:hAnsi="宋体" w:eastAsia="宋体" w:cs="宋体"/>
                      <w:kern w:val="2"/>
                      <w:sz w:val="21"/>
                      <w:szCs w:val="21"/>
                      <w:lang w:val="en-US" w:eastAsia="zh-CN" w:bidi="ar-SA"/>
                    </w:rPr>
                  </w:pPr>
                  <w:r>
                    <w:rPr>
                      <w:rStyle w:val="32"/>
                      <w:rFonts w:hint="eastAsia" w:ascii="宋体" w:hAnsi="宋体" w:eastAsia="宋体" w:cs="宋体"/>
                      <w:kern w:val="2"/>
                      <w:sz w:val="21"/>
                      <w:szCs w:val="21"/>
                      <w:lang w:val="en-US" w:eastAsia="zh-CN" w:bidi="ar-SA"/>
                    </w:rPr>
                    <w:t>广元市</w:t>
                  </w:r>
                </w:p>
              </w:tc>
              <w:tc>
                <w:tcPr>
                  <w:tcW w:w="575" w:type="pct"/>
                  <w:noWrap w:val="0"/>
                  <w:vAlign w:val="center"/>
                </w:tcPr>
                <w:p>
                  <w:pPr>
                    <w:pStyle w:val="139"/>
                    <w:widowControl/>
                    <w:spacing w:line="240" w:lineRule="auto"/>
                    <w:ind w:firstLine="0" w:firstLineChars="0"/>
                    <w:jc w:val="center"/>
                    <w:rPr>
                      <w:rStyle w:val="32"/>
                      <w:rFonts w:hint="eastAsia" w:ascii="宋体" w:hAnsi="宋体" w:eastAsia="宋体" w:cs="宋体"/>
                      <w:kern w:val="2"/>
                      <w:sz w:val="21"/>
                      <w:szCs w:val="21"/>
                      <w:lang w:val="en-US" w:eastAsia="zh-CN" w:bidi="ar-SA"/>
                    </w:rPr>
                  </w:pPr>
                  <w:r>
                    <w:rPr>
                      <w:rStyle w:val="32"/>
                      <w:rFonts w:hint="eastAsia" w:ascii="宋体" w:hAnsi="宋体" w:eastAsia="宋体" w:cs="宋体"/>
                      <w:kern w:val="2"/>
                      <w:sz w:val="21"/>
                      <w:szCs w:val="21"/>
                      <w:lang w:val="en-US" w:eastAsia="zh-CN" w:bidi="ar-SA"/>
                    </w:rPr>
                    <w:t>昭化区</w:t>
                  </w:r>
                </w:p>
              </w:tc>
              <w:tc>
                <w:tcPr>
                  <w:tcW w:w="559" w:type="pct"/>
                  <w:noWrap w:val="0"/>
                  <w:vAlign w:val="center"/>
                </w:tcPr>
                <w:p>
                  <w:pPr>
                    <w:pStyle w:val="139"/>
                    <w:widowControl/>
                    <w:spacing w:line="240" w:lineRule="auto"/>
                    <w:ind w:firstLine="0" w:firstLineChars="0"/>
                    <w:jc w:val="center"/>
                    <w:rPr>
                      <w:rStyle w:val="32"/>
                      <w:rFonts w:hint="default" w:ascii="宋体" w:hAnsi="宋体" w:eastAsia="宋体" w:cs="宋体"/>
                      <w:kern w:val="2"/>
                      <w:sz w:val="21"/>
                      <w:szCs w:val="21"/>
                      <w:lang w:val="en-US" w:eastAsia="zh-CN" w:bidi="ar-SA"/>
                    </w:rPr>
                  </w:pPr>
                  <w:r>
                    <w:rPr>
                      <w:rStyle w:val="32"/>
                      <w:rFonts w:hint="eastAsia" w:ascii="宋体" w:hAnsi="宋体" w:eastAsia="宋体" w:cs="宋体"/>
                      <w:kern w:val="2"/>
                      <w:sz w:val="21"/>
                      <w:szCs w:val="21"/>
                      <w:lang w:val="en-US" w:eastAsia="zh-CN" w:bidi="ar-SA"/>
                    </w:rPr>
                    <w:t>大气环境分区</w:t>
                  </w:r>
                </w:p>
              </w:tc>
              <w:tc>
                <w:tcPr>
                  <w:tcW w:w="856" w:type="pct"/>
                  <w:noWrap w:val="0"/>
                  <w:vAlign w:val="center"/>
                </w:tcPr>
                <w:p>
                  <w:pPr>
                    <w:jc w:val="center"/>
                    <w:rPr>
                      <w:rStyle w:val="32"/>
                      <w:rFonts w:hint="eastAsia" w:ascii="宋体" w:hAnsi="宋体" w:eastAsia="宋体" w:cs="宋体"/>
                      <w:kern w:val="2"/>
                      <w:sz w:val="21"/>
                      <w:szCs w:val="21"/>
                      <w:lang w:val="en-US" w:eastAsia="zh-CN" w:bidi="ar-SA"/>
                    </w:rPr>
                  </w:pPr>
                  <w:r>
                    <w:rPr>
                      <w:rStyle w:val="32"/>
                      <w:rFonts w:hint="eastAsia" w:ascii="宋体" w:hAnsi="宋体" w:eastAsia="宋体" w:cs="宋体"/>
                      <w:kern w:val="2"/>
                      <w:sz w:val="21"/>
                      <w:szCs w:val="21"/>
                      <w:lang w:val="en-US" w:eastAsia="zh-CN" w:bidi="ar-SA"/>
                    </w:rPr>
                    <w:t>大气环境弱扩散重点管控区</w:t>
                  </w:r>
                </w:p>
                <w:p>
                  <w:pPr>
                    <w:pStyle w:val="139"/>
                    <w:widowControl/>
                    <w:spacing w:line="240" w:lineRule="auto"/>
                    <w:ind w:firstLine="0" w:firstLineChars="0"/>
                    <w:jc w:val="center"/>
                    <w:rPr>
                      <w:rStyle w:val="32"/>
                      <w:rFonts w:hint="eastAsia" w:ascii="宋体" w:hAnsi="宋体" w:eastAsia="宋体" w:cs="宋体"/>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noWrap w:val="0"/>
                  <w:vAlign w:val="center"/>
                </w:tcPr>
                <w:p>
                  <w:pPr>
                    <w:pStyle w:val="131"/>
                    <w:widowControl/>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1170" w:type="pct"/>
                  <w:noWrap w:val="0"/>
                  <w:vAlign w:val="center"/>
                </w:tcPr>
                <w:p>
                  <w:pPr>
                    <w:jc w:val="center"/>
                    <w:rPr>
                      <w:rStyle w:val="32"/>
                      <w:rFonts w:hint="eastAsia" w:ascii="宋体" w:hAnsi="宋体" w:eastAsia="宋体" w:cs="宋体"/>
                      <w:kern w:val="2"/>
                      <w:sz w:val="21"/>
                      <w:szCs w:val="21"/>
                      <w:lang w:val="en-US" w:eastAsia="zh-CN" w:bidi="ar-SA"/>
                    </w:rPr>
                  </w:pPr>
                  <w:r>
                    <w:rPr>
                      <w:rStyle w:val="32"/>
                      <w:rFonts w:hint="eastAsia" w:ascii="宋体" w:hAnsi="宋体" w:eastAsia="宋体" w:cs="宋体"/>
                      <w:kern w:val="2"/>
                      <w:sz w:val="21"/>
                      <w:szCs w:val="21"/>
                      <w:lang w:val="en-US" w:eastAsia="zh-CN" w:bidi="ar-SA"/>
                    </w:rPr>
                    <w:t>YS5108111410002</w:t>
                  </w:r>
                </w:p>
              </w:tc>
              <w:tc>
                <w:tcPr>
                  <w:tcW w:w="909" w:type="pct"/>
                  <w:noWrap w:val="0"/>
                  <w:vAlign w:val="center"/>
                </w:tcPr>
                <w:p>
                  <w:pPr>
                    <w:pStyle w:val="139"/>
                    <w:widowControl/>
                    <w:spacing w:line="240" w:lineRule="auto"/>
                    <w:ind w:firstLine="0" w:firstLineChars="0"/>
                    <w:jc w:val="center"/>
                    <w:rPr>
                      <w:rStyle w:val="32"/>
                      <w:rFonts w:hint="eastAsia" w:ascii="宋体" w:hAnsi="宋体" w:eastAsia="宋体" w:cs="宋体"/>
                      <w:kern w:val="2"/>
                      <w:sz w:val="21"/>
                      <w:szCs w:val="21"/>
                      <w:lang w:val="en-US" w:eastAsia="zh-CN" w:bidi="ar-SA"/>
                    </w:rPr>
                  </w:pPr>
                  <w:r>
                    <w:rPr>
                      <w:rStyle w:val="32"/>
                      <w:rFonts w:hint="eastAsia" w:ascii="宋体" w:hAnsi="宋体" w:eastAsia="宋体" w:cs="宋体"/>
                      <w:kern w:val="2"/>
                      <w:sz w:val="21"/>
                      <w:szCs w:val="21"/>
                      <w:lang w:val="en-US" w:eastAsia="zh-CN" w:bidi="ar-SA"/>
                    </w:rPr>
                    <w:t>昭化区土壤优先保护区</w:t>
                  </w:r>
                </w:p>
              </w:tc>
              <w:tc>
                <w:tcPr>
                  <w:tcW w:w="565" w:type="pct"/>
                  <w:noWrap w:val="0"/>
                  <w:vAlign w:val="center"/>
                </w:tcPr>
                <w:p>
                  <w:pPr>
                    <w:pStyle w:val="139"/>
                    <w:widowControl/>
                    <w:spacing w:line="240" w:lineRule="auto"/>
                    <w:ind w:firstLine="0" w:firstLineChars="0"/>
                    <w:jc w:val="center"/>
                    <w:rPr>
                      <w:rStyle w:val="32"/>
                      <w:rFonts w:hint="eastAsia" w:ascii="宋体" w:hAnsi="宋体" w:eastAsia="宋体" w:cs="宋体"/>
                      <w:kern w:val="2"/>
                      <w:sz w:val="21"/>
                      <w:szCs w:val="21"/>
                      <w:lang w:val="en-US" w:eastAsia="zh-CN" w:bidi="ar-SA"/>
                    </w:rPr>
                  </w:pPr>
                  <w:r>
                    <w:rPr>
                      <w:rStyle w:val="32"/>
                      <w:rFonts w:hint="eastAsia" w:ascii="宋体" w:hAnsi="宋体" w:eastAsia="宋体" w:cs="宋体"/>
                      <w:kern w:val="2"/>
                      <w:sz w:val="21"/>
                      <w:szCs w:val="21"/>
                      <w:lang w:val="en-US" w:eastAsia="zh-CN" w:bidi="ar-SA"/>
                    </w:rPr>
                    <w:t>广元市</w:t>
                  </w:r>
                </w:p>
              </w:tc>
              <w:tc>
                <w:tcPr>
                  <w:tcW w:w="575" w:type="pct"/>
                  <w:noWrap w:val="0"/>
                  <w:vAlign w:val="center"/>
                </w:tcPr>
                <w:p>
                  <w:pPr>
                    <w:pStyle w:val="139"/>
                    <w:widowControl/>
                    <w:spacing w:line="240" w:lineRule="auto"/>
                    <w:ind w:firstLine="0" w:firstLineChars="0"/>
                    <w:jc w:val="center"/>
                    <w:rPr>
                      <w:rStyle w:val="32"/>
                      <w:rFonts w:hint="eastAsia" w:ascii="宋体" w:hAnsi="宋体" w:eastAsia="宋体" w:cs="宋体"/>
                      <w:kern w:val="2"/>
                      <w:sz w:val="21"/>
                      <w:szCs w:val="21"/>
                      <w:lang w:val="en-US" w:eastAsia="zh-CN" w:bidi="ar-SA"/>
                    </w:rPr>
                  </w:pPr>
                  <w:r>
                    <w:rPr>
                      <w:rStyle w:val="32"/>
                      <w:rFonts w:hint="eastAsia" w:ascii="宋体" w:hAnsi="宋体" w:eastAsia="宋体" w:cs="宋体"/>
                      <w:kern w:val="2"/>
                      <w:sz w:val="21"/>
                      <w:szCs w:val="21"/>
                      <w:lang w:val="en-US" w:eastAsia="zh-CN" w:bidi="ar-SA"/>
                    </w:rPr>
                    <w:t>昭化区</w:t>
                  </w:r>
                </w:p>
              </w:tc>
              <w:tc>
                <w:tcPr>
                  <w:tcW w:w="559" w:type="pct"/>
                  <w:noWrap w:val="0"/>
                  <w:vAlign w:val="center"/>
                </w:tcPr>
                <w:p>
                  <w:pPr>
                    <w:pStyle w:val="139"/>
                    <w:widowControl/>
                    <w:spacing w:line="240" w:lineRule="auto"/>
                    <w:ind w:firstLine="0" w:firstLineChars="0"/>
                    <w:jc w:val="center"/>
                    <w:rPr>
                      <w:rStyle w:val="32"/>
                      <w:rFonts w:hint="default" w:ascii="宋体" w:hAnsi="宋体" w:eastAsia="宋体" w:cs="宋体"/>
                      <w:kern w:val="2"/>
                      <w:sz w:val="21"/>
                      <w:szCs w:val="21"/>
                      <w:lang w:val="en-US" w:eastAsia="zh-CN" w:bidi="ar-SA"/>
                    </w:rPr>
                  </w:pPr>
                  <w:r>
                    <w:rPr>
                      <w:rStyle w:val="32"/>
                      <w:rFonts w:hint="eastAsia" w:ascii="宋体" w:hAnsi="宋体" w:eastAsia="宋体" w:cs="宋体"/>
                      <w:kern w:val="2"/>
                      <w:sz w:val="21"/>
                      <w:szCs w:val="21"/>
                      <w:lang w:val="en-US" w:eastAsia="zh-CN" w:bidi="ar-SA"/>
                    </w:rPr>
                    <w:t>土壤环境</w:t>
                  </w:r>
                </w:p>
              </w:tc>
              <w:tc>
                <w:tcPr>
                  <w:tcW w:w="856" w:type="pct"/>
                  <w:noWrap w:val="0"/>
                  <w:vAlign w:val="center"/>
                </w:tcPr>
                <w:p>
                  <w:pPr>
                    <w:pStyle w:val="139"/>
                    <w:widowControl/>
                    <w:spacing w:line="240" w:lineRule="auto"/>
                    <w:ind w:firstLine="0" w:firstLineChars="0"/>
                    <w:jc w:val="center"/>
                    <w:rPr>
                      <w:rStyle w:val="32"/>
                      <w:rFonts w:hint="eastAsia" w:ascii="宋体" w:hAnsi="宋体" w:eastAsia="宋体" w:cs="宋体"/>
                      <w:kern w:val="2"/>
                      <w:sz w:val="21"/>
                      <w:szCs w:val="21"/>
                      <w:lang w:val="en-US" w:eastAsia="zh-CN" w:bidi="ar-SA"/>
                    </w:rPr>
                  </w:pPr>
                  <w:r>
                    <w:rPr>
                      <w:rStyle w:val="32"/>
                      <w:rFonts w:hint="eastAsia" w:ascii="宋体" w:hAnsi="宋体" w:eastAsia="宋体" w:cs="宋体"/>
                      <w:kern w:val="2"/>
                      <w:sz w:val="21"/>
                      <w:szCs w:val="21"/>
                      <w:lang w:val="en-US" w:eastAsia="zh-CN" w:bidi="ar-SA"/>
                    </w:rPr>
                    <w:t>农用地优先保护区</w:t>
                  </w:r>
                </w:p>
              </w:tc>
            </w:tr>
          </w:tbl>
          <w:p>
            <w:pPr>
              <w:pStyle w:val="28"/>
              <w:rPr>
                <w:lang w:eastAsia="zh-Hans"/>
              </w:rPr>
            </w:pPr>
            <w:r>
              <w:rPr>
                <w:color w:val="auto"/>
                <w:sz w:val="24"/>
              </w:rPr>
              <w:t>本项目与“三线一单”相关要求的符合性分析见下表。</w:t>
            </w:r>
          </w:p>
          <w:p/>
          <w:p>
            <w:pPr>
              <w:pStyle w:val="69"/>
              <w:keepNext/>
              <w:numPr>
                <w:ilvl w:val="0"/>
                <w:numId w:val="0"/>
              </w:numPr>
              <w:ind w:left="288" w:leftChars="0"/>
              <w:jc w:val="center"/>
              <w:rPr>
                <w:rFonts w:hint="eastAsia"/>
                <w:b/>
                <w:color w:val="auto"/>
                <w:szCs w:val="21"/>
                <w:lang w:val="en-US" w:eastAsia="zh-CN"/>
              </w:rPr>
            </w:pPr>
          </w:p>
          <w:p>
            <w:pPr>
              <w:pStyle w:val="69"/>
              <w:keepNext/>
              <w:numPr>
                <w:ilvl w:val="0"/>
                <w:numId w:val="0"/>
              </w:numPr>
              <w:ind w:left="288" w:leftChars="0"/>
              <w:jc w:val="center"/>
              <w:rPr>
                <w:rFonts w:hint="eastAsia"/>
                <w:b/>
                <w:color w:val="auto"/>
                <w:szCs w:val="21"/>
                <w:lang w:val="en-US" w:eastAsia="zh-CN"/>
              </w:rPr>
            </w:pPr>
          </w:p>
          <w:p>
            <w:pPr>
              <w:pStyle w:val="69"/>
              <w:keepNext/>
              <w:numPr>
                <w:ilvl w:val="0"/>
                <w:numId w:val="0"/>
              </w:numPr>
              <w:ind w:left="288" w:leftChars="0"/>
              <w:jc w:val="center"/>
              <w:rPr>
                <w:rFonts w:hint="eastAsia"/>
                <w:b/>
                <w:color w:val="auto"/>
                <w:szCs w:val="21"/>
                <w:lang w:val="en-US" w:eastAsia="zh-CN"/>
              </w:rPr>
            </w:pPr>
          </w:p>
          <w:p>
            <w:pPr>
              <w:pStyle w:val="69"/>
              <w:keepNext/>
              <w:numPr>
                <w:ilvl w:val="0"/>
                <w:numId w:val="0"/>
              </w:numPr>
              <w:ind w:left="288" w:leftChars="0"/>
              <w:jc w:val="center"/>
              <w:rPr>
                <w:rFonts w:hint="eastAsia"/>
                <w:b/>
                <w:color w:val="auto"/>
                <w:szCs w:val="21"/>
                <w:lang w:val="en-US" w:eastAsia="zh-CN"/>
              </w:rPr>
            </w:pPr>
          </w:p>
          <w:p>
            <w:pPr>
              <w:pStyle w:val="69"/>
              <w:keepNext/>
              <w:numPr>
                <w:ilvl w:val="0"/>
                <w:numId w:val="0"/>
              </w:numPr>
              <w:ind w:left="288" w:leftChars="0"/>
              <w:jc w:val="center"/>
              <w:rPr>
                <w:rFonts w:hint="eastAsia"/>
                <w:b/>
                <w:color w:val="auto"/>
                <w:szCs w:val="21"/>
                <w:lang w:val="en-US" w:eastAsia="zh-CN"/>
              </w:rPr>
            </w:pPr>
          </w:p>
          <w:p>
            <w:pPr>
              <w:pStyle w:val="69"/>
              <w:keepNext/>
              <w:numPr>
                <w:ilvl w:val="0"/>
                <w:numId w:val="0"/>
              </w:numPr>
              <w:ind w:left="288" w:leftChars="0"/>
              <w:jc w:val="center"/>
              <w:rPr>
                <w:rFonts w:hint="eastAsia"/>
                <w:b/>
                <w:color w:val="auto"/>
                <w:szCs w:val="21"/>
                <w:lang w:val="en-US" w:eastAsia="zh-CN"/>
              </w:rPr>
            </w:pPr>
          </w:p>
          <w:p>
            <w:pPr>
              <w:pStyle w:val="69"/>
              <w:keepNext/>
              <w:numPr>
                <w:ilvl w:val="0"/>
                <w:numId w:val="0"/>
              </w:numPr>
              <w:ind w:left="288" w:leftChars="0"/>
              <w:jc w:val="center"/>
              <w:rPr>
                <w:rFonts w:hint="eastAsia"/>
                <w:b/>
                <w:color w:val="auto"/>
                <w:szCs w:val="21"/>
                <w:lang w:val="en-US" w:eastAsia="zh-CN"/>
              </w:rPr>
            </w:pPr>
          </w:p>
          <w:p>
            <w:pPr>
              <w:pStyle w:val="69"/>
              <w:keepNext/>
              <w:numPr>
                <w:ilvl w:val="0"/>
                <w:numId w:val="0"/>
              </w:numPr>
              <w:ind w:left="288" w:leftChars="0"/>
              <w:jc w:val="center"/>
              <w:rPr>
                <w:rFonts w:hint="eastAsia"/>
                <w:b/>
                <w:color w:val="auto"/>
                <w:szCs w:val="21"/>
                <w:lang w:val="en-US" w:eastAsia="zh-CN"/>
              </w:rPr>
            </w:pPr>
          </w:p>
          <w:p>
            <w:pPr>
              <w:pStyle w:val="69"/>
              <w:keepNext/>
              <w:numPr>
                <w:ilvl w:val="0"/>
                <w:numId w:val="0"/>
              </w:numPr>
              <w:ind w:left="288" w:leftChars="0"/>
              <w:jc w:val="center"/>
              <w:rPr>
                <w:rFonts w:hint="default" w:ascii="宋体" w:hAnsi="宋体" w:eastAsia="宋体" w:cs="宋体"/>
                <w:kern w:val="0"/>
                <w:sz w:val="24"/>
                <w:szCs w:val="24"/>
                <w:lang w:val="en-US" w:eastAsia="zh-CN"/>
              </w:rPr>
            </w:pPr>
            <w:r>
              <w:rPr>
                <w:rFonts w:hint="eastAsia"/>
                <w:b/>
                <w:color w:val="auto"/>
                <w:szCs w:val="21"/>
                <w:lang w:val="en-US" w:eastAsia="zh-CN"/>
              </w:rPr>
              <w:t xml:space="preserve">表1-2 </w:t>
            </w:r>
            <w:r>
              <w:rPr>
                <w:b/>
                <w:color w:val="auto"/>
                <w:szCs w:val="21"/>
              </w:rPr>
              <w:t>本项目与“三线一单”相关要求的符合性分析</w:t>
            </w:r>
          </w:p>
        </w:tc>
      </w:tr>
    </w:tbl>
    <w:p>
      <w:pPr>
        <w:spacing w:line="360" w:lineRule="auto"/>
        <w:outlineLvl w:val="0"/>
        <w:rPr>
          <w:rFonts w:eastAsia="黑体"/>
          <w:sz w:val="30"/>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numberInDash" w:start="1"/>
          <w:cols w:space="720" w:num="1"/>
          <w:docGrid w:linePitch="312" w:charSpace="0"/>
        </w:sectPr>
      </w:pPr>
    </w:p>
    <w:tbl>
      <w:tblPr>
        <w:tblStyle w:val="31"/>
        <w:tblW w:w="141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3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1" w:hRule="atLeast"/>
        </w:trPr>
        <w:tc>
          <w:tcPr>
            <w:tcW w:w="683" w:type="dxa"/>
            <w:noWrap w:val="0"/>
            <w:vAlign w:val="top"/>
          </w:tcPr>
          <w:p>
            <w:pPr>
              <w:pStyle w:val="28"/>
              <w:rPr>
                <w:vertAlign w:val="baseline"/>
              </w:rPr>
            </w:pPr>
          </w:p>
        </w:tc>
        <w:tc>
          <w:tcPr>
            <w:tcW w:w="13498" w:type="dxa"/>
            <w:noWrap w:val="0"/>
            <w:vAlign w:val="top"/>
          </w:tcPr>
          <w:tbl>
            <w:tblPr>
              <w:tblStyle w:val="133"/>
              <w:tblW w:w="133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2"/>
              <w:gridCol w:w="826"/>
              <w:gridCol w:w="750"/>
              <w:gridCol w:w="7419"/>
              <w:gridCol w:w="1342"/>
              <w:gridCol w:w="11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817" w:type="dxa"/>
                  <w:gridSpan w:val="4"/>
                  <w:tcBorders>
                    <w:tl2br w:val="nil"/>
                    <w:tr2bl w:val="nil"/>
                  </w:tcBorders>
                  <w:noWrap w:val="0"/>
                  <w:vAlign w:val="top"/>
                </w:tcPr>
                <w:p>
                  <w:pPr>
                    <w:ind w:left="-840" w:leftChars="-400" w:firstLine="0" w:firstLineChars="0"/>
                    <w:jc w:val="center"/>
                    <w:rPr>
                      <w:rFonts w:hint="eastAsia"/>
                      <w:b/>
                      <w:bCs w:val="0"/>
                      <w:sz w:val="21"/>
                      <w:szCs w:val="21"/>
                    </w:rPr>
                  </w:pPr>
                  <w:r>
                    <w:rPr>
                      <w:rFonts w:hint="eastAsia"/>
                      <w:b/>
                      <w:bCs w:val="0"/>
                      <w:sz w:val="21"/>
                      <w:szCs w:val="21"/>
                    </w:rPr>
                    <w:t>“三线一单”的具体要求</w:t>
                  </w:r>
                </w:p>
              </w:tc>
              <w:tc>
                <w:tcPr>
                  <w:tcW w:w="1342" w:type="dxa"/>
                  <w:vMerge w:val="restart"/>
                  <w:tcBorders>
                    <w:tl2br w:val="nil"/>
                    <w:tr2bl w:val="nil"/>
                  </w:tcBorders>
                  <w:noWrap w:val="0"/>
                  <w:vAlign w:val="top"/>
                </w:tcPr>
                <w:p>
                  <w:pPr>
                    <w:jc w:val="center"/>
                    <w:rPr>
                      <w:rFonts w:hint="eastAsia"/>
                      <w:b/>
                      <w:bCs w:val="0"/>
                      <w:sz w:val="21"/>
                      <w:szCs w:val="21"/>
                    </w:rPr>
                  </w:pPr>
                  <w:r>
                    <w:rPr>
                      <w:rFonts w:hint="eastAsia"/>
                      <w:b/>
                      <w:bCs w:val="0"/>
                      <w:sz w:val="21"/>
                      <w:szCs w:val="21"/>
                    </w:rPr>
                    <w:t>项目对应情况介绍</w:t>
                  </w:r>
                </w:p>
              </w:tc>
              <w:tc>
                <w:tcPr>
                  <w:tcW w:w="1159" w:type="dxa"/>
                  <w:vMerge w:val="restart"/>
                  <w:tcBorders>
                    <w:tl2br w:val="nil"/>
                    <w:tr2bl w:val="nil"/>
                  </w:tcBorders>
                  <w:noWrap w:val="0"/>
                  <w:vAlign w:val="top"/>
                </w:tcPr>
                <w:p>
                  <w:pPr>
                    <w:jc w:val="center"/>
                    <w:rPr>
                      <w:rFonts w:hint="eastAsia"/>
                      <w:b/>
                      <w:bCs w:val="0"/>
                      <w:sz w:val="21"/>
                      <w:szCs w:val="21"/>
                    </w:rPr>
                  </w:pPr>
                  <w:r>
                    <w:rPr>
                      <w:rFonts w:hint="eastAsia"/>
                      <w:b/>
                      <w:bCs w:val="0"/>
                      <w:sz w:val="21"/>
                      <w:szCs w:val="21"/>
                    </w:rPr>
                    <w:t>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3398" w:type="dxa"/>
                  <w:gridSpan w:val="3"/>
                  <w:tcBorders>
                    <w:tl2br w:val="nil"/>
                    <w:tr2bl w:val="nil"/>
                  </w:tcBorders>
                  <w:noWrap w:val="0"/>
                  <w:vAlign w:val="top"/>
                </w:tcPr>
                <w:p>
                  <w:pPr>
                    <w:jc w:val="center"/>
                    <w:rPr>
                      <w:rFonts w:hint="eastAsia"/>
                      <w:b/>
                      <w:bCs w:val="0"/>
                      <w:sz w:val="21"/>
                      <w:szCs w:val="21"/>
                    </w:rPr>
                  </w:pPr>
                  <w:r>
                    <w:rPr>
                      <w:rFonts w:hint="eastAsia"/>
                      <w:b/>
                      <w:bCs w:val="0"/>
                      <w:sz w:val="21"/>
                      <w:szCs w:val="21"/>
                    </w:rPr>
                    <w:t>类别</w:t>
                  </w:r>
                </w:p>
              </w:tc>
              <w:tc>
                <w:tcPr>
                  <w:tcW w:w="7419" w:type="dxa"/>
                  <w:tcBorders>
                    <w:tl2br w:val="nil"/>
                    <w:tr2bl w:val="nil"/>
                  </w:tcBorders>
                  <w:noWrap w:val="0"/>
                  <w:vAlign w:val="top"/>
                </w:tcPr>
                <w:p>
                  <w:pPr>
                    <w:jc w:val="center"/>
                    <w:rPr>
                      <w:rFonts w:hint="eastAsia"/>
                      <w:b/>
                      <w:bCs w:val="0"/>
                      <w:sz w:val="21"/>
                      <w:szCs w:val="21"/>
                    </w:rPr>
                  </w:pPr>
                  <w:r>
                    <w:rPr>
                      <w:rFonts w:hint="eastAsia"/>
                      <w:b/>
                      <w:bCs w:val="0"/>
                      <w:sz w:val="21"/>
                      <w:szCs w:val="21"/>
                    </w:rPr>
                    <w:t>对应管控要求</w:t>
                  </w:r>
                </w:p>
              </w:tc>
              <w:tc>
                <w:tcPr>
                  <w:tcW w:w="1342" w:type="dxa"/>
                  <w:vMerge w:val="continue"/>
                  <w:tcBorders>
                    <w:tl2br w:val="nil"/>
                    <w:tr2bl w:val="nil"/>
                  </w:tcBorders>
                  <w:noWrap w:val="0"/>
                  <w:vAlign w:val="top"/>
                </w:tcPr>
                <w:p>
                  <w:pPr>
                    <w:jc w:val="center"/>
                    <w:rPr>
                      <w:rFonts w:hint="eastAsia"/>
                      <w:bCs/>
                      <w:sz w:val="21"/>
                      <w:szCs w:val="21"/>
                    </w:rPr>
                  </w:pPr>
                </w:p>
              </w:tc>
              <w:tc>
                <w:tcPr>
                  <w:tcW w:w="1159" w:type="dxa"/>
                  <w:vMerge w:val="continue"/>
                  <w:tcBorders>
                    <w:tl2br w:val="nil"/>
                    <w:tr2bl w:val="nil"/>
                  </w:tcBorders>
                  <w:noWrap w:val="0"/>
                  <w:vAlign w:val="top"/>
                </w:tcPr>
                <w:p>
                  <w:pPr>
                    <w:jc w:val="center"/>
                    <w:rPr>
                      <w:rFonts w:hint="eastAsia"/>
                      <w:bCs/>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822" w:type="dxa"/>
                  <w:vMerge w:val="restart"/>
                  <w:tcBorders>
                    <w:tl2br w:val="nil"/>
                    <w:tr2bl w:val="nil"/>
                  </w:tcBorders>
                  <w:noWrap w:val="0"/>
                  <w:vAlign w:val="top"/>
                </w:tcPr>
                <w:p>
                  <w:pPr>
                    <w:jc w:val="center"/>
                    <w:rPr>
                      <w:rFonts w:hint="default" w:ascii="Times New Roman" w:hAnsi="Times New Roman" w:cs="Times New Roman"/>
                      <w:bCs/>
                      <w:sz w:val="21"/>
                      <w:szCs w:val="21"/>
                    </w:rPr>
                  </w:pPr>
                  <w:r>
                    <w:rPr>
                      <w:rFonts w:hint="default" w:ascii="Times New Roman" w:hAnsi="Times New Roman" w:cs="Times New Roman"/>
                      <w:b/>
                      <w:bCs w:val="0"/>
                      <w:sz w:val="21"/>
                      <w:szCs w:val="21"/>
                    </w:rPr>
                    <w:t>环境管控单元分类：</w:t>
                  </w:r>
                  <w:r>
                    <w:rPr>
                      <w:rStyle w:val="32"/>
                      <w:rFonts w:hint="eastAsia" w:ascii="宋体" w:hAnsi="宋体" w:eastAsia="宋体" w:cs="Times New Roman"/>
                      <w:kern w:val="2"/>
                      <w:sz w:val="21"/>
                      <w:szCs w:val="21"/>
                      <w:lang w:val="en-US" w:eastAsia="zh-CN" w:bidi="ar-SA"/>
                    </w:rPr>
                    <w:t>环境综合管控单元要素重点管控单元</w:t>
                  </w:r>
                </w:p>
                <w:p>
                  <w:pPr>
                    <w:jc w:val="center"/>
                    <w:rPr>
                      <w:rFonts w:hint="default" w:ascii="Times New Roman" w:hAnsi="Times New Roman" w:cs="Times New Roman"/>
                      <w:bCs/>
                      <w:sz w:val="21"/>
                      <w:szCs w:val="21"/>
                      <w:highlight w:val="yellow"/>
                    </w:rPr>
                  </w:pPr>
                  <w:r>
                    <w:rPr>
                      <w:rFonts w:hint="default" w:ascii="Times New Roman" w:hAnsi="Times New Roman" w:cs="Times New Roman"/>
                      <w:b/>
                      <w:bCs w:val="0"/>
                      <w:sz w:val="21"/>
                      <w:szCs w:val="21"/>
                    </w:rPr>
                    <w:t>编码：</w:t>
                  </w:r>
                  <w:r>
                    <w:rPr>
                      <w:rFonts w:hint="default" w:ascii="Times New Roman" w:hAnsi="Times New Roman" w:cs="Times New Roman"/>
                      <w:b w:val="0"/>
                      <w:bCs/>
                      <w:sz w:val="21"/>
                      <w:szCs w:val="21"/>
                      <w:lang w:val="en-US" w:eastAsia="zh-CN"/>
                    </w:rPr>
                    <w:t>ZH51081120005</w:t>
                  </w:r>
                </w:p>
                <w:p>
                  <w:pPr>
                    <w:jc w:val="center"/>
                    <w:rPr>
                      <w:rFonts w:hint="default" w:ascii="Times New Roman" w:hAnsi="Times New Roman" w:cs="Times New Roman"/>
                      <w:bCs/>
                      <w:sz w:val="21"/>
                      <w:szCs w:val="21"/>
                    </w:rPr>
                  </w:pPr>
                  <w:r>
                    <w:rPr>
                      <w:rFonts w:hint="default" w:ascii="Times New Roman" w:hAnsi="Times New Roman" w:cs="Times New Roman"/>
                      <w:b/>
                      <w:bCs w:val="0"/>
                      <w:sz w:val="21"/>
                      <w:szCs w:val="21"/>
                      <w:highlight w:val="none"/>
                    </w:rPr>
                    <w:t>名称：</w:t>
                  </w:r>
                  <w:r>
                    <w:rPr>
                      <w:rStyle w:val="32"/>
                      <w:rFonts w:hint="eastAsia" w:ascii="宋体" w:hAnsi="宋体" w:eastAsia="宋体" w:cs="Times New Roman"/>
                      <w:kern w:val="2"/>
                      <w:sz w:val="21"/>
                      <w:szCs w:val="21"/>
                      <w:lang w:val="en-US" w:eastAsia="zh-CN" w:bidi="ar-SA"/>
                    </w:rPr>
                    <w:t>昭化区要素重点管控单元</w:t>
                  </w:r>
                </w:p>
              </w:tc>
              <w:tc>
                <w:tcPr>
                  <w:tcW w:w="826" w:type="dxa"/>
                  <w:vMerge w:val="restart"/>
                  <w:tcBorders>
                    <w:tl2br w:val="nil"/>
                    <w:tr2bl w:val="nil"/>
                  </w:tcBorders>
                  <w:noWrap w:val="0"/>
                  <w:vAlign w:val="top"/>
                </w:tcPr>
                <w:p>
                  <w:pPr>
                    <w:jc w:val="center"/>
                    <w:rPr>
                      <w:rFonts w:hint="eastAsia"/>
                      <w:bCs/>
                      <w:sz w:val="21"/>
                      <w:szCs w:val="21"/>
                    </w:rPr>
                  </w:pPr>
                  <w:r>
                    <w:rPr>
                      <w:rFonts w:hint="eastAsia"/>
                      <w:bCs/>
                      <w:sz w:val="21"/>
                      <w:szCs w:val="21"/>
                    </w:rPr>
                    <w:t>普适性清单管控要求</w:t>
                  </w:r>
                </w:p>
              </w:tc>
              <w:tc>
                <w:tcPr>
                  <w:tcW w:w="750" w:type="dxa"/>
                  <w:tcBorders>
                    <w:tl2br w:val="nil"/>
                    <w:tr2bl w:val="nil"/>
                  </w:tcBorders>
                  <w:noWrap w:val="0"/>
                  <w:vAlign w:val="top"/>
                </w:tcPr>
                <w:p>
                  <w:pPr>
                    <w:jc w:val="center"/>
                    <w:rPr>
                      <w:rFonts w:hint="eastAsia"/>
                      <w:bCs/>
                      <w:sz w:val="21"/>
                      <w:szCs w:val="21"/>
                    </w:rPr>
                  </w:pPr>
                  <w:r>
                    <w:rPr>
                      <w:rFonts w:hint="eastAsia"/>
                      <w:bCs/>
                      <w:sz w:val="21"/>
                      <w:szCs w:val="21"/>
                    </w:rPr>
                    <w:t>空间布局约束</w:t>
                  </w:r>
                </w:p>
              </w:tc>
              <w:tc>
                <w:tcPr>
                  <w:tcW w:w="7419" w:type="dxa"/>
                  <w:tcBorders>
                    <w:tl2br w:val="nil"/>
                    <w:tr2bl w:val="nil"/>
                  </w:tcBorders>
                  <w:noWrap w:val="0"/>
                  <w:vAlign w:val="top"/>
                </w:tcPr>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禁止开发建设活动的要求</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禁止在长江流域开放水域养殖、投放外来物种或者其他非本地物种种质资源。禁止在长江流域禁止采砂区和禁止采砂期从事采砂活动。（《中华人民共和国长江保护法》）</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禁止在合规园区外新建、扩建钢铁、石化、化工、焦化、建材、有色等高污染项目。（《四川省长江经济带发展负面清单实施细则（试行）》）</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对全部基本农田按禁止开发的要求进行管理，禁止占用基本农田发展林果业和挖塘养鱼。禁止任何单位和个人在基本农田保护区内建窑、建房、建坟、挖砂、采石、采矿、取土、堆放固体废弃物或者进行其他破坏基本农田的活动。（《中华人民共和国土地管理法》、《基本农田保护条例》、《全国主体功能区规划》）</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永久基本农田，实行严格保护，确保其面积不减少、土壤环境质量不下降，除法律规定的重点建设项目选址确实无法避让外，其他任何建设不得占用。在永久基本农田集中区域，不得新建可能造成土壤污染的建设项目；已经建成的，应当限期关闭拆除。（《土壤污染防治行动计划》、《中华人民共和国土壤污染防治法》）</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全面停止小型水电项目开发，已建成的中小型水电站不再扩容。（《四川省人民政府关于进一步加强和规范水电建设管理的意见》）。</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禁止在禁采区内开采矿产；禁止土法采、选、冶严重污染环境的矿产资源。</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畜禽养殖严格按照广元市各区县畜禽养殖区域划定方案执行，依法关闭或搬迁禁养区内的畜禽养殖场（小区）和养殖专业户。</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限制开发建设活动的要求</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现有化工、建材、有色等工业企业，原则上限制发展，污染物排放只降不增，允许以提升安全、生态环境保护水平为目的的改建，引导企业结合产业升级等适时搬迁入园。</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单元内若新布局工业园区，应符合广元市国土空间规划，并结合区域环境特点、三线成果、园区产业类别，充分论证选址的环境合理性；</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大气环境布局敏感区应严格限制布设以钢铁、建材、石化、化工、有色等高污染行业为主导产业的园区，大气环境弱扩散区谨慎布局垃圾发电、危废焚烧等以大</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气污染为主的企业；位于不达标区域的大气环境布局敏感和弱扩散区严格限制新建、扩建涉气三类工业项目。</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水环境城镇生活污染重点管控区应严格限制布设以电力、钢铁、制浆造纸、石化、化工、印染、化纤等高耗水行业为主导产业的园区；新建屠宰、用排水量大的农副产品加工等以水污染为主的企业，严格实行水污染物倍量替代；控制畜禽养殖规模，全面治理畜禽养殖污染。</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国家重大战略资源勘查、生态保护修复和环境治理、重大基础设施、军事国防以及农牧民基本生产生活等必要的民生项目（包括深度贫困地区、集中连片特困地区、国家扶贫开发工作重点县省级以下基础设施、易地扶贫搬迁、民生发展等建设项目），选址确实难以避让永久基本农田的，按程序严格论证后依法依规报批。（《四川省长江经济带发展负面清单实施细则（试行）》）</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坚持最严格的耕地保护制度，对全部耕地按限制开发的要求进行管理。严格限制农用地转为建设用地，控制建设用地总量，对耕地实行特殊保护。（《中华人民共和国土地管理法(2004修正)》）。新建大中型水电工程，应当经科学论证，并报国务院或者国务院授权的部门批准。除与生态环境保护相协调的且是国务院及其相关部门、省级人民政府认可的脱贫攻坚项目外，严控新建商业开发的小水电项目。（《中华人民共和国长江保护法》、《关于开展长江经济带小水电清理整改工作的意见》）</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长江流域河道采砂应当依法取得国务院水行政主管部门有关流域管理机构或者县级以上地方人民政府水行政主管部门的许可。严格控制采砂区域、采砂总量和采砂区域内的采砂船舶数量。（《中华人民共和国长江保护法》）</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不符合空间布局要求活动的退出要求</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涉及自然保护区、风景名胜区、森林公园、饮用水源保护区等法定自然保护地，现有不符合相关保护区法律法规和规划的项目，应限期整改或关闭。</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对长江流域已建小水电工程，不符合生态保护要求的，县级以上地方人民政府应当组织分类整改或者采取措施逐步退出。（《中华人民共和国长江保护法》）</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对存在违法违规排污问题的工业企业（特别位于嘉陵江岸线延伸陆域1公里范围内的化工企业）限期整改，整改后仍不能达到要求的依法责令关闭，鼓励企业搬入合规园区。（《中共四川省委四川省人民政府关于全面加强生态环境保护坚决打好污染防治攻坚战的实施意见》）</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全面取缔禁养区内规模化畜禽养殖场；嘉陵江岸线延伸至陆域200米范围内基本消除畜禽养殖场（小区）。（《水污染防治行动计划》四川省工作方案、《四川省打好长江保护修复攻坚战实施方案》）</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其他空间布局约束要求</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位于城镇空间外的区外工业企业：①具有合法手续的企业，且污染物排放及环境风险满足管理要求的企业，可继续保留。其中，钢铁、石化、化工、焦化、有色等高污染项目原则上限制发展，要求污染物排放只降不增，并进一步加强日常环保监管；允许以提升安全、生态环境保护水平为目的的改建，以及不增加污染物排放和环境风险的产品升级调整，引导企业结合产业升级、化解过剩产能等，搬迁入园。②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p>
              </w:tc>
              <w:tc>
                <w:tcPr>
                  <w:tcW w:w="1342" w:type="dxa"/>
                  <w:tcBorders>
                    <w:tl2br w:val="nil"/>
                    <w:tr2bl w:val="nil"/>
                  </w:tcBorders>
                  <w:noWrap w:val="0"/>
                  <w:vAlign w:val="top"/>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本项目为</w:t>
                  </w:r>
                  <w:r>
                    <w:rPr>
                      <w:rFonts w:hint="eastAsia" w:ascii="宋体" w:hAnsi="宋体" w:cs="宋体"/>
                      <w:color w:val="000000"/>
                      <w:kern w:val="0"/>
                      <w:sz w:val="21"/>
                      <w:szCs w:val="21"/>
                      <w:lang w:val="en-US" w:eastAsia="zh-CN" w:bidi="ar"/>
                    </w:rPr>
                    <w:t>堤防及清淤工程</w:t>
                  </w:r>
                  <w:r>
                    <w:rPr>
                      <w:rFonts w:hint="eastAsia" w:ascii="宋体" w:hAnsi="宋体" w:eastAsia="宋体" w:cs="宋体"/>
                      <w:color w:val="000000"/>
                      <w:kern w:val="0"/>
                      <w:sz w:val="21"/>
                      <w:szCs w:val="21"/>
                      <w:lang w:val="en-US" w:eastAsia="zh-CN" w:bidi="ar"/>
                    </w:rPr>
                    <w:t>，不属于</w:t>
                  </w:r>
                  <w:r>
                    <w:rPr>
                      <w:rFonts w:hint="eastAsia" w:ascii="Times New Roman" w:hAnsi="Times New Roman" w:eastAsia="宋体" w:cs="Times New Roman"/>
                      <w:bCs/>
                      <w:sz w:val="21"/>
                      <w:szCs w:val="21"/>
                      <w:lang w:val="en-US" w:eastAsia="zh-CN"/>
                    </w:rPr>
                    <w:t>钢铁、石化、化工、焦化、建材、有色等高污染项</w:t>
                  </w:r>
                  <w:r>
                    <w:rPr>
                      <w:rFonts w:hint="eastAsia" w:ascii="宋体" w:hAnsi="宋体" w:eastAsia="宋体" w:cs="宋体"/>
                      <w:color w:val="000000"/>
                      <w:kern w:val="0"/>
                      <w:sz w:val="21"/>
                      <w:szCs w:val="21"/>
                      <w:lang w:val="en-US" w:eastAsia="zh-CN" w:bidi="ar"/>
                    </w:rPr>
                    <w:t>，项目建成后有效对长滩河支流庄子沟水体实施治理，环境正效应显著。</w:t>
                  </w:r>
                </w:p>
                <w:p>
                  <w:pPr>
                    <w:keepNext w:val="0"/>
                    <w:keepLines w:val="0"/>
                    <w:widowControl/>
                    <w:suppressLineNumbers w:val="0"/>
                    <w:jc w:val="left"/>
                    <w:rPr>
                      <w:sz w:val="21"/>
                      <w:szCs w:val="21"/>
                    </w:rPr>
                  </w:pPr>
                </w:p>
                <w:p>
                  <w:pPr>
                    <w:pStyle w:val="8"/>
                    <w:rPr>
                      <w:rFonts w:hint="eastAsia"/>
                      <w:sz w:val="21"/>
                      <w:szCs w:val="21"/>
                      <w:lang w:val="en-US" w:eastAsia="zh-CN"/>
                    </w:rPr>
                  </w:pPr>
                </w:p>
              </w:tc>
              <w:tc>
                <w:tcPr>
                  <w:tcW w:w="1159" w:type="dxa"/>
                  <w:tcBorders>
                    <w:tl2br w:val="nil"/>
                    <w:tr2bl w:val="nil"/>
                  </w:tcBorders>
                  <w:noWrap w:val="0"/>
                  <w:vAlign w:val="top"/>
                </w:tcPr>
                <w:p>
                  <w:pPr>
                    <w:jc w:val="center"/>
                    <w:rPr>
                      <w:rFonts w:hint="eastAsia" w:eastAsia="宋体"/>
                      <w:bCs/>
                      <w:sz w:val="21"/>
                      <w:szCs w:val="21"/>
                      <w:lang w:eastAsia="zh-CN"/>
                    </w:rPr>
                  </w:pPr>
                  <w:r>
                    <w:rPr>
                      <w:rFonts w:hint="eastAsia"/>
                      <w:bCs/>
                      <w:sz w:val="21"/>
                      <w:szCs w:val="21"/>
                      <w:lang w:eastAsia="zh-CN"/>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822" w:type="dxa"/>
                  <w:vMerge w:val="continue"/>
                  <w:tcBorders>
                    <w:tl2br w:val="nil"/>
                    <w:tr2bl w:val="nil"/>
                  </w:tcBorders>
                  <w:noWrap w:val="0"/>
                  <w:vAlign w:val="top"/>
                </w:tcPr>
                <w:p>
                  <w:pPr>
                    <w:jc w:val="center"/>
                    <w:rPr>
                      <w:rFonts w:hint="default" w:ascii="Times New Roman" w:hAnsi="Times New Roman" w:cs="Times New Roman"/>
                      <w:bCs/>
                      <w:sz w:val="21"/>
                      <w:szCs w:val="21"/>
                    </w:rPr>
                  </w:pPr>
                </w:p>
              </w:tc>
              <w:tc>
                <w:tcPr>
                  <w:tcW w:w="826" w:type="dxa"/>
                  <w:vMerge w:val="continue"/>
                  <w:tcBorders>
                    <w:tl2br w:val="nil"/>
                    <w:tr2bl w:val="nil"/>
                  </w:tcBorders>
                  <w:noWrap w:val="0"/>
                  <w:vAlign w:val="top"/>
                </w:tcPr>
                <w:p>
                  <w:pPr>
                    <w:jc w:val="center"/>
                    <w:rPr>
                      <w:rFonts w:hint="eastAsia"/>
                      <w:bCs/>
                      <w:sz w:val="21"/>
                      <w:szCs w:val="21"/>
                    </w:rPr>
                  </w:pPr>
                </w:p>
              </w:tc>
              <w:tc>
                <w:tcPr>
                  <w:tcW w:w="750" w:type="dxa"/>
                  <w:tcBorders>
                    <w:tl2br w:val="nil"/>
                    <w:tr2bl w:val="nil"/>
                  </w:tcBorders>
                  <w:noWrap w:val="0"/>
                  <w:vAlign w:val="top"/>
                </w:tcPr>
                <w:p>
                  <w:pPr>
                    <w:jc w:val="center"/>
                    <w:rPr>
                      <w:rFonts w:hint="eastAsia"/>
                      <w:bCs/>
                      <w:sz w:val="21"/>
                      <w:szCs w:val="21"/>
                    </w:rPr>
                  </w:pPr>
                  <w:r>
                    <w:rPr>
                      <w:rFonts w:hint="eastAsia"/>
                      <w:bCs/>
                      <w:sz w:val="21"/>
                      <w:szCs w:val="21"/>
                    </w:rPr>
                    <w:t>污染物排放管控</w:t>
                  </w:r>
                </w:p>
              </w:tc>
              <w:tc>
                <w:tcPr>
                  <w:tcW w:w="7419" w:type="dxa"/>
                  <w:tcBorders>
                    <w:tl2br w:val="nil"/>
                    <w:tr2bl w:val="nil"/>
                  </w:tcBorders>
                  <w:noWrap w:val="0"/>
                  <w:vAlign w:val="top"/>
                </w:tcPr>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允许排放量要求</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暂无</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现有源提标升级改造</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暂无</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其他污染物排放管控要求</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新增源等量或倍量替代：</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-若上一年度空气质量年平均浓度不达标、水环境质量未达到要求，则建设项目新增相关污染物按照总量管控要求进行倍量削减替代。（依据：《建设项目主要污染物排放总量指标审核及管理暂行办法》）</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-若上一年度空气环境质量、水环境质量达标，则建设项目新增相关污染物按照总量管控要求进行等量替代。</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-新增VOCs排放的建设项目实行等量替代。（依据：《四川省打赢蓝天保卫战实施方案》）</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-水质超标的水功能区，应当实施更严格的污染物排放总量削减要求。（《中华人民共和国长江保护法》）</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污染物排放绩效水平准入要求：</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水环境：</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-到2023年底，所有建制镇具备污水处理能力。（《广元市城镇污水处理设施建设三年推进实施方案（2021-2023年）》）</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鼓励畜禽粪污还田利用。粪污经无害化处理后还田利用具体要求及限量应符合《畜禽粪便无害化处理技术规范》、《畜禽粪便还田技术规范》、《畜禽粪污土地承载力测算技术指南》。用于农田灌溉的，应符合《农田灌溉水质标准》（GB5084）。（《关于进一步明确畜禽粪污还田利用要求强化养殖污染监管的通知》）</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-规模化畜禽养殖场（小区）粪污处理设施装备配套率达到95%以上，畜禽粪污基本实现资源化利用。（《四川省打赢碧水保卫战实施方案》）</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-屠宰项目应配套污水处理设施或进入城镇污水管网。新、改扩白酒酿造企业需满足《四川省白酒产业环境准入指标体系分析》中提出的相应区域污染物排放约束性管控指标。</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大气环境污染物：</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大气环境布局敏感区，强化挥发性有机物整治。扎实推进机械设备制造、家具制造等重点行业挥发性有机物治理，确保全面达标；推广使用符合环保要求的建筑涂料、木器涂料、胶黏剂等产品；全面推广汽修行业使用低挥发性涂料，采用高效涂装工艺，完善有机废气收集和处理系统，取缔露天和敞开式汽修喷涂作业。</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严格执行《四川省机动车和非道路移动机械排气污染防治办法》。加强油品的监督管理。按照国家、省要求全面供应国六标准的车用汽柴油，严厉打击生产、销售、使用不合格油品和车用尿素行为。</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严格控制道路扬尘。国省道路、高速路连接线等重点通行线路和建成区城乡结合部每天机械化清扫、冲洗不少于1次。强化城郊结合部扬尘污染管控。重点抓好重点交通建筑工地扬尘治理，切实加强城郊结合部重点货车绕行道路扬尘治理。严控城市垃圾、落叶露天焚烧。（《四川省机动车和非道路移动机械排气污染防治办法》）</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固体废物：</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到2023年底，乡镇及行政村生活垃圾收转运处置体系基本实现全覆盖。大力推进农村生活垃圾就地分类减量和资源化利用，因地制宜选择农村生活垃圾治理模式。建制镇污水处理设施产生的污泥原则上应纳入城市集中无害化处置范围。（《广元市城乡生活垃圾处理设施建设三年推进实施方案（2021-2023年）》）</w:t>
                  </w:r>
                </w:p>
              </w:tc>
              <w:tc>
                <w:tcPr>
                  <w:tcW w:w="1342" w:type="dxa"/>
                  <w:tcBorders>
                    <w:tl2br w:val="nil"/>
                    <w:tr2bl w:val="nil"/>
                  </w:tcBorders>
                  <w:noWrap w:val="0"/>
                  <w:vAlign w:val="top"/>
                </w:tcPr>
                <w:p>
                  <w:pPr>
                    <w:keepNext w:val="0"/>
                    <w:keepLines w:val="0"/>
                    <w:widowControl/>
                    <w:suppressLineNumbers w:val="0"/>
                    <w:jc w:val="left"/>
                    <w:rPr>
                      <w:sz w:val="21"/>
                      <w:szCs w:val="21"/>
                    </w:rPr>
                  </w:pPr>
                  <w:r>
                    <w:rPr>
                      <w:rFonts w:hint="eastAsia" w:ascii="宋体" w:hAnsi="宋体" w:eastAsia="宋体" w:cs="宋体"/>
                      <w:color w:val="000000"/>
                      <w:kern w:val="0"/>
                      <w:sz w:val="21"/>
                      <w:szCs w:val="21"/>
                      <w:lang w:val="en-US" w:eastAsia="zh-CN" w:bidi="ar"/>
                    </w:rPr>
                    <w:t>本项目为</w:t>
                  </w:r>
                  <w:r>
                    <w:rPr>
                      <w:rFonts w:hint="eastAsia" w:ascii="宋体" w:hAnsi="宋体" w:cs="宋体"/>
                      <w:color w:val="000000"/>
                      <w:kern w:val="0"/>
                      <w:sz w:val="21"/>
                      <w:szCs w:val="21"/>
                      <w:lang w:val="en-US" w:eastAsia="zh-CN" w:bidi="ar"/>
                    </w:rPr>
                    <w:t>堤防及清淤工程</w:t>
                  </w:r>
                  <w:r>
                    <w:rPr>
                      <w:rFonts w:hint="eastAsia" w:ascii="宋体" w:hAnsi="宋体" w:eastAsia="宋体" w:cs="宋体"/>
                      <w:color w:val="000000"/>
                      <w:kern w:val="0"/>
                      <w:sz w:val="21"/>
                      <w:szCs w:val="21"/>
                      <w:lang w:val="en-US" w:eastAsia="zh-CN" w:bidi="ar"/>
                    </w:rPr>
                    <w:t>，施工期清理淤泥均得到回用，运营期项目不涉及废气、废水排放。项目的建设通过河道清淤、</w:t>
                  </w:r>
                  <w:r>
                    <w:rPr>
                      <w:rFonts w:hint="eastAsia" w:ascii="宋体" w:hAnsi="宋体" w:cs="宋体"/>
                      <w:color w:val="000000"/>
                      <w:kern w:val="0"/>
                      <w:sz w:val="21"/>
                      <w:szCs w:val="21"/>
                      <w:lang w:val="en-US" w:eastAsia="zh-CN" w:bidi="ar"/>
                    </w:rPr>
                    <w:t>堤防建设</w:t>
                  </w:r>
                  <w:r>
                    <w:rPr>
                      <w:rFonts w:hint="eastAsia" w:ascii="宋体" w:hAnsi="宋体" w:eastAsia="宋体" w:cs="宋体"/>
                      <w:color w:val="000000"/>
                      <w:kern w:val="0"/>
                      <w:sz w:val="21"/>
                      <w:szCs w:val="21"/>
                      <w:lang w:val="en-US" w:eastAsia="zh-CN" w:bidi="ar"/>
                    </w:rPr>
                    <w:t>等工程可有效改善长滩河流域支流庄子沟地表水水质，具有一定的环境正效应。</w:t>
                  </w:r>
                </w:p>
                <w:p>
                  <w:pPr>
                    <w:keepNext w:val="0"/>
                    <w:keepLines w:val="0"/>
                    <w:widowControl/>
                    <w:suppressLineNumbers w:val="0"/>
                    <w:jc w:val="left"/>
                    <w:rPr>
                      <w:sz w:val="21"/>
                      <w:szCs w:val="21"/>
                    </w:rPr>
                  </w:pPr>
                </w:p>
                <w:p>
                  <w:pPr>
                    <w:jc w:val="center"/>
                    <w:rPr>
                      <w:rFonts w:hint="eastAsia" w:eastAsia="宋体"/>
                      <w:bCs/>
                      <w:sz w:val="21"/>
                      <w:szCs w:val="21"/>
                      <w:lang w:eastAsia="zh-CN"/>
                    </w:rPr>
                  </w:pPr>
                </w:p>
              </w:tc>
              <w:tc>
                <w:tcPr>
                  <w:tcW w:w="1159" w:type="dxa"/>
                  <w:tcBorders>
                    <w:tl2br w:val="nil"/>
                    <w:tr2bl w:val="nil"/>
                  </w:tcBorders>
                  <w:noWrap w:val="0"/>
                  <w:vAlign w:val="top"/>
                </w:tcPr>
                <w:p>
                  <w:pPr>
                    <w:jc w:val="center"/>
                    <w:rPr>
                      <w:rFonts w:hint="eastAsia" w:eastAsia="宋体"/>
                      <w:bCs/>
                      <w:sz w:val="21"/>
                      <w:szCs w:val="21"/>
                      <w:lang w:eastAsia="zh-CN"/>
                    </w:rPr>
                  </w:pPr>
                  <w:r>
                    <w:rPr>
                      <w:rFonts w:hint="eastAsia"/>
                      <w:bCs/>
                      <w:sz w:val="21"/>
                      <w:szCs w:val="21"/>
                      <w:lang w:eastAsia="zh-CN"/>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822" w:type="dxa"/>
                  <w:vMerge w:val="continue"/>
                  <w:tcBorders>
                    <w:tl2br w:val="nil"/>
                    <w:tr2bl w:val="nil"/>
                  </w:tcBorders>
                  <w:noWrap w:val="0"/>
                  <w:vAlign w:val="top"/>
                </w:tcPr>
                <w:p>
                  <w:pPr>
                    <w:jc w:val="center"/>
                    <w:rPr>
                      <w:rFonts w:hint="default" w:ascii="Times New Roman" w:hAnsi="Times New Roman" w:cs="Times New Roman"/>
                      <w:bCs/>
                      <w:sz w:val="21"/>
                      <w:szCs w:val="21"/>
                    </w:rPr>
                  </w:pPr>
                </w:p>
              </w:tc>
              <w:tc>
                <w:tcPr>
                  <w:tcW w:w="826" w:type="dxa"/>
                  <w:vMerge w:val="continue"/>
                  <w:tcBorders>
                    <w:tl2br w:val="nil"/>
                    <w:tr2bl w:val="nil"/>
                  </w:tcBorders>
                  <w:noWrap w:val="0"/>
                  <w:vAlign w:val="top"/>
                </w:tcPr>
                <w:p>
                  <w:pPr>
                    <w:jc w:val="center"/>
                    <w:rPr>
                      <w:rFonts w:hint="eastAsia"/>
                      <w:bCs/>
                      <w:sz w:val="21"/>
                      <w:szCs w:val="21"/>
                    </w:rPr>
                  </w:pPr>
                </w:p>
              </w:tc>
              <w:tc>
                <w:tcPr>
                  <w:tcW w:w="750" w:type="dxa"/>
                  <w:tcBorders>
                    <w:tl2br w:val="nil"/>
                    <w:tr2bl w:val="nil"/>
                  </w:tcBorders>
                  <w:noWrap w:val="0"/>
                  <w:vAlign w:val="top"/>
                </w:tcPr>
                <w:p>
                  <w:pPr>
                    <w:jc w:val="left"/>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环境风险防控</w:t>
                  </w:r>
                </w:p>
              </w:tc>
              <w:tc>
                <w:tcPr>
                  <w:tcW w:w="7419" w:type="dxa"/>
                  <w:tcBorders>
                    <w:tl2br w:val="nil"/>
                    <w:tr2bl w:val="nil"/>
                  </w:tcBorders>
                  <w:noWrap w:val="0"/>
                  <w:vAlign w:val="top"/>
                </w:tcPr>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环境风险防控：</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联防联控要求</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加强与嘉陵江上游甘肃陇南市、陕西汉中市环境风险联防联控</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其他环境风险防控要求</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企业环境风险防控要求:-工业企业退出用地，应按相关要求进行评估、修复，满足相应用地功能后，方可改变用途。（《土壤污染防治行动计划》）</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-加强“散乱污”企业环境风险防控。（《四川省打好“散乱污”企业整治攻坚战实施方案》）</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-严禁新增铅、汞、镉、铬、砷五类重金属污染物排放，引导现有排放重金属企业结合产业升级等适时搬迁入园。</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用地环境风险防控要求:</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建设用地：</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由土地使用权人按照国家发布的建设用地土壤环境调查评估技术规定，开展土壤环境状况调查评估，符合相应规划用地土壤环境质量要求的地块，可进入用地程序。（《土壤污染防治行动计划广元市工作方案》）</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农用地：</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到2035年，全市受污染耕地安全利用率得到有效保障，污染地块安全利用率得到有效保障。严禁将城镇生活垃圾、污泥、工业废物直接用作肥料，禁止处理不达标的污泥进入耕地；禁止在农用地排放、倾倒、使用污泥、清淤底泥、尾矿（渣）等可能对土壤造成污染的固体废物。（《土壤污染防治行动计划》）</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严格控制在优先保护类耕地集中区域新建有色金属矿采选、有色金属冶炼、石油加工、化工、焦化、电镀、制革、天然（页岩）气开采、铅蓄电池、汽车制造、农药、危废处置、电子拆解、涉重等行业企业。（《土壤污染防治行动计划广元市工作方案》）</w:t>
                  </w:r>
                </w:p>
              </w:tc>
              <w:tc>
                <w:tcPr>
                  <w:tcW w:w="1342" w:type="dxa"/>
                  <w:tcBorders>
                    <w:tl2br w:val="nil"/>
                    <w:tr2bl w:val="nil"/>
                  </w:tcBorders>
                  <w:noWrap w:val="0"/>
                  <w:vAlign w:val="top"/>
                </w:tcPr>
                <w:p>
                  <w:pPr>
                    <w:keepNext w:val="0"/>
                    <w:keepLines w:val="0"/>
                    <w:widowControl/>
                    <w:suppressLineNumbers w:val="0"/>
                    <w:jc w:val="left"/>
                    <w:rPr>
                      <w:sz w:val="21"/>
                      <w:szCs w:val="21"/>
                    </w:rPr>
                  </w:pPr>
                  <w:r>
                    <w:rPr>
                      <w:rFonts w:hint="eastAsia" w:ascii="宋体" w:hAnsi="宋体" w:eastAsia="宋体" w:cs="宋体"/>
                      <w:color w:val="000000"/>
                      <w:kern w:val="0"/>
                      <w:sz w:val="21"/>
                      <w:szCs w:val="21"/>
                      <w:lang w:val="en-US" w:eastAsia="zh-CN" w:bidi="ar"/>
                    </w:rPr>
                    <w:t>本项目为</w:t>
                  </w:r>
                  <w:r>
                    <w:rPr>
                      <w:rFonts w:hint="eastAsia" w:ascii="宋体" w:hAnsi="宋体" w:cs="宋体"/>
                      <w:color w:val="000000"/>
                      <w:kern w:val="0"/>
                      <w:sz w:val="21"/>
                      <w:szCs w:val="21"/>
                      <w:lang w:val="en-US" w:eastAsia="zh-CN" w:bidi="ar"/>
                    </w:rPr>
                    <w:t>堤防及清淤工程</w:t>
                  </w:r>
                  <w:r>
                    <w:rPr>
                      <w:rFonts w:hint="eastAsia" w:ascii="宋体" w:hAnsi="宋体" w:eastAsia="宋体" w:cs="宋体"/>
                      <w:color w:val="000000"/>
                      <w:kern w:val="0"/>
                      <w:sz w:val="21"/>
                      <w:szCs w:val="21"/>
                      <w:lang w:val="en-US" w:eastAsia="zh-CN" w:bidi="ar"/>
                    </w:rPr>
                    <w:t>，不存在重金属污染，不涉及铅、汞、镉、铬、砷五类重金属污染物排放</w:t>
                  </w:r>
                </w:p>
                <w:p>
                  <w:pPr>
                    <w:jc w:val="center"/>
                    <w:rPr>
                      <w:rStyle w:val="32"/>
                      <w:rFonts w:hint="eastAsia" w:ascii="宋体" w:hAnsi="宋体" w:eastAsia="宋体" w:cs="Times New Roman"/>
                      <w:kern w:val="2"/>
                      <w:sz w:val="21"/>
                      <w:szCs w:val="21"/>
                      <w:lang w:val="en-US" w:eastAsia="zh-CN" w:bidi="ar-SA"/>
                    </w:rPr>
                  </w:pPr>
                </w:p>
              </w:tc>
              <w:tc>
                <w:tcPr>
                  <w:tcW w:w="1159" w:type="dxa"/>
                  <w:tcBorders>
                    <w:tl2br w:val="nil"/>
                    <w:tr2bl w:val="nil"/>
                  </w:tcBorders>
                  <w:noWrap w:val="0"/>
                  <w:vAlign w:val="top"/>
                </w:tcPr>
                <w:p>
                  <w:pPr>
                    <w:jc w:val="center"/>
                    <w:rPr>
                      <w:rStyle w:val="32"/>
                      <w:rFonts w:hint="eastAsia" w:ascii="宋体" w:hAnsi="宋体" w:eastAsia="宋体" w:cs="Times New Roman"/>
                      <w:kern w:val="2"/>
                      <w:sz w:val="21"/>
                      <w:szCs w:val="21"/>
                      <w:lang w:val="en-US" w:eastAsia="zh-CN" w:bidi="ar-SA"/>
                    </w:rPr>
                  </w:pPr>
                </w:p>
                <w:p>
                  <w:pPr>
                    <w:jc w:val="center"/>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1822" w:type="dxa"/>
                  <w:vMerge w:val="continue"/>
                  <w:tcBorders>
                    <w:tl2br w:val="nil"/>
                    <w:tr2bl w:val="nil"/>
                  </w:tcBorders>
                  <w:noWrap w:val="0"/>
                  <w:vAlign w:val="top"/>
                </w:tcPr>
                <w:p>
                  <w:pPr>
                    <w:jc w:val="center"/>
                    <w:rPr>
                      <w:rFonts w:hint="default" w:ascii="Times New Roman" w:hAnsi="Times New Roman" w:cs="Times New Roman"/>
                      <w:bCs/>
                      <w:sz w:val="21"/>
                      <w:szCs w:val="21"/>
                    </w:rPr>
                  </w:pPr>
                </w:p>
              </w:tc>
              <w:tc>
                <w:tcPr>
                  <w:tcW w:w="826" w:type="dxa"/>
                  <w:vMerge w:val="continue"/>
                  <w:tcBorders>
                    <w:tl2br w:val="nil"/>
                    <w:tr2bl w:val="nil"/>
                  </w:tcBorders>
                  <w:noWrap w:val="0"/>
                  <w:vAlign w:val="top"/>
                </w:tcPr>
                <w:p>
                  <w:pPr>
                    <w:jc w:val="center"/>
                    <w:rPr>
                      <w:rFonts w:hint="eastAsia"/>
                      <w:bCs/>
                      <w:sz w:val="21"/>
                      <w:szCs w:val="21"/>
                    </w:rPr>
                  </w:pPr>
                </w:p>
              </w:tc>
              <w:tc>
                <w:tcPr>
                  <w:tcW w:w="750" w:type="dxa"/>
                  <w:tcBorders>
                    <w:tl2br w:val="nil"/>
                    <w:tr2bl w:val="nil"/>
                  </w:tcBorders>
                  <w:noWrap w:val="0"/>
                  <w:vAlign w:val="top"/>
                </w:tcPr>
                <w:p>
                  <w:pPr>
                    <w:jc w:val="left"/>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资源开发利用效率</w:t>
                  </w:r>
                </w:p>
              </w:tc>
              <w:tc>
                <w:tcPr>
                  <w:tcW w:w="7419" w:type="dxa"/>
                  <w:tcBorders>
                    <w:tl2br w:val="nil"/>
                    <w:tr2bl w:val="nil"/>
                  </w:tcBorders>
                  <w:noWrap w:val="0"/>
                  <w:vAlign w:val="top"/>
                </w:tcPr>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资源开发利用效率要求：</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水资源利用总量要求</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加强农业灌溉管理，发展喷灌、微灌、管道输水灌溉、水肥一体化等高效农业节水灌溉方式和农耕农艺节水技术，提高输配水效率和调度水平。发展节水渔业、牧业，组织实施规模养殖场节水建设和改造，推行节水型畜禽养殖技术和方式。（《四川省节约用水办法》）</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地下水开采要求</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参照现行法律法规执行</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能源利用总量及效率要求</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暂无</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禁燃区要求</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不再新建每小时10蒸吨以下的燃煤锅炉。位于不达标区域的大气环境布局敏感和弱扩散区，禁止燃烧高污染燃料。积极实施煤改电、有序推进煤改气。鼓励工业窑炉煤改电、煤改气或集中供热。（《四川省打赢蓝天保卫战实施方案》</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其他资源利用效率要求</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暂无</w:t>
                  </w:r>
                </w:p>
              </w:tc>
              <w:tc>
                <w:tcPr>
                  <w:tcW w:w="1342" w:type="dxa"/>
                  <w:tcBorders>
                    <w:tl2br w:val="nil"/>
                    <w:tr2bl w:val="nil"/>
                  </w:tcBorders>
                  <w:noWrap w:val="0"/>
                  <w:vAlign w:val="top"/>
                </w:tcPr>
                <w:p>
                  <w:pPr>
                    <w:jc w:val="center"/>
                    <w:rPr>
                      <w:rFonts w:hint="eastAsia"/>
                      <w:bCs/>
                      <w:sz w:val="21"/>
                      <w:szCs w:val="21"/>
                    </w:rPr>
                  </w:pPr>
                </w:p>
                <w:p>
                  <w:pPr>
                    <w:jc w:val="center"/>
                    <w:rPr>
                      <w:rFonts w:hint="eastAsia" w:eastAsia="宋体"/>
                      <w:bCs/>
                      <w:sz w:val="21"/>
                      <w:szCs w:val="21"/>
                      <w:lang w:eastAsia="zh-CN"/>
                    </w:rPr>
                  </w:pPr>
                  <w:r>
                    <w:rPr>
                      <w:rFonts w:hint="eastAsia"/>
                      <w:bCs/>
                      <w:sz w:val="21"/>
                      <w:szCs w:val="21"/>
                      <w:lang w:eastAsia="zh-CN"/>
                    </w:rPr>
                    <w:t>项目不涉及地下水开采、</w:t>
                  </w:r>
                  <w:r>
                    <w:rPr>
                      <w:rFonts w:hint="eastAsia"/>
                      <w:bCs/>
                      <w:sz w:val="21"/>
                      <w:szCs w:val="21"/>
                      <w:lang w:val="en-US" w:eastAsia="zh-CN"/>
                    </w:rPr>
                    <w:t>不涉及燃煤、</w:t>
                  </w:r>
                  <w:r>
                    <w:rPr>
                      <w:rFonts w:hint="eastAsia"/>
                      <w:bCs/>
                      <w:sz w:val="21"/>
                      <w:szCs w:val="21"/>
                      <w:lang w:eastAsia="zh-CN"/>
                    </w:rPr>
                    <w:t>不涉及锅炉等</w:t>
                  </w:r>
                </w:p>
                <w:p>
                  <w:pPr>
                    <w:jc w:val="center"/>
                    <w:rPr>
                      <w:rFonts w:hint="eastAsia"/>
                      <w:bCs/>
                      <w:sz w:val="21"/>
                      <w:szCs w:val="21"/>
                    </w:rPr>
                  </w:pPr>
                </w:p>
              </w:tc>
              <w:tc>
                <w:tcPr>
                  <w:tcW w:w="1159" w:type="dxa"/>
                  <w:tcBorders>
                    <w:tl2br w:val="nil"/>
                    <w:tr2bl w:val="nil"/>
                  </w:tcBorders>
                  <w:noWrap w:val="0"/>
                  <w:vAlign w:val="top"/>
                </w:tcPr>
                <w:p>
                  <w:pPr>
                    <w:jc w:val="center"/>
                    <w:rPr>
                      <w:rFonts w:hint="eastAsia"/>
                      <w:bCs/>
                      <w:sz w:val="21"/>
                      <w:szCs w:val="21"/>
                    </w:rPr>
                  </w:pPr>
                  <w:r>
                    <w:rPr>
                      <w:rFonts w:hint="eastAsia"/>
                      <w:bCs/>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822" w:type="dxa"/>
                  <w:vMerge w:val="continue"/>
                  <w:tcBorders>
                    <w:tl2br w:val="nil"/>
                    <w:tr2bl w:val="nil"/>
                  </w:tcBorders>
                  <w:noWrap w:val="0"/>
                  <w:vAlign w:val="top"/>
                </w:tcPr>
                <w:p>
                  <w:pPr>
                    <w:jc w:val="center"/>
                    <w:rPr>
                      <w:rFonts w:hint="default" w:ascii="Times New Roman" w:hAnsi="Times New Roman" w:cs="Times New Roman"/>
                      <w:bCs/>
                      <w:sz w:val="21"/>
                      <w:szCs w:val="21"/>
                    </w:rPr>
                  </w:pPr>
                </w:p>
              </w:tc>
              <w:tc>
                <w:tcPr>
                  <w:tcW w:w="826" w:type="dxa"/>
                  <w:vMerge w:val="restart"/>
                  <w:tcBorders>
                    <w:tl2br w:val="nil"/>
                    <w:tr2bl w:val="nil"/>
                  </w:tcBorders>
                  <w:noWrap w:val="0"/>
                  <w:vAlign w:val="top"/>
                </w:tcPr>
                <w:p>
                  <w:pPr>
                    <w:jc w:val="center"/>
                    <w:rPr>
                      <w:rFonts w:hint="eastAsia"/>
                      <w:bCs/>
                      <w:sz w:val="21"/>
                      <w:szCs w:val="21"/>
                    </w:rPr>
                  </w:pPr>
                  <w:r>
                    <w:rPr>
                      <w:rFonts w:hint="eastAsia"/>
                      <w:bCs/>
                      <w:sz w:val="21"/>
                      <w:szCs w:val="21"/>
                      <w:lang w:val="en-US" w:eastAsia="zh-CN"/>
                    </w:rPr>
                    <w:t>单元特性管控要求</w:t>
                  </w:r>
                </w:p>
              </w:tc>
              <w:tc>
                <w:tcPr>
                  <w:tcW w:w="750" w:type="dxa"/>
                  <w:tcBorders>
                    <w:tl2br w:val="nil"/>
                    <w:tr2bl w:val="nil"/>
                  </w:tcBorders>
                  <w:noWrap w:val="0"/>
                  <w:vAlign w:val="top"/>
                </w:tcPr>
                <w:p>
                  <w:pPr>
                    <w:jc w:val="both"/>
                    <w:rPr>
                      <w:rFonts w:hint="eastAsia"/>
                      <w:bCs/>
                      <w:sz w:val="21"/>
                      <w:szCs w:val="21"/>
                    </w:rPr>
                  </w:pPr>
                  <w:r>
                    <w:rPr>
                      <w:rFonts w:hint="eastAsia"/>
                      <w:bCs/>
                      <w:sz w:val="21"/>
                      <w:szCs w:val="21"/>
                    </w:rPr>
                    <w:t>空间布局约束</w:t>
                  </w:r>
                </w:p>
              </w:tc>
              <w:tc>
                <w:tcPr>
                  <w:tcW w:w="7419" w:type="dxa"/>
                  <w:tcBorders>
                    <w:tl2br w:val="nil"/>
                    <w:tr2bl w:val="nil"/>
                  </w:tcBorders>
                  <w:noWrap w:val="0"/>
                  <w:vAlign w:val="top"/>
                </w:tcPr>
                <w:p>
                  <w:pPr>
                    <w:jc w:val="both"/>
                    <w:rPr>
                      <w:rFonts w:hint="eastAsia"/>
                      <w:bCs/>
                      <w:sz w:val="21"/>
                      <w:szCs w:val="21"/>
                      <w:lang w:val="en-US" w:eastAsia="zh-CN"/>
                    </w:rPr>
                  </w:pPr>
                  <w:r>
                    <w:rPr>
                      <w:rFonts w:hint="eastAsia"/>
                      <w:bCs/>
                      <w:sz w:val="21"/>
                      <w:szCs w:val="21"/>
                      <w:lang w:val="en-US" w:eastAsia="zh-CN"/>
                    </w:rPr>
                    <w:t>禁止开发建设活动的要求</w:t>
                  </w:r>
                </w:p>
                <w:p>
                  <w:pPr>
                    <w:jc w:val="both"/>
                    <w:rPr>
                      <w:rFonts w:hint="eastAsia"/>
                      <w:bCs/>
                      <w:sz w:val="21"/>
                      <w:szCs w:val="21"/>
                      <w:lang w:val="en-US" w:eastAsia="zh-CN"/>
                    </w:rPr>
                  </w:pPr>
                  <w:r>
                    <w:rPr>
                      <w:rFonts w:hint="eastAsia"/>
                      <w:bCs/>
                      <w:sz w:val="21"/>
                      <w:szCs w:val="21"/>
                      <w:lang w:val="en-US" w:eastAsia="zh-CN"/>
                    </w:rPr>
                    <w:t>同环境要素综合重点管控单元总体准入要求</w:t>
                  </w:r>
                </w:p>
                <w:p>
                  <w:pPr>
                    <w:jc w:val="both"/>
                    <w:rPr>
                      <w:rFonts w:hint="eastAsia"/>
                      <w:bCs/>
                      <w:sz w:val="21"/>
                      <w:szCs w:val="21"/>
                      <w:lang w:val="en-US" w:eastAsia="zh-CN"/>
                    </w:rPr>
                  </w:pPr>
                  <w:r>
                    <w:rPr>
                      <w:rFonts w:hint="eastAsia"/>
                      <w:bCs/>
                      <w:sz w:val="21"/>
                      <w:szCs w:val="21"/>
                      <w:lang w:val="en-US" w:eastAsia="zh-CN"/>
                    </w:rPr>
                    <w:t>限制开发建设活动的要求</w:t>
                  </w:r>
                </w:p>
                <w:p>
                  <w:pPr>
                    <w:jc w:val="both"/>
                    <w:rPr>
                      <w:rFonts w:hint="eastAsia"/>
                      <w:bCs/>
                      <w:sz w:val="21"/>
                      <w:szCs w:val="21"/>
                      <w:lang w:val="en-US" w:eastAsia="zh-CN"/>
                    </w:rPr>
                  </w:pPr>
                  <w:r>
                    <w:rPr>
                      <w:rFonts w:hint="eastAsia"/>
                      <w:bCs/>
                      <w:sz w:val="21"/>
                      <w:szCs w:val="21"/>
                      <w:lang w:val="en-US" w:eastAsia="zh-CN"/>
                    </w:rPr>
                    <w:t>大气弱扩散重点管控区，严格项目引入政策，严控新建危废焚烧等以大气污染为主的企业其他同环境要素综合重点管控单元总体准入要求</w:t>
                  </w:r>
                </w:p>
                <w:p>
                  <w:pPr>
                    <w:jc w:val="both"/>
                    <w:rPr>
                      <w:rFonts w:hint="eastAsia"/>
                      <w:bCs/>
                      <w:sz w:val="21"/>
                      <w:szCs w:val="21"/>
                      <w:lang w:val="en-US" w:eastAsia="zh-CN"/>
                    </w:rPr>
                  </w:pPr>
                  <w:r>
                    <w:rPr>
                      <w:rFonts w:hint="eastAsia"/>
                      <w:bCs/>
                      <w:sz w:val="21"/>
                      <w:szCs w:val="21"/>
                      <w:lang w:val="en-US" w:eastAsia="zh-CN"/>
                    </w:rPr>
                    <w:t>允许开发建设活动的要求</w:t>
                  </w:r>
                </w:p>
                <w:p>
                  <w:pPr>
                    <w:jc w:val="both"/>
                    <w:rPr>
                      <w:rFonts w:hint="eastAsia"/>
                      <w:bCs/>
                      <w:sz w:val="21"/>
                      <w:szCs w:val="21"/>
                      <w:lang w:val="en-US" w:eastAsia="zh-CN"/>
                    </w:rPr>
                  </w:pPr>
                  <w:r>
                    <w:rPr>
                      <w:rFonts w:hint="eastAsia"/>
                      <w:bCs/>
                      <w:sz w:val="21"/>
                      <w:szCs w:val="21"/>
                      <w:lang w:val="en-US" w:eastAsia="zh-CN"/>
                    </w:rPr>
                    <w:t>同环境要素综合重点管控单元总体准入要求</w:t>
                  </w:r>
                </w:p>
                <w:p>
                  <w:pPr>
                    <w:jc w:val="both"/>
                    <w:rPr>
                      <w:rFonts w:hint="eastAsia"/>
                      <w:bCs/>
                      <w:sz w:val="21"/>
                      <w:szCs w:val="21"/>
                      <w:lang w:val="en-US" w:eastAsia="zh-CN"/>
                    </w:rPr>
                  </w:pPr>
                  <w:r>
                    <w:rPr>
                      <w:rFonts w:hint="eastAsia"/>
                      <w:bCs/>
                      <w:sz w:val="21"/>
                      <w:szCs w:val="21"/>
                      <w:lang w:val="en-US" w:eastAsia="zh-CN"/>
                    </w:rPr>
                    <w:t>不符合空间布局要求活动的退出要求</w:t>
                  </w:r>
                </w:p>
                <w:p>
                  <w:pPr>
                    <w:jc w:val="both"/>
                    <w:rPr>
                      <w:rFonts w:hint="eastAsia"/>
                      <w:bCs/>
                      <w:sz w:val="21"/>
                      <w:szCs w:val="21"/>
                      <w:lang w:val="en-US" w:eastAsia="zh-CN"/>
                    </w:rPr>
                  </w:pPr>
                  <w:r>
                    <w:rPr>
                      <w:rFonts w:hint="eastAsia"/>
                      <w:bCs/>
                      <w:sz w:val="21"/>
                      <w:szCs w:val="21"/>
                      <w:lang w:val="en-US" w:eastAsia="zh-CN"/>
                    </w:rPr>
                    <w:t>同环境要素综合重点管控单元总体准入要求</w:t>
                  </w:r>
                </w:p>
                <w:p>
                  <w:pPr>
                    <w:jc w:val="both"/>
                    <w:rPr>
                      <w:rFonts w:hint="eastAsia"/>
                      <w:bCs/>
                      <w:sz w:val="21"/>
                      <w:szCs w:val="21"/>
                    </w:rPr>
                  </w:pPr>
                  <w:r>
                    <w:rPr>
                      <w:rFonts w:hint="eastAsia"/>
                      <w:bCs/>
                      <w:sz w:val="21"/>
                      <w:szCs w:val="21"/>
                      <w:lang w:val="en-US" w:eastAsia="zh-CN"/>
                    </w:rPr>
                    <w:t>其他空间布局约束要求</w:t>
                  </w:r>
                </w:p>
              </w:tc>
              <w:tc>
                <w:tcPr>
                  <w:tcW w:w="1342" w:type="dxa"/>
                  <w:tcBorders>
                    <w:tl2br w:val="nil"/>
                    <w:tr2bl w:val="nil"/>
                  </w:tcBorders>
                  <w:noWrap w:val="0"/>
                  <w:vAlign w:val="top"/>
                </w:tcPr>
                <w:p>
                  <w:pPr>
                    <w:jc w:val="center"/>
                    <w:rPr>
                      <w:rFonts w:hint="eastAsia"/>
                      <w:bCs/>
                      <w:sz w:val="21"/>
                      <w:szCs w:val="21"/>
                    </w:rPr>
                  </w:pPr>
                  <w:r>
                    <w:rPr>
                      <w:rFonts w:hint="eastAsia"/>
                      <w:bCs/>
                      <w:sz w:val="21"/>
                      <w:szCs w:val="21"/>
                    </w:rPr>
                    <w:t>本项目满足广元市普适性管控要求</w:t>
                  </w:r>
                </w:p>
              </w:tc>
              <w:tc>
                <w:tcPr>
                  <w:tcW w:w="1159" w:type="dxa"/>
                  <w:tcBorders>
                    <w:tl2br w:val="nil"/>
                    <w:tr2bl w:val="nil"/>
                  </w:tcBorders>
                  <w:noWrap w:val="0"/>
                  <w:vAlign w:val="top"/>
                </w:tcPr>
                <w:p>
                  <w:pPr>
                    <w:jc w:val="center"/>
                    <w:rPr>
                      <w:rFonts w:hint="eastAsia"/>
                      <w:bCs/>
                      <w:sz w:val="21"/>
                      <w:szCs w:val="21"/>
                    </w:rPr>
                  </w:pPr>
                  <w:r>
                    <w:rPr>
                      <w:rFonts w:hint="eastAsia"/>
                      <w:bCs/>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8" w:hRule="atLeast"/>
              </w:trPr>
              <w:tc>
                <w:tcPr>
                  <w:tcW w:w="1822" w:type="dxa"/>
                  <w:vMerge w:val="continue"/>
                  <w:tcBorders>
                    <w:tl2br w:val="nil"/>
                    <w:tr2bl w:val="nil"/>
                  </w:tcBorders>
                  <w:noWrap w:val="0"/>
                  <w:vAlign w:val="top"/>
                </w:tcPr>
                <w:p>
                  <w:pPr>
                    <w:jc w:val="center"/>
                    <w:rPr>
                      <w:rFonts w:hint="default" w:ascii="Times New Roman" w:hAnsi="Times New Roman" w:cs="Times New Roman"/>
                      <w:bCs/>
                      <w:sz w:val="21"/>
                      <w:szCs w:val="21"/>
                    </w:rPr>
                  </w:pPr>
                </w:p>
              </w:tc>
              <w:tc>
                <w:tcPr>
                  <w:tcW w:w="826" w:type="dxa"/>
                  <w:vMerge w:val="continue"/>
                  <w:tcBorders>
                    <w:tl2br w:val="nil"/>
                    <w:tr2bl w:val="nil"/>
                  </w:tcBorders>
                  <w:noWrap w:val="0"/>
                  <w:vAlign w:val="top"/>
                </w:tcPr>
                <w:p>
                  <w:pPr>
                    <w:jc w:val="center"/>
                    <w:rPr>
                      <w:rFonts w:hint="eastAsia"/>
                      <w:bCs/>
                      <w:sz w:val="21"/>
                      <w:szCs w:val="21"/>
                    </w:rPr>
                  </w:pPr>
                </w:p>
              </w:tc>
              <w:tc>
                <w:tcPr>
                  <w:tcW w:w="750" w:type="dxa"/>
                  <w:tcBorders>
                    <w:tl2br w:val="nil"/>
                    <w:tr2bl w:val="nil"/>
                  </w:tcBorders>
                  <w:noWrap w:val="0"/>
                  <w:vAlign w:val="top"/>
                </w:tcPr>
                <w:p>
                  <w:pPr>
                    <w:jc w:val="both"/>
                    <w:rPr>
                      <w:rFonts w:hint="eastAsia"/>
                      <w:bCs/>
                      <w:sz w:val="21"/>
                      <w:szCs w:val="21"/>
                    </w:rPr>
                  </w:pPr>
                  <w:r>
                    <w:rPr>
                      <w:rFonts w:hint="eastAsia"/>
                      <w:bCs/>
                      <w:sz w:val="21"/>
                      <w:szCs w:val="21"/>
                    </w:rPr>
                    <w:t>污染物排放管控</w:t>
                  </w:r>
                </w:p>
              </w:tc>
              <w:tc>
                <w:tcPr>
                  <w:tcW w:w="7419" w:type="dxa"/>
                  <w:tcBorders>
                    <w:tl2br w:val="nil"/>
                    <w:tr2bl w:val="nil"/>
                  </w:tcBorders>
                  <w:noWrap w:val="0"/>
                  <w:vAlign w:val="top"/>
                </w:tcPr>
                <w:p>
                  <w:pPr>
                    <w:jc w:val="both"/>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现有源提标升级改造</w:t>
                  </w:r>
                </w:p>
                <w:p>
                  <w:pPr>
                    <w:jc w:val="both"/>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新增源等量或倍量替代</w:t>
                  </w:r>
                </w:p>
                <w:p>
                  <w:pPr>
                    <w:jc w:val="both"/>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同环境要素综合重点管控单元总体准入要求</w:t>
                  </w:r>
                </w:p>
                <w:p>
                  <w:pPr>
                    <w:jc w:val="both"/>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新增源排放标准限值</w:t>
                  </w:r>
                </w:p>
                <w:p>
                  <w:pPr>
                    <w:jc w:val="both"/>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污染物排放绩效水平准入要求</w:t>
                  </w:r>
                </w:p>
                <w:p>
                  <w:pPr>
                    <w:jc w:val="both"/>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现有白酒酿造等水污染重点企业，引导实施深度治理，改扩建满足《白酒产业差别化环境准入指标体系研究》中提出的相应约束性指标。重点行业VOCs治理要求：家具制造、胶合板、印刷项目实施挥发性有机物综合整治，兼顾解决恶臭、有毒有害等环境问题。推广低 VOCs 含量、低反应活性的溶剂、溶媒。工程机械制造行业推广使用高固体分、粉末涂料，喷漆与烘干废气采用吸附燃烧等方式进行处理。同环境要素综合重点管控单元总体准入要求。</w:t>
                  </w:r>
                </w:p>
                <w:p>
                  <w:pPr>
                    <w:jc w:val="both"/>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其他污染物排放管控要求</w:t>
                  </w:r>
                </w:p>
                <w:p>
                  <w:pPr>
                    <w:jc w:val="both"/>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lang w:val="en-US" w:eastAsia="zh-CN"/>
                    </w:rPr>
                    <w:t>同环境要素综合重点管控单元总体准入要求</w:t>
                  </w:r>
                </w:p>
              </w:tc>
              <w:tc>
                <w:tcPr>
                  <w:tcW w:w="1342" w:type="dxa"/>
                  <w:tcBorders>
                    <w:tl2br w:val="nil"/>
                    <w:tr2bl w:val="nil"/>
                  </w:tcBorders>
                  <w:noWrap w:val="0"/>
                  <w:vAlign w:val="top"/>
                </w:tcPr>
                <w:p>
                  <w:pPr>
                    <w:jc w:val="center"/>
                    <w:rPr>
                      <w:rFonts w:hint="eastAsia"/>
                      <w:bCs/>
                      <w:sz w:val="21"/>
                      <w:szCs w:val="21"/>
                    </w:rPr>
                  </w:pPr>
                </w:p>
                <w:p>
                  <w:pPr>
                    <w:jc w:val="center"/>
                    <w:rPr>
                      <w:rFonts w:hint="eastAsia"/>
                      <w:bCs/>
                      <w:sz w:val="21"/>
                      <w:szCs w:val="21"/>
                    </w:rPr>
                  </w:pPr>
                  <w:r>
                    <w:rPr>
                      <w:rFonts w:hint="eastAsia"/>
                      <w:bCs/>
                      <w:sz w:val="21"/>
                      <w:szCs w:val="21"/>
                    </w:rPr>
                    <w:t>本项目满足广元市普适性管控要求</w:t>
                  </w:r>
                </w:p>
              </w:tc>
              <w:tc>
                <w:tcPr>
                  <w:tcW w:w="1159" w:type="dxa"/>
                  <w:tcBorders>
                    <w:tl2br w:val="nil"/>
                    <w:tr2bl w:val="nil"/>
                  </w:tcBorders>
                  <w:noWrap w:val="0"/>
                  <w:vAlign w:val="top"/>
                </w:tcPr>
                <w:p>
                  <w:pPr>
                    <w:jc w:val="center"/>
                    <w:rPr>
                      <w:rFonts w:hint="eastAsia"/>
                      <w:bCs/>
                      <w:sz w:val="21"/>
                      <w:szCs w:val="21"/>
                    </w:rPr>
                  </w:pPr>
                </w:p>
                <w:p>
                  <w:pPr>
                    <w:jc w:val="center"/>
                    <w:rPr>
                      <w:rFonts w:hint="eastAsia"/>
                      <w:bCs/>
                      <w:sz w:val="21"/>
                      <w:szCs w:val="21"/>
                    </w:rPr>
                  </w:pPr>
                  <w:r>
                    <w:rPr>
                      <w:rFonts w:hint="eastAsia"/>
                      <w:bCs/>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6" w:hRule="atLeast"/>
              </w:trPr>
              <w:tc>
                <w:tcPr>
                  <w:tcW w:w="1822" w:type="dxa"/>
                  <w:vMerge w:val="continue"/>
                  <w:tcBorders>
                    <w:tl2br w:val="nil"/>
                    <w:tr2bl w:val="nil"/>
                  </w:tcBorders>
                  <w:noWrap w:val="0"/>
                  <w:vAlign w:val="top"/>
                </w:tcPr>
                <w:p>
                  <w:pPr>
                    <w:jc w:val="center"/>
                    <w:rPr>
                      <w:rFonts w:hint="default" w:ascii="Times New Roman" w:hAnsi="Times New Roman" w:cs="Times New Roman"/>
                      <w:bCs/>
                      <w:sz w:val="21"/>
                      <w:szCs w:val="21"/>
                    </w:rPr>
                  </w:pPr>
                </w:p>
              </w:tc>
              <w:tc>
                <w:tcPr>
                  <w:tcW w:w="826" w:type="dxa"/>
                  <w:vMerge w:val="continue"/>
                  <w:tcBorders>
                    <w:tl2br w:val="nil"/>
                    <w:tr2bl w:val="nil"/>
                  </w:tcBorders>
                  <w:noWrap w:val="0"/>
                  <w:vAlign w:val="top"/>
                </w:tcPr>
                <w:p>
                  <w:pPr>
                    <w:jc w:val="center"/>
                    <w:rPr>
                      <w:rFonts w:hint="eastAsia"/>
                      <w:bCs/>
                      <w:sz w:val="21"/>
                      <w:szCs w:val="21"/>
                    </w:rPr>
                  </w:pPr>
                </w:p>
              </w:tc>
              <w:tc>
                <w:tcPr>
                  <w:tcW w:w="750" w:type="dxa"/>
                  <w:tcBorders>
                    <w:tl2br w:val="nil"/>
                    <w:tr2bl w:val="nil"/>
                  </w:tcBorders>
                  <w:noWrap w:val="0"/>
                  <w:vAlign w:val="top"/>
                </w:tcPr>
                <w:p>
                  <w:pPr>
                    <w:jc w:val="center"/>
                    <w:rPr>
                      <w:rFonts w:hint="eastAsia"/>
                      <w:bCs/>
                      <w:sz w:val="21"/>
                      <w:szCs w:val="21"/>
                    </w:rPr>
                  </w:pPr>
                  <w:r>
                    <w:rPr>
                      <w:rFonts w:hint="eastAsia"/>
                      <w:bCs/>
                      <w:sz w:val="21"/>
                      <w:szCs w:val="21"/>
                    </w:rPr>
                    <w:t>环境风险防控</w:t>
                  </w:r>
                </w:p>
              </w:tc>
              <w:tc>
                <w:tcPr>
                  <w:tcW w:w="7419" w:type="dxa"/>
                  <w:tcBorders>
                    <w:tl2br w:val="nil"/>
                    <w:tr2bl w:val="nil"/>
                  </w:tcBorders>
                  <w:noWrap w:val="0"/>
                  <w:vAlign w:val="top"/>
                </w:tcPr>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严格管控类农用地管控要求</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同广元市要素重点单元总体准入要求。</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安全利用类农用地管控要求</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污染地块管控要求</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园区环境风险防控要求</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企业环境风险防控要求</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同环境要素综合重点管控单元总体准入要求</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其他环境风险防控要求</w:t>
                  </w:r>
                </w:p>
                <w:p>
                  <w:pPr>
                    <w:jc w:val="lef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同环境要素综合重点管控单元总体准入要求</w:t>
                  </w:r>
                </w:p>
              </w:tc>
              <w:tc>
                <w:tcPr>
                  <w:tcW w:w="1342" w:type="dxa"/>
                  <w:tcBorders>
                    <w:tl2br w:val="nil"/>
                    <w:tr2bl w:val="nil"/>
                  </w:tcBorders>
                  <w:noWrap w:val="0"/>
                  <w:vAlign w:val="top"/>
                </w:tcPr>
                <w:p>
                  <w:pPr>
                    <w:jc w:val="center"/>
                    <w:rPr>
                      <w:rFonts w:hint="eastAsia"/>
                      <w:bCs/>
                      <w:sz w:val="21"/>
                      <w:szCs w:val="21"/>
                    </w:rPr>
                  </w:pPr>
                  <w:r>
                    <w:rPr>
                      <w:rFonts w:hint="eastAsia"/>
                      <w:bCs/>
                      <w:sz w:val="21"/>
                      <w:szCs w:val="21"/>
                    </w:rPr>
                    <w:t>本项目满足广元市普适性管控要求</w:t>
                  </w:r>
                </w:p>
              </w:tc>
              <w:tc>
                <w:tcPr>
                  <w:tcW w:w="1159" w:type="dxa"/>
                  <w:tcBorders>
                    <w:tl2br w:val="nil"/>
                    <w:tr2bl w:val="nil"/>
                  </w:tcBorders>
                  <w:noWrap w:val="0"/>
                  <w:vAlign w:val="top"/>
                </w:tcPr>
                <w:p>
                  <w:pPr>
                    <w:jc w:val="center"/>
                    <w:rPr>
                      <w:rFonts w:hint="eastAsia"/>
                      <w:bCs/>
                      <w:sz w:val="21"/>
                      <w:szCs w:val="21"/>
                    </w:rPr>
                  </w:pPr>
                  <w:r>
                    <w:rPr>
                      <w:rFonts w:hint="eastAsia"/>
                      <w:bCs/>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822" w:type="dxa"/>
                  <w:vMerge w:val="continue"/>
                  <w:tcBorders>
                    <w:tl2br w:val="nil"/>
                    <w:tr2bl w:val="nil"/>
                  </w:tcBorders>
                  <w:noWrap w:val="0"/>
                  <w:vAlign w:val="top"/>
                </w:tcPr>
                <w:p>
                  <w:pPr>
                    <w:jc w:val="center"/>
                    <w:rPr>
                      <w:rFonts w:hint="default" w:ascii="Times New Roman" w:hAnsi="Times New Roman" w:cs="Times New Roman"/>
                      <w:bCs/>
                      <w:sz w:val="21"/>
                      <w:szCs w:val="21"/>
                    </w:rPr>
                  </w:pPr>
                </w:p>
              </w:tc>
              <w:tc>
                <w:tcPr>
                  <w:tcW w:w="826" w:type="dxa"/>
                  <w:vMerge w:val="continue"/>
                  <w:tcBorders>
                    <w:tl2br w:val="nil"/>
                    <w:tr2bl w:val="nil"/>
                  </w:tcBorders>
                  <w:noWrap w:val="0"/>
                  <w:vAlign w:val="top"/>
                </w:tcPr>
                <w:p>
                  <w:pPr>
                    <w:jc w:val="center"/>
                    <w:rPr>
                      <w:rFonts w:hint="eastAsia"/>
                      <w:bCs/>
                      <w:sz w:val="21"/>
                      <w:szCs w:val="21"/>
                    </w:rPr>
                  </w:pPr>
                </w:p>
              </w:tc>
              <w:tc>
                <w:tcPr>
                  <w:tcW w:w="750" w:type="dxa"/>
                  <w:tcBorders>
                    <w:tl2br w:val="nil"/>
                    <w:tr2bl w:val="nil"/>
                  </w:tcBorders>
                  <w:noWrap w:val="0"/>
                  <w:vAlign w:val="top"/>
                </w:tcPr>
                <w:p>
                  <w:pPr>
                    <w:jc w:val="center"/>
                    <w:rPr>
                      <w:rFonts w:hint="eastAsia"/>
                      <w:bCs/>
                      <w:sz w:val="21"/>
                      <w:szCs w:val="21"/>
                    </w:rPr>
                  </w:pPr>
                  <w:r>
                    <w:rPr>
                      <w:rFonts w:hint="eastAsia"/>
                      <w:bCs/>
                      <w:sz w:val="21"/>
                      <w:szCs w:val="21"/>
                    </w:rPr>
                    <w:t>资源开发利用效率</w:t>
                  </w:r>
                </w:p>
              </w:tc>
              <w:tc>
                <w:tcPr>
                  <w:tcW w:w="7419" w:type="dxa"/>
                  <w:tcBorders>
                    <w:tl2br w:val="nil"/>
                    <w:tr2bl w:val="nil"/>
                  </w:tcBorders>
                  <w:noWrap w:val="0"/>
                  <w:vAlign w:val="top"/>
                </w:tcPr>
                <w:p>
                  <w:pPr>
                    <w:pStyle w:val="131"/>
                    <w:widowControl/>
                    <w:shd w:val="clear" w:color="auto" w:fill="FFFFFF"/>
                    <w:spacing w:line="240" w:lineRule="auto"/>
                    <w:ind w:firstLine="0" w:firstLineChars="0"/>
                    <w:jc w:val="left"/>
                    <w:rPr>
                      <w:rStyle w:val="32"/>
                      <w:rFonts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水资源利用效率要求</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鼓励企业加强水资源利用效率，降低单位产品耗水量。其他同广元市、昭化区总体准入要求</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地下水开采要求</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同广元市、利州区总体准入要求</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能源利用效率要求</w:t>
                  </w:r>
                </w:p>
                <w:p>
                  <w:pPr>
                    <w:jc w:val="left"/>
                    <w:rPr>
                      <w:rFonts w:hint="eastAsia" w:eastAsia="宋体"/>
                      <w:bCs/>
                      <w:sz w:val="21"/>
                      <w:szCs w:val="21"/>
                      <w:lang w:val="en-US" w:eastAsia="zh-CN"/>
                    </w:rPr>
                  </w:pPr>
                  <w:r>
                    <w:rPr>
                      <w:rStyle w:val="32"/>
                      <w:rFonts w:hint="eastAsia" w:ascii="宋体" w:hAnsi="宋体" w:eastAsia="宋体" w:cs="Times New Roman"/>
                      <w:kern w:val="2"/>
                      <w:sz w:val="21"/>
                      <w:szCs w:val="21"/>
                      <w:lang w:val="en-US" w:eastAsia="zh-CN" w:bidi="ar-SA"/>
                    </w:rPr>
                    <w:t>其他资源利用效率要求</w:t>
                  </w:r>
                </w:p>
              </w:tc>
              <w:tc>
                <w:tcPr>
                  <w:tcW w:w="1342" w:type="dxa"/>
                  <w:tcBorders>
                    <w:tl2br w:val="nil"/>
                    <w:tr2bl w:val="nil"/>
                  </w:tcBorders>
                  <w:noWrap w:val="0"/>
                  <w:vAlign w:val="top"/>
                </w:tcPr>
                <w:p>
                  <w:pPr>
                    <w:jc w:val="center"/>
                    <w:rPr>
                      <w:rFonts w:hint="eastAsia"/>
                      <w:bCs/>
                      <w:sz w:val="21"/>
                      <w:szCs w:val="21"/>
                    </w:rPr>
                  </w:pPr>
                  <w:r>
                    <w:rPr>
                      <w:rFonts w:hint="eastAsia"/>
                      <w:bCs/>
                      <w:sz w:val="21"/>
                      <w:szCs w:val="21"/>
                    </w:rPr>
                    <w:t>本项目满足广元市普适性管控要求</w:t>
                  </w:r>
                </w:p>
              </w:tc>
              <w:tc>
                <w:tcPr>
                  <w:tcW w:w="1159" w:type="dxa"/>
                  <w:tcBorders>
                    <w:tl2br w:val="nil"/>
                    <w:tr2bl w:val="nil"/>
                  </w:tcBorders>
                  <w:noWrap w:val="0"/>
                  <w:vAlign w:val="top"/>
                </w:tcPr>
                <w:p>
                  <w:pPr>
                    <w:jc w:val="center"/>
                    <w:rPr>
                      <w:rFonts w:hint="eastAsia"/>
                      <w:bCs/>
                      <w:sz w:val="21"/>
                      <w:szCs w:val="21"/>
                    </w:rPr>
                  </w:pPr>
                  <w:r>
                    <w:rPr>
                      <w:rFonts w:hint="eastAsia"/>
                      <w:bCs/>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1" w:hRule="atLeast"/>
              </w:trPr>
              <w:tc>
                <w:tcPr>
                  <w:tcW w:w="1822" w:type="dxa"/>
                  <w:vMerge w:val="restart"/>
                  <w:tcBorders>
                    <w:tl2br w:val="nil"/>
                    <w:tr2bl w:val="nil"/>
                  </w:tcBorders>
                  <w:shd w:val="clear" w:color="auto" w:fill="auto"/>
                  <w:noWrap w:val="0"/>
                  <w:vAlign w:val="top"/>
                </w:tcPr>
                <w:p>
                  <w:pPr>
                    <w:jc w:val="center"/>
                    <w:rPr>
                      <w:rFonts w:hint="default" w:ascii="Times New Roman" w:hAnsi="Times New Roman" w:cs="Times New Roman"/>
                      <w:bCs/>
                      <w:sz w:val="21"/>
                      <w:szCs w:val="21"/>
                      <w:highlight w:val="none"/>
                    </w:rPr>
                  </w:pPr>
                  <w:r>
                    <w:rPr>
                      <w:rFonts w:hint="default" w:ascii="Times New Roman" w:hAnsi="Times New Roman" w:cs="Times New Roman"/>
                      <w:b/>
                      <w:bCs w:val="0"/>
                      <w:sz w:val="21"/>
                      <w:szCs w:val="21"/>
                      <w:highlight w:val="none"/>
                    </w:rPr>
                    <w:t>环境管控单元分类</w:t>
                  </w:r>
                  <w:r>
                    <w:rPr>
                      <w:rFonts w:hint="default" w:ascii="Times New Roman" w:hAnsi="Times New Roman" w:cs="Times New Roman"/>
                      <w:bCs/>
                      <w:sz w:val="21"/>
                      <w:szCs w:val="21"/>
                      <w:highlight w:val="none"/>
                    </w:rPr>
                    <w:t>：</w:t>
                  </w:r>
                </w:p>
                <w:p>
                  <w:pPr>
                    <w:jc w:val="center"/>
                    <w:rPr>
                      <w:rFonts w:hint="default" w:ascii="Times New Roman" w:hAnsi="Times New Roman" w:cs="Times New Roman"/>
                      <w:b/>
                      <w:bCs w:val="0"/>
                      <w:sz w:val="21"/>
                      <w:szCs w:val="21"/>
                      <w:highlight w:val="none"/>
                    </w:rPr>
                  </w:pPr>
                  <w:r>
                    <w:rPr>
                      <w:rStyle w:val="32"/>
                      <w:rFonts w:hint="eastAsia" w:ascii="宋体" w:hAnsi="宋体" w:eastAsia="宋体" w:cs="Times New Roman"/>
                      <w:kern w:val="2"/>
                      <w:sz w:val="21"/>
                      <w:szCs w:val="21"/>
                      <w:lang w:val="en-US" w:eastAsia="zh-CN" w:bidi="ar-SA"/>
                    </w:rPr>
                    <w:t>水环境一般管控区</w:t>
                  </w:r>
                  <w:r>
                    <w:rPr>
                      <w:rFonts w:hint="default" w:ascii="Times New Roman" w:hAnsi="Times New Roman" w:cs="Times New Roman"/>
                      <w:b/>
                      <w:bCs w:val="0"/>
                      <w:sz w:val="21"/>
                      <w:szCs w:val="21"/>
                      <w:highlight w:val="none"/>
                    </w:rPr>
                    <w:t>编码：</w:t>
                  </w:r>
                  <w:r>
                    <w:rPr>
                      <w:rStyle w:val="32"/>
                      <w:rFonts w:hint="eastAsia" w:ascii="宋体" w:hAnsi="宋体" w:eastAsia="宋体" w:cs="Times New Roman"/>
                      <w:kern w:val="2"/>
                      <w:sz w:val="21"/>
                      <w:szCs w:val="21"/>
                      <w:lang w:val="en-US" w:eastAsia="zh-CN" w:bidi="ar-SA"/>
                    </w:rPr>
                    <w:t>YS5108113210001</w:t>
                  </w:r>
                </w:p>
                <w:p>
                  <w:pPr>
                    <w:jc w:val="center"/>
                    <w:rPr>
                      <w:rFonts w:hint="default" w:ascii="Times New Roman" w:hAnsi="Times New Roman" w:cs="Times New Roman"/>
                      <w:bCs/>
                      <w:sz w:val="21"/>
                      <w:szCs w:val="21"/>
                    </w:rPr>
                  </w:pPr>
                  <w:r>
                    <w:rPr>
                      <w:rFonts w:hint="default" w:ascii="Times New Roman" w:hAnsi="Times New Roman" w:cs="Times New Roman"/>
                      <w:b/>
                      <w:bCs w:val="0"/>
                      <w:sz w:val="21"/>
                      <w:szCs w:val="21"/>
                      <w:highlight w:val="none"/>
                    </w:rPr>
                    <w:t>名称：</w:t>
                  </w:r>
                  <w:r>
                    <w:rPr>
                      <w:rFonts w:hint="default" w:ascii="Times New Roman" w:hAnsi="Times New Roman" w:cs="Times New Roman"/>
                      <w:b w:val="0"/>
                      <w:bCs/>
                      <w:sz w:val="21"/>
                      <w:szCs w:val="21"/>
                      <w:highlight w:val="none"/>
                      <w:lang w:val="en-US" w:eastAsia="zh-CN"/>
                    </w:rPr>
                    <w:t>南渡-昭化区-管控单元</w:t>
                  </w:r>
                </w:p>
              </w:tc>
              <w:tc>
                <w:tcPr>
                  <w:tcW w:w="826" w:type="dxa"/>
                  <w:vMerge w:val="restart"/>
                  <w:tcBorders>
                    <w:tl2br w:val="nil"/>
                    <w:tr2bl w:val="nil"/>
                  </w:tcBorders>
                  <w:shd w:val="clear" w:color="auto" w:fill="auto"/>
                  <w:noWrap w:val="0"/>
                  <w:vAlign w:val="top"/>
                </w:tcPr>
                <w:p>
                  <w:pPr>
                    <w:jc w:val="center"/>
                    <w:rPr>
                      <w:rFonts w:hint="eastAsia"/>
                      <w:bCs/>
                      <w:sz w:val="21"/>
                      <w:szCs w:val="21"/>
                    </w:rPr>
                  </w:pPr>
                  <w:r>
                    <w:rPr>
                      <w:rFonts w:hint="eastAsia"/>
                      <w:bCs/>
                      <w:sz w:val="21"/>
                      <w:szCs w:val="21"/>
                    </w:rPr>
                    <w:t>单元级清单管控要求</w:t>
                  </w:r>
                </w:p>
              </w:tc>
              <w:tc>
                <w:tcPr>
                  <w:tcW w:w="750" w:type="dxa"/>
                  <w:tcBorders>
                    <w:tl2br w:val="nil"/>
                    <w:tr2bl w:val="nil"/>
                  </w:tcBorders>
                  <w:shd w:val="clear" w:color="auto" w:fill="auto"/>
                  <w:noWrap w:val="0"/>
                  <w:vAlign w:val="top"/>
                </w:tcPr>
                <w:p>
                  <w:pPr>
                    <w:jc w:val="center"/>
                    <w:rPr>
                      <w:rFonts w:hint="eastAsia"/>
                      <w:bCs/>
                      <w:sz w:val="21"/>
                      <w:szCs w:val="21"/>
                    </w:rPr>
                  </w:pPr>
                  <w:r>
                    <w:rPr>
                      <w:rFonts w:hint="eastAsia"/>
                      <w:bCs/>
                      <w:sz w:val="21"/>
                      <w:szCs w:val="21"/>
                    </w:rPr>
                    <w:t>空间布 局约束</w:t>
                  </w:r>
                </w:p>
              </w:tc>
              <w:tc>
                <w:tcPr>
                  <w:tcW w:w="7419" w:type="dxa"/>
                  <w:tcBorders>
                    <w:tl2br w:val="nil"/>
                    <w:tr2bl w:val="nil"/>
                  </w:tcBorders>
                  <w:shd w:val="clear" w:color="auto" w:fill="FFFFFF"/>
                  <w:noWrap w:val="0"/>
                  <w:vAlign w:val="center"/>
                </w:tcPr>
                <w:p>
                  <w:pPr>
                    <w:pStyle w:val="131"/>
                    <w:widowControl/>
                    <w:shd w:val="clear" w:color="auto" w:fill="FFFFFF"/>
                    <w:spacing w:line="240" w:lineRule="auto"/>
                    <w:ind w:firstLine="0" w:firstLineChars="0"/>
                    <w:jc w:val="left"/>
                    <w:rPr>
                      <w:rStyle w:val="32"/>
                      <w:rFonts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禁止开发建设活动的要求</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限制开发建设活动的要求</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允许开发建设活动的要求</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不符合空间布局要求活动的退出要求</w:t>
                  </w:r>
                </w:p>
                <w:p>
                  <w:pPr>
                    <w:pStyle w:val="131"/>
                    <w:widowControl/>
                    <w:shd w:val="clear" w:color="auto" w:fill="FFFFFF"/>
                    <w:spacing w:line="240" w:lineRule="auto"/>
                    <w:ind w:firstLine="0" w:firstLineChars="0"/>
                    <w:jc w:val="left"/>
                    <w:rPr>
                      <w:rFonts w:hint="eastAsia"/>
                      <w:bCs/>
                      <w:sz w:val="21"/>
                      <w:szCs w:val="21"/>
                    </w:rPr>
                  </w:pPr>
                  <w:r>
                    <w:rPr>
                      <w:rStyle w:val="32"/>
                      <w:rFonts w:hint="eastAsia" w:ascii="宋体" w:hAnsi="宋体" w:eastAsia="宋体" w:cs="Times New Roman"/>
                      <w:kern w:val="2"/>
                      <w:sz w:val="21"/>
                      <w:szCs w:val="21"/>
                      <w:lang w:val="en-US" w:eastAsia="zh-CN" w:bidi="ar-SA"/>
                    </w:rPr>
                    <w:t>其他空间布局约束要求</w:t>
                  </w:r>
                </w:p>
              </w:tc>
              <w:tc>
                <w:tcPr>
                  <w:tcW w:w="1342" w:type="dxa"/>
                  <w:tcBorders>
                    <w:tl2br w:val="nil"/>
                    <w:tr2bl w:val="nil"/>
                  </w:tcBorders>
                  <w:noWrap w:val="0"/>
                  <w:vAlign w:val="top"/>
                </w:tcPr>
                <w:p>
                  <w:pPr>
                    <w:jc w:val="center"/>
                    <w:rPr>
                      <w:rFonts w:hint="eastAsia"/>
                      <w:bCs/>
                      <w:sz w:val="21"/>
                      <w:szCs w:val="21"/>
                    </w:rPr>
                  </w:pPr>
                  <w:r>
                    <w:rPr>
                      <w:rFonts w:hint="eastAsia"/>
                      <w:bCs/>
                      <w:sz w:val="21"/>
                      <w:szCs w:val="21"/>
                    </w:rPr>
                    <w:t>本项目满足广元市普适性管控要求</w:t>
                  </w:r>
                </w:p>
              </w:tc>
              <w:tc>
                <w:tcPr>
                  <w:tcW w:w="1159" w:type="dxa"/>
                  <w:tcBorders>
                    <w:tl2br w:val="nil"/>
                    <w:tr2bl w:val="nil"/>
                  </w:tcBorders>
                  <w:noWrap w:val="0"/>
                  <w:vAlign w:val="top"/>
                </w:tcPr>
                <w:p>
                  <w:pPr>
                    <w:jc w:val="center"/>
                    <w:rPr>
                      <w:rFonts w:hint="eastAsia"/>
                      <w:bCs/>
                      <w:sz w:val="21"/>
                      <w:szCs w:val="21"/>
                    </w:rPr>
                  </w:pPr>
                  <w:r>
                    <w:rPr>
                      <w:rFonts w:hint="eastAsia"/>
                      <w:bCs/>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3" w:hRule="atLeast"/>
              </w:trPr>
              <w:tc>
                <w:tcPr>
                  <w:tcW w:w="1822" w:type="dxa"/>
                  <w:vMerge w:val="continue"/>
                  <w:tcBorders>
                    <w:tl2br w:val="nil"/>
                    <w:tr2bl w:val="nil"/>
                  </w:tcBorders>
                  <w:shd w:val="clear" w:color="auto" w:fill="auto"/>
                  <w:noWrap w:val="0"/>
                  <w:vAlign w:val="top"/>
                </w:tcPr>
                <w:p>
                  <w:pPr>
                    <w:jc w:val="center"/>
                    <w:rPr>
                      <w:rFonts w:hint="default" w:ascii="Times New Roman" w:hAnsi="Times New Roman" w:cs="Times New Roman"/>
                      <w:bCs/>
                      <w:sz w:val="21"/>
                      <w:szCs w:val="21"/>
                    </w:rPr>
                  </w:pPr>
                </w:p>
              </w:tc>
              <w:tc>
                <w:tcPr>
                  <w:tcW w:w="826" w:type="dxa"/>
                  <w:vMerge w:val="continue"/>
                  <w:tcBorders>
                    <w:tl2br w:val="nil"/>
                    <w:tr2bl w:val="nil"/>
                  </w:tcBorders>
                  <w:shd w:val="clear" w:color="auto" w:fill="auto"/>
                  <w:noWrap w:val="0"/>
                  <w:vAlign w:val="top"/>
                </w:tcPr>
                <w:p>
                  <w:pPr>
                    <w:jc w:val="center"/>
                    <w:rPr>
                      <w:rFonts w:hint="eastAsia"/>
                      <w:bCs/>
                      <w:sz w:val="21"/>
                      <w:szCs w:val="21"/>
                    </w:rPr>
                  </w:pPr>
                </w:p>
              </w:tc>
              <w:tc>
                <w:tcPr>
                  <w:tcW w:w="750" w:type="dxa"/>
                  <w:tcBorders>
                    <w:tl2br w:val="nil"/>
                    <w:tr2bl w:val="nil"/>
                  </w:tcBorders>
                  <w:shd w:val="clear" w:color="auto" w:fill="auto"/>
                  <w:noWrap w:val="0"/>
                  <w:vAlign w:val="top"/>
                </w:tcPr>
                <w:p>
                  <w:pPr>
                    <w:jc w:val="center"/>
                    <w:rPr>
                      <w:rFonts w:hint="eastAsia"/>
                      <w:bCs/>
                      <w:sz w:val="21"/>
                      <w:szCs w:val="21"/>
                    </w:rPr>
                  </w:pPr>
                  <w:r>
                    <w:rPr>
                      <w:rFonts w:hint="eastAsia"/>
                      <w:bCs/>
                      <w:sz w:val="21"/>
                      <w:szCs w:val="21"/>
                    </w:rPr>
                    <w:t>污染物</w:t>
                  </w:r>
                </w:p>
                <w:p>
                  <w:pPr>
                    <w:jc w:val="center"/>
                    <w:rPr>
                      <w:rFonts w:hint="eastAsia"/>
                      <w:bCs/>
                      <w:sz w:val="21"/>
                      <w:szCs w:val="21"/>
                    </w:rPr>
                  </w:pPr>
                  <w:r>
                    <w:rPr>
                      <w:rFonts w:hint="eastAsia"/>
                      <w:bCs/>
                      <w:sz w:val="21"/>
                      <w:szCs w:val="21"/>
                    </w:rPr>
                    <w:t>排放管</w:t>
                  </w:r>
                </w:p>
                <w:p>
                  <w:pPr>
                    <w:jc w:val="center"/>
                    <w:rPr>
                      <w:rFonts w:hint="eastAsia"/>
                      <w:bCs/>
                      <w:sz w:val="21"/>
                      <w:szCs w:val="21"/>
                    </w:rPr>
                  </w:pPr>
                  <w:r>
                    <w:rPr>
                      <w:rFonts w:hint="eastAsia"/>
                      <w:bCs/>
                      <w:sz w:val="21"/>
                      <w:szCs w:val="21"/>
                    </w:rPr>
                    <w:t>控</w:t>
                  </w:r>
                </w:p>
              </w:tc>
              <w:tc>
                <w:tcPr>
                  <w:tcW w:w="7419" w:type="dxa"/>
                  <w:tcBorders>
                    <w:tl2br w:val="nil"/>
                    <w:tr2bl w:val="nil"/>
                  </w:tcBorders>
                  <w:shd w:val="clear" w:color="auto" w:fill="FFFFFF"/>
                  <w:noWrap w:val="0"/>
                  <w:vAlign w:val="center"/>
                </w:tcPr>
                <w:p>
                  <w:pPr>
                    <w:pStyle w:val="131"/>
                    <w:widowControl/>
                    <w:shd w:val="clear" w:color="auto" w:fill="FFFFFF"/>
                    <w:spacing w:line="240" w:lineRule="auto"/>
                    <w:ind w:firstLine="0" w:firstLineChars="0"/>
                    <w:jc w:val="left"/>
                    <w:rPr>
                      <w:rStyle w:val="32"/>
                      <w:rFonts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城镇污水污染控制措施要求</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落实《水污染防治行动计划》《长江经济带生态环境保护规划》等文件中关于城镇污水污染控制要求，提高污水处理能力及处理效率。</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工业废水污染控制措施要求</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落实《水污染防治行动计划》《长江经济带生态环境保护规划》等文件中关于工业废水污染控制要求，确保达标排放。</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农业面源水污染控制措施要求</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落实《水污染防治行动计划》《长江经济带生态环境保护规划》等文件中关于农业面源水污染控制要求</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船舶港口水污染控制措施要求</w:t>
                  </w:r>
                </w:p>
                <w:p>
                  <w:pPr>
                    <w:pStyle w:val="131"/>
                    <w:widowControl/>
                    <w:shd w:val="clear" w:color="auto" w:fill="FFFFFF"/>
                    <w:spacing w:line="240" w:lineRule="auto"/>
                    <w:ind w:firstLine="0" w:firstLineChars="0"/>
                    <w:jc w:val="left"/>
                    <w:rPr>
                      <w:rFonts w:hint="eastAsia"/>
                      <w:bCs/>
                      <w:sz w:val="21"/>
                      <w:szCs w:val="21"/>
                    </w:rPr>
                  </w:pPr>
                  <w:r>
                    <w:rPr>
                      <w:rStyle w:val="32"/>
                      <w:rFonts w:hint="eastAsia" w:ascii="宋体" w:hAnsi="宋体" w:eastAsia="宋体" w:cs="Times New Roman"/>
                      <w:kern w:val="2"/>
                      <w:sz w:val="21"/>
                      <w:szCs w:val="21"/>
                      <w:lang w:val="en-US" w:eastAsia="zh-CN" w:bidi="ar-SA"/>
                    </w:rPr>
                    <w:t>饮用水水源和其它特殊水体保护要求</w:t>
                  </w:r>
                </w:p>
              </w:tc>
              <w:tc>
                <w:tcPr>
                  <w:tcW w:w="1342" w:type="dxa"/>
                  <w:tcBorders>
                    <w:tl2br w:val="nil"/>
                    <w:tr2bl w:val="nil"/>
                  </w:tcBorders>
                  <w:noWrap w:val="0"/>
                  <w:vAlign w:val="top"/>
                </w:tcPr>
                <w:p>
                  <w:pPr>
                    <w:jc w:val="center"/>
                    <w:rPr>
                      <w:rFonts w:hint="eastAsia" w:eastAsia="宋体"/>
                      <w:bCs/>
                      <w:sz w:val="21"/>
                      <w:szCs w:val="21"/>
                      <w:lang w:eastAsia="zh-CN"/>
                    </w:rPr>
                  </w:pPr>
                  <w:r>
                    <w:rPr>
                      <w:rFonts w:hint="eastAsia"/>
                      <w:bCs/>
                      <w:sz w:val="21"/>
                      <w:szCs w:val="21"/>
                    </w:rPr>
                    <w:t>本项目满足广元市普适性管控要求</w:t>
                  </w:r>
                </w:p>
              </w:tc>
              <w:tc>
                <w:tcPr>
                  <w:tcW w:w="1159" w:type="dxa"/>
                  <w:tcBorders>
                    <w:tl2br w:val="nil"/>
                    <w:tr2bl w:val="nil"/>
                  </w:tcBorders>
                  <w:noWrap w:val="0"/>
                  <w:vAlign w:val="top"/>
                </w:tcPr>
                <w:p>
                  <w:pPr>
                    <w:jc w:val="center"/>
                    <w:rPr>
                      <w:rFonts w:hint="eastAsia"/>
                      <w:bCs/>
                      <w:sz w:val="21"/>
                      <w:szCs w:val="21"/>
                    </w:rPr>
                  </w:pPr>
                  <w:r>
                    <w:rPr>
                      <w:rFonts w:hint="eastAsia"/>
                      <w:bCs/>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0" w:hRule="atLeast"/>
              </w:trPr>
              <w:tc>
                <w:tcPr>
                  <w:tcW w:w="1822" w:type="dxa"/>
                  <w:vMerge w:val="continue"/>
                  <w:tcBorders>
                    <w:tl2br w:val="nil"/>
                    <w:tr2bl w:val="nil"/>
                  </w:tcBorders>
                  <w:noWrap w:val="0"/>
                  <w:vAlign w:val="top"/>
                </w:tcPr>
                <w:p>
                  <w:pPr>
                    <w:jc w:val="center"/>
                    <w:rPr>
                      <w:rFonts w:hint="default" w:ascii="Times New Roman" w:hAnsi="Times New Roman" w:cs="Times New Roman"/>
                      <w:bCs/>
                      <w:sz w:val="21"/>
                      <w:szCs w:val="21"/>
                    </w:rPr>
                  </w:pPr>
                </w:p>
              </w:tc>
              <w:tc>
                <w:tcPr>
                  <w:tcW w:w="826" w:type="dxa"/>
                  <w:vMerge w:val="continue"/>
                  <w:tcBorders>
                    <w:tl2br w:val="nil"/>
                    <w:tr2bl w:val="nil"/>
                  </w:tcBorders>
                  <w:noWrap w:val="0"/>
                  <w:vAlign w:val="top"/>
                </w:tcPr>
                <w:p>
                  <w:pPr>
                    <w:jc w:val="center"/>
                    <w:rPr>
                      <w:rFonts w:hint="eastAsia"/>
                      <w:bCs/>
                      <w:sz w:val="21"/>
                      <w:szCs w:val="21"/>
                    </w:rPr>
                  </w:pPr>
                </w:p>
              </w:tc>
              <w:tc>
                <w:tcPr>
                  <w:tcW w:w="750" w:type="dxa"/>
                  <w:tcBorders>
                    <w:tl2br w:val="nil"/>
                    <w:tr2bl w:val="nil"/>
                  </w:tcBorders>
                  <w:noWrap w:val="0"/>
                  <w:vAlign w:val="top"/>
                </w:tcPr>
                <w:p>
                  <w:pPr>
                    <w:jc w:val="center"/>
                    <w:rPr>
                      <w:rFonts w:hint="eastAsia"/>
                      <w:bCs/>
                      <w:sz w:val="21"/>
                      <w:szCs w:val="21"/>
                    </w:rPr>
                  </w:pPr>
                  <w:r>
                    <w:rPr>
                      <w:rFonts w:hint="eastAsia"/>
                      <w:bCs/>
                      <w:sz w:val="21"/>
                      <w:szCs w:val="21"/>
                    </w:rPr>
                    <w:t>环境风 险防控</w:t>
                  </w:r>
                </w:p>
              </w:tc>
              <w:tc>
                <w:tcPr>
                  <w:tcW w:w="7419" w:type="dxa"/>
                  <w:tcBorders>
                    <w:tl2br w:val="nil"/>
                    <w:tr2bl w:val="nil"/>
                  </w:tcBorders>
                  <w:noWrap w:val="0"/>
                  <w:vAlign w:val="center"/>
                </w:tcPr>
                <w:p>
                  <w:pPr>
                    <w:pStyle w:val="131"/>
                    <w:widowControl/>
                    <w:shd w:val="clear" w:color="auto" w:fill="FFFFFF"/>
                    <w:spacing w:line="240" w:lineRule="auto"/>
                    <w:ind w:firstLine="0" w:firstLineChars="0"/>
                    <w:jc w:val="left"/>
                    <w:rPr>
                      <w:rFonts w:hint="eastAsia"/>
                      <w:bCs/>
                      <w:sz w:val="21"/>
                      <w:szCs w:val="21"/>
                    </w:rPr>
                  </w:pPr>
                  <w:r>
                    <w:rPr>
                      <w:rStyle w:val="32"/>
                      <w:rFonts w:hint="eastAsia" w:ascii="宋体" w:hAnsi="宋体" w:eastAsia="宋体" w:cs="Times New Roman"/>
                      <w:kern w:val="2"/>
                      <w:sz w:val="21"/>
                      <w:szCs w:val="21"/>
                      <w:lang w:val="en-US" w:eastAsia="zh-CN" w:bidi="ar-SA"/>
                    </w:rPr>
                    <w:t>加强环境风险防范，坚持预防为主，构建以企业为主体的环境风险防控体系，优化产业布局，加强协调联动，提升应急救援能力；严格环境风险源头防控，加强涉重金属、危险废物、危化品等重点企业环境风险评估；强化工业、企业集中分布区环境风险管控，建设相应的防护工程。</w:t>
                  </w:r>
                </w:p>
              </w:tc>
              <w:tc>
                <w:tcPr>
                  <w:tcW w:w="1342" w:type="dxa"/>
                  <w:tcBorders>
                    <w:tl2br w:val="nil"/>
                    <w:tr2bl w:val="nil"/>
                  </w:tcBorders>
                  <w:noWrap w:val="0"/>
                  <w:vAlign w:val="top"/>
                </w:tcPr>
                <w:p>
                  <w:pPr>
                    <w:jc w:val="center"/>
                    <w:rPr>
                      <w:rFonts w:hint="eastAsia"/>
                      <w:bCs/>
                      <w:sz w:val="21"/>
                      <w:szCs w:val="21"/>
                    </w:rPr>
                  </w:pPr>
                  <w:r>
                    <w:rPr>
                      <w:rFonts w:hint="eastAsia"/>
                      <w:bCs/>
                      <w:sz w:val="21"/>
                      <w:szCs w:val="21"/>
                    </w:rPr>
                    <w:t>本项目满足广元市普适性管控要求</w:t>
                  </w:r>
                </w:p>
              </w:tc>
              <w:tc>
                <w:tcPr>
                  <w:tcW w:w="1159" w:type="dxa"/>
                  <w:tcBorders>
                    <w:tl2br w:val="nil"/>
                    <w:tr2bl w:val="nil"/>
                  </w:tcBorders>
                  <w:noWrap w:val="0"/>
                  <w:vAlign w:val="top"/>
                </w:tcPr>
                <w:p>
                  <w:pPr>
                    <w:jc w:val="center"/>
                    <w:rPr>
                      <w:rFonts w:hint="eastAsia"/>
                      <w:bCs/>
                      <w:sz w:val="21"/>
                      <w:szCs w:val="21"/>
                    </w:rPr>
                  </w:pPr>
                  <w:r>
                    <w:rPr>
                      <w:rFonts w:hint="eastAsia"/>
                      <w:bCs/>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822" w:type="dxa"/>
                  <w:vMerge w:val="continue"/>
                  <w:tcBorders>
                    <w:tl2br w:val="nil"/>
                    <w:tr2bl w:val="nil"/>
                  </w:tcBorders>
                  <w:noWrap w:val="0"/>
                  <w:vAlign w:val="top"/>
                </w:tcPr>
                <w:p>
                  <w:pPr>
                    <w:jc w:val="center"/>
                    <w:rPr>
                      <w:rFonts w:hint="default" w:ascii="Times New Roman" w:hAnsi="Times New Roman" w:cs="Times New Roman"/>
                      <w:bCs/>
                      <w:sz w:val="21"/>
                      <w:szCs w:val="21"/>
                    </w:rPr>
                  </w:pPr>
                </w:p>
              </w:tc>
              <w:tc>
                <w:tcPr>
                  <w:tcW w:w="826" w:type="dxa"/>
                  <w:vMerge w:val="continue"/>
                  <w:tcBorders>
                    <w:tl2br w:val="nil"/>
                    <w:tr2bl w:val="nil"/>
                  </w:tcBorders>
                  <w:noWrap w:val="0"/>
                  <w:vAlign w:val="top"/>
                </w:tcPr>
                <w:p>
                  <w:pPr>
                    <w:jc w:val="center"/>
                    <w:rPr>
                      <w:rFonts w:hint="eastAsia"/>
                      <w:bCs/>
                      <w:sz w:val="21"/>
                      <w:szCs w:val="21"/>
                    </w:rPr>
                  </w:pPr>
                </w:p>
              </w:tc>
              <w:tc>
                <w:tcPr>
                  <w:tcW w:w="750" w:type="dxa"/>
                  <w:tcBorders>
                    <w:tl2br w:val="nil"/>
                    <w:tr2bl w:val="nil"/>
                  </w:tcBorders>
                  <w:noWrap w:val="0"/>
                  <w:vAlign w:val="top"/>
                </w:tcPr>
                <w:p>
                  <w:pPr>
                    <w:jc w:val="center"/>
                    <w:rPr>
                      <w:rFonts w:hint="eastAsia"/>
                      <w:bCs/>
                      <w:sz w:val="21"/>
                      <w:szCs w:val="21"/>
                    </w:rPr>
                  </w:pPr>
                  <w:r>
                    <w:rPr>
                      <w:rFonts w:hint="eastAsia"/>
                      <w:bCs/>
                      <w:sz w:val="21"/>
                      <w:szCs w:val="21"/>
                    </w:rPr>
                    <w:t>资源开</w:t>
                  </w:r>
                </w:p>
                <w:p>
                  <w:pPr>
                    <w:jc w:val="center"/>
                    <w:rPr>
                      <w:rFonts w:hint="eastAsia"/>
                      <w:bCs/>
                      <w:sz w:val="21"/>
                      <w:szCs w:val="21"/>
                    </w:rPr>
                  </w:pPr>
                  <w:r>
                    <w:rPr>
                      <w:rFonts w:hint="eastAsia"/>
                      <w:bCs/>
                      <w:sz w:val="21"/>
                      <w:szCs w:val="21"/>
                    </w:rPr>
                    <w:t>发效率</w:t>
                  </w:r>
                </w:p>
                <w:p>
                  <w:pPr>
                    <w:jc w:val="center"/>
                    <w:rPr>
                      <w:rFonts w:hint="eastAsia"/>
                      <w:bCs/>
                      <w:sz w:val="21"/>
                      <w:szCs w:val="21"/>
                    </w:rPr>
                  </w:pPr>
                  <w:r>
                    <w:rPr>
                      <w:rFonts w:hint="eastAsia"/>
                      <w:bCs/>
                      <w:sz w:val="21"/>
                      <w:szCs w:val="21"/>
                    </w:rPr>
                    <w:t>要求</w:t>
                  </w:r>
                </w:p>
              </w:tc>
              <w:tc>
                <w:tcPr>
                  <w:tcW w:w="7419" w:type="dxa"/>
                  <w:tcBorders>
                    <w:tl2br w:val="nil"/>
                    <w:tr2bl w:val="nil"/>
                  </w:tcBorders>
                  <w:noWrap w:val="0"/>
                  <w:vAlign w:val="center"/>
                </w:tcPr>
                <w:p>
                  <w:pPr>
                    <w:pStyle w:val="131"/>
                    <w:widowControl/>
                    <w:shd w:val="clear" w:color="auto" w:fill="FFFFFF"/>
                    <w:spacing w:line="240" w:lineRule="auto"/>
                    <w:ind w:firstLine="0" w:firstLineChars="0"/>
                    <w:jc w:val="left"/>
                    <w:rPr>
                      <w:rFonts w:hint="eastAsia"/>
                      <w:bCs/>
                      <w:sz w:val="21"/>
                      <w:szCs w:val="21"/>
                    </w:rPr>
                  </w:pPr>
                  <w:r>
                    <w:rPr>
                      <w:rStyle w:val="32"/>
                      <w:rFonts w:hint="eastAsia" w:ascii="宋体" w:hAnsi="宋体" w:eastAsia="宋体" w:cs="Times New Roman"/>
                      <w:kern w:val="2"/>
                      <w:sz w:val="21"/>
                      <w:szCs w:val="21"/>
                      <w:lang w:val="en-US" w:eastAsia="zh-CN" w:bidi="ar-SA"/>
                    </w:rPr>
                    <w:t>/</w:t>
                  </w:r>
                </w:p>
              </w:tc>
              <w:tc>
                <w:tcPr>
                  <w:tcW w:w="1342" w:type="dxa"/>
                  <w:tcBorders>
                    <w:tl2br w:val="nil"/>
                    <w:tr2bl w:val="nil"/>
                  </w:tcBorders>
                  <w:noWrap w:val="0"/>
                  <w:vAlign w:val="top"/>
                </w:tcPr>
                <w:p>
                  <w:pPr>
                    <w:jc w:val="center"/>
                    <w:rPr>
                      <w:rFonts w:hint="eastAsia"/>
                      <w:bCs/>
                      <w:sz w:val="21"/>
                      <w:szCs w:val="21"/>
                    </w:rPr>
                  </w:pPr>
                </w:p>
                <w:p>
                  <w:pPr>
                    <w:jc w:val="center"/>
                    <w:rPr>
                      <w:rFonts w:hint="eastAsia"/>
                      <w:bCs/>
                      <w:sz w:val="21"/>
                      <w:szCs w:val="21"/>
                    </w:rPr>
                  </w:pPr>
                  <w:r>
                    <w:rPr>
                      <w:rFonts w:hint="eastAsia"/>
                      <w:bCs/>
                      <w:sz w:val="21"/>
                      <w:szCs w:val="21"/>
                    </w:rPr>
                    <w:t>/</w:t>
                  </w:r>
                </w:p>
              </w:tc>
              <w:tc>
                <w:tcPr>
                  <w:tcW w:w="1159" w:type="dxa"/>
                  <w:tcBorders>
                    <w:tl2br w:val="nil"/>
                    <w:tr2bl w:val="nil"/>
                  </w:tcBorders>
                  <w:noWrap w:val="0"/>
                  <w:vAlign w:val="top"/>
                </w:tcPr>
                <w:p>
                  <w:pPr>
                    <w:jc w:val="center"/>
                    <w:rPr>
                      <w:rFonts w:hint="eastAsia"/>
                      <w:bCs/>
                      <w:sz w:val="21"/>
                      <w:szCs w:val="21"/>
                    </w:rPr>
                  </w:pPr>
                </w:p>
                <w:p>
                  <w:pPr>
                    <w:jc w:val="center"/>
                    <w:rPr>
                      <w:rFonts w:hint="eastAsia"/>
                      <w:bCs/>
                      <w:sz w:val="21"/>
                      <w:szCs w:val="21"/>
                    </w:rPr>
                  </w:pPr>
                  <w:r>
                    <w:rPr>
                      <w:rFonts w:hint="eastAsia"/>
                      <w:bCs/>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 w:hRule="atLeast"/>
              </w:trPr>
              <w:tc>
                <w:tcPr>
                  <w:tcW w:w="1822" w:type="dxa"/>
                  <w:vMerge w:val="restart"/>
                  <w:tcBorders>
                    <w:tl2br w:val="nil"/>
                    <w:tr2bl w:val="nil"/>
                  </w:tcBorders>
                  <w:noWrap w:val="0"/>
                  <w:vAlign w:val="top"/>
                </w:tcPr>
                <w:p>
                  <w:pPr>
                    <w:jc w:val="center"/>
                    <w:rPr>
                      <w:rFonts w:hint="default" w:ascii="Times New Roman" w:hAnsi="Times New Roman" w:cs="Times New Roman"/>
                      <w:bCs/>
                      <w:sz w:val="21"/>
                      <w:szCs w:val="21"/>
                    </w:rPr>
                  </w:pPr>
                  <w:r>
                    <w:rPr>
                      <w:rFonts w:hint="default" w:ascii="Times New Roman" w:hAnsi="Times New Roman" w:cs="Times New Roman"/>
                      <w:b/>
                      <w:bCs w:val="0"/>
                      <w:sz w:val="21"/>
                      <w:szCs w:val="21"/>
                    </w:rPr>
                    <w:t>环境管控单元分类</w:t>
                  </w:r>
                  <w:r>
                    <w:rPr>
                      <w:rFonts w:hint="default" w:ascii="Times New Roman" w:hAnsi="Times New Roman" w:cs="Times New Roman"/>
                      <w:bCs/>
                      <w:sz w:val="21"/>
                      <w:szCs w:val="21"/>
                    </w:rPr>
                    <w:t>：</w:t>
                  </w:r>
                </w:p>
                <w:p>
                  <w:pPr>
                    <w:jc w:val="center"/>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大气环境弱扩散重点管控区</w:t>
                  </w:r>
                </w:p>
                <w:p>
                  <w:pPr>
                    <w:jc w:val="center"/>
                    <w:rPr>
                      <w:rFonts w:hint="default" w:ascii="Times New Roman" w:hAnsi="Times New Roman" w:cs="Times New Roman"/>
                      <w:bCs/>
                      <w:sz w:val="21"/>
                      <w:szCs w:val="21"/>
                      <w:highlight w:val="none"/>
                    </w:rPr>
                  </w:pPr>
                  <w:r>
                    <w:rPr>
                      <w:rFonts w:hint="default" w:ascii="Times New Roman" w:hAnsi="Times New Roman" w:cs="Times New Roman"/>
                      <w:b/>
                      <w:bCs w:val="0"/>
                      <w:sz w:val="21"/>
                      <w:szCs w:val="21"/>
                      <w:highlight w:val="none"/>
                    </w:rPr>
                    <w:t>编码：</w:t>
                  </w:r>
                  <w:r>
                    <w:rPr>
                      <w:rFonts w:hint="default" w:ascii="Times New Roman" w:hAnsi="Times New Roman" w:cs="Times New Roman"/>
                      <w:bCs/>
                      <w:sz w:val="21"/>
                      <w:szCs w:val="21"/>
                      <w:highlight w:val="none"/>
                    </w:rPr>
                    <w:t xml:space="preserve"> </w:t>
                  </w:r>
                  <w:r>
                    <w:rPr>
                      <w:rStyle w:val="32"/>
                      <w:rFonts w:hint="eastAsia" w:ascii="宋体" w:hAnsi="宋体" w:eastAsia="宋体" w:cs="Times New Roman"/>
                      <w:kern w:val="2"/>
                      <w:sz w:val="21"/>
                      <w:szCs w:val="21"/>
                      <w:lang w:val="en-US" w:eastAsia="zh-CN" w:bidi="ar-SA"/>
                    </w:rPr>
                    <w:t>YS5108112330001</w:t>
                  </w:r>
                </w:p>
                <w:p>
                  <w:pPr>
                    <w:jc w:val="center"/>
                    <w:rPr>
                      <w:rFonts w:hint="default" w:ascii="Times New Roman" w:hAnsi="Times New Roman" w:cs="Times New Roman"/>
                      <w:bCs/>
                      <w:sz w:val="21"/>
                      <w:szCs w:val="21"/>
                    </w:rPr>
                  </w:pPr>
                  <w:r>
                    <w:rPr>
                      <w:rFonts w:hint="default" w:ascii="Times New Roman" w:hAnsi="Times New Roman" w:cs="Times New Roman"/>
                      <w:b/>
                      <w:bCs w:val="0"/>
                      <w:sz w:val="21"/>
                      <w:szCs w:val="21"/>
                      <w:highlight w:val="none"/>
                    </w:rPr>
                    <w:t>名称：</w:t>
                  </w:r>
                  <w:r>
                    <w:rPr>
                      <w:rStyle w:val="32"/>
                      <w:rFonts w:hint="eastAsia" w:ascii="宋体" w:hAnsi="宋体" w:eastAsia="宋体" w:cs="Times New Roman"/>
                      <w:kern w:val="2"/>
                      <w:sz w:val="21"/>
                      <w:szCs w:val="21"/>
                      <w:lang w:val="en-US" w:eastAsia="zh-CN" w:bidi="ar-SA"/>
                    </w:rPr>
                    <w:t>昭化区大气环境弱扩散重点管控区</w:t>
                  </w:r>
                </w:p>
              </w:tc>
              <w:tc>
                <w:tcPr>
                  <w:tcW w:w="826" w:type="dxa"/>
                  <w:vMerge w:val="restart"/>
                  <w:tcBorders>
                    <w:tl2br w:val="nil"/>
                    <w:tr2bl w:val="nil"/>
                  </w:tcBorders>
                  <w:noWrap w:val="0"/>
                  <w:vAlign w:val="top"/>
                </w:tcPr>
                <w:p>
                  <w:pPr>
                    <w:jc w:val="center"/>
                    <w:rPr>
                      <w:rFonts w:hint="eastAsia"/>
                      <w:bCs/>
                      <w:sz w:val="21"/>
                      <w:szCs w:val="21"/>
                    </w:rPr>
                  </w:pPr>
                  <w:r>
                    <w:rPr>
                      <w:rFonts w:hint="eastAsia"/>
                      <w:bCs/>
                      <w:sz w:val="21"/>
                      <w:szCs w:val="21"/>
                    </w:rPr>
                    <w:t>单元级清单管控要求</w:t>
                  </w:r>
                </w:p>
              </w:tc>
              <w:tc>
                <w:tcPr>
                  <w:tcW w:w="750" w:type="dxa"/>
                  <w:tcBorders>
                    <w:tl2br w:val="nil"/>
                    <w:tr2bl w:val="nil"/>
                  </w:tcBorders>
                  <w:noWrap w:val="0"/>
                  <w:vAlign w:val="top"/>
                </w:tcPr>
                <w:p>
                  <w:pPr>
                    <w:jc w:val="center"/>
                    <w:rPr>
                      <w:rFonts w:hint="eastAsia"/>
                      <w:bCs/>
                      <w:sz w:val="21"/>
                      <w:szCs w:val="21"/>
                    </w:rPr>
                  </w:pPr>
                  <w:r>
                    <w:rPr>
                      <w:rFonts w:hint="eastAsia"/>
                      <w:bCs/>
                      <w:sz w:val="21"/>
                      <w:szCs w:val="21"/>
                    </w:rPr>
                    <w:t>空间布 局约束</w:t>
                  </w:r>
                </w:p>
              </w:tc>
              <w:tc>
                <w:tcPr>
                  <w:tcW w:w="7419" w:type="dxa"/>
                  <w:tcBorders>
                    <w:tl2br w:val="nil"/>
                    <w:tr2bl w:val="nil"/>
                  </w:tcBorders>
                  <w:noWrap w:val="0"/>
                  <w:vAlign w:val="center"/>
                </w:tcPr>
                <w:p>
                  <w:pPr>
                    <w:pStyle w:val="131"/>
                    <w:widowControl/>
                    <w:shd w:val="clear" w:color="auto" w:fill="FFFFFF"/>
                    <w:spacing w:line="240" w:lineRule="auto"/>
                    <w:ind w:firstLine="0" w:firstLineChars="0"/>
                    <w:jc w:val="left"/>
                    <w:rPr>
                      <w:rStyle w:val="32"/>
                      <w:rFonts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禁止开发建设活动的要求</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限制开发建设活动的要求</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允许开发建设活动的要求</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不符合空间布局要求活动的退出要求</w:t>
                  </w:r>
                </w:p>
                <w:p>
                  <w:pPr>
                    <w:pStyle w:val="131"/>
                    <w:widowControl/>
                    <w:shd w:val="clear" w:color="auto" w:fill="FFFFFF"/>
                    <w:spacing w:line="240" w:lineRule="auto"/>
                    <w:ind w:firstLine="0" w:firstLineChars="0"/>
                    <w:jc w:val="left"/>
                    <w:rPr>
                      <w:rFonts w:hint="eastAsia"/>
                      <w:bCs/>
                      <w:sz w:val="21"/>
                      <w:szCs w:val="21"/>
                    </w:rPr>
                  </w:pPr>
                  <w:r>
                    <w:rPr>
                      <w:rStyle w:val="32"/>
                      <w:rFonts w:hint="eastAsia" w:ascii="宋体" w:hAnsi="宋体" w:eastAsia="宋体" w:cs="Times New Roman"/>
                      <w:kern w:val="2"/>
                      <w:sz w:val="21"/>
                      <w:szCs w:val="21"/>
                      <w:lang w:val="en-US" w:eastAsia="zh-CN" w:bidi="ar-SA"/>
                    </w:rPr>
                    <w:t>其他空间布局约束要求</w:t>
                  </w:r>
                </w:p>
              </w:tc>
              <w:tc>
                <w:tcPr>
                  <w:tcW w:w="1342" w:type="dxa"/>
                  <w:tcBorders>
                    <w:tl2br w:val="nil"/>
                    <w:tr2bl w:val="nil"/>
                  </w:tcBorders>
                  <w:noWrap w:val="0"/>
                  <w:vAlign w:val="top"/>
                </w:tcPr>
                <w:p>
                  <w:pPr>
                    <w:jc w:val="center"/>
                    <w:rPr>
                      <w:rFonts w:hint="eastAsia"/>
                      <w:bCs/>
                      <w:sz w:val="21"/>
                      <w:szCs w:val="21"/>
                    </w:rPr>
                  </w:pPr>
                  <w:r>
                    <w:rPr>
                      <w:rFonts w:hint="eastAsia"/>
                      <w:bCs/>
                      <w:sz w:val="21"/>
                      <w:szCs w:val="21"/>
                    </w:rPr>
                    <w:t>本项目满足广元市普适性管控要求</w:t>
                  </w:r>
                </w:p>
              </w:tc>
              <w:tc>
                <w:tcPr>
                  <w:tcW w:w="1159" w:type="dxa"/>
                  <w:tcBorders>
                    <w:tl2br w:val="nil"/>
                    <w:tr2bl w:val="nil"/>
                  </w:tcBorders>
                  <w:noWrap w:val="0"/>
                  <w:vAlign w:val="top"/>
                </w:tcPr>
                <w:p>
                  <w:pPr>
                    <w:jc w:val="center"/>
                    <w:rPr>
                      <w:rFonts w:hint="eastAsia"/>
                      <w:bCs/>
                      <w:sz w:val="21"/>
                      <w:szCs w:val="21"/>
                    </w:rPr>
                  </w:pPr>
                  <w:r>
                    <w:rPr>
                      <w:rFonts w:hint="eastAsia"/>
                      <w:bCs/>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822" w:type="dxa"/>
                  <w:vMerge w:val="continue"/>
                  <w:tcBorders>
                    <w:tl2br w:val="nil"/>
                    <w:tr2bl w:val="nil"/>
                  </w:tcBorders>
                  <w:shd w:val="clear" w:color="auto" w:fill="auto"/>
                  <w:noWrap w:val="0"/>
                  <w:vAlign w:val="top"/>
                </w:tcPr>
                <w:p>
                  <w:pPr>
                    <w:jc w:val="center"/>
                    <w:rPr>
                      <w:rFonts w:hint="eastAsia"/>
                      <w:bCs/>
                      <w:sz w:val="21"/>
                      <w:szCs w:val="21"/>
                    </w:rPr>
                  </w:pPr>
                </w:p>
              </w:tc>
              <w:tc>
                <w:tcPr>
                  <w:tcW w:w="826" w:type="dxa"/>
                  <w:vMerge w:val="continue"/>
                  <w:tcBorders>
                    <w:tl2br w:val="nil"/>
                    <w:tr2bl w:val="nil"/>
                  </w:tcBorders>
                  <w:shd w:val="clear" w:color="auto" w:fill="auto"/>
                  <w:noWrap w:val="0"/>
                  <w:vAlign w:val="top"/>
                </w:tcPr>
                <w:p>
                  <w:pPr>
                    <w:jc w:val="center"/>
                    <w:rPr>
                      <w:rFonts w:hint="eastAsia"/>
                      <w:bCs/>
                      <w:sz w:val="21"/>
                      <w:szCs w:val="21"/>
                    </w:rPr>
                  </w:pPr>
                </w:p>
              </w:tc>
              <w:tc>
                <w:tcPr>
                  <w:tcW w:w="750" w:type="dxa"/>
                  <w:tcBorders>
                    <w:tl2br w:val="nil"/>
                    <w:tr2bl w:val="nil"/>
                  </w:tcBorders>
                  <w:shd w:val="clear" w:color="auto" w:fill="auto"/>
                  <w:noWrap w:val="0"/>
                  <w:vAlign w:val="top"/>
                </w:tcPr>
                <w:p>
                  <w:pPr>
                    <w:jc w:val="center"/>
                    <w:rPr>
                      <w:rFonts w:hint="eastAsia"/>
                      <w:bCs/>
                      <w:sz w:val="21"/>
                      <w:szCs w:val="21"/>
                    </w:rPr>
                  </w:pPr>
                  <w:r>
                    <w:rPr>
                      <w:rFonts w:hint="eastAsia"/>
                      <w:bCs/>
                      <w:sz w:val="21"/>
                      <w:szCs w:val="21"/>
                    </w:rPr>
                    <w:t>污染物 排放管控</w:t>
                  </w:r>
                </w:p>
              </w:tc>
              <w:tc>
                <w:tcPr>
                  <w:tcW w:w="7419" w:type="dxa"/>
                  <w:tcBorders>
                    <w:tl2br w:val="nil"/>
                    <w:tr2bl w:val="nil"/>
                  </w:tcBorders>
                  <w:shd w:val="clear" w:color="auto" w:fill="FFFFFF"/>
                  <w:noWrap w:val="0"/>
                  <w:vAlign w:val="center"/>
                </w:tcPr>
                <w:p>
                  <w:pPr>
                    <w:pStyle w:val="131"/>
                    <w:widowControl/>
                    <w:shd w:val="clear" w:color="auto" w:fill="FFFFFF"/>
                    <w:spacing w:line="240" w:lineRule="auto"/>
                    <w:ind w:firstLine="0" w:firstLineChars="0"/>
                    <w:jc w:val="left"/>
                    <w:rPr>
                      <w:rStyle w:val="32"/>
                      <w:rFonts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大气环境质量执行标准</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《环境空气质量标准》（GB3095-2012）：二级</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区域大气污染物削减/替代要求</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新增大气污染物排放的建设项目实施总量削减替代。</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燃煤和其他能源大气污染控制要求</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优化能源结构，持续减少工业煤炭消费，提高能源利用效率。</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工业废气污染控制要求</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机动车船大气污染控制要求</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扬尘污染控制要求</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农业生产经营活动大气污染控制要求</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重点行业企业专项治理要求</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其他大气污染物排放管控要求</w:t>
                  </w:r>
                </w:p>
                <w:p>
                  <w:pPr>
                    <w:pStyle w:val="131"/>
                    <w:widowControl/>
                    <w:shd w:val="clear" w:color="auto" w:fill="FFFFFF"/>
                    <w:spacing w:line="240" w:lineRule="auto"/>
                    <w:ind w:firstLine="0" w:firstLineChars="0"/>
                    <w:jc w:val="left"/>
                    <w:rPr>
                      <w:rFonts w:hint="eastAsia"/>
                      <w:bCs/>
                      <w:sz w:val="21"/>
                      <w:szCs w:val="21"/>
                    </w:rPr>
                  </w:pPr>
                  <w:r>
                    <w:rPr>
                      <w:rStyle w:val="32"/>
                      <w:rFonts w:hint="eastAsia" w:ascii="宋体" w:hAnsi="宋体" w:eastAsia="宋体" w:cs="Times New Roman"/>
                      <w:kern w:val="2"/>
                      <w:sz w:val="21"/>
                      <w:szCs w:val="21"/>
                      <w:lang w:val="en-US" w:eastAsia="zh-CN" w:bidi="ar-SA"/>
                    </w:rPr>
                    <w:t>严格落实产业布局调整要求，加快落后产能有序退出。推动重污染企业搬迁。推动现有污染治理提标升级。全面加强移动源和农业源污染治理。在不利气象条件下，严格执行重污染天气应急预案要求，落实限产、停产要求，减少污染排放。</w:t>
                  </w:r>
                </w:p>
              </w:tc>
              <w:tc>
                <w:tcPr>
                  <w:tcW w:w="1342" w:type="dxa"/>
                  <w:tcBorders>
                    <w:tl2br w:val="nil"/>
                    <w:tr2bl w:val="nil"/>
                  </w:tcBorders>
                  <w:noWrap w:val="0"/>
                  <w:vAlign w:val="top"/>
                </w:tcPr>
                <w:p>
                  <w:pPr>
                    <w:jc w:val="both"/>
                    <w:rPr>
                      <w:rFonts w:hint="eastAsia" w:eastAsia="宋体"/>
                      <w:bCs/>
                      <w:sz w:val="21"/>
                      <w:szCs w:val="21"/>
                      <w:lang w:eastAsia="zh-CN"/>
                    </w:rPr>
                  </w:pPr>
                  <w:r>
                    <w:rPr>
                      <w:rFonts w:hint="eastAsia"/>
                      <w:bCs/>
                      <w:sz w:val="21"/>
                      <w:szCs w:val="21"/>
                      <w:lang w:val="en-US" w:eastAsia="zh-CN"/>
                    </w:rPr>
                    <w:t>本项目不涉及燃煤等高污染染料</w:t>
                  </w:r>
                </w:p>
              </w:tc>
              <w:tc>
                <w:tcPr>
                  <w:tcW w:w="1159" w:type="dxa"/>
                  <w:tcBorders>
                    <w:tl2br w:val="nil"/>
                    <w:tr2bl w:val="nil"/>
                  </w:tcBorders>
                  <w:noWrap w:val="0"/>
                  <w:vAlign w:val="top"/>
                </w:tcPr>
                <w:p>
                  <w:pPr>
                    <w:jc w:val="center"/>
                    <w:rPr>
                      <w:rFonts w:hint="eastAsia"/>
                      <w:bCs/>
                      <w:sz w:val="21"/>
                      <w:szCs w:val="21"/>
                    </w:rPr>
                  </w:pPr>
                  <w:r>
                    <w:rPr>
                      <w:rFonts w:hint="eastAsia"/>
                      <w:bCs/>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822" w:type="dxa"/>
                  <w:vMerge w:val="continue"/>
                  <w:tcBorders>
                    <w:tl2br w:val="nil"/>
                    <w:tr2bl w:val="nil"/>
                  </w:tcBorders>
                  <w:noWrap w:val="0"/>
                  <w:vAlign w:val="top"/>
                </w:tcPr>
                <w:p>
                  <w:pPr>
                    <w:jc w:val="center"/>
                    <w:rPr>
                      <w:rFonts w:hint="eastAsia"/>
                      <w:bCs/>
                      <w:sz w:val="21"/>
                      <w:szCs w:val="21"/>
                    </w:rPr>
                  </w:pPr>
                </w:p>
              </w:tc>
              <w:tc>
                <w:tcPr>
                  <w:tcW w:w="826" w:type="dxa"/>
                  <w:vMerge w:val="continue"/>
                  <w:tcBorders>
                    <w:tl2br w:val="nil"/>
                    <w:tr2bl w:val="nil"/>
                  </w:tcBorders>
                  <w:noWrap w:val="0"/>
                  <w:vAlign w:val="top"/>
                </w:tcPr>
                <w:p>
                  <w:pPr>
                    <w:jc w:val="center"/>
                    <w:rPr>
                      <w:rFonts w:hint="eastAsia"/>
                      <w:bCs/>
                      <w:sz w:val="21"/>
                      <w:szCs w:val="21"/>
                    </w:rPr>
                  </w:pPr>
                </w:p>
              </w:tc>
              <w:tc>
                <w:tcPr>
                  <w:tcW w:w="750" w:type="dxa"/>
                  <w:tcBorders>
                    <w:tl2br w:val="nil"/>
                    <w:tr2bl w:val="nil"/>
                  </w:tcBorders>
                  <w:noWrap w:val="0"/>
                  <w:vAlign w:val="top"/>
                </w:tcPr>
                <w:p>
                  <w:pPr>
                    <w:jc w:val="center"/>
                    <w:rPr>
                      <w:rFonts w:hint="eastAsia"/>
                      <w:bCs/>
                      <w:sz w:val="21"/>
                      <w:szCs w:val="21"/>
                    </w:rPr>
                  </w:pPr>
                  <w:r>
                    <w:rPr>
                      <w:rFonts w:hint="eastAsia"/>
                      <w:bCs/>
                      <w:sz w:val="21"/>
                      <w:szCs w:val="21"/>
                    </w:rPr>
                    <w:t>环境风 险防控</w:t>
                  </w:r>
                </w:p>
              </w:tc>
              <w:tc>
                <w:tcPr>
                  <w:tcW w:w="7419" w:type="dxa"/>
                  <w:tcBorders>
                    <w:tl2br w:val="nil"/>
                    <w:tr2bl w:val="nil"/>
                  </w:tcBorders>
                  <w:noWrap w:val="0"/>
                  <w:vAlign w:val="center"/>
                </w:tcPr>
                <w:p>
                  <w:pPr>
                    <w:pStyle w:val="131"/>
                    <w:widowControl/>
                    <w:shd w:val="clear" w:color="auto" w:fill="FFFFFF"/>
                    <w:spacing w:line="240" w:lineRule="auto"/>
                    <w:ind w:firstLine="0" w:firstLineChars="0"/>
                    <w:jc w:val="center"/>
                    <w:rPr>
                      <w:rFonts w:hint="eastAsia"/>
                      <w:bCs/>
                      <w:sz w:val="21"/>
                      <w:szCs w:val="21"/>
                    </w:rPr>
                  </w:pPr>
                  <w:r>
                    <w:rPr>
                      <w:rStyle w:val="32"/>
                      <w:rFonts w:hint="eastAsia" w:ascii="宋体" w:hAnsi="宋体" w:eastAsia="宋体" w:cs="Times New Roman"/>
                      <w:kern w:val="2"/>
                      <w:sz w:val="21"/>
                      <w:szCs w:val="21"/>
                      <w:lang w:val="en-US" w:eastAsia="zh-CN" w:bidi="ar-SA"/>
                    </w:rPr>
                    <w:t>/</w:t>
                  </w:r>
                </w:p>
              </w:tc>
              <w:tc>
                <w:tcPr>
                  <w:tcW w:w="1342" w:type="dxa"/>
                  <w:tcBorders>
                    <w:tl2br w:val="nil"/>
                    <w:tr2bl w:val="nil"/>
                  </w:tcBorders>
                  <w:noWrap w:val="0"/>
                  <w:vAlign w:val="top"/>
                </w:tcPr>
                <w:p>
                  <w:pPr>
                    <w:jc w:val="center"/>
                    <w:rPr>
                      <w:rFonts w:hint="eastAsia"/>
                      <w:bCs/>
                      <w:sz w:val="21"/>
                      <w:szCs w:val="21"/>
                    </w:rPr>
                  </w:pPr>
                  <w:r>
                    <w:rPr>
                      <w:rFonts w:hint="eastAsia" w:eastAsia="宋体"/>
                      <w:bCs/>
                      <w:sz w:val="21"/>
                      <w:szCs w:val="21"/>
                      <w:lang w:val="en-US" w:eastAsia="zh-CN"/>
                    </w:rPr>
                    <w:t>/</w:t>
                  </w:r>
                </w:p>
              </w:tc>
              <w:tc>
                <w:tcPr>
                  <w:tcW w:w="1159" w:type="dxa"/>
                  <w:tcBorders>
                    <w:tl2br w:val="nil"/>
                    <w:tr2bl w:val="nil"/>
                  </w:tcBorders>
                  <w:noWrap w:val="0"/>
                  <w:vAlign w:val="top"/>
                </w:tcPr>
                <w:p>
                  <w:pPr>
                    <w:jc w:val="center"/>
                    <w:rPr>
                      <w:rFonts w:hint="eastAsia" w:eastAsia="宋体"/>
                      <w:bCs/>
                      <w:sz w:val="21"/>
                      <w:szCs w:val="21"/>
                      <w:lang w:eastAsia="zh-CN"/>
                    </w:rPr>
                  </w:pPr>
                  <w:r>
                    <w:rPr>
                      <w:rFonts w:hint="eastAsia"/>
                      <w:bCs/>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1822" w:type="dxa"/>
                  <w:vMerge w:val="continue"/>
                  <w:tcBorders>
                    <w:tl2br w:val="nil"/>
                    <w:tr2bl w:val="nil"/>
                  </w:tcBorders>
                  <w:noWrap w:val="0"/>
                  <w:vAlign w:val="top"/>
                </w:tcPr>
                <w:p>
                  <w:pPr>
                    <w:jc w:val="center"/>
                    <w:rPr>
                      <w:rFonts w:hint="eastAsia"/>
                      <w:bCs/>
                      <w:sz w:val="21"/>
                      <w:szCs w:val="21"/>
                    </w:rPr>
                  </w:pPr>
                </w:p>
              </w:tc>
              <w:tc>
                <w:tcPr>
                  <w:tcW w:w="826" w:type="dxa"/>
                  <w:vMerge w:val="continue"/>
                  <w:tcBorders>
                    <w:tl2br w:val="nil"/>
                    <w:tr2bl w:val="nil"/>
                  </w:tcBorders>
                  <w:noWrap w:val="0"/>
                  <w:vAlign w:val="top"/>
                </w:tcPr>
                <w:p>
                  <w:pPr>
                    <w:jc w:val="center"/>
                    <w:rPr>
                      <w:rFonts w:hint="eastAsia"/>
                      <w:bCs/>
                      <w:sz w:val="21"/>
                      <w:szCs w:val="21"/>
                    </w:rPr>
                  </w:pPr>
                </w:p>
              </w:tc>
              <w:tc>
                <w:tcPr>
                  <w:tcW w:w="750" w:type="dxa"/>
                  <w:tcBorders>
                    <w:tl2br w:val="nil"/>
                    <w:tr2bl w:val="nil"/>
                  </w:tcBorders>
                  <w:noWrap w:val="0"/>
                  <w:vAlign w:val="top"/>
                </w:tcPr>
                <w:p>
                  <w:pPr>
                    <w:jc w:val="center"/>
                    <w:rPr>
                      <w:rFonts w:hint="eastAsia"/>
                      <w:bCs/>
                      <w:sz w:val="21"/>
                      <w:szCs w:val="21"/>
                    </w:rPr>
                  </w:pPr>
                  <w:r>
                    <w:rPr>
                      <w:rFonts w:hint="eastAsia"/>
                      <w:bCs/>
                      <w:sz w:val="21"/>
                      <w:szCs w:val="21"/>
                    </w:rPr>
                    <w:t>资源开</w:t>
                  </w:r>
                </w:p>
                <w:p>
                  <w:pPr>
                    <w:jc w:val="center"/>
                    <w:rPr>
                      <w:rFonts w:hint="eastAsia"/>
                      <w:bCs/>
                      <w:sz w:val="21"/>
                      <w:szCs w:val="21"/>
                    </w:rPr>
                  </w:pPr>
                  <w:r>
                    <w:rPr>
                      <w:rFonts w:hint="eastAsia"/>
                      <w:bCs/>
                      <w:sz w:val="21"/>
                      <w:szCs w:val="21"/>
                    </w:rPr>
                    <w:t>发效率</w:t>
                  </w:r>
                </w:p>
                <w:p>
                  <w:pPr>
                    <w:jc w:val="center"/>
                    <w:rPr>
                      <w:rFonts w:hint="eastAsia"/>
                      <w:bCs/>
                      <w:sz w:val="21"/>
                      <w:szCs w:val="21"/>
                    </w:rPr>
                  </w:pPr>
                  <w:r>
                    <w:rPr>
                      <w:rFonts w:hint="eastAsia"/>
                      <w:bCs/>
                      <w:sz w:val="21"/>
                      <w:szCs w:val="21"/>
                    </w:rPr>
                    <w:t>要求</w:t>
                  </w:r>
                </w:p>
              </w:tc>
              <w:tc>
                <w:tcPr>
                  <w:tcW w:w="7419" w:type="dxa"/>
                  <w:tcBorders>
                    <w:tl2br w:val="nil"/>
                    <w:tr2bl w:val="nil"/>
                  </w:tcBorders>
                  <w:noWrap w:val="0"/>
                  <w:vAlign w:val="center"/>
                </w:tcPr>
                <w:p>
                  <w:pPr>
                    <w:pStyle w:val="131"/>
                    <w:widowControl/>
                    <w:shd w:val="clear" w:color="auto" w:fill="FFFFFF"/>
                    <w:spacing w:line="240" w:lineRule="auto"/>
                    <w:ind w:firstLine="0" w:firstLineChars="0"/>
                    <w:jc w:val="center"/>
                    <w:rPr>
                      <w:rFonts w:hint="eastAsia"/>
                      <w:bCs/>
                      <w:sz w:val="21"/>
                      <w:szCs w:val="21"/>
                    </w:rPr>
                  </w:pPr>
                  <w:r>
                    <w:rPr>
                      <w:rStyle w:val="32"/>
                      <w:rFonts w:hint="eastAsia" w:ascii="宋体" w:hAnsi="宋体" w:eastAsia="宋体" w:cs="Times New Roman"/>
                      <w:kern w:val="2"/>
                      <w:sz w:val="21"/>
                      <w:szCs w:val="21"/>
                      <w:lang w:val="en-US" w:eastAsia="zh-CN" w:bidi="ar-SA"/>
                    </w:rPr>
                    <w:t>/</w:t>
                  </w:r>
                </w:p>
              </w:tc>
              <w:tc>
                <w:tcPr>
                  <w:tcW w:w="1342" w:type="dxa"/>
                  <w:tcBorders>
                    <w:tl2br w:val="nil"/>
                    <w:tr2bl w:val="nil"/>
                  </w:tcBorders>
                  <w:noWrap w:val="0"/>
                  <w:vAlign w:val="top"/>
                </w:tcPr>
                <w:p>
                  <w:pPr>
                    <w:jc w:val="center"/>
                    <w:rPr>
                      <w:rFonts w:hint="eastAsia"/>
                      <w:bCs/>
                      <w:sz w:val="21"/>
                      <w:szCs w:val="21"/>
                    </w:rPr>
                  </w:pPr>
                </w:p>
                <w:p>
                  <w:pPr>
                    <w:jc w:val="center"/>
                    <w:rPr>
                      <w:rFonts w:hint="eastAsia"/>
                      <w:bCs/>
                      <w:sz w:val="21"/>
                      <w:szCs w:val="21"/>
                    </w:rPr>
                  </w:pPr>
                  <w:r>
                    <w:rPr>
                      <w:rFonts w:hint="eastAsia"/>
                      <w:bCs/>
                      <w:sz w:val="21"/>
                      <w:szCs w:val="21"/>
                    </w:rPr>
                    <w:t>/</w:t>
                  </w:r>
                </w:p>
              </w:tc>
              <w:tc>
                <w:tcPr>
                  <w:tcW w:w="1159" w:type="dxa"/>
                  <w:tcBorders>
                    <w:tl2br w:val="nil"/>
                    <w:tr2bl w:val="nil"/>
                  </w:tcBorders>
                  <w:noWrap w:val="0"/>
                  <w:vAlign w:val="top"/>
                </w:tcPr>
                <w:p>
                  <w:pPr>
                    <w:jc w:val="center"/>
                    <w:rPr>
                      <w:rFonts w:hint="eastAsia"/>
                      <w:bCs/>
                      <w:sz w:val="21"/>
                      <w:szCs w:val="21"/>
                    </w:rPr>
                  </w:pPr>
                </w:p>
                <w:p>
                  <w:pPr>
                    <w:jc w:val="center"/>
                    <w:rPr>
                      <w:rFonts w:hint="eastAsia"/>
                      <w:bCs/>
                      <w:sz w:val="21"/>
                      <w:szCs w:val="21"/>
                    </w:rPr>
                  </w:pPr>
                  <w:r>
                    <w:rPr>
                      <w:rFonts w:hint="eastAsia"/>
                      <w:bCs/>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 w:hRule="atLeast"/>
              </w:trPr>
              <w:tc>
                <w:tcPr>
                  <w:tcW w:w="1822" w:type="dxa"/>
                  <w:vMerge w:val="restart"/>
                  <w:tcBorders>
                    <w:tl2br w:val="nil"/>
                    <w:tr2bl w:val="nil"/>
                  </w:tcBorders>
                  <w:noWrap w:val="0"/>
                  <w:vAlign w:val="top"/>
                </w:tcPr>
                <w:p>
                  <w:pPr>
                    <w:jc w:val="center"/>
                    <w:rPr>
                      <w:rFonts w:hint="default" w:ascii="Times New Roman" w:hAnsi="Times New Roman" w:cs="Times New Roman"/>
                      <w:bCs/>
                      <w:sz w:val="21"/>
                      <w:szCs w:val="21"/>
                    </w:rPr>
                  </w:pPr>
                  <w:r>
                    <w:rPr>
                      <w:rFonts w:hint="default" w:ascii="Times New Roman" w:hAnsi="Times New Roman" w:cs="Times New Roman"/>
                      <w:b/>
                      <w:bCs w:val="0"/>
                      <w:sz w:val="21"/>
                      <w:szCs w:val="21"/>
                    </w:rPr>
                    <w:t>环境管控单元分类</w:t>
                  </w:r>
                  <w:r>
                    <w:rPr>
                      <w:rFonts w:hint="default" w:ascii="Times New Roman" w:hAnsi="Times New Roman" w:cs="Times New Roman"/>
                      <w:bCs/>
                      <w:sz w:val="21"/>
                      <w:szCs w:val="21"/>
                    </w:rPr>
                    <w:t>：</w:t>
                  </w:r>
                </w:p>
                <w:p>
                  <w:pPr>
                    <w:jc w:val="center"/>
                    <w:rPr>
                      <w:rFonts w:hint="default" w:ascii="Times New Roman" w:hAnsi="Times New Roman" w:cs="Times New Roman"/>
                      <w:bCs/>
                      <w:sz w:val="21"/>
                      <w:szCs w:val="21"/>
                      <w:highlight w:val="none"/>
                    </w:rPr>
                  </w:pPr>
                  <w:r>
                    <w:rPr>
                      <w:rStyle w:val="32"/>
                      <w:rFonts w:hint="eastAsia" w:ascii="宋体" w:hAnsi="宋体" w:eastAsia="宋体" w:cs="Times New Roman"/>
                      <w:kern w:val="2"/>
                      <w:sz w:val="21"/>
                      <w:szCs w:val="21"/>
                      <w:lang w:val="en-US" w:eastAsia="zh-CN" w:bidi="ar-SA"/>
                    </w:rPr>
                    <w:t>农用地优先保护区</w:t>
                  </w:r>
                  <w:r>
                    <w:rPr>
                      <w:rFonts w:hint="default" w:ascii="Times New Roman" w:hAnsi="Times New Roman" w:cs="Times New Roman"/>
                      <w:b/>
                      <w:bCs w:val="0"/>
                      <w:sz w:val="21"/>
                      <w:szCs w:val="21"/>
                      <w:highlight w:val="none"/>
                    </w:rPr>
                    <w:t>编码：</w:t>
                  </w:r>
                  <w:r>
                    <w:rPr>
                      <w:rFonts w:hint="default" w:ascii="Times New Roman" w:hAnsi="Times New Roman" w:cs="Times New Roman"/>
                      <w:bCs/>
                      <w:sz w:val="21"/>
                      <w:szCs w:val="21"/>
                      <w:highlight w:val="none"/>
                    </w:rPr>
                    <w:t xml:space="preserve"> </w:t>
                  </w:r>
                  <w:r>
                    <w:rPr>
                      <w:rStyle w:val="32"/>
                      <w:rFonts w:hint="eastAsia" w:ascii="宋体" w:hAnsi="宋体" w:eastAsia="宋体" w:cs="Times New Roman"/>
                      <w:kern w:val="2"/>
                      <w:sz w:val="21"/>
                      <w:szCs w:val="21"/>
                      <w:lang w:val="en-US" w:eastAsia="zh-CN" w:bidi="ar-SA"/>
                    </w:rPr>
                    <w:t>YS5108111410002</w:t>
                  </w:r>
                </w:p>
                <w:p>
                  <w:pPr>
                    <w:jc w:val="center"/>
                    <w:rPr>
                      <w:rFonts w:hint="default" w:ascii="Times New Roman" w:hAnsi="Times New Roman" w:cs="Times New Roman"/>
                      <w:bCs/>
                      <w:sz w:val="21"/>
                      <w:szCs w:val="21"/>
                    </w:rPr>
                  </w:pPr>
                  <w:r>
                    <w:rPr>
                      <w:rFonts w:hint="default" w:ascii="Times New Roman" w:hAnsi="Times New Roman" w:cs="Times New Roman"/>
                      <w:b/>
                      <w:bCs w:val="0"/>
                      <w:sz w:val="21"/>
                      <w:szCs w:val="21"/>
                      <w:highlight w:val="none"/>
                    </w:rPr>
                    <w:t>名称：</w:t>
                  </w:r>
                  <w:r>
                    <w:rPr>
                      <w:rStyle w:val="32"/>
                      <w:rFonts w:hint="eastAsia" w:ascii="宋体" w:hAnsi="宋体" w:eastAsia="宋体" w:cs="Times New Roman"/>
                      <w:kern w:val="2"/>
                      <w:sz w:val="21"/>
                      <w:szCs w:val="21"/>
                      <w:lang w:val="en-US" w:eastAsia="zh-CN" w:bidi="ar-SA"/>
                    </w:rPr>
                    <w:t>昭化区土壤优先保护区</w:t>
                  </w:r>
                </w:p>
              </w:tc>
              <w:tc>
                <w:tcPr>
                  <w:tcW w:w="826" w:type="dxa"/>
                  <w:vMerge w:val="restart"/>
                  <w:tcBorders>
                    <w:tl2br w:val="nil"/>
                    <w:tr2bl w:val="nil"/>
                  </w:tcBorders>
                  <w:noWrap w:val="0"/>
                  <w:vAlign w:val="top"/>
                </w:tcPr>
                <w:p>
                  <w:pPr>
                    <w:jc w:val="center"/>
                    <w:rPr>
                      <w:rFonts w:hint="eastAsia"/>
                      <w:bCs/>
                      <w:sz w:val="21"/>
                      <w:szCs w:val="21"/>
                    </w:rPr>
                  </w:pPr>
                  <w:r>
                    <w:rPr>
                      <w:rFonts w:hint="eastAsia"/>
                      <w:bCs/>
                      <w:sz w:val="21"/>
                      <w:szCs w:val="21"/>
                    </w:rPr>
                    <w:t>单元级清单管控要求</w:t>
                  </w:r>
                </w:p>
              </w:tc>
              <w:tc>
                <w:tcPr>
                  <w:tcW w:w="750" w:type="dxa"/>
                  <w:tcBorders>
                    <w:tl2br w:val="nil"/>
                    <w:tr2bl w:val="nil"/>
                  </w:tcBorders>
                  <w:noWrap w:val="0"/>
                  <w:vAlign w:val="top"/>
                </w:tcPr>
                <w:p>
                  <w:pPr>
                    <w:jc w:val="center"/>
                    <w:rPr>
                      <w:rFonts w:hint="eastAsia"/>
                      <w:bCs/>
                      <w:sz w:val="21"/>
                      <w:szCs w:val="21"/>
                    </w:rPr>
                  </w:pPr>
                  <w:r>
                    <w:rPr>
                      <w:rFonts w:hint="eastAsia"/>
                      <w:bCs/>
                      <w:sz w:val="21"/>
                      <w:szCs w:val="21"/>
                    </w:rPr>
                    <w:t>空间布 局约束</w:t>
                  </w:r>
                </w:p>
              </w:tc>
              <w:tc>
                <w:tcPr>
                  <w:tcW w:w="7419" w:type="dxa"/>
                  <w:tcBorders>
                    <w:tl2br w:val="nil"/>
                    <w:tr2bl w:val="nil"/>
                  </w:tcBorders>
                  <w:noWrap w:val="0"/>
                  <w:vAlign w:val="center"/>
                </w:tcPr>
                <w:p>
                  <w:pPr>
                    <w:pStyle w:val="131"/>
                    <w:widowControl/>
                    <w:shd w:val="clear" w:color="auto" w:fill="FFFFFF"/>
                    <w:spacing w:line="240" w:lineRule="auto"/>
                    <w:ind w:firstLine="0" w:firstLineChars="0"/>
                    <w:jc w:val="left"/>
                    <w:rPr>
                      <w:rStyle w:val="32"/>
                      <w:rFonts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禁止开发建设活动的要求</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限制开发建设活动的要求</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允许开发建设活动的要求</w:t>
                  </w:r>
                </w:p>
                <w:p>
                  <w:pPr>
                    <w:pStyle w:val="131"/>
                    <w:widowControl/>
                    <w:shd w:val="clear" w:color="auto" w:fill="FFFFFF"/>
                    <w:spacing w:line="240" w:lineRule="auto"/>
                    <w:ind w:firstLine="0" w:firstLineChars="0"/>
                    <w:jc w:val="left"/>
                    <w:rPr>
                      <w:rStyle w:val="32"/>
                      <w:rFonts w:hint="eastAsia" w:ascii="宋体" w:hAnsi="宋体" w:eastAsia="宋体" w:cs="Times New Roman"/>
                      <w:kern w:val="2"/>
                      <w:sz w:val="21"/>
                      <w:szCs w:val="21"/>
                      <w:lang w:val="en-US" w:eastAsia="zh-CN" w:bidi="ar-SA"/>
                    </w:rPr>
                  </w:pPr>
                  <w:r>
                    <w:rPr>
                      <w:rStyle w:val="32"/>
                      <w:rFonts w:hint="eastAsia" w:ascii="宋体" w:hAnsi="宋体" w:eastAsia="宋体" w:cs="Times New Roman"/>
                      <w:kern w:val="2"/>
                      <w:sz w:val="21"/>
                      <w:szCs w:val="21"/>
                      <w:lang w:val="en-US" w:eastAsia="zh-CN" w:bidi="ar-SA"/>
                    </w:rPr>
                    <w:t>不符合空间布局要求活动的退出要求</w:t>
                  </w:r>
                </w:p>
                <w:p>
                  <w:pPr>
                    <w:pStyle w:val="131"/>
                    <w:widowControl/>
                    <w:shd w:val="clear" w:color="auto" w:fill="FFFFFF"/>
                    <w:spacing w:line="240" w:lineRule="auto"/>
                    <w:ind w:firstLine="0" w:firstLineChars="0"/>
                    <w:jc w:val="left"/>
                    <w:rPr>
                      <w:rFonts w:hint="eastAsia"/>
                      <w:bCs/>
                      <w:sz w:val="21"/>
                      <w:szCs w:val="21"/>
                    </w:rPr>
                  </w:pPr>
                  <w:r>
                    <w:rPr>
                      <w:rStyle w:val="32"/>
                      <w:rFonts w:hint="eastAsia" w:ascii="宋体" w:hAnsi="宋体" w:eastAsia="宋体" w:cs="Times New Roman"/>
                      <w:kern w:val="2"/>
                      <w:sz w:val="21"/>
                      <w:szCs w:val="21"/>
                      <w:lang w:val="en-US" w:eastAsia="zh-CN" w:bidi="ar-SA"/>
                    </w:rPr>
                    <w:t>其他空间布局约束要求</w:t>
                  </w:r>
                </w:p>
              </w:tc>
              <w:tc>
                <w:tcPr>
                  <w:tcW w:w="1342" w:type="dxa"/>
                  <w:tcBorders>
                    <w:tl2br w:val="nil"/>
                    <w:tr2bl w:val="nil"/>
                  </w:tcBorders>
                  <w:noWrap w:val="0"/>
                  <w:vAlign w:val="top"/>
                </w:tcPr>
                <w:p>
                  <w:pPr>
                    <w:jc w:val="center"/>
                    <w:rPr>
                      <w:rFonts w:hint="default" w:eastAsia="宋体"/>
                      <w:bCs/>
                      <w:sz w:val="21"/>
                      <w:szCs w:val="21"/>
                      <w:lang w:val="en-US" w:eastAsia="zh-CN"/>
                    </w:rPr>
                  </w:pPr>
                  <w:r>
                    <w:rPr>
                      <w:rFonts w:hint="eastAsia"/>
                      <w:bCs/>
                      <w:sz w:val="21"/>
                      <w:szCs w:val="21"/>
                    </w:rPr>
                    <w:t>本项目满足广元市普适性管控要求</w:t>
                  </w:r>
                </w:p>
              </w:tc>
              <w:tc>
                <w:tcPr>
                  <w:tcW w:w="1159" w:type="dxa"/>
                  <w:tcBorders>
                    <w:tl2br w:val="nil"/>
                    <w:tr2bl w:val="nil"/>
                  </w:tcBorders>
                  <w:noWrap w:val="0"/>
                  <w:vAlign w:val="top"/>
                </w:tcPr>
                <w:p>
                  <w:pPr>
                    <w:jc w:val="center"/>
                    <w:rPr>
                      <w:rFonts w:hint="eastAsia" w:eastAsia="宋体"/>
                      <w:bCs/>
                      <w:sz w:val="21"/>
                      <w:szCs w:val="21"/>
                      <w:lang w:eastAsia="zh-CN"/>
                    </w:rPr>
                  </w:pPr>
                  <w:r>
                    <w:rPr>
                      <w:rFonts w:hint="eastAsia"/>
                      <w:bCs/>
                      <w:sz w:val="21"/>
                      <w:szCs w:val="21"/>
                      <w:lang w:val="en-US" w:eastAsia="zh-CN"/>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822" w:type="dxa"/>
                  <w:vMerge w:val="continue"/>
                  <w:tcBorders>
                    <w:tl2br w:val="nil"/>
                    <w:tr2bl w:val="nil"/>
                  </w:tcBorders>
                  <w:shd w:val="clear" w:color="auto" w:fill="auto"/>
                  <w:noWrap w:val="0"/>
                  <w:vAlign w:val="top"/>
                </w:tcPr>
                <w:p>
                  <w:pPr>
                    <w:jc w:val="center"/>
                    <w:rPr>
                      <w:rFonts w:hint="eastAsia"/>
                      <w:bCs/>
                      <w:sz w:val="21"/>
                      <w:szCs w:val="21"/>
                    </w:rPr>
                  </w:pPr>
                </w:p>
              </w:tc>
              <w:tc>
                <w:tcPr>
                  <w:tcW w:w="826" w:type="dxa"/>
                  <w:vMerge w:val="continue"/>
                  <w:tcBorders>
                    <w:tl2br w:val="nil"/>
                    <w:tr2bl w:val="nil"/>
                  </w:tcBorders>
                  <w:shd w:val="clear" w:color="auto" w:fill="auto"/>
                  <w:noWrap w:val="0"/>
                  <w:vAlign w:val="top"/>
                </w:tcPr>
                <w:p>
                  <w:pPr>
                    <w:jc w:val="center"/>
                    <w:rPr>
                      <w:rFonts w:hint="eastAsia"/>
                      <w:bCs/>
                      <w:sz w:val="21"/>
                      <w:szCs w:val="21"/>
                    </w:rPr>
                  </w:pPr>
                </w:p>
              </w:tc>
              <w:tc>
                <w:tcPr>
                  <w:tcW w:w="750" w:type="dxa"/>
                  <w:tcBorders>
                    <w:tl2br w:val="nil"/>
                    <w:tr2bl w:val="nil"/>
                  </w:tcBorders>
                  <w:shd w:val="clear" w:color="auto" w:fill="auto"/>
                  <w:noWrap w:val="0"/>
                  <w:vAlign w:val="top"/>
                </w:tcPr>
                <w:p>
                  <w:pPr>
                    <w:jc w:val="center"/>
                    <w:rPr>
                      <w:rFonts w:hint="eastAsia"/>
                      <w:bCs/>
                      <w:sz w:val="21"/>
                      <w:szCs w:val="21"/>
                    </w:rPr>
                  </w:pPr>
                  <w:r>
                    <w:rPr>
                      <w:rFonts w:hint="eastAsia"/>
                      <w:bCs/>
                      <w:sz w:val="21"/>
                      <w:szCs w:val="21"/>
                    </w:rPr>
                    <w:t>污染物 排放管控</w:t>
                  </w:r>
                </w:p>
              </w:tc>
              <w:tc>
                <w:tcPr>
                  <w:tcW w:w="7419" w:type="dxa"/>
                  <w:tcBorders>
                    <w:tl2br w:val="nil"/>
                    <w:tr2bl w:val="nil"/>
                  </w:tcBorders>
                  <w:shd w:val="clear" w:color="auto" w:fill="FFFFFF"/>
                  <w:noWrap w:val="0"/>
                  <w:vAlign w:val="center"/>
                </w:tcPr>
                <w:p>
                  <w:pPr>
                    <w:pStyle w:val="131"/>
                    <w:widowControl/>
                    <w:shd w:val="clear" w:color="auto" w:fill="FFFFFF"/>
                    <w:spacing w:line="240" w:lineRule="auto"/>
                    <w:ind w:firstLine="0" w:firstLineChars="0"/>
                    <w:jc w:val="center"/>
                    <w:rPr>
                      <w:rFonts w:hint="default" w:eastAsia="仿宋"/>
                      <w:bCs/>
                      <w:sz w:val="21"/>
                      <w:szCs w:val="21"/>
                      <w:lang w:val="en-US" w:eastAsia="zh-CN"/>
                    </w:rPr>
                  </w:pPr>
                  <w:r>
                    <w:rPr>
                      <w:rFonts w:hint="eastAsia"/>
                      <w:bCs/>
                      <w:sz w:val="21"/>
                      <w:szCs w:val="21"/>
                      <w:lang w:val="en-US" w:eastAsia="zh-CN"/>
                    </w:rPr>
                    <w:t>/</w:t>
                  </w:r>
                </w:p>
              </w:tc>
              <w:tc>
                <w:tcPr>
                  <w:tcW w:w="1342" w:type="dxa"/>
                  <w:tcBorders>
                    <w:tl2br w:val="nil"/>
                    <w:tr2bl w:val="nil"/>
                  </w:tcBorders>
                  <w:noWrap w:val="0"/>
                  <w:vAlign w:val="top"/>
                </w:tcPr>
                <w:p>
                  <w:pPr>
                    <w:jc w:val="center"/>
                    <w:rPr>
                      <w:rFonts w:hint="eastAsia" w:eastAsia="宋体"/>
                      <w:bCs/>
                      <w:sz w:val="21"/>
                      <w:szCs w:val="21"/>
                      <w:lang w:eastAsia="zh-CN"/>
                    </w:rPr>
                  </w:pPr>
                  <w:r>
                    <w:rPr>
                      <w:rFonts w:hint="eastAsia" w:eastAsia="宋体"/>
                      <w:bCs/>
                      <w:sz w:val="21"/>
                      <w:szCs w:val="21"/>
                      <w:lang w:val="en-US" w:eastAsia="zh-CN"/>
                    </w:rPr>
                    <w:t>/</w:t>
                  </w:r>
                </w:p>
              </w:tc>
              <w:tc>
                <w:tcPr>
                  <w:tcW w:w="1159" w:type="dxa"/>
                  <w:tcBorders>
                    <w:tl2br w:val="nil"/>
                    <w:tr2bl w:val="nil"/>
                  </w:tcBorders>
                  <w:noWrap w:val="0"/>
                  <w:vAlign w:val="top"/>
                </w:tcPr>
                <w:p>
                  <w:pPr>
                    <w:jc w:val="center"/>
                    <w:rPr>
                      <w:rFonts w:hint="eastAsia" w:eastAsia="宋体"/>
                      <w:bCs/>
                      <w:sz w:val="21"/>
                      <w:szCs w:val="21"/>
                      <w:lang w:eastAsia="zh-CN"/>
                    </w:rPr>
                  </w:pPr>
                  <w:r>
                    <w:rPr>
                      <w:rFonts w:hint="eastAsia"/>
                      <w:bCs/>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822" w:type="dxa"/>
                  <w:vMerge w:val="continue"/>
                  <w:tcBorders>
                    <w:tl2br w:val="nil"/>
                    <w:tr2bl w:val="nil"/>
                  </w:tcBorders>
                  <w:noWrap w:val="0"/>
                  <w:vAlign w:val="top"/>
                </w:tcPr>
                <w:p>
                  <w:pPr>
                    <w:jc w:val="center"/>
                    <w:rPr>
                      <w:rFonts w:hint="eastAsia"/>
                      <w:bCs/>
                      <w:sz w:val="21"/>
                      <w:szCs w:val="21"/>
                    </w:rPr>
                  </w:pPr>
                </w:p>
              </w:tc>
              <w:tc>
                <w:tcPr>
                  <w:tcW w:w="826" w:type="dxa"/>
                  <w:vMerge w:val="continue"/>
                  <w:tcBorders>
                    <w:tl2br w:val="nil"/>
                    <w:tr2bl w:val="nil"/>
                  </w:tcBorders>
                  <w:noWrap w:val="0"/>
                  <w:vAlign w:val="top"/>
                </w:tcPr>
                <w:p>
                  <w:pPr>
                    <w:jc w:val="center"/>
                    <w:rPr>
                      <w:rFonts w:hint="eastAsia"/>
                      <w:bCs/>
                      <w:sz w:val="21"/>
                      <w:szCs w:val="21"/>
                    </w:rPr>
                  </w:pPr>
                </w:p>
              </w:tc>
              <w:tc>
                <w:tcPr>
                  <w:tcW w:w="750" w:type="dxa"/>
                  <w:tcBorders>
                    <w:tl2br w:val="nil"/>
                    <w:tr2bl w:val="nil"/>
                  </w:tcBorders>
                  <w:noWrap w:val="0"/>
                  <w:vAlign w:val="top"/>
                </w:tcPr>
                <w:p>
                  <w:pPr>
                    <w:jc w:val="center"/>
                    <w:rPr>
                      <w:rFonts w:hint="eastAsia"/>
                      <w:bCs/>
                      <w:sz w:val="21"/>
                      <w:szCs w:val="21"/>
                    </w:rPr>
                  </w:pPr>
                  <w:r>
                    <w:rPr>
                      <w:rFonts w:hint="eastAsia"/>
                      <w:bCs/>
                      <w:sz w:val="21"/>
                      <w:szCs w:val="21"/>
                    </w:rPr>
                    <w:t>环境风 险防控</w:t>
                  </w:r>
                </w:p>
              </w:tc>
              <w:tc>
                <w:tcPr>
                  <w:tcW w:w="7419" w:type="dxa"/>
                  <w:tcBorders>
                    <w:tl2br w:val="nil"/>
                    <w:tr2bl w:val="nil"/>
                  </w:tcBorders>
                  <w:noWrap w:val="0"/>
                  <w:vAlign w:val="top"/>
                </w:tcPr>
                <w:p>
                  <w:pPr>
                    <w:jc w:val="center"/>
                    <w:rPr>
                      <w:rFonts w:hint="eastAsia"/>
                      <w:bCs/>
                      <w:sz w:val="21"/>
                      <w:szCs w:val="21"/>
                    </w:rPr>
                  </w:pPr>
                  <w:r>
                    <w:rPr>
                      <w:rFonts w:hint="eastAsia"/>
                      <w:bCs/>
                      <w:sz w:val="21"/>
                      <w:szCs w:val="21"/>
                    </w:rPr>
                    <w:t>/</w:t>
                  </w:r>
                </w:p>
              </w:tc>
              <w:tc>
                <w:tcPr>
                  <w:tcW w:w="1342" w:type="dxa"/>
                  <w:tcBorders>
                    <w:tl2br w:val="nil"/>
                    <w:tr2bl w:val="nil"/>
                  </w:tcBorders>
                  <w:noWrap w:val="0"/>
                  <w:vAlign w:val="top"/>
                </w:tcPr>
                <w:p>
                  <w:pPr>
                    <w:jc w:val="center"/>
                    <w:rPr>
                      <w:rFonts w:hint="eastAsia"/>
                      <w:bCs/>
                      <w:sz w:val="21"/>
                      <w:szCs w:val="21"/>
                    </w:rPr>
                  </w:pPr>
                  <w:r>
                    <w:rPr>
                      <w:rFonts w:hint="eastAsia"/>
                      <w:bCs/>
                      <w:sz w:val="21"/>
                      <w:szCs w:val="21"/>
                    </w:rPr>
                    <w:t>/</w:t>
                  </w:r>
                </w:p>
              </w:tc>
              <w:tc>
                <w:tcPr>
                  <w:tcW w:w="1159" w:type="dxa"/>
                  <w:tcBorders>
                    <w:tl2br w:val="nil"/>
                    <w:tr2bl w:val="nil"/>
                  </w:tcBorders>
                  <w:noWrap w:val="0"/>
                  <w:vAlign w:val="top"/>
                </w:tcPr>
                <w:p>
                  <w:pPr>
                    <w:jc w:val="center"/>
                    <w:rPr>
                      <w:rFonts w:hint="eastAsia"/>
                      <w:bCs/>
                      <w:sz w:val="21"/>
                      <w:szCs w:val="21"/>
                    </w:rPr>
                  </w:pPr>
                  <w:r>
                    <w:rPr>
                      <w:rFonts w:hint="eastAsia"/>
                      <w:bCs/>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7" w:hRule="atLeast"/>
              </w:trPr>
              <w:tc>
                <w:tcPr>
                  <w:tcW w:w="1822" w:type="dxa"/>
                  <w:vMerge w:val="continue"/>
                  <w:tcBorders>
                    <w:tl2br w:val="nil"/>
                    <w:tr2bl w:val="nil"/>
                  </w:tcBorders>
                  <w:noWrap w:val="0"/>
                  <w:vAlign w:val="top"/>
                </w:tcPr>
                <w:p>
                  <w:pPr>
                    <w:jc w:val="center"/>
                    <w:rPr>
                      <w:rFonts w:hint="eastAsia"/>
                      <w:bCs/>
                      <w:sz w:val="21"/>
                      <w:szCs w:val="21"/>
                    </w:rPr>
                  </w:pPr>
                </w:p>
              </w:tc>
              <w:tc>
                <w:tcPr>
                  <w:tcW w:w="826" w:type="dxa"/>
                  <w:vMerge w:val="continue"/>
                  <w:tcBorders>
                    <w:tl2br w:val="nil"/>
                    <w:tr2bl w:val="nil"/>
                  </w:tcBorders>
                  <w:noWrap w:val="0"/>
                  <w:vAlign w:val="top"/>
                </w:tcPr>
                <w:p>
                  <w:pPr>
                    <w:jc w:val="center"/>
                    <w:rPr>
                      <w:rFonts w:hint="eastAsia"/>
                      <w:bCs/>
                      <w:sz w:val="21"/>
                      <w:szCs w:val="21"/>
                    </w:rPr>
                  </w:pPr>
                </w:p>
              </w:tc>
              <w:tc>
                <w:tcPr>
                  <w:tcW w:w="750" w:type="dxa"/>
                  <w:tcBorders>
                    <w:tl2br w:val="nil"/>
                    <w:tr2bl w:val="nil"/>
                  </w:tcBorders>
                  <w:noWrap w:val="0"/>
                  <w:vAlign w:val="top"/>
                </w:tcPr>
                <w:p>
                  <w:pPr>
                    <w:jc w:val="center"/>
                    <w:rPr>
                      <w:rFonts w:hint="eastAsia"/>
                      <w:bCs/>
                      <w:sz w:val="21"/>
                      <w:szCs w:val="21"/>
                    </w:rPr>
                  </w:pPr>
                  <w:r>
                    <w:rPr>
                      <w:rFonts w:hint="eastAsia"/>
                      <w:bCs/>
                      <w:sz w:val="21"/>
                      <w:szCs w:val="21"/>
                    </w:rPr>
                    <w:t>资源开</w:t>
                  </w:r>
                </w:p>
                <w:p>
                  <w:pPr>
                    <w:jc w:val="center"/>
                    <w:rPr>
                      <w:rFonts w:hint="eastAsia"/>
                      <w:bCs/>
                      <w:sz w:val="21"/>
                      <w:szCs w:val="21"/>
                    </w:rPr>
                  </w:pPr>
                  <w:r>
                    <w:rPr>
                      <w:rFonts w:hint="eastAsia"/>
                      <w:bCs/>
                      <w:sz w:val="21"/>
                      <w:szCs w:val="21"/>
                    </w:rPr>
                    <w:t>发效率</w:t>
                  </w:r>
                </w:p>
                <w:p>
                  <w:pPr>
                    <w:jc w:val="center"/>
                    <w:rPr>
                      <w:rFonts w:hint="eastAsia"/>
                      <w:bCs/>
                      <w:sz w:val="21"/>
                      <w:szCs w:val="21"/>
                    </w:rPr>
                  </w:pPr>
                  <w:r>
                    <w:rPr>
                      <w:rFonts w:hint="eastAsia"/>
                      <w:bCs/>
                      <w:sz w:val="21"/>
                      <w:szCs w:val="21"/>
                    </w:rPr>
                    <w:t>要求</w:t>
                  </w:r>
                </w:p>
              </w:tc>
              <w:tc>
                <w:tcPr>
                  <w:tcW w:w="7419" w:type="dxa"/>
                  <w:tcBorders>
                    <w:tl2br w:val="nil"/>
                    <w:tr2bl w:val="nil"/>
                  </w:tcBorders>
                  <w:noWrap w:val="0"/>
                  <w:vAlign w:val="top"/>
                </w:tcPr>
                <w:p>
                  <w:pPr>
                    <w:jc w:val="center"/>
                    <w:rPr>
                      <w:rFonts w:hint="eastAsia"/>
                      <w:bCs/>
                      <w:sz w:val="21"/>
                      <w:szCs w:val="21"/>
                    </w:rPr>
                  </w:pPr>
                  <w:r>
                    <w:rPr>
                      <w:rFonts w:hint="eastAsia"/>
                      <w:bCs/>
                      <w:sz w:val="21"/>
                      <w:szCs w:val="21"/>
                    </w:rPr>
                    <w:t>/</w:t>
                  </w:r>
                </w:p>
              </w:tc>
              <w:tc>
                <w:tcPr>
                  <w:tcW w:w="1342" w:type="dxa"/>
                  <w:tcBorders>
                    <w:tl2br w:val="nil"/>
                    <w:tr2bl w:val="nil"/>
                  </w:tcBorders>
                  <w:noWrap w:val="0"/>
                  <w:vAlign w:val="top"/>
                </w:tcPr>
                <w:p>
                  <w:pPr>
                    <w:jc w:val="center"/>
                    <w:rPr>
                      <w:rFonts w:hint="eastAsia"/>
                      <w:bCs/>
                      <w:sz w:val="21"/>
                      <w:szCs w:val="21"/>
                    </w:rPr>
                  </w:pPr>
                  <w:r>
                    <w:rPr>
                      <w:rFonts w:hint="eastAsia" w:eastAsia="宋体"/>
                      <w:bCs/>
                      <w:sz w:val="21"/>
                      <w:szCs w:val="21"/>
                      <w:lang w:val="en-US" w:eastAsia="zh-CN"/>
                    </w:rPr>
                    <w:t>/</w:t>
                  </w:r>
                </w:p>
              </w:tc>
              <w:tc>
                <w:tcPr>
                  <w:tcW w:w="1159" w:type="dxa"/>
                  <w:tcBorders>
                    <w:tl2br w:val="nil"/>
                    <w:tr2bl w:val="nil"/>
                  </w:tcBorders>
                  <w:noWrap w:val="0"/>
                  <w:vAlign w:val="top"/>
                </w:tcPr>
                <w:p>
                  <w:pPr>
                    <w:jc w:val="center"/>
                    <w:rPr>
                      <w:rFonts w:hint="eastAsia" w:eastAsia="宋体"/>
                      <w:bCs/>
                      <w:sz w:val="21"/>
                      <w:szCs w:val="21"/>
                      <w:lang w:eastAsia="zh-CN"/>
                    </w:rPr>
                  </w:pPr>
                  <w:r>
                    <w:rPr>
                      <w:rFonts w:hint="eastAsia"/>
                      <w:bCs/>
                      <w:sz w:val="21"/>
                      <w:szCs w:val="21"/>
                      <w:lang w:val="en-US" w:eastAsia="zh-CN"/>
                    </w:rPr>
                    <w:t>/</w:t>
                  </w:r>
                </w:p>
              </w:tc>
            </w:tr>
          </w:tbl>
          <w:p>
            <w:pPr>
              <w:autoSpaceDE w:val="0"/>
              <w:autoSpaceDN w:val="0"/>
              <w:spacing w:line="360" w:lineRule="auto"/>
              <w:ind w:firstLine="420" w:firstLineChars="200"/>
              <w:contextualSpacing/>
              <w:rPr>
                <w:vertAlign w:val="baseline"/>
              </w:rPr>
            </w:pPr>
          </w:p>
        </w:tc>
      </w:tr>
    </w:tbl>
    <w:p>
      <w:pPr>
        <w:pStyle w:val="28"/>
        <w:sectPr>
          <w:pgSz w:w="16838" w:h="11906" w:orient="landscape"/>
          <w:pgMar w:top="1531" w:right="1417" w:bottom="1531" w:left="1417" w:header="851" w:footer="1077" w:gutter="0"/>
          <w:pgBorders>
            <w:top w:val="none" w:sz="0" w:space="0"/>
            <w:left w:val="none" w:sz="0" w:space="0"/>
            <w:bottom w:val="none" w:sz="0" w:space="0"/>
            <w:right w:val="none" w:sz="0" w:space="0"/>
          </w:pgBorders>
          <w:pgNumType w:fmt="numberInDash"/>
          <w:cols w:space="720" w:num="1"/>
          <w:rtlGutter w:val="0"/>
          <w:docGrid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7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6" w:hRule="atLeast"/>
        </w:trPr>
        <w:tc>
          <w:tcPr>
            <w:tcW w:w="668" w:type="dxa"/>
            <w:noWrap w:val="0"/>
            <w:vAlign w:val="top"/>
          </w:tcPr>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黑体" w:hAnsi="黑体" w:eastAsia="黑体"/>
                <w:snapToGrid w:val="0"/>
                <w:sz w:val="30"/>
                <w:szCs w:val="30"/>
                <w:vertAlign w:val="baseline"/>
                <w:lang w:val="en-US" w:eastAsia="zh-CN"/>
              </w:rPr>
            </w:pPr>
            <w:bookmarkStart w:id="8" w:name="_Toc4816"/>
          </w:p>
        </w:tc>
        <w:tc>
          <w:tcPr>
            <w:tcW w:w="7854" w:type="dxa"/>
            <w:noWrap w:val="0"/>
            <w:vAlign w:val="top"/>
          </w:tcPr>
          <w:p>
            <w:pPr>
              <w:spacing w:before="120" w:beforeLines="50" w:line="360" w:lineRule="auto"/>
              <w:ind w:firstLine="482" w:firstLineChars="200"/>
              <w:rPr>
                <w:rFonts w:hint="eastAsia" w:ascii="Times New Roman" w:hAnsi="宋体" w:eastAsia="宋体" w:cs="Times New Roman"/>
                <w:b/>
                <w:bCs w:val="0"/>
                <w:color w:val="auto"/>
                <w:kern w:val="2"/>
                <w:sz w:val="24"/>
                <w:szCs w:val="24"/>
                <w:lang w:val="en-US" w:eastAsia="zh-CN" w:bidi="ar-SA"/>
              </w:rPr>
            </w:pPr>
            <w:r>
              <w:rPr>
                <w:rFonts w:hint="eastAsia" w:ascii="Times New Roman" w:hAnsi="宋体" w:eastAsia="宋体" w:cs="Times New Roman"/>
                <w:b/>
                <w:bCs w:val="0"/>
                <w:color w:val="auto"/>
                <w:kern w:val="2"/>
                <w:sz w:val="24"/>
                <w:szCs w:val="24"/>
                <w:lang w:val="en-US" w:eastAsia="zh-CN" w:bidi="ar-SA"/>
              </w:rPr>
              <w:t>2、项目与《广元市人民政府关于落实生态保护红线、环境质量底线、资源利用上线和生态环境准入清单要求实施生态环境分区管控的通知 》（广府发〔2021〕4号）符合性分析如下：</w:t>
            </w:r>
          </w:p>
          <w:p>
            <w:pPr>
              <w:adjustRightInd w:val="0"/>
              <w:snapToGrid w:val="0"/>
              <w:spacing w:line="360" w:lineRule="auto"/>
              <w:ind w:firstLine="480" w:firstLineChars="200"/>
              <w:rPr>
                <w:bCs/>
                <w:color w:val="auto"/>
                <w:sz w:val="24"/>
                <w:lang w:bidi="zh-TW"/>
              </w:rPr>
            </w:pPr>
            <w:r>
              <w:rPr>
                <w:bCs/>
                <w:color w:val="auto"/>
                <w:sz w:val="24"/>
                <w:lang w:bidi="zh-TW"/>
              </w:rPr>
              <w:t>2021年6月20日，广元市人民政府发布了《关于落实生态保护红线、环境质量底线、资源利用上线和生态环境准入清单要求实施生态环境分区管控的通知》（广府发〔2021〕4号）。</w:t>
            </w:r>
          </w:p>
          <w:p>
            <w:pPr>
              <w:adjustRightInd w:val="0"/>
              <w:snapToGrid w:val="0"/>
              <w:spacing w:line="360" w:lineRule="auto"/>
              <w:ind w:firstLine="480" w:firstLineChars="200"/>
              <w:rPr>
                <w:bCs/>
                <w:color w:val="auto"/>
                <w:sz w:val="24"/>
                <w:lang w:bidi="zh-TW"/>
              </w:rPr>
            </w:pPr>
            <w:r>
              <w:rPr>
                <w:bCs/>
                <w:color w:val="auto"/>
                <w:sz w:val="24"/>
                <w:lang w:bidi="zh-TW"/>
              </w:rPr>
              <w:t>广元市划分优先保护、重点管控、一般管控三大类共66个环境管控单元。</w:t>
            </w:r>
          </w:p>
          <w:p>
            <w:pPr>
              <w:adjustRightInd w:val="0"/>
              <w:snapToGrid w:val="0"/>
              <w:spacing w:line="360" w:lineRule="auto"/>
              <w:ind w:firstLine="480" w:firstLineChars="200"/>
              <w:rPr>
                <w:bCs/>
                <w:color w:val="auto"/>
                <w:sz w:val="24"/>
                <w:lang w:bidi="zh-TW"/>
              </w:rPr>
            </w:pPr>
            <w:r>
              <w:rPr>
                <w:bCs/>
                <w:color w:val="auto"/>
                <w:sz w:val="24"/>
                <w:lang w:bidi="zh-TW"/>
              </w:rPr>
              <w:t>①优先保护单元。以生态环境保护为主的区域，全市划分优先保护单元26个。主要包括生态保护红线、饮用水水源保护区、国家公园、湿地公园、自然保护区等。</w:t>
            </w:r>
          </w:p>
          <w:p>
            <w:pPr>
              <w:adjustRightInd w:val="0"/>
              <w:snapToGrid w:val="0"/>
              <w:spacing w:line="360" w:lineRule="auto"/>
              <w:ind w:firstLine="480" w:firstLineChars="200"/>
              <w:rPr>
                <w:bCs/>
                <w:color w:val="auto"/>
                <w:sz w:val="24"/>
                <w:lang w:bidi="zh-TW"/>
              </w:rPr>
            </w:pPr>
            <w:r>
              <w:rPr>
                <w:bCs/>
                <w:color w:val="auto"/>
                <w:sz w:val="24"/>
                <w:lang w:bidi="zh-TW"/>
              </w:rPr>
              <w:t>②重点管控单元。涉及水、大气、土壤、自然资源等资源环境要素重点管控的区域，全市划分重点管控单元33个。其中：城镇重点单元7个，工业重点单元23个，环境要素重点单元3个。主要包括人口密集的城镇规划区和产业集聚的工业园区（集聚区）等。</w:t>
            </w:r>
          </w:p>
          <w:p>
            <w:pPr>
              <w:adjustRightInd w:val="0"/>
              <w:snapToGrid w:val="0"/>
              <w:spacing w:line="360" w:lineRule="auto"/>
              <w:ind w:firstLine="480" w:firstLineChars="200"/>
              <w:rPr>
                <w:bCs/>
                <w:color w:val="auto"/>
                <w:sz w:val="24"/>
                <w:lang w:bidi="zh-TW"/>
              </w:rPr>
            </w:pPr>
            <w:r>
              <w:rPr>
                <w:bCs/>
                <w:color w:val="auto"/>
                <w:sz w:val="24"/>
                <w:lang w:bidi="zh-TW"/>
              </w:rPr>
              <w:t>③一般管控单元。除优先保护单元和重点管控单元之外的其他区域，全市划分一般管控单元7个。</w:t>
            </w:r>
          </w:p>
          <w:p>
            <w:pPr>
              <w:adjustRightInd w:val="0"/>
              <w:snapToGrid w:val="0"/>
              <w:spacing w:line="360" w:lineRule="auto"/>
              <w:ind w:firstLine="480" w:firstLineChars="200"/>
              <w:rPr>
                <w:bCs/>
                <w:color w:val="auto"/>
                <w:sz w:val="24"/>
                <w:lang w:bidi="zh-TW"/>
              </w:rPr>
            </w:pPr>
            <w:r>
              <w:rPr>
                <w:bCs/>
                <w:color w:val="auto"/>
                <w:sz w:val="24"/>
                <w:lang w:bidi="zh-TW"/>
              </w:rPr>
              <w:t>本项目所在地与广元市环境管控单元分区详见下图。</w:t>
            </w:r>
          </w:p>
          <w:p>
            <w:pPr>
              <w:pStyle w:val="113"/>
              <w:jc w:val="center"/>
              <w:rPr>
                <w:b w:val="0"/>
                <w:color w:val="FF0000"/>
                <w:sz w:val="24"/>
                <w:szCs w:val="24"/>
              </w:rPr>
            </w:pPr>
            <w:r>
              <w:rPr>
                <w:color w:val="FF0000"/>
                <w:sz w:val="24"/>
                <w:szCs w:val="24"/>
              </w:rPr>
              <w:drawing>
                <wp:inline distT="0" distB="0" distL="114300" distR="114300">
                  <wp:extent cx="4842510" cy="3439795"/>
                  <wp:effectExtent l="0" t="0" r="15240" b="8255"/>
                  <wp:docPr id="50" name="图片 153" descr="微信图片_2021061115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53" descr="微信图片_20210611150518"/>
                          <pic:cNvPicPr>
                            <a:picLocks noChangeAspect="1"/>
                          </pic:cNvPicPr>
                        </pic:nvPicPr>
                        <pic:blipFill>
                          <a:blip r:embed="rId10"/>
                          <a:stretch>
                            <a:fillRect/>
                          </a:stretch>
                        </pic:blipFill>
                        <pic:spPr>
                          <a:xfrm>
                            <a:off x="0" y="0"/>
                            <a:ext cx="4842510" cy="3439795"/>
                          </a:xfrm>
                          <a:prstGeom prst="rect">
                            <a:avLst/>
                          </a:prstGeom>
                          <a:noFill/>
                          <a:ln>
                            <a:noFill/>
                          </a:ln>
                        </pic:spPr>
                      </pic:pic>
                    </a:graphicData>
                  </a:graphic>
                </wp:inline>
              </w:drawing>
            </w:r>
            <w:r>
              <w:rPr>
                <w:sz w:val="24"/>
                <w:szCs w:val="24"/>
              </w:rPr>
              <mc:AlternateContent>
                <mc:Choice Requires="wps">
                  <w:drawing>
                    <wp:anchor distT="0" distB="0" distL="114300" distR="114300" simplePos="0" relativeHeight="251677696" behindDoc="0" locked="0" layoutInCell="1" allowOverlap="1">
                      <wp:simplePos x="0" y="0"/>
                      <wp:positionH relativeFrom="column">
                        <wp:posOffset>2432050</wp:posOffset>
                      </wp:positionH>
                      <wp:positionV relativeFrom="paragraph">
                        <wp:posOffset>852805</wp:posOffset>
                      </wp:positionV>
                      <wp:extent cx="663575" cy="299085"/>
                      <wp:effectExtent l="5080" t="4445" r="17145" b="496570"/>
                      <wp:wrapNone/>
                      <wp:docPr id="32" name="矩形标注 49"/>
                      <wp:cNvGraphicFramePr/>
                      <a:graphic xmlns:a="http://schemas.openxmlformats.org/drawingml/2006/main">
                        <a:graphicData uri="http://schemas.microsoft.com/office/word/2010/wordprocessingShape">
                          <wps:wsp>
                            <wps:cNvSpPr/>
                            <wps:spPr>
                              <a:xfrm>
                                <a:off x="0" y="0"/>
                                <a:ext cx="663575" cy="299085"/>
                              </a:xfrm>
                              <a:prstGeom prst="wedgeRectCallout">
                                <a:avLst>
                                  <a:gd name="adj1" fmla="val -42792"/>
                                  <a:gd name="adj2" fmla="val 205477"/>
                                </a:avLst>
                              </a:prstGeom>
                              <a:noFill/>
                              <a:ln w="9525" cap="flat" cmpd="sng">
                                <a:solidFill>
                                  <a:srgbClr val="FF0000"/>
                                </a:solidFill>
                                <a:prstDash val="solid"/>
                                <a:miter/>
                                <a:headEnd type="none" w="med" len="med"/>
                                <a:tailEnd type="none" w="med" len="med"/>
                              </a:ln>
                            </wps:spPr>
                            <wps:txbx>
                              <w:txbxContent>
                                <w:p>
                                  <w:pPr>
                                    <w:rPr>
                                      <w:sz w:val="18"/>
                                      <w:szCs w:val="18"/>
                                    </w:rPr>
                                  </w:pPr>
                                  <w:r>
                                    <w:rPr>
                                      <w:rFonts w:hint="eastAsia"/>
                                      <w:sz w:val="18"/>
                                      <w:szCs w:val="18"/>
                                    </w:rPr>
                                    <w:t>项目位置</w:t>
                                  </w:r>
                                </w:p>
                              </w:txbxContent>
                            </wps:txbx>
                            <wps:bodyPr wrap="square" upright="1"/>
                          </wps:wsp>
                        </a:graphicData>
                      </a:graphic>
                    </wp:anchor>
                  </w:drawing>
                </mc:Choice>
                <mc:Fallback>
                  <w:pict>
                    <v:shape id="矩形标注 49" o:spid="_x0000_s1026" o:spt="61" type="#_x0000_t61" style="position:absolute;left:0pt;margin-left:191.5pt;margin-top:67.15pt;height:23.55pt;width:52.25pt;z-index:251677696;mso-width-relative:page;mso-height-relative:page;" filled="f" stroked="t" coordsize="21600,21600" o:gfxdata="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34sqk9kAAAALAQAADwAAAAAAAAABACAAAAAi&#10;AAAAZHJzL2Rvd25yZXYueG1sUEsBAhQAFAAAAAgAh07iQLXnuixCAgAAdAQAAA4AAAAAAAAAAQAg&#10;AAAAKAEAAGRycy9lMm9Eb2MueG1sUEsFBgAAAAAGAAYAWQEAANwFAAAAAA==&#10;" adj="1557,55183">
                      <v:fill on="f" focussize="0,0"/>
                      <v:stroke color="#FF0000" joinstyle="miter"/>
                      <v:imagedata o:title=""/>
                      <o:lock v:ext="edit" aspectratio="f"/>
                      <v:textbox>
                        <w:txbxContent>
                          <w:p>
                            <w:pPr>
                              <w:rPr>
                                <w:sz w:val="18"/>
                                <w:szCs w:val="18"/>
                              </w:rPr>
                            </w:pPr>
                            <w:r>
                              <w:rPr>
                                <w:rFonts w:hint="eastAsia"/>
                                <w:sz w:val="18"/>
                                <w:szCs w:val="18"/>
                              </w:rPr>
                              <w:t>项目位置</w:t>
                            </w:r>
                          </w:p>
                        </w:txbxContent>
                      </v:textbox>
                    </v:shape>
                  </w:pict>
                </mc:Fallback>
              </mc:AlternateContent>
            </w:r>
          </w:p>
          <w:p>
            <w:pPr>
              <w:pStyle w:val="11"/>
              <w:snapToGrid w:val="0"/>
              <w:ind w:firstLine="422"/>
              <w:jc w:val="center"/>
              <w:rPr>
                <w:sz w:val="24"/>
                <w:szCs w:val="24"/>
              </w:rPr>
            </w:pPr>
            <w:r>
              <w:rPr>
                <w:rFonts w:ascii="Times New Roman" w:hAnsi="Times New Roman" w:eastAsia="宋体"/>
                <w:b/>
                <w:bCs/>
                <w:sz w:val="21"/>
                <w:szCs w:val="21"/>
              </w:rPr>
              <w:t>图1</w:t>
            </w:r>
            <w:r>
              <w:rPr>
                <w:rFonts w:hint="eastAsia" w:ascii="Times New Roman" w:hAnsi="Times New Roman" w:eastAsia="宋体"/>
                <w:b/>
                <w:bCs/>
                <w:sz w:val="21"/>
                <w:szCs w:val="21"/>
                <w:lang w:val="en-US" w:eastAsia="zh-CN"/>
              </w:rPr>
              <w:t>-3</w:t>
            </w:r>
            <w:r>
              <w:rPr>
                <w:rFonts w:ascii="Times New Roman" w:hAnsi="Times New Roman" w:eastAsia="宋体"/>
                <w:b/>
                <w:bCs/>
                <w:sz w:val="21"/>
                <w:szCs w:val="21"/>
              </w:rPr>
              <w:t xml:space="preserve"> 项目与</w:t>
            </w:r>
            <w:r>
              <w:rPr>
                <w:rFonts w:hint="eastAsia" w:ascii="Times New Roman" w:hAnsi="Times New Roman" w:eastAsia="宋体"/>
                <w:b/>
                <w:bCs/>
                <w:sz w:val="21"/>
                <w:szCs w:val="21"/>
              </w:rPr>
              <w:t>广元</w:t>
            </w:r>
            <w:r>
              <w:rPr>
                <w:rFonts w:ascii="Times New Roman" w:hAnsi="Times New Roman" w:eastAsia="宋体"/>
                <w:b/>
                <w:bCs/>
                <w:sz w:val="21"/>
                <w:szCs w:val="21"/>
              </w:rPr>
              <w:t>市环境管控单元图</w:t>
            </w:r>
            <w:r>
              <w:rPr>
                <w:sz w:val="24"/>
                <w:szCs w:val="24"/>
              </w:rPr>
              <w:t xml:space="preserve"> </w:t>
            </w:r>
          </w:p>
          <w:p>
            <w:pPr>
              <w:jc w:val="center"/>
            </w:pPr>
            <w:r>
              <w:drawing>
                <wp:inline distT="0" distB="0" distL="114300" distR="114300">
                  <wp:extent cx="4608195" cy="2894965"/>
                  <wp:effectExtent l="9525" t="9525" r="11430" b="10160"/>
                  <wp:docPr id="51"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3"/>
                          <pic:cNvPicPr>
                            <a:picLocks noChangeAspect="1"/>
                          </pic:cNvPicPr>
                        </pic:nvPicPr>
                        <pic:blipFill>
                          <a:blip r:embed="rId11"/>
                          <a:stretch>
                            <a:fillRect/>
                          </a:stretch>
                        </pic:blipFill>
                        <pic:spPr>
                          <a:xfrm>
                            <a:off x="0" y="0"/>
                            <a:ext cx="4608195" cy="2894965"/>
                          </a:xfrm>
                          <a:prstGeom prst="rect">
                            <a:avLst/>
                          </a:prstGeom>
                          <a:noFill/>
                          <a:ln w="9525" cap="flat" cmpd="sng">
                            <a:solidFill>
                              <a:srgbClr val="000000"/>
                            </a:solidFill>
                            <a:prstDash val="solid"/>
                            <a:miter/>
                            <a:headEnd type="none" w="med" len="med"/>
                            <a:tailEnd type="none" w="med" len="med"/>
                          </a:ln>
                        </pic:spPr>
                      </pic:pic>
                    </a:graphicData>
                  </a:graphic>
                </wp:inline>
              </w:drawing>
            </w:r>
            <w:r>
              <w:rPr>
                <w:sz w:val="24"/>
              </w:rPr>
              <mc:AlternateContent>
                <mc:Choice Requires="wps">
                  <w:drawing>
                    <wp:anchor distT="0" distB="0" distL="114300" distR="114300" simplePos="0" relativeHeight="251676672" behindDoc="0" locked="0" layoutInCell="1" allowOverlap="1">
                      <wp:simplePos x="0" y="0"/>
                      <wp:positionH relativeFrom="column">
                        <wp:posOffset>415925</wp:posOffset>
                      </wp:positionH>
                      <wp:positionV relativeFrom="paragraph">
                        <wp:posOffset>1028700</wp:posOffset>
                      </wp:positionV>
                      <wp:extent cx="527050" cy="209550"/>
                      <wp:effectExtent l="0" t="0" r="0" b="0"/>
                      <wp:wrapNone/>
                      <wp:docPr id="36" name="文本框 66"/>
                      <wp:cNvGraphicFramePr/>
                      <a:graphic xmlns:a="http://schemas.openxmlformats.org/drawingml/2006/main">
                        <a:graphicData uri="http://schemas.microsoft.com/office/word/2010/wordprocessingShape">
                          <wps:wsp>
                            <wps:cNvSpPr txBox="1"/>
                            <wps:spPr>
                              <a:xfrm>
                                <a:off x="0" y="0"/>
                                <a:ext cx="527050" cy="209550"/>
                              </a:xfrm>
                              <a:prstGeom prst="rect">
                                <a:avLst/>
                              </a:prstGeom>
                              <a:noFill/>
                              <a:ln>
                                <a:noFill/>
                              </a:ln>
                            </wps:spPr>
                            <wps:txbx>
                              <w:txbxContent>
                                <w:p>
                                  <w:pPr>
                                    <w:rPr>
                                      <w:rFonts w:hint="default" w:eastAsia="宋体"/>
                                      <w:b/>
                                      <w:bCs/>
                                      <w:color w:val="FF0000"/>
                                      <w:sz w:val="16"/>
                                      <w:szCs w:val="20"/>
                                      <w:highlight w:val="none"/>
                                      <w:lang w:val="en-US" w:eastAsia="zh-CN"/>
                                    </w:rPr>
                                  </w:pPr>
                                  <w:r>
                                    <w:rPr>
                                      <w:rFonts w:hint="eastAsia"/>
                                      <w:b/>
                                      <w:bCs/>
                                      <w:color w:val="FF0000"/>
                                      <w:sz w:val="16"/>
                                      <w:szCs w:val="20"/>
                                      <w:highlight w:val="none"/>
                                      <w:lang w:val="en-US" w:eastAsia="zh-CN"/>
                                    </w:rPr>
                                    <w:t>终点</w:t>
                                  </w:r>
                                </w:p>
                              </w:txbxContent>
                            </wps:txbx>
                            <wps:bodyPr wrap="square" upright="1"/>
                          </wps:wsp>
                        </a:graphicData>
                      </a:graphic>
                    </wp:anchor>
                  </w:drawing>
                </mc:Choice>
                <mc:Fallback>
                  <w:pict>
                    <v:shape id="文本框 66" o:spid="_x0000_s1026" o:spt="202" type="#_x0000_t202" style="position:absolute;left:0pt;margin-left:32.75pt;margin-top:81pt;height:16.5pt;width:41.5pt;z-index:251676672;mso-width-relative:page;mso-height-relative:page;" filled="f" stroked="f" coordsize="21600,21600" o:gfxdata="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zCzArWAAAACgEAAA8AAAAAAAAAAQAgAAAAIgAAAGRycy9kb3ducmV2LnhtbFBLAQIUABQAAAAI&#10;AIdO4kAWPnfAtgEAAF0DAAAOAAAAAAAAAAEAIAAAACUBAABkcnMvZTJvRG9jLnhtbFBLBQYAAAAA&#10;BgAGAFkBAABNBQAAAAA=&#10;">
                      <v:fill on="f" focussize="0,0"/>
                      <v:stroke on="f"/>
                      <v:imagedata o:title=""/>
                      <o:lock v:ext="edit" aspectratio="f"/>
                      <v:textbox>
                        <w:txbxContent>
                          <w:p>
                            <w:pPr>
                              <w:rPr>
                                <w:rFonts w:hint="default" w:eastAsia="宋体"/>
                                <w:b/>
                                <w:bCs/>
                                <w:color w:val="FF0000"/>
                                <w:sz w:val="16"/>
                                <w:szCs w:val="20"/>
                                <w:highlight w:val="none"/>
                                <w:lang w:val="en-US" w:eastAsia="zh-CN"/>
                              </w:rPr>
                            </w:pPr>
                            <w:r>
                              <w:rPr>
                                <w:rFonts w:hint="eastAsia"/>
                                <w:b/>
                                <w:bCs/>
                                <w:color w:val="FF0000"/>
                                <w:sz w:val="16"/>
                                <w:szCs w:val="20"/>
                                <w:highlight w:val="none"/>
                                <w:lang w:val="en-US" w:eastAsia="zh-CN"/>
                              </w:rPr>
                              <w:t>终点</w:t>
                            </w:r>
                          </w:p>
                        </w:txbxContent>
                      </v:textbox>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2359025</wp:posOffset>
                      </wp:positionH>
                      <wp:positionV relativeFrom="paragraph">
                        <wp:posOffset>1555750</wp:posOffset>
                      </wp:positionV>
                      <wp:extent cx="527050" cy="209550"/>
                      <wp:effectExtent l="0" t="0" r="0" b="0"/>
                      <wp:wrapNone/>
                      <wp:docPr id="35" name="文本框 65"/>
                      <wp:cNvGraphicFramePr/>
                      <a:graphic xmlns:a="http://schemas.openxmlformats.org/drawingml/2006/main">
                        <a:graphicData uri="http://schemas.microsoft.com/office/word/2010/wordprocessingShape">
                          <wps:wsp>
                            <wps:cNvSpPr txBox="1"/>
                            <wps:spPr>
                              <a:xfrm>
                                <a:off x="0" y="0"/>
                                <a:ext cx="527050" cy="209550"/>
                              </a:xfrm>
                              <a:prstGeom prst="rect">
                                <a:avLst/>
                              </a:prstGeom>
                              <a:noFill/>
                              <a:ln>
                                <a:noFill/>
                              </a:ln>
                            </wps:spPr>
                            <wps:txbx>
                              <w:txbxContent>
                                <w:p>
                                  <w:pPr>
                                    <w:rPr>
                                      <w:rFonts w:hint="eastAsia" w:eastAsia="宋体"/>
                                      <w:b/>
                                      <w:bCs/>
                                      <w:color w:val="FF0000"/>
                                      <w:sz w:val="16"/>
                                      <w:szCs w:val="20"/>
                                      <w:highlight w:val="none"/>
                                      <w:lang w:val="en-US" w:eastAsia="zh-CN"/>
                                    </w:rPr>
                                  </w:pPr>
                                  <w:r>
                                    <w:rPr>
                                      <w:rFonts w:hint="eastAsia"/>
                                      <w:b/>
                                      <w:bCs/>
                                      <w:color w:val="FF0000"/>
                                      <w:sz w:val="16"/>
                                      <w:szCs w:val="20"/>
                                      <w:highlight w:val="none"/>
                                      <w:lang w:val="en-US" w:eastAsia="zh-CN"/>
                                    </w:rPr>
                                    <w:t>起点</w:t>
                                  </w:r>
                                </w:p>
                              </w:txbxContent>
                            </wps:txbx>
                            <wps:bodyPr vert="horz" wrap="square" anchor="t" anchorCtr="0" upright="1"/>
                          </wps:wsp>
                        </a:graphicData>
                      </a:graphic>
                    </wp:anchor>
                  </w:drawing>
                </mc:Choice>
                <mc:Fallback>
                  <w:pict>
                    <v:shape id="文本框 65" o:spid="_x0000_s1026" o:spt="202" type="#_x0000_t202" style="position:absolute;left:0pt;margin-left:185.75pt;margin-top:122.5pt;height:16.5pt;width:41.5pt;z-index:251675648;mso-width-relative:page;mso-height-relative:page;" filled="f" stroked="f" coordsize="21600,21600" o:gfxdata="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Q4UUx1wAAAAsBAAAPAAAAAAAAAAEAIAAAACIAAABkcnMv&#10;ZG93bnJldi54bWxQSwECFAAUAAAACACHTuJA0BZTj8sBAACCAwAADgAAAAAAAAABACAAAAAmAQAA&#10;ZHJzL2Uyb0RvYy54bWxQSwUGAAAAAAYABgBZAQAAYwUAAAAA&#10;">
                      <v:fill on="f" focussize="0,0"/>
                      <v:stroke on="f"/>
                      <v:imagedata o:title=""/>
                      <o:lock v:ext="edit" aspectratio="f"/>
                      <v:textbox>
                        <w:txbxContent>
                          <w:p>
                            <w:pPr>
                              <w:rPr>
                                <w:rFonts w:hint="eastAsia" w:eastAsia="宋体"/>
                                <w:b/>
                                <w:bCs/>
                                <w:color w:val="FF0000"/>
                                <w:sz w:val="16"/>
                                <w:szCs w:val="20"/>
                                <w:highlight w:val="none"/>
                                <w:lang w:val="en-US" w:eastAsia="zh-CN"/>
                              </w:rPr>
                            </w:pPr>
                            <w:r>
                              <w:rPr>
                                <w:rFonts w:hint="eastAsia"/>
                                <w:b/>
                                <w:bCs/>
                                <w:color w:val="FF0000"/>
                                <w:sz w:val="16"/>
                                <w:szCs w:val="20"/>
                                <w:highlight w:val="none"/>
                                <w:lang w:val="en-US" w:eastAsia="zh-CN"/>
                              </w:rPr>
                              <w:t>起点</w:t>
                            </w:r>
                          </w:p>
                        </w:txbxContent>
                      </v:textbox>
                    </v:shape>
                  </w:pict>
                </mc:Fallback>
              </mc:AlternateContent>
            </w:r>
            <w:r>
              <w:rPr>
                <w:sz w:val="24"/>
                <w:szCs w:val="24"/>
              </w:rPr>
              <mc:AlternateContent>
                <mc:Choice Requires="wps">
                  <w:drawing>
                    <wp:anchor distT="0" distB="0" distL="114300" distR="114300" simplePos="0" relativeHeight="251673600" behindDoc="0" locked="0" layoutInCell="1" allowOverlap="1">
                      <wp:simplePos x="0" y="0"/>
                      <wp:positionH relativeFrom="column">
                        <wp:posOffset>1649095</wp:posOffset>
                      </wp:positionH>
                      <wp:positionV relativeFrom="paragraph">
                        <wp:posOffset>812165</wp:posOffset>
                      </wp:positionV>
                      <wp:extent cx="663575" cy="299085"/>
                      <wp:effectExtent l="5080" t="4445" r="17145" b="496570"/>
                      <wp:wrapNone/>
                      <wp:docPr id="33" name="矩形标注 49"/>
                      <wp:cNvGraphicFramePr/>
                      <a:graphic xmlns:a="http://schemas.openxmlformats.org/drawingml/2006/main">
                        <a:graphicData uri="http://schemas.microsoft.com/office/word/2010/wordprocessingShape">
                          <wps:wsp>
                            <wps:cNvSpPr/>
                            <wps:spPr>
                              <a:xfrm>
                                <a:off x="0" y="0"/>
                                <a:ext cx="663575" cy="299085"/>
                              </a:xfrm>
                              <a:prstGeom prst="wedgeRectCallout">
                                <a:avLst>
                                  <a:gd name="adj1" fmla="val -42792"/>
                                  <a:gd name="adj2" fmla="val 205477"/>
                                </a:avLst>
                              </a:prstGeom>
                              <a:noFill/>
                              <a:ln w="9525" cap="flat" cmpd="sng">
                                <a:solidFill>
                                  <a:srgbClr val="FF0000"/>
                                </a:solidFill>
                                <a:prstDash val="solid"/>
                                <a:miter/>
                                <a:headEnd type="none" w="med" len="med"/>
                                <a:tailEnd type="none" w="med" len="med"/>
                              </a:ln>
                            </wps:spPr>
                            <wps:txbx>
                              <w:txbxContent>
                                <w:p>
                                  <w:pPr>
                                    <w:rPr>
                                      <w:sz w:val="18"/>
                                      <w:szCs w:val="18"/>
                                    </w:rPr>
                                  </w:pPr>
                                  <w:r>
                                    <w:rPr>
                                      <w:rFonts w:hint="eastAsia"/>
                                      <w:sz w:val="18"/>
                                      <w:szCs w:val="18"/>
                                    </w:rPr>
                                    <w:t>项目位置</w:t>
                                  </w:r>
                                </w:p>
                              </w:txbxContent>
                            </wps:txbx>
                            <wps:bodyPr wrap="square" upright="1"/>
                          </wps:wsp>
                        </a:graphicData>
                      </a:graphic>
                    </wp:anchor>
                  </w:drawing>
                </mc:Choice>
                <mc:Fallback>
                  <w:pict>
                    <v:shape id="矩形标注 49" o:spid="_x0000_s1026" o:spt="61" type="#_x0000_t61" style="position:absolute;left:0pt;margin-left:129.85pt;margin-top:63.95pt;height:23.55pt;width:52.25pt;z-index:251673600;mso-width-relative:page;mso-height-relative:page;" filled="f" stroked="t" coordsize="21600,21600" o:gfxdata="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q9rvNkAAAALAQAADwAAAAAAAAABACAAAAAi&#10;AAAAZHJzL2Rvd25yZXYueG1sUEsBAhQAFAAAAAgAh07iQMVkDeFCAgAAdAQAAA4AAAAAAAAAAQAg&#10;AAAAKAEAAGRycy9lMm9Eb2MueG1sUEsFBgAAAAAGAAYAWQEAANwFAAAAAA==&#10;" adj="1557,55183">
                      <v:fill on="f" focussize="0,0"/>
                      <v:stroke color="#FF0000" joinstyle="miter"/>
                      <v:imagedata o:title=""/>
                      <o:lock v:ext="edit" aspectratio="f"/>
                      <v:textbox>
                        <w:txbxContent>
                          <w:p>
                            <w:pPr>
                              <w:rPr>
                                <w:sz w:val="18"/>
                                <w:szCs w:val="18"/>
                              </w:rPr>
                            </w:pPr>
                            <w:r>
                              <w:rPr>
                                <w:rFonts w:hint="eastAsia"/>
                                <w:sz w:val="18"/>
                                <w:szCs w:val="18"/>
                              </w:rPr>
                              <w:t>项目位置</w:t>
                            </w:r>
                          </w:p>
                        </w:txbxContent>
                      </v:textbox>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614045</wp:posOffset>
                      </wp:positionH>
                      <wp:positionV relativeFrom="paragraph">
                        <wp:posOffset>1184910</wp:posOffset>
                      </wp:positionV>
                      <wp:extent cx="1940560" cy="763905"/>
                      <wp:effectExtent l="10795" t="9525" r="29845" b="26670"/>
                      <wp:wrapNone/>
                      <wp:docPr id="34" name="任意多边形 64"/>
                      <wp:cNvGraphicFramePr/>
                      <a:graphic xmlns:a="http://schemas.openxmlformats.org/drawingml/2006/main">
                        <a:graphicData uri="http://schemas.microsoft.com/office/word/2010/wordprocessingShape">
                          <wps:wsp>
                            <wps:cNvSpPr/>
                            <wps:spPr>
                              <a:xfrm>
                                <a:off x="0" y="0"/>
                                <a:ext cx="1940560" cy="763905"/>
                              </a:xfrm>
                              <a:custGeom>
                                <a:avLst/>
                                <a:gdLst/>
                                <a:ahLst/>
                                <a:cxnLst/>
                                <a:pathLst>
                                  <a:path w="3056" h="1203">
                                    <a:moveTo>
                                      <a:pt x="0" y="0"/>
                                    </a:moveTo>
                                    <a:cubicBezTo>
                                      <a:pt x="17" y="19"/>
                                      <a:pt x="54" y="67"/>
                                      <a:pt x="93" y="104"/>
                                    </a:cubicBezTo>
                                    <a:cubicBezTo>
                                      <a:pt x="132" y="141"/>
                                      <a:pt x="155" y="148"/>
                                      <a:pt x="196" y="186"/>
                                    </a:cubicBezTo>
                                    <a:cubicBezTo>
                                      <a:pt x="237" y="224"/>
                                      <a:pt x="260" y="253"/>
                                      <a:pt x="300" y="295"/>
                                    </a:cubicBezTo>
                                    <a:cubicBezTo>
                                      <a:pt x="340" y="337"/>
                                      <a:pt x="358" y="370"/>
                                      <a:pt x="398" y="398"/>
                                    </a:cubicBezTo>
                                    <a:cubicBezTo>
                                      <a:pt x="438" y="426"/>
                                      <a:pt x="460" y="424"/>
                                      <a:pt x="501" y="435"/>
                                    </a:cubicBezTo>
                                    <a:cubicBezTo>
                                      <a:pt x="542" y="446"/>
                                      <a:pt x="564" y="447"/>
                                      <a:pt x="605" y="455"/>
                                    </a:cubicBezTo>
                                    <a:cubicBezTo>
                                      <a:pt x="646" y="463"/>
                                      <a:pt x="667" y="467"/>
                                      <a:pt x="708" y="476"/>
                                    </a:cubicBezTo>
                                    <a:cubicBezTo>
                                      <a:pt x="749" y="485"/>
                                      <a:pt x="770" y="494"/>
                                      <a:pt x="812" y="502"/>
                                    </a:cubicBezTo>
                                    <a:cubicBezTo>
                                      <a:pt x="854" y="510"/>
                                      <a:pt x="877" y="508"/>
                                      <a:pt x="920" y="517"/>
                                    </a:cubicBezTo>
                                    <a:cubicBezTo>
                                      <a:pt x="963" y="526"/>
                                      <a:pt x="986" y="537"/>
                                      <a:pt x="1029" y="548"/>
                                    </a:cubicBezTo>
                                    <a:cubicBezTo>
                                      <a:pt x="1072" y="559"/>
                                      <a:pt x="1095" y="564"/>
                                      <a:pt x="1137" y="574"/>
                                    </a:cubicBezTo>
                                    <a:cubicBezTo>
                                      <a:pt x="1179" y="584"/>
                                      <a:pt x="1200" y="590"/>
                                      <a:pt x="1241" y="600"/>
                                    </a:cubicBezTo>
                                    <a:cubicBezTo>
                                      <a:pt x="1282" y="610"/>
                                      <a:pt x="1303" y="618"/>
                                      <a:pt x="1344" y="626"/>
                                    </a:cubicBezTo>
                                    <a:cubicBezTo>
                                      <a:pt x="1385" y="634"/>
                                      <a:pt x="1407" y="637"/>
                                      <a:pt x="1448" y="642"/>
                                    </a:cubicBezTo>
                                    <a:cubicBezTo>
                                      <a:pt x="1489" y="647"/>
                                      <a:pt x="1510" y="644"/>
                                      <a:pt x="1551" y="652"/>
                                    </a:cubicBezTo>
                                    <a:cubicBezTo>
                                      <a:pt x="1592" y="660"/>
                                      <a:pt x="1613" y="672"/>
                                      <a:pt x="1655" y="683"/>
                                    </a:cubicBezTo>
                                    <a:cubicBezTo>
                                      <a:pt x="1697" y="694"/>
                                      <a:pt x="1720" y="688"/>
                                      <a:pt x="1763" y="709"/>
                                    </a:cubicBezTo>
                                    <a:cubicBezTo>
                                      <a:pt x="1806" y="730"/>
                                      <a:pt x="1830" y="753"/>
                                      <a:pt x="1872" y="786"/>
                                    </a:cubicBezTo>
                                    <a:cubicBezTo>
                                      <a:pt x="1914" y="819"/>
                                      <a:pt x="1934" y="838"/>
                                      <a:pt x="1975" y="874"/>
                                    </a:cubicBezTo>
                                    <a:cubicBezTo>
                                      <a:pt x="2016" y="910"/>
                                      <a:pt x="2038" y="928"/>
                                      <a:pt x="2079" y="967"/>
                                    </a:cubicBezTo>
                                    <a:cubicBezTo>
                                      <a:pt x="2120" y="1006"/>
                                      <a:pt x="2140" y="1034"/>
                                      <a:pt x="2182" y="1071"/>
                                    </a:cubicBezTo>
                                    <a:cubicBezTo>
                                      <a:pt x="2224" y="1108"/>
                                      <a:pt x="2249" y="1130"/>
                                      <a:pt x="2291" y="1154"/>
                                    </a:cubicBezTo>
                                    <a:cubicBezTo>
                                      <a:pt x="2333" y="1178"/>
                                      <a:pt x="2352" y="1181"/>
                                      <a:pt x="2394" y="1190"/>
                                    </a:cubicBezTo>
                                    <a:cubicBezTo>
                                      <a:pt x="2436" y="1199"/>
                                      <a:pt x="2461" y="1198"/>
                                      <a:pt x="2503" y="1200"/>
                                    </a:cubicBezTo>
                                    <a:cubicBezTo>
                                      <a:pt x="2545" y="1202"/>
                                      <a:pt x="2564" y="1203"/>
                                      <a:pt x="2606" y="1200"/>
                                    </a:cubicBezTo>
                                    <a:cubicBezTo>
                                      <a:pt x="2648" y="1197"/>
                                      <a:pt x="2673" y="1196"/>
                                      <a:pt x="2715" y="1185"/>
                                    </a:cubicBezTo>
                                    <a:cubicBezTo>
                                      <a:pt x="2757" y="1174"/>
                                      <a:pt x="2777" y="1170"/>
                                      <a:pt x="2818" y="1143"/>
                                    </a:cubicBezTo>
                                    <a:cubicBezTo>
                                      <a:pt x="2859" y="1116"/>
                                      <a:pt x="2888" y="1089"/>
                                      <a:pt x="2922" y="1050"/>
                                    </a:cubicBezTo>
                                    <a:cubicBezTo>
                                      <a:pt x="2956" y="1011"/>
                                      <a:pt x="2962" y="988"/>
                                      <a:pt x="2989" y="947"/>
                                    </a:cubicBezTo>
                                    <a:cubicBezTo>
                                      <a:pt x="3016" y="906"/>
                                      <a:pt x="3044" y="862"/>
                                      <a:pt x="3056" y="843"/>
                                    </a:cubicBezTo>
                                  </a:path>
                                </a:pathLst>
                              </a:custGeom>
                              <a:noFill/>
                              <a:ln w="28575" cap="flat" cmpd="sng">
                                <a:solidFill>
                                  <a:srgbClr val="FF0000"/>
                                </a:solidFill>
                                <a:prstDash val="solid"/>
                                <a:headEnd type="none" w="med" len="med"/>
                                <a:tailEnd type="none" w="med" len="med"/>
                              </a:ln>
                            </wps:spPr>
                            <wps:bodyPr vert="horz" wrap="square" anchor="t" anchorCtr="0" upright="1"/>
                          </wps:wsp>
                        </a:graphicData>
                      </a:graphic>
                    </wp:anchor>
                  </w:drawing>
                </mc:Choice>
                <mc:Fallback>
                  <w:pict>
                    <v:shape id="任意多边形 64" o:spid="_x0000_s1026" o:spt="100" style="position:absolute;left:0pt;margin-left:48.35pt;margin-top:93.3pt;height:60.15pt;width:152.8pt;z-index:251674624;mso-width-relative:page;mso-height-relative:page;" filled="f" stroked="t" coordsize="3056,1203" o:gfxdata="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" path="m0,0c17,19,54,67,93,104c132,141,155,148,196,186c237,224,260,253,300,295c340,337,358,370,398,398c438,426,460,424,501,435c542,446,564,447,605,455c646,463,667,467,708,476c749,485,770,494,812,502c854,510,877,508,920,517c963,526,986,537,1029,548c1072,559,1095,564,1137,574c1179,584,1200,590,1241,600c1282,610,1303,618,1344,626c1385,634,1407,637,1448,642c1489,647,1510,644,1551,652c1592,660,1613,672,1655,683c1697,694,1720,688,1763,709c1806,730,1830,753,1872,786c1914,819,1934,838,1975,874c2016,910,2038,928,2079,967c2120,1006,2140,1034,2182,1071c2224,1108,2249,1130,2291,1154c2333,1178,2352,1181,2394,1190c2436,1199,2461,1198,2503,1200c2545,1202,2564,1203,2606,1200c2648,1197,2673,1196,2715,1185c2757,1174,2777,1170,2818,1143c2859,1116,2888,1089,2922,1050c2956,1011,2962,988,2989,947c3016,906,3044,862,3056,843e">
                      <v:fill on="f" focussize="0,0"/>
                      <v:stroke weight="2.25pt" color="#FF0000" joinstyle="round"/>
                      <v:imagedata o:title=""/>
                      <o:lock v:ext="edit" aspectratio="f"/>
                    </v:shape>
                  </w:pict>
                </mc:Fallback>
              </mc:AlternateContent>
            </w:r>
          </w:p>
          <w:p>
            <w:pPr>
              <w:spacing w:line="360" w:lineRule="auto"/>
              <w:jc w:val="center"/>
              <w:rPr>
                <w:rFonts w:ascii="Times New Roman" w:hAnsi="Times New Roman" w:eastAsia="宋体"/>
                <w:b/>
                <w:bCs/>
                <w:sz w:val="21"/>
                <w:szCs w:val="21"/>
                <w:highlight w:val="none"/>
              </w:rPr>
            </w:pPr>
            <w:r>
              <w:rPr>
                <w:rFonts w:hint="eastAsia" w:ascii="Times New Roman" w:hAnsi="Times New Roman" w:eastAsia="宋体"/>
                <w:b/>
                <w:bCs/>
                <w:sz w:val="21"/>
                <w:szCs w:val="21"/>
                <w:highlight w:val="none"/>
                <w:lang w:val="en-US" w:eastAsia="zh-CN"/>
              </w:rPr>
              <w:t xml:space="preserve">图1-4 </w:t>
            </w:r>
            <w:r>
              <w:rPr>
                <w:rFonts w:ascii="Times New Roman" w:hAnsi="Times New Roman" w:eastAsia="宋体"/>
                <w:b/>
                <w:bCs/>
                <w:sz w:val="21"/>
                <w:szCs w:val="21"/>
                <w:highlight w:val="none"/>
              </w:rPr>
              <w:t>四川省“三线一单”数据分析系统</w:t>
            </w:r>
          </w:p>
          <w:p>
            <w:pPr>
              <w:adjustRightInd w:val="0"/>
              <w:snapToGrid w:val="0"/>
              <w:spacing w:line="360" w:lineRule="auto"/>
              <w:ind w:firstLine="480" w:firstLineChars="200"/>
              <w:rPr>
                <w:bCs/>
                <w:color w:val="auto"/>
                <w:sz w:val="24"/>
                <w:lang w:bidi="zh-TW"/>
              </w:rPr>
            </w:pPr>
            <w:r>
              <w:rPr>
                <w:bCs/>
                <w:color w:val="auto"/>
                <w:sz w:val="24"/>
                <w:lang w:bidi="zh-TW"/>
              </w:rPr>
              <w:t>由上图可见，本项目</w:t>
            </w:r>
            <w:r>
              <w:rPr>
                <w:rFonts w:hint="eastAsia"/>
                <w:bCs/>
                <w:color w:val="auto"/>
                <w:sz w:val="24"/>
                <w:lang w:val="en-US" w:eastAsia="zh-CN" w:bidi="zh-TW"/>
              </w:rPr>
              <w:t>属于</w:t>
            </w:r>
            <w:r>
              <w:rPr>
                <w:rFonts w:hint="default" w:ascii="Times New Roman" w:hAnsi="Times New Roman" w:cs="Times New Roman"/>
                <w:bCs/>
                <w:color w:val="auto"/>
                <w:sz w:val="24"/>
                <w:lang w:eastAsia="zh-CN" w:bidi="zh-TW"/>
              </w:rPr>
              <w:t>“</w:t>
            </w:r>
            <w:r>
              <w:rPr>
                <w:rFonts w:hint="eastAsia" w:ascii="Times New Roman" w:hAnsi="Times New Roman" w:cs="Times New Roman"/>
                <w:bCs/>
                <w:color w:val="auto"/>
                <w:sz w:val="24"/>
                <w:lang w:val="en-US" w:eastAsia="zh-CN" w:bidi="zh-TW"/>
              </w:rPr>
              <w:t>要素</w:t>
            </w:r>
            <w:r>
              <w:rPr>
                <w:rFonts w:hint="default" w:ascii="Times New Roman" w:hAnsi="Times New Roman" w:cs="Times New Roman"/>
                <w:bCs/>
                <w:color w:val="auto"/>
                <w:sz w:val="24"/>
                <w:lang w:val="en-US" w:eastAsia="zh-CN" w:bidi="zh-TW"/>
              </w:rPr>
              <w:t>重点管控单元</w:t>
            </w:r>
            <w:r>
              <w:rPr>
                <w:rFonts w:hint="default" w:ascii="Times New Roman" w:hAnsi="Times New Roman" w:cs="Times New Roman"/>
                <w:bCs/>
                <w:color w:val="auto"/>
                <w:sz w:val="24"/>
                <w:lang w:eastAsia="zh-CN" w:bidi="zh-TW"/>
              </w:rPr>
              <w:t>”</w:t>
            </w:r>
            <w:r>
              <w:rPr>
                <w:bCs/>
                <w:color w:val="auto"/>
                <w:sz w:val="24"/>
                <w:lang w:bidi="zh-TW"/>
              </w:rPr>
              <w:t>。本项目采取严格的环境保护措施，废气、废水、噪声经治理后均可以达标排放，固废妥善处置，环境风险可控，对当地环境没有明显的影响。本项目建设符合广元市环境管控单元生态环境管控要求。</w:t>
            </w:r>
          </w:p>
          <w:p>
            <w:pPr>
              <w:adjustRightInd w:val="0"/>
              <w:snapToGrid w:val="0"/>
              <w:spacing w:line="360" w:lineRule="auto"/>
              <w:ind w:firstLine="480" w:firstLineChars="200"/>
              <w:rPr>
                <w:bCs/>
                <w:color w:val="auto"/>
                <w:sz w:val="24"/>
                <w:lang w:bidi="zh-TW"/>
              </w:rPr>
            </w:pPr>
            <w:r>
              <w:rPr>
                <w:bCs/>
                <w:color w:val="auto"/>
                <w:sz w:val="24"/>
                <w:lang w:bidi="zh-TW"/>
              </w:rPr>
              <w:t>项目与《广元市生态环境准入总体要求》以及《广元市各县（区）生态环境准入总体要求》的符合性见下表。</w:t>
            </w:r>
          </w:p>
          <w:p>
            <w:pPr>
              <w:pStyle w:val="11"/>
              <w:keepNext/>
              <w:spacing w:before="0" w:after="0"/>
              <w:jc w:val="center"/>
              <w:rPr>
                <w:rFonts w:ascii="Times New Roman" w:hAnsi="Times New Roman" w:eastAsia="宋体"/>
                <w:b/>
                <w:bCs/>
                <w:sz w:val="24"/>
                <w:szCs w:val="24"/>
              </w:rPr>
            </w:pPr>
            <w:r>
              <w:rPr>
                <w:rFonts w:ascii="Times New Roman" w:hAnsi="Times New Roman" w:eastAsia="宋体"/>
                <w:b/>
                <w:bCs/>
                <w:sz w:val="24"/>
                <w:szCs w:val="24"/>
              </w:rPr>
              <w:t>表1-</w:t>
            </w:r>
            <w:r>
              <w:rPr>
                <w:rFonts w:hint="eastAsia" w:ascii="Times New Roman" w:hAnsi="Times New Roman" w:eastAsia="宋体"/>
                <w:b/>
                <w:bCs/>
                <w:sz w:val="24"/>
                <w:szCs w:val="24"/>
                <w:lang w:val="en-US" w:eastAsia="zh-CN"/>
              </w:rPr>
              <w:t>3</w:t>
            </w:r>
            <w:r>
              <w:rPr>
                <w:rFonts w:ascii="Times New Roman" w:hAnsi="Times New Roman" w:eastAsia="宋体"/>
                <w:b/>
                <w:bCs/>
                <w:sz w:val="24"/>
                <w:szCs w:val="24"/>
              </w:rPr>
              <w:t xml:space="preserve">  </w:t>
            </w:r>
            <w:r>
              <w:rPr>
                <w:rFonts w:hint="eastAsia" w:ascii="Times New Roman" w:hAnsi="Times New Roman" w:eastAsia="宋体"/>
                <w:b/>
                <w:bCs/>
                <w:sz w:val="24"/>
                <w:szCs w:val="24"/>
              </w:rPr>
              <w:t>广元</w:t>
            </w:r>
            <w:r>
              <w:rPr>
                <w:rFonts w:ascii="Times New Roman" w:hAnsi="Times New Roman" w:eastAsia="宋体"/>
                <w:b/>
                <w:bCs/>
                <w:sz w:val="24"/>
                <w:szCs w:val="24"/>
              </w:rPr>
              <w:t>市生态环境管控要求及本项目符合性分析</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1"/>
              <w:gridCol w:w="933"/>
              <w:gridCol w:w="3728"/>
              <w:gridCol w:w="24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noWrap w:val="0"/>
                  <w:vAlign w:val="center"/>
                </w:tcPr>
                <w:p>
                  <w:pPr>
                    <w:jc w:val="center"/>
                    <w:rPr>
                      <w:rFonts w:hint="default" w:ascii="Times New Roman" w:hAnsi="Times New Roman" w:eastAsia="新宋体" w:cs="Times New Roman"/>
                      <w:b/>
                      <w:bCs/>
                      <w:sz w:val="24"/>
                      <w:szCs w:val="24"/>
                    </w:rPr>
                  </w:pPr>
                  <w:r>
                    <w:rPr>
                      <w:rFonts w:hint="default" w:ascii="Times New Roman" w:hAnsi="Times New Roman" w:eastAsia="新宋体" w:cs="Times New Roman"/>
                      <w:b/>
                      <w:bCs/>
                      <w:sz w:val="24"/>
                      <w:szCs w:val="24"/>
                    </w:rPr>
                    <w:t>序号</w:t>
                  </w:r>
                </w:p>
              </w:tc>
              <w:tc>
                <w:tcPr>
                  <w:tcW w:w="933" w:type="dxa"/>
                  <w:noWrap w:val="0"/>
                  <w:vAlign w:val="center"/>
                </w:tcPr>
                <w:p>
                  <w:pPr>
                    <w:jc w:val="center"/>
                    <w:rPr>
                      <w:rFonts w:hint="default" w:ascii="Times New Roman" w:hAnsi="Times New Roman" w:eastAsia="新宋体" w:cs="Times New Roman"/>
                      <w:b/>
                      <w:bCs/>
                      <w:sz w:val="24"/>
                      <w:szCs w:val="24"/>
                    </w:rPr>
                  </w:pPr>
                  <w:r>
                    <w:rPr>
                      <w:rFonts w:hint="default" w:ascii="Times New Roman" w:hAnsi="Times New Roman" w:eastAsia="新宋体" w:cs="Times New Roman"/>
                      <w:b/>
                      <w:bCs/>
                      <w:sz w:val="24"/>
                      <w:szCs w:val="24"/>
                    </w:rPr>
                    <w:t>区域</w:t>
                  </w:r>
                </w:p>
              </w:tc>
              <w:tc>
                <w:tcPr>
                  <w:tcW w:w="3728" w:type="dxa"/>
                  <w:noWrap w:val="0"/>
                  <w:vAlign w:val="center"/>
                </w:tcPr>
                <w:p>
                  <w:pPr>
                    <w:jc w:val="center"/>
                    <w:rPr>
                      <w:rFonts w:hint="default" w:ascii="Times New Roman" w:hAnsi="Times New Roman" w:eastAsia="新宋体" w:cs="Times New Roman"/>
                      <w:b/>
                      <w:bCs/>
                      <w:sz w:val="24"/>
                      <w:szCs w:val="24"/>
                    </w:rPr>
                  </w:pPr>
                  <w:r>
                    <w:rPr>
                      <w:rFonts w:hint="default" w:ascii="Times New Roman" w:hAnsi="Times New Roman" w:eastAsia="新宋体" w:cs="Times New Roman"/>
                      <w:b/>
                      <w:bCs/>
                      <w:sz w:val="24"/>
                      <w:szCs w:val="24"/>
                    </w:rPr>
                    <w:t>管控要求</w:t>
                  </w:r>
                </w:p>
              </w:tc>
              <w:tc>
                <w:tcPr>
                  <w:tcW w:w="2488" w:type="dxa"/>
                  <w:noWrap w:val="0"/>
                  <w:vAlign w:val="center"/>
                </w:tcPr>
                <w:p>
                  <w:pPr>
                    <w:jc w:val="center"/>
                    <w:rPr>
                      <w:rFonts w:hint="default" w:ascii="Times New Roman" w:hAnsi="Times New Roman" w:eastAsia="新宋体" w:cs="Times New Roman"/>
                      <w:b/>
                      <w:bCs/>
                      <w:sz w:val="24"/>
                      <w:szCs w:val="24"/>
                    </w:rPr>
                  </w:pPr>
                  <w:r>
                    <w:rPr>
                      <w:rFonts w:hint="default" w:ascii="Times New Roman" w:hAnsi="Times New Roman" w:eastAsia="新宋体" w:cs="Times New Roman"/>
                      <w:b/>
                      <w:bCs/>
                      <w:sz w:val="24"/>
                      <w:szCs w:val="24"/>
                    </w:rPr>
                    <w:t>本项目符合性分析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noWrap w:val="0"/>
                  <w:vAlign w:val="center"/>
                </w:tcPr>
                <w:p>
                  <w:pPr>
                    <w:jc w:val="center"/>
                    <w:rPr>
                      <w:rFonts w:hint="default" w:ascii="Times New Roman" w:hAnsi="Times New Roman" w:eastAsia="新宋体" w:cs="Times New Roman"/>
                      <w:bCs/>
                      <w:sz w:val="24"/>
                      <w:szCs w:val="24"/>
                    </w:rPr>
                  </w:pPr>
                  <w:r>
                    <w:rPr>
                      <w:rFonts w:hint="default" w:ascii="Times New Roman" w:hAnsi="Times New Roman" w:eastAsia="新宋体" w:cs="Times New Roman"/>
                      <w:bCs/>
                      <w:sz w:val="24"/>
                      <w:szCs w:val="24"/>
                    </w:rPr>
                    <w:t>1</w:t>
                  </w:r>
                </w:p>
              </w:tc>
              <w:tc>
                <w:tcPr>
                  <w:tcW w:w="933" w:type="dxa"/>
                  <w:vMerge w:val="restart"/>
                  <w:noWrap w:val="0"/>
                  <w:vAlign w:val="center"/>
                </w:tcPr>
                <w:p>
                  <w:pPr>
                    <w:jc w:val="center"/>
                    <w:rPr>
                      <w:rFonts w:hint="default" w:ascii="Times New Roman" w:hAnsi="Times New Roman" w:eastAsia="新宋体" w:cs="Times New Roman"/>
                      <w:bCs/>
                      <w:sz w:val="24"/>
                      <w:szCs w:val="24"/>
                    </w:rPr>
                  </w:pPr>
                  <w:r>
                    <w:rPr>
                      <w:rFonts w:hint="default" w:ascii="Times New Roman" w:hAnsi="Times New Roman" w:eastAsia="新宋体" w:cs="Times New Roman"/>
                      <w:bCs/>
                      <w:sz w:val="24"/>
                      <w:szCs w:val="24"/>
                    </w:rPr>
                    <w:t>广元</w:t>
                  </w:r>
                </w:p>
                <w:p>
                  <w:pPr>
                    <w:jc w:val="center"/>
                    <w:rPr>
                      <w:rFonts w:hint="default" w:ascii="Times New Roman" w:hAnsi="Times New Roman" w:eastAsia="新宋体" w:cs="Times New Roman"/>
                      <w:bCs/>
                      <w:sz w:val="24"/>
                      <w:szCs w:val="24"/>
                    </w:rPr>
                  </w:pPr>
                  <w:r>
                    <w:rPr>
                      <w:rFonts w:hint="default" w:ascii="Times New Roman" w:hAnsi="Times New Roman" w:eastAsia="新宋体" w:cs="Times New Roman"/>
                      <w:bCs/>
                      <w:sz w:val="24"/>
                      <w:szCs w:val="24"/>
                    </w:rPr>
                    <w:t>市</w:t>
                  </w:r>
                </w:p>
              </w:tc>
              <w:tc>
                <w:tcPr>
                  <w:tcW w:w="3728" w:type="dxa"/>
                  <w:noWrap w:val="0"/>
                  <w:vAlign w:val="center"/>
                </w:tcPr>
                <w:p>
                  <w:pPr>
                    <w:jc w:val="center"/>
                    <w:rPr>
                      <w:rFonts w:hint="default" w:ascii="Times New Roman" w:hAnsi="Times New Roman" w:eastAsia="新宋体" w:cs="Times New Roman"/>
                      <w:bCs/>
                      <w:sz w:val="24"/>
                      <w:szCs w:val="24"/>
                    </w:rPr>
                  </w:pPr>
                  <w:r>
                    <w:rPr>
                      <w:rFonts w:hint="default" w:ascii="Times New Roman" w:hAnsi="Times New Roman" w:eastAsia="新宋体" w:cs="Times New Roman"/>
                      <w:bCs/>
                      <w:sz w:val="24"/>
                      <w:szCs w:val="24"/>
                    </w:rPr>
                    <w:t>长江干支流岸线一公里范围不得新建、扩建化工园区和化工项目。长江干流岸线三公里范围内和重要支流岸线一公里范围内不得新建、改建、扩建尾矿库；但是以提升安全、生态环境保护水平为目的的改建除外。</w:t>
                  </w:r>
                </w:p>
              </w:tc>
              <w:tc>
                <w:tcPr>
                  <w:tcW w:w="2488" w:type="dxa"/>
                  <w:noWrap w:val="0"/>
                  <w:vAlign w:val="center"/>
                </w:tcPr>
                <w:p>
                  <w:pPr>
                    <w:jc w:val="center"/>
                    <w:rPr>
                      <w:rFonts w:hint="default" w:ascii="Times New Roman" w:hAnsi="Times New Roman" w:eastAsia="新宋体" w:cs="Times New Roman"/>
                      <w:bCs/>
                      <w:sz w:val="24"/>
                      <w:szCs w:val="24"/>
                    </w:rPr>
                  </w:pPr>
                  <w:r>
                    <w:rPr>
                      <w:rFonts w:hint="default" w:ascii="Times New Roman" w:hAnsi="Times New Roman" w:eastAsia="新宋体" w:cs="Times New Roman"/>
                      <w:bCs/>
                      <w:sz w:val="24"/>
                      <w:szCs w:val="24"/>
                    </w:rPr>
                    <w:t>本项目不</w:t>
                  </w:r>
                  <w:r>
                    <w:rPr>
                      <w:rFonts w:hint="eastAsia" w:ascii="Times New Roman" w:hAnsi="Times New Roman" w:eastAsia="新宋体" w:cs="Times New Roman"/>
                      <w:bCs/>
                      <w:sz w:val="24"/>
                      <w:szCs w:val="24"/>
                      <w:lang w:eastAsia="zh-CN"/>
                    </w:rPr>
                    <w:t>属于</w:t>
                  </w:r>
                  <w:r>
                    <w:rPr>
                      <w:rFonts w:hint="default" w:ascii="Times New Roman" w:hAnsi="Times New Roman" w:eastAsia="新宋体" w:cs="Times New Roman"/>
                      <w:bCs/>
                      <w:sz w:val="24"/>
                      <w:szCs w:val="24"/>
                    </w:rPr>
                    <w:t>化工项目</w:t>
                  </w:r>
                  <w:r>
                    <w:rPr>
                      <w:rFonts w:hint="eastAsia" w:ascii="Times New Roman" w:hAnsi="Times New Roman" w:eastAsia="新宋体" w:cs="Times New Roman"/>
                      <w:bCs/>
                      <w:sz w:val="24"/>
                      <w:szCs w:val="24"/>
                      <w:lang w:eastAsia="zh-CN"/>
                    </w:rPr>
                    <w:t>、</w:t>
                  </w:r>
                  <w:r>
                    <w:rPr>
                      <w:rFonts w:hint="default" w:ascii="Times New Roman" w:hAnsi="Times New Roman" w:eastAsia="新宋体" w:cs="Times New Roman"/>
                      <w:bCs/>
                      <w:sz w:val="24"/>
                      <w:szCs w:val="24"/>
                    </w:rPr>
                    <w:t>尾矿库项目。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noWrap w:val="0"/>
                  <w:vAlign w:val="center"/>
                </w:tcPr>
                <w:p>
                  <w:pPr>
                    <w:jc w:val="center"/>
                    <w:rPr>
                      <w:rFonts w:hint="default" w:ascii="Times New Roman" w:hAnsi="Times New Roman" w:eastAsia="新宋体" w:cs="Times New Roman"/>
                      <w:bCs/>
                      <w:sz w:val="24"/>
                      <w:szCs w:val="24"/>
                    </w:rPr>
                  </w:pPr>
                  <w:r>
                    <w:rPr>
                      <w:rFonts w:hint="default" w:ascii="Times New Roman" w:hAnsi="Times New Roman" w:eastAsia="新宋体" w:cs="Times New Roman"/>
                      <w:bCs/>
                      <w:sz w:val="24"/>
                      <w:szCs w:val="24"/>
                    </w:rPr>
                    <w:t>2</w:t>
                  </w:r>
                </w:p>
              </w:tc>
              <w:tc>
                <w:tcPr>
                  <w:tcW w:w="933" w:type="dxa"/>
                  <w:vMerge w:val="continue"/>
                  <w:noWrap w:val="0"/>
                  <w:vAlign w:val="center"/>
                </w:tcPr>
                <w:p>
                  <w:pPr>
                    <w:jc w:val="center"/>
                    <w:rPr>
                      <w:rFonts w:hint="default" w:ascii="Times New Roman" w:hAnsi="Times New Roman" w:eastAsia="新宋体" w:cs="Times New Roman"/>
                      <w:bCs/>
                      <w:sz w:val="24"/>
                      <w:szCs w:val="24"/>
                    </w:rPr>
                  </w:pPr>
                </w:p>
              </w:tc>
              <w:tc>
                <w:tcPr>
                  <w:tcW w:w="3728" w:type="dxa"/>
                  <w:noWrap w:val="0"/>
                  <w:vAlign w:val="center"/>
                </w:tcPr>
                <w:p>
                  <w:pPr>
                    <w:jc w:val="center"/>
                    <w:rPr>
                      <w:rFonts w:hint="default" w:ascii="Times New Roman" w:hAnsi="Times New Roman" w:eastAsia="新宋体" w:cs="Times New Roman"/>
                      <w:bCs/>
                      <w:sz w:val="24"/>
                      <w:szCs w:val="24"/>
                    </w:rPr>
                  </w:pPr>
                  <w:r>
                    <w:rPr>
                      <w:rFonts w:hint="default" w:ascii="Times New Roman" w:hAnsi="Times New Roman" w:eastAsia="新宋体" w:cs="Times New Roman"/>
                      <w:bCs/>
                      <w:sz w:val="24"/>
                      <w:szCs w:val="24"/>
                    </w:rPr>
                    <w:t>落实《长江流域重点水域禁捕和建立补偿制度实施方案》，长江流域重点水域实施常年禁捕。</w:t>
                  </w:r>
                </w:p>
              </w:tc>
              <w:tc>
                <w:tcPr>
                  <w:tcW w:w="2488" w:type="dxa"/>
                  <w:noWrap w:val="0"/>
                  <w:vAlign w:val="center"/>
                </w:tcPr>
                <w:p>
                  <w:pPr>
                    <w:jc w:val="center"/>
                    <w:rPr>
                      <w:rFonts w:hint="default" w:ascii="Times New Roman" w:hAnsi="Times New Roman" w:eastAsia="新宋体" w:cs="Times New Roman"/>
                      <w:bCs/>
                      <w:sz w:val="24"/>
                      <w:szCs w:val="24"/>
                    </w:rPr>
                  </w:pPr>
                  <w:r>
                    <w:rPr>
                      <w:rFonts w:hint="eastAsia" w:ascii="Times New Roman" w:hAnsi="Times New Roman" w:eastAsia="新宋体" w:cs="Times New Roman"/>
                      <w:bCs/>
                      <w:sz w:val="24"/>
                      <w:szCs w:val="24"/>
                      <w:lang w:eastAsia="zh-CN"/>
                    </w:rPr>
                    <w:t>本项目</w:t>
                  </w:r>
                  <w:r>
                    <w:rPr>
                      <w:rFonts w:hint="default" w:ascii="Times New Roman" w:hAnsi="Times New Roman" w:eastAsia="新宋体" w:cs="Times New Roman"/>
                      <w:bCs/>
                      <w:sz w:val="24"/>
                      <w:szCs w:val="24"/>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noWrap w:val="0"/>
                  <w:vAlign w:val="center"/>
                </w:tcPr>
                <w:p>
                  <w:pPr>
                    <w:jc w:val="center"/>
                    <w:rPr>
                      <w:rFonts w:hint="default" w:ascii="Times New Roman" w:hAnsi="Times New Roman" w:eastAsia="新宋体" w:cs="Times New Roman"/>
                      <w:bCs/>
                      <w:sz w:val="24"/>
                      <w:szCs w:val="24"/>
                    </w:rPr>
                  </w:pPr>
                  <w:r>
                    <w:rPr>
                      <w:rFonts w:hint="default" w:ascii="Times New Roman" w:hAnsi="Times New Roman" w:eastAsia="新宋体" w:cs="Times New Roman"/>
                      <w:bCs/>
                      <w:sz w:val="24"/>
                      <w:szCs w:val="24"/>
                    </w:rPr>
                    <w:t>3</w:t>
                  </w:r>
                </w:p>
              </w:tc>
              <w:tc>
                <w:tcPr>
                  <w:tcW w:w="933" w:type="dxa"/>
                  <w:vMerge w:val="continue"/>
                  <w:noWrap w:val="0"/>
                  <w:vAlign w:val="center"/>
                </w:tcPr>
                <w:p>
                  <w:pPr>
                    <w:jc w:val="center"/>
                    <w:rPr>
                      <w:rFonts w:hint="default" w:ascii="Times New Roman" w:hAnsi="Times New Roman" w:eastAsia="新宋体" w:cs="Times New Roman"/>
                      <w:bCs/>
                      <w:sz w:val="24"/>
                      <w:szCs w:val="24"/>
                    </w:rPr>
                  </w:pPr>
                </w:p>
              </w:tc>
              <w:tc>
                <w:tcPr>
                  <w:tcW w:w="3728" w:type="dxa"/>
                  <w:noWrap w:val="0"/>
                  <w:vAlign w:val="center"/>
                </w:tcPr>
                <w:p>
                  <w:pPr>
                    <w:jc w:val="center"/>
                    <w:rPr>
                      <w:rFonts w:hint="default" w:ascii="Times New Roman" w:hAnsi="Times New Roman" w:eastAsia="新宋体" w:cs="Times New Roman"/>
                      <w:bCs/>
                      <w:sz w:val="24"/>
                      <w:szCs w:val="24"/>
                    </w:rPr>
                  </w:pPr>
                  <w:r>
                    <w:rPr>
                      <w:rFonts w:hint="default" w:ascii="Times New Roman" w:hAnsi="Times New Roman" w:eastAsia="新宋体" w:cs="Times New Roman"/>
                      <w:bCs/>
                      <w:sz w:val="24"/>
                      <w:szCs w:val="24"/>
                    </w:rPr>
                    <w:t>结合地区资源环境禀赋，合理布局承接产业，加强环保基础设施建设，确保环境质量不降低。承接钢铁、电解铝等产业转移地区应严格落实生态环境分区管控要求，将环境质量底线作为硬约束。</w:t>
                  </w:r>
                </w:p>
              </w:tc>
              <w:tc>
                <w:tcPr>
                  <w:tcW w:w="2488" w:type="dxa"/>
                  <w:noWrap w:val="0"/>
                  <w:vAlign w:val="center"/>
                </w:tcPr>
                <w:p>
                  <w:pPr>
                    <w:jc w:val="center"/>
                    <w:rPr>
                      <w:rFonts w:hint="default" w:ascii="Times New Roman" w:hAnsi="Times New Roman" w:eastAsia="新宋体" w:cs="Times New Roman"/>
                      <w:bCs/>
                      <w:sz w:val="24"/>
                      <w:szCs w:val="24"/>
                    </w:rPr>
                  </w:pPr>
                  <w:r>
                    <w:rPr>
                      <w:rFonts w:hint="default" w:ascii="Times New Roman" w:hAnsi="Times New Roman" w:eastAsia="新宋体" w:cs="Times New Roman"/>
                      <w:bCs/>
                      <w:sz w:val="24"/>
                      <w:szCs w:val="24"/>
                    </w:rPr>
                    <w:t>本项目为</w:t>
                  </w:r>
                  <w:r>
                    <w:rPr>
                      <w:rFonts w:hint="eastAsia" w:ascii="Times New Roman" w:hAnsi="Times New Roman" w:eastAsia="新宋体" w:cs="Times New Roman"/>
                      <w:bCs/>
                      <w:sz w:val="24"/>
                      <w:szCs w:val="24"/>
                      <w:lang w:eastAsia="zh-CN"/>
                    </w:rPr>
                    <w:t>生态类项目</w:t>
                  </w:r>
                  <w:r>
                    <w:rPr>
                      <w:rFonts w:hint="default" w:ascii="Times New Roman" w:hAnsi="Times New Roman" w:eastAsia="新宋体" w:cs="Times New Roman"/>
                      <w:bCs/>
                      <w:sz w:val="24"/>
                      <w:szCs w:val="24"/>
                    </w:rPr>
                    <w:t>，</w:t>
                  </w:r>
                  <w:r>
                    <w:rPr>
                      <w:rFonts w:hint="eastAsia" w:ascii="Times New Roman" w:hAnsi="Times New Roman" w:eastAsia="新宋体" w:cs="Times New Roman"/>
                      <w:bCs/>
                      <w:sz w:val="24"/>
                      <w:szCs w:val="24"/>
                      <w:lang w:eastAsia="zh-CN"/>
                    </w:rPr>
                    <w:t>不会降低环境质量。</w:t>
                  </w:r>
                  <w:r>
                    <w:rPr>
                      <w:rFonts w:hint="default" w:ascii="Times New Roman" w:hAnsi="Times New Roman" w:eastAsia="新宋体" w:cs="Times New Roman"/>
                      <w:bCs/>
                      <w:sz w:val="24"/>
                      <w:szCs w:val="24"/>
                    </w:rPr>
                    <w:t>不承接钢铁、电解铝等产业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noWrap w:val="0"/>
                  <w:vAlign w:val="center"/>
                </w:tcPr>
                <w:p>
                  <w:pPr>
                    <w:jc w:val="center"/>
                    <w:rPr>
                      <w:rFonts w:hint="eastAsia" w:ascii="Times New Roman" w:hAnsi="Times New Roman" w:eastAsia="新宋体" w:cs="Times New Roman"/>
                      <w:bCs/>
                      <w:sz w:val="24"/>
                      <w:szCs w:val="24"/>
                      <w:lang w:val="en-US" w:eastAsia="zh-CN"/>
                    </w:rPr>
                  </w:pPr>
                  <w:r>
                    <w:rPr>
                      <w:rFonts w:hint="eastAsia" w:ascii="Times New Roman" w:hAnsi="Times New Roman" w:eastAsia="新宋体" w:cs="Times New Roman"/>
                      <w:bCs/>
                      <w:sz w:val="24"/>
                      <w:szCs w:val="24"/>
                      <w:lang w:val="en-US" w:eastAsia="zh-CN"/>
                    </w:rPr>
                    <w:t>4</w:t>
                  </w:r>
                </w:p>
              </w:tc>
              <w:tc>
                <w:tcPr>
                  <w:tcW w:w="933" w:type="dxa"/>
                  <w:vMerge w:val="continue"/>
                  <w:noWrap w:val="0"/>
                  <w:vAlign w:val="center"/>
                </w:tcPr>
                <w:p>
                  <w:pPr>
                    <w:jc w:val="center"/>
                    <w:rPr>
                      <w:rFonts w:hint="default" w:ascii="Times New Roman" w:hAnsi="Times New Roman" w:eastAsia="新宋体" w:cs="Times New Roman"/>
                      <w:bCs/>
                      <w:sz w:val="24"/>
                      <w:szCs w:val="24"/>
                    </w:rPr>
                  </w:pPr>
                </w:p>
              </w:tc>
              <w:tc>
                <w:tcPr>
                  <w:tcW w:w="3728" w:type="dxa"/>
                  <w:noWrap w:val="0"/>
                  <w:vAlign w:val="center"/>
                </w:tcPr>
                <w:p>
                  <w:pPr>
                    <w:jc w:val="center"/>
                    <w:rPr>
                      <w:rFonts w:hint="default" w:ascii="Times New Roman" w:hAnsi="Times New Roman" w:eastAsia="新宋体" w:cs="Times New Roman"/>
                      <w:bCs/>
                      <w:sz w:val="24"/>
                      <w:szCs w:val="24"/>
                    </w:rPr>
                  </w:pPr>
                  <w:r>
                    <w:rPr>
                      <w:rFonts w:hint="eastAsia" w:ascii="Times New Roman" w:hAnsi="Times New Roman" w:eastAsia="新宋体" w:cs="Times New Roman"/>
                      <w:bCs/>
                      <w:sz w:val="24"/>
                      <w:szCs w:val="24"/>
                    </w:rPr>
                    <w:t>加强与嘉陵江上游甘肃陇南市、陕西汉中市环境风险联防联控。</w:t>
                  </w:r>
                </w:p>
              </w:tc>
              <w:tc>
                <w:tcPr>
                  <w:tcW w:w="2488" w:type="dxa"/>
                  <w:noWrap w:val="0"/>
                  <w:vAlign w:val="center"/>
                </w:tcPr>
                <w:p>
                  <w:pPr>
                    <w:jc w:val="center"/>
                    <w:rPr>
                      <w:rFonts w:hint="default" w:ascii="Times New Roman" w:hAnsi="Times New Roman" w:eastAsia="新宋体" w:cs="Times New Roman"/>
                      <w:bCs/>
                      <w:sz w:val="24"/>
                      <w:szCs w:val="24"/>
                    </w:rPr>
                  </w:pPr>
                  <w:r>
                    <w:rPr>
                      <w:rFonts w:hint="eastAsia" w:ascii="Times New Roman" w:hAnsi="Times New Roman" w:eastAsia="新宋体" w:cs="Times New Roman"/>
                      <w:bCs/>
                      <w:sz w:val="24"/>
                      <w:szCs w:val="24"/>
                      <w:lang w:eastAsia="zh-CN"/>
                    </w:rPr>
                    <w:t>本项目</w:t>
                  </w:r>
                  <w:r>
                    <w:rPr>
                      <w:rFonts w:hint="default" w:ascii="Times New Roman" w:hAnsi="Times New Roman" w:eastAsia="新宋体" w:cs="Times New Roman"/>
                      <w:bCs/>
                      <w:sz w:val="24"/>
                      <w:szCs w:val="24"/>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noWrap w:val="0"/>
                  <w:vAlign w:val="center"/>
                </w:tcPr>
                <w:p>
                  <w:pPr>
                    <w:jc w:val="center"/>
                    <w:rPr>
                      <w:rFonts w:hint="eastAsia" w:ascii="Times New Roman" w:hAnsi="Times New Roman" w:eastAsia="新宋体" w:cs="Times New Roman"/>
                      <w:bCs/>
                      <w:sz w:val="24"/>
                      <w:szCs w:val="24"/>
                      <w:lang w:val="en-US" w:eastAsia="zh-CN"/>
                    </w:rPr>
                  </w:pPr>
                  <w:r>
                    <w:rPr>
                      <w:rFonts w:hint="eastAsia" w:ascii="Times New Roman" w:hAnsi="Times New Roman" w:eastAsia="新宋体" w:cs="Times New Roman"/>
                      <w:bCs/>
                      <w:sz w:val="24"/>
                      <w:szCs w:val="24"/>
                      <w:lang w:val="en-US" w:eastAsia="zh-CN"/>
                    </w:rPr>
                    <w:t>5</w:t>
                  </w:r>
                </w:p>
              </w:tc>
              <w:tc>
                <w:tcPr>
                  <w:tcW w:w="933" w:type="dxa"/>
                  <w:vMerge w:val="continue"/>
                  <w:noWrap w:val="0"/>
                  <w:vAlign w:val="center"/>
                </w:tcPr>
                <w:p>
                  <w:pPr>
                    <w:jc w:val="center"/>
                    <w:rPr>
                      <w:rFonts w:hint="default" w:ascii="Times New Roman" w:hAnsi="Times New Roman" w:eastAsia="新宋体" w:cs="Times New Roman"/>
                      <w:bCs/>
                      <w:sz w:val="24"/>
                      <w:szCs w:val="24"/>
                    </w:rPr>
                  </w:pPr>
                </w:p>
              </w:tc>
              <w:tc>
                <w:tcPr>
                  <w:tcW w:w="3728" w:type="dxa"/>
                  <w:noWrap w:val="0"/>
                  <w:vAlign w:val="center"/>
                </w:tcPr>
                <w:p>
                  <w:pPr>
                    <w:jc w:val="center"/>
                    <w:rPr>
                      <w:rFonts w:hint="default" w:ascii="Times New Roman" w:hAnsi="Times New Roman" w:eastAsia="新宋体" w:cs="Times New Roman"/>
                      <w:bCs/>
                      <w:sz w:val="24"/>
                      <w:szCs w:val="24"/>
                    </w:rPr>
                  </w:pPr>
                  <w:r>
                    <w:rPr>
                      <w:rFonts w:hint="eastAsia" w:ascii="Times New Roman" w:hAnsi="Times New Roman" w:eastAsia="新宋体" w:cs="Times New Roman"/>
                      <w:bCs/>
                      <w:sz w:val="24"/>
                      <w:szCs w:val="24"/>
                    </w:rPr>
                    <w:t>大熊猫国家公园严格按照《大熊猫国家公园总体规划（试行）》要求进行保护、管理。</w:t>
                  </w:r>
                </w:p>
              </w:tc>
              <w:tc>
                <w:tcPr>
                  <w:tcW w:w="2488" w:type="dxa"/>
                  <w:noWrap w:val="0"/>
                  <w:vAlign w:val="center"/>
                </w:tcPr>
                <w:p>
                  <w:pPr>
                    <w:jc w:val="center"/>
                    <w:rPr>
                      <w:rFonts w:hint="default" w:ascii="Times New Roman" w:hAnsi="Times New Roman" w:eastAsia="新宋体" w:cs="Times New Roman"/>
                      <w:bCs/>
                      <w:sz w:val="24"/>
                      <w:szCs w:val="24"/>
                    </w:rPr>
                  </w:pPr>
                  <w:r>
                    <w:rPr>
                      <w:rFonts w:hint="eastAsia" w:ascii="Times New Roman" w:hAnsi="Times New Roman" w:eastAsia="新宋体" w:cs="Times New Roman"/>
                      <w:bCs/>
                      <w:sz w:val="24"/>
                      <w:szCs w:val="24"/>
                      <w:lang w:eastAsia="zh-CN"/>
                    </w:rPr>
                    <w:t>本项目</w:t>
                  </w:r>
                  <w:r>
                    <w:rPr>
                      <w:rFonts w:hint="default" w:ascii="Times New Roman" w:hAnsi="Times New Roman" w:eastAsia="新宋体" w:cs="Times New Roman"/>
                      <w:bCs/>
                      <w:sz w:val="24"/>
                      <w:szCs w:val="24"/>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noWrap w:val="0"/>
                  <w:vAlign w:val="center"/>
                </w:tcPr>
                <w:p>
                  <w:pPr>
                    <w:jc w:val="center"/>
                    <w:rPr>
                      <w:rFonts w:hint="default" w:ascii="Times New Roman" w:hAnsi="Times New Roman" w:eastAsia="新宋体" w:cs="Times New Roman"/>
                      <w:bCs/>
                      <w:sz w:val="24"/>
                      <w:szCs w:val="24"/>
                      <w:lang w:val="en-US" w:eastAsia="zh-CN"/>
                    </w:rPr>
                  </w:pPr>
                  <w:r>
                    <w:rPr>
                      <w:rFonts w:hint="eastAsia" w:ascii="Times New Roman" w:hAnsi="Times New Roman" w:eastAsia="新宋体" w:cs="Times New Roman"/>
                      <w:bCs/>
                      <w:sz w:val="24"/>
                      <w:szCs w:val="24"/>
                      <w:lang w:val="en-US" w:eastAsia="zh-CN"/>
                    </w:rPr>
                    <w:t>6</w:t>
                  </w:r>
                </w:p>
              </w:tc>
              <w:tc>
                <w:tcPr>
                  <w:tcW w:w="933" w:type="dxa"/>
                  <w:vMerge w:val="restart"/>
                  <w:noWrap w:val="0"/>
                  <w:vAlign w:val="center"/>
                </w:tcPr>
                <w:p>
                  <w:pPr>
                    <w:jc w:val="center"/>
                    <w:rPr>
                      <w:rFonts w:hint="eastAsia" w:ascii="Times New Roman" w:hAnsi="Times New Roman" w:eastAsia="新宋体" w:cs="Times New Roman"/>
                      <w:bCs/>
                      <w:sz w:val="24"/>
                      <w:szCs w:val="24"/>
                      <w:lang w:val="en-US" w:eastAsia="zh-CN"/>
                    </w:rPr>
                  </w:pPr>
                  <w:r>
                    <w:rPr>
                      <w:rFonts w:hint="eastAsia" w:ascii="Times New Roman" w:hAnsi="Times New Roman" w:eastAsia="新宋体" w:cs="Times New Roman"/>
                      <w:bCs/>
                      <w:sz w:val="24"/>
                      <w:szCs w:val="24"/>
                      <w:lang w:val="en-US" w:eastAsia="zh-CN"/>
                    </w:rPr>
                    <w:t>昭化区</w:t>
                  </w:r>
                </w:p>
              </w:tc>
              <w:tc>
                <w:tcPr>
                  <w:tcW w:w="3728" w:type="dxa"/>
                  <w:noWrap w:val="0"/>
                  <w:vAlign w:val="center"/>
                </w:tcPr>
                <w:p>
                  <w:pPr>
                    <w:jc w:val="center"/>
                    <w:rPr>
                      <w:rFonts w:hint="eastAsia" w:ascii="Times New Roman" w:hAnsi="Times New Roman" w:eastAsia="新宋体" w:cs="Times New Roman"/>
                      <w:bCs/>
                      <w:sz w:val="24"/>
                      <w:szCs w:val="24"/>
                    </w:rPr>
                  </w:pPr>
                  <w:r>
                    <w:rPr>
                      <w:rFonts w:hint="eastAsia" w:ascii="Times New Roman" w:hAnsi="Times New Roman" w:eastAsia="新宋体" w:cs="Times New Roman"/>
                      <w:bCs/>
                      <w:sz w:val="24"/>
                      <w:szCs w:val="24"/>
                    </w:rPr>
                    <w:t xml:space="preserve">加强港口码头和船舶污染防治。提升城乡污水收集处理能力，因地制宜推进城镇生活污水处理设施提标改造工作，加快推进《广元市城镇污水处理设施建设三年推进实施方案（2021-2023年）》。 </w:t>
                  </w:r>
                </w:p>
              </w:tc>
              <w:tc>
                <w:tcPr>
                  <w:tcW w:w="2488" w:type="dxa"/>
                  <w:noWrap w:val="0"/>
                  <w:vAlign w:val="center"/>
                </w:tcPr>
                <w:p>
                  <w:pPr>
                    <w:jc w:val="center"/>
                    <w:rPr>
                      <w:rFonts w:hint="eastAsia" w:ascii="Times New Roman" w:hAnsi="Times New Roman" w:eastAsia="新宋体" w:cs="Times New Roman"/>
                      <w:bCs/>
                      <w:sz w:val="24"/>
                      <w:szCs w:val="24"/>
                      <w:lang w:eastAsia="zh-CN"/>
                    </w:rPr>
                  </w:pPr>
                  <w:r>
                    <w:rPr>
                      <w:rFonts w:hint="eastAsia" w:ascii="Times New Roman" w:hAnsi="Times New Roman" w:eastAsia="新宋体" w:cs="Times New Roman"/>
                      <w:bCs/>
                      <w:sz w:val="24"/>
                      <w:szCs w:val="24"/>
                      <w:lang w:eastAsia="zh-CN"/>
                    </w:rPr>
                    <w:t>本项目</w:t>
                  </w:r>
                  <w:r>
                    <w:rPr>
                      <w:rFonts w:hint="default" w:ascii="Times New Roman" w:hAnsi="Times New Roman" w:eastAsia="新宋体" w:cs="Times New Roman"/>
                      <w:bCs/>
                      <w:sz w:val="24"/>
                      <w:szCs w:val="24"/>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noWrap w:val="0"/>
                  <w:vAlign w:val="center"/>
                </w:tcPr>
                <w:p>
                  <w:pPr>
                    <w:jc w:val="center"/>
                    <w:rPr>
                      <w:rFonts w:hint="default" w:ascii="Times New Roman" w:hAnsi="Times New Roman" w:eastAsia="新宋体" w:cs="Times New Roman"/>
                      <w:bCs/>
                      <w:sz w:val="24"/>
                      <w:szCs w:val="24"/>
                      <w:lang w:val="en-US" w:eastAsia="zh-CN"/>
                    </w:rPr>
                  </w:pPr>
                  <w:r>
                    <w:rPr>
                      <w:rFonts w:hint="eastAsia" w:ascii="Times New Roman" w:hAnsi="Times New Roman" w:eastAsia="新宋体" w:cs="Times New Roman"/>
                      <w:bCs/>
                      <w:sz w:val="24"/>
                      <w:szCs w:val="24"/>
                      <w:lang w:val="en-US" w:eastAsia="zh-CN"/>
                    </w:rPr>
                    <w:t>7</w:t>
                  </w:r>
                </w:p>
              </w:tc>
              <w:tc>
                <w:tcPr>
                  <w:tcW w:w="933" w:type="dxa"/>
                  <w:vMerge w:val="continue"/>
                  <w:noWrap w:val="0"/>
                  <w:vAlign w:val="center"/>
                </w:tcPr>
                <w:p>
                  <w:pPr>
                    <w:jc w:val="center"/>
                    <w:rPr>
                      <w:rFonts w:hint="default" w:ascii="Times New Roman" w:hAnsi="Times New Roman" w:eastAsia="新宋体" w:cs="Times New Roman"/>
                      <w:bCs/>
                      <w:sz w:val="24"/>
                      <w:szCs w:val="24"/>
                    </w:rPr>
                  </w:pPr>
                </w:p>
              </w:tc>
              <w:tc>
                <w:tcPr>
                  <w:tcW w:w="3728" w:type="dxa"/>
                  <w:noWrap w:val="0"/>
                  <w:vAlign w:val="center"/>
                </w:tcPr>
                <w:p>
                  <w:pPr>
                    <w:jc w:val="center"/>
                    <w:rPr>
                      <w:rFonts w:hint="eastAsia" w:ascii="Times New Roman" w:hAnsi="Times New Roman" w:eastAsia="新宋体" w:cs="Times New Roman"/>
                      <w:bCs/>
                      <w:sz w:val="24"/>
                      <w:szCs w:val="24"/>
                    </w:rPr>
                  </w:pPr>
                  <w:r>
                    <w:rPr>
                      <w:rFonts w:hint="eastAsia" w:ascii="Times New Roman" w:hAnsi="Times New Roman" w:eastAsia="新宋体" w:cs="Times New Roman"/>
                      <w:bCs/>
                      <w:sz w:val="24"/>
                      <w:szCs w:val="24"/>
                    </w:rPr>
                    <w:t>强化机械电子、新型建材等重点行业挥发性有机物治理，推广使用低（无）VOCs含量的原辅材料和生产工艺、设备。推动原油成品油码头、运输船舶等进行油气回收治理改造。</w:t>
                  </w:r>
                </w:p>
              </w:tc>
              <w:tc>
                <w:tcPr>
                  <w:tcW w:w="2488" w:type="dxa"/>
                  <w:noWrap w:val="0"/>
                  <w:vAlign w:val="center"/>
                </w:tcPr>
                <w:p>
                  <w:pPr>
                    <w:jc w:val="center"/>
                    <w:rPr>
                      <w:rFonts w:hint="eastAsia" w:ascii="Times New Roman" w:hAnsi="Times New Roman" w:eastAsia="新宋体" w:cs="Times New Roman"/>
                      <w:bCs/>
                      <w:sz w:val="24"/>
                      <w:szCs w:val="24"/>
                      <w:lang w:eastAsia="zh-CN"/>
                    </w:rPr>
                  </w:pPr>
                  <w:r>
                    <w:rPr>
                      <w:rFonts w:hint="eastAsia" w:ascii="Times New Roman" w:hAnsi="Times New Roman" w:eastAsia="新宋体" w:cs="Times New Roman"/>
                      <w:bCs/>
                      <w:sz w:val="24"/>
                      <w:szCs w:val="24"/>
                      <w:lang w:eastAsia="zh-CN"/>
                    </w:rPr>
                    <w:t>本项目</w:t>
                  </w:r>
                  <w:r>
                    <w:rPr>
                      <w:rFonts w:hint="default" w:ascii="Times New Roman" w:hAnsi="Times New Roman" w:eastAsia="新宋体" w:cs="Times New Roman"/>
                      <w:bCs/>
                      <w:sz w:val="24"/>
                      <w:szCs w:val="24"/>
                    </w:rPr>
                    <w:t>不涉及。</w:t>
                  </w:r>
                </w:p>
              </w:tc>
            </w:tr>
          </w:tbl>
          <w:p>
            <w:pPr>
              <w:autoSpaceDE w:val="0"/>
              <w:autoSpaceDN w:val="0"/>
              <w:spacing w:line="360" w:lineRule="auto"/>
              <w:ind w:firstLine="480" w:firstLineChars="200"/>
              <w:contextualSpacing/>
              <w:rPr>
                <w:rFonts w:hAnsi="宋体"/>
                <w:b w:val="0"/>
                <w:bCs/>
                <w:color w:val="000000"/>
                <w:spacing w:val="-2"/>
                <w:sz w:val="24"/>
                <w:szCs w:val="24"/>
              </w:rPr>
            </w:pPr>
            <w:r>
              <w:rPr>
                <w:b w:val="0"/>
                <w:bCs/>
                <w:sz w:val="24"/>
                <w:szCs w:val="24"/>
              </w:rPr>
              <w:t>本项目位于</w:t>
            </w:r>
            <w:r>
              <w:rPr>
                <w:rFonts w:hint="eastAsia"/>
                <w:b w:val="0"/>
                <w:bCs/>
                <w:sz w:val="24"/>
                <w:szCs w:val="24"/>
              </w:rPr>
              <w:t>广元市</w:t>
            </w:r>
            <w:r>
              <w:rPr>
                <w:rFonts w:hint="eastAsia"/>
                <w:b w:val="0"/>
                <w:bCs/>
                <w:sz w:val="24"/>
                <w:szCs w:val="24"/>
                <w:lang w:eastAsia="zh-CN"/>
              </w:rPr>
              <w:t>昭化区</w:t>
            </w:r>
            <w:r>
              <w:rPr>
                <w:rFonts w:hint="eastAsia"/>
                <w:b w:val="0"/>
                <w:bCs/>
                <w:sz w:val="24"/>
                <w:szCs w:val="24"/>
              </w:rPr>
              <w:t>，</w:t>
            </w:r>
            <w:r>
              <w:rPr>
                <w:b w:val="0"/>
                <w:bCs/>
                <w:sz w:val="24"/>
                <w:szCs w:val="24"/>
              </w:rPr>
              <w:t>不涉及生态保护红线，不涉及环境准入负面清单，不触及资源利用上线，项目建设满足环境质量底线要求。</w:t>
            </w:r>
          </w:p>
          <w:p>
            <w:pPr>
              <w:pStyle w:val="2"/>
              <w:spacing w:line="360" w:lineRule="auto"/>
              <w:rPr>
                <w:rFonts w:hint="default" w:ascii="Times New Roman" w:hAnsi="Times New Roman" w:eastAsia="宋体" w:cs="Times New Roman"/>
                <w:b/>
                <w:bCs/>
                <w:color w:val="000000"/>
                <w:kern w:val="0"/>
                <w:sz w:val="24"/>
                <w:szCs w:val="24"/>
                <w:lang w:val="en-US" w:eastAsia="zh-CN" w:bidi="ar"/>
              </w:rPr>
            </w:pPr>
            <w:r>
              <w:rPr>
                <w:rFonts w:hAnsi="宋体"/>
                <w:b/>
                <w:bCs/>
                <w:color w:val="000000"/>
                <w:spacing w:val="-2"/>
                <w:sz w:val="24"/>
                <w:szCs w:val="24"/>
              </w:rPr>
              <w:t>综上所述，项目符合</w:t>
            </w:r>
            <w:r>
              <w:rPr>
                <w:rFonts w:hint="eastAsia" w:hAnsi="宋体"/>
                <w:b/>
                <w:bCs/>
                <w:color w:val="000000"/>
                <w:spacing w:val="-2"/>
                <w:sz w:val="24"/>
                <w:szCs w:val="24"/>
                <w:lang w:eastAsia="zh-CN"/>
              </w:rPr>
              <w:t>（</w:t>
            </w:r>
            <w:r>
              <w:rPr>
                <w:rFonts w:hAnsi="宋体"/>
                <w:b/>
                <w:bCs/>
                <w:color w:val="000000"/>
                <w:sz w:val="24"/>
                <w:szCs w:val="24"/>
              </w:rPr>
              <w:t>广府发〔</w:t>
            </w:r>
            <w:r>
              <w:rPr>
                <w:b/>
                <w:bCs/>
                <w:color w:val="000000"/>
                <w:sz w:val="24"/>
                <w:szCs w:val="24"/>
              </w:rPr>
              <w:t>2021</w:t>
            </w:r>
            <w:r>
              <w:rPr>
                <w:rFonts w:hAnsi="宋体"/>
                <w:b/>
                <w:bCs/>
                <w:color w:val="000000"/>
                <w:sz w:val="24"/>
                <w:szCs w:val="24"/>
              </w:rPr>
              <w:t>〕</w:t>
            </w:r>
            <w:r>
              <w:rPr>
                <w:b/>
                <w:bCs/>
                <w:color w:val="000000"/>
                <w:sz w:val="24"/>
                <w:szCs w:val="24"/>
              </w:rPr>
              <w:t>4</w:t>
            </w:r>
            <w:r>
              <w:rPr>
                <w:rFonts w:hAnsi="宋体"/>
                <w:b/>
                <w:bCs/>
                <w:color w:val="000000"/>
                <w:sz w:val="24"/>
                <w:szCs w:val="24"/>
              </w:rPr>
              <w:t>号</w:t>
            </w:r>
            <w:r>
              <w:rPr>
                <w:rFonts w:hint="eastAsia" w:hAnsi="宋体"/>
                <w:b/>
                <w:bCs/>
                <w:color w:val="000000"/>
                <w:spacing w:val="-2"/>
                <w:sz w:val="24"/>
                <w:szCs w:val="24"/>
                <w:lang w:eastAsia="zh-CN"/>
              </w:rPr>
              <w:t>）相关</w:t>
            </w:r>
            <w:r>
              <w:rPr>
                <w:rFonts w:hAnsi="宋体"/>
                <w:b/>
                <w:bCs/>
                <w:color w:val="000000"/>
                <w:kern w:val="0"/>
                <w:sz w:val="24"/>
                <w:szCs w:val="24"/>
                <w:lang w:eastAsia="zh-Hans"/>
              </w:rPr>
              <w:t>要求</w:t>
            </w:r>
            <w:r>
              <w:rPr>
                <w:rFonts w:hint="eastAsia" w:hAnsi="宋体"/>
                <w:b/>
                <w:bCs/>
                <w:color w:val="000000"/>
                <w:spacing w:val="-2"/>
                <w:sz w:val="24"/>
                <w:szCs w:val="24"/>
                <w:lang w:eastAsia="zh-CN"/>
              </w:rPr>
              <w:t>，</w:t>
            </w:r>
            <w:r>
              <w:rPr>
                <w:rFonts w:ascii="宋体" w:hAnsi="宋体"/>
                <w:b/>
                <w:bCs/>
                <w:sz w:val="24"/>
                <w:szCs w:val="24"/>
              </w:rPr>
              <w:t>符合《四川省广元市“三线一单”》中提出的要求。</w:t>
            </w:r>
          </w:p>
          <w:p>
            <w:pPr>
              <w:keepNext w:val="0"/>
              <w:keepLines w:val="0"/>
              <w:widowControl/>
              <w:suppressLineNumbers w:val="0"/>
              <w:spacing w:line="360" w:lineRule="auto"/>
              <w:jc w:val="left"/>
            </w:pPr>
            <w:r>
              <w:rPr>
                <w:rFonts w:hint="eastAsia" w:ascii="宋体" w:hAnsi="宋体" w:cs="宋体"/>
                <w:b/>
                <w:bCs/>
                <w:color w:val="000000"/>
                <w:kern w:val="0"/>
                <w:sz w:val="24"/>
                <w:szCs w:val="24"/>
                <w:lang w:val="en-US" w:eastAsia="zh-CN" w:bidi="ar"/>
              </w:rPr>
              <w:t>3</w:t>
            </w:r>
            <w:r>
              <w:rPr>
                <w:rFonts w:hint="eastAsia" w:ascii="宋体" w:hAnsi="宋体" w:eastAsia="宋体" w:cs="宋体"/>
                <w:b/>
                <w:bCs/>
                <w:color w:val="000000"/>
                <w:kern w:val="0"/>
                <w:sz w:val="24"/>
                <w:szCs w:val="24"/>
                <w:lang w:val="en-US" w:eastAsia="zh-CN" w:bidi="ar"/>
              </w:rPr>
              <w:t xml:space="preserve">、与《四川省嘉陵江流域生态环境保护条例》符合性分析 </w:t>
            </w:r>
          </w:p>
          <w:p>
            <w:pPr>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本项目位于昭化区元坝镇长坝社区，为</w:t>
            </w:r>
            <w:r>
              <w:rPr>
                <w:rFonts w:hint="eastAsia" w:cs="Times New Roman"/>
                <w:color w:val="auto"/>
                <w:kern w:val="2"/>
                <w:sz w:val="24"/>
                <w:szCs w:val="24"/>
                <w:highlight w:val="none"/>
                <w:lang w:val="en-US" w:eastAsia="zh-CN" w:bidi="ar-SA"/>
              </w:rPr>
              <w:t>堤防及清淤工程</w:t>
            </w:r>
            <w:r>
              <w:rPr>
                <w:rFonts w:hint="eastAsia" w:ascii="Times New Roman" w:hAnsi="Times New Roman" w:eastAsia="宋体" w:cs="Times New Roman"/>
                <w:color w:val="auto"/>
                <w:kern w:val="2"/>
                <w:sz w:val="24"/>
                <w:szCs w:val="24"/>
                <w:highlight w:val="none"/>
                <w:lang w:val="en-US" w:eastAsia="zh-CN" w:bidi="ar-SA"/>
              </w:rPr>
              <w:t xml:space="preserve">，整治河流庄子沟为长滩河支流，长滩河属于嘉陵江二级支流。 </w:t>
            </w:r>
          </w:p>
          <w:p>
            <w:pPr>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本项目整治河段不涉及自然保护区、风景名胜区、国家湿地公园及下游</w:t>
            </w:r>
            <w:r>
              <w:rPr>
                <w:rFonts w:hint="eastAsia"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 xml:space="preserve">km </w:t>
            </w:r>
            <w:r>
              <w:rPr>
                <w:rFonts w:hint="eastAsia" w:ascii="Times New Roman" w:hAnsi="Times New Roman" w:eastAsia="宋体" w:cs="Times New Roman"/>
                <w:color w:val="auto"/>
                <w:kern w:val="2"/>
                <w:sz w:val="24"/>
                <w:szCs w:val="24"/>
                <w:highlight w:val="none"/>
                <w:lang w:val="en-US" w:eastAsia="zh-CN" w:bidi="ar-SA"/>
              </w:rPr>
              <w:t>范围内不涉及饮用水源保护区，对照《四川省嘉陵江流域生态环境保护条例》</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本项目相关建设内容与该</w:t>
            </w:r>
            <w:r>
              <w:rPr>
                <w:rFonts w:hint="default"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条例</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符合性分析如下表所示。</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425"/>
              <w:gridCol w:w="3163"/>
              <w:gridCol w:w="1887"/>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noWrap w:val="0"/>
                  <w:vAlign w:val="top"/>
                </w:tcPr>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eastAsia" w:ascii="宋体" w:hAnsi="宋体" w:eastAsia="宋体" w:cs="宋体"/>
                      <w:snapToGrid w:val="0"/>
                      <w:sz w:val="21"/>
                      <w:szCs w:val="21"/>
                      <w:vertAlign w:val="baseline"/>
                      <w:lang w:val="en-US" w:eastAsia="zh-CN"/>
                    </w:rPr>
                  </w:pPr>
                  <w:r>
                    <w:rPr>
                      <w:rFonts w:hint="eastAsia" w:ascii="宋体" w:hAnsi="宋体" w:eastAsia="宋体" w:cs="宋体"/>
                      <w:snapToGrid w:val="0"/>
                      <w:sz w:val="21"/>
                      <w:szCs w:val="21"/>
                      <w:vertAlign w:val="baseline"/>
                      <w:lang w:val="en-US" w:eastAsia="zh-CN"/>
                    </w:rPr>
                    <w:t>文件名称</w:t>
                  </w:r>
                </w:p>
              </w:tc>
              <w:tc>
                <w:tcPr>
                  <w:tcW w:w="3588" w:type="dxa"/>
                  <w:gridSpan w:val="2"/>
                  <w:noWrap w:val="0"/>
                  <w:vAlign w:val="top"/>
                </w:tcPr>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eastAsia" w:ascii="宋体" w:hAnsi="宋体" w:eastAsia="宋体" w:cs="宋体"/>
                      <w:snapToGrid w:val="0"/>
                      <w:sz w:val="21"/>
                      <w:szCs w:val="21"/>
                      <w:vertAlign w:val="baseline"/>
                      <w:lang w:val="en-US" w:eastAsia="zh-CN"/>
                    </w:rPr>
                  </w:pPr>
                  <w:r>
                    <w:rPr>
                      <w:rFonts w:hint="eastAsia" w:ascii="宋体" w:hAnsi="宋体" w:eastAsia="宋体" w:cs="宋体"/>
                      <w:snapToGrid w:val="0"/>
                      <w:sz w:val="21"/>
                      <w:szCs w:val="21"/>
                      <w:vertAlign w:val="baseline"/>
                      <w:lang w:val="en-US" w:eastAsia="zh-CN"/>
                    </w:rPr>
                    <w:t>主要内容</w:t>
                  </w:r>
                </w:p>
              </w:tc>
              <w:tc>
                <w:tcPr>
                  <w:tcW w:w="1887" w:type="dxa"/>
                  <w:noWrap w:val="0"/>
                  <w:vAlign w:val="top"/>
                </w:tcPr>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eastAsia" w:ascii="宋体" w:hAnsi="宋体" w:eastAsia="宋体" w:cs="宋体"/>
                      <w:snapToGrid w:val="0"/>
                      <w:sz w:val="21"/>
                      <w:szCs w:val="21"/>
                      <w:vertAlign w:val="baseline"/>
                      <w:lang w:val="en-US" w:eastAsia="zh-CN"/>
                    </w:rPr>
                  </w:pPr>
                  <w:r>
                    <w:rPr>
                      <w:rFonts w:hint="eastAsia" w:ascii="宋体" w:hAnsi="宋体" w:eastAsia="宋体" w:cs="宋体"/>
                      <w:snapToGrid w:val="0"/>
                      <w:sz w:val="21"/>
                      <w:szCs w:val="21"/>
                      <w:vertAlign w:val="baseline"/>
                      <w:lang w:val="en-US" w:eastAsia="zh-CN"/>
                    </w:rPr>
                    <w:t>本项目情况</w:t>
                  </w:r>
                </w:p>
              </w:tc>
              <w:tc>
                <w:tcPr>
                  <w:tcW w:w="1017" w:type="dxa"/>
                  <w:noWrap w:val="0"/>
                  <w:vAlign w:val="top"/>
                </w:tcPr>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黑体" w:hAnsi="黑体" w:eastAsia="黑体"/>
                      <w:snapToGrid w:val="0"/>
                      <w:sz w:val="21"/>
                      <w:szCs w:val="21"/>
                      <w:vertAlign w:val="baseline"/>
                      <w:lang w:val="en-US" w:eastAsia="zh-CN"/>
                    </w:rPr>
                  </w:pPr>
                  <w:r>
                    <w:rPr>
                      <w:rFonts w:hint="eastAsia" w:ascii="宋体" w:hAnsi="宋体" w:eastAsia="宋体" w:cs="宋体"/>
                      <w:snapToGrid w:val="0"/>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restart"/>
                  <w:noWrap w:val="0"/>
                  <w:vAlign w:val="center"/>
                </w:tcPr>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eastAsia" w:ascii="宋体" w:hAnsi="宋体" w:eastAsia="宋体" w:cs="宋体"/>
                      <w:snapToGrid w:val="0"/>
                      <w:sz w:val="21"/>
                      <w:szCs w:val="21"/>
                      <w:vertAlign w:val="baseline"/>
                      <w:lang w:val="en-US" w:eastAsia="zh-CN"/>
                    </w:rPr>
                  </w:pPr>
                  <w:r>
                    <w:rPr>
                      <w:rFonts w:hint="eastAsia" w:ascii="宋体" w:hAnsi="宋体" w:eastAsia="宋体" w:cs="宋体"/>
                      <w:snapToGrid w:val="0"/>
                      <w:sz w:val="21"/>
                      <w:szCs w:val="21"/>
                      <w:vertAlign w:val="baseline"/>
                      <w:lang w:val="en-US" w:eastAsia="zh-CN"/>
                    </w:rPr>
                    <w:t>《四川省嘉陵江流域生态环境保护条例》</w:t>
                  </w: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eastAsia" w:ascii="宋体" w:hAnsi="宋体" w:eastAsia="宋体" w:cs="宋体"/>
                      <w:snapToGrid w:val="0"/>
                      <w:sz w:val="21"/>
                      <w:szCs w:val="21"/>
                      <w:vertAlign w:val="baseline"/>
                      <w:lang w:val="en-US" w:eastAsia="zh-CN"/>
                    </w:rPr>
                  </w:pPr>
                </w:p>
              </w:tc>
              <w:tc>
                <w:tcPr>
                  <w:tcW w:w="425" w:type="dxa"/>
                  <w:noWrap w:val="0"/>
                  <w:vAlign w:val="top"/>
                </w:tcPr>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default" w:ascii="宋体" w:hAnsi="宋体" w:eastAsia="宋体" w:cs="宋体"/>
                      <w:snapToGrid w:val="0"/>
                      <w:sz w:val="21"/>
                      <w:szCs w:val="21"/>
                      <w:vertAlign w:val="baseline"/>
                      <w:lang w:val="en-US" w:eastAsia="zh-CN"/>
                    </w:rPr>
                  </w:pPr>
                  <w:r>
                    <w:rPr>
                      <w:rFonts w:hint="eastAsia" w:eastAsia="宋体" w:cs="宋体"/>
                      <w:snapToGrid w:val="0"/>
                      <w:sz w:val="21"/>
                      <w:szCs w:val="21"/>
                      <w:vertAlign w:val="baseline"/>
                      <w:lang w:val="en-US" w:eastAsia="zh-CN"/>
                    </w:rPr>
                    <w:t>第六条、第八条</w:t>
                  </w:r>
                </w:p>
              </w:tc>
              <w:tc>
                <w:tcPr>
                  <w:tcW w:w="3163" w:type="dxa"/>
                  <w:noWrap w:val="0"/>
                  <w:vAlign w:val="top"/>
                </w:tcPr>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eastAsia" w:ascii="宋体" w:hAnsi="宋体" w:eastAsia="宋体" w:cs="宋体"/>
                      <w:snapToGrid w:val="0"/>
                      <w:sz w:val="21"/>
                      <w:szCs w:val="21"/>
                      <w:vertAlign w:val="baseline"/>
                      <w:lang w:val="en-US" w:eastAsia="zh-CN"/>
                    </w:rPr>
                  </w:pPr>
                  <w:r>
                    <w:rPr>
                      <w:rFonts w:hint="eastAsia" w:ascii="宋体" w:hAnsi="宋体" w:eastAsia="宋体" w:cs="宋体"/>
                      <w:snapToGrid w:val="0"/>
                      <w:sz w:val="21"/>
                      <w:szCs w:val="21"/>
                      <w:vertAlign w:val="baseline"/>
                      <w:lang w:val="en-US" w:eastAsia="zh-CN"/>
                    </w:rPr>
                    <w:t>嘉陵江流域全面推行林长制，组织开展森林草原资源生态保护、生态修复、灾害防控、监测监管等工作，提升流域森林草原等生态系统功能。嘉陵江流域县级以上地方人民政府应当将生态环境保护经费纳入本级预算，加大嘉陵江流域生态环境保护和修复的财政投入，统筹用于流域生态环境保护和修复工作。</w:t>
                  </w:r>
                </w:p>
              </w:tc>
              <w:tc>
                <w:tcPr>
                  <w:tcW w:w="1887" w:type="dxa"/>
                  <w:noWrap w:val="0"/>
                  <w:vAlign w:val="top"/>
                </w:tcPr>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eastAsia" w:ascii="宋体" w:hAnsi="宋体" w:eastAsia="宋体" w:cs="宋体"/>
                      <w:snapToGrid w:val="0"/>
                      <w:sz w:val="21"/>
                      <w:szCs w:val="21"/>
                      <w:vertAlign w:val="baseline"/>
                      <w:lang w:val="en-US" w:eastAsia="zh-CN"/>
                    </w:rPr>
                  </w:pPr>
                  <w:r>
                    <w:rPr>
                      <w:rFonts w:hint="eastAsia" w:ascii="宋体" w:hAnsi="宋体" w:eastAsia="宋体" w:cs="宋体"/>
                      <w:snapToGrid w:val="0"/>
                      <w:sz w:val="21"/>
                      <w:szCs w:val="21"/>
                      <w:vertAlign w:val="baseline"/>
                      <w:lang w:val="en-US" w:eastAsia="zh-CN"/>
                    </w:rPr>
                    <w:t>本工程为</w:t>
                  </w:r>
                  <w:r>
                    <w:rPr>
                      <w:rFonts w:hint="eastAsia" w:ascii="宋体" w:hAnsi="宋体" w:cs="宋体"/>
                      <w:color w:val="000000"/>
                      <w:kern w:val="0"/>
                      <w:sz w:val="21"/>
                      <w:szCs w:val="21"/>
                      <w:lang w:val="en-US" w:eastAsia="zh-CN" w:bidi="ar"/>
                    </w:rPr>
                    <w:t>堤防及清淤工程</w:t>
                  </w:r>
                  <w:r>
                    <w:rPr>
                      <w:rFonts w:hint="eastAsia" w:ascii="宋体" w:hAnsi="宋体" w:eastAsia="宋体" w:cs="宋体"/>
                      <w:snapToGrid w:val="0"/>
                      <w:sz w:val="21"/>
                      <w:szCs w:val="21"/>
                      <w:vertAlign w:val="baseline"/>
                      <w:lang w:val="en-US" w:eastAsia="zh-CN"/>
                    </w:rPr>
                    <w:t>，建设内容主要为</w:t>
                  </w:r>
                  <w:r>
                    <w:rPr>
                      <w:rFonts w:hint="eastAsia" w:cs="宋体"/>
                      <w:snapToGrid w:val="0"/>
                      <w:sz w:val="21"/>
                      <w:szCs w:val="21"/>
                      <w:vertAlign w:val="baseline"/>
                      <w:lang w:val="en-US" w:eastAsia="zh-CN"/>
                    </w:rPr>
                    <w:t>堤防建设</w:t>
                  </w:r>
                  <w:r>
                    <w:rPr>
                      <w:rFonts w:hint="eastAsia" w:eastAsia="宋体" w:cs="宋体"/>
                      <w:snapToGrid w:val="0"/>
                      <w:sz w:val="21"/>
                      <w:szCs w:val="21"/>
                      <w:vertAlign w:val="baseline"/>
                      <w:lang w:val="en-US" w:eastAsia="zh-CN"/>
                    </w:rPr>
                    <w:t>、清淤、疏浚</w:t>
                  </w:r>
                  <w:r>
                    <w:rPr>
                      <w:rFonts w:hint="eastAsia" w:ascii="宋体" w:hAnsi="宋体" w:eastAsia="宋体" w:cs="宋体"/>
                      <w:snapToGrid w:val="0"/>
                      <w:sz w:val="21"/>
                      <w:szCs w:val="21"/>
                      <w:vertAlign w:val="baseline"/>
                      <w:lang w:val="en-US" w:eastAsia="zh-CN"/>
                    </w:rPr>
                    <w:t>，属于条例中要求实施的建设内容。</w:t>
                  </w: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eastAsia" w:ascii="宋体" w:hAnsi="宋体" w:eastAsia="宋体" w:cs="宋体"/>
                      <w:snapToGrid w:val="0"/>
                      <w:sz w:val="21"/>
                      <w:szCs w:val="21"/>
                      <w:vertAlign w:val="baseline"/>
                      <w:lang w:val="en-US" w:eastAsia="zh-CN"/>
                    </w:rPr>
                  </w:pPr>
                </w:p>
              </w:tc>
              <w:tc>
                <w:tcPr>
                  <w:tcW w:w="1017" w:type="dxa"/>
                  <w:noWrap w:val="0"/>
                  <w:vAlign w:val="top"/>
                </w:tcPr>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宋体" w:hAnsi="宋体" w:eastAsia="宋体" w:cs="宋体"/>
                      <w:snapToGrid w:val="0"/>
                      <w:sz w:val="21"/>
                      <w:szCs w:val="21"/>
                      <w:vertAlign w:val="baseline"/>
                      <w:lang w:val="en-US" w:eastAsia="zh-CN"/>
                    </w:rPr>
                  </w:pPr>
                  <w:r>
                    <w:rPr>
                      <w:rFonts w:hint="eastAsia" w:eastAsia="宋体" w:cs="宋体"/>
                      <w:snapToGrid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noWrap w:val="0"/>
                  <w:vAlign w:val="top"/>
                </w:tcPr>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eastAsia" w:ascii="宋体" w:hAnsi="宋体" w:eastAsia="宋体" w:cs="宋体"/>
                      <w:snapToGrid w:val="0"/>
                      <w:sz w:val="21"/>
                      <w:szCs w:val="21"/>
                      <w:vertAlign w:val="baseline"/>
                      <w:lang w:val="en-US" w:eastAsia="zh-CN"/>
                    </w:rPr>
                  </w:pPr>
                </w:p>
              </w:tc>
              <w:tc>
                <w:tcPr>
                  <w:tcW w:w="425" w:type="dxa"/>
                  <w:noWrap w:val="0"/>
                  <w:vAlign w:val="top"/>
                </w:tcPr>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default" w:ascii="宋体" w:hAnsi="宋体" w:eastAsia="宋体" w:cs="宋体"/>
                      <w:snapToGrid w:val="0"/>
                      <w:sz w:val="21"/>
                      <w:szCs w:val="21"/>
                      <w:vertAlign w:val="baseline"/>
                      <w:lang w:val="en-US" w:eastAsia="zh-CN"/>
                    </w:rPr>
                  </w:pPr>
                  <w:r>
                    <w:rPr>
                      <w:rFonts w:hint="eastAsia" w:eastAsia="宋体" w:cs="宋体"/>
                      <w:snapToGrid w:val="0"/>
                      <w:sz w:val="21"/>
                      <w:szCs w:val="21"/>
                      <w:vertAlign w:val="baseline"/>
                      <w:lang w:val="en-US" w:eastAsia="zh-CN"/>
                    </w:rPr>
                    <w:t>第十七条</w:t>
                  </w:r>
                </w:p>
              </w:tc>
              <w:tc>
                <w:tcPr>
                  <w:tcW w:w="3163" w:type="dxa"/>
                  <w:noWrap w:val="0"/>
                  <w:vAlign w:val="top"/>
                </w:tcPr>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eastAsia" w:ascii="宋体" w:hAnsi="宋体" w:eastAsia="宋体" w:cs="宋体"/>
                      <w:snapToGrid w:val="0"/>
                      <w:sz w:val="21"/>
                      <w:szCs w:val="21"/>
                      <w:vertAlign w:val="baseline"/>
                      <w:lang w:val="en-US" w:eastAsia="zh-CN"/>
                    </w:rPr>
                  </w:pPr>
                  <w:r>
                    <w:rPr>
                      <w:rFonts w:hint="eastAsia" w:ascii="宋体" w:hAnsi="宋体" w:eastAsia="宋体" w:cs="宋体"/>
                      <w:snapToGrid w:val="0"/>
                      <w:sz w:val="21"/>
                      <w:szCs w:val="21"/>
                      <w:vertAlign w:val="baseline"/>
                      <w:lang w:val="en-US" w:eastAsia="zh-CN"/>
                    </w:rPr>
                    <w:t>编制嘉陵江流域生态环境保护规划应当遵守生态保护红线、环境质量底线、资源利用上线和生态环境准入清单，符合国土空间规划、生态环境保护规划、岸线保护和开发利用规划等相关规划。编制其他有关专项规划或者方案，应当与国土空间规划和流域生态环境保护规划相衔接。禁止在嘉陵江干支流岸线一公里范围内新建、扩建化工园区和化工项目。</w:t>
                  </w:r>
                </w:p>
              </w:tc>
              <w:tc>
                <w:tcPr>
                  <w:tcW w:w="1887" w:type="dxa"/>
                  <w:noWrap w:val="0"/>
                  <w:vAlign w:val="top"/>
                </w:tcPr>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eastAsia" w:ascii="宋体" w:hAnsi="宋体" w:eastAsia="宋体" w:cs="宋体"/>
                      <w:snapToGrid w:val="0"/>
                      <w:sz w:val="21"/>
                      <w:szCs w:val="21"/>
                      <w:vertAlign w:val="baseline"/>
                      <w:lang w:val="en-US" w:eastAsia="zh-CN"/>
                    </w:rPr>
                  </w:pPr>
                  <w:r>
                    <w:rPr>
                      <w:rFonts w:hint="eastAsia" w:ascii="宋体" w:hAnsi="宋体" w:eastAsia="宋体" w:cs="宋体"/>
                      <w:snapToGrid w:val="0"/>
                      <w:sz w:val="21"/>
                      <w:szCs w:val="21"/>
                      <w:vertAlign w:val="baseline"/>
                      <w:lang w:val="en-US" w:eastAsia="zh-CN"/>
                    </w:rPr>
                    <w:t>本工程为</w:t>
                  </w:r>
                  <w:r>
                    <w:rPr>
                      <w:rFonts w:hint="eastAsia" w:ascii="宋体" w:hAnsi="宋体" w:cs="宋体"/>
                      <w:color w:val="000000"/>
                      <w:kern w:val="0"/>
                      <w:sz w:val="21"/>
                      <w:szCs w:val="21"/>
                      <w:lang w:val="en-US" w:eastAsia="zh-CN" w:bidi="ar"/>
                    </w:rPr>
                    <w:t>堤防及清淤工程</w:t>
                  </w:r>
                  <w:r>
                    <w:rPr>
                      <w:rFonts w:hint="eastAsia" w:ascii="宋体" w:hAnsi="宋体" w:eastAsia="宋体" w:cs="宋体"/>
                      <w:snapToGrid w:val="0"/>
                      <w:sz w:val="21"/>
                      <w:szCs w:val="21"/>
                      <w:vertAlign w:val="baseline"/>
                      <w:lang w:val="en-US" w:eastAsia="zh-CN"/>
                    </w:rPr>
                    <w:t>，不属于新建、扩建化工园区和化工项目</w:t>
                  </w:r>
                  <w:r>
                    <w:rPr>
                      <w:rFonts w:hint="eastAsia" w:eastAsia="宋体" w:cs="宋体"/>
                      <w:snapToGrid w:val="0"/>
                      <w:sz w:val="21"/>
                      <w:szCs w:val="21"/>
                      <w:vertAlign w:val="baseline"/>
                      <w:lang w:val="en-US" w:eastAsia="zh-CN"/>
                    </w:rPr>
                    <w:t>。</w:t>
                  </w: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eastAsia" w:ascii="宋体" w:hAnsi="宋体" w:eastAsia="宋体" w:cs="宋体"/>
                      <w:snapToGrid w:val="0"/>
                      <w:sz w:val="21"/>
                      <w:szCs w:val="21"/>
                      <w:vertAlign w:val="baseline"/>
                      <w:lang w:val="en-US" w:eastAsia="zh-CN"/>
                    </w:rPr>
                  </w:pPr>
                </w:p>
              </w:tc>
              <w:tc>
                <w:tcPr>
                  <w:tcW w:w="1017" w:type="dxa"/>
                  <w:noWrap w:val="0"/>
                  <w:vAlign w:val="top"/>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宋体" w:hAnsi="宋体" w:eastAsia="宋体" w:cs="宋体"/>
                      <w:snapToGrid w:val="0"/>
                      <w:sz w:val="21"/>
                      <w:szCs w:val="21"/>
                      <w:vertAlign w:val="baseline"/>
                      <w:lang w:val="en-US" w:eastAsia="zh-CN"/>
                    </w:rPr>
                  </w:pPr>
                  <w:r>
                    <w:rPr>
                      <w:rFonts w:hint="eastAsia" w:eastAsia="宋体" w:cs="宋体"/>
                      <w:snapToGrid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noWrap w:val="0"/>
                  <w:vAlign w:val="top"/>
                </w:tcPr>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eastAsia" w:ascii="宋体" w:hAnsi="宋体" w:eastAsia="宋体" w:cs="宋体"/>
                      <w:snapToGrid w:val="0"/>
                      <w:sz w:val="21"/>
                      <w:szCs w:val="21"/>
                      <w:vertAlign w:val="baseline"/>
                      <w:lang w:val="en-US" w:eastAsia="zh-CN"/>
                    </w:rPr>
                  </w:pPr>
                </w:p>
              </w:tc>
              <w:tc>
                <w:tcPr>
                  <w:tcW w:w="425" w:type="dxa"/>
                  <w:noWrap w:val="0"/>
                  <w:vAlign w:val="top"/>
                </w:tcPr>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default" w:ascii="宋体" w:hAnsi="宋体" w:eastAsia="宋体" w:cs="宋体"/>
                      <w:snapToGrid w:val="0"/>
                      <w:sz w:val="21"/>
                      <w:szCs w:val="21"/>
                      <w:vertAlign w:val="baseline"/>
                      <w:lang w:val="en-US" w:eastAsia="zh-CN"/>
                    </w:rPr>
                  </w:pPr>
                  <w:r>
                    <w:rPr>
                      <w:rFonts w:hint="eastAsia" w:eastAsia="宋体" w:cs="宋体"/>
                      <w:snapToGrid w:val="0"/>
                      <w:sz w:val="21"/>
                      <w:szCs w:val="21"/>
                      <w:vertAlign w:val="baseline"/>
                      <w:lang w:val="en-US" w:eastAsia="zh-CN"/>
                    </w:rPr>
                    <w:t>第二十一条</w:t>
                  </w:r>
                </w:p>
              </w:tc>
              <w:tc>
                <w:tcPr>
                  <w:tcW w:w="3163" w:type="dxa"/>
                  <w:noWrap w:val="0"/>
                  <w:vAlign w:val="top"/>
                </w:tcPr>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eastAsia" w:ascii="宋体" w:hAnsi="宋体" w:eastAsia="宋体" w:cs="宋体"/>
                      <w:snapToGrid w:val="0"/>
                      <w:sz w:val="21"/>
                      <w:szCs w:val="21"/>
                      <w:vertAlign w:val="baseline"/>
                      <w:lang w:val="en-US" w:eastAsia="zh-CN"/>
                    </w:rPr>
                  </w:pPr>
                  <w:r>
                    <w:rPr>
                      <w:rFonts w:hint="eastAsia" w:ascii="宋体" w:hAnsi="宋体" w:eastAsia="宋体" w:cs="宋体"/>
                      <w:snapToGrid w:val="0"/>
                      <w:sz w:val="21"/>
                      <w:szCs w:val="21"/>
                      <w:vertAlign w:val="baseline"/>
                      <w:lang w:val="en-US" w:eastAsia="zh-CN"/>
                    </w:rPr>
                    <w:t>排污单位排放污染物不得超过国家和省污染物排放标准，不得超过重点水污染物排放总量控制指标。</w:t>
                  </w:r>
                </w:p>
              </w:tc>
              <w:tc>
                <w:tcPr>
                  <w:tcW w:w="1887" w:type="dxa"/>
                  <w:noWrap w:val="0"/>
                  <w:vAlign w:val="top"/>
                </w:tcPr>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eastAsia" w:ascii="宋体" w:hAnsi="宋体" w:eastAsia="宋体" w:cs="宋体"/>
                      <w:snapToGrid w:val="0"/>
                      <w:sz w:val="21"/>
                      <w:szCs w:val="21"/>
                      <w:vertAlign w:val="baseline"/>
                      <w:lang w:val="en-US" w:eastAsia="zh-CN"/>
                    </w:rPr>
                  </w:pPr>
                  <w:r>
                    <w:rPr>
                      <w:rFonts w:hint="eastAsia" w:ascii="宋体" w:hAnsi="宋体" w:eastAsia="宋体" w:cs="宋体"/>
                      <w:snapToGrid w:val="0"/>
                      <w:sz w:val="21"/>
                      <w:szCs w:val="21"/>
                      <w:vertAlign w:val="baseline"/>
                      <w:lang w:val="en-US" w:eastAsia="zh-CN"/>
                    </w:rPr>
                    <w:t>本工程为</w:t>
                  </w:r>
                  <w:r>
                    <w:rPr>
                      <w:rFonts w:hint="eastAsia" w:cs="宋体"/>
                      <w:snapToGrid w:val="0"/>
                      <w:sz w:val="21"/>
                      <w:szCs w:val="21"/>
                      <w:vertAlign w:val="baseline"/>
                      <w:lang w:val="en-US" w:eastAsia="zh-CN"/>
                    </w:rPr>
                    <w:t>堤防及清淤工程</w:t>
                  </w:r>
                  <w:r>
                    <w:rPr>
                      <w:rFonts w:hint="eastAsia" w:ascii="宋体" w:hAnsi="宋体" w:eastAsia="宋体" w:cs="宋体"/>
                      <w:snapToGrid w:val="0"/>
                      <w:sz w:val="21"/>
                      <w:szCs w:val="21"/>
                      <w:vertAlign w:val="baseline"/>
                      <w:lang w:val="en-US" w:eastAsia="zh-CN"/>
                    </w:rPr>
                    <w:t>，运营期不涉及废水、废气排放。</w:t>
                  </w: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eastAsia" w:ascii="宋体" w:hAnsi="宋体" w:eastAsia="宋体" w:cs="宋体"/>
                      <w:snapToGrid w:val="0"/>
                      <w:sz w:val="21"/>
                      <w:szCs w:val="21"/>
                      <w:vertAlign w:val="baseline"/>
                      <w:lang w:val="en-US" w:eastAsia="zh-CN"/>
                    </w:rPr>
                  </w:pPr>
                </w:p>
              </w:tc>
              <w:tc>
                <w:tcPr>
                  <w:tcW w:w="1017" w:type="dxa"/>
                  <w:noWrap w:val="0"/>
                  <w:vAlign w:val="top"/>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宋体" w:hAnsi="宋体" w:eastAsia="宋体" w:cs="宋体"/>
                      <w:snapToGrid w:val="0"/>
                      <w:sz w:val="21"/>
                      <w:szCs w:val="21"/>
                      <w:vertAlign w:val="baseline"/>
                      <w:lang w:val="en-US" w:eastAsia="zh-CN"/>
                    </w:rPr>
                  </w:pPr>
                  <w:r>
                    <w:rPr>
                      <w:rFonts w:hint="eastAsia" w:eastAsia="宋体" w:cs="宋体"/>
                      <w:snapToGrid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noWrap w:val="0"/>
                  <w:vAlign w:val="top"/>
                </w:tcPr>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eastAsia" w:ascii="宋体" w:hAnsi="宋体" w:eastAsia="宋体" w:cs="宋体"/>
                      <w:snapToGrid w:val="0"/>
                      <w:sz w:val="21"/>
                      <w:szCs w:val="21"/>
                      <w:vertAlign w:val="baseline"/>
                      <w:lang w:val="en-US" w:eastAsia="zh-CN"/>
                    </w:rPr>
                  </w:pPr>
                </w:p>
              </w:tc>
              <w:tc>
                <w:tcPr>
                  <w:tcW w:w="425" w:type="dxa"/>
                  <w:noWrap w:val="0"/>
                  <w:vAlign w:val="top"/>
                </w:tcPr>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default" w:ascii="宋体" w:hAnsi="宋体" w:eastAsia="宋体" w:cs="宋体"/>
                      <w:snapToGrid w:val="0"/>
                      <w:sz w:val="21"/>
                      <w:szCs w:val="21"/>
                      <w:vertAlign w:val="baseline"/>
                      <w:lang w:val="en-US" w:eastAsia="zh-CN"/>
                    </w:rPr>
                  </w:pPr>
                  <w:r>
                    <w:rPr>
                      <w:rFonts w:hint="eastAsia" w:eastAsia="宋体" w:cs="宋体"/>
                      <w:snapToGrid w:val="0"/>
                      <w:sz w:val="21"/>
                      <w:szCs w:val="21"/>
                      <w:vertAlign w:val="baseline"/>
                      <w:lang w:val="en-US" w:eastAsia="zh-CN"/>
                    </w:rPr>
                    <w:t>第四十三条</w:t>
                  </w:r>
                </w:p>
              </w:tc>
              <w:tc>
                <w:tcPr>
                  <w:tcW w:w="3163" w:type="dxa"/>
                  <w:noWrap w:val="0"/>
                  <w:vAlign w:val="top"/>
                </w:tcPr>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eastAsia" w:ascii="宋体" w:hAnsi="宋体" w:eastAsia="宋体" w:cs="宋体"/>
                      <w:snapToGrid w:val="0"/>
                      <w:sz w:val="21"/>
                      <w:szCs w:val="21"/>
                      <w:vertAlign w:val="baseline"/>
                      <w:lang w:val="en-US" w:eastAsia="zh-CN"/>
                    </w:rPr>
                  </w:pPr>
                  <w:r>
                    <w:rPr>
                      <w:rFonts w:hint="eastAsia" w:ascii="宋体" w:hAnsi="宋体" w:eastAsia="宋体" w:cs="宋体"/>
                      <w:snapToGrid w:val="0"/>
                      <w:sz w:val="21"/>
                      <w:szCs w:val="21"/>
                      <w:vertAlign w:val="baseline"/>
                      <w:lang w:val="en-US" w:eastAsia="zh-CN"/>
                    </w:rPr>
                    <w:t>嘉陵江流域县级以上地方人民政府应当根据环境保护需要，组织林业和草原、水行政、生态环境、自然资源、农业农村等主管部门，在嘉陵江干流和支流沿岸划定一定范围的生态缓冲带，在不影响行洪和防洪工程设施安全的前提下，因地制宜建设人工湿地、草地、水源涵养林、河岸生态公益林、沿河植被缓冲带和隔离带等生态环境治理与保护工程，构建沿河生态系统。</w:t>
                  </w:r>
                </w:p>
              </w:tc>
              <w:tc>
                <w:tcPr>
                  <w:tcW w:w="1887" w:type="dxa"/>
                  <w:noWrap w:val="0"/>
                  <w:vAlign w:val="top"/>
                </w:tcPr>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eastAsia" w:ascii="宋体" w:hAnsi="宋体" w:eastAsia="宋体" w:cs="宋体"/>
                      <w:snapToGrid w:val="0"/>
                      <w:sz w:val="21"/>
                      <w:szCs w:val="21"/>
                      <w:vertAlign w:val="baseline"/>
                      <w:lang w:val="en-US" w:eastAsia="zh-CN"/>
                    </w:rPr>
                  </w:pPr>
                  <w:r>
                    <w:rPr>
                      <w:rFonts w:hint="eastAsia" w:ascii="宋体" w:hAnsi="宋体" w:eastAsia="宋体" w:cs="宋体"/>
                      <w:snapToGrid w:val="0"/>
                      <w:sz w:val="21"/>
                      <w:szCs w:val="21"/>
                      <w:vertAlign w:val="baseline"/>
                      <w:lang w:val="en-US" w:eastAsia="zh-CN"/>
                    </w:rPr>
                    <w:t>本工程为</w:t>
                  </w:r>
                  <w:r>
                    <w:rPr>
                      <w:rFonts w:hint="eastAsia" w:cs="宋体"/>
                      <w:snapToGrid w:val="0"/>
                      <w:sz w:val="21"/>
                      <w:szCs w:val="21"/>
                      <w:vertAlign w:val="baseline"/>
                      <w:lang w:val="en-US" w:eastAsia="zh-CN"/>
                    </w:rPr>
                    <w:t>堤防及清淤工程</w:t>
                  </w:r>
                  <w:r>
                    <w:rPr>
                      <w:rFonts w:hint="eastAsia" w:ascii="宋体" w:hAnsi="宋体" w:eastAsia="宋体" w:cs="宋体"/>
                      <w:snapToGrid w:val="0"/>
                      <w:sz w:val="21"/>
                      <w:szCs w:val="21"/>
                      <w:vertAlign w:val="baseline"/>
                      <w:lang w:val="en-US" w:eastAsia="zh-CN"/>
                    </w:rPr>
                    <w:t>，建设内容主要为河道</w:t>
                  </w:r>
                  <w:r>
                    <w:rPr>
                      <w:rFonts w:hint="eastAsia" w:eastAsia="宋体" w:cs="宋体"/>
                      <w:snapToGrid w:val="0"/>
                      <w:sz w:val="21"/>
                      <w:szCs w:val="21"/>
                      <w:vertAlign w:val="baseline"/>
                      <w:lang w:val="en-US" w:eastAsia="zh-CN"/>
                    </w:rPr>
                    <w:t>排涝、</w:t>
                  </w:r>
                  <w:r>
                    <w:rPr>
                      <w:rFonts w:hint="eastAsia" w:ascii="宋体" w:hAnsi="宋体" w:eastAsia="宋体" w:cs="宋体"/>
                      <w:snapToGrid w:val="0"/>
                      <w:sz w:val="21"/>
                      <w:szCs w:val="21"/>
                      <w:vertAlign w:val="baseline"/>
                      <w:lang w:val="en-US" w:eastAsia="zh-CN"/>
                    </w:rPr>
                    <w:t>清淤</w:t>
                  </w:r>
                  <w:r>
                    <w:rPr>
                      <w:rFonts w:hint="eastAsia" w:eastAsia="宋体" w:cs="宋体"/>
                      <w:snapToGrid w:val="0"/>
                      <w:sz w:val="21"/>
                      <w:szCs w:val="21"/>
                      <w:vertAlign w:val="baseline"/>
                      <w:lang w:val="en-US" w:eastAsia="zh-CN"/>
                    </w:rPr>
                    <w:t>、疏浚</w:t>
                  </w:r>
                  <w:r>
                    <w:rPr>
                      <w:rFonts w:hint="eastAsia" w:ascii="宋体" w:hAnsi="宋体" w:eastAsia="宋体" w:cs="宋体"/>
                      <w:snapToGrid w:val="0"/>
                      <w:sz w:val="21"/>
                      <w:szCs w:val="21"/>
                      <w:vertAlign w:val="baseline"/>
                      <w:lang w:val="en-US" w:eastAsia="zh-CN"/>
                    </w:rPr>
                    <w:t>，包括河道两侧</w:t>
                  </w:r>
                  <w:r>
                    <w:rPr>
                      <w:rFonts w:hint="eastAsia" w:eastAsia="宋体" w:cs="宋体"/>
                      <w:snapToGrid w:val="0"/>
                      <w:sz w:val="21"/>
                      <w:szCs w:val="21"/>
                      <w:vertAlign w:val="baseline"/>
                      <w:lang w:val="en-US" w:eastAsia="zh-CN"/>
                    </w:rPr>
                    <w:t>防洪堤坝</w:t>
                  </w:r>
                  <w:r>
                    <w:rPr>
                      <w:rFonts w:hint="eastAsia" w:ascii="宋体" w:hAnsi="宋体" w:eastAsia="宋体" w:cs="宋体"/>
                      <w:snapToGrid w:val="0"/>
                      <w:sz w:val="21"/>
                      <w:szCs w:val="21"/>
                      <w:vertAlign w:val="baseline"/>
                      <w:lang w:val="en-US" w:eastAsia="zh-CN"/>
                    </w:rPr>
                    <w:t>建设，属于条例中嘉陵江水水资源保护措施之一。</w:t>
                  </w: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eastAsia" w:ascii="宋体" w:hAnsi="宋体" w:eastAsia="宋体" w:cs="宋体"/>
                      <w:snapToGrid w:val="0"/>
                      <w:sz w:val="21"/>
                      <w:szCs w:val="21"/>
                      <w:vertAlign w:val="baseline"/>
                      <w:lang w:val="en-US" w:eastAsia="zh-CN"/>
                    </w:rPr>
                  </w:pPr>
                </w:p>
              </w:tc>
              <w:tc>
                <w:tcPr>
                  <w:tcW w:w="1017" w:type="dxa"/>
                  <w:noWrap w:val="0"/>
                  <w:vAlign w:val="top"/>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宋体" w:hAnsi="宋体" w:eastAsia="宋体" w:cs="宋体"/>
                      <w:snapToGrid w:val="0"/>
                      <w:sz w:val="21"/>
                      <w:szCs w:val="21"/>
                      <w:vertAlign w:val="baseline"/>
                      <w:lang w:val="en-US" w:eastAsia="zh-CN"/>
                    </w:rPr>
                  </w:pPr>
                  <w:r>
                    <w:rPr>
                      <w:rFonts w:hint="eastAsia" w:eastAsia="宋体" w:cs="宋体"/>
                      <w:snapToGrid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noWrap w:val="0"/>
                  <w:vAlign w:val="top"/>
                </w:tcPr>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eastAsia" w:ascii="宋体" w:hAnsi="宋体" w:eastAsia="宋体" w:cs="宋体"/>
                      <w:snapToGrid w:val="0"/>
                      <w:sz w:val="21"/>
                      <w:szCs w:val="21"/>
                      <w:vertAlign w:val="baseline"/>
                      <w:lang w:val="en-US" w:eastAsia="zh-CN"/>
                    </w:rPr>
                  </w:pPr>
                </w:p>
              </w:tc>
              <w:tc>
                <w:tcPr>
                  <w:tcW w:w="425" w:type="dxa"/>
                  <w:noWrap w:val="0"/>
                  <w:vAlign w:val="top"/>
                </w:tcPr>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default" w:ascii="宋体" w:hAnsi="宋体" w:eastAsia="宋体" w:cs="宋体"/>
                      <w:snapToGrid w:val="0"/>
                      <w:sz w:val="21"/>
                      <w:szCs w:val="21"/>
                      <w:vertAlign w:val="baseline"/>
                      <w:lang w:val="en-US" w:eastAsia="zh-CN"/>
                    </w:rPr>
                  </w:pPr>
                  <w:r>
                    <w:rPr>
                      <w:rFonts w:hint="eastAsia" w:eastAsia="宋体" w:cs="宋体"/>
                      <w:snapToGrid w:val="0"/>
                      <w:sz w:val="21"/>
                      <w:szCs w:val="21"/>
                      <w:vertAlign w:val="baseline"/>
                      <w:lang w:val="en-US" w:eastAsia="zh-CN"/>
                    </w:rPr>
                    <w:t>第六十三条</w:t>
                  </w:r>
                </w:p>
              </w:tc>
              <w:tc>
                <w:tcPr>
                  <w:tcW w:w="3163" w:type="dxa"/>
                  <w:noWrap w:val="0"/>
                  <w:vAlign w:val="top"/>
                </w:tcPr>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default" w:ascii="宋体" w:hAnsi="宋体" w:eastAsia="宋体" w:cs="宋体"/>
                      <w:snapToGrid w:val="0"/>
                      <w:sz w:val="21"/>
                      <w:szCs w:val="21"/>
                      <w:vertAlign w:val="baseline"/>
                      <w:lang w:val="en-US" w:eastAsia="zh-CN"/>
                    </w:rPr>
                  </w:pPr>
                  <w:r>
                    <w:rPr>
                      <w:rFonts w:hint="eastAsia" w:ascii="宋体" w:hAnsi="宋体" w:eastAsia="宋体" w:cs="宋体"/>
                      <w:snapToGrid w:val="0"/>
                      <w:sz w:val="21"/>
                      <w:szCs w:val="21"/>
                      <w:vertAlign w:val="baseline"/>
                      <w:lang w:val="en-US" w:eastAsia="zh-CN"/>
                    </w:rPr>
                    <w:t>嘉陵江流域县级以上地方人民政府应当组织有关部门统筹推进嘉陵江二级、三级支流及其他支流的综合治理，因地制宜采取建设人工湿地、生态缓冲带等措施，逐步实现流域水生态环境质量改</w:t>
                  </w:r>
                  <w:r>
                    <w:rPr>
                      <w:rFonts w:hint="eastAsia" w:eastAsia="宋体" w:cs="宋体"/>
                      <w:snapToGrid w:val="0"/>
                      <w:sz w:val="21"/>
                      <w:szCs w:val="21"/>
                      <w:vertAlign w:val="baseline"/>
                      <w:lang w:val="en-US" w:eastAsia="zh-CN"/>
                    </w:rPr>
                    <w:t>善。</w:t>
                  </w:r>
                </w:p>
              </w:tc>
              <w:tc>
                <w:tcPr>
                  <w:tcW w:w="1887" w:type="dxa"/>
                  <w:noWrap w:val="0"/>
                  <w:vAlign w:val="top"/>
                </w:tcPr>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eastAsia" w:ascii="宋体" w:hAnsi="宋体" w:eastAsia="宋体" w:cs="宋体"/>
                      <w:snapToGrid w:val="0"/>
                      <w:sz w:val="21"/>
                      <w:szCs w:val="21"/>
                      <w:vertAlign w:val="baseline"/>
                      <w:lang w:val="en-US" w:eastAsia="zh-CN"/>
                    </w:rPr>
                  </w:pPr>
                  <w:r>
                    <w:rPr>
                      <w:rFonts w:hint="eastAsia" w:ascii="宋体" w:hAnsi="宋体" w:eastAsia="宋体" w:cs="宋体"/>
                      <w:snapToGrid w:val="0"/>
                      <w:sz w:val="21"/>
                      <w:szCs w:val="21"/>
                      <w:vertAlign w:val="baseline"/>
                      <w:lang w:val="en-US" w:eastAsia="zh-CN"/>
                    </w:rPr>
                    <w:t>本工程为</w:t>
                  </w:r>
                  <w:r>
                    <w:rPr>
                      <w:rFonts w:hint="eastAsia" w:cs="宋体"/>
                      <w:snapToGrid w:val="0"/>
                      <w:sz w:val="21"/>
                      <w:szCs w:val="21"/>
                      <w:vertAlign w:val="baseline"/>
                      <w:lang w:val="en-US" w:eastAsia="zh-CN"/>
                    </w:rPr>
                    <w:t>堤防及清淤工程</w:t>
                  </w:r>
                  <w:r>
                    <w:rPr>
                      <w:rFonts w:hint="eastAsia" w:ascii="宋体" w:hAnsi="宋体" w:eastAsia="宋体" w:cs="宋体"/>
                      <w:snapToGrid w:val="0"/>
                      <w:sz w:val="21"/>
                      <w:szCs w:val="21"/>
                      <w:vertAlign w:val="baseline"/>
                      <w:lang w:val="en-US" w:eastAsia="zh-CN"/>
                    </w:rPr>
                    <w:t>，治理河道为嘉陵江支流，项目建成后对流域水生态环境质量改善具有正效益，是条例中水污染防治措施之一。</w:t>
                  </w:r>
                </w:p>
              </w:tc>
              <w:tc>
                <w:tcPr>
                  <w:tcW w:w="1017" w:type="dxa"/>
                  <w:noWrap w:val="0"/>
                  <w:vAlign w:val="top"/>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宋体" w:hAnsi="宋体" w:eastAsia="宋体" w:cs="宋体"/>
                      <w:snapToGrid w:val="0"/>
                      <w:sz w:val="21"/>
                      <w:szCs w:val="21"/>
                      <w:vertAlign w:val="baseline"/>
                      <w:lang w:val="en-US" w:eastAsia="zh-CN"/>
                    </w:rPr>
                  </w:pPr>
                  <w:r>
                    <w:rPr>
                      <w:rFonts w:hint="eastAsia" w:eastAsia="宋体" w:cs="宋体"/>
                      <w:snapToGrid w:val="0"/>
                      <w:sz w:val="21"/>
                      <w:szCs w:val="21"/>
                      <w:vertAlign w:val="baseline"/>
                      <w:lang w:val="en-US" w:eastAsia="zh-CN"/>
                    </w:rPr>
                    <w:t>符合</w:t>
                  </w:r>
                </w:p>
              </w:tc>
            </w:tr>
          </w:tbl>
          <w:p>
            <w:pPr>
              <w:pStyle w:val="69"/>
              <w:adjustRightInd w:val="0"/>
              <w:snapToGrid w:val="0"/>
              <w:spacing w:line="360" w:lineRule="auto"/>
              <w:ind w:left="0" w:leftChars="0" w:firstLine="0" w:firstLineChars="0"/>
              <w:jc w:val="both"/>
              <w:rPr>
                <w:b/>
                <w:color w:val="auto"/>
                <w:sz w:val="24"/>
              </w:rPr>
            </w:pPr>
            <w:r>
              <w:rPr>
                <w:rFonts w:hint="eastAsia" w:ascii="Times New Roman" w:cs="Times New Roman"/>
                <w:b/>
                <w:color w:val="auto"/>
                <w:sz w:val="24"/>
                <w:szCs w:val="24"/>
                <w:lang w:val="en-US" w:eastAsia="zh-CN"/>
              </w:rPr>
              <w:t>4</w:t>
            </w:r>
            <w:r>
              <w:rPr>
                <w:rFonts w:hint="eastAsia" w:ascii="Times New Roman" w:hAnsi="宋体" w:eastAsia="宋体" w:cs="Times New Roman"/>
                <w:b/>
                <w:color w:val="auto"/>
                <w:sz w:val="24"/>
                <w:szCs w:val="24"/>
              </w:rPr>
              <w:t>、</w:t>
            </w:r>
            <w:r>
              <w:rPr>
                <w:b/>
                <w:color w:val="auto"/>
                <w:sz w:val="24"/>
              </w:rPr>
              <w:t>项目与《中华人民共和国长江保护法》符合性分析</w:t>
            </w:r>
          </w:p>
          <w:p>
            <w:pPr>
              <w:adjustRightInd w:val="0"/>
              <w:snapToGrid w:val="0"/>
              <w:spacing w:line="360" w:lineRule="auto"/>
              <w:ind w:firstLine="480" w:firstLineChars="200"/>
              <w:rPr>
                <w:bCs/>
                <w:color w:val="auto"/>
                <w:sz w:val="24"/>
              </w:rPr>
            </w:pPr>
            <w:r>
              <w:rPr>
                <w:bCs/>
                <w:color w:val="auto"/>
                <w:sz w:val="24"/>
              </w:rPr>
              <w:t>本项目与《中华人民共和国长江保护法》符合性分析如下：</w:t>
            </w:r>
          </w:p>
          <w:p>
            <w:pPr>
              <w:pStyle w:val="69"/>
              <w:keepNext/>
              <w:numPr>
                <w:ilvl w:val="0"/>
                <w:numId w:val="0"/>
              </w:numPr>
              <w:ind w:left="420" w:leftChars="0" w:hanging="132" w:firstLineChars="0"/>
              <w:jc w:val="center"/>
              <w:rPr>
                <w:b/>
                <w:color w:val="auto"/>
                <w:szCs w:val="21"/>
              </w:rPr>
            </w:pPr>
            <w:r>
              <w:rPr>
                <w:rFonts w:hint="default" w:ascii="Times New Roman" w:hAnsi="Times New Roman" w:eastAsia="宋体" w:cs="宋体"/>
                <w:b/>
                <w:i w:val="0"/>
                <w:color w:val="auto"/>
                <w:kern w:val="2"/>
                <w:sz w:val="21"/>
                <w:szCs w:val="21"/>
                <w:lang w:val="zh-CN" w:eastAsia="zh-CN" w:bidi="zh-CN"/>
              </w:rPr>
              <w:t>表1-</w:t>
            </w:r>
            <w:r>
              <w:rPr>
                <w:rFonts w:hint="eastAsia" w:ascii="Times New Roman" w:hAnsi="Times New Roman" w:eastAsia="宋体" w:cs="宋体"/>
                <w:b/>
                <w:i w:val="0"/>
                <w:color w:val="auto"/>
                <w:kern w:val="2"/>
                <w:sz w:val="21"/>
                <w:szCs w:val="21"/>
                <w:lang w:val="en-US" w:eastAsia="zh-CN" w:bidi="zh-CN"/>
              </w:rPr>
              <w:t xml:space="preserve">5 </w:t>
            </w:r>
            <w:r>
              <w:rPr>
                <w:b/>
                <w:color w:val="auto"/>
                <w:szCs w:val="21"/>
              </w:rPr>
              <w:t>本项目与《中华人民共和国长江保护法》符合性分析</w:t>
            </w:r>
          </w:p>
          <w:tbl>
            <w:tblPr>
              <w:tblStyle w:val="3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17"/>
              <w:gridCol w:w="2855"/>
              <w:gridCol w:w="6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88" w:type="dxa"/>
                  <w:tcBorders>
                    <w:top w:val="single" w:color="auto" w:sz="12" w:space="0"/>
                  </w:tcBorders>
                  <w:noWrap w:val="0"/>
                  <w:vAlign w:val="center"/>
                </w:tcPr>
                <w:p>
                  <w:pPr>
                    <w:jc w:val="center"/>
                    <w:rPr>
                      <w:b/>
                      <w:bCs/>
                      <w:color w:val="auto"/>
                      <w:kern w:val="0"/>
                      <w:szCs w:val="21"/>
                    </w:rPr>
                  </w:pPr>
                  <w:r>
                    <w:rPr>
                      <w:b/>
                      <w:bCs/>
                      <w:color w:val="auto"/>
                      <w:kern w:val="0"/>
                      <w:szCs w:val="21"/>
                    </w:rPr>
                    <w:t>具体内容</w:t>
                  </w:r>
                </w:p>
              </w:tc>
              <w:tc>
                <w:tcPr>
                  <w:tcW w:w="3511" w:type="dxa"/>
                  <w:tcBorders>
                    <w:top w:val="single" w:color="auto" w:sz="12" w:space="0"/>
                  </w:tcBorders>
                  <w:noWrap w:val="0"/>
                  <w:vAlign w:val="center"/>
                </w:tcPr>
                <w:p>
                  <w:pPr>
                    <w:jc w:val="center"/>
                    <w:rPr>
                      <w:b/>
                      <w:bCs/>
                      <w:color w:val="auto"/>
                      <w:kern w:val="0"/>
                      <w:szCs w:val="21"/>
                    </w:rPr>
                  </w:pPr>
                  <w:r>
                    <w:rPr>
                      <w:b/>
                      <w:bCs/>
                      <w:color w:val="auto"/>
                      <w:kern w:val="0"/>
                      <w:szCs w:val="21"/>
                    </w:rPr>
                    <w:t>本项目对应情况</w:t>
                  </w:r>
                </w:p>
              </w:tc>
              <w:tc>
                <w:tcPr>
                  <w:tcW w:w="776" w:type="dxa"/>
                  <w:tcBorders>
                    <w:top w:val="single" w:color="auto" w:sz="12" w:space="0"/>
                  </w:tcBorders>
                  <w:noWrap w:val="0"/>
                  <w:vAlign w:val="center"/>
                </w:tcPr>
                <w:p>
                  <w:pPr>
                    <w:jc w:val="center"/>
                    <w:rPr>
                      <w:b/>
                      <w:bCs/>
                      <w:color w:val="auto"/>
                      <w:kern w:val="0"/>
                      <w:szCs w:val="21"/>
                    </w:rPr>
                  </w:pPr>
                  <w:r>
                    <w:rPr>
                      <w:b/>
                      <w:bCs/>
                      <w:color w:val="auto"/>
                      <w:kern w:val="0"/>
                      <w:szCs w:val="21"/>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88" w:type="dxa"/>
                  <w:noWrap w:val="0"/>
                  <w:vAlign w:val="top"/>
                </w:tcPr>
                <w:p>
                  <w:pPr>
                    <w:jc w:val="left"/>
                    <w:rPr>
                      <w:color w:val="auto"/>
                    </w:rPr>
                  </w:pPr>
                  <w:r>
                    <w:rPr>
                      <w:color w:val="auto"/>
                    </w:rPr>
                    <w:t>第二十一条 国务院水行政主管部门统筹长江流域水资源合理配置、统一调度和高效利用，组织实施取用水总量控制和消耗强度控制管理制度。</w:t>
                  </w:r>
                </w:p>
                <w:p>
                  <w:pPr>
                    <w:jc w:val="left"/>
                    <w:rPr>
                      <w:color w:val="auto"/>
                    </w:rPr>
                  </w:pPr>
                  <w:r>
                    <w:rPr>
                      <w:color w:val="auto"/>
                    </w:rPr>
                    <w:t>国务院生态环境主管部门根据水环境质量改善目标和水污染防治要求，确定长江流域各省级行政区域重点污染物排放总量控制指标。长江流域水质超标的水功能区，应当实施更严格的污染物排放总量削减要求。企业事业单位应当按照要求，采取污染物排放总量控制措施。国务院自然资源主管部门负责统筹长江流域新增建设用地总量控制和计划安排。</w:t>
                  </w:r>
                </w:p>
              </w:tc>
              <w:tc>
                <w:tcPr>
                  <w:tcW w:w="3511" w:type="dxa"/>
                  <w:noWrap w:val="0"/>
                  <w:vAlign w:val="center"/>
                </w:tcPr>
                <w:p>
                  <w:pPr>
                    <w:jc w:val="left"/>
                    <w:rPr>
                      <w:color w:val="auto"/>
                    </w:rPr>
                  </w:pPr>
                  <w:r>
                    <w:rPr>
                      <w:color w:val="auto"/>
                    </w:rPr>
                    <w:t>本项目实施范围内的河流水质未超标，工程实施期间废水均合理处理，不外排。</w:t>
                  </w:r>
                </w:p>
              </w:tc>
              <w:tc>
                <w:tcPr>
                  <w:tcW w:w="776" w:type="dxa"/>
                  <w:noWrap w:val="0"/>
                  <w:vAlign w:val="center"/>
                </w:tcPr>
                <w:p>
                  <w:pPr>
                    <w:jc w:val="center"/>
                    <w:rPr>
                      <w:color w:val="auto"/>
                      <w:kern w:val="0"/>
                      <w:szCs w:val="21"/>
                    </w:rPr>
                  </w:pPr>
                  <w:r>
                    <w:rPr>
                      <w:color w:val="auto"/>
                      <w:kern w:val="0"/>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88" w:type="dxa"/>
                  <w:noWrap w:val="0"/>
                  <w:vAlign w:val="center"/>
                </w:tcPr>
                <w:p>
                  <w:pPr>
                    <w:jc w:val="left"/>
                    <w:rPr>
                      <w:color w:val="auto"/>
                    </w:rPr>
                  </w:pPr>
                  <w:r>
                    <w:rPr>
                      <w:color w:val="auto"/>
                    </w:rPr>
                    <w:t>第二十二条 长江流域产业结构和布局应当与长江流域生态系统和资源环境承载能力相适应。禁止在长江流域重点生态功能区布局对生态系统有严重影响的产业。禁止重污染企业和项目向长江中上游转移。</w:t>
                  </w:r>
                </w:p>
              </w:tc>
              <w:tc>
                <w:tcPr>
                  <w:tcW w:w="3511" w:type="dxa"/>
                  <w:noWrap w:val="0"/>
                  <w:vAlign w:val="center"/>
                </w:tcPr>
                <w:p>
                  <w:pPr>
                    <w:jc w:val="left"/>
                    <w:rPr>
                      <w:color w:val="auto"/>
                    </w:rPr>
                  </w:pPr>
                  <w:r>
                    <w:rPr>
                      <w:color w:val="auto"/>
                    </w:rPr>
                    <w:t>本项目为</w:t>
                  </w:r>
                  <w:r>
                    <w:rPr>
                      <w:rFonts w:hint="eastAsia" w:ascii="宋体" w:hAnsi="宋体" w:cs="宋体"/>
                      <w:color w:val="000000"/>
                      <w:kern w:val="0"/>
                      <w:sz w:val="21"/>
                      <w:szCs w:val="21"/>
                      <w:lang w:val="en-US" w:eastAsia="zh-CN" w:bidi="ar"/>
                    </w:rPr>
                    <w:t>堤防及清淤工程</w:t>
                  </w:r>
                  <w:r>
                    <w:rPr>
                      <w:color w:val="auto"/>
                    </w:rPr>
                    <w:t>，施工期沿清淤位置和河道设置围堰，尽量减小对河流水体扰动，无河道断流情况出现，基坑排水经沉淀会沉淀后由于施工场地洒水降尘，对生态系统无严重影响。</w:t>
                  </w:r>
                </w:p>
              </w:tc>
              <w:tc>
                <w:tcPr>
                  <w:tcW w:w="776" w:type="dxa"/>
                  <w:noWrap w:val="0"/>
                  <w:vAlign w:val="center"/>
                </w:tcPr>
                <w:p>
                  <w:pPr>
                    <w:jc w:val="center"/>
                    <w:rPr>
                      <w:color w:val="auto"/>
                      <w:kern w:val="0"/>
                      <w:szCs w:val="21"/>
                    </w:rPr>
                  </w:pPr>
                  <w:r>
                    <w:rPr>
                      <w:color w:val="auto"/>
                      <w:kern w:val="0"/>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88" w:type="dxa"/>
                  <w:noWrap w:val="0"/>
                  <w:vAlign w:val="top"/>
                </w:tcPr>
                <w:p>
                  <w:pPr>
                    <w:jc w:val="left"/>
                    <w:rPr>
                      <w:color w:val="auto"/>
                    </w:rPr>
                  </w:pPr>
                  <w:r>
                    <w:rPr>
                      <w:color w:val="auto"/>
                    </w:rPr>
                    <w:t>第二十三条 国家加强对长江流域水能资源开发利用的管理。因国家发展战略和国计民生需要，在长江流域新建大中型水电工程，应当经科学论证，并报国务院或者国务院授权的部门批准。</w:t>
                  </w:r>
                </w:p>
                <w:p>
                  <w:pPr>
                    <w:jc w:val="left"/>
                    <w:rPr>
                      <w:color w:val="auto"/>
                    </w:rPr>
                  </w:pPr>
                  <w:r>
                    <w:rPr>
                      <w:color w:val="auto"/>
                    </w:rPr>
                    <w:t>对长江流域已建小水电工程，不符合生态保护要求的，县级以上地方人民政府应当组织分类整改或者采取措施逐步退出。</w:t>
                  </w:r>
                </w:p>
              </w:tc>
              <w:tc>
                <w:tcPr>
                  <w:tcW w:w="3511" w:type="dxa"/>
                  <w:noWrap w:val="0"/>
                  <w:vAlign w:val="center"/>
                </w:tcPr>
                <w:p>
                  <w:pPr>
                    <w:jc w:val="left"/>
                    <w:rPr>
                      <w:color w:val="auto"/>
                    </w:rPr>
                  </w:pPr>
                  <w:r>
                    <w:rPr>
                      <w:color w:val="auto"/>
                    </w:rPr>
                    <w:t>本项目为</w:t>
                  </w:r>
                  <w:r>
                    <w:rPr>
                      <w:rFonts w:hint="eastAsia"/>
                      <w:color w:val="auto"/>
                      <w:lang w:eastAsia="zh-CN"/>
                    </w:rPr>
                    <w:t>堤防及清淤工程</w:t>
                  </w:r>
                  <w:r>
                    <w:rPr>
                      <w:color w:val="auto"/>
                    </w:rPr>
                    <w:t>，不涉及水电工程。</w:t>
                  </w:r>
                </w:p>
              </w:tc>
              <w:tc>
                <w:tcPr>
                  <w:tcW w:w="776" w:type="dxa"/>
                  <w:noWrap w:val="0"/>
                  <w:vAlign w:val="center"/>
                </w:tcPr>
                <w:p>
                  <w:pPr>
                    <w:jc w:val="center"/>
                    <w:rPr>
                      <w:color w:val="auto"/>
                      <w:kern w:val="0"/>
                      <w:szCs w:val="21"/>
                    </w:rPr>
                  </w:pPr>
                  <w:r>
                    <w:rPr>
                      <w:color w:val="auto"/>
                      <w:kern w:val="0"/>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88" w:type="dxa"/>
                  <w:tcBorders>
                    <w:bottom w:val="single" w:color="auto" w:sz="4" w:space="0"/>
                  </w:tcBorders>
                  <w:noWrap w:val="0"/>
                  <w:vAlign w:val="top"/>
                </w:tcPr>
                <w:p>
                  <w:pPr>
                    <w:jc w:val="left"/>
                    <w:rPr>
                      <w:color w:val="auto"/>
                    </w:rPr>
                  </w:pPr>
                  <w:r>
                    <w:rPr>
                      <w:color w:val="auto"/>
                    </w:rPr>
                    <w:t>第二十六条 国家对长江流域河湖岸线实施特殊管制。国家长江流域协调机制统筹协调国务院自然资源、水行政、生态环境、住房和城乡建设、农业农村、交通运输、林业和草原等部门和长江流域省级人民政府划定河湖岸线保护范围，制定河湖岸线保护规划，严格控制岸线开发建设，促进岸线合理高效利用。</w:t>
                  </w:r>
                </w:p>
                <w:p>
                  <w:pPr>
                    <w:jc w:val="left"/>
                    <w:rPr>
                      <w:color w:val="auto"/>
                    </w:rPr>
                  </w:pPr>
                  <w:r>
                    <w:rPr>
                      <w:color w:val="auto"/>
                    </w:rPr>
                    <w:t>禁止在长江干支流岸线一公里范围内新建、扩建化工园区和化工项目。</w:t>
                  </w:r>
                </w:p>
                <w:p>
                  <w:pPr>
                    <w:jc w:val="left"/>
                    <w:rPr>
                      <w:color w:val="auto"/>
                    </w:rPr>
                  </w:pPr>
                  <w:r>
                    <w:rPr>
                      <w:color w:val="auto"/>
                    </w:rPr>
                    <w:t>禁止在长江干流岸线三公里范围内和重要支流岸线一公里范围内新建、改建、扩建尾矿库；但是以提升安全、生态环境保护水平为目的的改建除外。</w:t>
                  </w:r>
                </w:p>
              </w:tc>
              <w:tc>
                <w:tcPr>
                  <w:tcW w:w="3511" w:type="dxa"/>
                  <w:tcBorders>
                    <w:bottom w:val="single" w:color="auto" w:sz="4" w:space="0"/>
                  </w:tcBorders>
                  <w:noWrap w:val="0"/>
                  <w:vAlign w:val="center"/>
                </w:tcPr>
                <w:p>
                  <w:pPr>
                    <w:jc w:val="left"/>
                    <w:rPr>
                      <w:color w:val="auto"/>
                    </w:rPr>
                  </w:pPr>
                  <w:r>
                    <w:rPr>
                      <w:color w:val="auto"/>
                    </w:rPr>
                    <w:t>本项目为</w:t>
                  </w:r>
                  <w:r>
                    <w:rPr>
                      <w:rFonts w:hint="eastAsia"/>
                      <w:color w:val="auto"/>
                      <w:lang w:eastAsia="zh-CN"/>
                    </w:rPr>
                    <w:t>堤防及清淤工程</w:t>
                  </w:r>
                  <w:r>
                    <w:rPr>
                      <w:color w:val="auto"/>
                    </w:rPr>
                    <w:t>，不涉及新建、扩建化工园区和化工项目，不涉及新建、改建、扩建尾矿库。</w:t>
                  </w:r>
                </w:p>
              </w:tc>
              <w:tc>
                <w:tcPr>
                  <w:tcW w:w="776" w:type="dxa"/>
                  <w:tcBorders>
                    <w:bottom w:val="single" w:color="auto" w:sz="4" w:space="0"/>
                  </w:tcBorders>
                  <w:noWrap w:val="0"/>
                  <w:vAlign w:val="center"/>
                </w:tcPr>
                <w:p>
                  <w:pPr>
                    <w:jc w:val="center"/>
                    <w:rPr>
                      <w:color w:val="auto"/>
                      <w:kern w:val="0"/>
                      <w:szCs w:val="21"/>
                    </w:rPr>
                  </w:pPr>
                  <w:r>
                    <w:rPr>
                      <w:color w:val="auto"/>
                      <w:kern w:val="0"/>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88" w:type="dxa"/>
                  <w:noWrap w:val="0"/>
                  <w:vAlign w:val="top"/>
                </w:tcPr>
                <w:p>
                  <w:pPr>
                    <w:jc w:val="left"/>
                    <w:rPr>
                      <w:color w:val="auto"/>
                    </w:rPr>
                  </w:pPr>
                  <w:r>
                    <w:rPr>
                      <w:color w:val="auto"/>
                    </w:rPr>
                    <w:t>第二十七条 国务院交通运输主管部门会同国务院自然资源、水行政、生态环境、农业农村、林业和草原主管部门在长江流域水生生物重要栖息地科学划定禁止航行区域和限制航行区域。</w:t>
                  </w:r>
                </w:p>
                <w:p>
                  <w:pPr>
                    <w:jc w:val="left"/>
                    <w:rPr>
                      <w:color w:val="auto"/>
                    </w:rPr>
                  </w:pPr>
                  <w:r>
                    <w:rPr>
                      <w:color w:val="auto"/>
                    </w:rPr>
                    <w:t>禁止船舶在划定的禁止航行区域内航行。因国家发展战略和国计民生需要，在水生生物重要栖息地禁止航行区域内航行的，应当由国务院交通运输主管部门商国务院农业农村主管部门同意，并应当采取必要措施，减少对重要水生生物的干扰。</w:t>
                  </w:r>
                </w:p>
                <w:p>
                  <w:pPr>
                    <w:jc w:val="left"/>
                    <w:rPr>
                      <w:color w:val="auto"/>
                    </w:rPr>
                  </w:pPr>
                  <w:r>
                    <w:rPr>
                      <w:color w:val="auto"/>
                    </w:rPr>
                    <w:t>严格限制在长江流域生态保护红线、自然保护地、水生生物重要栖息地水域实施航道整治工程；确需整治的，应当经科学论证，并依法办理相关手续。</w:t>
                  </w:r>
                </w:p>
              </w:tc>
              <w:tc>
                <w:tcPr>
                  <w:tcW w:w="3511" w:type="dxa"/>
                  <w:noWrap w:val="0"/>
                  <w:vAlign w:val="center"/>
                </w:tcPr>
                <w:p>
                  <w:pPr>
                    <w:jc w:val="left"/>
                    <w:rPr>
                      <w:color w:val="auto"/>
                    </w:rPr>
                  </w:pPr>
                  <w:r>
                    <w:rPr>
                      <w:color w:val="auto"/>
                    </w:rPr>
                    <w:t>本项目为</w:t>
                  </w:r>
                  <w:r>
                    <w:rPr>
                      <w:rFonts w:hint="eastAsia"/>
                      <w:color w:val="auto"/>
                      <w:lang w:eastAsia="zh-CN"/>
                    </w:rPr>
                    <w:t>堤防及清淤工程</w:t>
                  </w:r>
                  <w:r>
                    <w:rPr>
                      <w:color w:val="auto"/>
                    </w:rPr>
                    <w:t>，项目实施范围不涉及航行区域。项目建设区域不涉及水产种质资源保护区等重要水生生物分布区域。</w:t>
                  </w:r>
                </w:p>
              </w:tc>
              <w:tc>
                <w:tcPr>
                  <w:tcW w:w="776" w:type="dxa"/>
                  <w:noWrap w:val="0"/>
                  <w:vAlign w:val="center"/>
                </w:tcPr>
                <w:p>
                  <w:pPr>
                    <w:jc w:val="center"/>
                    <w:rPr>
                      <w:color w:val="auto"/>
                      <w:kern w:val="0"/>
                      <w:szCs w:val="21"/>
                    </w:rPr>
                  </w:pPr>
                  <w:r>
                    <w:rPr>
                      <w:color w:val="auto"/>
                      <w:kern w:val="0"/>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88" w:type="dxa"/>
                  <w:tcBorders>
                    <w:bottom w:val="single" w:color="auto" w:sz="12" w:space="0"/>
                  </w:tcBorders>
                  <w:noWrap w:val="0"/>
                  <w:vAlign w:val="top"/>
                </w:tcPr>
                <w:p>
                  <w:pPr>
                    <w:jc w:val="left"/>
                    <w:rPr>
                      <w:color w:val="auto"/>
                    </w:rPr>
                  </w:pPr>
                  <w:r>
                    <w:rPr>
                      <w:color w:val="auto"/>
                    </w:rPr>
                    <w:t>第二十八条 国家建立长江流域河道采砂规划和许可制度。长江流域河道采砂应当依法取得国务院水行政主管部门有关流域管理机构或者县级以上地方人民政府水行政主管部门的许可。</w:t>
                  </w:r>
                </w:p>
                <w:p>
                  <w:pPr>
                    <w:jc w:val="left"/>
                    <w:rPr>
                      <w:color w:val="auto"/>
                    </w:rPr>
                  </w:pPr>
                  <w:r>
                    <w:rPr>
                      <w:color w:val="auto"/>
                    </w:rPr>
                    <w:t>国务院水行政主管部门有关流域管理机构和长江流域县级以上地方人民政府依法划定禁止采砂区和禁止采砂期，严格控制采砂区域、采砂总量和采砂区域内的采砂船舶数量。禁止在长江流域禁止采砂区和禁止采砂期从事采砂活动。</w:t>
                  </w:r>
                </w:p>
                <w:p>
                  <w:pPr>
                    <w:jc w:val="left"/>
                    <w:rPr>
                      <w:color w:val="auto"/>
                    </w:rPr>
                  </w:pPr>
                  <w:r>
                    <w:rPr>
                      <w:color w:val="auto"/>
                    </w:rPr>
                    <w:t>国务院水行政主管部门会同国务院有关部门组织长江流域有关地方人民政府及其有关部门开展长江流域河道非法采砂联合执法工作。</w:t>
                  </w:r>
                </w:p>
              </w:tc>
              <w:tc>
                <w:tcPr>
                  <w:tcW w:w="3511" w:type="dxa"/>
                  <w:tcBorders>
                    <w:bottom w:val="single" w:color="auto" w:sz="12" w:space="0"/>
                  </w:tcBorders>
                  <w:noWrap w:val="0"/>
                  <w:vAlign w:val="center"/>
                </w:tcPr>
                <w:p>
                  <w:pPr>
                    <w:jc w:val="left"/>
                    <w:rPr>
                      <w:color w:val="auto"/>
                    </w:rPr>
                  </w:pPr>
                  <w:r>
                    <w:rPr>
                      <w:color w:val="auto"/>
                    </w:rPr>
                    <w:t>本项目为</w:t>
                  </w:r>
                  <w:r>
                    <w:rPr>
                      <w:rFonts w:hint="eastAsia"/>
                      <w:color w:val="auto"/>
                      <w:lang w:eastAsia="zh-CN"/>
                    </w:rPr>
                    <w:t>堤防及清淤工程</w:t>
                  </w:r>
                  <w:r>
                    <w:rPr>
                      <w:color w:val="auto"/>
                    </w:rPr>
                    <w:t>，不涉及采砂。</w:t>
                  </w:r>
                </w:p>
              </w:tc>
              <w:tc>
                <w:tcPr>
                  <w:tcW w:w="776" w:type="dxa"/>
                  <w:tcBorders>
                    <w:bottom w:val="single" w:color="auto" w:sz="12" w:space="0"/>
                  </w:tcBorders>
                  <w:noWrap w:val="0"/>
                  <w:vAlign w:val="center"/>
                </w:tcPr>
                <w:p>
                  <w:pPr>
                    <w:jc w:val="center"/>
                    <w:rPr>
                      <w:color w:val="auto"/>
                      <w:kern w:val="0"/>
                      <w:szCs w:val="21"/>
                    </w:rPr>
                  </w:pPr>
                  <w:r>
                    <w:rPr>
                      <w:color w:val="auto"/>
                      <w:kern w:val="0"/>
                      <w:szCs w:val="21"/>
                    </w:rPr>
                    <w:t>符合</w:t>
                  </w:r>
                </w:p>
              </w:tc>
            </w:tr>
          </w:tbl>
          <w:p>
            <w:pPr>
              <w:pStyle w:val="2"/>
              <w:rPr>
                <w:rFonts w:hint="eastAsia"/>
                <w:lang w:val="en-US" w:eastAsia="zh-CN"/>
              </w:rPr>
            </w:pPr>
            <w:r>
              <w:rPr>
                <w:bCs/>
                <w:color w:val="auto"/>
                <w:sz w:val="24"/>
              </w:rPr>
              <w:t>综上，本项目建设符合《中华人民共和国长江保护法》的相关要求。</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宋体" w:hAnsi="宋体" w:cs="宋体"/>
                <w:b/>
                <w:bCs/>
                <w:color w:val="000000"/>
                <w:kern w:val="0"/>
                <w:sz w:val="24"/>
                <w:szCs w:val="24"/>
                <w:lang w:val="en-US" w:eastAsia="zh-CN" w:bidi="ar"/>
              </w:rPr>
              <w:t>5</w:t>
            </w:r>
            <w:r>
              <w:rPr>
                <w:rFonts w:hint="eastAsia" w:ascii="宋体" w:hAnsi="宋体" w:eastAsia="宋体" w:cs="宋体"/>
                <w:b/>
                <w:bCs/>
                <w:color w:val="000000"/>
                <w:kern w:val="0"/>
                <w:sz w:val="24"/>
                <w:szCs w:val="24"/>
                <w:lang w:val="en-US" w:eastAsia="zh-CN" w:bidi="ar"/>
              </w:rPr>
              <w:t xml:space="preserve">、与《水污染防治行动计划广元市工作方案》（广元市“水十条”）符合性分析 </w:t>
            </w:r>
          </w:p>
          <w:p>
            <w:pPr>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根据广元市《</w:t>
            </w:r>
            <w:r>
              <w:rPr>
                <w:rFonts w:hint="default" w:ascii="Times New Roman" w:hAnsi="Times New Roman" w:eastAsia="宋体" w:cs="Times New Roman"/>
                <w:color w:val="auto"/>
                <w:kern w:val="2"/>
                <w:sz w:val="24"/>
                <w:szCs w:val="24"/>
                <w:highlight w:val="none"/>
                <w:lang w:val="en-US" w:eastAsia="zh-CN" w:bidi="ar-SA"/>
              </w:rPr>
              <w:t>&lt;</w:t>
            </w:r>
            <w:r>
              <w:rPr>
                <w:rFonts w:hint="eastAsia" w:ascii="Times New Roman" w:hAnsi="Times New Roman" w:eastAsia="宋体" w:cs="Times New Roman"/>
                <w:color w:val="auto"/>
                <w:kern w:val="2"/>
                <w:sz w:val="24"/>
                <w:szCs w:val="24"/>
                <w:highlight w:val="none"/>
                <w:lang w:val="en-US" w:eastAsia="zh-CN" w:bidi="ar-SA"/>
              </w:rPr>
              <w:t>水污染防治行动计划</w:t>
            </w:r>
            <w:r>
              <w:rPr>
                <w:rFonts w:hint="default" w:ascii="Times New Roman" w:hAnsi="Times New Roman" w:eastAsia="宋体" w:cs="Times New Roman"/>
                <w:color w:val="auto"/>
                <w:kern w:val="2"/>
                <w:sz w:val="24"/>
                <w:szCs w:val="24"/>
                <w:highlight w:val="none"/>
                <w:lang w:val="en-US" w:eastAsia="zh-CN" w:bidi="ar-SA"/>
              </w:rPr>
              <w:t>&gt;</w:t>
            </w:r>
            <w:r>
              <w:rPr>
                <w:rFonts w:hint="eastAsia" w:ascii="Times New Roman" w:hAnsi="Times New Roman" w:eastAsia="宋体" w:cs="Times New Roman"/>
                <w:color w:val="auto"/>
                <w:kern w:val="2"/>
                <w:sz w:val="24"/>
                <w:szCs w:val="24"/>
                <w:highlight w:val="none"/>
                <w:lang w:val="en-US" w:eastAsia="zh-CN" w:bidi="ar-SA"/>
              </w:rPr>
              <w:t>广元市工作方案》总体要求：以保护和改善水环境质量为核心，坚持系统推进，统筹水资源管理、水污染治理、水生态保护和水环境风险防范；以流域水环境整治和保护为重点，坚持上下游结合、山水林田湖协控，分类施策；坚持标本兼治，控制氨氮、化学需氧量、总磷等水污染物，兼顾其他特征水污染物；以改革创新为动力，坚持政府市场协同，发挥企业主体作用，运用法律、经济、科技、标准、政策、行政等综合管理手段，推动形成</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政府统领、企业施治、市场驱动、公众参与</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的水污染防治新机制；以督查监察、从严执法为手段，落实各方责任，严格考核问责，建立健全并落实水污染防治</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源头严防、过程严管、后果严惩</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的监管体系、运行体系，为构建嘉陵江上游生态屏障、加快建设</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美丽广元、幸福家园</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提供良好的水生态环境。（二）强化城镇生活污染治理：</w:t>
            </w:r>
            <w:r>
              <w:rPr>
                <w:rFonts w:hint="default" w:ascii="Times New Roman" w:hAnsi="Times New Roman" w:eastAsia="宋体" w:cs="Times New Roman"/>
                <w:color w:val="auto"/>
                <w:kern w:val="2"/>
                <w:sz w:val="24"/>
                <w:szCs w:val="24"/>
                <w:highlight w:val="none"/>
                <w:lang w:val="en-US" w:eastAsia="zh-CN" w:bidi="ar-SA"/>
              </w:rPr>
              <w:t>11</w:t>
            </w:r>
            <w:r>
              <w:rPr>
                <w:rFonts w:hint="eastAsia" w:ascii="Times New Roman" w:hAnsi="Times New Roman" w:eastAsia="宋体" w:cs="Times New Roman"/>
                <w:color w:val="auto"/>
                <w:kern w:val="2"/>
                <w:sz w:val="24"/>
                <w:szCs w:val="24"/>
                <w:highlight w:val="none"/>
                <w:lang w:val="en-US" w:eastAsia="zh-CN" w:bidi="ar-SA"/>
              </w:rPr>
              <w:t>．开展河塘清淤疏浚。按照相关规划要求，在农村积极开展河道、小塘坝、小水库的清淤疏浚、岸坡整治、河渠连通等集中整治，建设生态河塘，提高农村地区水源调配能力、防灾减灾能力、河湖保护能力，持续推进农村河道综合治理，改善农村生活环境和河流生态。</w:t>
            </w:r>
          </w:p>
          <w:p>
            <w:pPr>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本项目为</w:t>
            </w:r>
            <w:r>
              <w:rPr>
                <w:rFonts w:hint="eastAsia" w:cs="Times New Roman"/>
                <w:color w:val="auto"/>
                <w:kern w:val="2"/>
                <w:sz w:val="24"/>
                <w:szCs w:val="24"/>
                <w:highlight w:val="none"/>
                <w:lang w:val="en-US" w:eastAsia="zh-CN" w:bidi="ar-SA"/>
              </w:rPr>
              <w:t>广元市昭化区重点采煤沉陷区生态环境综合治理项目</w:t>
            </w:r>
            <w:r>
              <w:rPr>
                <w:rFonts w:hint="eastAsia" w:ascii="Times New Roman" w:hAnsi="Times New Roman" w:eastAsia="宋体" w:cs="Times New Roman"/>
                <w:color w:val="auto"/>
                <w:kern w:val="2"/>
                <w:sz w:val="24"/>
                <w:szCs w:val="24"/>
                <w:highlight w:val="none"/>
                <w:lang w:val="en-US" w:eastAsia="zh-CN" w:bidi="ar-SA"/>
              </w:rPr>
              <w:t>，治理河道为长滩河流域支流庄子沟，主要内容包括新建防洪堤坝和清淤疏浚工程，属于河道生态治理修复项目，项目建设有利于防治水污染，构建流域生态屏障，提供良好的水生生态环境，项目建设符合《水污染防治行动计划广元市工作方案》（广元市“水十条”）。</w:t>
            </w:r>
          </w:p>
          <w:p>
            <w:pPr>
              <w:keepNext w:val="0"/>
              <w:keepLines w:val="0"/>
              <w:widowControl/>
              <w:suppressLineNumbers w:val="0"/>
              <w:spacing w:line="360" w:lineRule="auto"/>
              <w:jc w:val="left"/>
            </w:pPr>
            <w:r>
              <w:rPr>
                <w:rFonts w:hint="eastAsia" w:ascii="宋体" w:hAnsi="宋体" w:cs="宋体"/>
                <w:b/>
                <w:bCs/>
                <w:color w:val="000000"/>
                <w:kern w:val="0"/>
                <w:sz w:val="24"/>
                <w:szCs w:val="24"/>
                <w:lang w:val="en-US" w:eastAsia="zh-CN" w:bidi="ar"/>
              </w:rPr>
              <w:t>6</w:t>
            </w:r>
            <w:r>
              <w:rPr>
                <w:rFonts w:hint="eastAsia" w:ascii="宋体" w:hAnsi="宋体" w:eastAsia="宋体" w:cs="宋体"/>
                <w:b/>
                <w:bCs/>
                <w:color w:val="000000"/>
                <w:kern w:val="0"/>
                <w:sz w:val="24"/>
                <w:szCs w:val="24"/>
                <w:lang w:val="en-US" w:eastAsia="zh-CN" w:bidi="ar"/>
              </w:rPr>
              <w:t xml:space="preserve">、项目建设与长滩河流域生态环境整治相关规划符合分析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根据了解，目前长滩河流域尚未制定专门的流域整治规划，但长滩河流域水环境整治为广元市生态环境局重点推进的工作事项，根据广元市生态环境局发布的《昭化区大力推进长滩河流域黑臭水体整治工作》的通知，要求：一是加快推进城市污水管网等基础设施建设。总投资1400万元,完成长滩河柳桥至妇幼保健院段、桂花村6社至妇幼保健院段污水主干管6.95公里。计划投资3300万元，加快推进长滩河妇幼保健院至泉坝污水处理厂段污水主管网总长8.9公里的改造升级工程，该项目有望年内开工建设。二是集中开展长滩河流域污染整治专项行动。对沿河流域畜禽养殖场等重点污染源加大监管力度，对玉田农业开发有限公司、蔚峰农业有限公司等企业违法行为从速调查、从快立案、从重处罚，同时利用电视、网络等平台公开整改、处罚等信息。三是扎实开展农村面源污染防治。累计开展农村环保知识宣传培训会5场次，发放资料1000余份。结合精准脱贫和新农村建设，在长滩河流域重点纠正及解决生活污水随意排放，河坡垃圾倾倒，河岸占坡耕种，河道违章占用等行为，切实保护我区城市河道生态空间。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本项目为</w:t>
            </w:r>
            <w:r>
              <w:rPr>
                <w:rFonts w:hint="eastAsia" w:cs="Times New Roman"/>
                <w:color w:val="auto"/>
                <w:kern w:val="2"/>
                <w:sz w:val="24"/>
                <w:szCs w:val="24"/>
                <w:highlight w:val="none"/>
                <w:lang w:val="en-US" w:eastAsia="zh-CN" w:bidi="ar-SA"/>
              </w:rPr>
              <w:t>广元市昭化区重点采煤沉陷区生态环境综合治理项目</w:t>
            </w:r>
            <w:r>
              <w:rPr>
                <w:rFonts w:hint="eastAsia" w:ascii="Times New Roman" w:hAnsi="Times New Roman" w:eastAsia="宋体" w:cs="Times New Roman"/>
                <w:color w:val="auto"/>
                <w:kern w:val="2"/>
                <w:sz w:val="24"/>
                <w:szCs w:val="24"/>
                <w:highlight w:val="none"/>
                <w:lang w:val="en-US" w:eastAsia="zh-CN" w:bidi="ar-SA"/>
              </w:rPr>
              <w:t>，治理河道为长滩河流域支流庄子沟，项目通过对庄子沟实施清淤疏浚、防洪堤坝建设等进一步提升长滩河流域水环境质量，项目建设方案是符合长滩河流域相关规划的。</w:t>
            </w:r>
          </w:p>
          <w:p>
            <w:pPr>
              <w:numPr>
                <w:ilvl w:val="0"/>
                <w:numId w:val="0"/>
              </w:numPr>
              <w:adjustRightInd w:val="0"/>
              <w:snapToGrid w:val="0"/>
              <w:spacing w:line="360" w:lineRule="auto"/>
              <w:rPr>
                <w:rFonts w:hint="eastAsia"/>
                <w:b/>
                <w:bCs/>
                <w:color w:val="auto"/>
                <w:sz w:val="24"/>
                <w:lang w:val="en-US" w:eastAsia="zh-CN" w:bidi="zh-TW"/>
              </w:rPr>
            </w:pPr>
            <w:r>
              <w:rPr>
                <w:rFonts w:hint="eastAsia"/>
                <w:b/>
                <w:bCs/>
                <w:color w:val="auto"/>
                <w:sz w:val="24"/>
                <w:lang w:val="en-US" w:eastAsia="zh-CN" w:bidi="zh-TW"/>
              </w:rPr>
              <w:t>7、项目与《水利建设项目（河湖整治与防洪除涝工程）环境评价文件审批原则》（试行）符合性分析</w:t>
            </w:r>
          </w:p>
          <w:p>
            <w:pPr>
              <w:autoSpaceDE w:val="0"/>
              <w:autoSpaceDN w:val="0"/>
              <w:adjustRightInd w:val="0"/>
              <w:snapToGrid w:val="0"/>
              <w:spacing w:line="360" w:lineRule="auto"/>
              <w:ind w:firstLine="480" w:firstLineChars="200"/>
              <w:rPr>
                <w:color w:val="auto"/>
                <w:kern w:val="0"/>
                <w:sz w:val="24"/>
              </w:rPr>
            </w:pPr>
            <w:r>
              <w:rPr>
                <w:color w:val="auto"/>
                <w:kern w:val="0"/>
                <w:sz w:val="24"/>
              </w:rPr>
              <w:t>本项目与</w:t>
            </w:r>
            <w:r>
              <w:rPr>
                <w:rFonts w:hint="eastAsia"/>
                <w:color w:val="auto"/>
                <w:kern w:val="0"/>
                <w:sz w:val="24"/>
                <w:lang w:val="en-US" w:eastAsia="zh-CN"/>
              </w:rPr>
              <w:t>《水利建设项目（河湖整治与防洪除涝工程）环境应评价文件审批原则》（试行）</w:t>
            </w:r>
            <w:r>
              <w:rPr>
                <w:color w:val="auto"/>
                <w:kern w:val="0"/>
                <w:sz w:val="24"/>
              </w:rPr>
              <w:t>符合性分析如下。</w:t>
            </w:r>
          </w:p>
          <w:p>
            <w:pPr>
              <w:pStyle w:val="69"/>
              <w:keepNext/>
              <w:numPr>
                <w:ilvl w:val="0"/>
                <w:numId w:val="0"/>
              </w:numPr>
              <w:ind w:left="288" w:leftChars="0"/>
              <w:jc w:val="center"/>
              <w:rPr>
                <w:b/>
                <w:color w:val="auto"/>
                <w:szCs w:val="21"/>
              </w:rPr>
            </w:pPr>
            <w:r>
              <w:rPr>
                <w:rFonts w:hint="eastAsia"/>
                <w:b/>
                <w:color w:val="auto"/>
                <w:szCs w:val="21"/>
                <w:lang w:val="en-US" w:eastAsia="zh-CN"/>
              </w:rPr>
              <w:t xml:space="preserve">表1-6 </w:t>
            </w:r>
            <w:r>
              <w:rPr>
                <w:b/>
                <w:color w:val="auto"/>
                <w:szCs w:val="21"/>
              </w:rPr>
              <w:t>本项目与</w:t>
            </w:r>
            <w:r>
              <w:rPr>
                <w:rFonts w:hint="eastAsia"/>
                <w:b/>
                <w:color w:val="auto"/>
                <w:szCs w:val="21"/>
                <w:lang w:val="en-US" w:eastAsia="zh-CN"/>
              </w:rPr>
              <w:t>《水利建设项目（河湖整治与防洪除涝工程）环境应评价文件审批原则》（试行）</w:t>
            </w:r>
            <w:r>
              <w:rPr>
                <w:b/>
                <w:color w:val="auto"/>
                <w:szCs w:val="21"/>
              </w:rPr>
              <w:t>符合性分析</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2"/>
              <w:gridCol w:w="3423"/>
              <w:gridCol w:w="2621"/>
              <w:gridCol w:w="8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18" w:type="pct"/>
                  <w:noWrap w:val="0"/>
                  <w:vAlign w:val="center"/>
                </w:tcPr>
                <w:p>
                  <w:pPr>
                    <w:widowControl/>
                    <w:jc w:val="center"/>
                    <w:rPr>
                      <w:b/>
                      <w:bCs/>
                      <w:color w:val="auto"/>
                      <w:kern w:val="0"/>
                      <w:szCs w:val="21"/>
                    </w:rPr>
                  </w:pPr>
                  <w:r>
                    <w:rPr>
                      <w:b/>
                      <w:bCs/>
                      <w:color w:val="auto"/>
                      <w:kern w:val="0"/>
                      <w:szCs w:val="21"/>
                    </w:rPr>
                    <w:t>文件</w:t>
                  </w:r>
                </w:p>
              </w:tc>
              <w:tc>
                <w:tcPr>
                  <w:tcW w:w="2240" w:type="pct"/>
                  <w:noWrap w:val="0"/>
                  <w:vAlign w:val="center"/>
                </w:tcPr>
                <w:p>
                  <w:pPr>
                    <w:widowControl/>
                    <w:jc w:val="center"/>
                    <w:rPr>
                      <w:b/>
                      <w:bCs/>
                      <w:color w:val="auto"/>
                      <w:kern w:val="0"/>
                      <w:szCs w:val="21"/>
                    </w:rPr>
                  </w:pPr>
                  <w:r>
                    <w:rPr>
                      <w:b/>
                      <w:bCs/>
                      <w:color w:val="auto"/>
                      <w:kern w:val="0"/>
                      <w:szCs w:val="21"/>
                    </w:rPr>
                    <w:t>内容</w:t>
                  </w:r>
                </w:p>
              </w:tc>
              <w:tc>
                <w:tcPr>
                  <w:tcW w:w="1715" w:type="pct"/>
                  <w:noWrap w:val="0"/>
                  <w:vAlign w:val="center"/>
                </w:tcPr>
                <w:p>
                  <w:pPr>
                    <w:widowControl/>
                    <w:jc w:val="center"/>
                    <w:rPr>
                      <w:b/>
                      <w:bCs/>
                      <w:color w:val="auto"/>
                      <w:kern w:val="0"/>
                      <w:szCs w:val="21"/>
                    </w:rPr>
                  </w:pPr>
                  <w:r>
                    <w:rPr>
                      <w:b/>
                      <w:bCs/>
                      <w:color w:val="auto"/>
                      <w:kern w:val="0"/>
                      <w:szCs w:val="21"/>
                    </w:rPr>
                    <w:t>本项目</w:t>
                  </w:r>
                </w:p>
              </w:tc>
              <w:tc>
                <w:tcPr>
                  <w:tcW w:w="525" w:type="pct"/>
                  <w:noWrap w:val="0"/>
                  <w:vAlign w:val="center"/>
                </w:tcPr>
                <w:p>
                  <w:pPr>
                    <w:widowControl/>
                    <w:jc w:val="center"/>
                    <w:rPr>
                      <w:b/>
                      <w:bCs/>
                      <w:color w:val="auto"/>
                      <w:kern w:val="0"/>
                      <w:szCs w:val="21"/>
                    </w:rPr>
                  </w:pPr>
                  <w:r>
                    <w:rPr>
                      <w:b/>
                      <w:bCs/>
                      <w:color w:val="auto"/>
                      <w:kern w:val="0"/>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18" w:type="pct"/>
                  <w:vMerge w:val="restart"/>
                  <w:noWrap w:val="0"/>
                  <w:vAlign w:val="center"/>
                </w:tcPr>
                <w:p>
                  <w:pPr>
                    <w:pStyle w:val="131"/>
                    <w:widowControl/>
                    <w:spacing w:line="240" w:lineRule="auto"/>
                    <w:ind w:firstLine="0" w:firstLineChars="0"/>
                    <w:jc w:val="center"/>
                    <w:rPr>
                      <w:rFonts w:eastAsia="宋体"/>
                      <w:color w:val="auto"/>
                      <w:sz w:val="21"/>
                    </w:rPr>
                  </w:pPr>
                  <w:r>
                    <w:rPr>
                      <w:rFonts w:hint="eastAsia" w:eastAsia="宋体"/>
                      <w:color w:val="auto"/>
                      <w:sz w:val="21"/>
                      <w:lang w:val="en-US" w:eastAsia="zh-CN"/>
                    </w:rPr>
                    <w:t>《水利建设项目（河湖整治与防洪除涝工程）环境应评价文件审批原则》（试行）</w:t>
                  </w:r>
                </w:p>
              </w:tc>
              <w:tc>
                <w:tcPr>
                  <w:tcW w:w="2240" w:type="pct"/>
                  <w:noWrap w:val="0"/>
                  <w:vAlign w:val="center"/>
                </w:tcPr>
                <w:p>
                  <w:pPr>
                    <w:jc w:val="left"/>
                    <w:rPr>
                      <w:color w:val="auto"/>
                      <w:kern w:val="0"/>
                      <w:szCs w:val="21"/>
                    </w:rPr>
                  </w:pPr>
                  <w:r>
                    <w:rPr>
                      <w:color w:val="auto"/>
                      <w:kern w:val="0"/>
                      <w:szCs w:val="21"/>
                    </w:rPr>
                    <w:t>第一条本原则适用于河湖整治与防洪除涝工程环</w:t>
                  </w:r>
                  <w:r>
                    <w:rPr>
                      <w:color w:val="auto"/>
                      <w:kern w:val="0"/>
                      <w:szCs w:val="21"/>
                      <w:highlight w:val="none"/>
                    </w:rPr>
                    <w:t>境影响评价文件的审批，工程建设内容包括疏浚、堤防建设、闸坝闸站建设、岸线治理、水系连通、蓄（滞）洪区建设、排涝治理等（引调水、防洪水</w:t>
                  </w:r>
                  <w:r>
                    <w:rPr>
                      <w:color w:val="auto"/>
                      <w:kern w:val="0"/>
                      <w:szCs w:val="21"/>
                    </w:rPr>
                    <w:t>库等水利枢纽工程除外）。其他类似工程可参照执行。</w:t>
                  </w:r>
                </w:p>
              </w:tc>
              <w:tc>
                <w:tcPr>
                  <w:tcW w:w="1715" w:type="pct"/>
                  <w:noWrap w:val="0"/>
                  <w:vAlign w:val="center"/>
                </w:tcPr>
                <w:p>
                  <w:pPr>
                    <w:jc w:val="left"/>
                    <w:rPr>
                      <w:color w:val="auto"/>
                      <w:kern w:val="0"/>
                      <w:szCs w:val="21"/>
                    </w:rPr>
                  </w:pPr>
                  <w:r>
                    <w:rPr>
                      <w:color w:val="auto"/>
                      <w:kern w:val="0"/>
                      <w:szCs w:val="21"/>
                    </w:rPr>
                    <w:t>本项目为</w:t>
                  </w:r>
                  <w:r>
                    <w:rPr>
                      <w:rFonts w:hint="eastAsia"/>
                      <w:color w:val="auto"/>
                      <w:kern w:val="0"/>
                      <w:szCs w:val="21"/>
                      <w:lang w:eastAsia="zh-CN"/>
                    </w:rPr>
                    <w:t>堤防及清淤工程</w:t>
                  </w:r>
                  <w:r>
                    <w:rPr>
                      <w:color w:val="auto"/>
                      <w:kern w:val="0"/>
                      <w:szCs w:val="21"/>
                    </w:rPr>
                    <w:t>，</w:t>
                  </w:r>
                  <w:r>
                    <w:rPr>
                      <w:rFonts w:hint="eastAsia"/>
                      <w:color w:val="auto"/>
                      <w:kern w:val="0"/>
                      <w:szCs w:val="21"/>
                      <w:lang w:val="en-US" w:eastAsia="zh-CN"/>
                    </w:rPr>
                    <w:t>适用本原则</w:t>
                  </w:r>
                  <w:r>
                    <w:rPr>
                      <w:color w:val="auto"/>
                      <w:kern w:val="0"/>
                      <w:szCs w:val="21"/>
                    </w:rPr>
                    <w:t>。</w:t>
                  </w:r>
                </w:p>
              </w:tc>
              <w:tc>
                <w:tcPr>
                  <w:tcW w:w="525" w:type="pct"/>
                  <w:noWrap w:val="0"/>
                  <w:vAlign w:val="center"/>
                </w:tcPr>
                <w:p>
                  <w:pPr>
                    <w:jc w:val="center"/>
                    <w:rPr>
                      <w:color w:val="auto"/>
                      <w:kern w:val="0"/>
                      <w:szCs w:val="21"/>
                    </w:rPr>
                  </w:pPr>
                  <w:r>
                    <w:rPr>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18" w:type="pct"/>
                  <w:vMerge w:val="continue"/>
                  <w:noWrap w:val="0"/>
                  <w:vAlign w:val="center"/>
                </w:tcPr>
                <w:p>
                  <w:pPr>
                    <w:pStyle w:val="131"/>
                    <w:widowControl/>
                    <w:spacing w:line="240" w:lineRule="auto"/>
                    <w:ind w:firstLine="0" w:firstLineChars="0"/>
                    <w:jc w:val="center"/>
                    <w:rPr>
                      <w:rFonts w:hint="eastAsia" w:eastAsia="宋体"/>
                      <w:color w:val="auto"/>
                      <w:sz w:val="21"/>
                      <w:lang w:val="en-US" w:eastAsia="zh-CN"/>
                    </w:rPr>
                  </w:pPr>
                </w:p>
              </w:tc>
              <w:tc>
                <w:tcPr>
                  <w:tcW w:w="2240" w:type="pct"/>
                  <w:noWrap w:val="0"/>
                  <w:vAlign w:val="center"/>
                </w:tcPr>
                <w:p>
                  <w:pPr>
                    <w:jc w:val="left"/>
                    <w:rPr>
                      <w:rFonts w:ascii="Times New Roman" w:hAnsi="Times New Roman" w:eastAsia="宋体" w:cs="Times New Roman"/>
                      <w:color w:val="auto"/>
                      <w:kern w:val="0"/>
                      <w:sz w:val="21"/>
                      <w:szCs w:val="21"/>
                      <w:lang w:val="en-US" w:eastAsia="zh-CN" w:bidi="ar-SA"/>
                    </w:rPr>
                  </w:pPr>
                  <w:r>
                    <w:rPr>
                      <w:color w:val="auto"/>
                      <w:kern w:val="0"/>
                      <w:szCs w:val="21"/>
                    </w:rPr>
                    <w:t>第二条项目符合环境保护相关法律法规和政策要求，与主体功能区规划、生态功能区划、水环境功能区划、水功能区划、生态环境保护规划、流域综合规划、防洪规划等相协调，满足相关规划环评要求。工程涉及岸线调整（治导线变化）、裁弯取直、围垦水面和占用河湖滩地等建设内容的，充分论证了方案环境可行性，最大程度保持了河湖自然形态，最大限度维护了河湖健康、生态系统功能和生物多样性。</w:t>
                  </w:r>
                </w:p>
              </w:tc>
              <w:tc>
                <w:tcPr>
                  <w:tcW w:w="1715" w:type="pct"/>
                  <w:noWrap w:val="0"/>
                  <w:vAlign w:val="center"/>
                </w:tcPr>
                <w:p>
                  <w:pPr>
                    <w:jc w:val="left"/>
                    <w:rPr>
                      <w:rFonts w:hint="eastAsia" w:eastAsia="宋体"/>
                      <w:color w:val="auto"/>
                      <w:kern w:val="0"/>
                      <w:szCs w:val="21"/>
                      <w:lang w:val="en-US" w:eastAsia="zh-CN"/>
                    </w:rPr>
                  </w:pPr>
                  <w:r>
                    <w:rPr>
                      <w:rFonts w:hint="eastAsia"/>
                      <w:color w:val="auto"/>
                      <w:kern w:val="0"/>
                      <w:szCs w:val="21"/>
                      <w:lang w:val="en-US" w:eastAsia="zh-CN"/>
                    </w:rPr>
                    <w:t>本项目符合《嘉陵江流域综合规划》，项目不涉及</w:t>
                  </w:r>
                  <w:r>
                    <w:rPr>
                      <w:color w:val="auto"/>
                      <w:kern w:val="0"/>
                      <w:szCs w:val="21"/>
                    </w:rPr>
                    <w:t>围垦水面</w:t>
                  </w:r>
                  <w:r>
                    <w:rPr>
                      <w:rFonts w:hint="eastAsia"/>
                      <w:color w:val="auto"/>
                      <w:kern w:val="0"/>
                      <w:szCs w:val="21"/>
                      <w:lang w:eastAsia="zh-CN"/>
                    </w:rPr>
                    <w:t>，</w:t>
                  </w:r>
                  <w:r>
                    <w:rPr>
                      <w:rFonts w:hint="eastAsia"/>
                      <w:color w:val="auto"/>
                      <w:kern w:val="0"/>
                      <w:szCs w:val="21"/>
                      <w:lang w:val="en-US" w:eastAsia="zh-CN"/>
                    </w:rPr>
                    <w:t>部分堤防建设在河滩地上，设计论证可行，能够维护河湖健康、生态系统功能和生物多样性。项目涉及</w:t>
                  </w:r>
                  <w:r>
                    <w:rPr>
                      <w:color w:val="auto"/>
                      <w:kern w:val="0"/>
                      <w:szCs w:val="21"/>
                    </w:rPr>
                    <w:t>裁弯取直</w:t>
                  </w:r>
                  <w:r>
                    <w:rPr>
                      <w:rFonts w:hint="eastAsia"/>
                      <w:color w:val="auto"/>
                      <w:kern w:val="0"/>
                      <w:szCs w:val="21"/>
                      <w:lang w:eastAsia="zh-CN"/>
                    </w:rPr>
                    <w:t>，</w:t>
                  </w:r>
                  <w:r>
                    <w:rPr>
                      <w:rFonts w:hint="eastAsia"/>
                      <w:color w:val="auto"/>
                      <w:kern w:val="0"/>
                      <w:szCs w:val="21"/>
                      <w:lang w:val="en-US" w:eastAsia="zh-CN"/>
                    </w:rPr>
                    <w:t>已</w:t>
                  </w:r>
                  <w:r>
                    <w:rPr>
                      <w:color w:val="auto"/>
                      <w:kern w:val="0"/>
                      <w:szCs w:val="21"/>
                    </w:rPr>
                    <w:t>充分论证了方案环境可行性</w:t>
                  </w:r>
                  <w:r>
                    <w:rPr>
                      <w:rFonts w:hint="eastAsia"/>
                      <w:color w:val="auto"/>
                      <w:kern w:val="0"/>
                      <w:szCs w:val="21"/>
                      <w:lang w:eastAsia="zh-CN"/>
                    </w:rPr>
                    <w:t>。</w:t>
                  </w:r>
                </w:p>
              </w:tc>
              <w:tc>
                <w:tcPr>
                  <w:tcW w:w="525" w:type="pct"/>
                  <w:noWrap w:val="0"/>
                  <w:vAlign w:val="center"/>
                </w:tcPr>
                <w:p>
                  <w:pPr>
                    <w:jc w:val="center"/>
                    <w:rPr>
                      <w:rFonts w:hint="eastAsia" w:eastAsia="宋体"/>
                      <w:color w:val="auto"/>
                      <w:kern w:val="0"/>
                      <w:szCs w:val="21"/>
                      <w:lang w:val="en-US" w:eastAsia="zh-CN"/>
                    </w:rPr>
                  </w:pPr>
                  <w:r>
                    <w:rPr>
                      <w:rFonts w:hint="eastAsia"/>
                      <w:color w:val="auto"/>
                      <w:kern w:val="0"/>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18" w:type="pct"/>
                  <w:vMerge w:val="continue"/>
                  <w:noWrap w:val="0"/>
                  <w:vAlign w:val="center"/>
                </w:tcPr>
                <w:p>
                  <w:pPr>
                    <w:pStyle w:val="131"/>
                    <w:widowControl/>
                    <w:spacing w:line="240" w:lineRule="auto"/>
                    <w:ind w:firstLine="0" w:firstLineChars="0"/>
                    <w:jc w:val="center"/>
                    <w:rPr>
                      <w:rFonts w:hint="eastAsia" w:eastAsia="宋体"/>
                      <w:color w:val="auto"/>
                      <w:sz w:val="21"/>
                      <w:lang w:val="en-US" w:eastAsia="zh-CN"/>
                    </w:rPr>
                  </w:pPr>
                </w:p>
              </w:tc>
              <w:tc>
                <w:tcPr>
                  <w:tcW w:w="2240" w:type="pct"/>
                  <w:noWrap w:val="0"/>
                  <w:vAlign w:val="center"/>
                </w:tcPr>
                <w:p>
                  <w:pPr>
                    <w:jc w:val="left"/>
                    <w:rPr>
                      <w:rFonts w:ascii="Times New Roman" w:hAnsi="Times New Roman" w:eastAsia="宋体" w:cs="Times New Roman"/>
                      <w:color w:val="auto"/>
                      <w:kern w:val="0"/>
                      <w:sz w:val="21"/>
                      <w:szCs w:val="21"/>
                      <w:lang w:val="en-US" w:eastAsia="zh-CN" w:bidi="ar-SA"/>
                    </w:rPr>
                  </w:pPr>
                  <w:r>
                    <w:rPr>
                      <w:color w:val="auto"/>
                      <w:kern w:val="0"/>
                      <w:szCs w:val="21"/>
                    </w:rPr>
                    <w:t>第三条工程选址选线、施工布置原则上不占用自然保护区、风景名胜区、世界文化和自然遗产地以及其他生态保护红线等环境敏感区中法律法规禁止占用的区域，并与饮用水水源保护区的保护要求相协调。法律法规、政策另有规定的从其规定。</w:t>
                  </w:r>
                </w:p>
              </w:tc>
              <w:tc>
                <w:tcPr>
                  <w:tcW w:w="1715" w:type="pct"/>
                  <w:noWrap w:val="0"/>
                  <w:vAlign w:val="center"/>
                </w:tcPr>
                <w:p>
                  <w:pPr>
                    <w:jc w:val="left"/>
                    <w:rPr>
                      <w:rFonts w:hint="eastAsia" w:eastAsia="宋体"/>
                      <w:color w:val="auto"/>
                      <w:kern w:val="0"/>
                      <w:szCs w:val="21"/>
                      <w:lang w:val="en-US" w:eastAsia="zh-CN"/>
                    </w:rPr>
                  </w:pPr>
                  <w:r>
                    <w:rPr>
                      <w:rFonts w:hint="eastAsia"/>
                      <w:color w:val="auto"/>
                      <w:kern w:val="0"/>
                      <w:szCs w:val="21"/>
                      <w:lang w:val="en-US" w:eastAsia="zh-CN"/>
                    </w:rPr>
                    <w:t>本项目</w:t>
                  </w:r>
                  <w:r>
                    <w:rPr>
                      <w:rFonts w:hint="default" w:ascii="Times New Roman" w:hAnsi="Times New Roman" w:eastAsia="宋体" w:cs="Times New Roman"/>
                      <w:color w:val="auto"/>
                      <w:sz w:val="21"/>
                      <w:szCs w:val="24"/>
                      <w:lang w:val="en-US" w:eastAsia="zh-CN"/>
                    </w:rPr>
                    <w:t>为</w:t>
                  </w:r>
                  <w:r>
                    <w:rPr>
                      <w:rFonts w:hint="eastAsia" w:cs="Times New Roman"/>
                      <w:color w:val="auto"/>
                      <w:sz w:val="21"/>
                      <w:szCs w:val="24"/>
                      <w:lang w:eastAsia="zh-CN"/>
                    </w:rPr>
                    <w:t>堤防及清淤工程</w:t>
                  </w:r>
                  <w:r>
                    <w:rPr>
                      <w:rFonts w:hint="default" w:ascii="Times New Roman" w:hAnsi="Times New Roman" w:eastAsia="宋体" w:cs="Times New Roman"/>
                      <w:color w:val="auto"/>
                      <w:sz w:val="21"/>
                      <w:szCs w:val="24"/>
                    </w:rPr>
                    <w:t>，</w:t>
                  </w:r>
                  <w:r>
                    <w:rPr>
                      <w:rFonts w:hint="eastAsia"/>
                      <w:color w:val="auto"/>
                      <w:kern w:val="0"/>
                      <w:szCs w:val="21"/>
                      <w:lang w:val="en-US" w:eastAsia="zh-CN"/>
                    </w:rPr>
                    <w:t>本项目不涉及</w:t>
                  </w:r>
                  <w:r>
                    <w:rPr>
                      <w:color w:val="auto"/>
                      <w:kern w:val="0"/>
                      <w:szCs w:val="21"/>
                    </w:rPr>
                    <w:t>自然保护区、风景名胜区、世界文化和自然遗产地以及其他生态保护红线等</w:t>
                  </w:r>
                  <w:r>
                    <w:rPr>
                      <w:rFonts w:hint="eastAsia"/>
                      <w:color w:val="auto"/>
                      <w:kern w:val="0"/>
                      <w:szCs w:val="21"/>
                      <w:lang w:eastAsia="zh-CN"/>
                    </w:rPr>
                    <w:t>。</w:t>
                  </w:r>
                </w:p>
                <w:p>
                  <w:pPr>
                    <w:jc w:val="left"/>
                    <w:rPr>
                      <w:rFonts w:hint="default" w:eastAsia="宋体"/>
                      <w:color w:val="auto"/>
                      <w:kern w:val="0"/>
                      <w:szCs w:val="21"/>
                      <w:lang w:val="en-US" w:eastAsia="zh-CN"/>
                    </w:rPr>
                  </w:pPr>
                </w:p>
              </w:tc>
              <w:tc>
                <w:tcPr>
                  <w:tcW w:w="525" w:type="pct"/>
                  <w:noWrap w:val="0"/>
                  <w:vAlign w:val="center"/>
                </w:tcPr>
                <w:p>
                  <w:pPr>
                    <w:jc w:val="center"/>
                    <w:rPr>
                      <w:rFonts w:hint="eastAsia" w:eastAsia="宋体"/>
                      <w:color w:val="auto"/>
                      <w:kern w:val="0"/>
                      <w:szCs w:val="21"/>
                      <w:lang w:val="en-US" w:eastAsia="zh-CN"/>
                    </w:rPr>
                  </w:pPr>
                  <w:r>
                    <w:rPr>
                      <w:rFonts w:hint="eastAsia"/>
                      <w:color w:val="auto"/>
                      <w:kern w:val="0"/>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18" w:type="pct"/>
                  <w:vMerge w:val="continue"/>
                  <w:noWrap w:val="0"/>
                  <w:vAlign w:val="center"/>
                </w:tcPr>
                <w:p>
                  <w:pPr>
                    <w:pStyle w:val="131"/>
                    <w:widowControl/>
                    <w:spacing w:line="240" w:lineRule="auto"/>
                    <w:ind w:firstLine="0" w:firstLineChars="0"/>
                    <w:jc w:val="center"/>
                    <w:rPr>
                      <w:rFonts w:hint="eastAsia" w:eastAsia="宋体"/>
                      <w:color w:val="auto"/>
                      <w:sz w:val="21"/>
                      <w:lang w:val="en-US" w:eastAsia="zh-CN"/>
                    </w:rPr>
                  </w:pPr>
                </w:p>
              </w:tc>
              <w:tc>
                <w:tcPr>
                  <w:tcW w:w="2240" w:type="pct"/>
                  <w:noWrap w:val="0"/>
                  <w:vAlign w:val="center"/>
                </w:tcPr>
                <w:p>
                  <w:pPr>
                    <w:numPr>
                      <w:ilvl w:val="0"/>
                      <w:numId w:val="0"/>
                    </w:numPr>
                    <w:jc w:val="left"/>
                    <w:rPr>
                      <w:rFonts w:hint="eastAsia"/>
                      <w:color w:val="auto"/>
                      <w:kern w:val="0"/>
                      <w:szCs w:val="21"/>
                      <w:lang w:eastAsia="zh-CN"/>
                    </w:rPr>
                  </w:pPr>
                  <w:r>
                    <w:rPr>
                      <w:rFonts w:hint="eastAsia" w:ascii="Times New Roman" w:hAnsi="Times New Roman" w:eastAsia="宋体" w:cs="Times New Roman"/>
                      <w:color w:val="auto"/>
                      <w:kern w:val="0"/>
                      <w:sz w:val="21"/>
                      <w:szCs w:val="21"/>
                      <w:lang w:val="en-US" w:eastAsia="zh-CN" w:bidi="ar-SA"/>
                    </w:rPr>
                    <w:t>第四条</w:t>
                  </w:r>
                  <w:r>
                    <w:rPr>
                      <w:color w:val="auto"/>
                      <w:kern w:val="0"/>
                      <w:szCs w:val="21"/>
                    </w:rPr>
                    <w:t>项目实施改变水动力条件或水文过程且对水质产生不利影响的，提出了工程优化调整、科学调度、实施区域流域水污染防治等措施。对地下水环境产生不利影响或次生环境影响的，提出了优化工程设计、导排、防护等针对性的防治措施</w:t>
                  </w:r>
                  <w:r>
                    <w:rPr>
                      <w:rFonts w:hint="eastAsia"/>
                      <w:color w:val="auto"/>
                      <w:kern w:val="0"/>
                      <w:szCs w:val="21"/>
                      <w:lang w:eastAsia="zh-CN"/>
                    </w:rPr>
                    <w:t>。</w:t>
                  </w:r>
                </w:p>
                <w:p>
                  <w:pPr>
                    <w:numPr>
                      <w:ilvl w:val="0"/>
                      <w:numId w:val="0"/>
                    </w:numPr>
                    <w:jc w:val="left"/>
                    <w:rPr>
                      <w:rFonts w:ascii="Times New Roman" w:hAnsi="Times New Roman" w:eastAsia="宋体" w:cs="Times New Roman"/>
                      <w:color w:val="auto"/>
                      <w:kern w:val="0"/>
                      <w:sz w:val="21"/>
                      <w:szCs w:val="21"/>
                      <w:lang w:val="en-US" w:eastAsia="zh-CN" w:bidi="ar-SA"/>
                    </w:rPr>
                  </w:pPr>
                  <w:r>
                    <w:rPr>
                      <w:color w:val="auto"/>
                      <w:kern w:val="0"/>
                      <w:szCs w:val="21"/>
                    </w:rPr>
                    <w:t>在采取上述措施后，对水环境的不利影响能够得到缓解和控制，居民用水安全能够得到保障，相关区域不会出现显著的土壤潜育化、沼泽化、盐碱化等次生环境问题。</w:t>
                  </w:r>
                </w:p>
              </w:tc>
              <w:tc>
                <w:tcPr>
                  <w:tcW w:w="1715" w:type="pct"/>
                  <w:noWrap w:val="0"/>
                  <w:vAlign w:val="center"/>
                </w:tcPr>
                <w:p>
                  <w:pPr>
                    <w:jc w:val="left"/>
                    <w:rPr>
                      <w:rFonts w:hint="default" w:eastAsia="宋体"/>
                      <w:color w:val="auto"/>
                      <w:kern w:val="0"/>
                      <w:szCs w:val="21"/>
                      <w:lang w:val="en-US" w:eastAsia="zh-CN"/>
                    </w:rPr>
                  </w:pPr>
                  <w:r>
                    <w:rPr>
                      <w:rFonts w:hint="eastAsia"/>
                      <w:color w:val="auto"/>
                      <w:kern w:val="0"/>
                      <w:szCs w:val="21"/>
                      <w:lang w:val="en-US" w:eastAsia="zh-CN"/>
                    </w:rPr>
                    <w:t>本项目实施不会改变水动力条件或水文过程，在做好隔油沉淀池防渗后，不会对地下水环境产生影响。</w:t>
                  </w:r>
                </w:p>
              </w:tc>
              <w:tc>
                <w:tcPr>
                  <w:tcW w:w="525" w:type="pct"/>
                  <w:noWrap w:val="0"/>
                  <w:vAlign w:val="center"/>
                </w:tcPr>
                <w:p>
                  <w:pPr>
                    <w:jc w:val="center"/>
                    <w:rPr>
                      <w:rFonts w:hint="eastAsia" w:eastAsia="宋体"/>
                      <w:color w:val="auto"/>
                      <w:kern w:val="0"/>
                      <w:szCs w:val="21"/>
                      <w:lang w:val="en-US" w:eastAsia="zh-CN"/>
                    </w:rPr>
                  </w:pPr>
                  <w:r>
                    <w:rPr>
                      <w:rFonts w:hint="eastAsia"/>
                      <w:color w:val="auto"/>
                      <w:kern w:val="0"/>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18" w:type="pct"/>
                  <w:vMerge w:val="continue"/>
                  <w:noWrap w:val="0"/>
                  <w:vAlign w:val="center"/>
                </w:tcPr>
                <w:p>
                  <w:pPr>
                    <w:pStyle w:val="131"/>
                    <w:widowControl/>
                    <w:spacing w:line="240" w:lineRule="auto"/>
                    <w:ind w:firstLine="0" w:firstLineChars="0"/>
                    <w:jc w:val="center"/>
                    <w:rPr>
                      <w:rFonts w:hint="eastAsia" w:eastAsia="宋体"/>
                      <w:color w:val="auto"/>
                      <w:sz w:val="21"/>
                      <w:lang w:val="en-US" w:eastAsia="zh-CN"/>
                    </w:rPr>
                  </w:pPr>
                </w:p>
              </w:tc>
              <w:tc>
                <w:tcPr>
                  <w:tcW w:w="2240" w:type="pct"/>
                  <w:noWrap w:val="0"/>
                  <w:vAlign w:val="center"/>
                </w:tcPr>
                <w:p>
                  <w:pPr>
                    <w:jc w:val="left"/>
                    <w:rPr>
                      <w:rFonts w:ascii="Times New Roman" w:hAnsi="Times New Roman" w:eastAsia="宋体" w:cs="Times New Roman"/>
                      <w:color w:val="auto"/>
                      <w:kern w:val="0"/>
                      <w:sz w:val="21"/>
                      <w:szCs w:val="21"/>
                      <w:lang w:val="en-US" w:eastAsia="zh-CN" w:bidi="ar-SA"/>
                    </w:rPr>
                  </w:pPr>
                  <w:r>
                    <w:rPr>
                      <w:color w:val="auto"/>
                      <w:kern w:val="0"/>
                      <w:szCs w:val="21"/>
                    </w:rPr>
                    <w:t>第五条项目对鱼类等水生生物的洄游通道及“三场”等重要生境、物种多样性及资源量等产生不利影响的，提出了下泄生态流量、恢复鱼类洄游通道、采用生态友好型护岸（坡、底）、生态修复、增殖放流等措施。在采取上述措施后，对水生生物的不利影响能够得到缓解和控制，不会造成原有珍稀濒危保护、区域特有或重要经济水生生物在相关河段消失，不会对相关河段水生生态系统造成重大不利影响。</w:t>
                  </w:r>
                </w:p>
              </w:tc>
              <w:tc>
                <w:tcPr>
                  <w:tcW w:w="1715" w:type="pct"/>
                  <w:noWrap w:val="0"/>
                  <w:vAlign w:val="center"/>
                </w:tcPr>
                <w:p>
                  <w:pPr>
                    <w:jc w:val="left"/>
                    <w:rPr>
                      <w:rFonts w:hint="eastAsia" w:eastAsia="宋体"/>
                      <w:color w:val="auto"/>
                      <w:kern w:val="0"/>
                      <w:szCs w:val="21"/>
                      <w:lang w:eastAsia="zh-CN"/>
                    </w:rPr>
                  </w:pPr>
                  <w:r>
                    <w:rPr>
                      <w:color w:val="auto"/>
                      <w:kern w:val="0"/>
                      <w:szCs w:val="21"/>
                    </w:rPr>
                    <w:t>本项目建设区域</w:t>
                  </w:r>
                  <w:r>
                    <w:rPr>
                      <w:rFonts w:hint="eastAsia"/>
                      <w:color w:val="auto"/>
                      <w:kern w:val="0"/>
                      <w:szCs w:val="21"/>
                      <w:lang w:val="en-US" w:eastAsia="zh-CN"/>
                    </w:rPr>
                    <w:t>不</w:t>
                  </w:r>
                  <w:r>
                    <w:rPr>
                      <w:color w:val="auto"/>
                      <w:kern w:val="0"/>
                      <w:szCs w:val="21"/>
                    </w:rPr>
                    <w:t>涉及鱼类等水生生物的洄游通道及“三场”等</w:t>
                  </w:r>
                  <w:r>
                    <w:rPr>
                      <w:rFonts w:hint="eastAsia"/>
                      <w:color w:val="auto"/>
                      <w:kern w:val="0"/>
                      <w:szCs w:val="21"/>
                      <w:lang w:val="en-US" w:eastAsia="zh-CN"/>
                    </w:rPr>
                    <w:t>；本项目所在河堤堤防基础的修建可能扰动水体，在采取报告提出的枯水期（12月~次年3月份）施工，最大限度的减少底泥扰动的情况下，可以最大限度降低对河道生物的影响。</w:t>
                  </w:r>
                </w:p>
              </w:tc>
              <w:tc>
                <w:tcPr>
                  <w:tcW w:w="525" w:type="pct"/>
                  <w:noWrap w:val="0"/>
                  <w:vAlign w:val="center"/>
                </w:tcPr>
                <w:p>
                  <w:pPr>
                    <w:jc w:val="center"/>
                    <w:rPr>
                      <w:rFonts w:hint="eastAsia" w:eastAsia="宋体"/>
                      <w:color w:val="auto"/>
                      <w:kern w:val="0"/>
                      <w:szCs w:val="21"/>
                      <w:lang w:val="en-US" w:eastAsia="zh-CN"/>
                    </w:rPr>
                  </w:pPr>
                  <w:r>
                    <w:rPr>
                      <w:rFonts w:hint="eastAsia"/>
                      <w:color w:val="auto"/>
                      <w:kern w:val="0"/>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18" w:type="pct"/>
                  <w:vMerge w:val="continue"/>
                  <w:noWrap w:val="0"/>
                  <w:vAlign w:val="center"/>
                </w:tcPr>
                <w:p>
                  <w:pPr>
                    <w:pStyle w:val="131"/>
                    <w:widowControl/>
                    <w:spacing w:line="240" w:lineRule="auto"/>
                    <w:ind w:firstLine="0" w:firstLineChars="0"/>
                    <w:jc w:val="center"/>
                    <w:rPr>
                      <w:rFonts w:hint="eastAsia" w:eastAsia="宋体"/>
                      <w:color w:val="auto"/>
                      <w:sz w:val="21"/>
                      <w:lang w:val="en-US" w:eastAsia="zh-CN"/>
                    </w:rPr>
                  </w:pPr>
                </w:p>
              </w:tc>
              <w:tc>
                <w:tcPr>
                  <w:tcW w:w="2240" w:type="pct"/>
                  <w:noWrap w:val="0"/>
                  <w:vAlign w:val="center"/>
                </w:tcPr>
                <w:p>
                  <w:pPr>
                    <w:jc w:val="left"/>
                    <w:rPr>
                      <w:color w:val="auto"/>
                      <w:kern w:val="0"/>
                      <w:szCs w:val="21"/>
                    </w:rPr>
                  </w:pPr>
                  <w:r>
                    <w:rPr>
                      <w:color w:val="auto"/>
                      <w:kern w:val="0"/>
                      <w:szCs w:val="21"/>
                    </w:rPr>
                    <w:t>第六条项目对湿地生态系统结构和功能、河湖生态缓冲带造成不利影响的，提出了优化工程设计及调度运行方案、生态修复等措施。对珍稀濒危保护植物造成不利影响的，提出了避让、原位防护、移栽等措施。对陆生珍稀濒危保护动物及其生境造成不利影响的，提出了避让、救护、迁徙廊道构建、生境再造等措施。对景观产生不利影响的，提出了避让、优化设计、景观塑造等措施。</w:t>
                  </w:r>
                </w:p>
                <w:p>
                  <w:pPr>
                    <w:jc w:val="left"/>
                    <w:rPr>
                      <w:rFonts w:ascii="Times New Roman" w:hAnsi="Times New Roman" w:eastAsia="宋体" w:cs="Times New Roman"/>
                      <w:color w:val="auto"/>
                      <w:kern w:val="0"/>
                      <w:sz w:val="21"/>
                      <w:szCs w:val="21"/>
                      <w:lang w:val="en-US" w:eastAsia="zh-CN" w:bidi="ar-SA"/>
                    </w:rPr>
                  </w:pPr>
                  <w:r>
                    <w:rPr>
                      <w:color w:val="auto"/>
                      <w:kern w:val="0"/>
                      <w:szCs w:val="21"/>
                    </w:rPr>
                    <w:t>在采取上述措施后，对湿地以及陆生动植物的不利影响能够得到缓解和控制，与区域景观相协调，不会造成原有珍稀濒危保护动植物在相关区域消失，不会对陆生生态系统造成重大不利影响。</w:t>
                  </w:r>
                </w:p>
              </w:tc>
              <w:tc>
                <w:tcPr>
                  <w:tcW w:w="1715" w:type="pct"/>
                  <w:noWrap w:val="0"/>
                  <w:vAlign w:val="center"/>
                </w:tcPr>
                <w:p>
                  <w:pPr>
                    <w:jc w:val="left"/>
                    <w:rPr>
                      <w:rFonts w:hint="default" w:eastAsia="宋体"/>
                      <w:color w:val="auto"/>
                      <w:kern w:val="0"/>
                      <w:szCs w:val="21"/>
                      <w:lang w:val="en-US" w:eastAsia="zh-CN"/>
                    </w:rPr>
                  </w:pPr>
                  <w:r>
                    <w:rPr>
                      <w:color w:val="auto"/>
                      <w:szCs w:val="21"/>
                    </w:rPr>
                    <w:t>本项目</w:t>
                  </w:r>
                  <w:r>
                    <w:rPr>
                      <w:rFonts w:hint="eastAsia"/>
                      <w:color w:val="auto"/>
                      <w:szCs w:val="21"/>
                      <w:lang w:val="en-US" w:eastAsia="zh-CN"/>
                    </w:rPr>
                    <w:t>不涉及湿地生态系统，不会对河湖生态缓冲带造成不利影响，项目不涉及珍稀濒危保护植物、不涉及陆生珍稀濒危保护动物及其生境产生不利影响。</w:t>
                  </w:r>
                </w:p>
              </w:tc>
              <w:tc>
                <w:tcPr>
                  <w:tcW w:w="525" w:type="pct"/>
                  <w:noWrap w:val="0"/>
                  <w:vAlign w:val="center"/>
                </w:tcPr>
                <w:p>
                  <w:pPr>
                    <w:jc w:val="center"/>
                    <w:rPr>
                      <w:rFonts w:hint="eastAsia" w:eastAsia="宋体"/>
                      <w:color w:val="auto"/>
                      <w:kern w:val="0"/>
                      <w:szCs w:val="21"/>
                      <w:lang w:val="en-US" w:eastAsia="zh-CN"/>
                    </w:rPr>
                  </w:pPr>
                  <w:r>
                    <w:rPr>
                      <w:rFonts w:hint="eastAsia"/>
                      <w:color w:val="auto"/>
                      <w:kern w:val="0"/>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18" w:type="pct"/>
                  <w:vMerge w:val="continue"/>
                  <w:noWrap w:val="0"/>
                  <w:vAlign w:val="center"/>
                </w:tcPr>
                <w:p>
                  <w:pPr>
                    <w:pStyle w:val="131"/>
                    <w:widowControl/>
                    <w:spacing w:line="240" w:lineRule="auto"/>
                    <w:ind w:firstLine="0" w:firstLineChars="0"/>
                    <w:jc w:val="center"/>
                    <w:rPr>
                      <w:rFonts w:hint="eastAsia" w:eastAsia="宋体"/>
                      <w:color w:val="auto"/>
                      <w:sz w:val="21"/>
                      <w:lang w:val="en-US" w:eastAsia="zh-CN"/>
                    </w:rPr>
                  </w:pPr>
                </w:p>
              </w:tc>
              <w:tc>
                <w:tcPr>
                  <w:tcW w:w="2240" w:type="pct"/>
                  <w:noWrap w:val="0"/>
                  <w:vAlign w:val="center"/>
                </w:tcPr>
                <w:p>
                  <w:pPr>
                    <w:numPr>
                      <w:ilvl w:val="0"/>
                      <w:numId w:val="0"/>
                    </w:numPr>
                    <w:ind w:leftChars="0"/>
                    <w:jc w:val="left"/>
                    <w:rPr>
                      <w:color w:val="auto"/>
                      <w:kern w:val="0"/>
                      <w:szCs w:val="21"/>
                    </w:rPr>
                  </w:pPr>
                  <w:r>
                    <w:rPr>
                      <w:rFonts w:hint="eastAsia"/>
                      <w:color w:val="auto"/>
                      <w:kern w:val="0"/>
                      <w:szCs w:val="21"/>
                      <w:lang w:val="en-US" w:eastAsia="zh-CN"/>
                    </w:rPr>
                    <w:t>第七条</w:t>
                  </w:r>
                  <w:r>
                    <w:rPr>
                      <w:color w:val="auto"/>
                      <w:kern w:val="0"/>
                      <w:szCs w:val="21"/>
                    </w:rPr>
                    <w:t>项目施工组织方案具有环境合理性，对料场、弃土（渣）场等施工场地提出了水土流失防治和生态修复等措施。根据环境保护相关标准和要求，对施工期各类废（污）水、扬尘、废气、噪声、固体废物等提出了防治或处置措施。其中，涉水施工涉及饮用水水源保护区或取水口并可能对水质造成不利影响的，提出了避让、施工方案优化、污染物控制等措施；涉水施工对鱼类等水生生物及其重要生境造成不利影响的，提出了避让、施工方案优化、控制施工噪声等措施；针对清淤、疏浚等产生的淤泥，提出了符合相关规定的处置或综合利用方案。</w:t>
                  </w:r>
                </w:p>
                <w:p>
                  <w:pPr>
                    <w:numPr>
                      <w:ilvl w:val="0"/>
                      <w:numId w:val="0"/>
                    </w:numPr>
                    <w:ind w:leftChars="0"/>
                    <w:jc w:val="left"/>
                    <w:rPr>
                      <w:rFonts w:ascii="Times New Roman" w:hAnsi="Times New Roman" w:eastAsia="宋体" w:cs="Times New Roman"/>
                      <w:color w:val="auto"/>
                      <w:kern w:val="0"/>
                      <w:sz w:val="21"/>
                      <w:szCs w:val="21"/>
                      <w:lang w:val="en-US" w:eastAsia="zh-CN" w:bidi="ar-SA"/>
                    </w:rPr>
                  </w:pPr>
                  <w:r>
                    <w:rPr>
                      <w:color w:val="auto"/>
                      <w:kern w:val="0"/>
                      <w:szCs w:val="21"/>
                    </w:rPr>
                    <w:t>在采取上述措施后，施工期的不利环境影响能够得到缓解和控制，不会对周围环境和敏感保护目标造成重大不利影响。</w:t>
                  </w:r>
                </w:p>
              </w:tc>
              <w:tc>
                <w:tcPr>
                  <w:tcW w:w="1715" w:type="pct"/>
                  <w:noWrap w:val="0"/>
                  <w:vAlign w:val="center"/>
                </w:tcPr>
                <w:p>
                  <w:pPr>
                    <w:numPr>
                      <w:ilvl w:val="0"/>
                      <w:numId w:val="0"/>
                    </w:numPr>
                    <w:ind w:leftChars="0"/>
                    <w:jc w:val="left"/>
                    <w:rPr>
                      <w:rFonts w:hint="default" w:eastAsia="宋体"/>
                      <w:color w:val="auto"/>
                      <w:kern w:val="0"/>
                      <w:szCs w:val="21"/>
                      <w:lang w:val="en-US" w:eastAsia="zh-CN"/>
                    </w:rPr>
                  </w:pPr>
                  <w:r>
                    <w:rPr>
                      <w:rFonts w:hint="eastAsia"/>
                      <w:color w:val="auto"/>
                      <w:kern w:val="0"/>
                      <w:szCs w:val="21"/>
                      <w:lang w:val="en-US" w:eastAsia="zh-CN"/>
                    </w:rPr>
                    <w:t>本报告提出了相应水土保持措施，项目不涉及饮用用水水源保护区，</w:t>
                  </w:r>
                  <w:r>
                    <w:rPr>
                      <w:color w:val="auto"/>
                      <w:kern w:val="0"/>
                      <w:szCs w:val="21"/>
                    </w:rPr>
                    <w:t>涉水施工对鱼类等水生生物及其重要生境造成不利影响的，提出了施工方案优化、控制施工噪声等措施；针对清淤、疏浚等产生的淤泥，提出了符合相关规定的</w:t>
                  </w:r>
                  <w:r>
                    <w:rPr>
                      <w:rFonts w:hint="eastAsia"/>
                      <w:color w:val="auto"/>
                      <w:kern w:val="0"/>
                      <w:szCs w:val="21"/>
                      <w:lang w:val="en-US" w:eastAsia="zh-CN"/>
                    </w:rPr>
                    <w:t>脱水后</w:t>
                  </w:r>
                  <w:r>
                    <w:rPr>
                      <w:color w:val="auto"/>
                      <w:kern w:val="0"/>
                      <w:szCs w:val="21"/>
                    </w:rPr>
                    <w:t>综合利用方案。</w:t>
                  </w:r>
                </w:p>
              </w:tc>
              <w:tc>
                <w:tcPr>
                  <w:tcW w:w="525" w:type="pct"/>
                  <w:noWrap w:val="0"/>
                  <w:vAlign w:val="center"/>
                </w:tcPr>
                <w:p>
                  <w:pPr>
                    <w:jc w:val="center"/>
                    <w:rPr>
                      <w:rFonts w:hint="eastAsia" w:eastAsia="宋体"/>
                      <w:color w:val="auto"/>
                      <w:kern w:val="0"/>
                      <w:szCs w:val="21"/>
                      <w:lang w:val="en-US" w:eastAsia="zh-CN"/>
                    </w:rPr>
                  </w:pPr>
                  <w:r>
                    <w:rPr>
                      <w:rFonts w:hint="eastAsia"/>
                      <w:color w:val="auto"/>
                      <w:kern w:val="0"/>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18" w:type="pct"/>
                  <w:vMerge w:val="continue"/>
                  <w:noWrap w:val="0"/>
                  <w:vAlign w:val="center"/>
                </w:tcPr>
                <w:p>
                  <w:pPr>
                    <w:pStyle w:val="131"/>
                    <w:widowControl/>
                    <w:spacing w:line="240" w:lineRule="auto"/>
                    <w:ind w:firstLine="0" w:firstLineChars="0"/>
                    <w:jc w:val="center"/>
                    <w:rPr>
                      <w:rFonts w:hint="eastAsia" w:eastAsia="宋体"/>
                      <w:color w:val="auto"/>
                      <w:sz w:val="21"/>
                      <w:lang w:val="en-US" w:eastAsia="zh-CN"/>
                    </w:rPr>
                  </w:pPr>
                </w:p>
              </w:tc>
              <w:tc>
                <w:tcPr>
                  <w:tcW w:w="2240" w:type="pct"/>
                  <w:noWrap w:val="0"/>
                  <w:vAlign w:val="center"/>
                </w:tcPr>
                <w:p>
                  <w:pPr>
                    <w:jc w:val="left"/>
                    <w:rPr>
                      <w:rFonts w:ascii="Times New Roman" w:hAnsi="Times New Roman" w:eastAsia="宋体" w:cs="Times New Roman"/>
                      <w:color w:val="auto"/>
                      <w:kern w:val="0"/>
                      <w:sz w:val="21"/>
                      <w:szCs w:val="21"/>
                      <w:lang w:val="en-US" w:eastAsia="zh-CN" w:bidi="ar-SA"/>
                    </w:rPr>
                  </w:pPr>
                  <w:r>
                    <w:rPr>
                      <w:color w:val="auto"/>
                      <w:kern w:val="0"/>
                      <w:szCs w:val="21"/>
                    </w:rPr>
                    <w:t>第八条项目移民安置的选址和建设方式具有环境合理性，提出了生态保护、污水处理、固体废物处置等措施。针对蓄滞洪区的环境污染、新增占地涉及污染场地等，提出了环境管理对策建议。</w:t>
                  </w:r>
                </w:p>
              </w:tc>
              <w:tc>
                <w:tcPr>
                  <w:tcW w:w="1715" w:type="pct"/>
                  <w:noWrap w:val="0"/>
                  <w:vAlign w:val="center"/>
                </w:tcPr>
                <w:p>
                  <w:pPr>
                    <w:jc w:val="left"/>
                    <w:rPr>
                      <w:rFonts w:hint="default" w:eastAsia="宋体"/>
                      <w:color w:val="auto"/>
                      <w:kern w:val="0"/>
                      <w:szCs w:val="21"/>
                      <w:lang w:val="en-US" w:eastAsia="zh-CN"/>
                    </w:rPr>
                  </w:pPr>
                  <w:r>
                    <w:rPr>
                      <w:rFonts w:hint="eastAsia"/>
                      <w:color w:val="auto"/>
                      <w:kern w:val="0"/>
                      <w:szCs w:val="21"/>
                      <w:shd w:val="clear"/>
                      <w:lang w:val="en-US" w:eastAsia="zh-CN"/>
                    </w:rPr>
                    <w:t>本项目不涉及移民安置。</w:t>
                  </w:r>
                </w:p>
              </w:tc>
              <w:tc>
                <w:tcPr>
                  <w:tcW w:w="525" w:type="pct"/>
                  <w:noWrap w:val="0"/>
                  <w:vAlign w:val="center"/>
                </w:tcPr>
                <w:p>
                  <w:pPr>
                    <w:jc w:val="center"/>
                    <w:rPr>
                      <w:rFonts w:hint="eastAsia" w:eastAsia="宋体"/>
                      <w:color w:val="auto"/>
                      <w:kern w:val="0"/>
                      <w:szCs w:val="21"/>
                      <w:lang w:val="en-US" w:eastAsia="zh-CN"/>
                    </w:rPr>
                  </w:pPr>
                  <w:r>
                    <w:rPr>
                      <w:rFonts w:hint="eastAsia"/>
                      <w:color w:val="auto"/>
                      <w:kern w:val="0"/>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18" w:type="pct"/>
                  <w:vMerge w:val="continue"/>
                  <w:noWrap w:val="0"/>
                  <w:vAlign w:val="center"/>
                </w:tcPr>
                <w:p>
                  <w:pPr>
                    <w:pStyle w:val="131"/>
                    <w:widowControl/>
                    <w:spacing w:line="240" w:lineRule="auto"/>
                    <w:ind w:firstLine="0" w:firstLineChars="0"/>
                    <w:jc w:val="center"/>
                    <w:rPr>
                      <w:rFonts w:hint="eastAsia" w:eastAsia="宋体"/>
                      <w:color w:val="auto"/>
                      <w:sz w:val="21"/>
                      <w:lang w:val="en-US" w:eastAsia="zh-CN"/>
                    </w:rPr>
                  </w:pPr>
                </w:p>
              </w:tc>
              <w:tc>
                <w:tcPr>
                  <w:tcW w:w="2240" w:type="pct"/>
                  <w:noWrap w:val="0"/>
                  <w:vAlign w:val="center"/>
                </w:tcPr>
                <w:p>
                  <w:pPr>
                    <w:jc w:val="left"/>
                    <w:rPr>
                      <w:rFonts w:ascii="Times New Roman" w:hAnsi="Times New Roman" w:eastAsia="宋体" w:cs="Times New Roman"/>
                      <w:color w:val="auto"/>
                      <w:kern w:val="0"/>
                      <w:sz w:val="21"/>
                      <w:szCs w:val="21"/>
                      <w:lang w:val="en-US" w:eastAsia="zh-CN" w:bidi="ar-SA"/>
                    </w:rPr>
                  </w:pPr>
                  <w:r>
                    <w:rPr>
                      <w:color w:val="auto"/>
                      <w:kern w:val="0"/>
                      <w:szCs w:val="21"/>
                    </w:rPr>
                    <w:t>第九条项目存在河湖水质污染、富营养化或外来物种入侵等环境风险的，提出了针对性的风险防范措施以及环境应急预案编制、建立必要的应急联动机制等要求。</w:t>
                  </w:r>
                </w:p>
              </w:tc>
              <w:tc>
                <w:tcPr>
                  <w:tcW w:w="1715" w:type="pct"/>
                  <w:noWrap w:val="0"/>
                  <w:vAlign w:val="center"/>
                </w:tcPr>
                <w:p>
                  <w:pPr>
                    <w:jc w:val="left"/>
                    <w:rPr>
                      <w:rFonts w:hint="default" w:eastAsia="宋体"/>
                      <w:color w:val="auto"/>
                      <w:kern w:val="0"/>
                      <w:szCs w:val="21"/>
                      <w:lang w:val="en-US" w:eastAsia="zh-CN"/>
                    </w:rPr>
                  </w:pPr>
                  <w:r>
                    <w:rPr>
                      <w:rFonts w:hint="eastAsia"/>
                      <w:color w:val="auto"/>
                      <w:kern w:val="0"/>
                      <w:szCs w:val="21"/>
                      <w:lang w:val="en-US" w:eastAsia="zh-CN"/>
                    </w:rPr>
                    <w:t>本项目不涉及河湖水质污染、富营养化或外来物种入侵等环境风险，对施工期暴雨及洪水等环境风险提出了防范措施。</w:t>
                  </w:r>
                </w:p>
              </w:tc>
              <w:tc>
                <w:tcPr>
                  <w:tcW w:w="525" w:type="pct"/>
                  <w:noWrap w:val="0"/>
                  <w:vAlign w:val="center"/>
                </w:tcPr>
                <w:p>
                  <w:pPr>
                    <w:jc w:val="center"/>
                    <w:rPr>
                      <w:rFonts w:hint="eastAsia" w:eastAsia="宋体"/>
                      <w:color w:val="auto"/>
                      <w:kern w:val="0"/>
                      <w:szCs w:val="21"/>
                      <w:lang w:val="en-US" w:eastAsia="zh-CN"/>
                    </w:rPr>
                  </w:pPr>
                  <w:r>
                    <w:rPr>
                      <w:rFonts w:hint="eastAsia"/>
                      <w:color w:val="auto"/>
                      <w:kern w:val="0"/>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18" w:type="pct"/>
                  <w:vMerge w:val="continue"/>
                  <w:noWrap w:val="0"/>
                  <w:vAlign w:val="center"/>
                </w:tcPr>
                <w:p>
                  <w:pPr>
                    <w:pStyle w:val="131"/>
                    <w:widowControl/>
                    <w:spacing w:line="240" w:lineRule="auto"/>
                    <w:ind w:firstLine="0" w:firstLineChars="0"/>
                    <w:jc w:val="center"/>
                    <w:rPr>
                      <w:rFonts w:hint="eastAsia" w:eastAsia="宋体"/>
                      <w:color w:val="auto"/>
                      <w:sz w:val="21"/>
                      <w:lang w:val="en-US" w:eastAsia="zh-CN"/>
                    </w:rPr>
                  </w:pPr>
                </w:p>
              </w:tc>
              <w:tc>
                <w:tcPr>
                  <w:tcW w:w="2240" w:type="pct"/>
                  <w:noWrap w:val="0"/>
                  <w:vAlign w:val="center"/>
                </w:tcPr>
                <w:p>
                  <w:pPr>
                    <w:jc w:val="left"/>
                    <w:rPr>
                      <w:rFonts w:ascii="Times New Roman" w:hAnsi="Times New Roman" w:eastAsia="宋体" w:cs="Times New Roman"/>
                      <w:color w:val="auto"/>
                      <w:kern w:val="0"/>
                      <w:sz w:val="21"/>
                      <w:szCs w:val="21"/>
                      <w:lang w:val="en-US" w:eastAsia="zh-CN" w:bidi="ar-SA"/>
                    </w:rPr>
                  </w:pPr>
                  <w:r>
                    <w:rPr>
                      <w:color w:val="auto"/>
                      <w:kern w:val="0"/>
                      <w:szCs w:val="21"/>
                    </w:rPr>
                    <w:t>第十条改、扩建项目在全面梳理了与项目有关的现有工程环境问题基础上，提出了与项目相适应的“以新带老”措施。</w:t>
                  </w:r>
                </w:p>
              </w:tc>
              <w:tc>
                <w:tcPr>
                  <w:tcW w:w="1715" w:type="pct"/>
                  <w:noWrap w:val="0"/>
                  <w:vAlign w:val="center"/>
                </w:tcPr>
                <w:p>
                  <w:pPr>
                    <w:jc w:val="left"/>
                    <w:rPr>
                      <w:rFonts w:hint="default" w:eastAsia="宋体"/>
                      <w:color w:val="auto"/>
                      <w:kern w:val="0"/>
                      <w:szCs w:val="21"/>
                      <w:lang w:val="en-US" w:eastAsia="zh-CN"/>
                    </w:rPr>
                  </w:pPr>
                  <w:r>
                    <w:rPr>
                      <w:rFonts w:hint="eastAsia"/>
                      <w:color w:val="auto"/>
                      <w:kern w:val="0"/>
                      <w:szCs w:val="21"/>
                      <w:lang w:val="en-US" w:eastAsia="zh-CN"/>
                    </w:rPr>
                    <w:t>本项目为新建项目。</w:t>
                  </w:r>
                </w:p>
              </w:tc>
              <w:tc>
                <w:tcPr>
                  <w:tcW w:w="525" w:type="pct"/>
                  <w:noWrap w:val="0"/>
                  <w:vAlign w:val="center"/>
                </w:tcPr>
                <w:p>
                  <w:pPr>
                    <w:jc w:val="center"/>
                    <w:rPr>
                      <w:rFonts w:hint="eastAsia" w:eastAsia="宋体"/>
                      <w:color w:val="auto"/>
                      <w:kern w:val="0"/>
                      <w:szCs w:val="21"/>
                      <w:lang w:val="en-US" w:eastAsia="zh-CN"/>
                    </w:rPr>
                  </w:pPr>
                  <w:r>
                    <w:rPr>
                      <w:rFonts w:hint="eastAsia"/>
                      <w:color w:val="auto"/>
                      <w:kern w:val="0"/>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18" w:type="pct"/>
                  <w:vMerge w:val="continue"/>
                  <w:noWrap w:val="0"/>
                  <w:vAlign w:val="center"/>
                </w:tcPr>
                <w:p>
                  <w:pPr>
                    <w:pStyle w:val="131"/>
                    <w:widowControl/>
                    <w:spacing w:line="240" w:lineRule="auto"/>
                    <w:ind w:firstLine="0" w:firstLineChars="0"/>
                    <w:jc w:val="center"/>
                    <w:rPr>
                      <w:rFonts w:hint="eastAsia" w:eastAsia="宋体"/>
                      <w:color w:val="auto"/>
                      <w:sz w:val="21"/>
                      <w:lang w:val="en-US" w:eastAsia="zh-CN"/>
                    </w:rPr>
                  </w:pPr>
                </w:p>
              </w:tc>
              <w:tc>
                <w:tcPr>
                  <w:tcW w:w="2240" w:type="pct"/>
                  <w:noWrap w:val="0"/>
                  <w:vAlign w:val="center"/>
                </w:tcPr>
                <w:p>
                  <w:pPr>
                    <w:jc w:val="left"/>
                    <w:rPr>
                      <w:rFonts w:ascii="Times New Roman" w:hAnsi="Times New Roman" w:eastAsia="宋体" w:cs="Times New Roman"/>
                      <w:color w:val="auto"/>
                      <w:kern w:val="0"/>
                      <w:sz w:val="21"/>
                      <w:szCs w:val="21"/>
                      <w:lang w:val="en-US" w:eastAsia="zh-CN" w:bidi="ar-SA"/>
                    </w:rPr>
                  </w:pPr>
                  <w:r>
                    <w:rPr>
                      <w:color w:val="auto"/>
                      <w:kern w:val="0"/>
                      <w:szCs w:val="21"/>
                    </w:rPr>
                    <w:t>第十一条按相关导则及规定要求，制定了水环境、生态等环境监测计划，明确了监测网点、因子、频次等有关要求，提出了开展环境影响后评价及根据监测评估结果优化环境保护措施的要求。根据需要和相关规定，提出了环境保护设计、开展相关科学研究、环境管理等要求。</w:t>
                  </w:r>
                </w:p>
              </w:tc>
              <w:tc>
                <w:tcPr>
                  <w:tcW w:w="1715" w:type="pct"/>
                  <w:noWrap w:val="0"/>
                  <w:vAlign w:val="center"/>
                </w:tcPr>
                <w:p>
                  <w:pPr>
                    <w:jc w:val="left"/>
                    <w:rPr>
                      <w:rFonts w:hint="default" w:eastAsia="宋体"/>
                      <w:color w:val="auto"/>
                      <w:kern w:val="0"/>
                      <w:szCs w:val="21"/>
                      <w:lang w:val="en-US" w:eastAsia="zh-CN"/>
                    </w:rPr>
                  </w:pPr>
                  <w:r>
                    <w:rPr>
                      <w:rFonts w:hint="eastAsia"/>
                      <w:color w:val="auto"/>
                      <w:kern w:val="0"/>
                      <w:szCs w:val="21"/>
                      <w:lang w:val="en-US" w:eastAsia="zh-CN"/>
                    </w:rPr>
                    <w:t>本项目已按相关导则及规定制定了环境监测计划。</w:t>
                  </w:r>
                </w:p>
              </w:tc>
              <w:tc>
                <w:tcPr>
                  <w:tcW w:w="525" w:type="pct"/>
                  <w:noWrap w:val="0"/>
                  <w:vAlign w:val="center"/>
                </w:tcPr>
                <w:p>
                  <w:pPr>
                    <w:jc w:val="center"/>
                    <w:rPr>
                      <w:rFonts w:hint="eastAsia" w:eastAsia="宋体"/>
                      <w:color w:val="auto"/>
                      <w:kern w:val="0"/>
                      <w:szCs w:val="21"/>
                      <w:lang w:val="en-US" w:eastAsia="zh-CN"/>
                    </w:rPr>
                  </w:pPr>
                  <w:r>
                    <w:rPr>
                      <w:rFonts w:hint="eastAsia"/>
                      <w:color w:val="auto"/>
                      <w:kern w:val="0"/>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18" w:type="pct"/>
                  <w:vMerge w:val="continue"/>
                  <w:noWrap w:val="0"/>
                  <w:vAlign w:val="center"/>
                </w:tcPr>
                <w:p>
                  <w:pPr>
                    <w:pStyle w:val="131"/>
                    <w:widowControl/>
                    <w:spacing w:line="240" w:lineRule="auto"/>
                    <w:ind w:firstLine="0" w:firstLineChars="0"/>
                    <w:jc w:val="center"/>
                    <w:rPr>
                      <w:rFonts w:hint="eastAsia" w:eastAsia="宋体"/>
                      <w:color w:val="auto"/>
                      <w:sz w:val="21"/>
                      <w:lang w:val="en-US" w:eastAsia="zh-CN"/>
                    </w:rPr>
                  </w:pPr>
                </w:p>
              </w:tc>
              <w:tc>
                <w:tcPr>
                  <w:tcW w:w="2240" w:type="pct"/>
                  <w:noWrap w:val="0"/>
                  <w:vAlign w:val="center"/>
                </w:tcPr>
                <w:p>
                  <w:pPr>
                    <w:jc w:val="left"/>
                    <w:rPr>
                      <w:color w:val="auto"/>
                      <w:kern w:val="0"/>
                      <w:szCs w:val="21"/>
                    </w:rPr>
                  </w:pPr>
                  <w:r>
                    <w:rPr>
                      <w:color w:val="auto"/>
                      <w:kern w:val="0"/>
                      <w:szCs w:val="21"/>
                    </w:rPr>
                    <w:t>第十二条对环境保护措施进行了深入论证，建设单位主体责任、投资估算、时间节点、预期效果明确，确保科学有效、安全可行、绿色协调。</w:t>
                  </w:r>
                </w:p>
              </w:tc>
              <w:tc>
                <w:tcPr>
                  <w:tcW w:w="1715" w:type="pct"/>
                  <w:noWrap w:val="0"/>
                  <w:vAlign w:val="center"/>
                </w:tcPr>
                <w:p>
                  <w:pPr>
                    <w:jc w:val="left"/>
                    <w:rPr>
                      <w:rFonts w:hint="eastAsia" w:eastAsia="宋体"/>
                      <w:color w:val="auto"/>
                      <w:kern w:val="0"/>
                      <w:szCs w:val="21"/>
                      <w:lang w:val="en-US" w:eastAsia="zh-CN"/>
                    </w:rPr>
                  </w:pPr>
                  <w:r>
                    <w:rPr>
                      <w:rFonts w:hint="eastAsia"/>
                      <w:color w:val="auto"/>
                      <w:kern w:val="0"/>
                      <w:szCs w:val="21"/>
                      <w:lang w:val="en-US" w:eastAsia="zh-CN"/>
                    </w:rPr>
                    <w:t>本次评价深入论证了环境保护措施，明确了建设</w:t>
                  </w:r>
                  <w:r>
                    <w:rPr>
                      <w:color w:val="auto"/>
                      <w:kern w:val="0"/>
                      <w:szCs w:val="21"/>
                    </w:rPr>
                    <w:t>单位主体责任、投资估算、时间节点、预期效果</w:t>
                  </w:r>
                  <w:r>
                    <w:rPr>
                      <w:rFonts w:hint="eastAsia"/>
                      <w:color w:val="auto"/>
                      <w:kern w:val="0"/>
                      <w:szCs w:val="21"/>
                      <w:lang w:eastAsia="zh-CN"/>
                    </w:rPr>
                    <w:t>，</w:t>
                  </w:r>
                  <w:r>
                    <w:rPr>
                      <w:color w:val="auto"/>
                      <w:kern w:val="0"/>
                      <w:szCs w:val="21"/>
                    </w:rPr>
                    <w:t>确保科学有效、安全可行、绿色协调。</w:t>
                  </w:r>
                </w:p>
              </w:tc>
              <w:tc>
                <w:tcPr>
                  <w:tcW w:w="525" w:type="pct"/>
                  <w:noWrap w:val="0"/>
                  <w:vAlign w:val="center"/>
                </w:tcPr>
                <w:p>
                  <w:pPr>
                    <w:jc w:val="center"/>
                    <w:rPr>
                      <w:rFonts w:hint="eastAsia" w:eastAsia="宋体"/>
                      <w:color w:val="auto"/>
                      <w:kern w:val="0"/>
                      <w:szCs w:val="21"/>
                      <w:lang w:val="en-US" w:eastAsia="zh-CN"/>
                    </w:rPr>
                  </w:pPr>
                  <w:r>
                    <w:rPr>
                      <w:rFonts w:hint="eastAsia"/>
                      <w:color w:val="auto"/>
                      <w:kern w:val="0"/>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18" w:type="pct"/>
                  <w:vMerge w:val="continue"/>
                  <w:noWrap w:val="0"/>
                  <w:vAlign w:val="center"/>
                </w:tcPr>
                <w:p>
                  <w:pPr>
                    <w:pStyle w:val="131"/>
                    <w:widowControl/>
                    <w:spacing w:line="240" w:lineRule="auto"/>
                    <w:ind w:firstLine="0" w:firstLineChars="0"/>
                    <w:jc w:val="center"/>
                    <w:rPr>
                      <w:rFonts w:hint="eastAsia" w:eastAsia="宋体"/>
                      <w:color w:val="auto"/>
                      <w:sz w:val="21"/>
                      <w:lang w:val="en-US" w:eastAsia="zh-CN"/>
                    </w:rPr>
                  </w:pPr>
                </w:p>
              </w:tc>
              <w:tc>
                <w:tcPr>
                  <w:tcW w:w="2240" w:type="pct"/>
                  <w:noWrap w:val="0"/>
                  <w:vAlign w:val="center"/>
                </w:tcPr>
                <w:p>
                  <w:pPr>
                    <w:jc w:val="left"/>
                    <w:rPr>
                      <w:color w:val="auto"/>
                      <w:kern w:val="0"/>
                      <w:szCs w:val="21"/>
                    </w:rPr>
                  </w:pPr>
                  <w:r>
                    <w:rPr>
                      <w:color w:val="auto"/>
                      <w:kern w:val="0"/>
                      <w:szCs w:val="21"/>
                    </w:rPr>
                    <w:t>第十三条按相关规定开展了信息公开和公众参与。</w:t>
                  </w:r>
                </w:p>
              </w:tc>
              <w:tc>
                <w:tcPr>
                  <w:tcW w:w="1715" w:type="pct"/>
                  <w:noWrap w:val="0"/>
                  <w:vAlign w:val="center"/>
                </w:tcPr>
                <w:p>
                  <w:pPr>
                    <w:jc w:val="left"/>
                    <w:rPr>
                      <w:rFonts w:hint="default" w:eastAsia="宋体"/>
                      <w:color w:val="auto"/>
                      <w:kern w:val="0"/>
                      <w:szCs w:val="21"/>
                      <w:lang w:val="en-US" w:eastAsia="zh-CN"/>
                    </w:rPr>
                  </w:pPr>
                  <w:r>
                    <w:rPr>
                      <w:rFonts w:hint="eastAsia"/>
                      <w:color w:val="auto"/>
                      <w:kern w:val="0"/>
                      <w:szCs w:val="21"/>
                      <w:lang w:val="en-US" w:eastAsia="zh-CN"/>
                    </w:rPr>
                    <w:t>本项目按规定编制环境影响报告表，无需开展公众参与调查。</w:t>
                  </w:r>
                </w:p>
              </w:tc>
              <w:tc>
                <w:tcPr>
                  <w:tcW w:w="525" w:type="pct"/>
                  <w:noWrap w:val="0"/>
                  <w:vAlign w:val="center"/>
                </w:tcPr>
                <w:p>
                  <w:pPr>
                    <w:jc w:val="center"/>
                    <w:rPr>
                      <w:rFonts w:hint="eastAsia" w:eastAsia="宋体"/>
                      <w:color w:val="auto"/>
                      <w:kern w:val="0"/>
                      <w:szCs w:val="21"/>
                      <w:lang w:val="en-US" w:eastAsia="zh-CN"/>
                    </w:rPr>
                  </w:pPr>
                  <w:r>
                    <w:rPr>
                      <w:rFonts w:hint="eastAsia"/>
                      <w:color w:val="auto"/>
                      <w:kern w:val="0"/>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18" w:type="pct"/>
                  <w:vMerge w:val="continue"/>
                  <w:noWrap w:val="0"/>
                  <w:vAlign w:val="center"/>
                </w:tcPr>
                <w:p>
                  <w:pPr>
                    <w:pStyle w:val="131"/>
                    <w:widowControl/>
                    <w:spacing w:line="240" w:lineRule="auto"/>
                    <w:ind w:firstLine="0" w:firstLineChars="0"/>
                    <w:jc w:val="center"/>
                    <w:rPr>
                      <w:rFonts w:hint="eastAsia" w:eastAsia="宋体"/>
                      <w:color w:val="auto"/>
                      <w:sz w:val="21"/>
                      <w:lang w:val="en-US" w:eastAsia="zh-CN"/>
                    </w:rPr>
                  </w:pPr>
                </w:p>
              </w:tc>
              <w:tc>
                <w:tcPr>
                  <w:tcW w:w="2240" w:type="pct"/>
                  <w:noWrap w:val="0"/>
                  <w:vAlign w:val="center"/>
                </w:tcPr>
                <w:p>
                  <w:pPr>
                    <w:jc w:val="left"/>
                    <w:rPr>
                      <w:rFonts w:hint="eastAsia" w:eastAsia="宋体"/>
                      <w:color w:val="auto"/>
                      <w:kern w:val="0"/>
                      <w:szCs w:val="21"/>
                      <w:lang w:eastAsia="zh-CN"/>
                    </w:rPr>
                  </w:pPr>
                  <w:r>
                    <w:rPr>
                      <w:color w:val="auto"/>
                      <w:kern w:val="0"/>
                      <w:szCs w:val="21"/>
                    </w:rPr>
                    <w:t>第十四条环境影响评价文件编制规范，符合相关管理规定和环评技术标准要求</w:t>
                  </w:r>
                  <w:r>
                    <w:rPr>
                      <w:rFonts w:hint="eastAsia"/>
                      <w:color w:val="auto"/>
                      <w:kern w:val="0"/>
                      <w:szCs w:val="21"/>
                      <w:lang w:eastAsia="zh-CN"/>
                    </w:rPr>
                    <w:t>。</w:t>
                  </w:r>
                </w:p>
              </w:tc>
              <w:tc>
                <w:tcPr>
                  <w:tcW w:w="1715" w:type="pct"/>
                  <w:noWrap w:val="0"/>
                  <w:vAlign w:val="center"/>
                </w:tcPr>
                <w:p>
                  <w:pPr>
                    <w:jc w:val="left"/>
                    <w:rPr>
                      <w:rFonts w:hint="default" w:eastAsia="宋体"/>
                      <w:color w:val="auto"/>
                      <w:kern w:val="0"/>
                      <w:szCs w:val="21"/>
                      <w:lang w:val="en-US" w:eastAsia="zh-CN"/>
                    </w:rPr>
                  </w:pPr>
                  <w:r>
                    <w:rPr>
                      <w:rFonts w:hint="eastAsia"/>
                      <w:color w:val="auto"/>
                      <w:kern w:val="0"/>
                      <w:szCs w:val="21"/>
                      <w:lang w:val="en-US" w:eastAsia="zh-CN"/>
                    </w:rPr>
                    <w:t>本报告编制规范，符合相关管理规定和环评技术标准要求。</w:t>
                  </w:r>
                </w:p>
              </w:tc>
              <w:tc>
                <w:tcPr>
                  <w:tcW w:w="525" w:type="pct"/>
                  <w:noWrap w:val="0"/>
                  <w:vAlign w:val="center"/>
                </w:tcPr>
                <w:p>
                  <w:pPr>
                    <w:jc w:val="center"/>
                    <w:rPr>
                      <w:rFonts w:hint="eastAsia" w:eastAsia="宋体"/>
                      <w:color w:val="auto"/>
                      <w:kern w:val="0"/>
                      <w:szCs w:val="21"/>
                      <w:lang w:val="en-US" w:eastAsia="zh-CN"/>
                    </w:rPr>
                  </w:pPr>
                  <w:r>
                    <w:rPr>
                      <w:rFonts w:hint="eastAsia"/>
                      <w:color w:val="auto"/>
                      <w:kern w:val="0"/>
                      <w:szCs w:val="21"/>
                      <w:lang w:val="en-US" w:eastAsia="zh-CN"/>
                    </w:rPr>
                    <w:t>符合</w:t>
                  </w:r>
                </w:p>
              </w:tc>
            </w:tr>
          </w:tbl>
          <w:p>
            <w:pPr>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p>
          <w:p>
            <w:pPr>
              <w:pStyle w:val="2"/>
              <w:rPr>
                <w:rFonts w:hint="eastAsia"/>
                <w:lang w:val="en-US" w:eastAsia="zh-CN"/>
              </w:rPr>
            </w:pPr>
          </w:p>
        </w:tc>
      </w:tr>
    </w:tbl>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黑体" w:hAnsi="黑体" w:eastAsia="黑体"/>
          <w:snapToGrid w:val="0"/>
          <w:sz w:val="30"/>
          <w:szCs w:val="30"/>
          <w:lang w:val="en-US" w:eastAsia="zh-CN"/>
        </w:rPr>
        <w:sectPr>
          <w:pgSz w:w="11906" w:h="16838"/>
          <w:pgMar w:top="1440" w:right="1800" w:bottom="1440" w:left="1800" w:header="851" w:footer="1077" w:gutter="0"/>
          <w:pgBorders>
            <w:top w:val="none" w:sz="0" w:space="0"/>
            <w:left w:val="none" w:sz="0" w:space="0"/>
            <w:bottom w:val="none" w:sz="0" w:space="0"/>
            <w:right w:val="none" w:sz="0" w:space="0"/>
          </w:pgBorders>
          <w:pgNumType w:fmt="numberInDash"/>
          <w:cols w:space="720" w:num="1"/>
          <w:docGrid w:linePitch="312" w:charSpace="0"/>
        </w:sectPr>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黑体" w:hAnsi="黑体" w:eastAsia="黑体"/>
          <w:snapToGrid w:val="0"/>
          <w:sz w:val="30"/>
          <w:szCs w:val="30"/>
          <w:lang w:val="en-US" w:eastAsia="zh-CN"/>
        </w:rPr>
      </w:pPr>
      <w:r>
        <w:rPr>
          <w:rFonts w:hint="eastAsia" w:ascii="黑体" w:hAnsi="黑体" w:eastAsia="黑体"/>
          <w:snapToGrid w:val="0"/>
          <w:sz w:val="30"/>
          <w:szCs w:val="30"/>
          <w:lang w:val="en-US" w:eastAsia="zh-CN"/>
        </w:rPr>
        <w:t>二、建设内容</w:t>
      </w:r>
      <w:bookmarkEnd w:id="8"/>
    </w:p>
    <w:tbl>
      <w:tblPr>
        <w:tblStyle w:val="30"/>
        <w:tblW w:w="924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8"/>
        <w:gridCol w:w="87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98" w:type="dxa"/>
            <w:noWrap w:val="0"/>
            <w:vAlign w:val="center"/>
          </w:tcPr>
          <w:p>
            <w:pPr>
              <w:adjustRightInd w:val="0"/>
              <w:snapToGrid w:val="0"/>
              <w:jc w:val="center"/>
              <w:rPr>
                <w:rFonts w:ascii="宋体" w:hAnsi="宋体" w:cs="宋体"/>
                <w:b/>
                <w:bCs/>
                <w:kern w:val="0"/>
                <w:sz w:val="24"/>
                <w:szCs w:val="24"/>
              </w:rPr>
            </w:pPr>
            <w:r>
              <w:rPr>
                <w:rFonts w:hint="eastAsia" w:ascii="宋体" w:hAnsi="宋体" w:cs="宋体"/>
                <w:b/>
                <w:bCs/>
                <w:kern w:val="0"/>
                <w:sz w:val="24"/>
                <w:szCs w:val="24"/>
              </w:rPr>
              <w:t>地理位置</w:t>
            </w:r>
          </w:p>
        </w:tc>
        <w:tc>
          <w:tcPr>
            <w:tcW w:w="8745" w:type="dxa"/>
            <w:noWrap w:val="0"/>
            <w:vAlign w:val="center"/>
          </w:tcPr>
          <w:p>
            <w:pPr>
              <w:adjustRightInd w:val="0"/>
              <w:snapToGrid w:val="0"/>
              <w:spacing w:line="360" w:lineRule="auto"/>
              <w:ind w:firstLine="480" w:firstLineChars="200"/>
              <w:jc w:val="left"/>
              <w:rPr>
                <w:rFonts w:hint="eastAsia" w:ascii="Times New Roman" w:hAnsi="Times New Roman" w:cs="Times New Roman"/>
                <w:color w:val="auto"/>
                <w:sz w:val="24"/>
                <w:szCs w:val="24"/>
                <w:lang w:val="en-US" w:eastAsia="zh-CN"/>
              </w:rPr>
            </w:pPr>
            <w:r>
              <w:rPr>
                <w:rFonts w:hint="eastAsia" w:ascii="Times New Roman" w:hAnsi="Times New Roman" w:eastAsia="宋体" w:cs="Times New Roman"/>
                <w:sz w:val="24"/>
                <w:szCs w:val="24"/>
                <w:u w:val="none"/>
                <w:lang w:eastAsia="zh-CN"/>
              </w:rPr>
              <w:t>项目位于广元市昭化区元坝镇</w:t>
            </w:r>
            <w:r>
              <w:rPr>
                <w:rFonts w:hint="eastAsia" w:ascii="Times New Roman" w:hAnsi="Times New Roman" w:eastAsia="宋体" w:cs="Times New Roman"/>
                <w:color w:val="auto"/>
                <w:kern w:val="2"/>
                <w:sz w:val="24"/>
                <w:szCs w:val="24"/>
                <w:highlight w:val="none"/>
                <w:lang w:val="en-US" w:eastAsia="zh-CN" w:bidi="ar-SA"/>
              </w:rPr>
              <w:t>长坝社区</w:t>
            </w:r>
            <w:r>
              <w:rPr>
                <w:rFonts w:hint="eastAsia" w:ascii="Times New Roman" w:hAnsi="Times New Roman" w:eastAsia="宋体" w:cs="Times New Roman"/>
                <w:sz w:val="24"/>
                <w:szCs w:val="24"/>
                <w:u w:val="none"/>
                <w:lang w:eastAsia="zh-CN"/>
              </w:rPr>
              <w:t>，本工程</w:t>
            </w:r>
            <w:r>
              <w:rPr>
                <w:rFonts w:hint="eastAsia" w:ascii="Times New Roman" w:hAnsi="Times New Roman" w:eastAsia="宋体" w:cs="Times New Roman"/>
                <w:sz w:val="24"/>
                <w:szCs w:val="24"/>
                <w:u w:val="none"/>
                <w:lang w:val="en-US" w:eastAsia="zh-CN"/>
              </w:rPr>
              <w:t>治理对象</w:t>
            </w:r>
            <w:r>
              <w:rPr>
                <w:rFonts w:hint="eastAsia" w:ascii="Times New Roman" w:hAnsi="Times New Roman" w:cs="Times New Roman"/>
                <w:sz w:val="24"/>
                <w:szCs w:val="24"/>
                <w:u w:val="none"/>
                <w:lang w:val="en-US" w:eastAsia="zh-CN"/>
              </w:rPr>
              <w:t>为</w:t>
            </w:r>
            <w:r>
              <w:rPr>
                <w:rFonts w:hint="eastAsia" w:ascii="Times New Roman" w:hAnsi="Times New Roman" w:eastAsia="宋体" w:cs="Times New Roman"/>
                <w:sz w:val="24"/>
                <w:szCs w:val="24"/>
                <w:u w:val="none"/>
                <w:lang w:eastAsia="zh-CN"/>
              </w:rPr>
              <w:t>长滩河支流</w:t>
            </w:r>
            <w:r>
              <w:rPr>
                <w:rFonts w:hint="eastAsia" w:ascii="Times New Roman" w:hAnsi="Times New Roman" w:eastAsia="宋体" w:cs="Times New Roman"/>
                <w:sz w:val="24"/>
                <w:szCs w:val="24"/>
                <w:u w:val="none"/>
                <w:lang w:val="en-US" w:eastAsia="zh-CN"/>
              </w:rPr>
              <w:t>庄子沟（</w:t>
            </w:r>
            <w:r>
              <w:rPr>
                <w:rFonts w:hint="eastAsia"/>
                <w:color w:val="auto"/>
                <w:sz w:val="24"/>
                <w:szCs w:val="24"/>
                <w:lang w:eastAsia="zh-CN"/>
              </w:rPr>
              <w:t>起点：</w:t>
            </w:r>
            <w:r>
              <w:rPr>
                <w:rFonts w:hint="eastAsia"/>
                <w:color w:val="auto"/>
                <w:sz w:val="24"/>
                <w:szCs w:val="24"/>
                <w:lang w:val="en-US" w:eastAsia="zh-CN"/>
              </w:rPr>
              <w:t>105.973150587</w:t>
            </w:r>
            <w:r>
              <w:rPr>
                <w:rFonts w:hint="default"/>
                <w:color w:val="auto"/>
                <w:sz w:val="24"/>
                <w:szCs w:val="24"/>
              </w:rPr>
              <w:t>，</w:t>
            </w:r>
            <w:r>
              <w:rPr>
                <w:rFonts w:hint="eastAsia"/>
                <w:color w:val="auto"/>
                <w:sz w:val="24"/>
                <w:szCs w:val="24"/>
                <w:lang w:val="en-US" w:eastAsia="zh-CN"/>
              </w:rPr>
              <w:t>32.351163448</w:t>
            </w:r>
            <w:r>
              <w:rPr>
                <w:rFonts w:hint="eastAsia" w:ascii="Times New Roman" w:hAnsi="Times New Roman" w:cs="Times New Roman"/>
                <w:color w:val="auto"/>
                <w:sz w:val="24"/>
                <w:szCs w:val="24"/>
                <w:lang w:eastAsia="zh-CN"/>
              </w:rPr>
              <w:t>终点：</w:t>
            </w:r>
            <w:r>
              <w:rPr>
                <w:rFonts w:hint="eastAsia" w:ascii="Times New Roman" w:hAnsi="Times New Roman" w:cs="Times New Roman"/>
                <w:color w:val="auto"/>
                <w:sz w:val="24"/>
                <w:szCs w:val="24"/>
                <w:lang w:val="en-US" w:eastAsia="zh-CN"/>
              </w:rPr>
              <w:t>105.968895058</w:t>
            </w:r>
            <w:r>
              <w:rPr>
                <w:rFonts w:hint="default"/>
                <w:color w:val="auto"/>
                <w:sz w:val="24"/>
                <w:szCs w:val="24"/>
              </w:rPr>
              <w:t>，</w:t>
            </w:r>
            <w:r>
              <w:rPr>
                <w:rFonts w:hint="eastAsia" w:ascii="Times New Roman" w:hAnsi="Times New Roman" w:cs="Times New Roman"/>
                <w:color w:val="auto"/>
                <w:sz w:val="24"/>
                <w:szCs w:val="24"/>
                <w:lang w:val="en-US" w:eastAsia="zh-CN"/>
              </w:rPr>
              <w:t>32.352112743）</w:t>
            </w:r>
          </w:p>
          <w:p>
            <w:pPr>
              <w:adjustRightInd w:val="0"/>
              <w:snapToGrid w:val="0"/>
              <w:spacing w:line="360" w:lineRule="auto"/>
              <w:ind w:firstLine="480" w:firstLineChars="200"/>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具体项目位置见附图1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498" w:type="dxa"/>
            <w:noWrap w:val="0"/>
            <w:vAlign w:val="center"/>
          </w:tcPr>
          <w:p>
            <w:pPr>
              <w:adjustRightInd w:val="0"/>
              <w:snapToGrid w:val="0"/>
              <w:jc w:val="center"/>
              <w:rPr>
                <w:rFonts w:ascii="宋体" w:hAnsi="宋体" w:cs="宋体"/>
                <w:b/>
                <w:bCs/>
                <w:kern w:val="0"/>
                <w:sz w:val="24"/>
                <w:szCs w:val="24"/>
              </w:rPr>
            </w:pPr>
            <w:r>
              <w:rPr>
                <w:rFonts w:hint="eastAsia" w:ascii="宋体" w:hAnsi="宋体" w:cs="宋体"/>
                <w:b/>
                <w:bCs/>
                <w:kern w:val="0"/>
                <w:sz w:val="24"/>
                <w:szCs w:val="24"/>
              </w:rPr>
              <w:t>项目组成及规模</w:t>
            </w:r>
          </w:p>
        </w:tc>
        <w:tc>
          <w:tcPr>
            <w:tcW w:w="8745" w:type="dxa"/>
            <w:noWrap w:val="0"/>
            <w:vAlign w:val="center"/>
          </w:tcPr>
          <w:p>
            <w:pPr>
              <w:spacing w:line="360" w:lineRule="auto"/>
              <w:ind w:firstLine="482" w:firstLineChars="200"/>
              <w:jc w:val="left"/>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1、项目由来及建设必要性</w:t>
            </w:r>
          </w:p>
          <w:p>
            <w:pPr>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（1）项目由来</w:t>
            </w:r>
          </w:p>
          <w:p>
            <w:pPr>
              <w:spacing w:line="360" w:lineRule="auto"/>
              <w:ind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长滩河为南河中游左岸支流，嘉陵江二级支流，干流发源于昭化区元坝镇东山村，从东南至西北环流穿元坝城区而出，河道全长</w:t>
            </w:r>
            <w:r>
              <w:rPr>
                <w:rFonts w:hint="default" w:ascii="Times New Roman" w:hAnsi="Times New Roman" w:eastAsia="宋体" w:cs="Times New Roman"/>
                <w:color w:val="auto"/>
                <w:kern w:val="2"/>
                <w:sz w:val="24"/>
                <w:szCs w:val="24"/>
                <w:highlight w:val="none"/>
                <w:lang w:val="en-US" w:eastAsia="zh-CN" w:bidi="ar-SA"/>
              </w:rPr>
              <w:t>25.8km</w:t>
            </w:r>
            <w:r>
              <w:rPr>
                <w:rFonts w:hint="eastAsia" w:ascii="Times New Roman" w:hAnsi="Times New Roman" w:eastAsia="宋体" w:cs="Times New Roman"/>
                <w:color w:val="auto"/>
                <w:kern w:val="2"/>
                <w:sz w:val="24"/>
                <w:szCs w:val="24"/>
                <w:highlight w:val="none"/>
                <w:lang w:val="en-US" w:eastAsia="zh-CN" w:bidi="ar-SA"/>
              </w:rPr>
              <w:t>，流域集雨面积</w:t>
            </w:r>
            <w:r>
              <w:rPr>
                <w:rFonts w:hint="default" w:ascii="Times New Roman" w:hAnsi="Times New Roman" w:eastAsia="宋体" w:cs="Times New Roman"/>
                <w:color w:val="auto"/>
                <w:kern w:val="2"/>
                <w:sz w:val="24"/>
                <w:szCs w:val="24"/>
                <w:highlight w:val="none"/>
                <w:lang w:val="en-US" w:eastAsia="zh-CN" w:bidi="ar-SA"/>
              </w:rPr>
              <w:t>115.9km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，河口处河床海拔高程</w:t>
            </w:r>
            <w:r>
              <w:rPr>
                <w:rFonts w:hint="default" w:ascii="Times New Roman" w:hAnsi="Times New Roman" w:eastAsia="宋体" w:cs="Times New Roman"/>
                <w:color w:val="auto"/>
                <w:kern w:val="2"/>
                <w:sz w:val="24"/>
                <w:szCs w:val="24"/>
                <w:highlight w:val="none"/>
                <w:lang w:val="en-US" w:eastAsia="zh-CN" w:bidi="ar-SA"/>
              </w:rPr>
              <w:t>501.1m</w:t>
            </w:r>
            <w:r>
              <w:rPr>
                <w:rFonts w:hint="eastAsia" w:ascii="Times New Roman" w:hAnsi="Times New Roman" w:eastAsia="宋体" w:cs="Times New Roman"/>
                <w:color w:val="auto"/>
                <w:kern w:val="2"/>
                <w:sz w:val="24"/>
                <w:szCs w:val="24"/>
                <w:highlight w:val="none"/>
                <w:lang w:val="en-US" w:eastAsia="zh-CN" w:bidi="ar-SA"/>
              </w:rPr>
              <w:t>，河道纵比降为</w:t>
            </w:r>
            <w:r>
              <w:rPr>
                <w:rFonts w:hint="default" w:ascii="Times New Roman" w:hAnsi="Times New Roman" w:eastAsia="宋体" w:cs="Times New Roman"/>
                <w:color w:val="auto"/>
                <w:kern w:val="2"/>
                <w:sz w:val="24"/>
                <w:szCs w:val="24"/>
                <w:highlight w:val="none"/>
                <w:lang w:val="en-US" w:eastAsia="zh-CN" w:bidi="ar-SA"/>
              </w:rPr>
              <w:t>8.44</w:t>
            </w:r>
            <w:r>
              <w:rPr>
                <w:rFonts w:hint="eastAsia" w:ascii="Times New Roman" w:hAnsi="Times New Roman" w:eastAsia="宋体" w:cs="Times New Roman"/>
                <w:color w:val="auto"/>
                <w:kern w:val="2"/>
                <w:sz w:val="24"/>
                <w:szCs w:val="24"/>
                <w:highlight w:val="none"/>
                <w:lang w:val="en-US" w:eastAsia="zh-CN" w:bidi="ar-SA"/>
              </w:rPr>
              <w:t>‰。</w:t>
            </w:r>
          </w:p>
          <w:p>
            <w:pPr>
              <w:pStyle w:val="134"/>
              <w:rPr>
                <w:rFonts w:hint="eastAsia" w:eastAsia="宋体"/>
                <w:color w:val="auto"/>
                <w:highlight w:val="none"/>
                <w:lang w:val="en-US" w:eastAsia="zh-CN"/>
              </w:rPr>
            </w:pPr>
            <w:r>
              <w:rPr>
                <w:rFonts w:hint="eastAsia" w:cs="Times New Roman"/>
                <w:color w:val="auto"/>
                <w:kern w:val="2"/>
                <w:sz w:val="24"/>
                <w:szCs w:val="24"/>
                <w:highlight w:val="none"/>
                <w:lang w:val="en-US" w:eastAsia="zh-CN" w:bidi="ar-SA"/>
              </w:rPr>
              <w:t>广元市昭化区重点采煤沉陷区生态环境综合治理项目</w:t>
            </w:r>
            <w:r>
              <w:rPr>
                <w:rFonts w:hint="eastAsia" w:ascii="Times New Roman" w:hAnsi="Times New Roman" w:eastAsia="宋体" w:cs="Times New Roman"/>
                <w:color w:val="auto"/>
                <w:kern w:val="2"/>
                <w:sz w:val="24"/>
                <w:szCs w:val="24"/>
                <w:highlight w:val="none"/>
                <w:lang w:val="en-US" w:eastAsia="zh-CN" w:bidi="ar-SA"/>
              </w:rPr>
              <w:t>河段位于长滩河支流庄子沟，工程的修建是符合规划要求的。本次</w:t>
            </w:r>
            <w:bookmarkStart w:id="9" w:name="_Hlk142341189"/>
            <w:r>
              <w:rPr>
                <w:rFonts w:hint="eastAsia"/>
                <w:color w:val="auto"/>
                <w:sz w:val="24"/>
                <w:szCs w:val="24"/>
                <w:highlight w:val="none"/>
                <w:lang w:val="en-US" w:eastAsia="zh-CN"/>
              </w:rPr>
              <w:t>庄子沟</w:t>
            </w:r>
            <w:r>
              <w:rPr>
                <w:rFonts w:hint="eastAsia"/>
                <w:color w:val="auto"/>
                <w:sz w:val="24"/>
                <w:szCs w:val="24"/>
                <w:highlight w:val="none"/>
              </w:rPr>
              <w:t>综合治理河长</w:t>
            </w:r>
            <w:r>
              <w:rPr>
                <w:rFonts w:hint="eastAsia"/>
                <w:color w:val="auto"/>
                <w:sz w:val="24"/>
                <w:szCs w:val="24"/>
                <w:highlight w:val="none"/>
                <w:lang w:val="en-US" w:eastAsia="zh-CN"/>
              </w:rPr>
              <w:t>452</w:t>
            </w:r>
            <w:r>
              <w:rPr>
                <w:color w:val="auto"/>
                <w:sz w:val="24"/>
                <w:szCs w:val="24"/>
                <w:highlight w:val="none"/>
              </w:rPr>
              <w:t>m</w:t>
            </w:r>
            <w:r>
              <w:rPr>
                <w:rFonts w:hint="eastAsia"/>
                <w:color w:val="auto"/>
                <w:sz w:val="24"/>
                <w:szCs w:val="24"/>
                <w:highlight w:val="none"/>
              </w:rPr>
              <w:t>，新建堤防</w:t>
            </w:r>
            <w:r>
              <w:rPr>
                <w:rFonts w:hint="eastAsia"/>
                <w:color w:val="auto"/>
                <w:sz w:val="24"/>
                <w:szCs w:val="24"/>
                <w:highlight w:val="none"/>
                <w:lang w:val="en-US" w:eastAsia="zh-CN"/>
              </w:rPr>
              <w:t>906</w:t>
            </w:r>
            <w:r>
              <w:rPr>
                <w:color w:val="auto"/>
                <w:sz w:val="24"/>
                <w:szCs w:val="24"/>
                <w:highlight w:val="none"/>
              </w:rPr>
              <w:t>m</w:t>
            </w:r>
            <w:r>
              <w:rPr>
                <w:rFonts w:hint="eastAsia"/>
                <w:color w:val="auto"/>
                <w:sz w:val="24"/>
                <w:szCs w:val="24"/>
                <w:highlight w:val="none"/>
              </w:rPr>
              <w:t>，其中左岸堤防</w:t>
            </w:r>
            <w:r>
              <w:rPr>
                <w:rFonts w:hint="eastAsia"/>
                <w:color w:val="auto"/>
                <w:sz w:val="24"/>
                <w:szCs w:val="24"/>
                <w:highlight w:val="none"/>
                <w:lang w:val="en-US" w:eastAsia="zh-CN"/>
              </w:rPr>
              <w:t>459</w:t>
            </w:r>
            <w:r>
              <w:rPr>
                <w:color w:val="auto"/>
                <w:sz w:val="24"/>
                <w:szCs w:val="24"/>
                <w:highlight w:val="none"/>
              </w:rPr>
              <w:t>m</w:t>
            </w:r>
            <w:r>
              <w:rPr>
                <w:rFonts w:hint="eastAsia"/>
                <w:color w:val="auto"/>
                <w:sz w:val="24"/>
                <w:szCs w:val="24"/>
                <w:highlight w:val="none"/>
              </w:rPr>
              <w:t>，右岸新建堤防</w:t>
            </w:r>
            <w:r>
              <w:rPr>
                <w:rFonts w:hint="eastAsia"/>
                <w:color w:val="auto"/>
                <w:sz w:val="24"/>
                <w:szCs w:val="24"/>
                <w:highlight w:val="none"/>
                <w:lang w:val="en-US" w:eastAsia="zh-CN"/>
              </w:rPr>
              <w:t>447</w:t>
            </w:r>
            <w:r>
              <w:rPr>
                <w:rFonts w:hint="eastAsia"/>
                <w:color w:val="auto"/>
                <w:sz w:val="24"/>
                <w:szCs w:val="24"/>
                <w:highlight w:val="none"/>
              </w:rPr>
              <w:t>m</w:t>
            </w:r>
            <w:r>
              <w:rPr>
                <w:rFonts w:hint="eastAsia"/>
                <w:color w:val="auto"/>
                <w:sz w:val="24"/>
                <w:szCs w:val="24"/>
                <w:highlight w:val="none"/>
                <w:lang w:eastAsia="zh-CN"/>
              </w:rPr>
              <w:t>，</w:t>
            </w:r>
            <w:r>
              <w:rPr>
                <w:rFonts w:hint="eastAsia"/>
                <w:color w:val="auto"/>
                <w:sz w:val="24"/>
                <w:szCs w:val="24"/>
                <w:highlight w:val="none"/>
                <w:lang w:val="en-US" w:eastAsia="zh-CN"/>
              </w:rPr>
              <w:t>疏浚长度250m，新建人行桥2座，新建梯步2处及其他附属设施。</w:t>
            </w:r>
          </w:p>
          <w:bookmarkEnd w:id="9"/>
          <w:p>
            <w:pPr>
              <w:spacing w:line="360" w:lineRule="auto"/>
              <w:ind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（2）工程建设的必要性</w:t>
            </w:r>
          </w:p>
          <w:p>
            <w:pPr>
              <w:spacing w:line="360" w:lineRule="auto"/>
              <w:ind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长滩河是昭化区境内的主要河流之一，根据历史洪水调查显示，河岸沿线受洪灾影响损失严重。工程河段原河岸并不能满足防洪要求，抗冲刷能力较弱，在洪水作用下存在局部垮塌现象，致使洪水期间会危及两岸人民生命财产安全。本工程的实施不仅可以有效的保护人口和耕地等，保证了人民的生命财产安全。同时，工程的实施也将使沿岸土壤和植被得以保护，有效保护了该河段河岸，避免进一步垮塌，在水土流失减少的同时水环境得到了有效地治理。</w:t>
            </w:r>
          </w:p>
          <w:p>
            <w:pPr>
              <w:spacing w:line="360" w:lineRule="auto"/>
              <w:ind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党的十八大指出，把生态文明建设放在更加突出的位置，提升至经济、政治、文化、社会同一个高度，形成中国特色社会主义事业的“五位一体”总体布局。党的十九大再次强调生态文明建设，提出了加快生态文明体制改革、建设美丽中国新的目标、任务、举措，本次水利部、国务院等加快灾后水利薄弱环节建设，遵循创新、协调、绿色、开放、共享发展理念，再次重点提出绿色生态建设，落实生态环保等措施。沿工程河流打造流域景观面，根据不同地段和主题，进行分段景观绿化设计，提高南河流域河流生态环境。</w:t>
            </w:r>
          </w:p>
          <w:p>
            <w:pPr>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现状河道防洪设施薄弱，河岸沿线受洪灾影响损失严重，加之河道弯曲、淤积严重，洪水期间可能会危及两岸人民生命财产安全，本工程实施后可有效保护人口和耕地等，保证了人民的生命财产安全的同时，也是发展旅游资源的基础。因此，本工程的实施是十分迫切且必要的。</w:t>
            </w:r>
          </w:p>
          <w:p>
            <w:pPr>
              <w:pStyle w:val="2"/>
              <w:spacing w:line="360" w:lineRule="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宋体" w:eastAsia="宋体" w:cs="Times New Roman"/>
                <w:b w:val="0"/>
                <w:bCs/>
                <w:color w:val="auto"/>
                <w:kern w:val="2"/>
                <w:sz w:val="24"/>
                <w:szCs w:val="24"/>
                <w:lang w:val="en-US" w:eastAsia="zh-CN" w:bidi="ar-SA"/>
              </w:rPr>
              <w:t>本次</w:t>
            </w:r>
            <w:r>
              <w:rPr>
                <w:rFonts w:hint="default" w:ascii="Times New Roman" w:hAnsi="Times New Roman" w:eastAsia="宋体" w:cs="Times New Roman"/>
                <w:color w:val="auto"/>
                <w:kern w:val="2"/>
                <w:sz w:val="24"/>
                <w:szCs w:val="24"/>
                <w:highlight w:val="none"/>
                <w:lang w:val="en-US" w:eastAsia="zh-CN" w:bidi="ar-SA"/>
              </w:rPr>
              <w:t>评价建设内容与范围以《关于</w:t>
            </w:r>
            <w:r>
              <w:rPr>
                <w:rFonts w:hint="eastAsia" w:cs="Times New Roman"/>
                <w:color w:val="auto"/>
                <w:kern w:val="2"/>
                <w:sz w:val="24"/>
                <w:szCs w:val="24"/>
                <w:highlight w:val="none"/>
                <w:lang w:val="en-US" w:eastAsia="zh-CN" w:bidi="ar-SA"/>
              </w:rPr>
              <w:t>广元市昭化区重点采煤沉陷区生态环境综合治理项目</w:t>
            </w:r>
            <w:r>
              <w:rPr>
                <w:rFonts w:hint="default" w:ascii="Times New Roman" w:hAnsi="Times New Roman" w:eastAsia="宋体" w:cs="Times New Roman"/>
                <w:color w:val="auto"/>
                <w:kern w:val="2"/>
                <w:sz w:val="24"/>
                <w:szCs w:val="24"/>
                <w:highlight w:val="none"/>
                <w:lang w:val="en-US" w:eastAsia="zh-CN" w:bidi="ar-SA"/>
              </w:rPr>
              <w:t>初步设计</w:t>
            </w:r>
            <w:r>
              <w:rPr>
                <w:rFonts w:hint="eastAsia" w:ascii="Times New Roman" w:hAnsi="Times New Roman" w:eastAsia="宋体" w:cs="Times New Roman"/>
                <w:color w:val="auto"/>
                <w:kern w:val="2"/>
                <w:sz w:val="24"/>
                <w:szCs w:val="24"/>
                <w:highlight w:val="none"/>
                <w:lang w:val="en-US" w:eastAsia="zh-CN" w:bidi="ar-SA"/>
              </w:rPr>
              <w:t>报告</w:t>
            </w:r>
            <w:r>
              <w:rPr>
                <w:rFonts w:hint="default" w:ascii="Times New Roman" w:hAnsi="Times New Roman" w:eastAsia="宋体" w:cs="Times New Roman"/>
                <w:color w:val="auto"/>
                <w:kern w:val="2"/>
                <w:sz w:val="24"/>
                <w:szCs w:val="24"/>
                <w:highlight w:val="none"/>
                <w:lang w:val="en-US" w:eastAsia="zh-CN" w:bidi="ar-SA"/>
              </w:rPr>
              <w:t>的批复》（</w:t>
            </w:r>
            <w:r>
              <w:rPr>
                <w:rFonts w:hint="eastAsia" w:ascii="Times New Roman" w:hAnsi="Times New Roman" w:eastAsia="宋体" w:cs="Times New Roman"/>
                <w:color w:val="auto"/>
                <w:kern w:val="2"/>
                <w:sz w:val="24"/>
                <w:szCs w:val="24"/>
                <w:highlight w:val="none"/>
                <w:lang w:val="en-US" w:eastAsia="zh-CN" w:bidi="ar-SA"/>
              </w:rPr>
              <w:t>昭水</w:t>
            </w:r>
            <w:r>
              <w:rPr>
                <w:rFonts w:hint="default" w:ascii="Times New Roman" w:hAnsi="Times New Roman" w:eastAsia="宋体" w:cs="Times New Roman"/>
                <w:color w:val="auto"/>
                <w:kern w:val="2"/>
                <w:sz w:val="24"/>
                <w:szCs w:val="24"/>
                <w:highlight w:val="none"/>
                <w:lang w:val="en-US" w:eastAsia="zh-CN" w:bidi="ar-SA"/>
              </w:rPr>
              <w:t>函[2023]1</w:t>
            </w:r>
            <w:r>
              <w:rPr>
                <w:rFonts w:hint="eastAsia" w:ascii="Times New Roman" w:hAnsi="Times New Roman" w:eastAsia="宋体" w:cs="Times New Roman"/>
                <w:color w:val="auto"/>
                <w:kern w:val="2"/>
                <w:sz w:val="24"/>
                <w:szCs w:val="24"/>
                <w:highlight w:val="none"/>
                <w:lang w:val="en-US" w:eastAsia="zh-CN" w:bidi="ar-SA"/>
              </w:rPr>
              <w:t>54</w:t>
            </w:r>
            <w:r>
              <w:rPr>
                <w:rFonts w:hint="default" w:ascii="Times New Roman" w:hAnsi="Times New Roman" w:eastAsia="宋体" w:cs="Times New Roman"/>
                <w:color w:val="auto"/>
                <w:kern w:val="2"/>
                <w:sz w:val="24"/>
                <w:szCs w:val="24"/>
                <w:highlight w:val="none"/>
                <w:lang w:val="en-US" w:eastAsia="zh-CN" w:bidi="ar-SA"/>
              </w:rPr>
              <w:t>号）内容为准。</w:t>
            </w:r>
          </w:p>
          <w:p>
            <w:pPr>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val="en-US" w:eastAsia="zh-CN"/>
              </w:rPr>
              <w:t>、项目名称、性质</w:t>
            </w:r>
            <w:r>
              <w:rPr>
                <w:rFonts w:hint="eastAsia" w:ascii="Times New Roman" w:hAnsi="Times New Roman" w:cs="Times New Roman"/>
                <w:b/>
                <w:bCs/>
                <w:color w:val="auto"/>
                <w:sz w:val="24"/>
                <w:szCs w:val="24"/>
                <w:lang w:val="en-US" w:eastAsia="zh-CN"/>
              </w:rPr>
              <w:t>、建设单位、地点</w:t>
            </w:r>
          </w:p>
          <w:p>
            <w:pPr>
              <w:spacing w:line="360" w:lineRule="auto"/>
              <w:ind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项目名称：</w:t>
            </w:r>
            <w:r>
              <w:rPr>
                <w:rFonts w:hint="eastAsia" w:cs="Times New Roman"/>
                <w:color w:val="auto"/>
                <w:sz w:val="24"/>
                <w:szCs w:val="24"/>
                <w:lang w:eastAsia="zh-CN"/>
              </w:rPr>
              <w:t>广元市昭化区重点采煤沉陷区生态环境综合治理项目</w:t>
            </w:r>
          </w:p>
          <w:p>
            <w:pPr>
              <w:pStyle w:val="62"/>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建设单位：</w:t>
            </w:r>
            <w:r>
              <w:rPr>
                <w:rFonts w:hint="eastAsia" w:ascii="Times New Roman" w:hAnsi="Times New Roman" w:eastAsia="宋体" w:cs="Times New Roman"/>
                <w:color w:val="auto"/>
                <w:sz w:val="24"/>
                <w:szCs w:val="24"/>
                <w:lang w:eastAsia="zh-CN"/>
              </w:rPr>
              <w:t>广元市昭化区东盛国有投资有限公司</w:t>
            </w:r>
          </w:p>
          <w:p>
            <w:pPr>
              <w:pStyle w:val="62"/>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建设性质：</w:t>
            </w:r>
            <w:r>
              <w:rPr>
                <w:rFonts w:hint="eastAsia" w:ascii="Times New Roman" w:hAnsi="Times New Roman" w:eastAsia="宋体" w:cs="Times New Roman"/>
                <w:color w:val="auto"/>
                <w:kern w:val="2"/>
                <w:sz w:val="24"/>
                <w:szCs w:val="24"/>
                <w:highlight w:val="none"/>
                <w:lang w:val="en-US" w:eastAsia="zh-CN" w:bidi="ar-SA"/>
              </w:rPr>
              <w:t>新建</w:t>
            </w:r>
          </w:p>
          <w:p>
            <w:pPr>
              <w:pStyle w:val="62"/>
              <w:ind w:firstLine="480"/>
              <w:rPr>
                <w:rFonts w:hint="eastAsia"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2"/>
                <w:sz w:val="24"/>
                <w:szCs w:val="24"/>
                <w:highlight w:val="none"/>
                <w:lang w:val="en-US" w:eastAsia="zh-CN" w:bidi="ar-SA"/>
              </w:rPr>
              <w:t>建设地点：</w:t>
            </w:r>
            <w:r>
              <w:rPr>
                <w:rFonts w:hint="eastAsia" w:ascii="Times New Roman" w:hAnsi="Times New Roman" w:eastAsia="宋体" w:cs="Times New Roman"/>
                <w:color w:val="auto"/>
                <w:kern w:val="0"/>
                <w:sz w:val="24"/>
                <w:szCs w:val="24"/>
                <w:lang w:val="en-US" w:eastAsia="zh-CN" w:bidi="ar"/>
              </w:rPr>
              <w:t>广元市昭化区元坝镇</w:t>
            </w:r>
            <w:r>
              <w:rPr>
                <w:rFonts w:hint="eastAsia" w:ascii="Times New Roman" w:hAnsi="Times New Roman" w:eastAsia="宋体" w:cs="Times New Roman"/>
                <w:color w:val="auto"/>
                <w:kern w:val="2"/>
                <w:sz w:val="24"/>
                <w:szCs w:val="24"/>
                <w:highlight w:val="none"/>
                <w:lang w:val="en-US" w:eastAsia="zh-CN" w:bidi="ar-SA"/>
              </w:rPr>
              <w:t>长坝社区</w:t>
            </w:r>
            <w:r>
              <w:rPr>
                <w:rFonts w:hint="eastAsia" w:ascii="Times New Roman" w:hAnsi="Times New Roman" w:eastAsia="宋体" w:cs="Times New Roman"/>
                <w:color w:val="auto"/>
                <w:kern w:val="0"/>
                <w:sz w:val="24"/>
                <w:szCs w:val="24"/>
                <w:lang w:val="en-US" w:eastAsia="zh-CN" w:bidi="ar"/>
              </w:rPr>
              <w:t xml:space="preserve"> </w:t>
            </w:r>
          </w:p>
          <w:p>
            <w:pPr>
              <w:pStyle w:val="62"/>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项目总投资：</w:t>
            </w:r>
            <w:r>
              <w:rPr>
                <w:rFonts w:hint="eastAsia" w:ascii="Times New Roman" w:hAnsi="Times New Roman" w:eastAsia="宋体" w:cs="Times New Roman"/>
                <w:color w:val="auto"/>
                <w:kern w:val="2"/>
                <w:sz w:val="24"/>
                <w:szCs w:val="24"/>
                <w:highlight w:val="none"/>
                <w:lang w:val="en-US" w:eastAsia="zh-CN" w:bidi="ar-SA"/>
              </w:rPr>
              <w:t>665.72万元</w:t>
            </w:r>
          </w:p>
          <w:p>
            <w:pPr>
              <w:pStyle w:val="62"/>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建设工期：本工程的施工总工期安排为6个月，其中准备工期1个月，主体工程施工期4个月（12月～3月），工程完建期1个月</w:t>
            </w:r>
          </w:p>
          <w:p>
            <w:pPr>
              <w:pStyle w:val="28"/>
              <w:ind w:left="0" w:leftChars="0" w:firstLine="482" w:firstLineChars="200"/>
              <w:rPr>
                <w:rFonts w:hint="default"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3、建设规模和内容</w:t>
            </w:r>
          </w:p>
          <w:p>
            <w:pPr>
              <w:pStyle w:val="62"/>
              <w:ind w:firstLine="480"/>
              <w:rPr>
                <w:rFonts w:hint="default" w:ascii="Times New Roman" w:hAnsi="Times New Roman" w:eastAsia="宋体" w:cs="Times New Roman"/>
                <w:color w:val="auto"/>
                <w:kern w:val="2"/>
                <w:sz w:val="24"/>
                <w:szCs w:val="24"/>
                <w:highlight w:val="none"/>
                <w:lang w:val="zh-CN" w:eastAsia="zh-CN" w:bidi="ar-SA"/>
              </w:rPr>
            </w:pPr>
            <w:bookmarkStart w:id="10" w:name="_Toc62231691"/>
            <w:bookmarkStart w:id="11" w:name="_Toc117065869"/>
            <w:bookmarkStart w:id="12" w:name="_Toc62056316"/>
            <w:r>
              <w:rPr>
                <w:rFonts w:hint="eastAsia"/>
                <w:color w:val="auto"/>
                <w:sz w:val="24"/>
                <w:szCs w:val="24"/>
                <w:highlight w:val="none"/>
                <w:lang w:val="en-US" w:eastAsia="zh-CN"/>
              </w:rPr>
              <w:t>庄子沟</w:t>
            </w:r>
            <w:r>
              <w:rPr>
                <w:rFonts w:hint="eastAsia"/>
                <w:color w:val="auto"/>
                <w:sz w:val="24"/>
                <w:szCs w:val="24"/>
                <w:highlight w:val="none"/>
              </w:rPr>
              <w:t>综合治理河长</w:t>
            </w:r>
            <w:r>
              <w:rPr>
                <w:rFonts w:hint="eastAsia"/>
                <w:color w:val="auto"/>
                <w:sz w:val="24"/>
                <w:szCs w:val="24"/>
                <w:highlight w:val="none"/>
                <w:lang w:val="en-US" w:eastAsia="zh-CN"/>
              </w:rPr>
              <w:t>452</w:t>
            </w:r>
            <w:r>
              <w:rPr>
                <w:color w:val="auto"/>
                <w:sz w:val="24"/>
                <w:szCs w:val="24"/>
                <w:highlight w:val="none"/>
              </w:rPr>
              <w:t>m</w:t>
            </w:r>
            <w:r>
              <w:rPr>
                <w:rFonts w:hint="eastAsia"/>
                <w:color w:val="auto"/>
                <w:sz w:val="24"/>
                <w:szCs w:val="24"/>
                <w:highlight w:val="none"/>
              </w:rPr>
              <w:t>，新建堤防</w:t>
            </w:r>
            <w:r>
              <w:rPr>
                <w:rFonts w:hint="eastAsia"/>
                <w:color w:val="auto"/>
                <w:sz w:val="24"/>
                <w:szCs w:val="24"/>
                <w:highlight w:val="none"/>
                <w:lang w:val="en-US" w:eastAsia="zh-CN"/>
              </w:rPr>
              <w:t>906</w:t>
            </w:r>
            <w:r>
              <w:rPr>
                <w:color w:val="auto"/>
                <w:sz w:val="24"/>
                <w:szCs w:val="24"/>
                <w:highlight w:val="none"/>
              </w:rPr>
              <w:t>m</w:t>
            </w:r>
            <w:r>
              <w:rPr>
                <w:rFonts w:hint="eastAsia"/>
                <w:color w:val="auto"/>
                <w:sz w:val="24"/>
                <w:szCs w:val="24"/>
                <w:highlight w:val="none"/>
              </w:rPr>
              <w:t>，其中左岸堤防</w:t>
            </w:r>
            <w:r>
              <w:rPr>
                <w:rFonts w:hint="eastAsia"/>
                <w:color w:val="auto"/>
                <w:sz w:val="24"/>
                <w:szCs w:val="24"/>
                <w:highlight w:val="none"/>
                <w:lang w:val="en-US" w:eastAsia="zh-CN"/>
              </w:rPr>
              <w:t>459</w:t>
            </w:r>
            <w:r>
              <w:rPr>
                <w:color w:val="auto"/>
                <w:sz w:val="24"/>
                <w:szCs w:val="24"/>
                <w:highlight w:val="none"/>
              </w:rPr>
              <w:t>m</w:t>
            </w:r>
            <w:r>
              <w:rPr>
                <w:rFonts w:hint="eastAsia"/>
                <w:color w:val="auto"/>
                <w:sz w:val="24"/>
                <w:szCs w:val="24"/>
                <w:highlight w:val="none"/>
              </w:rPr>
              <w:t>，右岸新建堤防</w:t>
            </w:r>
            <w:r>
              <w:rPr>
                <w:rFonts w:hint="eastAsia"/>
                <w:color w:val="auto"/>
                <w:sz w:val="24"/>
                <w:szCs w:val="24"/>
                <w:highlight w:val="none"/>
                <w:lang w:val="en-US" w:eastAsia="zh-CN"/>
              </w:rPr>
              <w:t>447</w:t>
            </w:r>
            <w:r>
              <w:rPr>
                <w:rFonts w:hint="eastAsia"/>
                <w:color w:val="auto"/>
                <w:sz w:val="24"/>
                <w:szCs w:val="24"/>
                <w:highlight w:val="none"/>
              </w:rPr>
              <w:t>m</w:t>
            </w:r>
            <w:r>
              <w:rPr>
                <w:rFonts w:hint="eastAsia"/>
                <w:color w:val="auto"/>
                <w:sz w:val="24"/>
                <w:szCs w:val="24"/>
                <w:highlight w:val="none"/>
                <w:lang w:eastAsia="zh-CN"/>
              </w:rPr>
              <w:t>，</w:t>
            </w:r>
            <w:r>
              <w:rPr>
                <w:rFonts w:hint="eastAsia"/>
                <w:color w:val="auto"/>
                <w:sz w:val="24"/>
                <w:szCs w:val="24"/>
                <w:highlight w:val="none"/>
                <w:lang w:val="en-US" w:eastAsia="zh-CN"/>
              </w:rPr>
              <w:t>疏浚长度250m，新建人行桥2座，新建梯步2处及其他附属设施。</w:t>
            </w:r>
            <w:r>
              <w:rPr>
                <w:rFonts w:hint="default" w:ascii="Times New Roman" w:hAnsi="Times New Roman" w:eastAsia="宋体" w:cs="Times New Roman"/>
                <w:color w:val="auto"/>
                <w:kern w:val="2"/>
                <w:sz w:val="24"/>
                <w:szCs w:val="24"/>
                <w:highlight w:val="none"/>
                <w:lang w:val="zh-CN" w:eastAsia="zh-CN" w:bidi="ar-SA"/>
              </w:rPr>
              <w:t>本工程主要</w:t>
            </w:r>
            <w:r>
              <w:rPr>
                <w:rFonts w:hint="eastAsia" w:ascii="Times New Roman" w:hAnsi="Times New Roman" w:eastAsia="宋体" w:cs="Times New Roman"/>
                <w:color w:val="auto"/>
                <w:kern w:val="2"/>
                <w:sz w:val="24"/>
                <w:szCs w:val="24"/>
                <w:highlight w:val="none"/>
                <w:lang w:val="zh-CN" w:eastAsia="zh-CN" w:bidi="ar-SA"/>
              </w:rPr>
              <w:t>建设规模</w:t>
            </w:r>
            <w:r>
              <w:rPr>
                <w:rFonts w:hint="default" w:ascii="Times New Roman" w:hAnsi="Times New Roman" w:eastAsia="宋体" w:cs="Times New Roman"/>
                <w:color w:val="auto"/>
                <w:kern w:val="2"/>
                <w:sz w:val="24"/>
                <w:szCs w:val="24"/>
                <w:highlight w:val="none"/>
                <w:lang w:val="zh-CN" w:eastAsia="zh-CN" w:bidi="ar-SA"/>
              </w:rPr>
              <w:t>见下表</w:t>
            </w:r>
            <w:r>
              <w:rPr>
                <w:rFonts w:hint="eastAsia" w:ascii="Times New Roman" w:hAnsi="Times New Roman" w:eastAsia="宋体" w:cs="Times New Roman"/>
                <w:color w:val="auto"/>
                <w:kern w:val="2"/>
                <w:sz w:val="24"/>
                <w:szCs w:val="24"/>
                <w:highlight w:val="none"/>
                <w:lang w:val="en-US" w:eastAsia="zh-CN" w:bidi="ar-SA"/>
              </w:rPr>
              <w:t>2-1</w:t>
            </w:r>
            <w:r>
              <w:rPr>
                <w:rFonts w:hint="default" w:ascii="Times New Roman" w:hAnsi="Times New Roman" w:eastAsia="宋体" w:cs="Times New Roman"/>
                <w:color w:val="auto"/>
                <w:kern w:val="2"/>
                <w:sz w:val="24"/>
                <w:szCs w:val="24"/>
                <w:highlight w:val="none"/>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w:t>
            </w:r>
            <w:r>
              <w:rPr>
                <w:rFonts w:hint="eastAsia"/>
                <w:b/>
                <w:color w:val="auto"/>
                <w:sz w:val="21"/>
                <w:szCs w:val="21"/>
                <w:lang w:val="en-US" w:eastAsia="zh-CN"/>
              </w:rPr>
              <w:t xml:space="preserve">2-1 </w:t>
            </w:r>
            <w:r>
              <w:rPr>
                <w:rFonts w:ascii="Times New Roman" w:hAnsi="Times New Roman" w:eastAsia="宋体" w:cs="Times New Roman"/>
                <w:b/>
                <w:color w:val="auto"/>
                <w:sz w:val="21"/>
                <w:szCs w:val="21"/>
              </w:rPr>
              <w:t xml:space="preserve"> </w:t>
            </w:r>
            <w:r>
              <w:rPr>
                <w:rFonts w:hint="eastAsia" w:ascii="Times New Roman" w:hAnsi="Times New Roman" w:eastAsia="宋体" w:cs="Times New Roman"/>
                <w:b/>
                <w:color w:val="auto"/>
                <w:sz w:val="21"/>
                <w:szCs w:val="21"/>
                <w:lang w:eastAsia="zh-CN"/>
              </w:rPr>
              <w:t>工程建设规模统计表</w:t>
            </w:r>
          </w:p>
          <w:tbl>
            <w:tblPr>
              <w:tblStyle w:val="116"/>
              <w:tblW w:w="856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1"/>
              <w:gridCol w:w="664"/>
              <w:gridCol w:w="900"/>
              <w:gridCol w:w="900"/>
              <w:gridCol w:w="900"/>
              <w:gridCol w:w="811"/>
              <w:gridCol w:w="718"/>
              <w:gridCol w:w="1037"/>
              <w:gridCol w:w="1038"/>
              <w:gridCol w:w="10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31" w:type="dxa"/>
                  <w:vMerge w:val="restart"/>
                  <w:noWrap w:val="0"/>
                  <w:vAlign w:val="center"/>
                </w:tcPr>
                <w:p>
                  <w:pPr>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河流</w:t>
                  </w:r>
                </w:p>
              </w:tc>
              <w:tc>
                <w:tcPr>
                  <w:tcW w:w="664" w:type="dxa"/>
                  <w:vMerge w:val="restart"/>
                  <w:noWrap w:val="0"/>
                  <w:vAlign w:val="center"/>
                </w:tcPr>
                <w:p>
                  <w:pPr>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治理类型</w:t>
                  </w:r>
                </w:p>
              </w:tc>
              <w:tc>
                <w:tcPr>
                  <w:tcW w:w="900" w:type="dxa"/>
                  <w:vMerge w:val="restart"/>
                  <w:noWrap w:val="0"/>
                  <w:vAlign w:val="center"/>
                </w:tcPr>
                <w:p>
                  <w:pPr>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综合治理河长（</w:t>
                  </w:r>
                  <w:r>
                    <w:rPr>
                      <w:rFonts w:hint="default" w:ascii="Times New Roman" w:hAnsi="Times New Roman" w:eastAsia="宋体" w:cs="Times New Roman"/>
                      <w:sz w:val="21"/>
                      <w:szCs w:val="21"/>
                    </w:rPr>
                    <w:t>m</w:t>
                  </w:r>
                  <w:r>
                    <w:rPr>
                      <w:rFonts w:hint="eastAsia" w:ascii="Times New Roman" w:hAnsi="Times New Roman" w:eastAsia="宋体" w:cs="Times New Roman"/>
                      <w:sz w:val="21"/>
                      <w:szCs w:val="21"/>
                    </w:rPr>
                    <w:t>）</w:t>
                  </w:r>
                </w:p>
              </w:tc>
              <w:tc>
                <w:tcPr>
                  <w:tcW w:w="2611" w:type="dxa"/>
                  <w:gridSpan w:val="3"/>
                  <w:noWrap w:val="0"/>
                  <w:vAlign w:val="center"/>
                </w:tcPr>
                <w:p>
                  <w:pPr>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新建堤防（</w:t>
                  </w:r>
                  <w:r>
                    <w:rPr>
                      <w:rFonts w:hint="default" w:ascii="Times New Roman" w:hAnsi="Times New Roman" w:eastAsia="宋体" w:cs="Times New Roman"/>
                      <w:sz w:val="21"/>
                      <w:szCs w:val="21"/>
                    </w:rPr>
                    <w:t>m</w:t>
                  </w:r>
                  <w:r>
                    <w:rPr>
                      <w:rFonts w:hint="eastAsia" w:ascii="Times New Roman" w:hAnsi="Times New Roman" w:eastAsia="宋体" w:cs="Times New Roman"/>
                      <w:sz w:val="21"/>
                      <w:szCs w:val="21"/>
                    </w:rPr>
                    <w:t>）</w:t>
                  </w:r>
                </w:p>
              </w:tc>
              <w:tc>
                <w:tcPr>
                  <w:tcW w:w="718" w:type="dxa"/>
                  <w:vMerge w:val="restart"/>
                  <w:noWrap w:val="0"/>
                  <w:vAlign w:val="center"/>
                </w:tcPr>
                <w:p>
                  <w:pPr>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疏浚（</w:t>
                  </w:r>
                  <w:r>
                    <w:rPr>
                      <w:rFonts w:hint="default" w:ascii="Times New Roman" w:hAnsi="Times New Roman" w:eastAsia="宋体" w:cs="Times New Roman"/>
                      <w:sz w:val="21"/>
                      <w:szCs w:val="21"/>
                    </w:rPr>
                    <w:t>m</w:t>
                  </w:r>
                  <w:r>
                    <w:rPr>
                      <w:rFonts w:hint="eastAsia" w:ascii="Times New Roman" w:hAnsi="Times New Roman" w:eastAsia="宋体" w:cs="Times New Roman"/>
                      <w:sz w:val="21"/>
                      <w:szCs w:val="21"/>
                    </w:rPr>
                    <w:t>）</w:t>
                  </w:r>
                </w:p>
              </w:tc>
              <w:tc>
                <w:tcPr>
                  <w:tcW w:w="2075" w:type="dxa"/>
                  <w:gridSpan w:val="2"/>
                  <w:noWrap w:val="0"/>
                  <w:vAlign w:val="center"/>
                </w:tcPr>
                <w:p>
                  <w:pPr>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桩号（河道）</w:t>
                  </w:r>
                </w:p>
              </w:tc>
              <w:tc>
                <w:tcPr>
                  <w:tcW w:w="1069" w:type="dxa"/>
                  <w:vMerge w:val="restart"/>
                  <w:noWrap w:val="0"/>
                  <w:vAlign w:val="center"/>
                </w:tcPr>
                <w:p>
                  <w:pPr>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型式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31" w:type="dxa"/>
                  <w:vMerge w:val="continue"/>
                  <w:noWrap w:val="0"/>
                  <w:vAlign w:val="center"/>
                </w:tcPr>
                <w:p>
                  <w:pPr>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eastAsia="宋体" w:cs="Times New Roman"/>
                      <w:sz w:val="21"/>
                      <w:szCs w:val="21"/>
                    </w:rPr>
                  </w:pPr>
                </w:p>
              </w:tc>
              <w:tc>
                <w:tcPr>
                  <w:tcW w:w="664" w:type="dxa"/>
                  <w:vMerge w:val="continue"/>
                  <w:noWrap w:val="0"/>
                  <w:vAlign w:val="center"/>
                </w:tcPr>
                <w:p>
                  <w:pPr>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eastAsia="宋体" w:cs="Times New Roman"/>
                      <w:sz w:val="21"/>
                      <w:szCs w:val="21"/>
                    </w:rPr>
                  </w:pPr>
                </w:p>
              </w:tc>
              <w:tc>
                <w:tcPr>
                  <w:tcW w:w="900" w:type="dxa"/>
                  <w:vMerge w:val="continue"/>
                  <w:noWrap w:val="0"/>
                  <w:vAlign w:val="center"/>
                </w:tcPr>
                <w:p>
                  <w:pPr>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eastAsia="宋体" w:cs="Times New Roman"/>
                      <w:sz w:val="21"/>
                      <w:szCs w:val="21"/>
                    </w:rPr>
                  </w:pPr>
                </w:p>
              </w:tc>
              <w:tc>
                <w:tcPr>
                  <w:tcW w:w="900" w:type="dxa"/>
                  <w:noWrap w:val="0"/>
                  <w:vAlign w:val="center"/>
                </w:tcPr>
                <w:p>
                  <w:pPr>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左岸</w:t>
                  </w:r>
                </w:p>
              </w:tc>
              <w:tc>
                <w:tcPr>
                  <w:tcW w:w="900" w:type="dxa"/>
                  <w:noWrap w:val="0"/>
                  <w:vAlign w:val="center"/>
                </w:tcPr>
                <w:p>
                  <w:pPr>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右岸</w:t>
                  </w:r>
                </w:p>
              </w:tc>
              <w:tc>
                <w:tcPr>
                  <w:tcW w:w="811" w:type="dxa"/>
                  <w:noWrap w:val="0"/>
                  <w:vAlign w:val="center"/>
                </w:tcPr>
                <w:p>
                  <w:pPr>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合计</w:t>
                  </w:r>
                </w:p>
              </w:tc>
              <w:tc>
                <w:tcPr>
                  <w:tcW w:w="718" w:type="dxa"/>
                  <w:vMerge w:val="continue"/>
                  <w:noWrap w:val="0"/>
                  <w:vAlign w:val="center"/>
                </w:tcPr>
                <w:p>
                  <w:pPr>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eastAsia="宋体" w:cs="Times New Roman"/>
                      <w:sz w:val="21"/>
                      <w:szCs w:val="21"/>
                    </w:rPr>
                  </w:pPr>
                </w:p>
              </w:tc>
              <w:tc>
                <w:tcPr>
                  <w:tcW w:w="1037" w:type="dxa"/>
                  <w:noWrap w:val="0"/>
                  <w:vAlign w:val="center"/>
                </w:tcPr>
                <w:p>
                  <w:pPr>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起点</w:t>
                  </w:r>
                </w:p>
              </w:tc>
              <w:tc>
                <w:tcPr>
                  <w:tcW w:w="1038" w:type="dxa"/>
                  <w:noWrap w:val="0"/>
                  <w:vAlign w:val="center"/>
                </w:tcPr>
                <w:p>
                  <w:pPr>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终点</w:t>
                  </w:r>
                </w:p>
              </w:tc>
              <w:tc>
                <w:tcPr>
                  <w:tcW w:w="1069" w:type="dxa"/>
                  <w:vMerge w:val="continue"/>
                  <w:noWrap w:val="0"/>
                  <w:vAlign w:val="center"/>
                </w:tcPr>
                <w:p>
                  <w:pPr>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31" w:type="dxa"/>
                  <w:vMerge w:val="restart"/>
                  <w:noWrap w:val="0"/>
                  <w:vAlign w:val="center"/>
                </w:tcPr>
                <w:p>
                  <w:pPr>
                    <w:keepNext w:val="0"/>
                    <w:keepLines w:val="0"/>
                    <w:pageBreakBefore w:val="0"/>
                    <w:kinsoku/>
                    <w:wordWrap/>
                    <w:overflowPunct/>
                    <w:topLinePunct w:val="0"/>
                    <w:autoSpaceDE/>
                    <w:autoSpaceDN/>
                    <w:bidi w:val="0"/>
                    <w:adjustRightInd/>
                    <w:snapToGrid/>
                    <w:jc w:val="left"/>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庄子沟</w:t>
                  </w:r>
                </w:p>
              </w:tc>
              <w:tc>
                <w:tcPr>
                  <w:tcW w:w="664" w:type="dxa"/>
                  <w:noWrap w:val="0"/>
                  <w:vAlign w:val="center"/>
                </w:tcPr>
                <w:p>
                  <w:pPr>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新建堤防</w:t>
                  </w:r>
                </w:p>
              </w:tc>
              <w:tc>
                <w:tcPr>
                  <w:tcW w:w="900"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452</w:t>
                  </w:r>
                </w:p>
              </w:tc>
              <w:tc>
                <w:tcPr>
                  <w:tcW w:w="900"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459</w:t>
                  </w:r>
                </w:p>
              </w:tc>
              <w:tc>
                <w:tcPr>
                  <w:tcW w:w="900"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447</w:t>
                  </w:r>
                </w:p>
              </w:tc>
              <w:tc>
                <w:tcPr>
                  <w:tcW w:w="811"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906</w:t>
                  </w:r>
                </w:p>
              </w:tc>
              <w:tc>
                <w:tcPr>
                  <w:tcW w:w="718" w:type="dxa"/>
                  <w:noWrap w:val="0"/>
                  <w:vAlign w:val="center"/>
                </w:tcPr>
                <w:p>
                  <w:pPr>
                    <w:keepNext w:val="0"/>
                    <w:keepLines w:val="0"/>
                    <w:pageBreakBefore w:val="0"/>
                    <w:kinsoku/>
                    <w:wordWrap/>
                    <w:overflowPunct/>
                    <w:topLinePunct w:val="0"/>
                    <w:autoSpaceDE/>
                    <w:autoSpaceDN/>
                    <w:bidi w:val="0"/>
                    <w:adjustRightInd/>
                    <w:snapToGrid/>
                    <w:jc w:val="left"/>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　</w:t>
                  </w:r>
                  <w:r>
                    <w:rPr>
                      <w:rFonts w:hint="eastAsia" w:ascii="Times New Roman" w:hAnsi="Times New Roman" w:eastAsia="宋体" w:cs="Times New Roman"/>
                      <w:sz w:val="21"/>
                      <w:szCs w:val="21"/>
                      <w:lang w:val="en-US" w:eastAsia="zh-CN"/>
                    </w:rPr>
                    <w:t>/</w:t>
                  </w:r>
                </w:p>
              </w:tc>
              <w:tc>
                <w:tcPr>
                  <w:tcW w:w="1037" w:type="dxa"/>
                  <w:noWrap w:val="0"/>
                  <w:vAlign w:val="center"/>
                </w:tcPr>
                <w:p>
                  <w:pPr>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K</w:t>
                  </w: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000.00</w:t>
                  </w:r>
                </w:p>
              </w:tc>
              <w:tc>
                <w:tcPr>
                  <w:tcW w:w="1038" w:type="dxa"/>
                  <w:noWrap w:val="0"/>
                  <w:vAlign w:val="center"/>
                </w:tcPr>
                <w:p>
                  <w:pPr>
                    <w:keepNext w:val="0"/>
                    <w:keepLines w:val="0"/>
                    <w:pageBreakBefore w:val="0"/>
                    <w:kinsoku/>
                    <w:wordWrap/>
                    <w:overflowPunct/>
                    <w:topLinePunct w:val="0"/>
                    <w:autoSpaceDE/>
                    <w:autoSpaceDN/>
                    <w:bidi w:val="0"/>
                    <w:adjustRightInd/>
                    <w:snapToGrid/>
                    <w:jc w:val="left"/>
                    <w:textAlignment w:val="auto"/>
                    <w:rPr>
                      <w:rFonts w:hint="default" w:eastAsia="仿宋_GB2312"/>
                      <w:lang w:val="en-US" w:eastAsia="zh-CN"/>
                    </w:rPr>
                  </w:pPr>
                  <w:r>
                    <w:rPr>
                      <w:rFonts w:hint="default" w:ascii="Times New Roman" w:hAnsi="Times New Roman" w:eastAsia="宋体" w:cs="Times New Roman"/>
                      <w:sz w:val="21"/>
                      <w:szCs w:val="21"/>
                    </w:rPr>
                    <w:t>K</w:t>
                  </w:r>
                  <w:r>
                    <w:rPr>
                      <w:rFonts w:hint="eastAsia" w:ascii="Times New Roman" w:hAnsi="Times New Roman" w:eastAsia="宋体" w:cs="Times New Roman"/>
                      <w:sz w:val="21"/>
                      <w:szCs w:val="21"/>
                      <w:lang w:val="en-US" w:eastAsia="zh-CN"/>
                    </w:rPr>
                    <w:t>0+452.64</w:t>
                  </w:r>
                </w:p>
              </w:tc>
              <w:tc>
                <w:tcPr>
                  <w:tcW w:w="1069" w:type="dxa"/>
                  <w:vMerge w:val="restart"/>
                  <w:noWrap w:val="0"/>
                  <w:vAlign w:val="center"/>
                </w:tcPr>
                <w:p>
                  <w:pPr>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混凝土重力堤和矩形直墙堤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31" w:type="dxa"/>
                  <w:vMerge w:val="continue"/>
                  <w:noWrap w:val="0"/>
                  <w:vAlign w:val="center"/>
                </w:tcPr>
                <w:p>
                  <w:pPr>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eastAsia="宋体" w:cs="Times New Roman"/>
                      <w:sz w:val="21"/>
                      <w:szCs w:val="21"/>
                    </w:rPr>
                  </w:pPr>
                </w:p>
              </w:tc>
              <w:tc>
                <w:tcPr>
                  <w:tcW w:w="664" w:type="dxa"/>
                  <w:noWrap w:val="0"/>
                  <w:vAlign w:val="center"/>
                </w:tcPr>
                <w:p>
                  <w:pPr>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疏浚</w:t>
                  </w:r>
                </w:p>
              </w:tc>
              <w:tc>
                <w:tcPr>
                  <w:tcW w:w="900"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900"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900"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811"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718"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250</w:t>
                  </w:r>
                </w:p>
              </w:tc>
              <w:tc>
                <w:tcPr>
                  <w:tcW w:w="1037" w:type="dxa"/>
                  <w:noWrap w:val="0"/>
                  <w:vAlign w:val="center"/>
                </w:tcPr>
                <w:p>
                  <w:pPr>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K0+000.00</w:t>
                  </w:r>
                </w:p>
              </w:tc>
              <w:tc>
                <w:tcPr>
                  <w:tcW w:w="1038" w:type="dxa"/>
                  <w:noWrap w:val="0"/>
                  <w:vAlign w:val="center"/>
                </w:tcPr>
                <w:p>
                  <w:pPr>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K</w:t>
                  </w:r>
                  <w:r>
                    <w:rPr>
                      <w:rFonts w:hint="eastAsia" w:ascii="Times New Roman" w:hAnsi="Times New Roman" w:eastAsia="宋体" w:cs="Times New Roman"/>
                      <w:sz w:val="21"/>
                      <w:szCs w:val="21"/>
                      <w:lang w:val="en-US" w:eastAsia="zh-CN"/>
                    </w:rPr>
                    <w:t>0+250.00</w:t>
                  </w:r>
                </w:p>
              </w:tc>
              <w:tc>
                <w:tcPr>
                  <w:tcW w:w="1069" w:type="dxa"/>
                  <w:vMerge w:val="continue"/>
                  <w:noWrap w:val="0"/>
                  <w:vAlign w:val="center"/>
                </w:tcPr>
                <w:p>
                  <w:pPr>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eastAsia="宋体" w:cs="Times New Roman"/>
                      <w:sz w:val="21"/>
                      <w:szCs w:val="21"/>
                    </w:rPr>
                  </w:pPr>
                </w:p>
              </w:tc>
            </w:tr>
            <w:bookmarkEnd w:id="10"/>
            <w:bookmarkEnd w:id="11"/>
            <w:bookmarkEnd w:id="12"/>
          </w:tbl>
          <w:p>
            <w:pPr>
              <w:pStyle w:val="28"/>
              <w:ind w:left="0" w:leftChars="0" w:firstLine="482" w:firstLineChars="200"/>
              <w:rPr>
                <w:b/>
                <w:bCs w:val="0"/>
                <w:color w:val="auto"/>
                <w:sz w:val="24"/>
                <w:szCs w:val="24"/>
              </w:rPr>
            </w:pPr>
            <w:r>
              <w:rPr>
                <w:rFonts w:hint="eastAsia" w:ascii="Times New Roman" w:hAnsi="Times New Roman" w:eastAsia="宋体" w:cs="Times New Roman"/>
                <w:b/>
                <w:bCs/>
                <w:color w:val="000000"/>
                <w:kern w:val="2"/>
                <w:sz w:val="24"/>
                <w:szCs w:val="24"/>
                <w:lang w:val="en-US" w:eastAsia="zh-CN" w:bidi="ar-SA"/>
              </w:rPr>
              <w:t>4、项目组成及主要环境问题</w:t>
            </w:r>
          </w:p>
          <w:p>
            <w:pPr>
              <w:pStyle w:val="28"/>
              <w:ind w:left="0" w:leftChars="0"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项目组成及主要环境问题见下表。</w:t>
            </w:r>
          </w:p>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
                <w:bCs/>
                <w:color w:val="auto"/>
                <w:kern w:val="2"/>
                <w:sz w:val="21"/>
                <w:szCs w:val="21"/>
                <w:highlight w:val="none"/>
                <w:lang w:val="en-US" w:eastAsia="zh-CN" w:bidi="ar-SA"/>
              </w:rPr>
            </w:pPr>
            <w:r>
              <w:rPr>
                <w:rFonts w:hint="eastAsia" w:eastAsia="宋体" w:cs="Times New Roman"/>
                <w:b/>
                <w:bCs/>
                <w:color w:val="auto"/>
                <w:kern w:val="2"/>
                <w:sz w:val="21"/>
                <w:szCs w:val="21"/>
                <w:highlight w:val="none"/>
                <w:lang w:val="en-US" w:eastAsia="zh-CN" w:bidi="ar-SA"/>
              </w:rPr>
              <w:t>表2-2 项目组成及主要环境问题</w:t>
            </w:r>
          </w:p>
          <w:tbl>
            <w:tblPr>
              <w:tblStyle w:val="30"/>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878"/>
              <w:gridCol w:w="3610"/>
              <w:gridCol w:w="1501"/>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078" w:type="dxa"/>
                  <w:vMerge w:val="restart"/>
                  <w:noWrap w:val="0"/>
                  <w:vAlign w:val="center"/>
                </w:tcPr>
                <w:p>
                  <w:pPr>
                    <w:spacing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项目组成</w:t>
                  </w:r>
                </w:p>
              </w:tc>
              <w:tc>
                <w:tcPr>
                  <w:tcW w:w="4488" w:type="dxa"/>
                  <w:gridSpan w:val="2"/>
                  <w:vMerge w:val="restart"/>
                  <w:noWrap w:val="0"/>
                  <w:vAlign w:val="center"/>
                </w:tcPr>
                <w:p>
                  <w:pPr>
                    <w:spacing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建设内容</w:t>
                  </w:r>
                </w:p>
              </w:tc>
              <w:tc>
                <w:tcPr>
                  <w:tcW w:w="3334" w:type="dxa"/>
                  <w:gridSpan w:val="2"/>
                  <w:noWrap w:val="0"/>
                  <w:vAlign w:val="center"/>
                </w:tcPr>
                <w:p>
                  <w:pPr>
                    <w:spacing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可能产生的环境问题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78" w:type="dxa"/>
                  <w:vMerge w:val="continue"/>
                  <w:noWrap w:val="0"/>
                  <w:vAlign w:val="center"/>
                </w:tcPr>
                <w:p>
                  <w:pPr>
                    <w:spacing w:line="320" w:lineRule="exact"/>
                    <w:jc w:val="center"/>
                    <w:rPr>
                      <w:rFonts w:hint="default" w:ascii="Times New Roman" w:hAnsi="Times New Roman" w:eastAsia="宋体" w:cs="Times New Roman"/>
                      <w:b/>
                      <w:color w:val="auto"/>
                      <w:sz w:val="21"/>
                      <w:szCs w:val="21"/>
                    </w:rPr>
                  </w:pPr>
                </w:p>
              </w:tc>
              <w:tc>
                <w:tcPr>
                  <w:tcW w:w="4488" w:type="dxa"/>
                  <w:gridSpan w:val="2"/>
                  <w:vMerge w:val="continue"/>
                  <w:noWrap w:val="0"/>
                  <w:vAlign w:val="center"/>
                </w:tcPr>
                <w:p>
                  <w:pPr>
                    <w:spacing w:line="320" w:lineRule="exact"/>
                    <w:jc w:val="center"/>
                    <w:rPr>
                      <w:rFonts w:hint="default" w:ascii="Times New Roman" w:hAnsi="Times New Roman" w:eastAsia="宋体" w:cs="Times New Roman"/>
                      <w:b/>
                      <w:color w:val="auto"/>
                      <w:sz w:val="21"/>
                      <w:szCs w:val="21"/>
                    </w:rPr>
                  </w:pPr>
                </w:p>
              </w:tc>
              <w:tc>
                <w:tcPr>
                  <w:tcW w:w="1501" w:type="dxa"/>
                  <w:noWrap w:val="0"/>
                  <w:vAlign w:val="center"/>
                </w:tcPr>
                <w:p>
                  <w:pPr>
                    <w:spacing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施工期</w:t>
                  </w:r>
                </w:p>
              </w:tc>
              <w:tc>
                <w:tcPr>
                  <w:tcW w:w="1833" w:type="dxa"/>
                  <w:noWrap w:val="0"/>
                  <w:vAlign w:val="center"/>
                </w:tcPr>
                <w:p>
                  <w:pPr>
                    <w:spacing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营运期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8" w:type="dxa"/>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4488" w:type="dxa"/>
                  <w:gridSpan w:val="2"/>
                  <w:noWrap w:val="0"/>
                  <w:vAlign w:val="center"/>
                </w:tcPr>
                <w:p>
                  <w:pPr>
                    <w:pStyle w:val="1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庄子沟</w:t>
                  </w:r>
                  <w:r>
                    <w:rPr>
                      <w:rFonts w:hint="default" w:ascii="Times New Roman" w:hAnsi="Times New Roman" w:eastAsia="宋体" w:cs="Times New Roman"/>
                      <w:color w:val="auto"/>
                      <w:sz w:val="21"/>
                      <w:szCs w:val="21"/>
                    </w:rPr>
                    <w:t>综合治理河长</w:t>
                  </w:r>
                  <w:r>
                    <w:rPr>
                      <w:rFonts w:hint="default" w:ascii="Times New Roman" w:hAnsi="Times New Roman" w:eastAsia="宋体" w:cs="Times New Roman"/>
                      <w:color w:val="auto"/>
                      <w:sz w:val="21"/>
                      <w:szCs w:val="21"/>
                      <w:lang w:val="en-US" w:eastAsia="zh-CN"/>
                    </w:rPr>
                    <w:t>452</w:t>
                  </w:r>
                  <w:r>
                    <w:rPr>
                      <w:rFonts w:hint="default" w:ascii="Times New Roman" w:hAnsi="Times New Roman" w:eastAsia="宋体" w:cs="Times New Roman"/>
                      <w:color w:val="auto"/>
                      <w:sz w:val="21"/>
                      <w:szCs w:val="21"/>
                    </w:rPr>
                    <w:t>m，新建堤防</w:t>
                  </w:r>
                  <w:r>
                    <w:rPr>
                      <w:rFonts w:hint="default" w:ascii="Times New Roman" w:hAnsi="Times New Roman" w:eastAsia="宋体" w:cs="Times New Roman"/>
                      <w:color w:val="auto"/>
                      <w:sz w:val="21"/>
                      <w:szCs w:val="21"/>
                      <w:lang w:val="en-US" w:eastAsia="zh-CN"/>
                    </w:rPr>
                    <w:t>906</w:t>
                  </w:r>
                  <w:r>
                    <w:rPr>
                      <w:rFonts w:hint="default" w:ascii="Times New Roman" w:hAnsi="Times New Roman" w:eastAsia="宋体" w:cs="Times New Roman"/>
                      <w:color w:val="auto"/>
                      <w:sz w:val="21"/>
                      <w:szCs w:val="21"/>
                    </w:rPr>
                    <w:t>m，其中左岸堤防</w:t>
                  </w:r>
                  <w:r>
                    <w:rPr>
                      <w:rFonts w:hint="default" w:ascii="Times New Roman" w:hAnsi="Times New Roman" w:eastAsia="宋体" w:cs="Times New Roman"/>
                      <w:color w:val="auto"/>
                      <w:sz w:val="21"/>
                      <w:szCs w:val="21"/>
                      <w:lang w:val="en-US" w:eastAsia="zh-CN"/>
                    </w:rPr>
                    <w:t>459</w:t>
                  </w:r>
                  <w:r>
                    <w:rPr>
                      <w:rFonts w:hint="default" w:ascii="Times New Roman" w:hAnsi="Times New Roman" w:eastAsia="宋体" w:cs="Times New Roman"/>
                      <w:color w:val="auto"/>
                      <w:sz w:val="21"/>
                      <w:szCs w:val="21"/>
                    </w:rPr>
                    <w:t>m，右岸新建堤防</w:t>
                  </w:r>
                  <w:r>
                    <w:rPr>
                      <w:rFonts w:hint="default" w:ascii="Times New Roman" w:hAnsi="Times New Roman" w:eastAsia="宋体" w:cs="Times New Roman"/>
                      <w:color w:val="auto"/>
                      <w:sz w:val="21"/>
                      <w:szCs w:val="21"/>
                      <w:lang w:val="en-US" w:eastAsia="zh-CN"/>
                    </w:rPr>
                    <w:t>447</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疏浚长度250m</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新建人行桥2座，新建梯步2处及其他附属设施。</w:t>
                  </w:r>
                </w:p>
              </w:tc>
              <w:tc>
                <w:tcPr>
                  <w:tcW w:w="1501"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扬尘、废气</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噪声、废水</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建筑垃圾</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弃土石渣</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水土流失</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植被破坏</w:t>
                  </w:r>
                </w:p>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河流水质及水生生物</w:t>
                  </w:r>
                </w:p>
              </w:tc>
              <w:tc>
                <w:tcPr>
                  <w:tcW w:w="1833"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防洪</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蓄水</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灌溉</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正效益</w:t>
                  </w:r>
                </w:p>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完善市政排水设施，提升城市形象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078" w:type="dxa"/>
                  <w:vMerge w:val="restart"/>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临时</w:t>
                  </w:r>
                  <w:r>
                    <w:rPr>
                      <w:rFonts w:hint="default" w:ascii="Times New Roman" w:hAnsi="Times New Roman" w:eastAsia="宋体" w:cs="Times New Roman"/>
                      <w:color w:val="auto"/>
                      <w:sz w:val="21"/>
                      <w:szCs w:val="21"/>
                      <w:lang w:val="en-US" w:eastAsia="zh-CN"/>
                    </w:rPr>
                    <w:t>工程</w:t>
                  </w:r>
                </w:p>
              </w:tc>
              <w:tc>
                <w:tcPr>
                  <w:tcW w:w="878"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施工便道</w:t>
                  </w:r>
                </w:p>
              </w:tc>
              <w:tc>
                <w:tcPr>
                  <w:tcW w:w="3610" w:type="dxa"/>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河道右侧分布已有道路，具有一定的 </w:t>
                  </w:r>
                </w:p>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通行能力，仅有小部分河段场内交通 </w:t>
                  </w:r>
                </w:p>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须采用临时施工便道运输，根据施工临时道路布置，沿庄子沟河道平整0.2km长简易临时施工道路。</w:t>
                  </w:r>
                </w:p>
              </w:tc>
              <w:tc>
                <w:tcPr>
                  <w:tcW w:w="1501" w:type="dxa"/>
                  <w:vMerge w:val="restart"/>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噪声、废气、废水、固废、水土流失</w:t>
                  </w:r>
                </w:p>
              </w:tc>
              <w:tc>
                <w:tcPr>
                  <w:tcW w:w="1833" w:type="dxa"/>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8" w:type="dxa"/>
                  <w:vMerge w:val="continue"/>
                  <w:noWrap w:val="0"/>
                  <w:vAlign w:val="center"/>
                </w:tcPr>
                <w:p>
                  <w:pPr>
                    <w:spacing w:line="320" w:lineRule="exact"/>
                    <w:jc w:val="center"/>
                    <w:rPr>
                      <w:rFonts w:hint="default" w:ascii="Times New Roman" w:hAnsi="Times New Roman" w:eastAsia="宋体" w:cs="Times New Roman"/>
                      <w:color w:val="auto"/>
                      <w:sz w:val="21"/>
                      <w:szCs w:val="21"/>
                    </w:rPr>
                  </w:pPr>
                </w:p>
              </w:tc>
              <w:tc>
                <w:tcPr>
                  <w:tcW w:w="878"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临时施工</w:t>
                  </w:r>
                  <w:r>
                    <w:rPr>
                      <w:rFonts w:hint="default" w:ascii="Times New Roman" w:hAnsi="Times New Roman" w:eastAsia="宋体" w:cs="Times New Roman"/>
                      <w:color w:val="auto"/>
                      <w:sz w:val="21"/>
                      <w:szCs w:val="21"/>
                      <w:lang w:val="en-US" w:eastAsia="zh-CN"/>
                    </w:rPr>
                    <w:t>场地</w:t>
                  </w:r>
                </w:p>
              </w:tc>
              <w:tc>
                <w:tcPr>
                  <w:tcW w:w="3610" w:type="dxa"/>
                  <w:noWrap w:val="0"/>
                  <w:vAlign w:val="center"/>
                </w:tcPr>
                <w:p>
                  <w:pPr>
                    <w:ind w:firstLine="420" w:firstLineChars="2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施工生活用房就近租用民房，</w:t>
                  </w:r>
                  <w:r>
                    <w:rPr>
                      <w:rFonts w:hint="default" w:ascii="Times New Roman" w:hAnsi="Times New Roman" w:eastAsia="宋体" w:cs="Times New Roman"/>
                      <w:color w:val="auto"/>
                      <w:sz w:val="21"/>
                      <w:szCs w:val="21"/>
                    </w:rPr>
                    <w:t>主要为办公室及宿舍等，共计租用</w:t>
                  </w:r>
                  <w:r>
                    <w:rPr>
                      <w:rFonts w:hint="default" w:ascii="Times New Roman" w:hAnsi="Times New Roman" w:eastAsia="宋体" w:cs="Times New Roman"/>
                      <w:color w:val="auto"/>
                      <w:sz w:val="21"/>
                      <w:szCs w:val="21"/>
                      <w:lang w:val="en-US" w:eastAsia="zh-CN"/>
                    </w:rPr>
                    <w:t>施工生活</w:t>
                  </w:r>
                  <w:r>
                    <w:rPr>
                      <w:rFonts w:hint="default" w:ascii="Times New Roman" w:hAnsi="Times New Roman" w:eastAsia="宋体" w:cs="Times New Roman"/>
                      <w:color w:val="auto"/>
                      <w:sz w:val="21"/>
                      <w:szCs w:val="21"/>
                    </w:rPr>
                    <w:t>用房</w:t>
                  </w:r>
                  <w:r>
                    <w:rPr>
                      <w:rFonts w:hint="default" w:ascii="Times New Roman" w:hAnsi="Times New Roman" w:eastAsia="宋体" w:cs="Times New Roman"/>
                      <w:color w:val="auto"/>
                      <w:sz w:val="21"/>
                      <w:szCs w:val="21"/>
                      <w:lang w:val="en-US" w:eastAsia="zh-CN"/>
                    </w:rPr>
                    <w:t>共150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其中</w:t>
                  </w:r>
                  <w:r>
                    <w:rPr>
                      <w:rFonts w:hint="default" w:ascii="Times New Roman" w:hAnsi="Times New Roman" w:eastAsia="宋体" w:cs="Times New Roman"/>
                      <w:color w:val="auto"/>
                      <w:sz w:val="21"/>
                      <w:szCs w:val="21"/>
                    </w:rPr>
                    <w:t>办公室</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，宿舍</w:t>
                  </w:r>
                  <w:r>
                    <w:rPr>
                      <w:rFonts w:hint="default"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rPr>
                    <w:t>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施工生产场地主要用于</w:t>
                  </w:r>
                  <w:r>
                    <w:rPr>
                      <w:rFonts w:hint="default" w:ascii="Times New Roman" w:hAnsi="Times New Roman" w:eastAsia="宋体" w:cs="Times New Roman"/>
                      <w:color w:val="auto"/>
                      <w:sz w:val="21"/>
                      <w:szCs w:val="21"/>
                    </w:rPr>
                    <w:t>钢筋制作安装</w:t>
                  </w:r>
                  <w:r>
                    <w:rPr>
                      <w:rFonts w:hint="default" w:ascii="Times New Roman" w:hAnsi="Times New Roman" w:eastAsia="宋体" w:cs="Times New Roman"/>
                      <w:color w:val="auto"/>
                      <w:sz w:val="21"/>
                      <w:szCs w:val="21"/>
                      <w:lang w:val="en-US" w:eastAsia="zh-CN"/>
                    </w:rPr>
                    <w:t>及</w:t>
                  </w:r>
                  <w:r>
                    <w:rPr>
                      <w:rFonts w:hint="default" w:ascii="Times New Roman" w:hAnsi="Times New Roman" w:eastAsia="宋体" w:cs="Times New Roman"/>
                      <w:color w:val="auto"/>
                      <w:sz w:val="21"/>
                      <w:szCs w:val="21"/>
                    </w:rPr>
                    <w:t>木材加工，</w:t>
                  </w:r>
                  <w:r>
                    <w:rPr>
                      <w:rFonts w:hint="default" w:ascii="Times New Roman" w:hAnsi="Times New Roman" w:eastAsia="宋体" w:cs="Times New Roman"/>
                      <w:color w:val="auto"/>
                      <w:sz w:val="21"/>
                      <w:szCs w:val="21"/>
                      <w:lang w:val="en-US" w:eastAsia="zh-CN"/>
                    </w:rPr>
                    <w:t>并作临时材料堆存，</w:t>
                  </w:r>
                  <w:r>
                    <w:rPr>
                      <w:rFonts w:hint="default" w:ascii="Times New Roman" w:hAnsi="Times New Roman" w:eastAsia="宋体" w:cs="Times New Roman"/>
                      <w:color w:val="auto"/>
                      <w:sz w:val="21"/>
                      <w:szCs w:val="21"/>
                    </w:rPr>
                    <w:t>因此在工区设一</w:t>
                  </w:r>
                  <w:r>
                    <w:rPr>
                      <w:rFonts w:hint="default" w:ascii="Times New Roman" w:hAnsi="Times New Roman" w:eastAsia="宋体" w:cs="Times New Roman"/>
                      <w:color w:val="auto"/>
                      <w:sz w:val="21"/>
                      <w:szCs w:val="21"/>
                      <w:lang w:val="en-US" w:eastAsia="zh-CN"/>
                    </w:rPr>
                    <w:t>个</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rPr>
                    <w:t>00m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的</w:t>
                  </w:r>
                  <w:r>
                    <w:rPr>
                      <w:rFonts w:hint="default" w:ascii="Times New Roman" w:hAnsi="Times New Roman" w:eastAsia="宋体" w:cs="Times New Roman"/>
                      <w:color w:val="auto"/>
                      <w:sz w:val="21"/>
                      <w:szCs w:val="21"/>
                      <w:lang w:val="en-US" w:eastAsia="zh-CN"/>
                    </w:rPr>
                    <w:t>临时施工场地</w:t>
                  </w:r>
                  <w:r>
                    <w:rPr>
                      <w:rFonts w:hint="default" w:ascii="Times New Roman" w:hAnsi="Times New Roman" w:eastAsia="宋体" w:cs="Times New Roman"/>
                      <w:color w:val="auto"/>
                      <w:sz w:val="21"/>
                      <w:szCs w:val="21"/>
                    </w:rPr>
                    <w:t>。</w:t>
                  </w:r>
                </w:p>
              </w:tc>
              <w:tc>
                <w:tcPr>
                  <w:tcW w:w="1501" w:type="dxa"/>
                  <w:vMerge w:val="continue"/>
                  <w:noWrap w:val="0"/>
                  <w:vAlign w:val="center"/>
                </w:tcPr>
                <w:p>
                  <w:pPr>
                    <w:spacing w:line="320" w:lineRule="exact"/>
                    <w:jc w:val="center"/>
                    <w:rPr>
                      <w:rFonts w:hint="default" w:ascii="Times New Roman" w:hAnsi="Times New Roman" w:eastAsia="宋体" w:cs="Times New Roman"/>
                      <w:color w:val="auto"/>
                      <w:sz w:val="21"/>
                      <w:szCs w:val="21"/>
                    </w:rPr>
                  </w:pPr>
                </w:p>
              </w:tc>
              <w:tc>
                <w:tcPr>
                  <w:tcW w:w="1833" w:type="dxa"/>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078" w:type="dxa"/>
                  <w:vMerge w:val="continue"/>
                  <w:noWrap w:val="0"/>
                  <w:vAlign w:val="center"/>
                </w:tcPr>
                <w:p>
                  <w:pPr>
                    <w:spacing w:line="320" w:lineRule="exact"/>
                    <w:jc w:val="center"/>
                    <w:rPr>
                      <w:rFonts w:hint="default" w:ascii="Times New Roman" w:hAnsi="Times New Roman" w:eastAsia="宋体" w:cs="Times New Roman"/>
                      <w:color w:val="auto"/>
                      <w:sz w:val="21"/>
                      <w:szCs w:val="21"/>
                    </w:rPr>
                  </w:pPr>
                </w:p>
              </w:tc>
              <w:tc>
                <w:tcPr>
                  <w:tcW w:w="878"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临时堆土场</w:t>
                  </w:r>
                </w:p>
              </w:tc>
              <w:tc>
                <w:tcPr>
                  <w:tcW w:w="3610"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本项目布设1处</w:t>
                  </w:r>
                  <w:r>
                    <w:rPr>
                      <w:rFonts w:hint="eastAsia" w:cs="Times New Roman"/>
                      <w:color w:val="auto"/>
                      <w:sz w:val="21"/>
                      <w:szCs w:val="21"/>
                      <w:lang w:val="en-US" w:eastAsia="zh-CN"/>
                    </w:rPr>
                    <w:t>临时堆土场</w:t>
                  </w:r>
                  <w:r>
                    <w:rPr>
                      <w:rFonts w:hint="default" w:ascii="Times New Roman" w:hAnsi="Times New Roman" w:eastAsia="宋体" w:cs="Times New Roman"/>
                      <w:color w:val="auto"/>
                      <w:sz w:val="21"/>
                      <w:szCs w:val="21"/>
                      <w:lang w:val="en-US" w:eastAsia="zh-CN"/>
                    </w:rPr>
                    <w:t>，位于河段上游空地处。经统计，</w:t>
                  </w:r>
                  <w:r>
                    <w:rPr>
                      <w:rFonts w:hint="eastAsia" w:cs="Times New Roman"/>
                      <w:color w:val="auto"/>
                      <w:sz w:val="21"/>
                      <w:szCs w:val="21"/>
                      <w:lang w:val="en-US" w:eastAsia="zh-CN"/>
                    </w:rPr>
                    <w:t>临时堆土场</w:t>
                  </w:r>
                  <w:r>
                    <w:rPr>
                      <w:rFonts w:hint="default" w:ascii="Times New Roman" w:hAnsi="Times New Roman" w:eastAsia="宋体" w:cs="Times New Roman"/>
                      <w:color w:val="auto"/>
                      <w:sz w:val="21"/>
                      <w:szCs w:val="21"/>
                      <w:lang w:val="en-US" w:eastAsia="zh-CN"/>
                    </w:rPr>
                    <w:t>总面积0.04hm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，堆放总量0.08万m3。</w:t>
                  </w:r>
                </w:p>
              </w:tc>
              <w:tc>
                <w:tcPr>
                  <w:tcW w:w="1501" w:type="dxa"/>
                  <w:vMerge w:val="continue"/>
                  <w:noWrap w:val="0"/>
                  <w:vAlign w:val="center"/>
                </w:tcPr>
                <w:p>
                  <w:pPr>
                    <w:spacing w:line="320" w:lineRule="exact"/>
                    <w:jc w:val="center"/>
                    <w:rPr>
                      <w:rFonts w:hint="default" w:ascii="Times New Roman" w:hAnsi="Times New Roman" w:eastAsia="宋体" w:cs="Times New Roman"/>
                      <w:color w:val="auto"/>
                      <w:sz w:val="21"/>
                      <w:szCs w:val="21"/>
                    </w:rPr>
                  </w:pPr>
                </w:p>
              </w:tc>
              <w:tc>
                <w:tcPr>
                  <w:tcW w:w="1833" w:type="dxa"/>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078" w:type="dxa"/>
                  <w:vMerge w:val="restart"/>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公用设施</w:t>
                  </w:r>
                </w:p>
              </w:tc>
              <w:tc>
                <w:tcPr>
                  <w:tcW w:w="878" w:type="dxa"/>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施工供水</w:t>
                  </w:r>
                </w:p>
              </w:tc>
              <w:tc>
                <w:tcPr>
                  <w:tcW w:w="3610" w:type="dxa"/>
                  <w:noWrap w:val="0"/>
                  <w:vAlign w:val="center"/>
                </w:tcPr>
                <w:p>
                  <w:pPr>
                    <w:spacing w:line="320" w:lineRule="exact"/>
                    <w:jc w:val="center"/>
                    <w:rPr>
                      <w:rFonts w:hint="default" w:ascii="Times New Roman" w:hAnsi="Times New Roman" w:eastAsia="宋体" w:cs="Times New Roman"/>
                      <w:color w:val="auto"/>
                      <w:sz w:val="21"/>
                      <w:szCs w:val="21"/>
                    </w:rPr>
                  </w:pPr>
                  <w:r>
                    <w:rPr>
                      <w:color w:val="auto"/>
                      <w:kern w:val="0"/>
                      <w:highlight w:val="none"/>
                    </w:rPr>
                    <w:t>沿堤防上下游设置</w:t>
                  </w:r>
                  <w:r>
                    <w:rPr>
                      <w:rFonts w:hint="eastAsia"/>
                      <w:color w:val="auto"/>
                      <w:kern w:val="0"/>
                      <w:highlight w:val="none"/>
                      <w:lang w:val="en-US" w:eastAsia="zh-CN"/>
                    </w:rPr>
                    <w:t>1</w:t>
                  </w:r>
                  <w:r>
                    <w:rPr>
                      <w:color w:val="auto"/>
                      <w:kern w:val="0"/>
                      <w:highlight w:val="none"/>
                    </w:rPr>
                    <w:t>处供水站，分别供应相应堤防段施工用水及附近施工临建设施生产用水</w:t>
                  </w:r>
                  <w:r>
                    <w:rPr>
                      <w:rFonts w:hint="eastAsia"/>
                      <w:color w:val="auto"/>
                      <w:kern w:val="0"/>
                      <w:highlight w:val="none"/>
                      <w:lang w:eastAsia="zh-CN"/>
                    </w:rPr>
                    <w:t>，</w:t>
                  </w:r>
                  <w:r>
                    <w:rPr>
                      <w:color w:val="auto"/>
                      <w:kern w:val="0"/>
                      <w:highlight w:val="none"/>
                    </w:rPr>
                    <w:t>从</w:t>
                  </w:r>
                  <w:r>
                    <w:rPr>
                      <w:rFonts w:hint="eastAsia"/>
                      <w:color w:val="auto"/>
                      <w:kern w:val="0"/>
                      <w:highlight w:val="none"/>
                    </w:rPr>
                    <w:t>工程河段中</w:t>
                  </w:r>
                  <w:r>
                    <w:rPr>
                      <w:color w:val="auto"/>
                      <w:kern w:val="0"/>
                      <w:highlight w:val="none"/>
                    </w:rPr>
                    <w:t>取水</w:t>
                  </w:r>
                  <w:r>
                    <w:rPr>
                      <w:rFonts w:hint="eastAsia"/>
                      <w:color w:val="auto"/>
                      <w:kern w:val="0"/>
                      <w:highlight w:val="none"/>
                      <w:lang w:eastAsia="zh-CN"/>
                    </w:rPr>
                    <w:t>，</w:t>
                  </w:r>
                  <w:r>
                    <w:rPr>
                      <w:rFonts w:hint="default" w:ascii="Times New Roman" w:hAnsi="Times New Roman" w:eastAsia="宋体" w:cs="Times New Roman"/>
                      <w:color w:val="auto"/>
                      <w:sz w:val="21"/>
                      <w:szCs w:val="21"/>
                      <w:lang w:eastAsia="zh-CN"/>
                    </w:rPr>
                    <w:t>生活用水利用城镇自来水</w:t>
                  </w:r>
                  <w:r>
                    <w:rPr>
                      <w:rFonts w:hint="default" w:ascii="Times New Roman" w:hAnsi="Times New Roman" w:eastAsia="宋体" w:cs="Times New Roman"/>
                      <w:color w:val="auto"/>
                      <w:sz w:val="21"/>
                      <w:szCs w:val="21"/>
                    </w:rPr>
                    <w:t>。</w:t>
                  </w:r>
                </w:p>
              </w:tc>
              <w:tc>
                <w:tcPr>
                  <w:tcW w:w="1501" w:type="dxa"/>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833" w:type="dxa"/>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078" w:type="dxa"/>
                  <w:vMerge w:val="continue"/>
                  <w:noWrap w:val="0"/>
                  <w:vAlign w:val="center"/>
                </w:tcPr>
                <w:p>
                  <w:pPr>
                    <w:spacing w:line="320" w:lineRule="exact"/>
                    <w:jc w:val="center"/>
                    <w:rPr>
                      <w:rFonts w:hint="default" w:ascii="Times New Roman" w:hAnsi="Times New Roman" w:eastAsia="宋体" w:cs="Times New Roman"/>
                      <w:color w:val="auto"/>
                      <w:sz w:val="21"/>
                      <w:szCs w:val="21"/>
                    </w:rPr>
                  </w:pPr>
                </w:p>
              </w:tc>
              <w:tc>
                <w:tcPr>
                  <w:tcW w:w="878" w:type="dxa"/>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施工供电</w:t>
                  </w:r>
                </w:p>
              </w:tc>
              <w:tc>
                <w:tcPr>
                  <w:tcW w:w="3610" w:type="dxa"/>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项目区</w:t>
                  </w:r>
                  <w:r>
                    <w:rPr>
                      <w:rFonts w:hint="default" w:ascii="Times New Roman" w:hAnsi="Times New Roman" w:eastAsia="宋体" w:cs="Times New Roman"/>
                      <w:color w:val="auto"/>
                      <w:sz w:val="21"/>
                      <w:szCs w:val="21"/>
                      <w:lang w:val="en-US" w:eastAsia="zh-CN"/>
                    </w:rPr>
                    <w:t>采用接当地电网，庄子沟社区有200KV变压器，负荷除去居民用电，负荷较充裕，并配备设置一台30kw柴油发电机备用</w:t>
                  </w:r>
                  <w:r>
                    <w:rPr>
                      <w:rFonts w:hint="default" w:ascii="Times New Roman" w:hAnsi="Times New Roman" w:eastAsia="宋体" w:cs="Times New Roman"/>
                      <w:color w:val="auto"/>
                      <w:sz w:val="21"/>
                      <w:szCs w:val="21"/>
                    </w:rPr>
                    <w:t>。</w:t>
                  </w:r>
                </w:p>
              </w:tc>
              <w:tc>
                <w:tcPr>
                  <w:tcW w:w="1501" w:type="dxa"/>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833" w:type="dxa"/>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956" w:type="dxa"/>
                  <w:gridSpan w:val="2"/>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办公及生活设施</w:t>
                  </w:r>
                </w:p>
              </w:tc>
              <w:tc>
                <w:tcPr>
                  <w:tcW w:w="3610" w:type="dxa"/>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w:t>
                  </w:r>
                  <w:r>
                    <w:rPr>
                      <w:rFonts w:hint="eastAsia" w:ascii="Times New Roman" w:hAnsi="Times New Roman" w:eastAsia="宋体" w:cs="Times New Roman"/>
                      <w:color w:val="auto"/>
                      <w:sz w:val="21"/>
                      <w:szCs w:val="21"/>
                      <w:lang w:val="en-US" w:eastAsia="zh-CN"/>
                    </w:rPr>
                    <w:t>用房</w:t>
                  </w:r>
                  <w:r>
                    <w:rPr>
                      <w:rFonts w:hint="default" w:ascii="Times New Roman" w:hAnsi="Times New Roman" w:eastAsia="宋体" w:cs="Times New Roman"/>
                      <w:color w:val="auto"/>
                      <w:sz w:val="21"/>
                      <w:szCs w:val="21"/>
                    </w:rPr>
                    <w:t>（租用</w:t>
                  </w:r>
                  <w:r>
                    <w:rPr>
                      <w:rFonts w:hint="default" w:ascii="Times New Roman" w:hAnsi="Times New Roman" w:eastAsia="宋体" w:cs="Times New Roman"/>
                      <w:color w:val="auto"/>
                      <w:sz w:val="21"/>
                      <w:szCs w:val="21"/>
                      <w:lang w:eastAsia="zh-CN"/>
                    </w:rPr>
                    <w:t>当地居民</w:t>
                  </w:r>
                  <w:r>
                    <w:rPr>
                      <w:rFonts w:hint="default" w:ascii="Times New Roman" w:hAnsi="Times New Roman" w:eastAsia="宋体" w:cs="Times New Roman"/>
                      <w:color w:val="auto"/>
                      <w:sz w:val="21"/>
                      <w:szCs w:val="21"/>
                    </w:rPr>
                    <w:t>房屋）</w:t>
                  </w:r>
                </w:p>
              </w:tc>
              <w:tc>
                <w:tcPr>
                  <w:tcW w:w="1501" w:type="dxa"/>
                  <w:noWrap w:val="0"/>
                  <w:vAlign w:val="center"/>
                </w:tcPr>
                <w:p>
                  <w:pPr>
                    <w:spacing w:line="320" w:lineRule="exact"/>
                    <w:jc w:val="center"/>
                    <w:rPr>
                      <w:rFonts w:hint="default" w:ascii="Times New Roman" w:hAnsi="Times New Roman" w:eastAsia="宋体" w:cs="Times New Roman"/>
                      <w:color w:val="auto"/>
                      <w:sz w:val="21"/>
                      <w:szCs w:val="21"/>
                    </w:rPr>
                  </w:pPr>
                </w:p>
              </w:tc>
              <w:tc>
                <w:tcPr>
                  <w:tcW w:w="1833" w:type="dxa"/>
                  <w:noWrap w:val="0"/>
                  <w:vAlign w:val="center"/>
                </w:tcPr>
                <w:p>
                  <w:pPr>
                    <w:spacing w:line="320" w:lineRule="exact"/>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78"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其它工程</w:t>
                  </w:r>
                </w:p>
              </w:tc>
              <w:tc>
                <w:tcPr>
                  <w:tcW w:w="878"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恢复</w:t>
                  </w:r>
                </w:p>
              </w:tc>
              <w:tc>
                <w:tcPr>
                  <w:tcW w:w="3610" w:type="dxa"/>
                  <w:noWrap w:val="0"/>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对因工程施工而破坏的植被，在施工完成后，对当地进行植树造林、草皮护坡、复垦等生态恢复措施。</w:t>
                  </w:r>
                </w:p>
              </w:tc>
              <w:tc>
                <w:tcPr>
                  <w:tcW w:w="1501"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扬尘、废气、噪声</w:t>
                  </w:r>
                </w:p>
              </w:tc>
              <w:tc>
                <w:tcPr>
                  <w:tcW w:w="1833"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pPr>
              <w:pStyle w:val="4"/>
              <w:tabs>
                <w:tab w:val="left" w:pos="574"/>
              </w:tabs>
              <w:ind w:firstLine="482" w:firstLineChars="200"/>
              <w:rPr>
                <w:rFonts w:hint="default" w:ascii="Times New Roman" w:hAnsi="Times New Roman" w:eastAsia="宋体" w:cs="Times New Roman"/>
                <w:b/>
                <w:bCs/>
                <w:color w:val="auto"/>
                <w:sz w:val="24"/>
                <w:szCs w:val="24"/>
                <w:highlight w:val="none"/>
                <w:lang w:val="en-US" w:eastAsia="zh-CN" w:bidi="ar-SA"/>
              </w:rPr>
            </w:pPr>
            <w:bookmarkStart w:id="13" w:name="_Toc10901"/>
            <w:bookmarkStart w:id="14" w:name="_Toc5903"/>
            <w:r>
              <w:rPr>
                <w:rFonts w:hint="eastAsia" w:ascii="Times New Roman" w:hAnsi="Times New Roman" w:eastAsia="宋体" w:cs="Times New Roman"/>
                <w:b/>
                <w:bCs/>
                <w:color w:val="auto"/>
                <w:sz w:val="24"/>
                <w:szCs w:val="24"/>
                <w:highlight w:val="none"/>
                <w:lang w:val="en-US" w:eastAsia="zh-CN" w:bidi="ar-SA"/>
              </w:rPr>
              <w:t>5、</w:t>
            </w:r>
            <w:bookmarkEnd w:id="13"/>
            <w:r>
              <w:rPr>
                <w:rFonts w:hint="eastAsia" w:ascii="Times New Roman" w:hAnsi="Times New Roman" w:eastAsia="宋体" w:cs="Times New Roman"/>
                <w:b/>
                <w:bCs/>
                <w:color w:val="auto"/>
                <w:sz w:val="24"/>
                <w:szCs w:val="24"/>
                <w:highlight w:val="none"/>
                <w:lang w:val="en-US" w:eastAsia="zh-CN" w:bidi="ar-SA"/>
              </w:rPr>
              <w:t>原辅材料及能耗</w:t>
            </w:r>
          </w:p>
          <w:bookmarkEnd w:id="14"/>
          <w:p>
            <w:pPr>
              <w:tabs>
                <w:tab w:val="left" w:pos="630"/>
              </w:tabs>
              <w:spacing w:line="360" w:lineRule="auto"/>
              <w:ind w:firstLine="720" w:firstLineChars="300"/>
              <w:outlineLvl w:val="2"/>
              <w:rPr>
                <w:rFonts w:hint="default" w:ascii="Times New Roman" w:hAnsi="Times New Roman" w:eastAsia="宋体" w:cs="Times New Roman"/>
                <w:bCs/>
                <w:color w:val="000000"/>
                <w:sz w:val="24"/>
                <w:szCs w:val="24"/>
              </w:rPr>
            </w:pPr>
            <w:bookmarkStart w:id="15" w:name="_Toc244597742"/>
            <w:bookmarkStart w:id="16" w:name="_Toc17590"/>
            <w:bookmarkStart w:id="17" w:name="_Toc4489"/>
            <w:r>
              <w:rPr>
                <w:rFonts w:hint="eastAsia" w:ascii="Times New Roman" w:hAnsi="Times New Roman" w:eastAsia="宋体" w:cs="Times New Roman"/>
                <w:bCs/>
                <w:color w:val="000000"/>
                <w:sz w:val="24"/>
                <w:szCs w:val="24"/>
                <w:lang w:eastAsia="zh-CN"/>
              </w:rPr>
              <w:t>（</w:t>
            </w:r>
            <w:r>
              <w:rPr>
                <w:rFonts w:hint="eastAsia" w:ascii="Times New Roman" w:hAnsi="Times New Roman" w:eastAsia="宋体" w:cs="Times New Roman"/>
                <w:bCs/>
                <w:color w:val="000000"/>
                <w:sz w:val="24"/>
                <w:szCs w:val="24"/>
                <w:lang w:val="en-US" w:eastAsia="zh-CN"/>
              </w:rPr>
              <w:t>1</w:t>
            </w:r>
            <w:r>
              <w:rPr>
                <w:rFonts w:hint="eastAsia" w:ascii="Times New Roman" w:hAnsi="Times New Roman" w:eastAsia="宋体" w:cs="Times New Roman"/>
                <w:bCs/>
                <w:color w:val="000000"/>
                <w:sz w:val="24"/>
                <w:szCs w:val="24"/>
                <w:lang w:eastAsia="zh-CN"/>
              </w:rPr>
              <w:t>）</w:t>
            </w:r>
            <w:r>
              <w:rPr>
                <w:rFonts w:hint="default" w:ascii="Times New Roman" w:hAnsi="Times New Roman" w:eastAsia="宋体" w:cs="Times New Roman"/>
                <w:bCs/>
                <w:color w:val="000000"/>
                <w:sz w:val="24"/>
                <w:szCs w:val="24"/>
              </w:rPr>
              <w:t>原辅材料消耗量</w:t>
            </w:r>
            <w:bookmarkEnd w:id="15"/>
          </w:p>
          <w:p>
            <w:pPr>
              <w:spacing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表</w:t>
            </w:r>
            <w:r>
              <w:rPr>
                <w:rFonts w:hint="eastAsia" w:ascii="Times New Roman" w:hAnsi="Times New Roman" w:eastAsia="宋体" w:cs="Times New Roman"/>
                <w:color w:val="000000"/>
                <w:sz w:val="21"/>
                <w:szCs w:val="21"/>
                <w:lang w:val="en-US" w:eastAsia="zh-CN"/>
              </w:rPr>
              <w:t>2-3</w:t>
            </w:r>
            <w:r>
              <w:rPr>
                <w:rFonts w:hint="default" w:ascii="Times New Roman" w:hAnsi="Times New Roman" w:eastAsia="宋体" w:cs="Times New Roman"/>
                <w:color w:val="000000"/>
                <w:sz w:val="21"/>
                <w:szCs w:val="21"/>
              </w:rPr>
              <w:t xml:space="preserve">    主要原辅材料及动办供给情况</w:t>
            </w:r>
          </w:p>
          <w:tbl>
            <w:tblPr>
              <w:tblStyle w:val="30"/>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1950"/>
              <w:gridCol w:w="1043"/>
              <w:gridCol w:w="1538"/>
              <w:gridCol w:w="219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345" w:type="dxa"/>
                  <w:tcBorders>
                    <w:left w:val="single" w:color="auto" w:sz="4" w:space="0"/>
                  </w:tcBorders>
                  <w:noWrap w:val="0"/>
                  <w:vAlign w:val="top"/>
                </w:tcPr>
                <w:p>
                  <w:pPr>
                    <w:spacing w:line="260" w:lineRule="exact"/>
                    <w:ind w:left="-105" w:leftChars="-50" w:right="-105" w:rightChars="-5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分类</w:t>
                  </w:r>
                </w:p>
              </w:tc>
              <w:tc>
                <w:tcPr>
                  <w:tcW w:w="1950" w:type="dxa"/>
                  <w:noWrap w:val="0"/>
                  <w:vAlign w:val="top"/>
                </w:tcPr>
                <w:p>
                  <w:pPr>
                    <w:spacing w:line="260" w:lineRule="exact"/>
                    <w:ind w:left="-105" w:leftChars="-50" w:right="-105" w:rightChars="-5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名    称</w:t>
                  </w:r>
                </w:p>
              </w:tc>
              <w:tc>
                <w:tcPr>
                  <w:tcW w:w="1043" w:type="dxa"/>
                  <w:noWrap w:val="0"/>
                  <w:vAlign w:val="top"/>
                </w:tcPr>
                <w:p>
                  <w:pPr>
                    <w:spacing w:line="260" w:lineRule="exact"/>
                    <w:ind w:left="-105" w:leftChars="-50" w:right="-105" w:rightChars="-5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单位</w:t>
                  </w:r>
                </w:p>
              </w:tc>
              <w:tc>
                <w:tcPr>
                  <w:tcW w:w="1538" w:type="dxa"/>
                  <w:noWrap w:val="0"/>
                  <w:vAlign w:val="top"/>
                </w:tcPr>
                <w:p>
                  <w:pPr>
                    <w:spacing w:line="260" w:lineRule="exact"/>
                    <w:ind w:left="-105" w:leftChars="-50" w:right="-105" w:rightChars="-5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数  量</w:t>
                  </w:r>
                </w:p>
              </w:tc>
              <w:tc>
                <w:tcPr>
                  <w:tcW w:w="2191" w:type="dxa"/>
                  <w:tcBorders>
                    <w:right w:val="single" w:color="auto" w:sz="4" w:space="0"/>
                  </w:tcBorders>
                  <w:noWrap w:val="0"/>
                  <w:vAlign w:val="center"/>
                </w:tcPr>
                <w:p>
                  <w:pPr>
                    <w:spacing w:line="260" w:lineRule="exact"/>
                    <w:ind w:left="-105" w:leftChars="-50" w:right="-105" w:rightChars="-5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备      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45" w:type="dxa"/>
                  <w:vMerge w:val="restart"/>
                  <w:tcBorders>
                    <w:left w:val="single" w:color="auto" w:sz="4" w:space="0"/>
                  </w:tcBorders>
                  <w:noWrap w:val="0"/>
                  <w:vAlign w:val="center"/>
                </w:tcPr>
                <w:p>
                  <w:pPr>
                    <w:spacing w:line="260" w:lineRule="exact"/>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原辅材</w:t>
                  </w:r>
                </w:p>
                <w:p>
                  <w:pPr>
                    <w:spacing w:line="260" w:lineRule="exact"/>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料消耗量</w:t>
                  </w:r>
                </w:p>
              </w:tc>
              <w:tc>
                <w:tcPr>
                  <w:tcW w:w="1950" w:type="dxa"/>
                  <w:noWrap w:val="0"/>
                  <w:vAlign w:val="top"/>
                </w:tcPr>
                <w:p>
                  <w:pPr>
                    <w:spacing w:line="260" w:lineRule="exact"/>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钢  材</w:t>
                  </w:r>
                </w:p>
              </w:tc>
              <w:tc>
                <w:tcPr>
                  <w:tcW w:w="1043" w:type="dxa"/>
                  <w:noWrap w:val="0"/>
                  <w:vAlign w:val="top"/>
                </w:tcPr>
                <w:p>
                  <w:pPr>
                    <w:spacing w:line="260" w:lineRule="exact"/>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t</w:t>
                  </w:r>
                </w:p>
              </w:tc>
              <w:tc>
                <w:tcPr>
                  <w:tcW w:w="1538" w:type="dxa"/>
                  <w:noWrap w:val="0"/>
                  <w:vAlign w:val="top"/>
                </w:tcPr>
                <w:p>
                  <w:pPr>
                    <w:spacing w:line="260" w:lineRule="exact"/>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78.62</w:t>
                  </w:r>
                </w:p>
              </w:tc>
              <w:tc>
                <w:tcPr>
                  <w:tcW w:w="2191" w:type="dxa"/>
                  <w:vMerge w:val="restart"/>
                  <w:tcBorders>
                    <w:right w:val="single" w:color="auto" w:sz="4" w:space="0"/>
                  </w:tcBorders>
                  <w:noWrap w:val="0"/>
                  <w:vAlign w:val="center"/>
                </w:tcPr>
                <w:p>
                  <w:pPr>
                    <w:spacing w:line="260" w:lineRule="exact"/>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外  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1345" w:type="dxa"/>
                  <w:vMerge w:val="continue"/>
                  <w:tcBorders>
                    <w:left w:val="single" w:color="auto" w:sz="4" w:space="0"/>
                  </w:tcBorders>
                  <w:noWrap w:val="0"/>
                  <w:vAlign w:val="top"/>
                </w:tcPr>
                <w:p>
                  <w:pPr>
                    <w:spacing w:line="260" w:lineRule="exact"/>
                    <w:ind w:left="-105" w:leftChars="-50" w:right="-105" w:rightChars="-50"/>
                    <w:jc w:val="center"/>
                    <w:rPr>
                      <w:rFonts w:hint="default" w:ascii="Times New Roman" w:hAnsi="Times New Roman" w:eastAsia="宋体" w:cs="Times New Roman"/>
                      <w:color w:val="000000"/>
                      <w:sz w:val="21"/>
                      <w:szCs w:val="21"/>
                    </w:rPr>
                  </w:pPr>
                </w:p>
              </w:tc>
              <w:tc>
                <w:tcPr>
                  <w:tcW w:w="1950" w:type="dxa"/>
                  <w:noWrap w:val="0"/>
                  <w:vAlign w:val="top"/>
                </w:tcPr>
                <w:p>
                  <w:pPr>
                    <w:spacing w:line="260" w:lineRule="exact"/>
                    <w:ind w:left="-105" w:leftChars="-50" w:right="-105" w:rightChars="-5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砂砾料</w:t>
                  </w:r>
                </w:p>
              </w:tc>
              <w:tc>
                <w:tcPr>
                  <w:tcW w:w="1043" w:type="dxa"/>
                  <w:noWrap w:val="0"/>
                  <w:vAlign w:val="top"/>
                </w:tcPr>
                <w:p>
                  <w:pPr>
                    <w:spacing w:line="260" w:lineRule="exact"/>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3</w:t>
                  </w:r>
                </w:p>
              </w:tc>
              <w:tc>
                <w:tcPr>
                  <w:tcW w:w="1538" w:type="dxa"/>
                  <w:noWrap w:val="0"/>
                  <w:vAlign w:val="top"/>
                </w:tcPr>
                <w:p>
                  <w:pPr>
                    <w:spacing w:line="260" w:lineRule="exact"/>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3357.36</w:t>
                  </w:r>
                </w:p>
              </w:tc>
              <w:tc>
                <w:tcPr>
                  <w:tcW w:w="2191" w:type="dxa"/>
                  <w:vMerge w:val="continue"/>
                  <w:tcBorders>
                    <w:right w:val="single" w:color="auto" w:sz="4" w:space="0"/>
                  </w:tcBorders>
                  <w:noWrap w:val="0"/>
                  <w:vAlign w:val="top"/>
                </w:tcPr>
                <w:p>
                  <w:pPr>
                    <w:spacing w:line="260" w:lineRule="exact"/>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1345" w:type="dxa"/>
                  <w:vMerge w:val="continue"/>
                  <w:tcBorders>
                    <w:left w:val="single" w:color="auto" w:sz="4" w:space="0"/>
                  </w:tcBorders>
                  <w:noWrap w:val="0"/>
                  <w:vAlign w:val="top"/>
                </w:tcPr>
                <w:p>
                  <w:pPr>
                    <w:spacing w:line="260" w:lineRule="exact"/>
                    <w:ind w:left="-105" w:leftChars="-50" w:right="-105" w:rightChars="-50"/>
                    <w:jc w:val="center"/>
                    <w:rPr>
                      <w:rFonts w:hint="default" w:ascii="Times New Roman" w:hAnsi="Times New Roman" w:eastAsia="宋体" w:cs="Times New Roman"/>
                      <w:color w:val="000000"/>
                      <w:sz w:val="21"/>
                      <w:szCs w:val="21"/>
                    </w:rPr>
                  </w:pPr>
                </w:p>
              </w:tc>
              <w:tc>
                <w:tcPr>
                  <w:tcW w:w="1950" w:type="dxa"/>
                  <w:noWrap w:val="0"/>
                  <w:vAlign w:val="top"/>
                </w:tcPr>
                <w:p>
                  <w:pPr>
                    <w:spacing w:line="260" w:lineRule="exact"/>
                    <w:ind w:left="-105" w:leftChars="-50" w:right="-105" w:rightChars="-5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混凝土</w:t>
                  </w:r>
                </w:p>
              </w:tc>
              <w:tc>
                <w:tcPr>
                  <w:tcW w:w="1043" w:type="dxa"/>
                  <w:noWrap w:val="0"/>
                  <w:vAlign w:val="top"/>
                </w:tcPr>
                <w:p>
                  <w:pPr>
                    <w:spacing w:line="260" w:lineRule="exact"/>
                    <w:ind w:left="-105" w:leftChars="-50" w:right="-105" w:rightChars="-50"/>
                    <w:jc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rPr>
                    <w:t>m</w:t>
                  </w:r>
                  <w:r>
                    <w:rPr>
                      <w:rFonts w:hint="default" w:ascii="Times New Roman" w:hAnsi="Times New Roman" w:eastAsia="宋体" w:cs="Times New Roman"/>
                      <w:color w:val="000000"/>
                      <w:sz w:val="21"/>
                      <w:szCs w:val="21"/>
                      <w:highlight w:val="none"/>
                      <w:vertAlign w:val="superscript"/>
                    </w:rPr>
                    <w:t>3</w:t>
                  </w:r>
                </w:p>
              </w:tc>
              <w:tc>
                <w:tcPr>
                  <w:tcW w:w="1538" w:type="dxa"/>
                  <w:noWrap w:val="0"/>
                  <w:vAlign w:val="top"/>
                </w:tcPr>
                <w:p>
                  <w:pPr>
                    <w:spacing w:line="260" w:lineRule="exact"/>
                    <w:ind w:left="-105" w:leftChars="-50" w:right="-105" w:rightChars="-5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33100</w:t>
                  </w:r>
                </w:p>
              </w:tc>
              <w:tc>
                <w:tcPr>
                  <w:tcW w:w="2191" w:type="dxa"/>
                  <w:vMerge w:val="continue"/>
                  <w:tcBorders>
                    <w:right w:val="single" w:color="auto" w:sz="4" w:space="0"/>
                  </w:tcBorders>
                  <w:noWrap w:val="0"/>
                  <w:vAlign w:val="top"/>
                </w:tcPr>
                <w:p>
                  <w:pPr>
                    <w:spacing w:line="260" w:lineRule="exact"/>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1345" w:type="dxa"/>
                  <w:vMerge w:val="continue"/>
                  <w:tcBorders>
                    <w:left w:val="single" w:color="auto" w:sz="4" w:space="0"/>
                  </w:tcBorders>
                  <w:noWrap w:val="0"/>
                  <w:vAlign w:val="top"/>
                </w:tcPr>
                <w:p>
                  <w:pPr>
                    <w:spacing w:line="260" w:lineRule="exact"/>
                    <w:ind w:left="-105" w:leftChars="-50" w:right="-105" w:rightChars="-50"/>
                    <w:jc w:val="center"/>
                    <w:rPr>
                      <w:rFonts w:hint="default" w:ascii="Times New Roman" w:hAnsi="Times New Roman" w:eastAsia="宋体" w:cs="Times New Roman"/>
                      <w:color w:val="000000"/>
                      <w:sz w:val="21"/>
                      <w:szCs w:val="21"/>
                    </w:rPr>
                  </w:pPr>
                </w:p>
              </w:tc>
              <w:tc>
                <w:tcPr>
                  <w:tcW w:w="1950" w:type="dxa"/>
                  <w:noWrap w:val="0"/>
                  <w:vAlign w:val="top"/>
                </w:tcPr>
                <w:p>
                  <w:pPr>
                    <w:spacing w:line="260" w:lineRule="exact"/>
                    <w:ind w:left="-105" w:leftChars="-50" w:right="-105" w:rightChars="-5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砂</w:t>
                  </w:r>
                </w:p>
              </w:tc>
              <w:tc>
                <w:tcPr>
                  <w:tcW w:w="1043" w:type="dxa"/>
                  <w:noWrap w:val="0"/>
                  <w:vAlign w:val="top"/>
                </w:tcPr>
                <w:p>
                  <w:pPr>
                    <w:spacing w:line="260" w:lineRule="exact"/>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3</w:t>
                  </w:r>
                </w:p>
              </w:tc>
              <w:tc>
                <w:tcPr>
                  <w:tcW w:w="1538" w:type="dxa"/>
                  <w:noWrap w:val="0"/>
                  <w:vAlign w:val="top"/>
                </w:tcPr>
                <w:p>
                  <w:pPr>
                    <w:spacing w:line="260" w:lineRule="exact"/>
                    <w:ind w:left="-105" w:leftChars="-50" w:right="-105" w:rightChars="-50"/>
                    <w:jc w:val="center"/>
                    <w:rPr>
                      <w:rFonts w:hint="default" w:ascii="Times New Roman" w:hAnsi="Times New Roman" w:eastAsia="宋体" w:cs="Times New Roman"/>
                      <w:color w:val="000000"/>
                      <w:sz w:val="21"/>
                      <w:szCs w:val="21"/>
                      <w:lang w:val="en-US"/>
                    </w:rPr>
                  </w:pPr>
                  <w:r>
                    <w:rPr>
                      <w:rFonts w:hint="eastAsia" w:ascii="Times New Roman" w:hAnsi="Times New Roman" w:eastAsia="宋体" w:cs="Times New Roman"/>
                      <w:color w:val="000000"/>
                      <w:sz w:val="21"/>
                      <w:szCs w:val="21"/>
                      <w:lang w:val="en-US" w:eastAsia="zh-CN"/>
                    </w:rPr>
                    <w:t>19.90</w:t>
                  </w:r>
                </w:p>
              </w:tc>
              <w:tc>
                <w:tcPr>
                  <w:tcW w:w="2191" w:type="dxa"/>
                  <w:vMerge w:val="continue"/>
                  <w:tcBorders>
                    <w:right w:val="single" w:color="auto" w:sz="4" w:space="0"/>
                  </w:tcBorders>
                  <w:noWrap w:val="0"/>
                  <w:vAlign w:val="top"/>
                </w:tcPr>
                <w:p>
                  <w:pPr>
                    <w:spacing w:line="260" w:lineRule="exact"/>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1345" w:type="dxa"/>
                  <w:vMerge w:val="continue"/>
                  <w:tcBorders>
                    <w:left w:val="single" w:color="auto" w:sz="4" w:space="0"/>
                  </w:tcBorders>
                  <w:noWrap w:val="0"/>
                  <w:vAlign w:val="top"/>
                </w:tcPr>
                <w:p>
                  <w:pPr>
                    <w:spacing w:line="260" w:lineRule="exact"/>
                    <w:ind w:left="-105" w:leftChars="-50" w:right="-105" w:rightChars="-50"/>
                    <w:jc w:val="center"/>
                    <w:rPr>
                      <w:rFonts w:hint="default" w:ascii="Times New Roman" w:hAnsi="Times New Roman" w:eastAsia="宋体" w:cs="Times New Roman"/>
                      <w:color w:val="000000"/>
                      <w:sz w:val="21"/>
                      <w:szCs w:val="21"/>
                    </w:rPr>
                  </w:pPr>
                </w:p>
              </w:tc>
              <w:tc>
                <w:tcPr>
                  <w:tcW w:w="1950" w:type="dxa"/>
                  <w:noWrap w:val="0"/>
                  <w:vAlign w:val="top"/>
                </w:tcPr>
                <w:p>
                  <w:pPr>
                    <w:spacing w:line="260" w:lineRule="exact"/>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碎石</w:t>
                  </w:r>
                </w:p>
              </w:tc>
              <w:tc>
                <w:tcPr>
                  <w:tcW w:w="1043" w:type="dxa"/>
                  <w:noWrap w:val="0"/>
                  <w:vAlign w:val="top"/>
                </w:tcPr>
                <w:p>
                  <w:pPr>
                    <w:spacing w:line="260" w:lineRule="exact"/>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3</w:t>
                  </w:r>
                </w:p>
              </w:tc>
              <w:tc>
                <w:tcPr>
                  <w:tcW w:w="1538" w:type="dxa"/>
                  <w:noWrap w:val="0"/>
                  <w:vAlign w:val="top"/>
                </w:tcPr>
                <w:p>
                  <w:pPr>
                    <w:spacing w:line="260" w:lineRule="exact"/>
                    <w:ind w:left="-105" w:leftChars="-50" w:right="-105" w:rightChars="-50"/>
                    <w:jc w:val="center"/>
                    <w:rPr>
                      <w:rFonts w:hint="default" w:ascii="Times New Roman" w:hAnsi="Times New Roman" w:eastAsia="宋体" w:cs="Times New Roman"/>
                      <w:color w:val="000000"/>
                      <w:sz w:val="21"/>
                      <w:szCs w:val="21"/>
                      <w:lang w:val="en-US"/>
                    </w:rPr>
                  </w:pPr>
                  <w:r>
                    <w:rPr>
                      <w:rFonts w:hint="eastAsia" w:ascii="Times New Roman" w:hAnsi="Times New Roman" w:eastAsia="宋体" w:cs="Times New Roman"/>
                      <w:color w:val="000000"/>
                      <w:sz w:val="21"/>
                      <w:szCs w:val="21"/>
                      <w:lang w:val="en-US" w:eastAsia="zh-CN"/>
                    </w:rPr>
                    <w:t>307.73</w:t>
                  </w:r>
                </w:p>
              </w:tc>
              <w:tc>
                <w:tcPr>
                  <w:tcW w:w="2191" w:type="dxa"/>
                  <w:vMerge w:val="continue"/>
                  <w:tcBorders>
                    <w:right w:val="single" w:color="auto" w:sz="4" w:space="0"/>
                  </w:tcBorders>
                  <w:noWrap w:val="0"/>
                  <w:vAlign w:val="top"/>
                </w:tcPr>
                <w:p>
                  <w:pPr>
                    <w:spacing w:line="260" w:lineRule="exact"/>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1345" w:type="dxa"/>
                  <w:vMerge w:val="restart"/>
                  <w:tcBorders>
                    <w:left w:val="single" w:color="auto" w:sz="4" w:space="0"/>
                  </w:tcBorders>
                  <w:noWrap w:val="0"/>
                  <w:vAlign w:val="center"/>
                </w:tcPr>
                <w:p>
                  <w:pPr>
                    <w:spacing w:line="260" w:lineRule="exact"/>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动力供给</w:t>
                  </w:r>
                </w:p>
              </w:tc>
              <w:tc>
                <w:tcPr>
                  <w:tcW w:w="1950" w:type="dxa"/>
                  <w:noWrap w:val="0"/>
                  <w:vAlign w:val="center"/>
                </w:tcPr>
                <w:p>
                  <w:pPr>
                    <w:spacing w:line="260" w:lineRule="exact"/>
                    <w:ind w:left="-105" w:leftChars="-50" w:right="-105" w:rightChars="-5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水</w:t>
                  </w:r>
                </w:p>
              </w:tc>
              <w:tc>
                <w:tcPr>
                  <w:tcW w:w="1043" w:type="dxa"/>
                  <w:noWrap w:val="0"/>
                  <w:vAlign w:val="center"/>
                </w:tcPr>
                <w:p>
                  <w:pPr>
                    <w:spacing w:line="260" w:lineRule="exact"/>
                    <w:ind w:left="-105" w:leftChars="-50" w:right="-105" w:rightChars="-5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m</w:t>
                  </w:r>
                  <w:r>
                    <w:rPr>
                      <w:rFonts w:hint="default" w:ascii="Times New Roman" w:hAnsi="Times New Roman" w:eastAsia="宋体" w:cs="Times New Roman"/>
                      <w:color w:val="000000"/>
                      <w:sz w:val="21"/>
                      <w:szCs w:val="21"/>
                      <w:highlight w:val="none"/>
                      <w:vertAlign w:val="superscript"/>
                    </w:rPr>
                    <w:t>3</w:t>
                  </w:r>
                </w:p>
              </w:tc>
              <w:tc>
                <w:tcPr>
                  <w:tcW w:w="1538" w:type="dxa"/>
                  <w:noWrap w:val="0"/>
                  <w:vAlign w:val="center"/>
                </w:tcPr>
                <w:p>
                  <w:pPr>
                    <w:spacing w:line="260" w:lineRule="exact"/>
                    <w:ind w:left="-105" w:leftChars="-50" w:right="-105" w:rightChars="-5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根据项目施工情况从工程河段</w:t>
                  </w:r>
                  <w:r>
                    <w:rPr>
                      <w:rFonts w:hint="eastAsia" w:ascii="Times New Roman" w:hAnsi="Times New Roman" w:eastAsia="宋体" w:cs="Times New Roman"/>
                      <w:color w:val="000000"/>
                      <w:sz w:val="21"/>
                      <w:szCs w:val="21"/>
                      <w:lang w:val="en-US" w:eastAsia="zh-CN"/>
                    </w:rPr>
                    <w:t>中取水</w:t>
                  </w:r>
                </w:p>
              </w:tc>
              <w:tc>
                <w:tcPr>
                  <w:tcW w:w="2191" w:type="dxa"/>
                  <w:tcBorders>
                    <w:right w:val="single" w:color="auto" w:sz="4" w:space="0"/>
                  </w:tcBorders>
                  <w:noWrap w:val="0"/>
                  <w:vAlign w:val="center"/>
                </w:tcPr>
                <w:p>
                  <w:pPr>
                    <w:spacing w:line="260" w:lineRule="exact"/>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工程河段中取水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1345" w:type="dxa"/>
                  <w:vMerge w:val="continue"/>
                  <w:tcBorders>
                    <w:left w:val="single" w:color="auto" w:sz="4" w:space="0"/>
                  </w:tcBorders>
                  <w:noWrap w:val="0"/>
                  <w:vAlign w:val="top"/>
                </w:tcPr>
                <w:p>
                  <w:pPr>
                    <w:spacing w:line="260" w:lineRule="exact"/>
                    <w:ind w:left="-105" w:leftChars="-50" w:right="-105" w:rightChars="-50"/>
                    <w:rPr>
                      <w:rFonts w:hint="default" w:ascii="Times New Roman" w:hAnsi="Times New Roman" w:eastAsia="宋体" w:cs="Times New Roman"/>
                      <w:color w:val="000000"/>
                      <w:sz w:val="21"/>
                      <w:szCs w:val="21"/>
                    </w:rPr>
                  </w:pPr>
                </w:p>
              </w:tc>
              <w:tc>
                <w:tcPr>
                  <w:tcW w:w="1950" w:type="dxa"/>
                  <w:noWrap w:val="0"/>
                  <w:vAlign w:val="top"/>
                </w:tcPr>
                <w:p>
                  <w:pPr>
                    <w:spacing w:line="260" w:lineRule="exact"/>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电</w:t>
                  </w:r>
                </w:p>
              </w:tc>
              <w:tc>
                <w:tcPr>
                  <w:tcW w:w="1043" w:type="dxa"/>
                  <w:noWrap w:val="0"/>
                  <w:vAlign w:val="top"/>
                </w:tcPr>
                <w:p>
                  <w:pPr>
                    <w:spacing w:line="260" w:lineRule="exact"/>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kW.h</w:t>
                  </w:r>
                </w:p>
              </w:tc>
              <w:tc>
                <w:tcPr>
                  <w:tcW w:w="1538" w:type="dxa"/>
                  <w:noWrap w:val="0"/>
                  <w:vAlign w:val="top"/>
                </w:tcPr>
                <w:p>
                  <w:pPr>
                    <w:spacing w:line="260" w:lineRule="exact"/>
                    <w:ind w:left="-105" w:leftChars="-50" w:right="-105" w:rightChars="-50"/>
                    <w:jc w:val="center"/>
                    <w:rPr>
                      <w:rFonts w:hint="default" w:ascii="Times New Roman" w:hAnsi="Times New Roman" w:eastAsia="宋体" w:cs="Times New Roman"/>
                      <w:color w:val="000000"/>
                      <w:sz w:val="21"/>
                      <w:szCs w:val="21"/>
                      <w:lang w:val="en-US"/>
                    </w:rPr>
                  </w:pPr>
                  <w:r>
                    <w:rPr>
                      <w:rFonts w:hint="eastAsia" w:ascii="Times New Roman" w:hAnsi="Times New Roman" w:eastAsia="宋体" w:cs="Times New Roman"/>
                      <w:color w:val="000000"/>
                      <w:sz w:val="21"/>
                      <w:szCs w:val="21"/>
                      <w:lang w:val="en-US" w:eastAsia="zh-CN"/>
                    </w:rPr>
                    <w:t>20621.18</w:t>
                  </w:r>
                </w:p>
              </w:tc>
              <w:tc>
                <w:tcPr>
                  <w:tcW w:w="2191" w:type="dxa"/>
                  <w:tcBorders>
                    <w:right w:val="single" w:color="auto" w:sz="4" w:space="0"/>
                  </w:tcBorders>
                  <w:noWrap w:val="0"/>
                  <w:vAlign w:val="top"/>
                </w:tcPr>
                <w:p>
                  <w:pPr>
                    <w:spacing w:line="260" w:lineRule="exact"/>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电力公司供给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1345" w:type="dxa"/>
                  <w:vMerge w:val="continue"/>
                  <w:tcBorders>
                    <w:left w:val="single" w:color="auto" w:sz="4" w:space="0"/>
                  </w:tcBorders>
                  <w:noWrap w:val="0"/>
                  <w:vAlign w:val="top"/>
                </w:tcPr>
                <w:p>
                  <w:pPr>
                    <w:spacing w:line="260" w:lineRule="exact"/>
                    <w:ind w:left="-105" w:leftChars="-50" w:right="-105" w:rightChars="-50"/>
                    <w:rPr>
                      <w:rFonts w:hint="default" w:ascii="Times New Roman" w:hAnsi="Times New Roman" w:eastAsia="宋体" w:cs="Times New Roman"/>
                      <w:color w:val="000000"/>
                      <w:sz w:val="21"/>
                      <w:szCs w:val="21"/>
                    </w:rPr>
                  </w:pPr>
                </w:p>
              </w:tc>
              <w:tc>
                <w:tcPr>
                  <w:tcW w:w="1950" w:type="dxa"/>
                  <w:noWrap w:val="0"/>
                  <w:vAlign w:val="top"/>
                </w:tcPr>
                <w:p>
                  <w:pPr>
                    <w:spacing w:line="260" w:lineRule="exact"/>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汽油</w:t>
                  </w:r>
                </w:p>
              </w:tc>
              <w:tc>
                <w:tcPr>
                  <w:tcW w:w="1043" w:type="dxa"/>
                  <w:noWrap w:val="0"/>
                  <w:vAlign w:val="top"/>
                </w:tcPr>
                <w:p>
                  <w:pPr>
                    <w:spacing w:line="260" w:lineRule="exact"/>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t</w:t>
                  </w:r>
                </w:p>
              </w:tc>
              <w:tc>
                <w:tcPr>
                  <w:tcW w:w="1538" w:type="dxa"/>
                  <w:noWrap w:val="0"/>
                  <w:vAlign w:val="top"/>
                </w:tcPr>
                <w:p>
                  <w:pPr>
                    <w:spacing w:line="260" w:lineRule="exact"/>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4.86</w:t>
                  </w:r>
                </w:p>
              </w:tc>
              <w:tc>
                <w:tcPr>
                  <w:tcW w:w="2191" w:type="dxa"/>
                  <w:tcBorders>
                    <w:right w:val="single" w:color="auto" w:sz="4" w:space="0"/>
                  </w:tcBorders>
                  <w:noWrap w:val="0"/>
                  <w:vAlign w:val="top"/>
                </w:tcPr>
                <w:p>
                  <w:pPr>
                    <w:spacing w:line="260" w:lineRule="exact"/>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1345" w:type="dxa"/>
                  <w:vMerge w:val="continue"/>
                  <w:tcBorders>
                    <w:left w:val="single" w:color="auto" w:sz="4" w:space="0"/>
                  </w:tcBorders>
                  <w:noWrap w:val="0"/>
                  <w:vAlign w:val="top"/>
                </w:tcPr>
                <w:p>
                  <w:pPr>
                    <w:spacing w:line="260" w:lineRule="exact"/>
                    <w:ind w:left="-105" w:leftChars="-50" w:right="-105" w:rightChars="-50"/>
                    <w:rPr>
                      <w:rFonts w:hint="default" w:ascii="Times New Roman" w:hAnsi="Times New Roman" w:eastAsia="宋体" w:cs="Times New Roman"/>
                      <w:color w:val="000000"/>
                      <w:sz w:val="21"/>
                      <w:szCs w:val="21"/>
                    </w:rPr>
                  </w:pPr>
                </w:p>
              </w:tc>
              <w:tc>
                <w:tcPr>
                  <w:tcW w:w="1950" w:type="dxa"/>
                  <w:noWrap w:val="0"/>
                  <w:vAlign w:val="top"/>
                </w:tcPr>
                <w:p>
                  <w:pPr>
                    <w:spacing w:line="260" w:lineRule="exact"/>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柴油</w:t>
                  </w:r>
                </w:p>
              </w:tc>
              <w:tc>
                <w:tcPr>
                  <w:tcW w:w="1043" w:type="dxa"/>
                  <w:noWrap w:val="0"/>
                  <w:vAlign w:val="top"/>
                </w:tcPr>
                <w:p>
                  <w:pPr>
                    <w:spacing w:line="260" w:lineRule="exact"/>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t</w:t>
                  </w:r>
                </w:p>
              </w:tc>
              <w:tc>
                <w:tcPr>
                  <w:tcW w:w="1538" w:type="dxa"/>
                  <w:noWrap w:val="0"/>
                  <w:vAlign w:val="top"/>
                </w:tcPr>
                <w:p>
                  <w:pPr>
                    <w:spacing w:line="260" w:lineRule="exact"/>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19.12</w:t>
                  </w:r>
                </w:p>
              </w:tc>
              <w:tc>
                <w:tcPr>
                  <w:tcW w:w="2191" w:type="dxa"/>
                  <w:tcBorders>
                    <w:right w:val="single" w:color="auto" w:sz="4" w:space="0"/>
                  </w:tcBorders>
                  <w:noWrap w:val="0"/>
                  <w:vAlign w:val="top"/>
                </w:tcPr>
                <w:p>
                  <w:pPr>
                    <w:spacing w:line="260" w:lineRule="exact"/>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r>
          </w:tbl>
          <w:p>
            <w:pPr>
              <w:tabs>
                <w:tab w:val="left" w:pos="630"/>
              </w:tabs>
              <w:spacing w:line="360" w:lineRule="auto"/>
              <w:ind w:firstLine="480" w:firstLineChars="200"/>
              <w:outlineLvl w:val="2"/>
              <w:rPr>
                <w:rFonts w:hint="default" w:ascii="Times New Roman" w:hAnsi="Times New Roman" w:eastAsia="宋体" w:cs="Times New Roman"/>
                <w:bCs/>
                <w:color w:val="000000"/>
                <w:sz w:val="24"/>
                <w:szCs w:val="24"/>
              </w:rPr>
            </w:pPr>
            <w:bookmarkStart w:id="18" w:name="_Toc244597762"/>
            <w:r>
              <w:rPr>
                <w:rFonts w:hint="eastAsia" w:ascii="Times New Roman" w:hAnsi="Times New Roman" w:eastAsia="宋体" w:cs="Times New Roman"/>
                <w:bCs/>
                <w:color w:val="000000"/>
                <w:sz w:val="24"/>
                <w:szCs w:val="24"/>
                <w:lang w:eastAsia="zh-CN"/>
              </w:rPr>
              <w:t>（</w:t>
            </w:r>
            <w:r>
              <w:rPr>
                <w:rFonts w:hint="eastAsia" w:ascii="Times New Roman" w:hAnsi="Times New Roman" w:eastAsia="宋体" w:cs="Times New Roman"/>
                <w:bCs/>
                <w:color w:val="000000"/>
                <w:sz w:val="24"/>
                <w:szCs w:val="24"/>
                <w:lang w:val="en-US" w:eastAsia="zh-CN"/>
              </w:rPr>
              <w:t>2</w:t>
            </w:r>
            <w:r>
              <w:rPr>
                <w:rFonts w:hint="eastAsia" w:ascii="Times New Roman" w:hAnsi="Times New Roman" w:eastAsia="宋体" w:cs="Times New Roman"/>
                <w:bCs/>
                <w:color w:val="000000"/>
                <w:sz w:val="24"/>
                <w:szCs w:val="24"/>
                <w:lang w:eastAsia="zh-CN"/>
              </w:rPr>
              <w:t>）</w:t>
            </w:r>
            <w:r>
              <w:rPr>
                <w:rFonts w:hint="default" w:ascii="Times New Roman" w:hAnsi="Times New Roman" w:eastAsia="宋体" w:cs="Times New Roman"/>
                <w:bCs/>
                <w:color w:val="000000"/>
                <w:sz w:val="24"/>
                <w:szCs w:val="24"/>
              </w:rPr>
              <w:t>主要原辅材料来源</w:t>
            </w:r>
            <w:bookmarkEnd w:id="18"/>
          </w:p>
          <w:p>
            <w:pPr>
              <w:pStyle w:val="117"/>
              <w:jc w:val="left"/>
              <w:rPr>
                <w:color w:val="auto"/>
                <w:sz w:val="24"/>
                <w:szCs w:val="24"/>
              </w:rPr>
            </w:pPr>
            <w:bookmarkStart w:id="19" w:name="_Toc244597767"/>
            <w:r>
              <w:rPr>
                <w:rFonts w:hint="eastAsia" w:ascii="宋体" w:hAnsi="宋体" w:eastAsia="宋体" w:cs="宋体"/>
                <w:color w:val="auto"/>
                <w:sz w:val="24"/>
                <w:szCs w:val="24"/>
              </w:rPr>
              <w:t>本次工程砼采用商品砼，在昭化区元坝镇商品砼拌合站购买，综合运距</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km</w:t>
            </w:r>
            <w:r>
              <w:rPr>
                <w:rFonts w:hint="eastAsia"/>
                <w:color w:val="auto"/>
                <w:highlight w:val="none"/>
              </w:rPr>
              <w:t>。本工程涉及的</w:t>
            </w:r>
            <w:r>
              <w:rPr>
                <w:rFonts w:hint="eastAsia"/>
                <w:color w:val="auto"/>
                <w:highlight w:val="none"/>
                <w:lang w:val="en-US" w:eastAsia="zh-CN"/>
              </w:rPr>
              <w:t>砂卵石</w:t>
            </w:r>
            <w:r>
              <w:rPr>
                <w:rFonts w:hint="eastAsia"/>
                <w:color w:val="auto"/>
                <w:highlight w:val="none"/>
              </w:rPr>
              <w:t>料主要是</w:t>
            </w:r>
            <w:r>
              <w:rPr>
                <w:rFonts w:hint="eastAsia"/>
                <w:color w:val="auto"/>
                <w:highlight w:val="none"/>
                <w:lang w:val="en-US" w:eastAsia="zh-CN"/>
              </w:rPr>
              <w:t>基础换填用料</w:t>
            </w:r>
            <w:r>
              <w:rPr>
                <w:rFonts w:hint="eastAsia"/>
                <w:color w:val="auto"/>
                <w:highlight w:val="none"/>
              </w:rPr>
              <w:t>，</w:t>
            </w:r>
            <w:r>
              <w:rPr>
                <w:rFonts w:hint="eastAsia"/>
                <w:color w:val="auto"/>
                <w:highlight w:val="none"/>
                <w:lang w:val="en-US" w:eastAsia="zh-CN"/>
              </w:rPr>
              <w:t>该工程开挖中基本为土方，无砂卵石可利用，砂卵石料可在昭化区元坝镇购买，</w:t>
            </w:r>
            <w:r>
              <w:rPr>
                <w:rFonts w:hint="eastAsia"/>
                <w:color w:val="auto"/>
                <w:highlight w:val="none"/>
              </w:rPr>
              <w:t>有公路相通，交通便利，综合运距</w:t>
            </w:r>
            <w:r>
              <w:rPr>
                <w:rFonts w:hint="eastAsia"/>
                <w:color w:val="auto"/>
                <w:highlight w:val="none"/>
                <w:lang w:val="en-US" w:eastAsia="zh-CN"/>
              </w:rPr>
              <w:t>8</w:t>
            </w:r>
            <w:r>
              <w:rPr>
                <w:rFonts w:hint="eastAsia"/>
                <w:color w:val="auto"/>
                <w:highlight w:val="none"/>
              </w:rPr>
              <w:t>km。</w:t>
            </w:r>
            <w:r>
              <w:rPr>
                <w:rFonts w:hint="eastAsia"/>
                <w:color w:val="auto"/>
                <w:highlight w:val="none"/>
                <w:lang w:val="zh-CN"/>
              </w:rPr>
              <w:t>本工程所需的水泥、汽油、柴油等主要外来材料拟从广元市城区或</w:t>
            </w:r>
            <w:r>
              <w:rPr>
                <w:rFonts w:hint="eastAsia"/>
                <w:color w:val="auto"/>
                <w:highlight w:val="none"/>
              </w:rPr>
              <w:t>元坝镇</w:t>
            </w:r>
            <w:r>
              <w:rPr>
                <w:rFonts w:hint="eastAsia"/>
                <w:color w:val="auto"/>
                <w:highlight w:val="none"/>
                <w:lang w:val="zh-CN"/>
              </w:rPr>
              <w:t>购买。</w:t>
            </w:r>
          </w:p>
          <w:p>
            <w:pPr>
              <w:tabs>
                <w:tab w:val="left" w:pos="630"/>
              </w:tabs>
              <w:spacing w:line="360" w:lineRule="auto"/>
              <w:ind w:firstLine="480" w:firstLineChars="200"/>
              <w:outlineLvl w:val="2"/>
              <w:rPr>
                <w:rFonts w:hint="default" w:ascii="Times New Roman" w:hAnsi="Times New Roman" w:eastAsia="宋体" w:cs="Times New Roman"/>
                <w:bCs/>
                <w:color w:val="000000"/>
                <w:sz w:val="24"/>
                <w:szCs w:val="24"/>
              </w:rPr>
            </w:pPr>
            <w:r>
              <w:rPr>
                <w:rFonts w:hint="default" w:ascii="Times New Roman" w:hAnsi="Times New Roman" w:eastAsia="宋体" w:cs="Times New Roman"/>
                <w:bCs/>
                <w:color w:val="000000"/>
                <w:sz w:val="24"/>
                <w:szCs w:val="24"/>
              </w:rPr>
              <w:t>工程用水：</w:t>
            </w:r>
            <w:bookmarkEnd w:id="19"/>
            <w:r>
              <w:rPr>
                <w:rFonts w:hint="eastAsia"/>
                <w:sz w:val="24"/>
                <w:szCs w:val="24"/>
              </w:rPr>
              <w:t>施工生产用水用水泵直接从</w:t>
            </w:r>
            <w:r>
              <w:rPr>
                <w:rFonts w:hint="eastAsia"/>
                <w:sz w:val="24"/>
                <w:szCs w:val="24"/>
                <w:lang w:val="en-US" w:eastAsia="zh-CN"/>
              </w:rPr>
              <w:t>工程河段</w:t>
            </w:r>
            <w:r>
              <w:rPr>
                <w:rFonts w:hint="eastAsia"/>
                <w:sz w:val="24"/>
                <w:szCs w:val="24"/>
              </w:rPr>
              <w:t>中抽取，水质能满足施工用水要求；生活用水可直接引用自来水。</w:t>
            </w:r>
          </w:p>
          <w:p>
            <w:pPr>
              <w:spacing w:line="360" w:lineRule="auto"/>
              <w:ind w:firstLine="480" w:firstLineChars="200"/>
              <w:rPr>
                <w:rFonts w:hint="eastAsia" w:ascii="Times New Roman" w:hAnsi="Times New Roman" w:eastAsia="宋体" w:cs="Times New Roman"/>
                <w:b/>
                <w:bCs/>
                <w:color w:val="000000"/>
                <w:kern w:val="2"/>
                <w:sz w:val="24"/>
                <w:szCs w:val="24"/>
                <w:lang w:val="en-US" w:eastAsia="zh-CN" w:bidi="ar-SA"/>
              </w:rPr>
            </w:pPr>
            <w:r>
              <w:rPr>
                <w:rFonts w:hint="default" w:ascii="Times New Roman" w:hAnsi="Times New Roman" w:eastAsia="宋体" w:cs="Times New Roman"/>
                <w:color w:val="000000"/>
                <w:sz w:val="24"/>
                <w:szCs w:val="24"/>
              </w:rPr>
              <w:t>环评要求，施工单位在运输原材料的过程中必须按相关规定采取覆盖、封闭等相应措施进行运输作业，严禁撒落等现象出现，对运输公路沿线的环境造成污染。</w:t>
            </w:r>
          </w:p>
          <w:p>
            <w:pPr>
              <w:pStyle w:val="5"/>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default"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6、</w:t>
            </w:r>
            <w:r>
              <w:rPr>
                <w:rFonts w:hint="default" w:ascii="Times New Roman" w:hAnsi="Times New Roman" w:eastAsia="宋体" w:cs="Times New Roman"/>
                <w:b/>
                <w:bCs/>
                <w:color w:val="000000"/>
                <w:kern w:val="2"/>
                <w:sz w:val="24"/>
                <w:szCs w:val="24"/>
                <w:lang w:val="en-US" w:eastAsia="zh-CN" w:bidi="ar-SA"/>
              </w:rPr>
              <w:t>主要设备</w:t>
            </w:r>
            <w:bookmarkEnd w:id="16"/>
            <w:bookmarkEnd w:id="17"/>
          </w:p>
          <w:p>
            <w:pPr>
              <w:pStyle w:val="63"/>
              <w:numPr>
                <w:ilvl w:val="0"/>
                <w:numId w:val="0"/>
              </w:numPr>
              <w:ind w:firstLine="480" w:firstLineChars="200"/>
              <w:rPr>
                <w:rFonts w:hint="default" w:ascii="Times New Roman" w:hAnsi="Times New Roman" w:eastAsia="宋体" w:cs="Times New Roman"/>
                <w:color w:val="auto"/>
                <w:kern w:val="2"/>
                <w:sz w:val="24"/>
                <w:szCs w:val="24"/>
                <w:lang w:val="en-US" w:eastAsia="zh-CN" w:bidi="ar"/>
              </w:rPr>
            </w:pPr>
            <w:bookmarkStart w:id="20" w:name="_Toc16535"/>
            <w:bookmarkStart w:id="21" w:name="_Toc21376"/>
            <w:r>
              <w:rPr>
                <w:rFonts w:hint="eastAsia" w:ascii="Times New Roman" w:hAnsi="Times New Roman" w:eastAsia="宋体" w:cs="Times New Roman"/>
                <w:color w:val="auto"/>
                <w:kern w:val="2"/>
                <w:sz w:val="24"/>
                <w:szCs w:val="24"/>
                <w:lang w:val="en-US" w:eastAsia="zh-CN" w:bidi="ar"/>
              </w:rPr>
              <w:t>本工程主要施工机械设备有：装载机、挖掘机、推土机、自卸汽车、小型拖拉机、插入式振捣器、潜污泵、震动碾、变压器等。</w:t>
            </w:r>
          </w:p>
          <w:p>
            <w:pPr>
              <w:adjustRightInd w:val="0"/>
              <w:snapToGrid w:val="0"/>
              <w:spacing w:line="360" w:lineRule="auto"/>
              <w:jc w:val="center"/>
              <w:textAlignment w:val="baseline"/>
              <w:rPr>
                <w:b/>
                <w:color w:val="000000"/>
                <w:sz w:val="21"/>
                <w:szCs w:val="21"/>
                <w:lang w:val="zh-CN"/>
              </w:rPr>
            </w:pPr>
            <w:r>
              <w:rPr>
                <w:b/>
                <w:color w:val="000000"/>
                <w:sz w:val="21"/>
                <w:szCs w:val="21"/>
                <w:lang w:val="zh-CN"/>
              </w:rPr>
              <w:t>表</w:t>
            </w:r>
            <w:r>
              <w:rPr>
                <w:rFonts w:hint="eastAsia"/>
                <w:b/>
                <w:color w:val="000000"/>
                <w:sz w:val="21"/>
                <w:szCs w:val="21"/>
                <w:lang w:val="en-US" w:eastAsia="zh-CN"/>
              </w:rPr>
              <w:t>2-4</w:t>
            </w:r>
            <w:r>
              <w:rPr>
                <w:b/>
                <w:color w:val="000000"/>
                <w:sz w:val="21"/>
                <w:szCs w:val="21"/>
                <w:lang w:val="zh-CN"/>
              </w:rPr>
              <w:t xml:space="preserve">   施工期间主要设备一览表</w:t>
            </w:r>
          </w:p>
          <w:tbl>
            <w:tblPr>
              <w:tblStyle w:val="30"/>
              <w:tblW w:w="8522" w:type="dxa"/>
              <w:tblInd w:w="0" w:type="dxa"/>
              <w:tblLayout w:type="fixed"/>
              <w:tblCellMar>
                <w:top w:w="0" w:type="dxa"/>
                <w:left w:w="108" w:type="dxa"/>
                <w:bottom w:w="0" w:type="dxa"/>
                <w:right w:w="108" w:type="dxa"/>
              </w:tblCellMar>
            </w:tblPr>
            <w:tblGrid>
              <w:gridCol w:w="1560"/>
              <w:gridCol w:w="2282"/>
              <w:gridCol w:w="1560"/>
              <w:gridCol w:w="1560"/>
              <w:gridCol w:w="1560"/>
            </w:tblGrid>
            <w:tr>
              <w:tblPrEx>
                <w:tblCellMar>
                  <w:top w:w="0" w:type="dxa"/>
                  <w:left w:w="108" w:type="dxa"/>
                  <w:bottom w:w="0" w:type="dxa"/>
                  <w:right w:w="108" w:type="dxa"/>
                </w:tblCellMar>
              </w:tblPrEx>
              <w:trPr>
                <w:trHeight w:val="284" w:hRule="atLeast"/>
                <w:tblHeader/>
              </w:trPr>
              <w:tc>
                <w:tcPr>
                  <w:tcW w:w="1560" w:type="dxa"/>
                  <w:tcBorders>
                    <w:top w:val="single" w:color="auto" w:sz="12"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序号</w:t>
                  </w:r>
                </w:p>
              </w:tc>
              <w:tc>
                <w:tcPr>
                  <w:tcW w:w="2282" w:type="dxa"/>
                  <w:tcBorders>
                    <w:top w:val="single" w:color="auto" w:sz="12"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设备名称</w:t>
                  </w:r>
                </w:p>
              </w:tc>
              <w:tc>
                <w:tcPr>
                  <w:tcW w:w="1560" w:type="dxa"/>
                  <w:tcBorders>
                    <w:top w:val="single" w:color="auto" w:sz="12"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规模型号</w:t>
                  </w:r>
                </w:p>
              </w:tc>
              <w:tc>
                <w:tcPr>
                  <w:tcW w:w="1560" w:type="dxa"/>
                  <w:tcBorders>
                    <w:top w:val="single" w:color="auto" w:sz="12"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单位</w:t>
                  </w:r>
                </w:p>
              </w:tc>
              <w:tc>
                <w:tcPr>
                  <w:tcW w:w="1560" w:type="dxa"/>
                  <w:tcBorders>
                    <w:top w:val="single" w:color="auto" w:sz="12" w:space="0"/>
                    <w:left w:val="single" w:color="auto" w:sz="4" w:space="0"/>
                    <w:bottom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数量</w:t>
                  </w:r>
                </w:p>
              </w:tc>
            </w:tr>
            <w:tr>
              <w:tblPrEx>
                <w:tblCellMar>
                  <w:top w:w="0" w:type="dxa"/>
                  <w:left w:w="108" w:type="dxa"/>
                  <w:bottom w:w="0" w:type="dxa"/>
                  <w:right w:w="108" w:type="dxa"/>
                </w:tblCellMar>
              </w:tblPrEx>
              <w:trPr>
                <w:trHeight w:val="284" w:hRule="atLeast"/>
              </w:trPr>
              <w:tc>
                <w:tcPr>
                  <w:tcW w:w="1560" w:type="dxa"/>
                  <w:tcBorders>
                    <w:top w:val="single" w:color="auto" w:sz="4" w:space="0"/>
                    <w:bottom w:val="single" w:color="auto" w:sz="4" w:space="0"/>
                    <w:right w:val="single" w:color="auto" w:sz="4" w:space="0"/>
                  </w:tcBorders>
                  <w:noWrap w:val="0"/>
                  <w:vAlign w:val="center"/>
                </w:tcPr>
                <w:p>
                  <w:pPr>
                    <w:pStyle w:val="89"/>
                    <w:numPr>
                      <w:ilvl w:val="0"/>
                      <w:numId w:val="0"/>
                    </w:numPr>
                    <w:bidi w:val="0"/>
                    <w:ind w:left="425" w:leftChars="0" w:hanging="425" w:firstLineChars="0"/>
                    <w:jc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2282"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eastAsia="宋体" w:cs="宋体"/>
                      <w:color w:val="000000"/>
                      <w:kern w:val="0"/>
                      <w:sz w:val="21"/>
                      <w:szCs w:val="21"/>
                      <w:lang w:val="en-US" w:eastAsia="zh-CN" w:bidi="ar"/>
                    </w:rPr>
                  </w:pPr>
                  <w:r>
                    <w:rPr>
                      <w:rFonts w:hint="eastAsia" w:ascii="宋体" w:hAnsi="宋体" w:cs="宋体"/>
                      <w:color w:val="auto"/>
                      <w:kern w:val="0"/>
                      <w:sz w:val="21"/>
                      <w:szCs w:val="21"/>
                      <w:highlight w:val="none"/>
                    </w:rPr>
                    <w:t>单斗挖掘机</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cs="宋体"/>
                      <w:color w:val="auto"/>
                      <w:kern w:val="0"/>
                      <w:sz w:val="21"/>
                      <w:szCs w:val="21"/>
                      <w:highlight w:val="none"/>
                    </w:rPr>
                    <w:t>1m</w:t>
                  </w:r>
                  <w:r>
                    <w:rPr>
                      <w:rFonts w:hint="eastAsia" w:ascii="宋体" w:hAnsi="宋体" w:cs="宋体"/>
                      <w:color w:val="auto"/>
                      <w:kern w:val="0"/>
                      <w:sz w:val="21"/>
                      <w:szCs w:val="21"/>
                      <w:highlight w:val="none"/>
                      <w:vertAlign w:val="superscript"/>
                    </w:rPr>
                    <w:t>3</w:t>
                  </w:r>
                  <w:r>
                    <w:rPr>
                      <w:rFonts w:hint="eastAsia" w:ascii="宋体" w:hAnsi="宋体" w:eastAsia="宋体" w:cs="宋体"/>
                      <w:color w:val="000000"/>
                      <w:kern w:val="0"/>
                      <w:sz w:val="21"/>
                      <w:szCs w:val="21"/>
                      <w:lang w:val="en-US" w:eastAsia="zh-CN" w:bidi="ar"/>
                    </w:rPr>
                    <w:t>　</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台　</w:t>
                  </w:r>
                </w:p>
              </w:tc>
              <w:tc>
                <w:tcPr>
                  <w:tcW w:w="1560" w:type="dxa"/>
                  <w:tcBorders>
                    <w:top w:val="single" w:color="auto" w:sz="4" w:space="0"/>
                    <w:left w:val="single" w:color="auto" w:sz="4" w:space="0"/>
                    <w:bottom w:val="single" w:color="auto" w:sz="4" w:space="0"/>
                  </w:tcBorders>
                  <w:noWrap w:val="0"/>
                  <w:vAlign w:val="center"/>
                </w:tcPr>
                <w:p>
                  <w:pPr>
                    <w:widowControl/>
                    <w:ind w:firstLine="0" w:firstLineChars="0"/>
                    <w:jc w:val="center"/>
                    <w:rPr>
                      <w:rFonts w:hint="eastAsia" w:ascii="宋体" w:hAnsi="宋体" w:eastAsia="宋体" w:cs="宋体"/>
                      <w:color w:val="000000"/>
                      <w:kern w:val="0"/>
                      <w:sz w:val="21"/>
                      <w:szCs w:val="21"/>
                      <w:lang w:val="en-US" w:eastAsia="zh-CN" w:bidi="ar"/>
                    </w:rPr>
                  </w:pPr>
                  <w:r>
                    <w:rPr>
                      <w:rFonts w:hint="eastAsia" w:ascii="宋体" w:hAnsi="宋体" w:cs="宋体"/>
                      <w:color w:val="auto"/>
                      <w:kern w:val="0"/>
                      <w:sz w:val="21"/>
                      <w:szCs w:val="21"/>
                      <w:highlight w:val="none"/>
                      <w:lang w:val="en-US" w:eastAsia="zh-CN"/>
                    </w:rPr>
                    <w:t>2</w:t>
                  </w:r>
                </w:p>
              </w:tc>
            </w:tr>
            <w:tr>
              <w:tblPrEx>
                <w:tblCellMar>
                  <w:top w:w="0" w:type="dxa"/>
                  <w:left w:w="108" w:type="dxa"/>
                  <w:bottom w:w="0" w:type="dxa"/>
                  <w:right w:w="108" w:type="dxa"/>
                </w:tblCellMar>
              </w:tblPrEx>
              <w:trPr>
                <w:trHeight w:val="284" w:hRule="atLeast"/>
              </w:trPr>
              <w:tc>
                <w:tcPr>
                  <w:tcW w:w="1560" w:type="dxa"/>
                  <w:tcBorders>
                    <w:top w:val="single" w:color="auto" w:sz="4" w:space="0"/>
                    <w:bottom w:val="single" w:color="auto" w:sz="4" w:space="0"/>
                    <w:right w:val="single" w:color="auto" w:sz="4" w:space="0"/>
                  </w:tcBorders>
                  <w:noWrap w:val="0"/>
                  <w:vAlign w:val="center"/>
                </w:tcPr>
                <w:p>
                  <w:pPr>
                    <w:pStyle w:val="89"/>
                    <w:numPr>
                      <w:ilvl w:val="0"/>
                      <w:numId w:val="0"/>
                    </w:numPr>
                    <w:bidi w:val="0"/>
                    <w:ind w:left="425" w:leftChars="0" w:hanging="425" w:firstLineChars="0"/>
                    <w:jc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w:t>
                  </w:r>
                </w:p>
              </w:tc>
              <w:tc>
                <w:tcPr>
                  <w:tcW w:w="22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color w:val="000000"/>
                      <w:kern w:val="0"/>
                      <w:sz w:val="21"/>
                      <w:szCs w:val="21"/>
                      <w:lang w:val="en-US" w:eastAsia="zh-CN" w:bidi="ar"/>
                    </w:rPr>
                  </w:pPr>
                  <w:r>
                    <w:rPr>
                      <w:rFonts w:hint="eastAsia" w:ascii="宋体" w:hAnsi="宋体" w:cs="宋体"/>
                      <w:color w:val="auto"/>
                      <w:kern w:val="0"/>
                      <w:sz w:val="21"/>
                      <w:szCs w:val="21"/>
                      <w:highlight w:val="none"/>
                    </w:rPr>
                    <w:t>推土机</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cs="宋体"/>
                      <w:color w:val="auto"/>
                      <w:kern w:val="0"/>
                      <w:sz w:val="21"/>
                      <w:szCs w:val="21"/>
                      <w:highlight w:val="none"/>
                    </w:rPr>
                    <w:t>103kw</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台</w:t>
                  </w:r>
                </w:p>
              </w:tc>
              <w:tc>
                <w:tcPr>
                  <w:tcW w:w="1560" w:type="dxa"/>
                  <w:tcBorders>
                    <w:top w:val="single" w:color="auto" w:sz="4" w:space="0"/>
                    <w:left w:val="single" w:color="auto" w:sz="4" w:space="0"/>
                    <w:bottom w:val="single" w:color="auto" w:sz="4" w:space="0"/>
                  </w:tcBorders>
                  <w:noWrap w:val="0"/>
                  <w:vAlign w:val="center"/>
                </w:tcPr>
                <w:p>
                  <w:pPr>
                    <w:widowControl/>
                    <w:ind w:firstLine="0" w:firstLineChars="0"/>
                    <w:jc w:val="center"/>
                    <w:rPr>
                      <w:rFonts w:hint="eastAsia" w:ascii="宋体" w:hAnsi="宋体" w:eastAsia="宋体" w:cs="宋体"/>
                      <w:color w:val="000000"/>
                      <w:kern w:val="0"/>
                      <w:sz w:val="21"/>
                      <w:szCs w:val="21"/>
                      <w:lang w:val="en-US" w:eastAsia="zh-CN" w:bidi="ar"/>
                    </w:rPr>
                  </w:pPr>
                  <w:r>
                    <w:rPr>
                      <w:rFonts w:hint="eastAsia" w:ascii="宋体" w:hAnsi="宋体" w:cs="宋体"/>
                      <w:color w:val="auto"/>
                      <w:kern w:val="0"/>
                      <w:sz w:val="21"/>
                      <w:szCs w:val="21"/>
                      <w:highlight w:val="none"/>
                      <w:lang w:val="en-US" w:eastAsia="zh-CN"/>
                    </w:rPr>
                    <w:t>2</w:t>
                  </w:r>
                </w:p>
              </w:tc>
            </w:tr>
            <w:tr>
              <w:tblPrEx>
                <w:tblCellMar>
                  <w:top w:w="0" w:type="dxa"/>
                  <w:left w:w="108" w:type="dxa"/>
                  <w:bottom w:w="0" w:type="dxa"/>
                  <w:right w:w="108" w:type="dxa"/>
                </w:tblCellMar>
              </w:tblPrEx>
              <w:trPr>
                <w:trHeight w:val="284" w:hRule="atLeast"/>
              </w:trPr>
              <w:tc>
                <w:tcPr>
                  <w:tcW w:w="1560" w:type="dxa"/>
                  <w:tcBorders>
                    <w:top w:val="single" w:color="auto" w:sz="4" w:space="0"/>
                    <w:bottom w:val="single" w:color="auto" w:sz="4" w:space="0"/>
                    <w:right w:val="single" w:color="auto" w:sz="4" w:space="0"/>
                  </w:tcBorders>
                  <w:noWrap w:val="0"/>
                  <w:vAlign w:val="center"/>
                </w:tcPr>
                <w:p>
                  <w:pPr>
                    <w:pStyle w:val="89"/>
                    <w:numPr>
                      <w:ilvl w:val="0"/>
                      <w:numId w:val="0"/>
                    </w:numPr>
                    <w:bidi w:val="0"/>
                    <w:ind w:left="425" w:leftChars="0" w:hanging="425" w:firstLineChars="0"/>
                    <w:jc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w:t>
                  </w:r>
                </w:p>
              </w:tc>
              <w:tc>
                <w:tcPr>
                  <w:tcW w:w="22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color w:val="000000"/>
                      <w:kern w:val="0"/>
                      <w:sz w:val="21"/>
                      <w:szCs w:val="21"/>
                      <w:lang w:val="en-US" w:eastAsia="zh-CN" w:bidi="ar"/>
                    </w:rPr>
                  </w:pPr>
                  <w:r>
                    <w:rPr>
                      <w:rFonts w:hint="eastAsia" w:ascii="宋体" w:hAnsi="宋体" w:cs="宋体"/>
                      <w:color w:val="auto"/>
                      <w:kern w:val="0"/>
                      <w:sz w:val="21"/>
                      <w:szCs w:val="21"/>
                      <w:highlight w:val="none"/>
                    </w:rPr>
                    <w:t>压路机</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cs="宋体"/>
                      <w:color w:val="auto"/>
                      <w:kern w:val="0"/>
                      <w:sz w:val="21"/>
                      <w:szCs w:val="21"/>
                      <w:highlight w:val="none"/>
                    </w:rPr>
                    <w:t>12-15t</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台</w:t>
                  </w:r>
                </w:p>
              </w:tc>
              <w:tc>
                <w:tcPr>
                  <w:tcW w:w="1560" w:type="dxa"/>
                  <w:tcBorders>
                    <w:top w:val="single" w:color="auto" w:sz="4" w:space="0"/>
                    <w:left w:val="single" w:color="auto" w:sz="4" w:space="0"/>
                    <w:bottom w:val="single" w:color="auto" w:sz="4" w:space="0"/>
                  </w:tcBorders>
                  <w:noWrap w:val="0"/>
                  <w:vAlign w:val="center"/>
                </w:tcPr>
                <w:p>
                  <w:pPr>
                    <w:widowControl/>
                    <w:ind w:firstLine="0" w:firstLineChars="0"/>
                    <w:jc w:val="center"/>
                    <w:rPr>
                      <w:rFonts w:hint="default"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1</w:t>
                  </w:r>
                </w:p>
              </w:tc>
            </w:tr>
            <w:tr>
              <w:tblPrEx>
                <w:tblCellMar>
                  <w:top w:w="0" w:type="dxa"/>
                  <w:left w:w="108" w:type="dxa"/>
                  <w:bottom w:w="0" w:type="dxa"/>
                  <w:right w:w="108" w:type="dxa"/>
                </w:tblCellMar>
              </w:tblPrEx>
              <w:trPr>
                <w:trHeight w:val="284" w:hRule="atLeast"/>
              </w:trPr>
              <w:tc>
                <w:tcPr>
                  <w:tcW w:w="1560" w:type="dxa"/>
                  <w:tcBorders>
                    <w:top w:val="single" w:color="auto" w:sz="4" w:space="0"/>
                    <w:bottom w:val="single" w:color="auto" w:sz="4" w:space="0"/>
                    <w:right w:val="single" w:color="auto" w:sz="4" w:space="0"/>
                  </w:tcBorders>
                  <w:noWrap w:val="0"/>
                  <w:vAlign w:val="center"/>
                </w:tcPr>
                <w:p>
                  <w:pPr>
                    <w:pStyle w:val="89"/>
                    <w:numPr>
                      <w:ilvl w:val="0"/>
                      <w:numId w:val="0"/>
                    </w:numPr>
                    <w:bidi w:val="0"/>
                    <w:ind w:left="425" w:leftChars="0" w:hanging="425" w:firstLineChars="0"/>
                    <w:jc w:val="center"/>
                    <w:rPr>
                      <w:rFonts w:hint="eastAsia" w:ascii="宋体" w:hAnsi="宋体" w:eastAsia="宋体" w:cs="宋体"/>
                      <w:color w:val="000000"/>
                      <w:kern w:val="0"/>
                      <w:sz w:val="21"/>
                      <w:szCs w:val="21"/>
                      <w:lang w:val="en-US" w:eastAsia="zh-CN" w:bidi="ar"/>
                    </w:rPr>
                  </w:pPr>
                  <w:r>
                    <w:rPr>
                      <w:rFonts w:hint="default" w:ascii="宋体" w:hAnsi="宋体" w:eastAsia="宋体" w:cs="宋体"/>
                      <w:color w:val="000000"/>
                      <w:kern w:val="0"/>
                      <w:sz w:val="21"/>
                      <w:szCs w:val="21"/>
                      <w:lang w:val="en-US" w:eastAsia="zh-CN" w:bidi="ar"/>
                    </w:rPr>
                    <w:t>4</w:t>
                  </w:r>
                </w:p>
              </w:tc>
              <w:tc>
                <w:tcPr>
                  <w:tcW w:w="22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color w:val="000000"/>
                      <w:kern w:val="0"/>
                      <w:sz w:val="21"/>
                      <w:szCs w:val="21"/>
                      <w:lang w:val="en-US" w:eastAsia="zh-CN" w:bidi="ar"/>
                    </w:rPr>
                  </w:pPr>
                  <w:r>
                    <w:rPr>
                      <w:rFonts w:hint="eastAsia" w:ascii="宋体" w:hAnsi="宋体" w:cs="宋体"/>
                      <w:color w:val="auto"/>
                      <w:kern w:val="0"/>
                      <w:sz w:val="21"/>
                      <w:szCs w:val="21"/>
                      <w:highlight w:val="none"/>
                    </w:rPr>
                    <w:t>蛙式夯实机</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cs="宋体"/>
                      <w:color w:val="auto"/>
                      <w:kern w:val="0"/>
                      <w:sz w:val="21"/>
                      <w:szCs w:val="21"/>
                      <w:highlight w:val="none"/>
                    </w:rPr>
                    <w:t>2.8kw</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台</w:t>
                  </w:r>
                </w:p>
              </w:tc>
              <w:tc>
                <w:tcPr>
                  <w:tcW w:w="1560" w:type="dxa"/>
                  <w:tcBorders>
                    <w:top w:val="single" w:color="auto" w:sz="4" w:space="0"/>
                    <w:left w:val="single" w:color="auto" w:sz="4" w:space="0"/>
                    <w:bottom w:val="single" w:color="auto" w:sz="4" w:space="0"/>
                  </w:tcBorders>
                  <w:noWrap w:val="0"/>
                  <w:vAlign w:val="center"/>
                </w:tcPr>
                <w:p>
                  <w:pPr>
                    <w:widowControl/>
                    <w:ind w:firstLine="0" w:firstLineChars="0"/>
                    <w:jc w:val="center"/>
                    <w:rPr>
                      <w:rFonts w:hint="default"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3</w:t>
                  </w:r>
                </w:p>
              </w:tc>
            </w:tr>
            <w:tr>
              <w:tblPrEx>
                <w:tblCellMar>
                  <w:top w:w="0" w:type="dxa"/>
                  <w:left w:w="108" w:type="dxa"/>
                  <w:bottom w:w="0" w:type="dxa"/>
                  <w:right w:w="108" w:type="dxa"/>
                </w:tblCellMar>
              </w:tblPrEx>
              <w:trPr>
                <w:trHeight w:val="284" w:hRule="atLeast"/>
              </w:trPr>
              <w:tc>
                <w:tcPr>
                  <w:tcW w:w="1560" w:type="dxa"/>
                  <w:tcBorders>
                    <w:top w:val="single" w:color="auto" w:sz="4" w:space="0"/>
                    <w:bottom w:val="single" w:color="auto" w:sz="4" w:space="0"/>
                    <w:right w:val="single" w:color="auto" w:sz="4" w:space="0"/>
                  </w:tcBorders>
                  <w:noWrap w:val="0"/>
                  <w:vAlign w:val="center"/>
                </w:tcPr>
                <w:p>
                  <w:pPr>
                    <w:pStyle w:val="89"/>
                    <w:numPr>
                      <w:ilvl w:val="0"/>
                      <w:numId w:val="0"/>
                    </w:numPr>
                    <w:bidi w:val="0"/>
                    <w:ind w:left="425" w:leftChars="0" w:hanging="425" w:firstLineChars="0"/>
                    <w:jc w:val="center"/>
                    <w:rPr>
                      <w:rFonts w:hint="eastAsia" w:ascii="宋体" w:hAnsi="宋体" w:eastAsia="宋体" w:cs="宋体"/>
                      <w:color w:val="000000"/>
                      <w:kern w:val="0"/>
                      <w:sz w:val="21"/>
                      <w:szCs w:val="21"/>
                      <w:lang w:val="en-US" w:eastAsia="zh-CN" w:bidi="ar"/>
                    </w:rPr>
                  </w:pPr>
                  <w:r>
                    <w:rPr>
                      <w:rFonts w:hint="default" w:ascii="宋体" w:hAnsi="宋体" w:eastAsia="宋体" w:cs="宋体"/>
                      <w:color w:val="000000"/>
                      <w:kern w:val="0"/>
                      <w:sz w:val="21"/>
                      <w:szCs w:val="21"/>
                      <w:lang w:val="en-US" w:eastAsia="zh-CN" w:bidi="ar"/>
                    </w:rPr>
                    <w:t>5</w:t>
                  </w:r>
                </w:p>
              </w:tc>
              <w:tc>
                <w:tcPr>
                  <w:tcW w:w="22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color w:val="000000"/>
                      <w:kern w:val="0"/>
                      <w:sz w:val="21"/>
                      <w:szCs w:val="21"/>
                      <w:lang w:val="en-US" w:eastAsia="zh-CN" w:bidi="ar"/>
                    </w:rPr>
                  </w:pPr>
                  <w:r>
                    <w:rPr>
                      <w:rFonts w:hint="eastAsia" w:ascii="宋体" w:hAnsi="宋体" w:cs="宋体"/>
                      <w:color w:val="auto"/>
                      <w:kern w:val="0"/>
                      <w:sz w:val="21"/>
                      <w:szCs w:val="21"/>
                      <w:highlight w:val="none"/>
                    </w:rPr>
                    <w:t>振捣器</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cs="宋体"/>
                      <w:color w:val="auto"/>
                      <w:kern w:val="0"/>
                      <w:sz w:val="21"/>
                      <w:szCs w:val="21"/>
                      <w:highlight w:val="none"/>
                    </w:rPr>
                    <w:t>1.1kw</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台</w:t>
                  </w:r>
                </w:p>
              </w:tc>
              <w:tc>
                <w:tcPr>
                  <w:tcW w:w="1560" w:type="dxa"/>
                  <w:tcBorders>
                    <w:top w:val="single" w:color="auto" w:sz="4" w:space="0"/>
                    <w:left w:val="single" w:color="auto" w:sz="4" w:space="0"/>
                    <w:bottom w:val="single" w:color="auto" w:sz="4" w:space="0"/>
                  </w:tcBorders>
                  <w:noWrap w:val="0"/>
                  <w:vAlign w:val="center"/>
                </w:tcPr>
                <w:p>
                  <w:pPr>
                    <w:widowControl/>
                    <w:ind w:firstLine="0" w:firstLineChars="0"/>
                    <w:jc w:val="center"/>
                    <w:rPr>
                      <w:rFonts w:hint="default"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3</w:t>
                  </w:r>
                </w:p>
              </w:tc>
            </w:tr>
            <w:tr>
              <w:tblPrEx>
                <w:tblCellMar>
                  <w:top w:w="0" w:type="dxa"/>
                  <w:left w:w="108" w:type="dxa"/>
                  <w:bottom w:w="0" w:type="dxa"/>
                  <w:right w:w="108" w:type="dxa"/>
                </w:tblCellMar>
              </w:tblPrEx>
              <w:trPr>
                <w:trHeight w:val="284" w:hRule="atLeast"/>
              </w:trPr>
              <w:tc>
                <w:tcPr>
                  <w:tcW w:w="1560" w:type="dxa"/>
                  <w:tcBorders>
                    <w:top w:val="single" w:color="auto" w:sz="4" w:space="0"/>
                    <w:bottom w:val="single" w:color="auto" w:sz="4" w:space="0"/>
                    <w:right w:val="single" w:color="auto" w:sz="4" w:space="0"/>
                  </w:tcBorders>
                  <w:noWrap w:val="0"/>
                  <w:vAlign w:val="center"/>
                </w:tcPr>
                <w:p>
                  <w:pPr>
                    <w:pStyle w:val="89"/>
                    <w:numPr>
                      <w:ilvl w:val="0"/>
                      <w:numId w:val="0"/>
                    </w:numPr>
                    <w:bidi w:val="0"/>
                    <w:ind w:left="425" w:leftChars="0" w:hanging="425" w:firstLineChars="0"/>
                    <w:jc w:val="center"/>
                    <w:rPr>
                      <w:rFonts w:hint="eastAsia" w:ascii="宋体" w:hAnsi="宋体" w:eastAsia="宋体" w:cs="宋体"/>
                      <w:color w:val="000000"/>
                      <w:kern w:val="0"/>
                      <w:sz w:val="21"/>
                      <w:szCs w:val="21"/>
                      <w:lang w:val="en-US" w:eastAsia="zh-CN" w:bidi="ar"/>
                    </w:rPr>
                  </w:pPr>
                  <w:r>
                    <w:rPr>
                      <w:rFonts w:hint="default" w:ascii="宋体" w:hAnsi="宋体" w:eastAsia="宋体" w:cs="宋体"/>
                      <w:color w:val="000000"/>
                      <w:kern w:val="0"/>
                      <w:sz w:val="21"/>
                      <w:szCs w:val="21"/>
                      <w:lang w:val="en-US" w:eastAsia="zh-CN" w:bidi="ar"/>
                    </w:rPr>
                    <w:t>6</w:t>
                  </w:r>
                </w:p>
              </w:tc>
              <w:tc>
                <w:tcPr>
                  <w:tcW w:w="22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color w:val="000000"/>
                      <w:kern w:val="0"/>
                      <w:sz w:val="21"/>
                      <w:szCs w:val="21"/>
                      <w:lang w:val="en-US" w:eastAsia="zh-CN" w:bidi="ar"/>
                    </w:rPr>
                  </w:pPr>
                  <w:r>
                    <w:rPr>
                      <w:rFonts w:hint="eastAsia" w:ascii="宋体" w:hAnsi="宋体" w:cs="宋体"/>
                      <w:color w:val="auto"/>
                      <w:kern w:val="0"/>
                      <w:sz w:val="21"/>
                      <w:szCs w:val="21"/>
                      <w:highlight w:val="none"/>
                    </w:rPr>
                    <w:t>振捣器</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cs="宋体"/>
                      <w:color w:val="auto"/>
                      <w:kern w:val="0"/>
                      <w:sz w:val="21"/>
                      <w:szCs w:val="21"/>
                      <w:highlight w:val="none"/>
                    </w:rPr>
                    <w:t>2.2kw</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台</w:t>
                  </w:r>
                </w:p>
              </w:tc>
              <w:tc>
                <w:tcPr>
                  <w:tcW w:w="1560" w:type="dxa"/>
                  <w:tcBorders>
                    <w:top w:val="single" w:color="auto" w:sz="4" w:space="0"/>
                    <w:left w:val="single" w:color="auto" w:sz="4" w:space="0"/>
                    <w:bottom w:val="single" w:color="auto" w:sz="4" w:space="0"/>
                  </w:tcBorders>
                  <w:noWrap w:val="0"/>
                  <w:vAlign w:val="center"/>
                </w:tcPr>
                <w:p>
                  <w:pPr>
                    <w:widowControl/>
                    <w:ind w:firstLine="0" w:firstLineChars="0"/>
                    <w:jc w:val="center"/>
                    <w:rPr>
                      <w:rFonts w:hint="eastAsia" w:ascii="宋体" w:hAnsi="宋体" w:eastAsia="宋体" w:cs="宋体"/>
                      <w:color w:val="000000"/>
                      <w:kern w:val="0"/>
                      <w:sz w:val="21"/>
                      <w:szCs w:val="21"/>
                      <w:lang w:val="en-US" w:eastAsia="zh-CN" w:bidi="ar"/>
                    </w:rPr>
                  </w:pPr>
                  <w:r>
                    <w:rPr>
                      <w:rFonts w:hint="eastAsia" w:ascii="宋体" w:hAnsi="宋体" w:cs="宋体"/>
                      <w:color w:val="auto"/>
                      <w:kern w:val="0"/>
                      <w:sz w:val="21"/>
                      <w:szCs w:val="21"/>
                      <w:highlight w:val="none"/>
                      <w:lang w:val="en-US" w:eastAsia="zh-CN"/>
                    </w:rPr>
                    <w:t>2</w:t>
                  </w:r>
                </w:p>
              </w:tc>
            </w:tr>
            <w:tr>
              <w:tblPrEx>
                <w:tblCellMar>
                  <w:top w:w="0" w:type="dxa"/>
                  <w:left w:w="108" w:type="dxa"/>
                  <w:bottom w:w="0" w:type="dxa"/>
                  <w:right w:w="108" w:type="dxa"/>
                </w:tblCellMar>
              </w:tblPrEx>
              <w:trPr>
                <w:trHeight w:val="284" w:hRule="atLeast"/>
              </w:trPr>
              <w:tc>
                <w:tcPr>
                  <w:tcW w:w="1560" w:type="dxa"/>
                  <w:tcBorders>
                    <w:top w:val="single" w:color="auto" w:sz="4" w:space="0"/>
                    <w:bottom w:val="single" w:color="auto" w:sz="4" w:space="0"/>
                    <w:right w:val="single" w:color="auto" w:sz="4" w:space="0"/>
                  </w:tcBorders>
                  <w:noWrap w:val="0"/>
                  <w:vAlign w:val="center"/>
                </w:tcPr>
                <w:p>
                  <w:pPr>
                    <w:pStyle w:val="89"/>
                    <w:numPr>
                      <w:ilvl w:val="0"/>
                      <w:numId w:val="0"/>
                    </w:numPr>
                    <w:bidi w:val="0"/>
                    <w:ind w:left="425" w:leftChars="0" w:hanging="425" w:firstLineChars="0"/>
                    <w:jc w:val="center"/>
                    <w:rPr>
                      <w:rFonts w:hint="eastAsia" w:ascii="宋体" w:hAnsi="宋体" w:eastAsia="宋体" w:cs="宋体"/>
                      <w:color w:val="000000"/>
                      <w:kern w:val="0"/>
                      <w:sz w:val="21"/>
                      <w:szCs w:val="21"/>
                      <w:lang w:val="en-US" w:eastAsia="zh-CN" w:bidi="ar"/>
                    </w:rPr>
                  </w:pPr>
                  <w:r>
                    <w:rPr>
                      <w:rFonts w:hint="default" w:ascii="宋体" w:hAnsi="宋体" w:eastAsia="宋体" w:cs="宋体"/>
                      <w:color w:val="000000"/>
                      <w:kern w:val="0"/>
                      <w:sz w:val="21"/>
                      <w:szCs w:val="21"/>
                      <w:lang w:val="en-US" w:eastAsia="zh-CN" w:bidi="ar"/>
                    </w:rPr>
                    <w:t>7</w:t>
                  </w:r>
                </w:p>
              </w:tc>
              <w:tc>
                <w:tcPr>
                  <w:tcW w:w="22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color w:val="000000"/>
                      <w:kern w:val="0"/>
                      <w:sz w:val="21"/>
                      <w:szCs w:val="21"/>
                      <w:lang w:val="en-US" w:eastAsia="zh-CN" w:bidi="ar"/>
                    </w:rPr>
                  </w:pPr>
                  <w:r>
                    <w:rPr>
                      <w:rFonts w:hint="eastAsia" w:ascii="宋体" w:hAnsi="宋体" w:cs="宋体"/>
                      <w:color w:val="auto"/>
                      <w:kern w:val="0"/>
                      <w:sz w:val="21"/>
                      <w:szCs w:val="21"/>
                      <w:highlight w:val="none"/>
                    </w:rPr>
                    <w:t>载重汽车</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cs="宋体"/>
                      <w:color w:val="auto"/>
                      <w:kern w:val="0"/>
                      <w:sz w:val="21"/>
                      <w:szCs w:val="21"/>
                      <w:highlight w:val="none"/>
                    </w:rPr>
                    <w:t>5t</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辆</w:t>
                  </w:r>
                </w:p>
              </w:tc>
              <w:tc>
                <w:tcPr>
                  <w:tcW w:w="1560" w:type="dxa"/>
                  <w:tcBorders>
                    <w:top w:val="single" w:color="auto" w:sz="4" w:space="0"/>
                    <w:left w:val="single" w:color="auto" w:sz="4" w:space="0"/>
                    <w:bottom w:val="single" w:color="auto" w:sz="4" w:space="0"/>
                  </w:tcBorders>
                  <w:noWrap w:val="0"/>
                  <w:vAlign w:val="center"/>
                </w:tcPr>
                <w:p>
                  <w:pPr>
                    <w:widowControl/>
                    <w:ind w:firstLine="0" w:firstLineChars="0"/>
                    <w:jc w:val="center"/>
                    <w:rPr>
                      <w:rFonts w:hint="default"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3</w:t>
                  </w:r>
                </w:p>
              </w:tc>
            </w:tr>
            <w:tr>
              <w:tblPrEx>
                <w:tblCellMar>
                  <w:top w:w="0" w:type="dxa"/>
                  <w:left w:w="108" w:type="dxa"/>
                  <w:bottom w:w="0" w:type="dxa"/>
                  <w:right w:w="108" w:type="dxa"/>
                </w:tblCellMar>
              </w:tblPrEx>
              <w:trPr>
                <w:trHeight w:val="284" w:hRule="atLeast"/>
              </w:trPr>
              <w:tc>
                <w:tcPr>
                  <w:tcW w:w="1560" w:type="dxa"/>
                  <w:tcBorders>
                    <w:top w:val="single" w:color="auto" w:sz="4" w:space="0"/>
                    <w:bottom w:val="single" w:color="auto" w:sz="4" w:space="0"/>
                    <w:right w:val="single" w:color="auto" w:sz="4" w:space="0"/>
                  </w:tcBorders>
                  <w:noWrap w:val="0"/>
                  <w:vAlign w:val="center"/>
                </w:tcPr>
                <w:p>
                  <w:pPr>
                    <w:pStyle w:val="89"/>
                    <w:numPr>
                      <w:ilvl w:val="0"/>
                      <w:numId w:val="0"/>
                    </w:numPr>
                    <w:bidi w:val="0"/>
                    <w:ind w:left="425" w:leftChars="0" w:hanging="425" w:firstLineChars="0"/>
                    <w:jc w:val="center"/>
                    <w:rPr>
                      <w:rFonts w:hint="eastAsia" w:ascii="宋体" w:hAnsi="宋体" w:eastAsia="宋体" w:cs="宋体"/>
                      <w:color w:val="000000"/>
                      <w:kern w:val="0"/>
                      <w:sz w:val="21"/>
                      <w:szCs w:val="21"/>
                      <w:lang w:val="en-US" w:eastAsia="zh-CN" w:bidi="ar"/>
                    </w:rPr>
                  </w:pPr>
                  <w:r>
                    <w:rPr>
                      <w:rFonts w:hint="default" w:ascii="宋体" w:hAnsi="宋体" w:eastAsia="宋体" w:cs="宋体"/>
                      <w:color w:val="000000"/>
                      <w:kern w:val="0"/>
                      <w:sz w:val="21"/>
                      <w:szCs w:val="21"/>
                      <w:lang w:val="en-US" w:eastAsia="zh-CN" w:bidi="ar"/>
                    </w:rPr>
                    <w:t>8</w:t>
                  </w:r>
                </w:p>
              </w:tc>
              <w:tc>
                <w:tcPr>
                  <w:tcW w:w="22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color w:val="000000"/>
                      <w:kern w:val="0"/>
                      <w:sz w:val="21"/>
                      <w:szCs w:val="21"/>
                      <w:lang w:val="en-US" w:eastAsia="zh-CN" w:bidi="ar"/>
                    </w:rPr>
                  </w:pPr>
                  <w:r>
                    <w:rPr>
                      <w:rFonts w:hint="eastAsia" w:ascii="宋体" w:hAnsi="宋体" w:cs="宋体"/>
                      <w:color w:val="auto"/>
                      <w:kern w:val="0"/>
                      <w:sz w:val="21"/>
                      <w:szCs w:val="21"/>
                      <w:highlight w:val="none"/>
                    </w:rPr>
                    <w:t>自卸汽车</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cs="宋体"/>
                      <w:color w:val="auto"/>
                      <w:kern w:val="0"/>
                      <w:sz w:val="21"/>
                      <w:szCs w:val="21"/>
                      <w:highlight w:val="none"/>
                    </w:rPr>
                    <w:t>10t</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辆</w:t>
                  </w:r>
                </w:p>
              </w:tc>
              <w:tc>
                <w:tcPr>
                  <w:tcW w:w="1560" w:type="dxa"/>
                  <w:tcBorders>
                    <w:top w:val="single" w:color="auto" w:sz="4" w:space="0"/>
                    <w:left w:val="single" w:color="auto" w:sz="4" w:space="0"/>
                    <w:bottom w:val="single" w:color="auto" w:sz="4" w:space="0"/>
                  </w:tcBorders>
                  <w:noWrap w:val="0"/>
                  <w:vAlign w:val="center"/>
                </w:tcPr>
                <w:p>
                  <w:pPr>
                    <w:widowControl/>
                    <w:ind w:firstLine="0" w:firstLineChars="0"/>
                    <w:jc w:val="center"/>
                    <w:rPr>
                      <w:rFonts w:hint="default"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3</w:t>
                  </w:r>
                </w:p>
              </w:tc>
            </w:tr>
            <w:tr>
              <w:tblPrEx>
                <w:tblCellMar>
                  <w:top w:w="0" w:type="dxa"/>
                  <w:left w:w="108" w:type="dxa"/>
                  <w:bottom w:w="0" w:type="dxa"/>
                  <w:right w:w="108" w:type="dxa"/>
                </w:tblCellMar>
              </w:tblPrEx>
              <w:trPr>
                <w:trHeight w:val="284" w:hRule="atLeast"/>
              </w:trPr>
              <w:tc>
                <w:tcPr>
                  <w:tcW w:w="1560" w:type="dxa"/>
                  <w:tcBorders>
                    <w:top w:val="single" w:color="auto" w:sz="4" w:space="0"/>
                    <w:bottom w:val="single" w:color="auto" w:sz="4" w:space="0"/>
                    <w:right w:val="single" w:color="auto" w:sz="4" w:space="0"/>
                  </w:tcBorders>
                  <w:noWrap w:val="0"/>
                  <w:vAlign w:val="center"/>
                </w:tcPr>
                <w:p>
                  <w:pPr>
                    <w:pStyle w:val="89"/>
                    <w:numPr>
                      <w:ilvl w:val="0"/>
                      <w:numId w:val="0"/>
                    </w:numPr>
                    <w:bidi w:val="0"/>
                    <w:ind w:left="425" w:leftChars="0" w:hanging="425" w:firstLineChars="0"/>
                    <w:jc w:val="center"/>
                    <w:rPr>
                      <w:rFonts w:hint="eastAsia" w:ascii="宋体" w:hAnsi="宋体" w:eastAsia="宋体" w:cs="宋体"/>
                      <w:color w:val="000000"/>
                      <w:kern w:val="0"/>
                      <w:sz w:val="21"/>
                      <w:szCs w:val="21"/>
                      <w:lang w:val="en-US" w:eastAsia="zh-CN" w:bidi="ar"/>
                    </w:rPr>
                  </w:pPr>
                  <w:r>
                    <w:rPr>
                      <w:rFonts w:hint="default" w:ascii="宋体" w:hAnsi="宋体" w:eastAsia="宋体" w:cs="宋体"/>
                      <w:color w:val="000000"/>
                      <w:kern w:val="0"/>
                      <w:sz w:val="21"/>
                      <w:szCs w:val="21"/>
                      <w:lang w:val="en-US" w:eastAsia="zh-CN" w:bidi="ar"/>
                    </w:rPr>
                    <w:t>9</w:t>
                  </w:r>
                </w:p>
              </w:tc>
              <w:tc>
                <w:tcPr>
                  <w:tcW w:w="22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color w:val="000000"/>
                      <w:kern w:val="0"/>
                      <w:sz w:val="21"/>
                      <w:szCs w:val="21"/>
                      <w:lang w:val="en-US" w:eastAsia="zh-CN" w:bidi="ar"/>
                    </w:rPr>
                  </w:pPr>
                  <w:r>
                    <w:rPr>
                      <w:rFonts w:hint="eastAsia" w:ascii="宋体" w:hAnsi="宋体" w:cs="宋体"/>
                      <w:color w:val="auto"/>
                      <w:kern w:val="0"/>
                      <w:sz w:val="21"/>
                      <w:szCs w:val="21"/>
                      <w:highlight w:val="none"/>
                    </w:rPr>
                    <w:t>胶轮车</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辆</w:t>
                  </w:r>
                </w:p>
              </w:tc>
              <w:tc>
                <w:tcPr>
                  <w:tcW w:w="1560" w:type="dxa"/>
                  <w:tcBorders>
                    <w:top w:val="single" w:color="auto" w:sz="4" w:space="0"/>
                    <w:left w:val="single" w:color="auto" w:sz="4" w:space="0"/>
                    <w:bottom w:val="single" w:color="auto" w:sz="4" w:space="0"/>
                  </w:tcBorders>
                  <w:noWrap w:val="0"/>
                  <w:vAlign w:val="center"/>
                </w:tcPr>
                <w:p>
                  <w:pPr>
                    <w:widowControl/>
                    <w:ind w:firstLine="0" w:firstLineChars="0"/>
                    <w:jc w:val="center"/>
                    <w:rPr>
                      <w:rFonts w:hint="eastAsia" w:ascii="宋体" w:hAnsi="宋体" w:eastAsia="宋体" w:cs="宋体"/>
                      <w:color w:val="000000"/>
                      <w:kern w:val="0"/>
                      <w:sz w:val="21"/>
                      <w:szCs w:val="21"/>
                      <w:lang w:val="en-US" w:eastAsia="zh-CN" w:bidi="ar"/>
                    </w:rPr>
                  </w:pPr>
                  <w:r>
                    <w:rPr>
                      <w:rFonts w:hint="eastAsia" w:ascii="宋体" w:hAnsi="宋体" w:cs="宋体"/>
                      <w:color w:val="auto"/>
                      <w:kern w:val="0"/>
                      <w:sz w:val="21"/>
                      <w:szCs w:val="21"/>
                      <w:highlight w:val="none"/>
                      <w:lang w:val="en-US" w:eastAsia="zh-CN"/>
                    </w:rPr>
                    <w:t>4</w:t>
                  </w:r>
                </w:p>
              </w:tc>
            </w:tr>
            <w:tr>
              <w:tblPrEx>
                <w:tblCellMar>
                  <w:top w:w="0" w:type="dxa"/>
                  <w:left w:w="108" w:type="dxa"/>
                  <w:bottom w:w="0" w:type="dxa"/>
                  <w:right w:w="108" w:type="dxa"/>
                </w:tblCellMar>
              </w:tblPrEx>
              <w:trPr>
                <w:trHeight w:val="284" w:hRule="atLeast"/>
              </w:trPr>
              <w:tc>
                <w:tcPr>
                  <w:tcW w:w="1560" w:type="dxa"/>
                  <w:tcBorders>
                    <w:top w:val="single" w:color="auto" w:sz="4" w:space="0"/>
                    <w:bottom w:val="single" w:color="auto" w:sz="4" w:space="0"/>
                    <w:right w:val="single" w:color="auto" w:sz="4" w:space="0"/>
                  </w:tcBorders>
                  <w:noWrap w:val="0"/>
                  <w:vAlign w:val="center"/>
                </w:tcPr>
                <w:p>
                  <w:pPr>
                    <w:pStyle w:val="89"/>
                    <w:numPr>
                      <w:ilvl w:val="0"/>
                      <w:numId w:val="0"/>
                    </w:numPr>
                    <w:bidi w:val="0"/>
                    <w:ind w:left="425" w:leftChars="0" w:hanging="425" w:firstLineChars="0"/>
                    <w:jc w:val="center"/>
                    <w:rPr>
                      <w:rFonts w:hint="eastAsia" w:ascii="宋体" w:hAnsi="宋体" w:eastAsia="宋体" w:cs="宋体"/>
                      <w:color w:val="000000"/>
                      <w:kern w:val="0"/>
                      <w:sz w:val="21"/>
                      <w:szCs w:val="21"/>
                      <w:lang w:val="en-US" w:eastAsia="zh-CN" w:bidi="ar"/>
                    </w:rPr>
                  </w:pPr>
                  <w:r>
                    <w:rPr>
                      <w:rFonts w:hint="default" w:ascii="宋体" w:hAnsi="宋体" w:eastAsia="宋体" w:cs="宋体"/>
                      <w:color w:val="000000"/>
                      <w:kern w:val="0"/>
                      <w:sz w:val="21"/>
                      <w:szCs w:val="21"/>
                      <w:lang w:val="en-US" w:eastAsia="zh-CN" w:bidi="ar"/>
                    </w:rPr>
                    <w:t>10</w:t>
                  </w:r>
                </w:p>
              </w:tc>
              <w:tc>
                <w:tcPr>
                  <w:tcW w:w="22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color w:val="000000"/>
                      <w:kern w:val="0"/>
                      <w:sz w:val="21"/>
                      <w:szCs w:val="21"/>
                      <w:lang w:val="en-US" w:eastAsia="zh-CN" w:bidi="ar"/>
                    </w:rPr>
                  </w:pPr>
                  <w:r>
                    <w:rPr>
                      <w:rFonts w:hint="eastAsia" w:ascii="宋体" w:hAnsi="宋体" w:cs="宋体"/>
                      <w:color w:val="auto"/>
                      <w:kern w:val="0"/>
                      <w:sz w:val="21"/>
                      <w:szCs w:val="21"/>
                      <w:highlight w:val="none"/>
                    </w:rPr>
                    <w:t>汽车起重机</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cs="宋体"/>
                      <w:color w:val="auto"/>
                      <w:kern w:val="0"/>
                      <w:sz w:val="21"/>
                      <w:szCs w:val="21"/>
                      <w:highlight w:val="none"/>
                    </w:rPr>
                    <w:t>5t</w:t>
                  </w:r>
                  <w:r>
                    <w:rPr>
                      <w:rFonts w:hint="eastAsia" w:ascii="宋体" w:hAnsi="宋体" w:eastAsia="宋体" w:cs="宋体"/>
                      <w:color w:val="000000"/>
                      <w:kern w:val="0"/>
                      <w:sz w:val="21"/>
                      <w:szCs w:val="21"/>
                      <w:lang w:val="en-US" w:eastAsia="zh-CN" w:bidi="ar"/>
                    </w:rPr>
                    <w:t>　</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台</w:t>
                  </w:r>
                </w:p>
              </w:tc>
              <w:tc>
                <w:tcPr>
                  <w:tcW w:w="1560" w:type="dxa"/>
                  <w:tcBorders>
                    <w:top w:val="single" w:color="auto" w:sz="4" w:space="0"/>
                    <w:left w:val="single" w:color="auto" w:sz="4" w:space="0"/>
                    <w:bottom w:val="single" w:color="auto" w:sz="4" w:space="0"/>
                  </w:tcBorders>
                  <w:noWrap w:val="0"/>
                  <w:vAlign w:val="center"/>
                </w:tcPr>
                <w:p>
                  <w:pPr>
                    <w:widowControl/>
                    <w:ind w:firstLine="0" w:firstLineChars="0"/>
                    <w:jc w:val="center"/>
                    <w:rPr>
                      <w:rFonts w:hint="eastAsia" w:ascii="宋体" w:hAnsi="宋体" w:eastAsia="宋体" w:cs="宋体"/>
                      <w:color w:val="000000"/>
                      <w:kern w:val="0"/>
                      <w:sz w:val="21"/>
                      <w:szCs w:val="21"/>
                      <w:lang w:val="en-US" w:eastAsia="zh-CN" w:bidi="ar"/>
                    </w:rPr>
                  </w:pPr>
                  <w:r>
                    <w:rPr>
                      <w:rFonts w:ascii="宋体" w:hAnsi="宋体" w:cs="宋体"/>
                      <w:color w:val="auto"/>
                      <w:kern w:val="0"/>
                      <w:sz w:val="21"/>
                      <w:szCs w:val="21"/>
                      <w:highlight w:val="none"/>
                    </w:rPr>
                    <w:t>2</w:t>
                  </w:r>
                </w:p>
              </w:tc>
            </w:tr>
            <w:tr>
              <w:tblPrEx>
                <w:tblCellMar>
                  <w:top w:w="0" w:type="dxa"/>
                  <w:left w:w="108" w:type="dxa"/>
                  <w:bottom w:w="0" w:type="dxa"/>
                  <w:right w:w="108" w:type="dxa"/>
                </w:tblCellMar>
              </w:tblPrEx>
              <w:trPr>
                <w:trHeight w:val="284" w:hRule="atLeast"/>
              </w:trPr>
              <w:tc>
                <w:tcPr>
                  <w:tcW w:w="1560" w:type="dxa"/>
                  <w:tcBorders>
                    <w:top w:val="single" w:color="auto" w:sz="4" w:space="0"/>
                    <w:bottom w:val="single" w:color="auto" w:sz="4" w:space="0"/>
                    <w:right w:val="single" w:color="auto" w:sz="4" w:space="0"/>
                  </w:tcBorders>
                  <w:noWrap w:val="0"/>
                  <w:vAlign w:val="center"/>
                </w:tcPr>
                <w:p>
                  <w:pPr>
                    <w:pStyle w:val="89"/>
                    <w:numPr>
                      <w:ilvl w:val="0"/>
                      <w:numId w:val="0"/>
                    </w:numPr>
                    <w:bidi w:val="0"/>
                    <w:ind w:left="425" w:leftChars="0" w:hanging="425" w:firstLineChars="0"/>
                    <w:jc w:val="center"/>
                    <w:rPr>
                      <w:rFonts w:hint="eastAsia" w:ascii="宋体" w:hAnsi="宋体" w:eastAsia="宋体" w:cs="宋体"/>
                      <w:color w:val="000000"/>
                      <w:kern w:val="0"/>
                      <w:sz w:val="21"/>
                      <w:szCs w:val="21"/>
                      <w:lang w:val="en-US" w:eastAsia="zh-CN" w:bidi="ar"/>
                    </w:rPr>
                  </w:pPr>
                  <w:r>
                    <w:rPr>
                      <w:rFonts w:hint="default" w:ascii="宋体" w:hAnsi="宋体" w:eastAsia="宋体" w:cs="宋体"/>
                      <w:color w:val="000000"/>
                      <w:kern w:val="0"/>
                      <w:sz w:val="21"/>
                      <w:szCs w:val="21"/>
                      <w:lang w:val="en-US" w:eastAsia="zh-CN" w:bidi="ar"/>
                    </w:rPr>
                    <w:t>11</w:t>
                  </w:r>
                </w:p>
              </w:tc>
              <w:tc>
                <w:tcPr>
                  <w:tcW w:w="22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color w:val="000000"/>
                      <w:kern w:val="0"/>
                      <w:sz w:val="21"/>
                      <w:szCs w:val="21"/>
                      <w:lang w:val="en-US" w:eastAsia="zh-CN" w:bidi="ar"/>
                    </w:rPr>
                  </w:pPr>
                  <w:r>
                    <w:rPr>
                      <w:rFonts w:hint="eastAsia" w:ascii="宋体" w:hAnsi="宋体" w:cs="宋体"/>
                      <w:color w:val="auto"/>
                      <w:kern w:val="0"/>
                      <w:sz w:val="21"/>
                      <w:szCs w:val="21"/>
                      <w:highlight w:val="none"/>
                    </w:rPr>
                    <w:t>电动葫芦</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cs="宋体"/>
                      <w:color w:val="auto"/>
                      <w:kern w:val="0"/>
                      <w:sz w:val="21"/>
                      <w:szCs w:val="21"/>
                      <w:highlight w:val="none"/>
                    </w:rPr>
                    <w:t>3t</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台　</w:t>
                  </w:r>
                </w:p>
              </w:tc>
              <w:tc>
                <w:tcPr>
                  <w:tcW w:w="1560" w:type="dxa"/>
                  <w:tcBorders>
                    <w:top w:val="single" w:color="auto" w:sz="4" w:space="0"/>
                    <w:left w:val="single" w:color="auto" w:sz="4" w:space="0"/>
                    <w:bottom w:val="single" w:color="auto" w:sz="4" w:space="0"/>
                  </w:tcBorders>
                  <w:noWrap w:val="0"/>
                  <w:vAlign w:val="center"/>
                </w:tcPr>
                <w:p>
                  <w:pPr>
                    <w:widowControl/>
                    <w:ind w:firstLine="0" w:firstLineChars="0"/>
                    <w:jc w:val="center"/>
                    <w:rPr>
                      <w:rFonts w:hint="eastAsia" w:ascii="宋体" w:hAnsi="宋体" w:eastAsia="宋体" w:cs="宋体"/>
                      <w:color w:val="000000"/>
                      <w:kern w:val="0"/>
                      <w:sz w:val="21"/>
                      <w:szCs w:val="21"/>
                      <w:lang w:val="en-US" w:eastAsia="zh-CN" w:bidi="ar"/>
                    </w:rPr>
                  </w:pPr>
                  <w:r>
                    <w:rPr>
                      <w:rFonts w:ascii="宋体" w:hAnsi="宋体" w:cs="宋体"/>
                      <w:color w:val="auto"/>
                      <w:kern w:val="0"/>
                      <w:sz w:val="21"/>
                      <w:szCs w:val="21"/>
                      <w:highlight w:val="none"/>
                    </w:rPr>
                    <w:t>4</w:t>
                  </w:r>
                </w:p>
              </w:tc>
            </w:tr>
            <w:tr>
              <w:tblPrEx>
                <w:tblCellMar>
                  <w:top w:w="0" w:type="dxa"/>
                  <w:left w:w="108" w:type="dxa"/>
                  <w:bottom w:w="0" w:type="dxa"/>
                  <w:right w:w="108" w:type="dxa"/>
                </w:tblCellMar>
              </w:tblPrEx>
              <w:trPr>
                <w:trHeight w:val="284" w:hRule="atLeast"/>
              </w:trPr>
              <w:tc>
                <w:tcPr>
                  <w:tcW w:w="1560" w:type="dxa"/>
                  <w:tcBorders>
                    <w:top w:val="single" w:color="auto" w:sz="4" w:space="0"/>
                    <w:bottom w:val="single" w:color="auto" w:sz="4" w:space="0"/>
                    <w:right w:val="single" w:color="auto" w:sz="4" w:space="0"/>
                  </w:tcBorders>
                  <w:noWrap w:val="0"/>
                  <w:vAlign w:val="center"/>
                </w:tcPr>
                <w:p>
                  <w:pPr>
                    <w:pStyle w:val="89"/>
                    <w:numPr>
                      <w:ilvl w:val="0"/>
                      <w:numId w:val="0"/>
                    </w:numPr>
                    <w:bidi w:val="0"/>
                    <w:ind w:left="425" w:leftChars="0" w:hanging="425" w:firstLineChars="0"/>
                    <w:jc w:val="center"/>
                    <w:rPr>
                      <w:rFonts w:hint="eastAsia" w:ascii="宋体" w:hAnsi="宋体" w:eastAsia="宋体" w:cs="宋体"/>
                      <w:color w:val="000000"/>
                      <w:kern w:val="0"/>
                      <w:sz w:val="21"/>
                      <w:szCs w:val="21"/>
                      <w:lang w:val="en-US" w:eastAsia="zh-CN" w:bidi="ar"/>
                    </w:rPr>
                  </w:pPr>
                  <w:r>
                    <w:rPr>
                      <w:rFonts w:hint="default" w:ascii="宋体" w:hAnsi="宋体" w:eastAsia="宋体" w:cs="宋体"/>
                      <w:color w:val="000000"/>
                      <w:kern w:val="0"/>
                      <w:sz w:val="21"/>
                      <w:szCs w:val="21"/>
                      <w:lang w:val="en-US" w:eastAsia="zh-CN" w:bidi="ar"/>
                    </w:rPr>
                    <w:t>12</w:t>
                  </w:r>
                </w:p>
              </w:tc>
              <w:tc>
                <w:tcPr>
                  <w:tcW w:w="22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color w:val="000000"/>
                      <w:kern w:val="0"/>
                      <w:sz w:val="21"/>
                      <w:szCs w:val="21"/>
                      <w:lang w:val="en-US" w:eastAsia="zh-CN" w:bidi="ar"/>
                    </w:rPr>
                  </w:pPr>
                  <w:r>
                    <w:rPr>
                      <w:rFonts w:hint="eastAsia" w:ascii="宋体" w:hAnsi="宋体" w:cs="宋体"/>
                      <w:color w:val="auto"/>
                      <w:kern w:val="0"/>
                      <w:sz w:val="21"/>
                      <w:szCs w:val="21"/>
                      <w:highlight w:val="none"/>
                    </w:rPr>
                    <w:t>卷扬机</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cs="宋体"/>
                      <w:color w:val="auto"/>
                      <w:kern w:val="0"/>
                      <w:sz w:val="21"/>
                      <w:szCs w:val="21"/>
                      <w:highlight w:val="none"/>
                    </w:rPr>
                    <w:t>单筒慢速 3t</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台</w:t>
                  </w:r>
                </w:p>
              </w:tc>
              <w:tc>
                <w:tcPr>
                  <w:tcW w:w="1560" w:type="dxa"/>
                  <w:tcBorders>
                    <w:top w:val="single" w:color="auto" w:sz="4" w:space="0"/>
                    <w:left w:val="single" w:color="auto" w:sz="4" w:space="0"/>
                    <w:bottom w:val="single" w:color="auto" w:sz="4" w:space="0"/>
                  </w:tcBorders>
                  <w:noWrap w:val="0"/>
                  <w:vAlign w:val="center"/>
                </w:tcPr>
                <w:p>
                  <w:pPr>
                    <w:widowControl/>
                    <w:ind w:firstLine="0" w:firstLineChars="0"/>
                    <w:jc w:val="center"/>
                    <w:rPr>
                      <w:rFonts w:hint="eastAsia" w:ascii="宋体" w:hAnsi="宋体" w:eastAsia="宋体" w:cs="宋体"/>
                      <w:color w:val="000000"/>
                      <w:kern w:val="0"/>
                      <w:sz w:val="21"/>
                      <w:szCs w:val="21"/>
                      <w:lang w:val="en-US" w:eastAsia="zh-CN" w:bidi="ar"/>
                    </w:rPr>
                  </w:pPr>
                  <w:r>
                    <w:rPr>
                      <w:rFonts w:ascii="宋体" w:hAnsi="宋体" w:cs="宋体"/>
                      <w:color w:val="auto"/>
                      <w:kern w:val="0"/>
                      <w:sz w:val="21"/>
                      <w:szCs w:val="21"/>
                      <w:highlight w:val="none"/>
                    </w:rPr>
                    <w:t>2</w:t>
                  </w:r>
                </w:p>
              </w:tc>
            </w:tr>
            <w:tr>
              <w:tblPrEx>
                <w:tblCellMar>
                  <w:top w:w="0" w:type="dxa"/>
                  <w:left w:w="108" w:type="dxa"/>
                  <w:bottom w:w="0" w:type="dxa"/>
                  <w:right w:w="108" w:type="dxa"/>
                </w:tblCellMar>
              </w:tblPrEx>
              <w:trPr>
                <w:trHeight w:val="30" w:hRule="atLeast"/>
              </w:trPr>
              <w:tc>
                <w:tcPr>
                  <w:tcW w:w="1560" w:type="dxa"/>
                  <w:tcBorders>
                    <w:top w:val="single" w:color="auto" w:sz="4" w:space="0"/>
                    <w:bottom w:val="single" w:color="auto" w:sz="4" w:space="0"/>
                    <w:right w:val="single" w:color="auto" w:sz="4" w:space="0"/>
                  </w:tcBorders>
                  <w:noWrap w:val="0"/>
                  <w:vAlign w:val="center"/>
                </w:tcPr>
                <w:p>
                  <w:pPr>
                    <w:pStyle w:val="89"/>
                    <w:numPr>
                      <w:ilvl w:val="0"/>
                      <w:numId w:val="0"/>
                    </w:numPr>
                    <w:bidi w:val="0"/>
                    <w:ind w:left="425" w:leftChars="0" w:hanging="425" w:firstLineChars="0"/>
                    <w:jc w:val="center"/>
                    <w:rPr>
                      <w:rFonts w:hint="eastAsia" w:ascii="宋体" w:hAnsi="宋体" w:eastAsia="宋体" w:cs="宋体"/>
                      <w:color w:val="000000"/>
                      <w:kern w:val="0"/>
                      <w:sz w:val="21"/>
                      <w:szCs w:val="21"/>
                      <w:lang w:val="en-US" w:eastAsia="zh-CN" w:bidi="ar"/>
                    </w:rPr>
                  </w:pPr>
                  <w:r>
                    <w:rPr>
                      <w:rFonts w:hint="default" w:ascii="宋体" w:hAnsi="宋体" w:eastAsia="宋体" w:cs="宋体"/>
                      <w:color w:val="000000"/>
                      <w:kern w:val="0"/>
                      <w:sz w:val="21"/>
                      <w:szCs w:val="21"/>
                      <w:lang w:val="en-US" w:eastAsia="zh-CN" w:bidi="ar"/>
                    </w:rPr>
                    <w:t>13</w:t>
                  </w:r>
                </w:p>
              </w:tc>
              <w:tc>
                <w:tcPr>
                  <w:tcW w:w="22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auto"/>
                      <w:kern w:val="0"/>
                      <w:sz w:val="20"/>
                      <w:szCs w:val="20"/>
                      <w:highlight w:val="none"/>
                      <w:u w:val="none"/>
                      <w:lang w:val="en-US" w:eastAsia="zh-CN" w:bidi="ar"/>
                    </w:rPr>
                    <w:t>离心水泵</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auto"/>
                      <w:kern w:val="0"/>
                      <w:sz w:val="20"/>
                      <w:szCs w:val="20"/>
                      <w:highlight w:val="none"/>
                      <w:u w:val="none"/>
                      <w:lang w:val="en-US" w:eastAsia="zh-CN" w:bidi="ar"/>
                    </w:rPr>
                    <w:t>单级 11-17kW</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台</w:t>
                  </w:r>
                </w:p>
              </w:tc>
              <w:tc>
                <w:tcPr>
                  <w:tcW w:w="1560" w:type="dxa"/>
                  <w:tcBorders>
                    <w:top w:val="single" w:color="auto" w:sz="4" w:space="0"/>
                    <w:left w:val="single" w:color="auto" w:sz="4" w:space="0"/>
                    <w:bottom w:val="single" w:color="auto" w:sz="4" w:space="0"/>
                  </w:tcBorders>
                  <w:noWrap w:val="0"/>
                  <w:vAlign w:val="center"/>
                </w:tcPr>
                <w:p>
                  <w:pPr>
                    <w:widowControl/>
                    <w:ind w:firstLine="0" w:firstLineChars="0"/>
                    <w:jc w:val="center"/>
                    <w:rPr>
                      <w:rFonts w:hint="eastAsia" w:ascii="宋体" w:hAnsi="宋体" w:eastAsia="宋体" w:cs="宋体"/>
                      <w:color w:val="000000"/>
                      <w:kern w:val="0"/>
                      <w:sz w:val="21"/>
                      <w:szCs w:val="21"/>
                      <w:lang w:val="en-US" w:eastAsia="zh-CN" w:bidi="ar"/>
                    </w:rPr>
                  </w:pPr>
                  <w:r>
                    <w:rPr>
                      <w:rFonts w:hint="eastAsia" w:ascii="宋体" w:hAnsi="宋体" w:cs="宋体"/>
                      <w:color w:val="auto"/>
                      <w:kern w:val="0"/>
                      <w:sz w:val="21"/>
                      <w:szCs w:val="21"/>
                      <w:highlight w:val="none"/>
                      <w:lang w:val="en-US" w:eastAsia="zh-CN" w:bidi="ar-SA"/>
                    </w:rPr>
                    <w:t>1</w:t>
                  </w:r>
                </w:p>
              </w:tc>
            </w:tr>
            <w:tr>
              <w:tblPrEx>
                <w:tblCellMar>
                  <w:top w:w="0" w:type="dxa"/>
                  <w:left w:w="108" w:type="dxa"/>
                  <w:bottom w:w="0" w:type="dxa"/>
                  <w:right w:w="108" w:type="dxa"/>
                </w:tblCellMar>
              </w:tblPrEx>
              <w:trPr>
                <w:trHeight w:val="30" w:hRule="atLeast"/>
              </w:trPr>
              <w:tc>
                <w:tcPr>
                  <w:tcW w:w="1560" w:type="dxa"/>
                  <w:tcBorders>
                    <w:top w:val="single" w:color="auto" w:sz="4" w:space="0"/>
                    <w:bottom w:val="single" w:color="auto" w:sz="4" w:space="0"/>
                    <w:right w:val="single" w:color="auto" w:sz="4" w:space="0"/>
                  </w:tcBorders>
                  <w:noWrap w:val="0"/>
                  <w:vAlign w:val="center"/>
                </w:tcPr>
                <w:p>
                  <w:pPr>
                    <w:pStyle w:val="89"/>
                    <w:numPr>
                      <w:ilvl w:val="0"/>
                      <w:numId w:val="0"/>
                    </w:numPr>
                    <w:bidi w:val="0"/>
                    <w:ind w:left="425" w:leftChars="0" w:hanging="425" w:firstLineChars="0"/>
                    <w:jc w:val="center"/>
                    <w:rPr>
                      <w:rFonts w:hint="eastAsia" w:ascii="宋体" w:hAnsi="宋体" w:eastAsia="宋体" w:cs="宋体"/>
                      <w:color w:val="000000"/>
                      <w:kern w:val="0"/>
                      <w:sz w:val="21"/>
                      <w:szCs w:val="21"/>
                      <w:lang w:val="en-US" w:eastAsia="zh-CN" w:bidi="ar"/>
                    </w:rPr>
                  </w:pPr>
                  <w:r>
                    <w:rPr>
                      <w:rFonts w:hint="default" w:ascii="宋体" w:hAnsi="宋体" w:eastAsia="宋体" w:cs="宋体"/>
                      <w:color w:val="000000"/>
                      <w:kern w:val="0"/>
                      <w:sz w:val="21"/>
                      <w:szCs w:val="21"/>
                      <w:lang w:val="en-US" w:eastAsia="zh-CN" w:bidi="ar"/>
                    </w:rPr>
                    <w:t>14</w:t>
                  </w:r>
                </w:p>
              </w:tc>
              <w:tc>
                <w:tcPr>
                  <w:tcW w:w="22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auto"/>
                      <w:kern w:val="0"/>
                      <w:sz w:val="20"/>
                      <w:szCs w:val="20"/>
                      <w:highlight w:val="none"/>
                      <w:u w:val="none"/>
                      <w:lang w:val="en-US" w:eastAsia="zh-CN" w:bidi="ar"/>
                    </w:rPr>
                    <w:t>电焊机</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auto"/>
                      <w:kern w:val="0"/>
                      <w:sz w:val="20"/>
                      <w:szCs w:val="20"/>
                      <w:highlight w:val="none"/>
                      <w:u w:val="none"/>
                      <w:lang w:val="en-US" w:eastAsia="zh-CN" w:bidi="ar"/>
                    </w:rPr>
                    <w:t>25kVA</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台</w:t>
                  </w:r>
                </w:p>
              </w:tc>
              <w:tc>
                <w:tcPr>
                  <w:tcW w:w="1560" w:type="dxa"/>
                  <w:tcBorders>
                    <w:top w:val="single" w:color="auto" w:sz="4" w:space="0"/>
                    <w:left w:val="single" w:color="auto" w:sz="4" w:space="0"/>
                    <w:bottom w:val="single" w:color="auto" w:sz="4" w:space="0"/>
                  </w:tcBorders>
                  <w:noWrap w:val="0"/>
                  <w:vAlign w:val="center"/>
                </w:tcPr>
                <w:p>
                  <w:pPr>
                    <w:widowControl/>
                    <w:ind w:firstLine="0" w:firstLineChars="0"/>
                    <w:jc w:val="center"/>
                    <w:rPr>
                      <w:rFonts w:hint="eastAsia" w:ascii="宋体" w:hAnsi="宋体" w:eastAsia="宋体" w:cs="宋体"/>
                      <w:color w:val="000000"/>
                      <w:kern w:val="0"/>
                      <w:sz w:val="21"/>
                      <w:szCs w:val="21"/>
                      <w:lang w:val="en-US" w:eastAsia="zh-CN" w:bidi="ar"/>
                    </w:rPr>
                  </w:pPr>
                  <w:r>
                    <w:rPr>
                      <w:rFonts w:ascii="宋体" w:hAnsi="宋体" w:cs="宋体"/>
                      <w:color w:val="auto"/>
                      <w:kern w:val="0"/>
                      <w:sz w:val="21"/>
                      <w:szCs w:val="21"/>
                      <w:highlight w:val="none"/>
                    </w:rPr>
                    <w:t>4</w:t>
                  </w:r>
                </w:p>
              </w:tc>
            </w:tr>
            <w:tr>
              <w:tblPrEx>
                <w:tblCellMar>
                  <w:top w:w="0" w:type="dxa"/>
                  <w:left w:w="108" w:type="dxa"/>
                  <w:bottom w:w="0" w:type="dxa"/>
                  <w:right w:w="108" w:type="dxa"/>
                </w:tblCellMar>
              </w:tblPrEx>
              <w:trPr>
                <w:trHeight w:val="30" w:hRule="atLeast"/>
              </w:trPr>
              <w:tc>
                <w:tcPr>
                  <w:tcW w:w="1560" w:type="dxa"/>
                  <w:tcBorders>
                    <w:top w:val="single" w:color="auto" w:sz="4" w:space="0"/>
                    <w:bottom w:val="single" w:color="auto" w:sz="4" w:space="0"/>
                    <w:right w:val="single" w:color="auto" w:sz="4" w:space="0"/>
                  </w:tcBorders>
                  <w:noWrap w:val="0"/>
                  <w:vAlign w:val="center"/>
                </w:tcPr>
                <w:p>
                  <w:pPr>
                    <w:pStyle w:val="89"/>
                    <w:numPr>
                      <w:ilvl w:val="0"/>
                      <w:numId w:val="0"/>
                    </w:numPr>
                    <w:bidi w:val="0"/>
                    <w:ind w:left="425" w:leftChars="0" w:hanging="425" w:firstLineChars="0"/>
                    <w:jc w:val="center"/>
                    <w:rPr>
                      <w:rFonts w:hint="eastAsia" w:ascii="宋体" w:hAnsi="宋体" w:eastAsia="宋体" w:cs="宋体"/>
                      <w:color w:val="000000"/>
                      <w:kern w:val="0"/>
                      <w:sz w:val="21"/>
                      <w:szCs w:val="21"/>
                      <w:lang w:val="en-US" w:eastAsia="zh-CN" w:bidi="ar"/>
                    </w:rPr>
                  </w:pPr>
                  <w:r>
                    <w:rPr>
                      <w:rFonts w:hint="default" w:ascii="宋体" w:hAnsi="宋体" w:eastAsia="宋体" w:cs="宋体"/>
                      <w:color w:val="000000"/>
                      <w:kern w:val="0"/>
                      <w:sz w:val="21"/>
                      <w:szCs w:val="21"/>
                      <w:lang w:val="en-US" w:eastAsia="zh-CN" w:bidi="ar"/>
                    </w:rPr>
                    <w:t>15</w:t>
                  </w:r>
                </w:p>
              </w:tc>
              <w:tc>
                <w:tcPr>
                  <w:tcW w:w="22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auto"/>
                      <w:kern w:val="0"/>
                      <w:sz w:val="20"/>
                      <w:szCs w:val="20"/>
                      <w:highlight w:val="none"/>
                      <w:u w:val="none"/>
                      <w:lang w:val="en-US" w:eastAsia="zh-CN" w:bidi="ar"/>
                    </w:rPr>
                    <w:t>对焊机</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auto"/>
                      <w:kern w:val="0"/>
                      <w:sz w:val="20"/>
                      <w:szCs w:val="20"/>
                      <w:highlight w:val="none"/>
                      <w:u w:val="none"/>
                      <w:lang w:val="en-US" w:eastAsia="zh-CN" w:bidi="ar"/>
                    </w:rPr>
                    <w:t>电弧型150</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台</w:t>
                  </w:r>
                </w:p>
              </w:tc>
              <w:tc>
                <w:tcPr>
                  <w:tcW w:w="1560" w:type="dxa"/>
                  <w:tcBorders>
                    <w:top w:val="single" w:color="auto" w:sz="4" w:space="0"/>
                    <w:left w:val="single" w:color="auto" w:sz="4" w:space="0"/>
                    <w:bottom w:val="single" w:color="auto" w:sz="4" w:space="0"/>
                  </w:tcBorders>
                  <w:noWrap w:val="0"/>
                  <w:vAlign w:val="center"/>
                </w:tcPr>
                <w:p>
                  <w:pPr>
                    <w:widowControl/>
                    <w:ind w:firstLine="0" w:firstLineChars="0"/>
                    <w:jc w:val="center"/>
                    <w:rPr>
                      <w:rFonts w:hint="eastAsia" w:ascii="宋体" w:hAnsi="宋体" w:eastAsia="宋体" w:cs="宋体"/>
                      <w:color w:val="000000"/>
                      <w:kern w:val="0"/>
                      <w:sz w:val="21"/>
                      <w:szCs w:val="21"/>
                      <w:lang w:val="en-US" w:eastAsia="zh-CN" w:bidi="ar"/>
                    </w:rPr>
                  </w:pPr>
                  <w:r>
                    <w:rPr>
                      <w:rFonts w:ascii="宋体" w:hAnsi="宋体" w:cs="宋体"/>
                      <w:color w:val="auto"/>
                      <w:kern w:val="0"/>
                      <w:sz w:val="21"/>
                      <w:szCs w:val="21"/>
                      <w:highlight w:val="none"/>
                    </w:rPr>
                    <w:t>4</w:t>
                  </w:r>
                </w:p>
              </w:tc>
            </w:tr>
            <w:tr>
              <w:tblPrEx>
                <w:tblCellMar>
                  <w:top w:w="0" w:type="dxa"/>
                  <w:left w:w="108" w:type="dxa"/>
                  <w:bottom w:w="0" w:type="dxa"/>
                  <w:right w:w="108" w:type="dxa"/>
                </w:tblCellMar>
              </w:tblPrEx>
              <w:trPr>
                <w:trHeight w:val="30" w:hRule="atLeast"/>
              </w:trPr>
              <w:tc>
                <w:tcPr>
                  <w:tcW w:w="1560" w:type="dxa"/>
                  <w:tcBorders>
                    <w:top w:val="single" w:color="auto" w:sz="4" w:space="0"/>
                    <w:bottom w:val="single" w:color="auto" w:sz="4" w:space="0"/>
                    <w:right w:val="single" w:color="auto" w:sz="4" w:space="0"/>
                  </w:tcBorders>
                  <w:noWrap w:val="0"/>
                  <w:vAlign w:val="center"/>
                </w:tcPr>
                <w:p>
                  <w:pPr>
                    <w:pStyle w:val="89"/>
                    <w:numPr>
                      <w:ilvl w:val="0"/>
                      <w:numId w:val="0"/>
                    </w:numPr>
                    <w:bidi w:val="0"/>
                    <w:ind w:left="425" w:leftChars="0" w:hanging="425" w:firstLineChars="0"/>
                    <w:jc w:val="center"/>
                    <w:rPr>
                      <w:rFonts w:hint="eastAsia" w:ascii="宋体" w:hAnsi="宋体" w:eastAsia="宋体" w:cs="宋体"/>
                      <w:color w:val="000000"/>
                      <w:kern w:val="0"/>
                      <w:sz w:val="21"/>
                      <w:szCs w:val="21"/>
                      <w:lang w:val="en-US" w:eastAsia="zh-CN" w:bidi="ar"/>
                    </w:rPr>
                  </w:pPr>
                  <w:r>
                    <w:rPr>
                      <w:rFonts w:hint="default" w:ascii="宋体" w:hAnsi="宋体" w:eastAsia="宋体" w:cs="宋体"/>
                      <w:color w:val="000000"/>
                      <w:kern w:val="0"/>
                      <w:sz w:val="21"/>
                      <w:szCs w:val="21"/>
                      <w:lang w:val="en-US" w:eastAsia="zh-CN" w:bidi="ar"/>
                    </w:rPr>
                    <w:t>16</w:t>
                  </w:r>
                </w:p>
              </w:tc>
              <w:tc>
                <w:tcPr>
                  <w:tcW w:w="22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auto"/>
                      <w:kern w:val="0"/>
                      <w:sz w:val="20"/>
                      <w:szCs w:val="20"/>
                      <w:highlight w:val="none"/>
                      <w:u w:val="none"/>
                      <w:lang w:val="en-US" w:eastAsia="zh-CN" w:bidi="ar"/>
                    </w:rPr>
                    <w:t>钢筋弯曲机</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auto"/>
                      <w:kern w:val="0"/>
                      <w:sz w:val="20"/>
                      <w:szCs w:val="20"/>
                      <w:highlight w:val="none"/>
                      <w:u w:val="none"/>
                      <w:lang w:val="en-US" w:eastAsia="zh-CN" w:bidi="ar"/>
                    </w:rPr>
                    <w:t>Φ6-40</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台</w:t>
                  </w:r>
                </w:p>
              </w:tc>
              <w:tc>
                <w:tcPr>
                  <w:tcW w:w="1560" w:type="dxa"/>
                  <w:tcBorders>
                    <w:top w:val="single" w:color="auto" w:sz="4" w:space="0"/>
                    <w:left w:val="single" w:color="auto" w:sz="4" w:space="0"/>
                    <w:bottom w:val="single" w:color="auto" w:sz="4" w:space="0"/>
                  </w:tcBorders>
                  <w:noWrap w:val="0"/>
                  <w:vAlign w:val="center"/>
                </w:tcPr>
                <w:p>
                  <w:pPr>
                    <w:widowControl/>
                    <w:ind w:firstLine="0" w:firstLineChars="0"/>
                    <w:jc w:val="center"/>
                    <w:rPr>
                      <w:rFonts w:hint="eastAsia" w:ascii="宋体" w:hAnsi="宋体" w:eastAsia="宋体" w:cs="宋体"/>
                      <w:color w:val="000000"/>
                      <w:kern w:val="0"/>
                      <w:sz w:val="21"/>
                      <w:szCs w:val="21"/>
                      <w:lang w:val="en-US" w:eastAsia="zh-CN" w:bidi="ar"/>
                    </w:rPr>
                  </w:pPr>
                  <w:r>
                    <w:rPr>
                      <w:rFonts w:ascii="宋体" w:hAnsi="宋体" w:cs="宋体"/>
                      <w:color w:val="auto"/>
                      <w:kern w:val="0"/>
                      <w:sz w:val="21"/>
                      <w:szCs w:val="21"/>
                      <w:highlight w:val="none"/>
                    </w:rPr>
                    <w:t>4</w:t>
                  </w:r>
                </w:p>
              </w:tc>
            </w:tr>
            <w:tr>
              <w:tblPrEx>
                <w:tblCellMar>
                  <w:top w:w="0" w:type="dxa"/>
                  <w:left w:w="108" w:type="dxa"/>
                  <w:bottom w:w="0" w:type="dxa"/>
                  <w:right w:w="108" w:type="dxa"/>
                </w:tblCellMar>
              </w:tblPrEx>
              <w:trPr>
                <w:trHeight w:val="30" w:hRule="atLeast"/>
              </w:trPr>
              <w:tc>
                <w:tcPr>
                  <w:tcW w:w="1560" w:type="dxa"/>
                  <w:tcBorders>
                    <w:top w:val="single" w:color="auto" w:sz="4" w:space="0"/>
                    <w:bottom w:val="single" w:color="auto" w:sz="4" w:space="0"/>
                    <w:right w:val="single" w:color="auto" w:sz="4" w:space="0"/>
                  </w:tcBorders>
                  <w:noWrap w:val="0"/>
                  <w:vAlign w:val="center"/>
                </w:tcPr>
                <w:p>
                  <w:pPr>
                    <w:pStyle w:val="89"/>
                    <w:numPr>
                      <w:ilvl w:val="0"/>
                      <w:numId w:val="0"/>
                    </w:numPr>
                    <w:bidi w:val="0"/>
                    <w:ind w:left="425" w:leftChars="0" w:hanging="425" w:firstLineChars="0"/>
                    <w:jc w:val="center"/>
                    <w:rPr>
                      <w:rFonts w:hint="eastAsia" w:ascii="宋体" w:hAnsi="宋体" w:eastAsia="宋体" w:cs="宋体"/>
                      <w:color w:val="000000"/>
                      <w:kern w:val="0"/>
                      <w:sz w:val="21"/>
                      <w:szCs w:val="21"/>
                      <w:lang w:val="en-US" w:eastAsia="zh-CN" w:bidi="ar"/>
                    </w:rPr>
                  </w:pPr>
                  <w:r>
                    <w:rPr>
                      <w:rFonts w:hint="default" w:ascii="宋体" w:hAnsi="宋体" w:eastAsia="宋体" w:cs="宋体"/>
                      <w:color w:val="000000"/>
                      <w:kern w:val="0"/>
                      <w:sz w:val="21"/>
                      <w:szCs w:val="21"/>
                      <w:lang w:val="en-US" w:eastAsia="zh-CN" w:bidi="ar"/>
                    </w:rPr>
                    <w:t>17</w:t>
                  </w:r>
                </w:p>
              </w:tc>
              <w:tc>
                <w:tcPr>
                  <w:tcW w:w="22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auto"/>
                      <w:kern w:val="0"/>
                      <w:sz w:val="20"/>
                      <w:szCs w:val="20"/>
                      <w:highlight w:val="none"/>
                      <w:u w:val="none"/>
                      <w:lang w:val="en-US" w:eastAsia="zh-CN" w:bidi="ar"/>
                    </w:rPr>
                    <w:t>钢筋切断机</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auto"/>
                      <w:kern w:val="0"/>
                      <w:sz w:val="20"/>
                      <w:szCs w:val="20"/>
                      <w:highlight w:val="none"/>
                      <w:u w:val="none"/>
                      <w:lang w:val="en-US" w:eastAsia="zh-CN" w:bidi="ar"/>
                    </w:rPr>
                    <w:t>20kW</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台</w:t>
                  </w:r>
                </w:p>
              </w:tc>
              <w:tc>
                <w:tcPr>
                  <w:tcW w:w="1560" w:type="dxa"/>
                  <w:tcBorders>
                    <w:top w:val="single" w:color="auto" w:sz="4" w:space="0"/>
                    <w:left w:val="single" w:color="auto" w:sz="4" w:space="0"/>
                    <w:bottom w:val="single" w:color="auto" w:sz="4" w:space="0"/>
                  </w:tcBorders>
                  <w:noWrap w:val="0"/>
                  <w:vAlign w:val="center"/>
                </w:tcPr>
                <w:p>
                  <w:pPr>
                    <w:widowControl/>
                    <w:ind w:firstLine="0" w:firstLineChars="0"/>
                    <w:jc w:val="center"/>
                    <w:rPr>
                      <w:rFonts w:hint="eastAsia" w:ascii="宋体" w:hAnsi="宋体" w:eastAsia="宋体" w:cs="宋体"/>
                      <w:color w:val="000000"/>
                      <w:kern w:val="0"/>
                      <w:sz w:val="21"/>
                      <w:szCs w:val="21"/>
                      <w:lang w:val="en-US" w:eastAsia="zh-CN" w:bidi="ar"/>
                    </w:rPr>
                  </w:pPr>
                  <w:r>
                    <w:rPr>
                      <w:rFonts w:ascii="宋体" w:hAnsi="宋体" w:cs="宋体"/>
                      <w:color w:val="auto"/>
                      <w:kern w:val="0"/>
                      <w:sz w:val="21"/>
                      <w:szCs w:val="21"/>
                      <w:highlight w:val="none"/>
                    </w:rPr>
                    <w:t>2</w:t>
                  </w:r>
                </w:p>
              </w:tc>
            </w:tr>
            <w:tr>
              <w:tblPrEx>
                <w:tblCellMar>
                  <w:top w:w="0" w:type="dxa"/>
                  <w:left w:w="108" w:type="dxa"/>
                  <w:bottom w:w="0" w:type="dxa"/>
                  <w:right w:w="108" w:type="dxa"/>
                </w:tblCellMar>
              </w:tblPrEx>
              <w:trPr>
                <w:trHeight w:val="30" w:hRule="atLeast"/>
              </w:trPr>
              <w:tc>
                <w:tcPr>
                  <w:tcW w:w="1560" w:type="dxa"/>
                  <w:tcBorders>
                    <w:top w:val="single" w:color="auto" w:sz="4" w:space="0"/>
                    <w:bottom w:val="single" w:color="auto" w:sz="4" w:space="0"/>
                    <w:right w:val="single" w:color="auto" w:sz="4" w:space="0"/>
                  </w:tcBorders>
                  <w:noWrap w:val="0"/>
                  <w:vAlign w:val="center"/>
                </w:tcPr>
                <w:p>
                  <w:pPr>
                    <w:pStyle w:val="89"/>
                    <w:numPr>
                      <w:ilvl w:val="0"/>
                      <w:numId w:val="0"/>
                    </w:numPr>
                    <w:bidi w:val="0"/>
                    <w:ind w:left="425" w:leftChars="0" w:hanging="425" w:firstLineChars="0"/>
                    <w:jc w:val="center"/>
                    <w:rPr>
                      <w:rFonts w:hint="eastAsia" w:ascii="宋体" w:hAnsi="宋体" w:eastAsia="宋体" w:cs="宋体"/>
                      <w:color w:val="000000"/>
                      <w:kern w:val="0"/>
                      <w:sz w:val="21"/>
                      <w:szCs w:val="21"/>
                      <w:lang w:val="en-US" w:eastAsia="zh-CN" w:bidi="ar"/>
                    </w:rPr>
                  </w:pPr>
                  <w:r>
                    <w:rPr>
                      <w:rFonts w:hint="default" w:ascii="宋体" w:hAnsi="宋体" w:eastAsia="宋体" w:cs="宋体"/>
                      <w:color w:val="000000"/>
                      <w:kern w:val="0"/>
                      <w:sz w:val="21"/>
                      <w:szCs w:val="21"/>
                      <w:lang w:val="en-US" w:eastAsia="zh-CN" w:bidi="ar"/>
                    </w:rPr>
                    <w:t>18</w:t>
                  </w:r>
                </w:p>
              </w:tc>
              <w:tc>
                <w:tcPr>
                  <w:tcW w:w="22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auto"/>
                      <w:kern w:val="0"/>
                      <w:sz w:val="20"/>
                      <w:szCs w:val="20"/>
                      <w:highlight w:val="none"/>
                      <w:u w:val="none"/>
                      <w:lang w:val="en-US" w:eastAsia="zh-CN" w:bidi="ar"/>
                    </w:rPr>
                    <w:t>钢筋调直机</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auto"/>
                      <w:kern w:val="0"/>
                      <w:sz w:val="20"/>
                      <w:szCs w:val="20"/>
                      <w:highlight w:val="none"/>
                      <w:u w:val="none"/>
                      <w:lang w:val="en-US" w:eastAsia="zh-CN" w:bidi="ar"/>
                    </w:rPr>
                    <w:t>4-14kW</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台</w:t>
                  </w:r>
                </w:p>
              </w:tc>
              <w:tc>
                <w:tcPr>
                  <w:tcW w:w="1560" w:type="dxa"/>
                  <w:tcBorders>
                    <w:top w:val="single" w:color="auto" w:sz="4" w:space="0"/>
                    <w:left w:val="single" w:color="auto" w:sz="4" w:space="0"/>
                    <w:bottom w:val="single" w:color="auto" w:sz="4" w:space="0"/>
                  </w:tcBorders>
                  <w:noWrap w:val="0"/>
                  <w:vAlign w:val="center"/>
                </w:tcPr>
                <w:p>
                  <w:pPr>
                    <w:widowControl/>
                    <w:ind w:firstLine="0" w:firstLineChars="0"/>
                    <w:jc w:val="center"/>
                    <w:rPr>
                      <w:rFonts w:hint="eastAsia" w:ascii="宋体" w:hAnsi="宋体" w:eastAsia="宋体" w:cs="宋体"/>
                      <w:color w:val="000000"/>
                      <w:kern w:val="0"/>
                      <w:sz w:val="21"/>
                      <w:szCs w:val="21"/>
                      <w:lang w:val="en-US" w:eastAsia="zh-CN" w:bidi="ar"/>
                    </w:rPr>
                  </w:pPr>
                  <w:r>
                    <w:rPr>
                      <w:rFonts w:ascii="宋体" w:hAnsi="宋体" w:cs="宋体"/>
                      <w:color w:val="auto"/>
                      <w:kern w:val="0"/>
                      <w:sz w:val="21"/>
                      <w:szCs w:val="21"/>
                      <w:highlight w:val="none"/>
                    </w:rPr>
                    <w:t>2</w:t>
                  </w:r>
                </w:p>
              </w:tc>
            </w:tr>
            <w:tr>
              <w:tblPrEx>
                <w:tblCellMar>
                  <w:top w:w="0" w:type="dxa"/>
                  <w:left w:w="108" w:type="dxa"/>
                  <w:bottom w:w="0" w:type="dxa"/>
                  <w:right w:w="108" w:type="dxa"/>
                </w:tblCellMar>
              </w:tblPrEx>
              <w:trPr>
                <w:trHeight w:val="30" w:hRule="atLeast"/>
              </w:trPr>
              <w:tc>
                <w:tcPr>
                  <w:tcW w:w="1560" w:type="dxa"/>
                  <w:tcBorders>
                    <w:top w:val="single" w:color="auto" w:sz="4" w:space="0"/>
                    <w:bottom w:val="single" w:color="auto" w:sz="4" w:space="0"/>
                    <w:right w:val="single" w:color="auto" w:sz="4" w:space="0"/>
                  </w:tcBorders>
                  <w:noWrap w:val="0"/>
                  <w:vAlign w:val="center"/>
                </w:tcPr>
                <w:p>
                  <w:pPr>
                    <w:pStyle w:val="89"/>
                    <w:numPr>
                      <w:ilvl w:val="0"/>
                      <w:numId w:val="0"/>
                    </w:numPr>
                    <w:bidi w:val="0"/>
                    <w:ind w:left="425" w:leftChars="0" w:hanging="425" w:firstLineChars="0"/>
                    <w:jc w:val="center"/>
                    <w:rPr>
                      <w:rFonts w:hint="eastAsia" w:ascii="宋体" w:hAnsi="宋体" w:eastAsia="宋体" w:cs="宋体"/>
                      <w:color w:val="000000"/>
                      <w:kern w:val="0"/>
                      <w:sz w:val="21"/>
                      <w:szCs w:val="21"/>
                      <w:lang w:val="en-US" w:eastAsia="zh-CN" w:bidi="ar"/>
                    </w:rPr>
                  </w:pPr>
                  <w:r>
                    <w:rPr>
                      <w:rFonts w:hint="default" w:ascii="宋体" w:hAnsi="宋体" w:eastAsia="宋体" w:cs="宋体"/>
                      <w:color w:val="000000"/>
                      <w:kern w:val="0"/>
                      <w:sz w:val="21"/>
                      <w:szCs w:val="21"/>
                      <w:lang w:val="en-US" w:eastAsia="zh-CN" w:bidi="ar"/>
                    </w:rPr>
                    <w:t>19</w:t>
                  </w:r>
                </w:p>
              </w:tc>
              <w:tc>
                <w:tcPr>
                  <w:tcW w:w="22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auto"/>
                      <w:kern w:val="0"/>
                      <w:sz w:val="20"/>
                      <w:szCs w:val="20"/>
                      <w:highlight w:val="none"/>
                      <w:u w:val="none"/>
                      <w:lang w:val="en-US" w:eastAsia="zh-CN" w:bidi="ar"/>
                    </w:rPr>
                    <w:t>柴油发电机</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auto"/>
                      <w:kern w:val="0"/>
                      <w:sz w:val="20"/>
                      <w:szCs w:val="20"/>
                      <w:highlight w:val="none"/>
                      <w:u w:val="none"/>
                      <w:lang w:val="en-US" w:eastAsia="zh-CN" w:bidi="ar"/>
                    </w:rPr>
                    <w:t>50kW</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pStyle w:val="89"/>
                    <w:bidi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台</w:t>
                  </w:r>
                </w:p>
              </w:tc>
              <w:tc>
                <w:tcPr>
                  <w:tcW w:w="1560" w:type="dxa"/>
                  <w:tcBorders>
                    <w:top w:val="single" w:color="auto" w:sz="4" w:space="0"/>
                    <w:left w:val="single" w:color="auto" w:sz="4" w:space="0"/>
                    <w:bottom w:val="single" w:color="auto" w:sz="4" w:space="0"/>
                  </w:tcBorders>
                  <w:noWrap w:val="0"/>
                  <w:vAlign w:val="center"/>
                </w:tcPr>
                <w:p>
                  <w:pPr>
                    <w:widowControl/>
                    <w:ind w:firstLine="0" w:firstLineChars="0"/>
                    <w:jc w:val="center"/>
                    <w:rPr>
                      <w:rFonts w:hint="eastAsia" w:ascii="宋体" w:hAnsi="宋体" w:eastAsia="宋体" w:cs="宋体"/>
                      <w:color w:val="000000"/>
                      <w:kern w:val="0"/>
                      <w:sz w:val="21"/>
                      <w:szCs w:val="21"/>
                      <w:lang w:val="en-US" w:eastAsia="zh-CN" w:bidi="ar"/>
                    </w:rPr>
                  </w:pPr>
                  <w:r>
                    <w:rPr>
                      <w:rFonts w:hint="eastAsia" w:ascii="宋体" w:hAnsi="宋体" w:cs="宋体"/>
                      <w:color w:val="auto"/>
                      <w:kern w:val="0"/>
                      <w:sz w:val="21"/>
                      <w:szCs w:val="21"/>
                      <w:highlight w:val="none"/>
                      <w:lang w:val="en-US" w:eastAsia="zh-CN"/>
                    </w:rPr>
                    <w:t>1</w:t>
                  </w:r>
                </w:p>
              </w:tc>
            </w:tr>
          </w:tbl>
          <w:p>
            <w:pPr>
              <w:pStyle w:val="5"/>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default" w:ascii="Times New Roman" w:hAnsi="Times New Roman" w:eastAsia="宋体" w:cs="Times New Roman"/>
                <w:b/>
                <w:bCs/>
                <w:color w:val="000000"/>
                <w:kern w:val="2"/>
                <w:sz w:val="24"/>
                <w:szCs w:val="24"/>
                <w:lang w:val="en-US" w:eastAsia="zh-CN" w:bidi="ar-SA"/>
              </w:rPr>
            </w:pPr>
            <w:bookmarkStart w:id="22" w:name="_Toc26319"/>
            <w:bookmarkStart w:id="23" w:name="_Toc28153"/>
            <w:r>
              <w:rPr>
                <w:rFonts w:hint="eastAsia" w:ascii="Times New Roman" w:hAnsi="Times New Roman" w:eastAsia="宋体" w:cs="Times New Roman"/>
                <w:b/>
                <w:bCs/>
                <w:color w:val="000000"/>
                <w:kern w:val="2"/>
                <w:sz w:val="24"/>
                <w:szCs w:val="24"/>
                <w:lang w:val="en-US" w:eastAsia="zh-CN" w:bidi="ar-SA"/>
              </w:rPr>
              <w:t>7、</w:t>
            </w:r>
            <w:bookmarkEnd w:id="22"/>
            <w:bookmarkEnd w:id="23"/>
            <w:r>
              <w:rPr>
                <w:rFonts w:hint="eastAsia" w:ascii="Times New Roman" w:hAnsi="Times New Roman" w:eastAsia="宋体" w:cs="Times New Roman"/>
                <w:b/>
                <w:bCs/>
                <w:color w:val="000000"/>
                <w:kern w:val="2"/>
                <w:sz w:val="24"/>
                <w:szCs w:val="24"/>
                <w:lang w:val="en-US" w:eastAsia="zh-CN" w:bidi="ar-SA"/>
              </w:rPr>
              <w:t>主要设计方案</w:t>
            </w:r>
          </w:p>
          <w:p>
            <w:pPr>
              <w:pStyle w:val="2"/>
              <w:spacing w:line="360" w:lineRule="auto"/>
              <w:ind w:firstLine="482"/>
              <w:rPr>
                <w:rFonts w:hint="default" w:ascii="Times New Roman" w:hAnsi="Times New Roman" w:eastAsia="宋体" w:cs="Times New Roman"/>
                <w:b/>
                <w:bCs w:val="0"/>
                <w:color w:val="auto"/>
                <w:kern w:val="2"/>
                <w:sz w:val="24"/>
                <w:szCs w:val="24"/>
                <w:lang w:val="en-US" w:eastAsia="zh-CN" w:bidi="ar"/>
              </w:rPr>
            </w:pPr>
            <w:r>
              <w:rPr>
                <w:rFonts w:hint="eastAsia" w:ascii="Times New Roman" w:hAnsi="Times New Roman" w:eastAsia="宋体" w:cs="Times New Roman"/>
                <w:b/>
                <w:bCs w:val="0"/>
                <w:color w:val="auto"/>
                <w:kern w:val="2"/>
                <w:sz w:val="24"/>
                <w:szCs w:val="24"/>
                <w:lang w:val="en-US" w:eastAsia="zh-CN" w:bidi="ar"/>
              </w:rPr>
              <w:t>7.1</w:t>
            </w:r>
            <w:r>
              <w:rPr>
                <w:rFonts w:hint="default" w:ascii="Times New Roman" w:hAnsi="Times New Roman" w:eastAsia="宋体" w:cs="Times New Roman"/>
                <w:b/>
                <w:bCs w:val="0"/>
                <w:color w:val="auto"/>
                <w:kern w:val="2"/>
                <w:sz w:val="24"/>
                <w:szCs w:val="24"/>
                <w:lang w:val="en-US" w:eastAsia="zh-CN" w:bidi="ar"/>
              </w:rPr>
              <w:t>堤防工程等级与标准</w:t>
            </w:r>
          </w:p>
          <w:p>
            <w:pPr>
              <w:pStyle w:val="63"/>
              <w:numPr>
                <w:ilvl w:val="0"/>
                <w:numId w:val="0"/>
              </w:numPr>
              <w:ind w:firstLine="480" w:firstLineChars="200"/>
              <w:rPr>
                <w:rFonts w:hint="eastAsia" w:ascii="Times New Roman" w:hAnsi="Times New Roman" w:eastAsia="宋体" w:cs="Times New Roman"/>
                <w:color w:val="auto"/>
                <w:kern w:val="2"/>
                <w:sz w:val="24"/>
                <w:szCs w:val="24"/>
                <w:lang w:val="zh-CN" w:eastAsia="zh-CN" w:bidi="ar"/>
              </w:rPr>
            </w:pPr>
            <w:r>
              <w:rPr>
                <w:rFonts w:hint="eastAsia" w:ascii="Times New Roman" w:hAnsi="Times New Roman" w:eastAsia="宋体" w:cs="Times New Roman"/>
                <w:color w:val="auto"/>
                <w:kern w:val="2"/>
                <w:sz w:val="24"/>
                <w:szCs w:val="24"/>
                <w:lang w:val="zh-CN" w:eastAsia="zh-CN" w:bidi="ar"/>
              </w:rPr>
              <w:t>（</w:t>
            </w:r>
            <w:r>
              <w:rPr>
                <w:rFonts w:hint="eastAsia" w:ascii="Times New Roman" w:hAnsi="Times New Roman" w:eastAsia="宋体" w:cs="Times New Roman"/>
                <w:color w:val="auto"/>
                <w:kern w:val="2"/>
                <w:sz w:val="24"/>
                <w:szCs w:val="24"/>
                <w:lang w:val="en-US" w:eastAsia="zh-CN" w:bidi="ar"/>
              </w:rPr>
              <w:t>1</w:t>
            </w:r>
            <w:r>
              <w:rPr>
                <w:rFonts w:hint="eastAsia" w:ascii="Times New Roman" w:hAnsi="Times New Roman" w:eastAsia="宋体" w:cs="Times New Roman"/>
                <w:color w:val="auto"/>
                <w:kern w:val="2"/>
                <w:sz w:val="24"/>
                <w:szCs w:val="24"/>
                <w:lang w:val="zh-CN" w:eastAsia="zh-CN" w:bidi="ar"/>
              </w:rPr>
              <w:t>）工程保护对象</w:t>
            </w:r>
          </w:p>
          <w:p>
            <w:pPr>
              <w:pStyle w:val="63"/>
              <w:numPr>
                <w:ilvl w:val="0"/>
                <w:numId w:val="0"/>
              </w:numPr>
              <w:ind w:firstLine="480" w:firstLineChars="200"/>
              <w:rPr>
                <w:rFonts w:hint="eastAsia" w:ascii="Times New Roman" w:hAnsi="Times New Roman" w:eastAsia="宋体" w:cs="Times New Roman"/>
                <w:color w:val="auto"/>
                <w:kern w:val="2"/>
                <w:sz w:val="24"/>
                <w:szCs w:val="24"/>
                <w:lang w:val="en-US" w:eastAsia="zh-CN" w:bidi="ar"/>
              </w:rPr>
            </w:pPr>
            <w:r>
              <w:rPr>
                <w:rFonts w:hint="eastAsia" w:ascii="Times New Roman" w:hAnsi="Times New Roman" w:eastAsia="宋体" w:cs="Times New Roman"/>
                <w:color w:val="auto"/>
                <w:kern w:val="2"/>
                <w:sz w:val="24"/>
                <w:szCs w:val="24"/>
                <w:lang w:val="en-US" w:eastAsia="zh-CN" w:bidi="ar"/>
              </w:rPr>
              <w:t>广元市昭化区采煤沉陷区避险搬迁项目长坝社区庄子沟避险安置小区位于广元市昭化区元坝镇长坝社区庄子沟；拟定通过实施四川省广元市昭化区采煤沉陷区避险搬迁项目，完成186户668人的沉陷区居民搬迁安置工作，真正让沉陷区居民居有其所、住房安全。</w:t>
            </w:r>
          </w:p>
          <w:p>
            <w:pPr>
              <w:pStyle w:val="63"/>
              <w:numPr>
                <w:ilvl w:val="0"/>
                <w:numId w:val="0"/>
              </w:numPr>
              <w:ind w:firstLine="480" w:firstLineChars="200"/>
              <w:rPr>
                <w:rFonts w:hint="eastAsia" w:ascii="Times New Roman" w:hAnsi="Times New Roman" w:eastAsia="宋体" w:cs="Times New Roman"/>
                <w:color w:val="auto"/>
                <w:kern w:val="2"/>
                <w:sz w:val="24"/>
                <w:szCs w:val="24"/>
                <w:lang w:val="en-US" w:eastAsia="zh-CN" w:bidi="ar"/>
              </w:rPr>
            </w:pPr>
            <w:r>
              <w:rPr>
                <w:rFonts w:hint="eastAsia" w:ascii="Times New Roman" w:hAnsi="Times New Roman" w:eastAsia="宋体" w:cs="Times New Roman"/>
                <w:color w:val="auto"/>
                <w:kern w:val="2"/>
                <w:sz w:val="24"/>
                <w:szCs w:val="24"/>
                <w:lang w:val="en-US" w:eastAsia="zh-CN" w:bidi="ar"/>
              </w:rPr>
              <w:t>（2）工程等级与标准</w:t>
            </w:r>
          </w:p>
          <w:p>
            <w:pPr>
              <w:spacing w:line="360" w:lineRule="auto"/>
              <w:ind w:firstLine="480" w:firstLineChars="200"/>
              <w:rPr>
                <w:rFonts w:hint="eastAsia"/>
                <w:color w:val="auto"/>
                <w:sz w:val="24"/>
                <w:szCs w:val="32"/>
                <w:lang w:val="en-US" w:eastAsia="zh-CN"/>
              </w:rPr>
            </w:pPr>
            <w:r>
              <w:rPr>
                <w:rFonts w:hint="eastAsia"/>
                <w:color w:val="auto"/>
                <w:sz w:val="24"/>
                <w:szCs w:val="32"/>
                <w:lang w:val="en-US" w:eastAsia="zh-CN"/>
              </w:rPr>
              <w:t>根据昭化区实际情况，本工程位于昭化区城区，结合其发展规划及河道防洪标准，依据中华人民共和国《防洪标准》(GB50201-2014) 、《四川省河道管理范围内建设项目管理暂行办法》 (川水发[2004]40 号)的规定，确定评价工程的防洪标准为 20 年一遇。</w:t>
            </w:r>
          </w:p>
          <w:p>
            <w:pPr>
              <w:spacing w:line="360" w:lineRule="auto"/>
              <w:ind w:firstLine="480" w:firstLineChars="200"/>
              <w:rPr>
                <w:rFonts w:hint="eastAsia"/>
                <w:color w:val="auto"/>
                <w:sz w:val="24"/>
                <w:szCs w:val="32"/>
                <w:lang w:val="en-US" w:eastAsia="zh-CN"/>
              </w:rPr>
            </w:pPr>
            <w:r>
              <w:rPr>
                <w:rFonts w:hint="eastAsia"/>
                <w:color w:val="auto"/>
                <w:sz w:val="24"/>
                <w:szCs w:val="32"/>
                <w:lang w:val="en-US" w:eastAsia="zh-CN"/>
              </w:rPr>
              <w:t>本防洪堤工程的防洪标准采用20年一遇（P=5%）设计，工程级别为4级，其主要建筑物防洪堤级别为4级，次要及临时建筑物为5级。</w:t>
            </w:r>
          </w:p>
          <w:p>
            <w:pPr>
              <w:spacing w:line="360" w:lineRule="auto"/>
              <w:ind w:firstLine="480" w:firstLineChars="200"/>
              <w:rPr>
                <w:rFonts w:hint="eastAsia"/>
                <w:lang w:val="en-US" w:eastAsia="zh-CN"/>
              </w:rPr>
            </w:pPr>
            <w:r>
              <w:rPr>
                <w:rFonts w:hint="eastAsia"/>
                <w:color w:val="auto"/>
                <w:sz w:val="24"/>
                <w:szCs w:val="32"/>
                <w:lang w:val="en-US" w:eastAsia="zh-CN"/>
              </w:rPr>
              <w:t>根据治涝标准（SL 723-2016）和保护对象，本次选择排涝标准为10年一遇（P＝10%），排涝建筑物级别为5级。</w:t>
            </w:r>
          </w:p>
          <w:p>
            <w:pPr>
              <w:pStyle w:val="2"/>
              <w:spacing w:line="360" w:lineRule="auto"/>
              <w:ind w:firstLine="482"/>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lang w:val="en-US" w:eastAsia="zh-CN"/>
              </w:rPr>
              <w:t>7.</w:t>
            </w:r>
            <w:r>
              <w:rPr>
                <w:rFonts w:hint="default" w:ascii="Times New Roman" w:hAnsi="Times New Roman" w:eastAsia="宋体" w:cs="Times New Roman"/>
                <w:b/>
                <w:sz w:val="24"/>
                <w:szCs w:val="24"/>
              </w:rPr>
              <w:t>2</w:t>
            </w:r>
            <w:r>
              <w:rPr>
                <w:rFonts w:hint="eastAsia" w:ascii="Times New Roman" w:hAnsi="Times New Roman" w:eastAsia="宋体" w:cs="Times New Roman"/>
                <w:b/>
                <w:sz w:val="24"/>
                <w:szCs w:val="24"/>
                <w:lang w:eastAsia="zh-CN"/>
              </w:rPr>
              <w:t>堤线与堤距</w:t>
            </w:r>
          </w:p>
          <w:p>
            <w:pPr>
              <w:pStyle w:val="63"/>
              <w:numPr>
                <w:ilvl w:val="0"/>
                <w:numId w:val="0"/>
              </w:numPr>
              <w:ind w:firstLine="480" w:firstLineChars="200"/>
              <w:rPr>
                <w:rFonts w:hint="eastAsia" w:ascii="Times New Roman" w:hAnsi="Times New Roman" w:eastAsia="宋体" w:cs="Times New Roman"/>
                <w:color w:val="auto"/>
                <w:kern w:val="2"/>
                <w:sz w:val="24"/>
                <w:szCs w:val="24"/>
                <w:lang w:val="zh-CN" w:eastAsia="zh-CN" w:bidi="ar"/>
              </w:rPr>
            </w:pPr>
            <w:r>
              <w:rPr>
                <w:rFonts w:hint="eastAsia" w:ascii="Times New Roman" w:hAnsi="Times New Roman" w:eastAsia="宋体" w:cs="Times New Roman"/>
                <w:color w:val="auto"/>
                <w:kern w:val="2"/>
                <w:sz w:val="24"/>
                <w:szCs w:val="24"/>
                <w:lang w:val="en-US" w:eastAsia="zh-CN" w:bidi="ar"/>
              </w:rPr>
              <w:t>7.2.1</w:t>
            </w:r>
            <w:r>
              <w:rPr>
                <w:rFonts w:hint="eastAsia" w:ascii="Times New Roman" w:hAnsi="Times New Roman" w:eastAsia="宋体" w:cs="Times New Roman"/>
                <w:color w:val="auto"/>
                <w:kern w:val="2"/>
                <w:sz w:val="24"/>
                <w:szCs w:val="24"/>
                <w:lang w:val="zh-CN" w:eastAsia="zh-CN" w:bidi="ar"/>
              </w:rPr>
              <w:t>堤线布置方案</w:t>
            </w:r>
          </w:p>
          <w:p>
            <w:pPr>
              <w:spacing w:line="360" w:lineRule="auto"/>
              <w:ind w:firstLine="480" w:firstLineChars="200"/>
              <w:rPr>
                <w:rFonts w:hint="default" w:ascii="Times New Roman" w:hAnsi="Times New Roman" w:eastAsia="宋体" w:cs="Times New Roman"/>
                <w:color w:val="auto"/>
                <w:sz w:val="24"/>
                <w:szCs w:val="32"/>
                <w:lang w:val="en-US" w:eastAsia="zh-CN"/>
              </w:rPr>
            </w:pPr>
            <w:r>
              <w:rPr>
                <w:rFonts w:hint="default" w:ascii="Times New Roman" w:hAnsi="Times New Roman" w:eastAsia="宋体" w:cs="Times New Roman"/>
                <w:color w:val="auto"/>
                <w:sz w:val="24"/>
                <w:szCs w:val="32"/>
                <w:lang w:val="en-US" w:eastAsia="zh-CN"/>
              </w:rPr>
              <w:t>按照尽量少占地、堤线沿现有岸线布置、与已建挡墙平顺连接的原则，经过堤线的方案比较，上游段基本沿河岸线布置，下游段对河道进行裁弯取直，河道取直后与水流同向不会产生壅水；变更后河道过水能力加大，行洪距离缩短，有利于洪水下泄。</w:t>
            </w:r>
          </w:p>
          <w:p>
            <w:pPr>
              <w:spacing w:line="360" w:lineRule="auto"/>
              <w:ind w:firstLine="480" w:firstLineChars="200"/>
              <w:rPr>
                <w:rFonts w:hint="default"/>
                <w:lang w:val="en-US" w:eastAsia="zh-CN"/>
              </w:rPr>
            </w:pPr>
            <w:r>
              <w:rPr>
                <w:rFonts w:hint="default" w:ascii="Times New Roman" w:hAnsi="Times New Roman" w:eastAsia="宋体" w:cs="Times New Roman"/>
                <w:color w:val="auto"/>
                <w:sz w:val="24"/>
                <w:szCs w:val="32"/>
                <w:lang w:val="en-US" w:eastAsia="zh-CN"/>
              </w:rPr>
              <w:t>根据工程河段情况及堤线平面布置，庄子沟段整治河道起点为上游现状的混凝土平板桥（河道中心桩号K0+000,坐标：X=3581205.02，Y=35591604.89），终点为下游现状混凝土板桥（河道中心桩号K0+452,坐标：X=3581312.66，Y=35591206.30）。</w:t>
            </w:r>
          </w:p>
          <w:p>
            <w:pPr>
              <w:pStyle w:val="135"/>
              <w:adjustRightInd w:val="0"/>
              <w:snapToGrid w:val="0"/>
              <w:spacing w:line="360" w:lineRule="auto"/>
              <w:ind w:firstLine="480"/>
              <w:rPr>
                <w:rFonts w:hint="eastAsia" w:ascii="Times New Roman" w:hAnsi="Times New Roman" w:eastAsia="宋体" w:cs="Times New Roman"/>
                <w:color w:val="auto"/>
                <w:kern w:val="2"/>
                <w:sz w:val="24"/>
                <w:szCs w:val="24"/>
                <w:lang w:val="zh-CN" w:eastAsia="zh-CN" w:bidi="ar"/>
              </w:rPr>
            </w:pPr>
            <w:r>
              <w:rPr>
                <w:rFonts w:hint="eastAsia" w:ascii="Times New Roman" w:hAnsi="Times New Roman" w:eastAsia="宋体" w:cs="Times New Roman"/>
                <w:color w:val="auto"/>
                <w:kern w:val="2"/>
                <w:sz w:val="24"/>
                <w:szCs w:val="24"/>
                <w:lang w:val="zh-CN" w:eastAsia="zh-CN" w:bidi="ar"/>
              </w:rPr>
              <w:t>堤线布置：</w:t>
            </w:r>
          </w:p>
          <w:p>
            <w:pPr>
              <w:pStyle w:val="135"/>
              <w:adjustRightInd w:val="0"/>
              <w:snapToGrid w:val="0"/>
              <w:spacing w:line="360" w:lineRule="auto"/>
              <w:ind w:firstLine="48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w:t>
            </w:r>
            <w:r>
              <w:rPr>
                <w:rFonts w:hint="eastAsia" w:ascii="宋体" w:hAnsi="宋体" w:eastAsia="宋体"/>
                <w:color w:val="auto"/>
                <w:sz w:val="24"/>
                <w:szCs w:val="24"/>
                <w:highlight w:val="none"/>
                <w:lang w:val="en-US" w:eastAsia="zh-CN"/>
              </w:rPr>
              <w:t>庄子沟</w:t>
            </w:r>
            <w:r>
              <w:rPr>
                <w:rFonts w:hint="eastAsia" w:ascii="宋体" w:hAnsi="宋体" w:eastAsia="宋体"/>
                <w:color w:val="auto"/>
                <w:sz w:val="24"/>
                <w:szCs w:val="24"/>
                <w:highlight w:val="none"/>
              </w:rPr>
              <w:t>工程上游段</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lang w:val="en-US" w:eastAsia="zh-CN"/>
              </w:rPr>
              <w:t>K0+000.00-K0+250.00</w:t>
            </w:r>
            <w:r>
              <w:rPr>
                <w:rFonts w:hint="eastAsia" w:ascii="宋体" w:hAnsi="宋体" w:eastAsia="宋体"/>
                <w:color w:val="auto"/>
                <w:sz w:val="24"/>
                <w:szCs w:val="24"/>
                <w:highlight w:val="none"/>
                <w:lang w:eastAsia="zh-CN"/>
              </w:rPr>
              <w:t>）</w:t>
            </w:r>
          </w:p>
          <w:p>
            <w:pPr>
              <w:pStyle w:val="135"/>
              <w:adjustRightInd w:val="0"/>
              <w:snapToGrid w:val="0"/>
              <w:spacing w:line="360" w:lineRule="auto"/>
              <w:ind w:firstLine="480"/>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rPr>
              <w:t>本次工程河段上游段河道总长0.</w:t>
            </w:r>
            <w:r>
              <w:rPr>
                <w:rFonts w:hint="eastAsia" w:ascii="宋体" w:hAnsi="宋体" w:eastAsia="宋体"/>
                <w:color w:val="auto"/>
                <w:sz w:val="24"/>
                <w:szCs w:val="24"/>
                <w:highlight w:val="none"/>
                <w:lang w:val="en-US" w:eastAsia="zh-CN"/>
              </w:rPr>
              <w:t>25</w:t>
            </w:r>
            <w:r>
              <w:rPr>
                <w:rFonts w:hint="eastAsia" w:ascii="宋体" w:hAnsi="宋体" w:eastAsia="宋体"/>
                <w:color w:val="auto"/>
                <w:sz w:val="24"/>
                <w:szCs w:val="24"/>
                <w:highlight w:val="none"/>
              </w:rPr>
              <w:t>km，两岸</w:t>
            </w:r>
            <w:r>
              <w:rPr>
                <w:rFonts w:hint="eastAsia" w:ascii="宋体" w:hAnsi="宋体" w:eastAsia="宋体"/>
                <w:color w:val="auto"/>
                <w:sz w:val="24"/>
                <w:szCs w:val="24"/>
                <w:highlight w:val="none"/>
                <w:lang w:val="en-US" w:eastAsia="zh-CN"/>
              </w:rPr>
              <w:t>基本为耕地</w:t>
            </w:r>
            <w:r>
              <w:rPr>
                <w:rFonts w:hint="eastAsia" w:ascii="宋体" w:hAnsi="宋体" w:eastAsia="宋体"/>
                <w:color w:val="auto"/>
                <w:sz w:val="24"/>
                <w:szCs w:val="24"/>
                <w:highlight w:val="none"/>
              </w:rPr>
              <w:t>，</w:t>
            </w:r>
            <w:r>
              <w:rPr>
                <w:rFonts w:hint="eastAsia" w:ascii="宋体" w:hAnsi="宋体" w:eastAsia="宋体"/>
                <w:color w:val="auto"/>
                <w:sz w:val="24"/>
                <w:szCs w:val="24"/>
                <w:highlight w:val="none"/>
                <w:lang w:val="en-US" w:eastAsia="zh-CN"/>
              </w:rPr>
              <w:t>地层分布为表层土夹砂砾石，下部为粉砂质泥岩，堤线沿原河道布置。</w:t>
            </w:r>
          </w:p>
          <w:p>
            <w:pPr>
              <w:pStyle w:val="63"/>
              <w:numPr>
                <w:ilvl w:val="0"/>
                <w:numId w:val="0"/>
              </w:numPr>
              <w:ind w:firstLine="480" w:firstLineChars="200"/>
              <w:rPr>
                <w:rFonts w:hint="eastAsia" w:ascii="Times New Roman" w:hAnsi="Times New Roman" w:eastAsia="宋体" w:cs="Times New Roman"/>
                <w:color w:val="auto"/>
                <w:kern w:val="2"/>
                <w:sz w:val="24"/>
                <w:szCs w:val="24"/>
                <w:lang w:val="zh-CN" w:eastAsia="zh-CN" w:bidi="ar"/>
              </w:rPr>
            </w:pPr>
          </w:p>
          <w:p>
            <w:pPr>
              <w:widowControl/>
              <w:jc w:val="center"/>
              <w:rPr>
                <w:color w:val="auto"/>
                <w:highlight w:val="none"/>
              </w:rPr>
            </w:pPr>
            <w:r>
              <w:rPr>
                <w:color w:val="auto"/>
                <w:highlight w:val="none"/>
              </w:rPr>
              <w:drawing>
                <wp:inline distT="0" distB="0" distL="114300" distR="114300">
                  <wp:extent cx="4582795" cy="2520315"/>
                  <wp:effectExtent l="0" t="0" r="8255" b="13335"/>
                  <wp:docPr id="52"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66"/>
                          <pic:cNvPicPr>
                            <a:picLocks noChangeAspect="1"/>
                          </pic:cNvPicPr>
                        </pic:nvPicPr>
                        <pic:blipFill>
                          <a:blip r:embed="rId12"/>
                          <a:stretch>
                            <a:fillRect/>
                          </a:stretch>
                        </pic:blipFill>
                        <pic:spPr>
                          <a:xfrm>
                            <a:off x="0" y="0"/>
                            <a:ext cx="4582795" cy="2520315"/>
                          </a:xfrm>
                          <a:prstGeom prst="rect">
                            <a:avLst/>
                          </a:prstGeom>
                          <a:noFill/>
                          <a:ln>
                            <a:noFill/>
                          </a:ln>
                        </pic:spPr>
                      </pic:pic>
                    </a:graphicData>
                  </a:graphic>
                </wp:inline>
              </w:drawing>
            </w:r>
          </w:p>
          <w:p>
            <w:pPr>
              <w:pStyle w:val="135"/>
              <w:adjustRightInd w:val="0"/>
              <w:snapToGrid w:val="0"/>
              <w:spacing w:line="360" w:lineRule="auto"/>
              <w:ind w:firstLine="48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w:t>
            </w:r>
            <w:r>
              <w:rPr>
                <w:rFonts w:hint="eastAsia" w:ascii="宋体" w:hAnsi="宋体" w:eastAsia="宋体"/>
                <w:color w:val="auto"/>
                <w:sz w:val="24"/>
                <w:szCs w:val="24"/>
                <w:highlight w:val="none"/>
                <w:lang w:val="en-US" w:eastAsia="zh-CN"/>
              </w:rPr>
              <w:t>2</w:t>
            </w:r>
            <w:r>
              <w:rPr>
                <w:rFonts w:hint="eastAsia" w:ascii="宋体" w:hAnsi="宋体" w:eastAsia="宋体"/>
                <w:color w:val="auto"/>
                <w:sz w:val="24"/>
                <w:szCs w:val="24"/>
                <w:highlight w:val="none"/>
              </w:rPr>
              <w:t>）</w:t>
            </w:r>
            <w:r>
              <w:rPr>
                <w:rFonts w:hint="eastAsia" w:ascii="宋体" w:hAnsi="宋体" w:eastAsia="宋体"/>
                <w:color w:val="auto"/>
                <w:sz w:val="24"/>
                <w:szCs w:val="24"/>
                <w:highlight w:val="none"/>
                <w:lang w:val="en-US" w:eastAsia="zh-CN"/>
              </w:rPr>
              <w:t>庄子沟</w:t>
            </w:r>
            <w:r>
              <w:rPr>
                <w:rFonts w:hint="eastAsia" w:ascii="宋体" w:hAnsi="宋体" w:eastAsia="宋体"/>
                <w:color w:val="auto"/>
                <w:sz w:val="24"/>
                <w:szCs w:val="24"/>
                <w:highlight w:val="none"/>
              </w:rPr>
              <w:t>工程</w:t>
            </w:r>
            <w:r>
              <w:rPr>
                <w:rFonts w:hint="eastAsia" w:ascii="宋体" w:hAnsi="宋体" w:eastAsia="宋体"/>
                <w:color w:val="auto"/>
                <w:sz w:val="24"/>
                <w:szCs w:val="24"/>
                <w:highlight w:val="none"/>
                <w:lang w:val="en-US" w:eastAsia="zh-CN"/>
              </w:rPr>
              <w:t>下</w:t>
            </w:r>
            <w:r>
              <w:rPr>
                <w:rFonts w:hint="eastAsia" w:ascii="宋体" w:hAnsi="宋体" w:eastAsia="宋体"/>
                <w:color w:val="auto"/>
                <w:sz w:val="24"/>
                <w:szCs w:val="24"/>
                <w:highlight w:val="none"/>
              </w:rPr>
              <w:t>游段</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lang w:val="en-US" w:eastAsia="zh-CN"/>
              </w:rPr>
              <w:t>K0+250.00-K0+452.00</w:t>
            </w:r>
            <w:r>
              <w:rPr>
                <w:rFonts w:hint="eastAsia" w:ascii="宋体" w:hAnsi="宋体" w:eastAsia="宋体"/>
                <w:color w:val="auto"/>
                <w:sz w:val="24"/>
                <w:szCs w:val="24"/>
                <w:highlight w:val="none"/>
                <w:lang w:eastAsia="zh-CN"/>
              </w:rPr>
              <w:t>）</w:t>
            </w:r>
          </w:p>
          <w:p>
            <w:pPr>
              <w:pStyle w:val="135"/>
              <w:adjustRightInd w:val="0"/>
              <w:snapToGrid w:val="0"/>
              <w:spacing w:line="360" w:lineRule="auto"/>
              <w:ind w:firstLine="480"/>
              <w:rPr>
                <w:rFonts w:ascii="宋体" w:hAnsi="宋体" w:eastAsia="宋体"/>
                <w:color w:val="auto"/>
                <w:sz w:val="24"/>
                <w:szCs w:val="24"/>
                <w:highlight w:val="none"/>
              </w:rPr>
            </w:pPr>
            <w:r>
              <w:rPr>
                <w:rFonts w:hint="eastAsia" w:ascii="宋体" w:hAnsi="宋体" w:eastAsia="宋体"/>
                <w:color w:val="auto"/>
                <w:sz w:val="24"/>
                <w:szCs w:val="24"/>
                <w:highlight w:val="none"/>
              </w:rPr>
              <w:t>本次工程河段上游段河道总长0.</w:t>
            </w:r>
            <w:r>
              <w:rPr>
                <w:rFonts w:hint="eastAsia" w:ascii="宋体" w:hAnsi="宋体" w:eastAsia="宋体"/>
                <w:color w:val="auto"/>
                <w:sz w:val="24"/>
                <w:szCs w:val="24"/>
                <w:highlight w:val="none"/>
                <w:lang w:val="en-US" w:eastAsia="zh-CN"/>
              </w:rPr>
              <w:t>2</w:t>
            </w:r>
            <w:r>
              <w:rPr>
                <w:rFonts w:hint="eastAsia" w:ascii="宋体" w:hAnsi="宋体" w:eastAsia="宋体"/>
                <w:color w:val="auto"/>
                <w:sz w:val="24"/>
                <w:szCs w:val="24"/>
                <w:highlight w:val="none"/>
              </w:rPr>
              <w:t>km，</w:t>
            </w:r>
            <w:r>
              <w:rPr>
                <w:rFonts w:hint="eastAsia" w:ascii="宋体" w:hAnsi="宋体" w:eastAsia="宋体"/>
                <w:color w:val="auto"/>
                <w:sz w:val="24"/>
                <w:szCs w:val="24"/>
                <w:highlight w:val="none"/>
                <w:lang w:val="en-US" w:eastAsia="zh-CN"/>
              </w:rPr>
              <w:t>端点紧邻公路，故该段为了增强亲水性及周围居民过河便利性，故该段堤轴线沿公路布置，河道裁弯取直。</w:t>
            </w:r>
          </w:p>
          <w:p>
            <w:pPr>
              <w:pStyle w:val="63"/>
              <w:numPr>
                <w:ilvl w:val="0"/>
                <w:numId w:val="0"/>
              </w:numPr>
              <w:jc w:val="center"/>
              <w:rPr>
                <w:color w:val="auto"/>
                <w:highlight w:val="none"/>
              </w:rPr>
            </w:pPr>
            <w:r>
              <w:rPr>
                <w:rFonts w:ascii="宋体" w:hAnsi="宋体" w:cs="宋体"/>
                <w:color w:val="auto"/>
                <w:kern w:val="0"/>
                <w:highlight w:val="none"/>
              </w:rPr>
              <mc:AlternateContent>
                <mc:Choice Requires="wps">
                  <w:drawing>
                    <wp:anchor distT="0" distB="0" distL="114300" distR="114300" simplePos="0" relativeHeight="251663360" behindDoc="0" locked="0" layoutInCell="1" allowOverlap="1">
                      <wp:simplePos x="0" y="0"/>
                      <wp:positionH relativeFrom="column">
                        <wp:posOffset>1454785</wp:posOffset>
                      </wp:positionH>
                      <wp:positionV relativeFrom="paragraph">
                        <wp:posOffset>4968240</wp:posOffset>
                      </wp:positionV>
                      <wp:extent cx="741045" cy="280035"/>
                      <wp:effectExtent l="5080" t="323215" r="15875" b="6350"/>
                      <wp:wrapNone/>
                      <wp:docPr id="38" name="自选图形 69"/>
                      <wp:cNvGraphicFramePr/>
                      <a:graphic xmlns:a="http://schemas.openxmlformats.org/drawingml/2006/main">
                        <a:graphicData uri="http://schemas.microsoft.com/office/word/2010/wordprocessingShape">
                          <wps:wsp>
                            <wps:cNvSpPr/>
                            <wps:spPr>
                              <a:xfrm>
                                <a:off x="0" y="0"/>
                                <a:ext cx="741045" cy="280035"/>
                              </a:xfrm>
                              <a:prstGeom prst="wedgeRectCallout">
                                <a:avLst>
                                  <a:gd name="adj1" fmla="val 36681"/>
                                  <a:gd name="adj2" fmla="val -159292"/>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rFonts w:hint="eastAsia" w:eastAsia="宋体"/>
                                      <w:sz w:val="21"/>
                                      <w:szCs w:val="21"/>
                                      <w:lang w:val="en-US" w:eastAsia="zh-CN"/>
                                    </w:rPr>
                                  </w:pPr>
                                  <w:r>
                                    <w:rPr>
                                      <w:rFonts w:hint="eastAsia"/>
                                      <w:sz w:val="21"/>
                                      <w:szCs w:val="21"/>
                                      <w:lang w:val="en-US" w:eastAsia="zh-CN"/>
                                    </w:rPr>
                                    <w:t>原河道</w:t>
                                  </w:r>
                                </w:p>
                              </w:txbxContent>
                            </wps:txbx>
                            <wps:bodyPr wrap="square" upright="1"/>
                          </wps:wsp>
                        </a:graphicData>
                      </a:graphic>
                    </wp:anchor>
                  </w:drawing>
                </mc:Choice>
                <mc:Fallback>
                  <w:pict>
                    <v:shape id="自选图形 69" o:spid="_x0000_s1026" o:spt="61" type="#_x0000_t61" style="position:absolute;left:0pt;margin-left:114.55pt;margin-top:391.2pt;height:22.05pt;width:58.35pt;z-index:251663360;mso-width-relative:page;mso-height-relative:page;" fillcolor="#FFFFFF" filled="t" stroked="t" coordsize="21600,21600" o:gfxdata="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JpRLXYAAAACwEAAA8AAAAAAAAAAQAgAAAA&#10;IgAAAGRycy9kb3ducmV2LnhtbFBLAQIUABQAAAAIAIdO4kBhQV/hRAIAAJ0EAAAOAAAAAAAAAAEA&#10;IAAAACcBAABkcnMvZTJvRG9jLnhtbFBLBQYAAAAABgAGAFkBAADdBQAAAAA=&#10;" adj="18723,-23607">
                      <v:fill on="t" focussize="0,0"/>
                      <v:stroke color="#000000" joinstyle="miter"/>
                      <v:imagedata o:title=""/>
                      <o:lock v:ext="edit" aspectratio="f"/>
                      <v:textbox>
                        <w:txbxContent>
                          <w:p>
                            <w:pPr>
                              <w:ind w:firstLine="0" w:firstLineChars="0"/>
                              <w:rPr>
                                <w:rFonts w:hint="eastAsia" w:eastAsia="宋体"/>
                                <w:sz w:val="21"/>
                                <w:szCs w:val="21"/>
                                <w:lang w:val="en-US" w:eastAsia="zh-CN"/>
                              </w:rPr>
                            </w:pPr>
                            <w:r>
                              <w:rPr>
                                <w:rFonts w:hint="eastAsia"/>
                                <w:sz w:val="21"/>
                                <w:szCs w:val="21"/>
                                <w:lang w:val="en-US" w:eastAsia="zh-CN"/>
                              </w:rPr>
                              <w:t>原河道</w:t>
                            </w:r>
                          </w:p>
                        </w:txbxContent>
                      </v:textbox>
                    </v:shape>
                  </w:pict>
                </mc:Fallback>
              </mc:AlternateContent>
            </w:r>
            <w:r>
              <w:rPr>
                <w:rFonts w:ascii="宋体" w:hAnsi="宋体" w:cs="宋体"/>
                <w:color w:val="auto"/>
                <w:kern w:val="0"/>
                <w:highlight w:val="none"/>
              </w:rPr>
              <mc:AlternateContent>
                <mc:Choice Requires="wps">
                  <w:drawing>
                    <wp:anchor distT="0" distB="0" distL="114300" distR="114300" simplePos="0" relativeHeight="251664384" behindDoc="0" locked="0" layoutInCell="1" allowOverlap="1">
                      <wp:simplePos x="0" y="0"/>
                      <wp:positionH relativeFrom="column">
                        <wp:posOffset>2716530</wp:posOffset>
                      </wp:positionH>
                      <wp:positionV relativeFrom="paragraph">
                        <wp:posOffset>2908935</wp:posOffset>
                      </wp:positionV>
                      <wp:extent cx="873125" cy="300990"/>
                      <wp:effectExtent l="5080" t="5080" r="17145" b="417830"/>
                      <wp:wrapNone/>
                      <wp:docPr id="39" name="自选图形 67"/>
                      <wp:cNvGraphicFramePr/>
                      <a:graphic xmlns:a="http://schemas.openxmlformats.org/drawingml/2006/main">
                        <a:graphicData uri="http://schemas.microsoft.com/office/word/2010/wordprocessingShape">
                          <wps:wsp>
                            <wps:cNvSpPr/>
                            <wps:spPr>
                              <a:xfrm>
                                <a:off x="0" y="0"/>
                                <a:ext cx="873125" cy="300990"/>
                              </a:xfrm>
                              <a:prstGeom prst="wedgeRectCallout">
                                <a:avLst>
                                  <a:gd name="adj1" fmla="val -39319"/>
                                  <a:gd name="adj2" fmla="val 177213"/>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sz w:val="21"/>
                                      <w:szCs w:val="21"/>
                                    </w:rPr>
                                  </w:pPr>
                                  <w:r>
                                    <w:rPr>
                                      <w:rFonts w:hint="eastAsia"/>
                                      <w:sz w:val="21"/>
                                      <w:szCs w:val="21"/>
                                    </w:rPr>
                                    <w:t>新建堤防</w:t>
                                  </w:r>
                                </w:p>
                              </w:txbxContent>
                            </wps:txbx>
                            <wps:bodyPr wrap="square" upright="1"/>
                          </wps:wsp>
                        </a:graphicData>
                      </a:graphic>
                    </wp:anchor>
                  </w:drawing>
                </mc:Choice>
                <mc:Fallback>
                  <w:pict>
                    <v:shape id="自选图形 67" o:spid="_x0000_s1026" o:spt="61" type="#_x0000_t61" style="position:absolute;left:0pt;margin-left:213.9pt;margin-top:229.05pt;height:23.7pt;width:68.75pt;z-index:251664384;mso-width-relative:page;mso-height-relative:page;" fillcolor="#FFFFFF" filled="t" stroked="t" coordsize="21600,21600" o:gfxdata="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n8texdwAAAALAQAADwAAAAAAAAAB&#10;ACAAAAAiAAAAZHJzL2Rvd25yZXYueG1sUEsBAhQAFAAAAAgAh07iQDyZBidFAgAAnQQAAA4AAAAA&#10;AAAAAQAgAAAAKwEAAGRycy9lMm9Eb2MueG1sUEsFBgAAAAAGAAYAWQEAAOIFAAAAAA==&#10;" adj="2307,49078">
                      <v:fill on="t" focussize="0,0"/>
                      <v:stroke color="#000000" joinstyle="miter"/>
                      <v:imagedata o:title=""/>
                      <o:lock v:ext="edit" aspectratio="f"/>
                      <v:textbox>
                        <w:txbxContent>
                          <w:p>
                            <w:pPr>
                              <w:ind w:firstLine="0" w:firstLineChars="0"/>
                              <w:rPr>
                                <w:sz w:val="21"/>
                                <w:szCs w:val="21"/>
                              </w:rPr>
                            </w:pPr>
                            <w:r>
                              <w:rPr>
                                <w:rFonts w:hint="eastAsia"/>
                                <w:sz w:val="21"/>
                                <w:szCs w:val="21"/>
                              </w:rPr>
                              <w:t>新建堤防</w:t>
                            </w:r>
                          </w:p>
                        </w:txbxContent>
                      </v:textbox>
                    </v:shape>
                  </w:pict>
                </mc:Fallback>
              </mc:AlternateContent>
            </w:r>
            <w:r>
              <w:drawing>
                <wp:inline distT="0" distB="0" distL="114300" distR="114300">
                  <wp:extent cx="3869055" cy="2520315"/>
                  <wp:effectExtent l="0" t="0" r="17145" b="13335"/>
                  <wp:docPr id="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
                          <pic:cNvPicPr>
                            <a:picLocks noChangeAspect="1"/>
                          </pic:cNvPicPr>
                        </pic:nvPicPr>
                        <pic:blipFill>
                          <a:blip r:embed="rId13"/>
                          <a:stretch>
                            <a:fillRect/>
                          </a:stretch>
                        </pic:blipFill>
                        <pic:spPr>
                          <a:xfrm>
                            <a:off x="0" y="0"/>
                            <a:ext cx="3869055" cy="2520315"/>
                          </a:xfrm>
                          <a:prstGeom prst="rect">
                            <a:avLst/>
                          </a:prstGeom>
                          <a:noFill/>
                          <a:ln>
                            <a:noFill/>
                          </a:ln>
                        </pic:spPr>
                      </pic:pic>
                    </a:graphicData>
                  </a:graphic>
                </wp:inline>
              </w:drawing>
            </w:r>
            <w:r>
              <w:rPr>
                <w:rFonts w:ascii="宋体" w:hAnsi="宋体" w:cs="宋体"/>
                <w:color w:val="auto"/>
                <w:kern w:val="0"/>
                <w:highlight w:val="none"/>
              </w:rPr>
              <mc:AlternateContent>
                <mc:Choice Requires="wps">
                  <w:drawing>
                    <wp:anchor distT="0" distB="0" distL="114300" distR="114300" simplePos="0" relativeHeight="251662336" behindDoc="0" locked="0" layoutInCell="1" allowOverlap="1">
                      <wp:simplePos x="0" y="0"/>
                      <wp:positionH relativeFrom="column">
                        <wp:posOffset>3646805</wp:posOffset>
                      </wp:positionH>
                      <wp:positionV relativeFrom="paragraph">
                        <wp:posOffset>2329180</wp:posOffset>
                      </wp:positionV>
                      <wp:extent cx="214630" cy="174625"/>
                      <wp:effectExtent l="5080" t="27940" r="10795" b="24130"/>
                      <wp:wrapNone/>
                      <wp:docPr id="37" name="自选图形 68"/>
                      <wp:cNvGraphicFramePr/>
                      <a:graphic xmlns:a="http://schemas.openxmlformats.org/drawingml/2006/main">
                        <a:graphicData uri="http://schemas.microsoft.com/office/word/2010/wordprocessingShape">
                          <wps:wsp>
                            <wps:cNvSpPr/>
                            <wps:spPr>
                              <a:xfrm rot="5733823">
                                <a:off x="0" y="0"/>
                                <a:ext cx="214630" cy="174625"/>
                              </a:xfrm>
                              <a:prstGeom prst="down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wps:spPr>
                            <wps:bodyPr vert="eaVert" wrap="square" upright="1"/>
                          </wps:wsp>
                        </a:graphicData>
                      </a:graphic>
                    </wp:anchor>
                  </w:drawing>
                </mc:Choice>
                <mc:Fallback>
                  <w:pict>
                    <v:shape id="自选图形 68" o:spid="_x0000_s1026" o:spt="67" type="#_x0000_t67" style="position:absolute;left:0pt;margin-left:287.15pt;margin-top:183.4pt;height:13.75pt;width:16.9pt;rotation:6262864f;z-index:251662336;mso-width-relative:page;mso-height-relative:page;" fillcolor="#FFFFFF" filled="t" stroked="t" coordsize="21600,21600" o:gfxdata="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Trqq02QAAAAsBAAAPAAAAAAAA&#10;AAEAIAAAACIAAABkcnMvZG93bnJldi54bWxQSwECFAAUAAAACACHTuJANf74vEoCAAClBAAADgAA&#10;AAAAAAABACAAAAAoAQAAZHJzL2Uyb0RvYy54bWxQSwUGAAAAAAYABgBZAQAA5AUAAAAA&#10;" adj="16200,5400">
                      <v:fill on="t" focussize="0,0"/>
                      <v:stroke color="#000000" joinstyle="miter"/>
                      <v:imagedata o:title=""/>
                      <o:lock v:ext="edit" aspectratio="f"/>
                      <v:textbox style="layout-flow:vertical-ideographic;"/>
                    </v:shape>
                  </w:pict>
                </mc:Fallback>
              </mc:AlternateContent>
            </w:r>
            <w:r>
              <w:rPr>
                <w:color w:val="auto"/>
                <w:highlight w:val="none"/>
              </w:rPr>
              <w:drawing>
                <wp:inline distT="0" distB="0" distL="114300" distR="114300">
                  <wp:extent cx="4008755" cy="2520315"/>
                  <wp:effectExtent l="0" t="0" r="10795" b="13335"/>
                  <wp:docPr id="53"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67"/>
                          <pic:cNvPicPr>
                            <a:picLocks noChangeAspect="1"/>
                          </pic:cNvPicPr>
                        </pic:nvPicPr>
                        <pic:blipFill>
                          <a:blip r:embed="rId14"/>
                          <a:stretch>
                            <a:fillRect/>
                          </a:stretch>
                        </pic:blipFill>
                        <pic:spPr>
                          <a:xfrm>
                            <a:off x="0" y="0"/>
                            <a:ext cx="4008755" cy="2520315"/>
                          </a:xfrm>
                          <a:prstGeom prst="rect">
                            <a:avLst/>
                          </a:prstGeom>
                          <a:noFill/>
                          <a:ln>
                            <a:noFill/>
                          </a:ln>
                        </pic:spPr>
                      </pic:pic>
                    </a:graphicData>
                  </a:graphic>
                </wp:inline>
              </w:drawing>
            </w:r>
          </w:p>
          <w:p>
            <w:pPr>
              <w:rPr>
                <w:rFonts w:hint="default"/>
                <w:lang w:val="en-US" w:eastAsia="zh-CN"/>
              </w:rPr>
            </w:pPr>
          </w:p>
          <w:p>
            <w:pPr>
              <w:pStyle w:val="120"/>
              <w:ind w:firstLine="480"/>
              <w:rPr>
                <w:rFonts w:hint="eastAsia" w:ascii="Times New Roman" w:hAnsi="Times New Roman" w:eastAsia="宋体" w:cs="Times New Roman"/>
                <w:b w:val="0"/>
                <w:bCs/>
                <w:color w:val="auto"/>
                <w:sz w:val="24"/>
                <w:highlight w:val="none"/>
                <w:lang w:eastAsia="zh-CN"/>
              </w:rPr>
            </w:pPr>
            <w:r>
              <w:rPr>
                <w:rFonts w:hint="eastAsia" w:ascii="Times New Roman" w:hAnsi="Times New Roman" w:eastAsia="宋体" w:cs="Times New Roman"/>
                <w:b w:val="0"/>
                <w:bCs/>
                <w:color w:val="auto"/>
                <w:sz w:val="24"/>
                <w:highlight w:val="none"/>
                <w:lang w:eastAsia="zh-CN"/>
              </w:rPr>
              <w:t>（</w:t>
            </w:r>
            <w:r>
              <w:rPr>
                <w:rFonts w:hint="eastAsia" w:ascii="Times New Roman" w:hAnsi="Times New Roman" w:eastAsia="宋体" w:cs="Times New Roman"/>
                <w:b w:val="0"/>
                <w:bCs/>
                <w:color w:val="auto"/>
                <w:sz w:val="24"/>
                <w:highlight w:val="none"/>
                <w:lang w:val="en-US" w:eastAsia="zh-CN"/>
              </w:rPr>
              <w:t>2</w:t>
            </w:r>
            <w:r>
              <w:rPr>
                <w:rFonts w:hint="eastAsia" w:ascii="Times New Roman" w:hAnsi="Times New Roman" w:eastAsia="宋体" w:cs="Times New Roman"/>
                <w:b w:val="0"/>
                <w:bCs/>
                <w:color w:val="auto"/>
                <w:sz w:val="24"/>
                <w:highlight w:val="none"/>
                <w:lang w:eastAsia="zh-CN"/>
              </w:rPr>
              <w:t>）稳定河宽与堤距选择</w:t>
            </w:r>
          </w:p>
          <w:p>
            <w:pPr>
              <w:widowControl/>
              <w:jc w:val="center"/>
              <w:rPr>
                <w:rFonts w:hint="eastAsia" w:ascii="Times New Roman" w:hAnsi="Times New Roman" w:eastAsia="宋体" w:cs="Times New Roman"/>
                <w:b/>
                <w:bCs/>
                <w:lang w:eastAsia="zh-CN"/>
              </w:rPr>
            </w:pPr>
            <w:r>
              <w:rPr>
                <w:rFonts w:hint="eastAsia" w:ascii="Times New Roman" w:hAnsi="Times New Roman" w:eastAsia="宋体" w:cs="Times New Roman"/>
                <w:b/>
                <w:bCs/>
                <w:lang w:eastAsia="zh-CN"/>
              </w:rPr>
              <w:t>表</w:t>
            </w:r>
            <w:r>
              <w:rPr>
                <w:rFonts w:hint="eastAsia" w:ascii="Times New Roman" w:hAnsi="Times New Roman" w:eastAsia="宋体" w:cs="Times New Roman"/>
                <w:b/>
                <w:bCs/>
                <w:lang w:val="en-US" w:eastAsia="zh-CN"/>
              </w:rPr>
              <w:t xml:space="preserve">2-5  </w:t>
            </w:r>
            <w:r>
              <w:rPr>
                <w:rFonts w:hint="eastAsia" w:ascii="Times New Roman" w:hAnsi="Times New Roman" w:eastAsia="宋体" w:cs="Times New Roman"/>
                <w:b/>
                <w:bCs/>
                <w:lang w:eastAsia="zh-CN"/>
              </w:rPr>
              <w:t>工程河段稳定河宽成果表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2531"/>
              <w:gridCol w:w="2450"/>
              <w:gridCol w:w="2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056" w:type="dxa"/>
                  <w:noWrap w:val="0"/>
                  <w:vAlign w:val="center"/>
                </w:tcPr>
                <w:p>
                  <w:pPr>
                    <w:adjustRightInd w:val="0"/>
                    <w:snapToGrid w:val="0"/>
                    <w:ind w:firstLine="0" w:firstLineChars="0"/>
                    <w:jc w:val="center"/>
                    <w:rPr>
                      <w:rFonts w:ascii="Times New Roman" w:hAnsi="Times New Roman"/>
                      <w:bCs/>
                      <w:color w:val="auto"/>
                      <w:kern w:val="0"/>
                      <w:sz w:val="21"/>
                      <w:szCs w:val="21"/>
                      <w:highlight w:val="none"/>
                    </w:rPr>
                  </w:pPr>
                  <w:r>
                    <w:rPr>
                      <w:rFonts w:hint="eastAsia" w:ascii="Times New Roman" w:hAnsi="Times New Roman"/>
                      <w:bCs/>
                      <w:color w:val="auto"/>
                      <w:kern w:val="0"/>
                      <w:sz w:val="21"/>
                      <w:szCs w:val="21"/>
                      <w:highlight w:val="none"/>
                    </w:rPr>
                    <w:t>工程河段</w:t>
                  </w:r>
                </w:p>
              </w:tc>
              <w:tc>
                <w:tcPr>
                  <w:tcW w:w="2531" w:type="dxa"/>
                  <w:noWrap w:val="0"/>
                  <w:vAlign w:val="center"/>
                </w:tcPr>
                <w:p>
                  <w:pPr>
                    <w:spacing w:line="360" w:lineRule="auto"/>
                    <w:ind w:firstLine="420" w:firstLineChars="200"/>
                    <w:rPr>
                      <w:rFonts w:ascii="Times New Roman" w:hAnsi="Times New Roman"/>
                      <w:bCs/>
                      <w:color w:val="auto"/>
                      <w:kern w:val="0"/>
                      <w:sz w:val="21"/>
                      <w:szCs w:val="21"/>
                      <w:highlight w:val="none"/>
                    </w:rPr>
                  </w:pPr>
                  <w:r>
                    <w:rPr>
                      <w:rFonts w:hint="eastAsia" w:ascii="Times New Roman" w:hAnsi="Times New Roman"/>
                      <w:bCs/>
                      <w:color w:val="auto"/>
                      <w:kern w:val="0"/>
                      <w:sz w:val="21"/>
                      <w:szCs w:val="21"/>
                      <w:highlight w:val="none"/>
                    </w:rPr>
                    <w:t>造床流量Q（m</w:t>
                  </w:r>
                  <w:r>
                    <w:rPr>
                      <w:rFonts w:hint="eastAsia" w:ascii="Times New Roman" w:hAnsi="Times New Roman"/>
                      <w:bCs/>
                      <w:color w:val="auto"/>
                      <w:kern w:val="0"/>
                      <w:sz w:val="21"/>
                      <w:szCs w:val="21"/>
                      <w:highlight w:val="none"/>
                      <w:vertAlign w:val="superscript"/>
                    </w:rPr>
                    <w:t>3</w:t>
                  </w:r>
                  <w:r>
                    <w:rPr>
                      <w:rFonts w:hint="eastAsia" w:ascii="Times New Roman" w:hAnsi="Times New Roman"/>
                      <w:bCs/>
                      <w:color w:val="auto"/>
                      <w:kern w:val="0"/>
                      <w:sz w:val="21"/>
                      <w:szCs w:val="21"/>
                      <w:highlight w:val="none"/>
                    </w:rPr>
                    <w:t>/s）</w:t>
                  </w:r>
                </w:p>
              </w:tc>
              <w:tc>
                <w:tcPr>
                  <w:tcW w:w="2450" w:type="dxa"/>
                  <w:noWrap w:val="0"/>
                  <w:vAlign w:val="center"/>
                </w:tcPr>
                <w:p>
                  <w:pPr>
                    <w:adjustRightInd w:val="0"/>
                    <w:snapToGrid w:val="0"/>
                    <w:ind w:firstLine="0" w:firstLineChars="0"/>
                    <w:jc w:val="center"/>
                    <w:rPr>
                      <w:rFonts w:ascii="Times New Roman" w:hAnsi="Times New Roman"/>
                      <w:bCs/>
                      <w:color w:val="auto"/>
                      <w:kern w:val="0"/>
                      <w:sz w:val="21"/>
                      <w:szCs w:val="21"/>
                      <w:highlight w:val="none"/>
                    </w:rPr>
                  </w:pPr>
                  <w:r>
                    <w:rPr>
                      <w:rFonts w:hint="eastAsia" w:ascii="Times New Roman" w:hAnsi="Times New Roman"/>
                      <w:bCs/>
                      <w:color w:val="auto"/>
                      <w:kern w:val="0"/>
                      <w:sz w:val="21"/>
                      <w:szCs w:val="21"/>
                      <w:highlight w:val="none"/>
                      <w:lang w:val="zh-CN"/>
                    </w:rPr>
                    <w:t>代表性河段比降</w:t>
                  </w:r>
                  <w:r>
                    <w:rPr>
                      <w:rFonts w:hint="eastAsia" w:ascii="Times New Roman" w:hAnsi="Times New Roman"/>
                      <w:bCs/>
                      <w:color w:val="auto"/>
                      <w:kern w:val="0"/>
                      <w:sz w:val="21"/>
                      <w:szCs w:val="21"/>
                      <w:highlight w:val="none"/>
                    </w:rPr>
                    <w:t>J（‰）</w:t>
                  </w:r>
                </w:p>
              </w:tc>
              <w:tc>
                <w:tcPr>
                  <w:tcW w:w="2479" w:type="dxa"/>
                  <w:noWrap w:val="0"/>
                  <w:vAlign w:val="center"/>
                </w:tcPr>
                <w:p>
                  <w:pPr>
                    <w:adjustRightInd w:val="0"/>
                    <w:snapToGrid w:val="0"/>
                    <w:ind w:firstLine="0" w:firstLineChars="0"/>
                    <w:jc w:val="center"/>
                    <w:rPr>
                      <w:rFonts w:ascii="Times New Roman" w:hAnsi="Times New Roman"/>
                      <w:bCs/>
                      <w:color w:val="auto"/>
                      <w:kern w:val="0"/>
                      <w:sz w:val="21"/>
                      <w:szCs w:val="21"/>
                      <w:highlight w:val="none"/>
                    </w:rPr>
                  </w:pPr>
                  <w:r>
                    <w:rPr>
                      <w:rFonts w:hint="eastAsia" w:ascii="Times New Roman" w:hAnsi="Times New Roman"/>
                      <w:bCs/>
                      <w:color w:val="auto"/>
                      <w:kern w:val="0"/>
                      <w:sz w:val="21"/>
                      <w:szCs w:val="21"/>
                      <w:highlight w:val="none"/>
                    </w:rPr>
                    <w:t>稳定河宽计算成果（m）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056" w:type="dxa"/>
                  <w:noWrap w:val="0"/>
                  <w:vAlign w:val="center"/>
                </w:tcPr>
                <w:p>
                  <w:pPr>
                    <w:adjustRightInd w:val="0"/>
                    <w:snapToGrid w:val="0"/>
                    <w:ind w:firstLine="0" w:firstLineChars="0"/>
                    <w:jc w:val="center"/>
                    <w:rPr>
                      <w:rFonts w:ascii="Times New Roman" w:hAnsi="Times New Roman"/>
                      <w:bCs/>
                      <w:color w:val="auto"/>
                      <w:kern w:val="0"/>
                      <w:sz w:val="21"/>
                      <w:szCs w:val="21"/>
                      <w:highlight w:val="none"/>
                    </w:rPr>
                  </w:pPr>
                  <w:r>
                    <w:rPr>
                      <w:rFonts w:hint="eastAsia" w:ascii="Times New Roman" w:hAnsi="Times New Roman"/>
                      <w:bCs/>
                      <w:color w:val="auto"/>
                      <w:kern w:val="0"/>
                      <w:sz w:val="21"/>
                      <w:szCs w:val="21"/>
                      <w:highlight w:val="none"/>
                      <w:lang w:val="en-US" w:eastAsia="zh-CN"/>
                    </w:rPr>
                    <w:t>庄子沟</w:t>
                  </w:r>
                  <w:r>
                    <w:rPr>
                      <w:rFonts w:hint="eastAsia" w:ascii="Times New Roman" w:hAnsi="Times New Roman"/>
                      <w:bCs/>
                      <w:color w:val="auto"/>
                      <w:kern w:val="0"/>
                      <w:sz w:val="21"/>
                      <w:szCs w:val="21"/>
                      <w:highlight w:val="none"/>
                    </w:rPr>
                    <w:t>段</w:t>
                  </w:r>
                </w:p>
              </w:tc>
              <w:tc>
                <w:tcPr>
                  <w:tcW w:w="2531" w:type="dxa"/>
                  <w:noWrap w:val="0"/>
                  <w:vAlign w:val="center"/>
                </w:tcPr>
                <w:p>
                  <w:pPr>
                    <w:adjustRightInd w:val="0"/>
                    <w:snapToGrid w:val="0"/>
                    <w:ind w:firstLine="0" w:firstLineChars="0"/>
                    <w:jc w:val="center"/>
                    <w:rPr>
                      <w:rFonts w:hint="default" w:ascii="Times New Roman" w:hAnsi="Times New Roman" w:eastAsia="宋体"/>
                      <w:bCs/>
                      <w:color w:val="auto"/>
                      <w:kern w:val="0"/>
                      <w:sz w:val="21"/>
                      <w:szCs w:val="21"/>
                      <w:highlight w:val="none"/>
                      <w:lang w:val="en-US" w:eastAsia="zh-CN"/>
                    </w:rPr>
                  </w:pPr>
                  <w:r>
                    <w:rPr>
                      <w:rFonts w:hint="eastAsia" w:ascii="Times New Roman" w:hAnsi="Times New Roman"/>
                      <w:bCs/>
                      <w:color w:val="auto"/>
                      <w:kern w:val="0"/>
                      <w:sz w:val="21"/>
                      <w:szCs w:val="21"/>
                      <w:highlight w:val="none"/>
                      <w:lang w:val="en-US" w:eastAsia="zh-CN"/>
                    </w:rPr>
                    <w:t>6.7</w:t>
                  </w:r>
                </w:p>
              </w:tc>
              <w:tc>
                <w:tcPr>
                  <w:tcW w:w="2450" w:type="dxa"/>
                  <w:noWrap w:val="0"/>
                  <w:vAlign w:val="center"/>
                </w:tcPr>
                <w:p>
                  <w:pPr>
                    <w:adjustRightInd w:val="0"/>
                    <w:snapToGrid w:val="0"/>
                    <w:ind w:firstLine="0" w:firstLineChars="0"/>
                    <w:jc w:val="center"/>
                    <w:rPr>
                      <w:rFonts w:hint="default" w:ascii="Times New Roman" w:hAnsi="Times New Roman" w:eastAsia="宋体"/>
                      <w:bCs/>
                      <w:color w:val="auto"/>
                      <w:kern w:val="0"/>
                      <w:sz w:val="21"/>
                      <w:szCs w:val="21"/>
                      <w:highlight w:val="none"/>
                      <w:lang w:val="en-US" w:eastAsia="zh-CN"/>
                    </w:rPr>
                  </w:pPr>
                  <w:r>
                    <w:rPr>
                      <w:rFonts w:hint="eastAsia" w:ascii="Times New Roman" w:hAnsi="Times New Roman"/>
                      <w:bCs/>
                      <w:color w:val="auto"/>
                      <w:kern w:val="0"/>
                      <w:sz w:val="21"/>
                      <w:szCs w:val="21"/>
                      <w:highlight w:val="none"/>
                      <w:lang w:val="en-US" w:eastAsia="zh-CN"/>
                    </w:rPr>
                    <w:t>14</w:t>
                  </w:r>
                </w:p>
              </w:tc>
              <w:tc>
                <w:tcPr>
                  <w:tcW w:w="2479" w:type="dxa"/>
                  <w:noWrap w:val="0"/>
                  <w:vAlign w:val="center"/>
                </w:tcPr>
                <w:p>
                  <w:pPr>
                    <w:adjustRightInd w:val="0"/>
                    <w:snapToGrid w:val="0"/>
                    <w:ind w:firstLine="0" w:firstLineChars="0"/>
                    <w:jc w:val="center"/>
                    <w:rPr>
                      <w:rFonts w:hint="default" w:ascii="Times New Roman" w:hAnsi="Times New Roman" w:eastAsia="宋体"/>
                      <w:bCs/>
                      <w:color w:val="auto"/>
                      <w:kern w:val="0"/>
                      <w:sz w:val="21"/>
                      <w:szCs w:val="21"/>
                      <w:highlight w:val="none"/>
                      <w:lang w:val="en-US" w:eastAsia="zh-CN"/>
                    </w:rPr>
                  </w:pPr>
                  <w:r>
                    <w:rPr>
                      <w:rFonts w:hint="eastAsia" w:ascii="Times New Roman" w:hAnsi="Times New Roman"/>
                      <w:bCs/>
                      <w:color w:val="auto"/>
                      <w:kern w:val="0"/>
                      <w:sz w:val="21"/>
                      <w:szCs w:val="21"/>
                      <w:highlight w:val="none"/>
                      <w:lang w:val="en-US" w:eastAsia="zh-CN"/>
                    </w:rPr>
                    <w:t>5.68</w:t>
                  </w:r>
                </w:p>
              </w:tc>
            </w:tr>
          </w:tbl>
          <w:p>
            <w:pPr>
              <w:pStyle w:val="63"/>
              <w:numPr>
                <w:ilvl w:val="0"/>
                <w:numId w:val="0"/>
              </w:numPr>
              <w:ind w:firstLine="480" w:firstLineChars="200"/>
              <w:rPr>
                <w:rFonts w:hint="eastAsia" w:ascii="Times New Roman" w:hAnsi="Times New Roman" w:eastAsia="宋体" w:cs="Times New Roman"/>
                <w:color w:val="auto"/>
                <w:kern w:val="2"/>
                <w:sz w:val="24"/>
                <w:szCs w:val="24"/>
                <w:lang w:val="en-US" w:eastAsia="zh-CN" w:bidi="ar"/>
              </w:rPr>
            </w:pPr>
            <w:r>
              <w:rPr>
                <w:rFonts w:hint="eastAsia" w:ascii="Times New Roman" w:hAnsi="Times New Roman" w:eastAsia="宋体" w:cs="Times New Roman"/>
                <w:color w:val="auto"/>
                <w:kern w:val="2"/>
                <w:sz w:val="24"/>
                <w:szCs w:val="24"/>
                <w:lang w:val="en-US" w:eastAsia="zh-CN" w:bidi="ar"/>
              </w:rPr>
              <w:t>由上表计算成果可知，庄子沟段稳定河宽为5.68m。根据平面布置，庄子沟段拟定堤距为6～10m，可以看出本次拟定堤距均大于稳定河宽计算成果，且本次堤线沿现有岸线布置、与已建挡墙平顺连接，故拟定堤线的布置对河势稳定无影。</w:t>
            </w:r>
          </w:p>
          <w:p>
            <w:pPr>
              <w:pStyle w:val="63"/>
              <w:numPr>
                <w:ilvl w:val="0"/>
                <w:numId w:val="0"/>
              </w:numPr>
              <w:ind w:firstLine="482" w:firstLineChars="200"/>
              <w:rPr>
                <w:rFonts w:hint="eastAsia" w:ascii="Times New Roman" w:hAnsi="Times New Roman" w:eastAsia="宋体" w:cs="Times New Roman"/>
                <w:b/>
                <w:sz w:val="24"/>
              </w:rPr>
            </w:pPr>
            <w:r>
              <w:rPr>
                <w:rFonts w:hint="eastAsia" w:ascii="Times New Roman" w:hAnsi="Times New Roman" w:eastAsia="宋体" w:cs="Times New Roman"/>
                <w:b/>
                <w:bCs w:val="0"/>
                <w:color w:val="auto"/>
                <w:kern w:val="2"/>
                <w:sz w:val="24"/>
                <w:szCs w:val="24"/>
                <w:lang w:val="en-US" w:eastAsia="zh-CN" w:bidi="ar"/>
              </w:rPr>
              <w:t>7.3</w:t>
            </w:r>
            <w:bookmarkStart w:id="24" w:name="_Toc404537728"/>
            <w:bookmarkStart w:id="25" w:name="_Toc12296"/>
            <w:bookmarkStart w:id="26" w:name="_Toc17610"/>
            <w:bookmarkStart w:id="27" w:name="_Toc404762495"/>
            <w:bookmarkStart w:id="28" w:name="_Toc404537505"/>
            <w:bookmarkStart w:id="29" w:name="_Toc404536068"/>
            <w:r>
              <w:rPr>
                <w:rFonts w:hint="eastAsia" w:ascii="Times New Roman" w:hAnsi="Times New Roman" w:eastAsia="宋体" w:cs="Times New Roman"/>
                <w:b/>
                <w:sz w:val="24"/>
              </w:rPr>
              <w:t>堤型选择</w:t>
            </w:r>
            <w:bookmarkEnd w:id="24"/>
            <w:bookmarkEnd w:id="25"/>
            <w:bookmarkEnd w:id="26"/>
            <w:bookmarkEnd w:id="27"/>
            <w:bookmarkEnd w:id="28"/>
            <w:bookmarkEnd w:id="29"/>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auto"/>
                <w:kern w:val="2"/>
                <w:sz w:val="24"/>
                <w:szCs w:val="24"/>
                <w:lang w:val="en-US" w:eastAsia="zh-CN" w:bidi="ar"/>
              </w:rPr>
              <w:t>本项目</w:t>
            </w:r>
            <w:r>
              <w:rPr>
                <w:rFonts w:hint="default" w:ascii="Times New Roman" w:hAnsi="Times New Roman" w:eastAsia="宋体" w:cs="Times New Roman"/>
                <w:color w:val="auto"/>
                <w:kern w:val="2"/>
                <w:sz w:val="24"/>
                <w:szCs w:val="24"/>
                <w:lang w:val="en-US" w:eastAsia="zh-CN" w:bidi="ar"/>
              </w:rPr>
              <w:t>上游段选择混凝土重力式堤防结构</w:t>
            </w:r>
            <w:r>
              <w:rPr>
                <w:rFonts w:hint="eastAsia" w:ascii="Times New Roman" w:hAnsi="Times New Roman" w:eastAsia="宋体" w:cs="Times New Roman"/>
                <w:color w:val="auto"/>
                <w:kern w:val="2"/>
                <w:sz w:val="24"/>
                <w:szCs w:val="24"/>
                <w:lang w:val="en-US" w:eastAsia="zh-CN" w:bidi="ar"/>
              </w:rPr>
              <w:t>，</w:t>
            </w:r>
            <w:r>
              <w:rPr>
                <w:rFonts w:hint="eastAsia" w:ascii="Times New Roman" w:hAnsi="Times New Roman" w:eastAsia="宋体" w:cs="Times New Roman"/>
                <w:color w:val="000000"/>
                <w:sz w:val="24"/>
                <w:szCs w:val="24"/>
                <w:lang w:val="en-US" w:eastAsia="zh-CN"/>
              </w:rPr>
              <w:t>下游段采用矩形钢筋砼断面形式。</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center"/>
              <w:textAlignment w:val="auto"/>
              <w:rPr>
                <w:color w:val="auto"/>
                <w:highlight w:val="none"/>
              </w:rPr>
            </w:pPr>
            <w:r>
              <w:rPr>
                <w:color w:val="auto"/>
                <w:highlight w:val="none"/>
              </w:rPr>
              <w:drawing>
                <wp:inline distT="0" distB="0" distL="114300" distR="114300">
                  <wp:extent cx="3176905" cy="2879725"/>
                  <wp:effectExtent l="0" t="0" r="4445" b="15875"/>
                  <wp:docPr id="75"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69"/>
                          <pic:cNvPicPr>
                            <a:picLocks noChangeAspect="1"/>
                          </pic:cNvPicPr>
                        </pic:nvPicPr>
                        <pic:blipFill>
                          <a:blip r:embed="rId15"/>
                          <a:srcRect t="6142" b="3604"/>
                          <a:stretch>
                            <a:fillRect/>
                          </a:stretch>
                        </pic:blipFill>
                        <pic:spPr>
                          <a:xfrm>
                            <a:off x="0" y="0"/>
                            <a:ext cx="3176905" cy="2879725"/>
                          </a:xfrm>
                          <a:prstGeom prst="rect">
                            <a:avLst/>
                          </a:prstGeom>
                          <a:noFill/>
                          <a:ln>
                            <a:noFill/>
                          </a:ln>
                        </pic:spPr>
                      </pic:pic>
                    </a:graphicData>
                  </a:graphic>
                </wp:inline>
              </w:drawing>
            </w:r>
          </w:p>
          <w:p>
            <w:pPr>
              <w:pStyle w:val="2"/>
              <w:jc w:val="center"/>
              <w:rPr>
                <w:rFonts w:hint="default" w:eastAsia="宋体"/>
                <w:lang w:val="en-US" w:eastAsia="zh-CN"/>
              </w:rPr>
            </w:pPr>
            <w:r>
              <w:rPr>
                <w:rFonts w:hint="eastAsia"/>
                <w:color w:val="auto"/>
                <w:highlight w:val="none"/>
                <w:lang w:val="en-US" w:eastAsia="zh-CN"/>
              </w:rPr>
              <w:t xml:space="preserve">图2-1 </w:t>
            </w:r>
            <w:r>
              <w:rPr>
                <w:rFonts w:hint="default" w:ascii="Times New Roman" w:hAnsi="Times New Roman" w:eastAsia="宋体" w:cs="Times New Roman"/>
                <w:color w:val="auto"/>
                <w:kern w:val="2"/>
                <w:sz w:val="24"/>
                <w:szCs w:val="24"/>
                <w:lang w:val="en-US" w:eastAsia="zh-CN" w:bidi="ar"/>
              </w:rPr>
              <w:t>混凝土重力式堤防结构</w:t>
            </w:r>
            <w:r>
              <w:rPr>
                <w:rFonts w:hint="eastAsia" w:ascii="Times New Roman" w:hAnsi="Times New Roman" w:eastAsia="宋体" w:cs="Times New Roman"/>
                <w:color w:val="auto"/>
                <w:kern w:val="2"/>
                <w:sz w:val="24"/>
                <w:szCs w:val="24"/>
                <w:lang w:val="en-US" w:eastAsia="zh-CN" w:bidi="ar"/>
              </w:rPr>
              <w:t>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center"/>
              <w:textAlignment w:val="auto"/>
              <w:rPr>
                <w:color w:val="auto"/>
                <w:highlight w:val="none"/>
              </w:rPr>
            </w:pPr>
            <w:r>
              <w:rPr>
                <w:color w:val="auto"/>
                <w:highlight w:val="none"/>
              </w:rPr>
              <w:drawing>
                <wp:inline distT="0" distB="0" distL="114300" distR="114300">
                  <wp:extent cx="3131820" cy="3151505"/>
                  <wp:effectExtent l="0" t="0" r="11430" b="10795"/>
                  <wp:docPr id="74"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69"/>
                          <pic:cNvPicPr>
                            <a:picLocks noChangeAspect="1"/>
                          </pic:cNvPicPr>
                        </pic:nvPicPr>
                        <pic:blipFill>
                          <a:blip r:embed="rId15"/>
                          <a:stretch>
                            <a:fillRect/>
                          </a:stretch>
                        </pic:blipFill>
                        <pic:spPr>
                          <a:xfrm>
                            <a:off x="0" y="0"/>
                            <a:ext cx="3131820" cy="3151505"/>
                          </a:xfrm>
                          <a:prstGeom prst="rect">
                            <a:avLst/>
                          </a:prstGeom>
                          <a:noFill/>
                          <a:ln>
                            <a:noFill/>
                          </a:ln>
                        </pic:spPr>
                      </pic:pic>
                    </a:graphicData>
                  </a:graphic>
                </wp:inline>
              </w:drawing>
            </w:r>
          </w:p>
          <w:p>
            <w:pPr>
              <w:pStyle w:val="2"/>
              <w:jc w:val="center"/>
              <w:rPr>
                <w:rFonts w:hint="default" w:eastAsia="宋体"/>
                <w:lang w:val="en-US" w:eastAsia="zh-CN"/>
              </w:rPr>
            </w:pPr>
            <w:r>
              <w:rPr>
                <w:rFonts w:hint="eastAsia"/>
                <w:color w:val="auto"/>
                <w:highlight w:val="none"/>
                <w:lang w:val="en-US" w:eastAsia="zh-CN"/>
              </w:rPr>
              <w:t xml:space="preserve">图2-2 </w:t>
            </w:r>
            <w:r>
              <w:rPr>
                <w:rFonts w:hint="eastAsia" w:ascii="Times New Roman" w:hAnsi="Times New Roman" w:eastAsia="宋体" w:cs="Times New Roman"/>
                <w:color w:val="000000"/>
                <w:sz w:val="24"/>
                <w:szCs w:val="24"/>
                <w:lang w:val="en-US" w:eastAsia="zh-CN"/>
              </w:rPr>
              <w:t>矩形钢筋砼断面结构图</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7</w:t>
            </w:r>
            <w:r>
              <w:rPr>
                <w:rFonts w:hint="default" w:ascii="Times New Roman" w:hAnsi="Times New Roman" w:eastAsia="宋体" w:cs="Times New Roman"/>
                <w:b/>
                <w:bCs/>
                <w:color w:val="000000"/>
                <w:sz w:val="24"/>
                <w:szCs w:val="24"/>
                <w:lang w:val="en-US" w:eastAsia="zh-CN"/>
              </w:rPr>
              <w:t>.</w:t>
            </w:r>
            <w:r>
              <w:rPr>
                <w:rFonts w:hint="eastAsia" w:ascii="Times New Roman" w:hAnsi="Times New Roman" w:eastAsia="宋体" w:cs="Times New Roman"/>
                <w:b/>
                <w:bCs/>
                <w:color w:val="000000"/>
                <w:sz w:val="24"/>
                <w:szCs w:val="24"/>
                <w:lang w:val="en-US" w:eastAsia="zh-CN"/>
              </w:rPr>
              <w:t>4堤防结构</w:t>
            </w:r>
          </w:p>
          <w:p>
            <w:pPr>
              <w:pageBreakBefore w:val="0"/>
              <w:widowControl w:val="0"/>
              <w:numPr>
                <w:ilvl w:val="0"/>
                <w:numId w:val="0"/>
              </w:numPr>
              <w:kinsoku/>
              <w:wordWrap/>
              <w:overflowPunct/>
              <w:topLinePunct w:val="0"/>
              <w:autoSpaceDE/>
              <w:autoSpaceDN/>
              <w:bidi w:val="0"/>
              <w:adjustRightInd/>
              <w:snapToGrid/>
              <w:spacing w:line="360" w:lineRule="auto"/>
              <w:ind w:firstLine="480" w:firstLineChars="0"/>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kern w:val="2"/>
                <w:sz w:val="24"/>
                <w:szCs w:val="24"/>
                <w:lang w:val="en-US" w:eastAsia="zh-CN" w:bidi="ar-SA"/>
              </w:rPr>
              <w:t>（1）</w:t>
            </w:r>
            <w:r>
              <w:rPr>
                <w:rFonts w:hint="eastAsia" w:ascii="Times New Roman" w:hAnsi="Times New Roman" w:eastAsia="宋体" w:cs="Times New Roman"/>
                <w:b w:val="0"/>
                <w:bCs w:val="0"/>
                <w:color w:val="000000"/>
                <w:sz w:val="24"/>
                <w:szCs w:val="24"/>
                <w:lang w:val="en-US" w:eastAsia="zh-CN"/>
              </w:rPr>
              <w:t>堤顶结构</w:t>
            </w:r>
          </w:p>
          <w:p>
            <w:pPr>
              <w:autoSpaceDE w:val="0"/>
              <w:autoSpaceDN w:val="0"/>
              <w:adjustRightInd w:val="0"/>
              <w:snapToGrid w:val="0"/>
              <w:spacing w:line="360" w:lineRule="auto"/>
              <w:ind w:firstLine="480"/>
              <w:rPr>
                <w:rFonts w:hint="eastAsia"/>
                <w:lang w:val="en-US" w:eastAsia="zh-CN"/>
              </w:rPr>
            </w:pPr>
            <w:r>
              <w:rPr>
                <w:rFonts w:hint="eastAsia" w:ascii="Times New Roman" w:hAnsi="Times New Roman" w:eastAsia="宋体" w:cs="Times New Roman"/>
                <w:color w:val="000000"/>
                <w:sz w:val="24"/>
                <w:szCs w:val="24"/>
                <w:lang w:val="en-US" w:eastAsia="zh-CN"/>
              </w:rPr>
              <w:t>根据堤防管理和防洪抢险的需要，结合堤段地理位置和昭化区规划布置，根照《堤防工程设计规范》（GB50286—2013）对堤防工程堤顶宽度的规定，堤顶宽度应根据防汛、管理、施工、构造及其他要求确定，堤顶宽度3级以下堤防不宜小于3m。根据现场实际情况，庄子沟段河道右岸沿线有一村道，路宽约4.0m，河道的防洪抢险通道均可利用现状公路，因此本工程段堤顶道路仅通过行人，</w:t>
            </w:r>
            <w:r>
              <w:rPr>
                <w:rFonts w:hint="eastAsia" w:ascii="Times New Roman" w:hAnsi="Times New Roman" w:eastAsia="宋体" w:cs="Times New Roman"/>
                <w:color w:val="000000"/>
                <w:sz w:val="24"/>
                <w:szCs w:val="24"/>
                <w:lang w:val="zh-CN" w:eastAsia="zh-CN"/>
              </w:rPr>
              <w:t>拟定堤顶总宽度为</w:t>
            </w:r>
            <w:r>
              <w:rPr>
                <w:rFonts w:hint="eastAsia" w:ascii="Times New Roman" w:hAnsi="Times New Roman" w:eastAsia="宋体" w:cs="Times New Roman"/>
                <w:color w:val="000000"/>
                <w:sz w:val="24"/>
                <w:szCs w:val="24"/>
                <w:lang w:val="en-US" w:eastAsia="zh-CN"/>
              </w:rPr>
              <w:t>3</w:t>
            </w:r>
            <w:r>
              <w:rPr>
                <w:rFonts w:hint="eastAsia" w:ascii="Times New Roman" w:hAnsi="Times New Roman" w:eastAsia="宋体" w:cs="Times New Roman"/>
                <w:color w:val="000000"/>
                <w:sz w:val="24"/>
                <w:szCs w:val="24"/>
                <w:lang w:val="zh-CN" w:eastAsia="zh-CN"/>
              </w:rPr>
              <w:t>.0m，</w:t>
            </w:r>
            <w:r>
              <w:rPr>
                <w:rFonts w:hint="eastAsia" w:ascii="Times New Roman" w:hAnsi="Times New Roman" w:eastAsia="宋体" w:cs="Times New Roman"/>
                <w:color w:val="000000"/>
                <w:sz w:val="24"/>
                <w:szCs w:val="24"/>
                <w:lang w:val="en-US" w:eastAsia="zh-CN"/>
              </w:rPr>
              <w:t>堤顶结构为1.6的混凝土硬化道路+1.4m的回填土路相结合。临河侧堤顶为40cm宽挡墙顶，背水侧为20×30cm的C25砼路缘石，硬化路面净宽1.4m，厚20cm，采用C25砼路面。挡墙顶设置1.2m高预制砼护栏。</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（2）护坡设计</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val="en-US" w:eastAsia="zh-CN"/>
              </w:rPr>
              <w:t>主体已设计施工结束后在堤背进行表土回覆以便于后期进行植草护坡，表土回覆量为400m</w:t>
            </w:r>
            <w:r>
              <w:rPr>
                <w:rFonts w:hint="eastAsia" w:ascii="Times New Roman" w:hAnsi="Times New Roman" w:eastAsia="宋体" w:cs="Times New Roman"/>
                <w:color w:val="000000"/>
                <w:sz w:val="24"/>
                <w:szCs w:val="24"/>
                <w:vertAlign w:val="superscript"/>
                <w:lang w:val="en-US" w:eastAsia="zh-CN"/>
              </w:rPr>
              <w:t>3</w:t>
            </w:r>
            <w:r>
              <w:rPr>
                <w:rFonts w:hint="eastAsia" w:ascii="Times New Roman" w:hAnsi="Times New Roman" w:eastAsia="宋体" w:cs="Times New Roman"/>
                <w:color w:val="000000"/>
                <w:sz w:val="24"/>
                <w:szCs w:val="24"/>
                <w:lang w:val="en-US" w:eastAsia="zh-CN"/>
              </w:rPr>
              <w:t>，植草护坡面积为2498m</w:t>
            </w:r>
            <w:r>
              <w:rPr>
                <w:rFonts w:hint="eastAsia" w:ascii="Times New Roman" w:hAnsi="Times New Roman" w:eastAsia="宋体" w:cs="Times New Roman"/>
                <w:color w:val="000000"/>
                <w:sz w:val="24"/>
                <w:szCs w:val="24"/>
                <w:vertAlign w:val="superscript"/>
                <w:lang w:val="en-US" w:eastAsia="zh-CN"/>
              </w:rPr>
              <w:t>2</w:t>
            </w:r>
            <w:r>
              <w:rPr>
                <w:rFonts w:hint="eastAsia" w:ascii="Times New Roman" w:hAnsi="Times New Roman" w:eastAsia="宋体" w:cs="Times New Roman"/>
                <w:color w:val="000000"/>
                <w:sz w:val="24"/>
                <w:szCs w:val="24"/>
                <w:lang w:val="en-US" w:eastAsia="zh-CN"/>
              </w:rPr>
              <w:t>。</w:t>
            </w: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0"/>
              <w:textAlignment w:val="auto"/>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kern w:val="2"/>
                <w:sz w:val="24"/>
                <w:szCs w:val="24"/>
                <w:lang w:val="en-US" w:eastAsia="zh-CN" w:bidi="ar-SA"/>
              </w:rPr>
              <w:t>（</w:t>
            </w:r>
            <w:r>
              <w:rPr>
                <w:rFonts w:hint="eastAsia" w:cs="Times New Roman"/>
                <w:color w:val="000000"/>
                <w:kern w:val="2"/>
                <w:sz w:val="24"/>
                <w:szCs w:val="24"/>
                <w:lang w:val="en-US" w:eastAsia="zh-CN" w:bidi="ar-SA"/>
              </w:rPr>
              <w:t>3</w:t>
            </w:r>
            <w:r>
              <w:rPr>
                <w:rFonts w:hint="eastAsia" w:ascii="Times New Roman" w:hAnsi="Times New Roman" w:eastAsia="宋体" w:cs="Times New Roman"/>
                <w:color w:val="000000"/>
                <w:kern w:val="2"/>
                <w:sz w:val="24"/>
                <w:szCs w:val="24"/>
                <w:lang w:val="en-US" w:eastAsia="zh-CN" w:bidi="ar-SA"/>
              </w:rPr>
              <w:t>）</w:t>
            </w:r>
            <w:r>
              <w:rPr>
                <w:rFonts w:hint="eastAsia" w:ascii="Times New Roman" w:hAnsi="Times New Roman" w:eastAsia="宋体" w:cs="Times New Roman"/>
                <w:color w:val="000000"/>
                <w:sz w:val="24"/>
                <w:szCs w:val="24"/>
                <w:lang w:eastAsia="zh-CN"/>
              </w:rPr>
              <w:t>堤身填筑</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val="zh-CN" w:eastAsia="zh-CN"/>
              </w:rPr>
              <w:t>堤身填筑前应清除原地面表面覆土、砂层、松散砂砾石层及人工垃圾等，基础夯实之后方可进行堤身的填筑。堤身</w:t>
            </w:r>
            <w:r>
              <w:rPr>
                <w:rFonts w:hint="eastAsia" w:ascii="Times New Roman" w:hAnsi="Times New Roman" w:eastAsia="宋体" w:cs="Times New Roman"/>
                <w:color w:val="000000"/>
                <w:sz w:val="24"/>
                <w:szCs w:val="24"/>
                <w:lang w:eastAsia="zh-CN"/>
              </w:rPr>
              <w:t>采用开挖的土石料进行填筑，土石填筑干密度不小于2.0g/m</w:t>
            </w:r>
            <w:r>
              <w:rPr>
                <w:rFonts w:hint="eastAsia" w:ascii="Times New Roman" w:hAnsi="Times New Roman" w:eastAsia="宋体" w:cs="Times New Roman"/>
                <w:color w:val="000000"/>
                <w:sz w:val="24"/>
                <w:szCs w:val="24"/>
                <w:vertAlign w:val="superscript"/>
                <w:lang w:eastAsia="zh-CN"/>
              </w:rPr>
              <w:t>3</w:t>
            </w:r>
            <w:r>
              <w:rPr>
                <w:rFonts w:hint="eastAsia" w:ascii="Times New Roman" w:hAnsi="Times New Roman" w:eastAsia="宋体" w:cs="Times New Roman"/>
                <w:color w:val="000000"/>
                <w:sz w:val="24"/>
                <w:szCs w:val="24"/>
                <w:lang w:eastAsia="zh-CN"/>
              </w:rPr>
              <w:t>，相对孔隙率不大于24%，压实度不低于0.91</w:t>
            </w:r>
            <w:r>
              <w:rPr>
                <w:rFonts w:hint="eastAsia" w:ascii="Times New Roman" w:hAnsi="Times New Roman" w:eastAsia="宋体" w:cs="Times New Roman"/>
                <w:color w:val="000000"/>
                <w:sz w:val="24"/>
                <w:szCs w:val="24"/>
                <w:lang w:val="zh-CN"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4</w:t>
            </w:r>
            <w:r>
              <w:rPr>
                <w:rFonts w:hint="eastAsia" w:ascii="Times New Roman" w:hAnsi="Times New Roman" w:eastAsia="宋体" w:cs="Times New Roman"/>
                <w:color w:val="000000"/>
                <w:sz w:val="24"/>
                <w:szCs w:val="24"/>
                <w:lang w:eastAsia="zh-CN"/>
              </w:rPr>
              <w:t>）堤后背坡设计</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本次堤后</w:t>
            </w:r>
            <w:r>
              <w:rPr>
                <w:rFonts w:hint="eastAsia" w:ascii="Times New Roman" w:hAnsi="Times New Roman" w:eastAsia="宋体" w:cs="Times New Roman"/>
                <w:color w:val="000000"/>
                <w:sz w:val="24"/>
                <w:szCs w:val="24"/>
                <w:lang w:val="zh-CN" w:eastAsia="zh-CN"/>
              </w:rPr>
              <w:t>采用开挖料土石料进行填筑</w:t>
            </w: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zh-CN" w:eastAsia="zh-CN"/>
              </w:rPr>
              <w:t>采用坡比1:1.5土质边坡进行放坡，与原地面线进行</w:t>
            </w:r>
            <w:r>
              <w:rPr>
                <w:rFonts w:hint="eastAsia" w:ascii="Times New Roman" w:hAnsi="Times New Roman" w:eastAsia="宋体" w:cs="Times New Roman"/>
                <w:color w:val="000000"/>
                <w:sz w:val="24"/>
                <w:szCs w:val="24"/>
                <w:lang w:eastAsia="zh-CN"/>
              </w:rPr>
              <w:t>相接。</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5</w:t>
            </w:r>
            <w:r>
              <w:rPr>
                <w:rFonts w:hint="eastAsia" w:ascii="Times New Roman" w:hAnsi="Times New Roman" w:eastAsia="宋体" w:cs="Times New Roman"/>
                <w:color w:val="000000"/>
                <w:sz w:val="24"/>
                <w:szCs w:val="24"/>
                <w:lang w:eastAsia="zh-CN"/>
              </w:rPr>
              <w:t>）基础设计</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工程段堤基冲刷深度为0.54~1.06m</w:t>
            </w: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按照规范要求，防洪堤基础埋深应置于河床冲刷线以下0.5～1.0m，结合水工结构布置，堤防挡墙基础应置于稍密~中密层砂卵砾石层中，综合冲刷深度计算成果、并根据地层情况，确定本工程基础埋深为2.0m。</w:t>
            </w:r>
          </w:p>
          <w:p>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7</w:t>
            </w:r>
            <w:r>
              <w:rPr>
                <w:rFonts w:hint="default" w:ascii="Times New Roman" w:hAnsi="Times New Roman" w:eastAsia="宋体" w:cs="Times New Roman"/>
                <w:b/>
                <w:bCs/>
                <w:color w:val="000000"/>
                <w:sz w:val="24"/>
                <w:szCs w:val="24"/>
                <w:lang w:val="en-US" w:eastAsia="zh-CN"/>
              </w:rPr>
              <w:t>.</w:t>
            </w:r>
            <w:r>
              <w:rPr>
                <w:rFonts w:hint="eastAsia" w:ascii="Times New Roman" w:hAnsi="Times New Roman" w:eastAsia="宋体" w:cs="Times New Roman"/>
                <w:b/>
                <w:bCs/>
                <w:color w:val="000000"/>
                <w:sz w:val="24"/>
                <w:szCs w:val="24"/>
                <w:lang w:val="en-US" w:eastAsia="zh-CN"/>
              </w:rPr>
              <w:t>5附属工程设计</w:t>
            </w:r>
          </w:p>
          <w:p>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（1）下河梯步设计</w:t>
            </w:r>
          </w:p>
          <w:p>
            <w:pPr>
              <w:pStyle w:val="17"/>
              <w:adjustRightInd w:val="0"/>
              <w:snapToGrid w:val="0"/>
              <w:spacing w:before="120" w:beforeLines="50" w:line="360" w:lineRule="auto"/>
              <w:ind w:firstLine="480"/>
              <w:rPr>
                <w:rFonts w:hint="eastAsia" w:hAnsi="宋体" w:cs="宋体"/>
                <w:color w:val="auto"/>
                <w:sz w:val="24"/>
                <w:szCs w:val="24"/>
                <w:highlight w:val="none"/>
              </w:rPr>
            </w:pPr>
            <w:r>
              <w:rPr>
                <w:rFonts w:hint="eastAsia" w:hAnsi="宋体" w:cs="宋体"/>
                <w:color w:val="auto"/>
                <w:sz w:val="24"/>
                <w:szCs w:val="24"/>
                <w:highlight w:val="none"/>
              </w:rPr>
              <w:t>为增强堤防的亲水性，本工程考虑在沿线有居民点或有下河要求的位置设置下河梯步，梯步与堤身材料结合，采用</w:t>
            </w:r>
            <w:r>
              <w:rPr>
                <w:rFonts w:hint="eastAsia" w:hAnsi="宋体" w:cs="宋体"/>
                <w:color w:val="auto"/>
                <w:sz w:val="24"/>
                <w:szCs w:val="24"/>
                <w:highlight w:val="none"/>
                <w:lang w:val="en-US" w:eastAsia="zh-CN"/>
              </w:rPr>
              <w:t>砼</w:t>
            </w:r>
            <w:r>
              <w:rPr>
                <w:rFonts w:hint="eastAsia" w:hAnsi="宋体" w:cs="宋体"/>
                <w:color w:val="auto"/>
                <w:sz w:val="24"/>
                <w:szCs w:val="24"/>
                <w:highlight w:val="none"/>
              </w:rPr>
              <w:t>结构，梯步宽度1.</w:t>
            </w:r>
            <w:r>
              <w:rPr>
                <w:rFonts w:hAnsi="宋体" w:cs="宋体"/>
                <w:color w:val="auto"/>
                <w:sz w:val="24"/>
                <w:szCs w:val="24"/>
                <w:highlight w:val="none"/>
              </w:rPr>
              <w:t>5</w:t>
            </w:r>
            <w:r>
              <w:rPr>
                <w:rFonts w:hint="eastAsia" w:hAnsi="宋体" w:cs="宋体"/>
                <w:color w:val="auto"/>
                <w:sz w:val="24"/>
                <w:szCs w:val="24"/>
                <w:highlight w:val="none"/>
              </w:rPr>
              <w:t>m，单个阶梯为0.</w:t>
            </w:r>
            <w:r>
              <w:rPr>
                <w:rFonts w:hAnsi="宋体" w:cs="宋体"/>
                <w:color w:val="auto"/>
                <w:sz w:val="24"/>
                <w:szCs w:val="24"/>
                <w:highlight w:val="none"/>
              </w:rPr>
              <w:t>3</w:t>
            </w:r>
            <w:r>
              <w:rPr>
                <w:rFonts w:hint="eastAsia" w:hAnsi="宋体" w:cs="宋体"/>
                <w:color w:val="auto"/>
                <w:sz w:val="24"/>
                <w:szCs w:val="24"/>
                <w:highlight w:val="none"/>
              </w:rPr>
              <w:t>m×</w:t>
            </w:r>
            <w:r>
              <w:rPr>
                <w:rFonts w:hAnsi="宋体" w:cs="宋体"/>
                <w:color w:val="auto"/>
                <w:sz w:val="24"/>
                <w:szCs w:val="24"/>
                <w:highlight w:val="none"/>
              </w:rPr>
              <w:t>0</w:t>
            </w:r>
            <w:r>
              <w:rPr>
                <w:rFonts w:hint="eastAsia" w:hAnsi="宋体" w:cs="宋体"/>
                <w:color w:val="auto"/>
                <w:sz w:val="24"/>
                <w:szCs w:val="24"/>
                <w:highlight w:val="none"/>
              </w:rPr>
              <w:t>.</w:t>
            </w:r>
            <w:r>
              <w:rPr>
                <w:rFonts w:hAnsi="宋体" w:cs="宋体"/>
                <w:color w:val="auto"/>
                <w:sz w:val="24"/>
                <w:szCs w:val="24"/>
                <w:highlight w:val="none"/>
              </w:rPr>
              <w:t>3</w:t>
            </w:r>
            <w:r>
              <w:rPr>
                <w:rFonts w:hint="eastAsia" w:hAnsi="宋体" w:cs="宋体"/>
                <w:color w:val="auto"/>
                <w:sz w:val="24"/>
                <w:szCs w:val="24"/>
                <w:highlight w:val="none"/>
              </w:rPr>
              <w:t>m（宽×高），一直从堤顶延伸至堤脚。根据平面布置情况，</w:t>
            </w:r>
            <w:r>
              <w:rPr>
                <w:rFonts w:hint="eastAsia" w:hAnsi="宋体" w:cs="宋体"/>
                <w:color w:val="auto"/>
                <w:sz w:val="24"/>
                <w:szCs w:val="24"/>
                <w:highlight w:val="none"/>
                <w:lang w:eastAsia="zh-CN"/>
              </w:rPr>
              <w:t>庄子沟</w:t>
            </w:r>
            <w:r>
              <w:rPr>
                <w:rFonts w:hint="eastAsia" w:hAnsi="宋体" w:cs="宋体"/>
                <w:color w:val="auto"/>
                <w:sz w:val="24"/>
                <w:szCs w:val="24"/>
                <w:highlight w:val="none"/>
              </w:rPr>
              <w:t>段设置</w:t>
            </w:r>
            <w:r>
              <w:rPr>
                <w:rFonts w:hint="eastAsia" w:hAnsi="宋体" w:cs="宋体"/>
                <w:color w:val="auto"/>
                <w:sz w:val="24"/>
                <w:szCs w:val="24"/>
                <w:highlight w:val="none"/>
                <w:lang w:val="en-US" w:eastAsia="zh-CN"/>
              </w:rPr>
              <w:t>2</w:t>
            </w:r>
            <w:r>
              <w:rPr>
                <w:rFonts w:hint="eastAsia" w:hAnsi="宋体" w:cs="宋体"/>
                <w:color w:val="auto"/>
                <w:sz w:val="24"/>
                <w:szCs w:val="24"/>
                <w:highlight w:val="none"/>
              </w:rPr>
              <w:t>处。</w:t>
            </w:r>
          </w:p>
          <w:p>
            <w:pPr>
              <w:widowControl/>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表2-6 </w:t>
            </w:r>
            <w:r>
              <w:rPr>
                <w:rFonts w:hint="eastAsia" w:ascii="Times New Roman" w:hAnsi="Times New Roman" w:eastAsia="宋体" w:cs="Times New Roman"/>
                <w:b/>
                <w:bCs/>
                <w:lang w:eastAsia="zh-CN"/>
              </w:rPr>
              <w:t>下河梯步统计表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2623"/>
              <w:gridCol w:w="1968"/>
              <w:gridCol w:w="982"/>
              <w:gridCol w:w="982"/>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6" w:type="pct"/>
                  <w:noWrap/>
                  <w:vAlign w:val="center"/>
                </w:tcPr>
                <w:p>
                  <w:pPr>
                    <w:widowControl/>
                    <w:ind w:firstLine="0" w:firstLineChars="0"/>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序号</w:t>
                  </w:r>
                </w:p>
              </w:tc>
              <w:tc>
                <w:tcPr>
                  <w:tcW w:w="1540" w:type="pct"/>
                  <w:noWrap/>
                  <w:vAlign w:val="center"/>
                </w:tcPr>
                <w:p>
                  <w:pPr>
                    <w:widowControl/>
                    <w:ind w:firstLine="0" w:firstLineChars="0"/>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河道中心线桩号</w:t>
                  </w:r>
                </w:p>
              </w:tc>
              <w:tc>
                <w:tcPr>
                  <w:tcW w:w="1155" w:type="pct"/>
                  <w:noWrap/>
                  <w:vAlign w:val="center"/>
                </w:tcPr>
                <w:p>
                  <w:pPr>
                    <w:widowControl/>
                    <w:ind w:firstLine="0" w:firstLineChars="0"/>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建筑物名称</w:t>
                  </w:r>
                </w:p>
              </w:tc>
              <w:tc>
                <w:tcPr>
                  <w:tcW w:w="576" w:type="pct"/>
                  <w:noWrap/>
                  <w:vAlign w:val="center"/>
                </w:tcPr>
                <w:p>
                  <w:pPr>
                    <w:widowControl/>
                    <w:ind w:firstLine="0" w:firstLineChars="0"/>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数量</w:t>
                  </w:r>
                </w:p>
              </w:tc>
              <w:tc>
                <w:tcPr>
                  <w:tcW w:w="576" w:type="pct"/>
                  <w:noWrap/>
                  <w:vAlign w:val="center"/>
                </w:tcPr>
                <w:p>
                  <w:pPr>
                    <w:widowControl/>
                    <w:ind w:firstLine="0" w:firstLineChars="0"/>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岸别</w:t>
                  </w:r>
                </w:p>
              </w:tc>
              <w:tc>
                <w:tcPr>
                  <w:tcW w:w="576" w:type="pct"/>
                  <w:noWrap/>
                  <w:vAlign w:val="center"/>
                </w:tcPr>
                <w:p>
                  <w:pPr>
                    <w:widowControl/>
                    <w:ind w:firstLine="0" w:firstLineChars="0"/>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6" w:type="pct"/>
                  <w:noWrap/>
                  <w:vAlign w:val="center"/>
                </w:tcPr>
                <w:p>
                  <w:pPr>
                    <w:widowControl/>
                    <w:ind w:firstLine="0" w:firstLineChars="0"/>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1540" w:type="pct"/>
                  <w:noWrap/>
                  <w:vAlign w:val="center"/>
                </w:tcPr>
                <w:p>
                  <w:pPr>
                    <w:widowControl/>
                    <w:ind w:firstLine="0" w:firstLineChars="0"/>
                    <w:jc w:val="center"/>
                    <w:rPr>
                      <w:rFonts w:hint="default" w:ascii="宋体" w:hAnsi="宋体" w:eastAsia="宋体" w:cs="宋体"/>
                      <w:color w:val="auto"/>
                      <w:kern w:val="0"/>
                      <w:sz w:val="22"/>
                      <w:szCs w:val="22"/>
                      <w:highlight w:val="none"/>
                      <w:lang w:val="en-US" w:eastAsia="zh-CN"/>
                    </w:rPr>
                  </w:pPr>
                  <w:r>
                    <w:rPr>
                      <w:rFonts w:hint="eastAsia" w:ascii="宋体" w:hAnsi="宋体"/>
                      <w:color w:val="auto"/>
                      <w:sz w:val="22"/>
                      <w:szCs w:val="22"/>
                      <w:highlight w:val="none"/>
                      <w:lang w:val="en-US" w:eastAsia="zh-CN"/>
                    </w:rPr>
                    <w:t>K0+213.00</w:t>
                  </w:r>
                </w:p>
              </w:tc>
              <w:tc>
                <w:tcPr>
                  <w:tcW w:w="1155" w:type="pct"/>
                  <w:noWrap/>
                  <w:vAlign w:val="center"/>
                </w:tcPr>
                <w:p>
                  <w:pPr>
                    <w:widowControl/>
                    <w:ind w:firstLine="0" w:firstLineChars="0"/>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下河梯步</w:t>
                  </w:r>
                </w:p>
              </w:tc>
              <w:tc>
                <w:tcPr>
                  <w:tcW w:w="576" w:type="pct"/>
                  <w:noWrap/>
                  <w:vAlign w:val="center"/>
                </w:tcPr>
                <w:p>
                  <w:pPr>
                    <w:widowControl/>
                    <w:ind w:firstLine="0" w:firstLineChars="0"/>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576" w:type="pct"/>
                  <w:noWrap/>
                  <w:vAlign w:val="center"/>
                </w:tcPr>
                <w:p>
                  <w:pPr>
                    <w:widowControl/>
                    <w:ind w:firstLine="0" w:firstLineChars="0"/>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rPr>
                    <w:t>两</w:t>
                  </w:r>
                  <w:r>
                    <w:rPr>
                      <w:rFonts w:hint="eastAsia" w:ascii="宋体" w:hAnsi="宋体" w:cs="宋体"/>
                      <w:color w:val="auto"/>
                      <w:kern w:val="0"/>
                      <w:sz w:val="22"/>
                      <w:szCs w:val="22"/>
                      <w:highlight w:val="none"/>
                    </w:rPr>
                    <w:t>岸</w:t>
                  </w:r>
                </w:p>
              </w:tc>
              <w:tc>
                <w:tcPr>
                  <w:tcW w:w="576" w:type="pct"/>
                  <w:noWrap/>
                  <w:vAlign w:val="center"/>
                </w:tcPr>
                <w:p>
                  <w:pPr>
                    <w:widowControl/>
                    <w:ind w:firstLine="0" w:firstLineChars="0"/>
                    <w:jc w:val="center"/>
                    <w:rPr>
                      <w:rFonts w:hint="eastAsia" w:ascii="宋体" w:hAnsi="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6" w:type="pct"/>
                  <w:noWrap/>
                  <w:vAlign w:val="center"/>
                </w:tcPr>
                <w:p>
                  <w:pPr>
                    <w:widowControl/>
                    <w:ind w:firstLine="0" w:firstLineChars="0"/>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c>
                <w:tcPr>
                  <w:tcW w:w="1540" w:type="pct"/>
                  <w:noWrap/>
                  <w:vAlign w:val="center"/>
                </w:tcPr>
                <w:p>
                  <w:pPr>
                    <w:widowControl/>
                    <w:ind w:firstLine="0" w:firstLineChars="0"/>
                    <w:jc w:val="center"/>
                    <w:rPr>
                      <w:rFonts w:hint="eastAsia" w:ascii="宋体" w:hAnsi="宋体" w:cs="宋体"/>
                      <w:color w:val="auto"/>
                      <w:kern w:val="0"/>
                      <w:sz w:val="22"/>
                      <w:szCs w:val="22"/>
                      <w:highlight w:val="none"/>
                    </w:rPr>
                  </w:pPr>
                  <w:r>
                    <w:rPr>
                      <w:rFonts w:hint="eastAsia" w:ascii="宋体" w:hAnsi="宋体"/>
                      <w:color w:val="auto"/>
                      <w:sz w:val="22"/>
                      <w:szCs w:val="22"/>
                      <w:highlight w:val="none"/>
                      <w:lang w:val="en-US" w:eastAsia="zh-CN"/>
                    </w:rPr>
                    <w:t>K0+415.00</w:t>
                  </w:r>
                </w:p>
              </w:tc>
              <w:tc>
                <w:tcPr>
                  <w:tcW w:w="1155" w:type="pct"/>
                  <w:noWrap/>
                  <w:vAlign w:val="center"/>
                </w:tcPr>
                <w:p>
                  <w:pPr>
                    <w:widowControl/>
                    <w:ind w:firstLine="0" w:firstLineChars="0"/>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下河梯步</w:t>
                  </w:r>
                </w:p>
              </w:tc>
              <w:tc>
                <w:tcPr>
                  <w:tcW w:w="576" w:type="pct"/>
                  <w:noWrap/>
                  <w:vAlign w:val="center"/>
                </w:tcPr>
                <w:p>
                  <w:pPr>
                    <w:widowControl/>
                    <w:ind w:firstLine="0" w:firstLineChars="0"/>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576" w:type="pct"/>
                  <w:noWrap/>
                  <w:vAlign w:val="center"/>
                </w:tcPr>
                <w:p>
                  <w:pPr>
                    <w:widowControl/>
                    <w:ind w:firstLine="0" w:firstLineChars="0"/>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rPr>
                    <w:t>两</w:t>
                  </w:r>
                  <w:r>
                    <w:rPr>
                      <w:rFonts w:hint="eastAsia" w:ascii="宋体" w:hAnsi="宋体" w:cs="宋体"/>
                      <w:color w:val="auto"/>
                      <w:kern w:val="0"/>
                      <w:sz w:val="22"/>
                      <w:szCs w:val="22"/>
                      <w:highlight w:val="none"/>
                    </w:rPr>
                    <w:t>岸</w:t>
                  </w:r>
                </w:p>
              </w:tc>
              <w:tc>
                <w:tcPr>
                  <w:tcW w:w="576" w:type="pct"/>
                  <w:noWrap/>
                  <w:vAlign w:val="center"/>
                </w:tcPr>
                <w:p>
                  <w:pPr>
                    <w:widowControl/>
                    <w:ind w:firstLine="0" w:firstLineChars="0"/>
                    <w:jc w:val="center"/>
                    <w:rPr>
                      <w:rFonts w:hint="eastAsia" w:ascii="宋体" w:hAnsi="宋体" w:cs="宋体"/>
                      <w:color w:val="auto"/>
                      <w:kern w:val="0"/>
                      <w:sz w:val="22"/>
                      <w:szCs w:val="22"/>
                      <w:highlight w:val="none"/>
                    </w:rPr>
                  </w:pPr>
                </w:p>
              </w:tc>
            </w:tr>
          </w:tbl>
          <w:p>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（2）人行桥设计</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根据工程河段实际情况，河道上有简易临时修建的漫水路，从结构和行洪上均不满足设计要求，因此本次拟定对此进行改造。根据平面布置及统计，庄子沟新建人行桥2座。人行桥桥墩采用C25混凝土浇筑，桥板采用C25钢筋砼浇筑，人行桥宽度1.5m，桥板两侧设1.2m高混凝土预制栏杆。人行桥限宽1.2m，限重3kn/m，人行桥统计如下表。</w:t>
            </w:r>
          </w:p>
          <w:p>
            <w:pPr>
              <w:widowControl/>
              <w:jc w:val="center"/>
              <w:rPr>
                <w:rFonts w:hint="eastAsia"/>
                <w:lang w:val="en-US" w:eastAsia="zh-CN"/>
              </w:rPr>
            </w:pPr>
            <w:r>
              <w:rPr>
                <w:rFonts w:hint="eastAsia" w:ascii="Times New Roman" w:hAnsi="Times New Roman" w:eastAsia="宋体" w:cs="Times New Roman"/>
                <w:b/>
                <w:bCs/>
                <w:lang w:val="en-US" w:eastAsia="zh-CN"/>
              </w:rPr>
              <w:t xml:space="preserve">表2-7 </w:t>
            </w:r>
            <w:r>
              <w:rPr>
                <w:rFonts w:hint="eastAsia" w:ascii="宋体" w:hAnsi="宋体" w:eastAsia="宋体" w:cs="Courier New"/>
                <w:b/>
                <w:bCs/>
                <w:color w:val="auto"/>
                <w:highlight w:val="none"/>
              </w:rPr>
              <w:t>工程河段人行桥</w:t>
            </w:r>
            <w:r>
              <w:rPr>
                <w:rFonts w:hint="eastAsia" w:ascii="Times New Roman" w:hAnsi="Times New Roman" w:eastAsia="宋体" w:cs="Times New Roman"/>
                <w:b/>
                <w:bCs/>
                <w:lang w:eastAsia="zh-CN"/>
              </w:rPr>
              <w:t>统计表</w:t>
            </w:r>
          </w:p>
          <w:tbl>
            <w:tblPr>
              <w:tblStyle w:val="30"/>
              <w:tblW w:w="47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1620"/>
              <w:gridCol w:w="1620"/>
              <w:gridCol w:w="1620"/>
              <w:gridCol w:w="1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990" w:type="pct"/>
                  <w:noWrap w:val="0"/>
                  <w:vAlign w:val="center"/>
                </w:tcPr>
                <w:p>
                  <w:pPr>
                    <w:widowControl/>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序号</w:t>
                  </w:r>
                </w:p>
              </w:tc>
              <w:tc>
                <w:tcPr>
                  <w:tcW w:w="991" w:type="pct"/>
                  <w:noWrap w:val="0"/>
                  <w:vAlign w:val="center"/>
                </w:tcPr>
                <w:p>
                  <w:pPr>
                    <w:widowControl/>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所属河道</w:t>
                  </w:r>
                </w:p>
              </w:tc>
              <w:tc>
                <w:tcPr>
                  <w:tcW w:w="991" w:type="pct"/>
                  <w:noWrap w:val="0"/>
                  <w:vAlign w:val="center"/>
                </w:tcPr>
                <w:p>
                  <w:pPr>
                    <w:widowControl/>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分类</w:t>
                  </w:r>
                </w:p>
              </w:tc>
              <w:tc>
                <w:tcPr>
                  <w:tcW w:w="991" w:type="pct"/>
                  <w:noWrap w:val="0"/>
                  <w:vAlign w:val="center"/>
                </w:tcPr>
                <w:p>
                  <w:pPr>
                    <w:widowControl/>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桩号</w:t>
                  </w:r>
                </w:p>
              </w:tc>
              <w:tc>
                <w:tcPr>
                  <w:tcW w:w="1034" w:type="pct"/>
                  <w:noWrap w:val="0"/>
                  <w:vAlign w:val="center"/>
                </w:tcPr>
                <w:p>
                  <w:pPr>
                    <w:widowControl/>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跨度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990" w:type="pct"/>
                  <w:noWrap w:val="0"/>
                  <w:vAlign w:val="center"/>
                </w:tcPr>
                <w:p>
                  <w:pPr>
                    <w:widowControl/>
                    <w:ind w:firstLine="0" w:firstLineChars="0"/>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1</w:t>
                  </w:r>
                </w:p>
              </w:tc>
              <w:tc>
                <w:tcPr>
                  <w:tcW w:w="991" w:type="pct"/>
                  <w:vMerge w:val="restart"/>
                  <w:noWrap w:val="0"/>
                  <w:vAlign w:val="center"/>
                </w:tcPr>
                <w:p>
                  <w:pPr>
                    <w:widowControl/>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庄子沟</w:t>
                  </w:r>
                </w:p>
              </w:tc>
              <w:tc>
                <w:tcPr>
                  <w:tcW w:w="991" w:type="pct"/>
                  <w:noWrap w:val="0"/>
                  <w:vAlign w:val="center"/>
                </w:tcPr>
                <w:p>
                  <w:pPr>
                    <w:widowControl/>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人行桥</w:t>
                  </w:r>
                </w:p>
              </w:tc>
              <w:tc>
                <w:tcPr>
                  <w:tcW w:w="991" w:type="pct"/>
                  <w:noWrap w:val="0"/>
                  <w:vAlign w:val="center"/>
                </w:tcPr>
                <w:p>
                  <w:pPr>
                    <w:widowControl/>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rPr>
                    <w:t>K</w:t>
                  </w:r>
                  <w:r>
                    <w:rPr>
                      <w:rFonts w:hint="eastAsia" w:ascii="宋体" w:hAnsi="宋体" w:cs="宋体"/>
                      <w:color w:val="auto"/>
                      <w:kern w:val="0"/>
                      <w:sz w:val="21"/>
                      <w:szCs w:val="21"/>
                      <w:highlight w:val="none"/>
                      <w:lang w:val="en-US" w:eastAsia="zh-CN"/>
                    </w:rPr>
                    <w:t>0+080.00</w:t>
                  </w:r>
                </w:p>
              </w:tc>
              <w:tc>
                <w:tcPr>
                  <w:tcW w:w="1034" w:type="pct"/>
                  <w:noWrap w:val="0"/>
                  <w:vAlign w:val="center"/>
                </w:tcPr>
                <w:p>
                  <w:pPr>
                    <w:widowControl/>
                    <w:ind w:firstLine="0" w:firstLineChars="0"/>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0" w:type="pct"/>
                  <w:noWrap w:val="0"/>
                  <w:vAlign w:val="center"/>
                </w:tcPr>
                <w:p>
                  <w:pPr>
                    <w:widowControl/>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2</w:t>
                  </w:r>
                </w:p>
              </w:tc>
              <w:tc>
                <w:tcPr>
                  <w:tcW w:w="991" w:type="pct"/>
                  <w:vMerge w:val="continue"/>
                  <w:noWrap w:val="0"/>
                  <w:vAlign w:val="center"/>
                </w:tcPr>
                <w:p>
                  <w:pPr>
                    <w:widowControl/>
                    <w:ind w:firstLine="0" w:firstLineChars="0"/>
                    <w:jc w:val="center"/>
                    <w:rPr>
                      <w:rFonts w:hint="eastAsia" w:ascii="宋体" w:hAnsi="宋体" w:cs="宋体"/>
                      <w:color w:val="auto"/>
                      <w:kern w:val="0"/>
                      <w:sz w:val="21"/>
                      <w:szCs w:val="21"/>
                      <w:highlight w:val="none"/>
                    </w:rPr>
                  </w:pPr>
                </w:p>
              </w:tc>
              <w:tc>
                <w:tcPr>
                  <w:tcW w:w="991" w:type="pct"/>
                  <w:noWrap w:val="0"/>
                  <w:vAlign w:val="center"/>
                </w:tcPr>
                <w:p>
                  <w:pPr>
                    <w:widowControl/>
                    <w:ind w:firstLine="0" w:firstLineChars="0"/>
                    <w:jc w:val="center"/>
                    <w:rPr>
                      <w:rFonts w:hint="eastAsia" w:ascii="宋体" w:hAnsi="宋体" w:cs="宋体"/>
                      <w:color w:val="auto"/>
                      <w:kern w:val="0"/>
                      <w:sz w:val="21"/>
                      <w:szCs w:val="21"/>
                      <w:highlight w:val="none"/>
                      <w:lang w:val="en-US" w:eastAsia="zh-CN" w:bidi="ar-SA"/>
                    </w:rPr>
                  </w:pPr>
                  <w:r>
                    <w:rPr>
                      <w:rFonts w:hint="eastAsia" w:ascii="宋体" w:hAnsi="宋体" w:cs="宋体"/>
                      <w:color w:val="auto"/>
                      <w:kern w:val="0"/>
                      <w:sz w:val="21"/>
                      <w:szCs w:val="21"/>
                      <w:highlight w:val="none"/>
                    </w:rPr>
                    <w:t>人行桥</w:t>
                  </w:r>
                </w:p>
              </w:tc>
              <w:tc>
                <w:tcPr>
                  <w:tcW w:w="991" w:type="pct"/>
                  <w:noWrap w:val="0"/>
                  <w:vAlign w:val="center"/>
                </w:tcPr>
                <w:p>
                  <w:pPr>
                    <w:widowControl/>
                    <w:ind w:firstLine="0" w:firstLine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K0+240.00</w:t>
                  </w:r>
                </w:p>
              </w:tc>
              <w:tc>
                <w:tcPr>
                  <w:tcW w:w="1034" w:type="pct"/>
                  <w:noWrap w:val="0"/>
                  <w:vAlign w:val="center"/>
                </w:tcPr>
                <w:p>
                  <w:pPr>
                    <w:widowControl/>
                    <w:ind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6</w:t>
                  </w:r>
                </w:p>
              </w:tc>
            </w:tr>
          </w:tbl>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（3）娱乐健身场地建设</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b/>
                <w:bCs/>
                <w:color w:val="000000"/>
                <w:sz w:val="24"/>
                <w:szCs w:val="24"/>
                <w:lang w:val="en-US" w:eastAsia="zh-CN"/>
              </w:rPr>
            </w:pPr>
            <w:r>
              <w:rPr>
                <w:rFonts w:hint="eastAsia" w:ascii="宋体" w:hAnsi="宋体" w:eastAsia="宋体" w:cs="宋体"/>
                <w:color w:val="auto"/>
                <w:kern w:val="2"/>
                <w:sz w:val="24"/>
                <w:szCs w:val="24"/>
                <w:highlight w:val="none"/>
                <w:lang w:val="en-US" w:eastAsia="zh-CN" w:bidi="ar-SA"/>
              </w:rPr>
              <w:t>该项目位于昭化区长坝社区，在长坝社区安置点与铁路保护线之间新建场坪1458㎡，建后场坪高程为469.60m，场坪四周排水沟已完建。场坪从上到下依次为丁苯橡胶面层（厚1cm）、细沥青混凝土（厚3cm）、中粒石沥青混凝土（厚4cm）、水泥石粉层（厚15cm）、级配碎石层（厚10cm）。</w:t>
            </w:r>
          </w:p>
          <w:p>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7</w:t>
            </w:r>
            <w:r>
              <w:rPr>
                <w:rFonts w:hint="default" w:ascii="Times New Roman" w:hAnsi="Times New Roman" w:eastAsia="宋体" w:cs="Times New Roman"/>
                <w:b/>
                <w:bCs/>
                <w:color w:val="000000"/>
                <w:sz w:val="24"/>
                <w:szCs w:val="24"/>
                <w:lang w:val="en-US" w:eastAsia="zh-CN"/>
              </w:rPr>
              <w:t>.</w:t>
            </w:r>
            <w:r>
              <w:rPr>
                <w:rFonts w:hint="eastAsia" w:ascii="Times New Roman" w:hAnsi="Times New Roman" w:eastAsia="宋体" w:cs="Times New Roman"/>
                <w:b/>
                <w:bCs/>
                <w:color w:val="000000"/>
                <w:sz w:val="24"/>
                <w:szCs w:val="24"/>
                <w:lang w:val="en-US" w:eastAsia="zh-CN"/>
              </w:rPr>
              <w:t>6</w:t>
            </w:r>
            <w:r>
              <w:rPr>
                <w:rFonts w:hint="default" w:ascii="Times New Roman" w:hAnsi="Times New Roman" w:eastAsia="宋体" w:cs="Times New Roman"/>
                <w:b/>
                <w:bCs/>
                <w:color w:val="000000"/>
                <w:sz w:val="24"/>
                <w:szCs w:val="24"/>
                <w:lang w:val="en-US" w:eastAsia="zh-CN"/>
              </w:rPr>
              <w:t>穿堤建筑物及排涝工程设计</w:t>
            </w:r>
          </w:p>
          <w:p>
            <w:pPr>
              <w:pageBreakBefore w:val="0"/>
              <w:widowControl w:val="0"/>
              <w:numPr>
                <w:ilvl w:val="0"/>
                <w:numId w:val="0"/>
              </w:numPr>
              <w:kinsoku/>
              <w:wordWrap/>
              <w:overflowPunct/>
              <w:topLinePunct w:val="0"/>
              <w:autoSpaceDE/>
              <w:autoSpaceDN/>
              <w:bidi w:val="0"/>
              <w:adjustRightInd/>
              <w:snapToGrid/>
              <w:spacing w:line="360" w:lineRule="auto"/>
              <w:ind w:firstLine="480" w:firstLineChars="0"/>
              <w:textAlignment w:val="auto"/>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（1）布置原则</w:t>
            </w:r>
          </w:p>
          <w:p>
            <w:pPr>
              <w:pageBreakBefore w:val="0"/>
              <w:widowControl w:val="0"/>
              <w:numPr>
                <w:ilvl w:val="0"/>
                <w:numId w:val="0"/>
              </w:numPr>
              <w:kinsoku/>
              <w:wordWrap/>
              <w:overflowPunct/>
              <w:topLinePunct w:val="0"/>
              <w:autoSpaceDE/>
              <w:autoSpaceDN/>
              <w:bidi w:val="0"/>
              <w:adjustRightInd/>
              <w:snapToGrid/>
              <w:spacing w:line="360" w:lineRule="auto"/>
              <w:ind w:firstLine="480" w:firstLineChars="0"/>
              <w:textAlignment w:val="auto"/>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本工程河段堤防按照“高水高排”的方针在部分地区设置排水沟，对原有公路的排水设施以及其他排水设施应结合本段堤防进行整治。</w:t>
            </w:r>
          </w:p>
          <w:p>
            <w:pPr>
              <w:pageBreakBefore w:val="0"/>
              <w:widowControl w:val="0"/>
              <w:numPr>
                <w:ilvl w:val="0"/>
                <w:numId w:val="0"/>
              </w:numPr>
              <w:kinsoku/>
              <w:wordWrap/>
              <w:overflowPunct/>
              <w:topLinePunct w:val="0"/>
              <w:autoSpaceDE/>
              <w:autoSpaceDN/>
              <w:bidi w:val="0"/>
              <w:adjustRightInd/>
              <w:snapToGrid/>
              <w:spacing w:line="360" w:lineRule="auto"/>
              <w:ind w:firstLine="480" w:firstLineChars="0"/>
              <w:textAlignment w:val="auto"/>
              <w:rPr>
                <w:rFonts w:hint="eastAsia" w:ascii="Times New Roman" w:hAnsi="Times New Roman" w:eastAsia="宋体" w:cs="Times New Roman"/>
                <w:color w:val="000000"/>
                <w:kern w:val="2"/>
                <w:sz w:val="24"/>
                <w:szCs w:val="24"/>
                <w:lang w:val="en-US" w:eastAsia="zh-CN" w:bidi="ar-SA"/>
              </w:rPr>
            </w:pPr>
            <w:r>
              <w:rPr>
                <w:rFonts w:hint="default" w:ascii="Calibri" w:hAnsi="Calibri" w:eastAsia="宋体" w:cs="Calibri"/>
                <w:color w:val="000000"/>
                <w:kern w:val="2"/>
                <w:sz w:val="24"/>
                <w:szCs w:val="24"/>
                <w:lang w:val="en-US" w:eastAsia="zh-CN" w:bidi="ar-SA"/>
              </w:rPr>
              <w:t>①</w:t>
            </w:r>
            <w:r>
              <w:rPr>
                <w:rFonts w:hint="eastAsia" w:ascii="Times New Roman" w:hAnsi="Times New Roman" w:eastAsia="宋体" w:cs="Times New Roman"/>
                <w:color w:val="000000"/>
                <w:kern w:val="2"/>
                <w:sz w:val="24"/>
                <w:szCs w:val="24"/>
                <w:lang w:val="en-US" w:eastAsia="zh-CN" w:bidi="ar-SA"/>
              </w:rPr>
              <w:t>排洪工程布置应考虑保护区的地形地势条件，做到因势利导，排水入河。</w:t>
            </w:r>
          </w:p>
          <w:p>
            <w:pPr>
              <w:pageBreakBefore w:val="0"/>
              <w:widowControl w:val="0"/>
              <w:numPr>
                <w:ilvl w:val="0"/>
                <w:numId w:val="0"/>
              </w:numPr>
              <w:kinsoku/>
              <w:wordWrap/>
              <w:overflowPunct/>
              <w:topLinePunct w:val="0"/>
              <w:autoSpaceDE/>
              <w:autoSpaceDN/>
              <w:bidi w:val="0"/>
              <w:adjustRightInd/>
              <w:snapToGrid/>
              <w:spacing w:line="360" w:lineRule="auto"/>
              <w:ind w:firstLine="480" w:firstLineChars="0"/>
              <w:textAlignment w:val="auto"/>
              <w:rPr>
                <w:rFonts w:hint="default" w:ascii="Times New Roman" w:hAnsi="Times New Roman" w:eastAsia="宋体" w:cs="Times New Roman"/>
                <w:color w:val="000000"/>
                <w:kern w:val="2"/>
                <w:sz w:val="24"/>
                <w:szCs w:val="24"/>
                <w:lang w:val="en-US" w:eastAsia="zh-CN" w:bidi="ar-SA"/>
              </w:rPr>
            </w:pPr>
            <w:r>
              <w:rPr>
                <w:rFonts w:hint="default" w:ascii="Calibri" w:hAnsi="Calibri" w:eastAsia="宋体" w:cs="Calibri"/>
                <w:color w:val="000000"/>
                <w:kern w:val="2"/>
                <w:sz w:val="24"/>
                <w:szCs w:val="24"/>
                <w:lang w:val="en-US" w:eastAsia="zh-CN" w:bidi="ar-SA"/>
              </w:rPr>
              <w:t>②</w:t>
            </w:r>
            <w:r>
              <w:rPr>
                <w:rFonts w:hint="eastAsia" w:ascii="Times New Roman" w:hAnsi="Times New Roman" w:eastAsia="宋体" w:cs="Times New Roman"/>
                <w:color w:val="000000"/>
                <w:kern w:val="2"/>
                <w:sz w:val="24"/>
                <w:szCs w:val="24"/>
                <w:lang w:val="en-US" w:eastAsia="zh-CN" w:bidi="ar-SA"/>
              </w:rPr>
              <w:t>尽量利用场镇内现有的排水系统以及结合城镇规划排水系统，对不合理的排水设施进行必要的改造更新，充分发挥其排水功能。</w:t>
            </w:r>
          </w:p>
          <w:p>
            <w:pPr>
              <w:pageBreakBefore w:val="0"/>
              <w:widowControl w:val="0"/>
              <w:numPr>
                <w:ilvl w:val="0"/>
                <w:numId w:val="0"/>
              </w:numPr>
              <w:kinsoku/>
              <w:wordWrap/>
              <w:overflowPunct/>
              <w:topLinePunct w:val="0"/>
              <w:autoSpaceDE/>
              <w:autoSpaceDN/>
              <w:bidi w:val="0"/>
              <w:adjustRightInd/>
              <w:snapToGrid/>
              <w:spacing w:line="360" w:lineRule="auto"/>
              <w:ind w:firstLine="480" w:firstLineChars="0"/>
              <w:textAlignment w:val="auto"/>
              <w:rPr>
                <w:rFonts w:hint="default" w:ascii="Times New Roman" w:hAnsi="Times New Roman" w:eastAsia="宋体" w:cs="Times New Roman"/>
                <w:color w:val="000000"/>
                <w:sz w:val="24"/>
                <w:szCs w:val="24"/>
                <w:lang w:val="en-US" w:eastAsia="zh-CN"/>
              </w:rPr>
            </w:pPr>
            <w:r>
              <w:rPr>
                <w:rFonts w:hint="eastAsia" w:ascii="Calibri" w:hAnsi="Calibri" w:eastAsia="宋体" w:cs="Calibri"/>
                <w:color w:val="000000"/>
                <w:kern w:val="2"/>
                <w:sz w:val="24"/>
                <w:szCs w:val="24"/>
                <w:lang w:val="en-US" w:eastAsia="zh-CN" w:bidi="ar-SA"/>
              </w:rPr>
              <w:t>（2）</w:t>
            </w:r>
            <w:r>
              <w:rPr>
                <w:rFonts w:hint="default" w:ascii="Times New Roman" w:hAnsi="Times New Roman" w:eastAsia="宋体" w:cs="Times New Roman"/>
                <w:color w:val="000000"/>
                <w:kern w:val="2"/>
                <w:sz w:val="24"/>
                <w:szCs w:val="24"/>
                <w:lang w:val="en-US" w:eastAsia="zh-CN" w:bidi="ar-SA"/>
              </w:rPr>
              <w:t>排涝方案与排涝工程布置</w:t>
            </w:r>
          </w:p>
          <w:p>
            <w:pPr>
              <w:pageBreakBefore w:val="0"/>
              <w:widowControl w:val="0"/>
              <w:numPr>
                <w:ilvl w:val="0"/>
                <w:numId w:val="0"/>
              </w:numPr>
              <w:kinsoku/>
              <w:wordWrap/>
              <w:overflowPunct/>
              <w:topLinePunct w:val="0"/>
              <w:autoSpaceDE/>
              <w:autoSpaceDN/>
              <w:bidi w:val="0"/>
              <w:adjustRightInd/>
              <w:snapToGrid/>
              <w:spacing w:line="360" w:lineRule="auto"/>
              <w:ind w:firstLine="480" w:firstLineChars="0"/>
              <w:textAlignment w:val="auto"/>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根据排涝洪水计算成果，工程河段排涝涵管如下表。</w:t>
            </w:r>
          </w:p>
          <w:p>
            <w:pPr>
              <w:widowControl/>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表2-8 </w:t>
            </w:r>
            <w:r>
              <w:rPr>
                <w:rFonts w:hint="eastAsia" w:ascii="Times New Roman" w:hAnsi="Times New Roman" w:eastAsia="宋体" w:cs="Times New Roman"/>
                <w:b/>
                <w:bCs/>
                <w:lang w:val="zh-CN" w:eastAsia="zh-CN"/>
              </w:rPr>
              <w:t>排涝涵管统计表</w:t>
            </w:r>
          </w:p>
          <w:tbl>
            <w:tblPr>
              <w:tblStyle w:val="30"/>
              <w:tblW w:w="8512"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1188"/>
              <w:gridCol w:w="1910"/>
              <w:gridCol w:w="1629"/>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trPr>
              <w:tc>
                <w:tcPr>
                  <w:tcW w:w="95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0" w:firstLineChars="0"/>
                    <w:jc w:val="center"/>
                    <w:rPr>
                      <w:rFonts w:ascii="Times New Roman" w:hAnsi="Times New Roman"/>
                      <w:bCs/>
                      <w:color w:val="auto"/>
                      <w:kern w:val="0"/>
                      <w:sz w:val="20"/>
                      <w:szCs w:val="20"/>
                      <w:highlight w:val="none"/>
                    </w:rPr>
                  </w:pPr>
                  <w:bookmarkStart w:id="30" w:name="_Toc67907340"/>
                  <w:r>
                    <w:rPr>
                      <w:rFonts w:hint="eastAsia" w:ascii="Times New Roman" w:hAnsi="Times New Roman"/>
                      <w:bCs/>
                      <w:color w:val="auto"/>
                      <w:kern w:val="0"/>
                      <w:sz w:val="20"/>
                      <w:szCs w:val="20"/>
                      <w:highlight w:val="none"/>
                    </w:rPr>
                    <w:t>位置</w:t>
                  </w:r>
                </w:p>
              </w:tc>
              <w:tc>
                <w:tcPr>
                  <w:tcW w:w="118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0" w:firstLineChars="0"/>
                    <w:jc w:val="center"/>
                    <w:rPr>
                      <w:rFonts w:ascii="Times New Roman" w:hAnsi="Times New Roman"/>
                      <w:bCs/>
                      <w:color w:val="auto"/>
                      <w:kern w:val="0"/>
                      <w:sz w:val="20"/>
                      <w:szCs w:val="20"/>
                      <w:highlight w:val="none"/>
                    </w:rPr>
                  </w:pPr>
                  <w:r>
                    <w:rPr>
                      <w:rFonts w:hint="eastAsia" w:ascii="Times New Roman" w:hAnsi="Times New Roman"/>
                      <w:bCs/>
                      <w:color w:val="auto"/>
                      <w:kern w:val="0"/>
                      <w:sz w:val="20"/>
                      <w:szCs w:val="20"/>
                      <w:highlight w:val="none"/>
                    </w:rPr>
                    <w:t>编号</w:t>
                  </w:r>
                </w:p>
              </w:tc>
              <w:tc>
                <w:tcPr>
                  <w:tcW w:w="191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0" w:firstLineChars="0"/>
                    <w:jc w:val="center"/>
                    <w:rPr>
                      <w:rFonts w:ascii="Times New Roman" w:hAnsi="Times New Roman"/>
                      <w:bCs/>
                      <w:color w:val="auto"/>
                      <w:kern w:val="0"/>
                      <w:sz w:val="20"/>
                      <w:szCs w:val="20"/>
                      <w:highlight w:val="none"/>
                    </w:rPr>
                  </w:pPr>
                  <w:r>
                    <w:rPr>
                      <w:rFonts w:hint="eastAsia" w:ascii="Times New Roman" w:hAnsi="Times New Roman"/>
                      <w:bCs/>
                      <w:color w:val="auto"/>
                      <w:kern w:val="0"/>
                      <w:sz w:val="20"/>
                      <w:szCs w:val="20"/>
                      <w:highlight w:val="none"/>
                    </w:rPr>
                    <w:t>对应桩号</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0" w:firstLineChars="0"/>
                    <w:jc w:val="center"/>
                    <w:rPr>
                      <w:rFonts w:ascii="Times New Roman" w:hAnsi="Times New Roman"/>
                      <w:bCs/>
                      <w:color w:val="auto"/>
                      <w:kern w:val="0"/>
                      <w:sz w:val="20"/>
                      <w:szCs w:val="20"/>
                      <w:highlight w:val="none"/>
                    </w:rPr>
                  </w:pPr>
                  <w:r>
                    <w:rPr>
                      <w:rFonts w:ascii="Times New Roman" w:hAnsi="Times New Roman"/>
                      <w:bCs/>
                      <w:color w:val="auto"/>
                      <w:kern w:val="0"/>
                      <w:sz w:val="20"/>
                      <w:szCs w:val="20"/>
                      <w:highlight w:val="none"/>
                    </w:rPr>
                    <w:t>Q20%</w:t>
                  </w:r>
                  <w:r>
                    <w:rPr>
                      <w:rFonts w:hint="eastAsia" w:ascii="Times New Roman" w:hAnsi="Times New Roman"/>
                      <w:bCs/>
                      <w:color w:val="auto"/>
                      <w:kern w:val="0"/>
                      <w:sz w:val="20"/>
                      <w:szCs w:val="20"/>
                      <w:highlight w:val="none"/>
                    </w:rPr>
                    <w:t>（</w:t>
                  </w:r>
                  <w:r>
                    <w:rPr>
                      <w:rFonts w:ascii="Times New Roman" w:hAnsi="Times New Roman"/>
                      <w:bCs/>
                      <w:color w:val="auto"/>
                      <w:kern w:val="0"/>
                      <w:sz w:val="20"/>
                      <w:szCs w:val="20"/>
                      <w:highlight w:val="none"/>
                    </w:rPr>
                    <w:t>m³/s</w:t>
                  </w:r>
                  <w:r>
                    <w:rPr>
                      <w:rFonts w:hint="eastAsia" w:ascii="Times New Roman" w:hAnsi="Times New Roman"/>
                      <w:bCs/>
                      <w:color w:val="auto"/>
                      <w:kern w:val="0"/>
                      <w:sz w:val="20"/>
                      <w:szCs w:val="20"/>
                      <w:highlight w:val="none"/>
                    </w:rPr>
                    <w:t>）</w:t>
                  </w:r>
                </w:p>
              </w:tc>
              <w:tc>
                <w:tcPr>
                  <w:tcW w:w="282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0" w:firstLineChars="0"/>
                    <w:jc w:val="center"/>
                    <w:rPr>
                      <w:rFonts w:ascii="Times New Roman" w:hAnsi="Times New Roman"/>
                      <w:bCs/>
                      <w:color w:val="auto"/>
                      <w:kern w:val="0"/>
                      <w:sz w:val="20"/>
                      <w:szCs w:val="20"/>
                      <w:highlight w:val="none"/>
                    </w:rPr>
                  </w:pPr>
                  <w:r>
                    <w:rPr>
                      <w:rFonts w:hint="eastAsia" w:ascii="Times New Roman" w:hAnsi="Times New Roman"/>
                      <w:bCs/>
                      <w:color w:val="auto"/>
                      <w:kern w:val="0"/>
                      <w:sz w:val="20"/>
                      <w:szCs w:val="2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58"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0" w:firstLineChars="0"/>
                    <w:jc w:val="center"/>
                    <w:rPr>
                      <w:rFonts w:ascii="Times New Roman" w:hAnsi="Times New Roman"/>
                      <w:bCs/>
                      <w:color w:val="auto"/>
                      <w:kern w:val="0"/>
                      <w:sz w:val="20"/>
                      <w:szCs w:val="20"/>
                      <w:highlight w:val="none"/>
                    </w:rPr>
                  </w:pPr>
                  <w:r>
                    <w:rPr>
                      <w:rFonts w:hint="eastAsia" w:ascii="Times New Roman" w:hAnsi="Times New Roman"/>
                      <w:bCs/>
                      <w:color w:val="auto"/>
                      <w:kern w:val="0"/>
                      <w:sz w:val="20"/>
                      <w:szCs w:val="20"/>
                      <w:highlight w:val="none"/>
                    </w:rPr>
                    <w:t>左岸</w:t>
                  </w:r>
                </w:p>
              </w:tc>
              <w:tc>
                <w:tcPr>
                  <w:tcW w:w="1188" w:type="dxa"/>
                  <w:tcBorders>
                    <w:top w:val="single" w:color="auto" w:sz="4" w:space="0"/>
                    <w:left w:val="single" w:color="auto" w:sz="4" w:space="0"/>
                    <w:bottom w:val="single" w:color="auto" w:sz="4" w:space="0"/>
                    <w:right w:val="single" w:color="auto" w:sz="4" w:space="0"/>
                  </w:tcBorders>
                  <w:noWrap w:val="0"/>
                  <w:vAlign w:val="bottom"/>
                </w:tcPr>
                <w:p>
                  <w:pPr>
                    <w:adjustRightInd w:val="0"/>
                    <w:snapToGrid w:val="0"/>
                    <w:ind w:firstLine="0" w:firstLineChars="0"/>
                    <w:jc w:val="center"/>
                    <w:rPr>
                      <w:rFonts w:ascii="Times New Roman" w:hAnsi="Times New Roman"/>
                      <w:bCs/>
                      <w:color w:val="auto"/>
                      <w:kern w:val="0"/>
                      <w:sz w:val="20"/>
                      <w:szCs w:val="20"/>
                      <w:highlight w:val="none"/>
                    </w:rPr>
                  </w:pPr>
                  <w:r>
                    <w:rPr>
                      <w:rFonts w:ascii="Times New Roman" w:hAnsi="Times New Roman"/>
                      <w:bCs/>
                      <w:color w:val="auto"/>
                      <w:kern w:val="0"/>
                      <w:sz w:val="20"/>
                      <w:szCs w:val="20"/>
                      <w:highlight w:val="none"/>
                    </w:rPr>
                    <w:t>1#</w:t>
                  </w:r>
                </w:p>
              </w:tc>
              <w:tc>
                <w:tcPr>
                  <w:tcW w:w="1910" w:type="dxa"/>
                  <w:tcBorders>
                    <w:top w:val="single" w:color="auto" w:sz="4" w:space="0"/>
                    <w:left w:val="single" w:color="auto" w:sz="4" w:space="0"/>
                    <w:bottom w:val="single" w:color="auto" w:sz="4" w:space="0"/>
                    <w:right w:val="single" w:color="auto" w:sz="4" w:space="0"/>
                  </w:tcBorders>
                  <w:noWrap w:val="0"/>
                  <w:vAlign w:val="bottom"/>
                </w:tcPr>
                <w:p>
                  <w:pPr>
                    <w:adjustRightInd w:val="0"/>
                    <w:snapToGrid w:val="0"/>
                    <w:ind w:firstLine="0" w:firstLineChars="0"/>
                    <w:jc w:val="center"/>
                    <w:rPr>
                      <w:rFonts w:hint="default" w:ascii="Times New Roman" w:hAnsi="Times New Roman" w:eastAsia="宋体"/>
                      <w:bCs/>
                      <w:color w:val="auto"/>
                      <w:kern w:val="0"/>
                      <w:sz w:val="20"/>
                      <w:szCs w:val="20"/>
                      <w:highlight w:val="none"/>
                      <w:lang w:val="en-US" w:eastAsia="zh-CN"/>
                    </w:rPr>
                  </w:pPr>
                  <w:r>
                    <w:rPr>
                      <w:rFonts w:hint="eastAsia" w:ascii="Times New Roman" w:hAnsi="Times New Roman"/>
                      <w:bCs/>
                      <w:color w:val="auto"/>
                      <w:kern w:val="0"/>
                      <w:sz w:val="20"/>
                      <w:szCs w:val="20"/>
                      <w:highlight w:val="none"/>
                      <w:lang w:val="en-US" w:eastAsia="zh-CN"/>
                    </w:rPr>
                    <w:t>K0+070.00</w:t>
                  </w:r>
                </w:p>
              </w:tc>
              <w:tc>
                <w:tcPr>
                  <w:tcW w:w="1629" w:type="dxa"/>
                  <w:tcBorders>
                    <w:top w:val="single" w:color="auto" w:sz="4" w:space="0"/>
                    <w:left w:val="single" w:color="auto" w:sz="4" w:space="0"/>
                    <w:bottom w:val="single" w:color="auto" w:sz="4" w:space="0"/>
                    <w:right w:val="single" w:color="auto" w:sz="4" w:space="0"/>
                  </w:tcBorders>
                  <w:noWrap w:val="0"/>
                  <w:vAlign w:val="bottom"/>
                </w:tcPr>
                <w:p>
                  <w:pPr>
                    <w:adjustRightInd w:val="0"/>
                    <w:snapToGrid w:val="0"/>
                    <w:ind w:firstLine="0" w:firstLineChars="0"/>
                    <w:jc w:val="center"/>
                    <w:rPr>
                      <w:rFonts w:hint="default" w:ascii="Times New Roman" w:hAnsi="Times New Roman" w:eastAsia="宋体"/>
                      <w:bCs/>
                      <w:color w:val="auto"/>
                      <w:kern w:val="0"/>
                      <w:sz w:val="20"/>
                      <w:szCs w:val="20"/>
                      <w:highlight w:val="none"/>
                      <w:lang w:val="en-US" w:eastAsia="zh-CN"/>
                    </w:rPr>
                  </w:pPr>
                  <w:r>
                    <w:rPr>
                      <w:rFonts w:hint="eastAsia" w:ascii="Times New Roman" w:hAnsi="Times New Roman"/>
                      <w:bCs/>
                      <w:color w:val="auto"/>
                      <w:kern w:val="0"/>
                      <w:sz w:val="20"/>
                      <w:szCs w:val="20"/>
                      <w:highlight w:val="none"/>
                      <w:lang w:val="en-US" w:eastAsia="zh-CN"/>
                    </w:rPr>
                    <w:t>0.23</w:t>
                  </w:r>
                </w:p>
              </w:tc>
              <w:tc>
                <w:tcPr>
                  <w:tcW w:w="2827" w:type="dxa"/>
                  <w:tcBorders>
                    <w:top w:val="single" w:color="auto" w:sz="4" w:space="0"/>
                    <w:left w:val="single" w:color="auto" w:sz="4" w:space="0"/>
                    <w:bottom w:val="single" w:color="auto" w:sz="4" w:space="0"/>
                    <w:right w:val="single" w:color="auto" w:sz="4" w:space="0"/>
                  </w:tcBorders>
                  <w:noWrap w:val="0"/>
                  <w:vAlign w:val="bottom"/>
                </w:tcPr>
                <w:p>
                  <w:pPr>
                    <w:adjustRightInd w:val="0"/>
                    <w:snapToGrid w:val="0"/>
                    <w:ind w:firstLine="0" w:firstLineChars="0"/>
                    <w:jc w:val="center"/>
                    <w:rPr>
                      <w:rFonts w:hint="eastAsia" w:ascii="Times New Roman" w:hAnsi="Times New Roman" w:eastAsia="宋体"/>
                      <w:bCs/>
                      <w:color w:val="auto"/>
                      <w:kern w:val="0"/>
                      <w:sz w:val="20"/>
                      <w:szCs w:val="20"/>
                      <w:highlight w:val="none"/>
                      <w:lang w:eastAsia="zh-CN"/>
                    </w:rPr>
                  </w:pPr>
                  <w:r>
                    <w:rPr>
                      <w:rFonts w:hint="eastAsia" w:ascii="Times New Roman" w:hAnsi="Times New Roman"/>
                      <w:bCs/>
                      <w:color w:val="auto"/>
                      <w:kern w:val="0"/>
                      <w:sz w:val="20"/>
                      <w:szCs w:val="20"/>
                      <w:highlight w:val="none"/>
                      <w:lang w:val="en-US" w:eastAsia="zh-CN"/>
                    </w:rPr>
                    <w:t>2×1m钢筋砼箱</w:t>
                  </w:r>
                  <w:r>
                    <w:rPr>
                      <w:rFonts w:hint="eastAsia" w:ascii="Times New Roman" w:hAnsi="Times New Roman"/>
                      <w:bCs/>
                      <w:color w:val="auto"/>
                      <w:kern w:val="0"/>
                      <w:sz w:val="20"/>
                      <w:szCs w:val="20"/>
                      <w:highlight w:val="none"/>
                    </w:rPr>
                    <w:t>涵</w:t>
                  </w:r>
                  <w:r>
                    <w:rPr>
                      <w:rFonts w:hint="eastAsia" w:ascii="Times New Roman" w:hAnsi="Times New Roman"/>
                      <w:bCs/>
                      <w:color w:val="auto"/>
                      <w:kern w:val="0"/>
                      <w:sz w:val="20"/>
                      <w:szCs w:val="20"/>
                      <w:highlight w:val="none"/>
                      <w:lang w:eastAsia="zh-CN"/>
                    </w:rPr>
                    <w:t>（</w:t>
                  </w:r>
                  <w:r>
                    <w:rPr>
                      <w:rFonts w:hint="eastAsia" w:ascii="Times New Roman" w:hAnsi="Times New Roman"/>
                      <w:bCs/>
                      <w:color w:val="auto"/>
                      <w:kern w:val="0"/>
                      <w:sz w:val="20"/>
                      <w:szCs w:val="20"/>
                      <w:highlight w:val="none"/>
                      <w:lang w:val="en-US" w:eastAsia="zh-CN"/>
                    </w:rPr>
                    <w:t>长12m</w:t>
                  </w:r>
                  <w:r>
                    <w:rPr>
                      <w:rFonts w:hint="eastAsia" w:ascii="Times New Roman" w:hAnsi="Times New Roman"/>
                      <w:bCs/>
                      <w:color w:val="auto"/>
                      <w:kern w:val="0"/>
                      <w:sz w:val="20"/>
                      <w:szCs w:val="20"/>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5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left"/>
                    <w:rPr>
                      <w:rFonts w:ascii="Times New Roman" w:hAnsi="Times New Roman"/>
                      <w:bCs/>
                      <w:color w:val="auto"/>
                      <w:kern w:val="0"/>
                      <w:sz w:val="20"/>
                      <w:szCs w:val="20"/>
                      <w:highlight w:val="none"/>
                    </w:rPr>
                  </w:pPr>
                </w:p>
              </w:tc>
              <w:tc>
                <w:tcPr>
                  <w:tcW w:w="1188" w:type="dxa"/>
                  <w:tcBorders>
                    <w:top w:val="single" w:color="auto" w:sz="4" w:space="0"/>
                    <w:left w:val="single" w:color="auto" w:sz="4" w:space="0"/>
                    <w:bottom w:val="single" w:color="auto" w:sz="4" w:space="0"/>
                    <w:right w:val="single" w:color="auto" w:sz="4" w:space="0"/>
                  </w:tcBorders>
                  <w:noWrap w:val="0"/>
                  <w:vAlign w:val="bottom"/>
                </w:tcPr>
                <w:p>
                  <w:pPr>
                    <w:adjustRightInd w:val="0"/>
                    <w:snapToGrid w:val="0"/>
                    <w:ind w:firstLine="0" w:firstLineChars="0"/>
                    <w:jc w:val="center"/>
                    <w:rPr>
                      <w:rFonts w:ascii="Times New Roman" w:hAnsi="Times New Roman"/>
                      <w:bCs/>
                      <w:color w:val="auto"/>
                      <w:kern w:val="0"/>
                      <w:sz w:val="20"/>
                      <w:szCs w:val="20"/>
                      <w:highlight w:val="none"/>
                    </w:rPr>
                  </w:pPr>
                  <w:r>
                    <w:rPr>
                      <w:rFonts w:ascii="Times New Roman" w:hAnsi="Times New Roman"/>
                      <w:bCs/>
                      <w:color w:val="auto"/>
                      <w:kern w:val="0"/>
                      <w:sz w:val="20"/>
                      <w:szCs w:val="20"/>
                      <w:highlight w:val="none"/>
                    </w:rPr>
                    <w:t>2#</w:t>
                  </w:r>
                </w:p>
              </w:tc>
              <w:tc>
                <w:tcPr>
                  <w:tcW w:w="1910" w:type="dxa"/>
                  <w:tcBorders>
                    <w:top w:val="single" w:color="auto" w:sz="4" w:space="0"/>
                    <w:left w:val="single" w:color="auto" w:sz="4" w:space="0"/>
                    <w:bottom w:val="single" w:color="auto" w:sz="4" w:space="0"/>
                    <w:right w:val="single" w:color="auto" w:sz="4" w:space="0"/>
                  </w:tcBorders>
                  <w:noWrap w:val="0"/>
                  <w:vAlign w:val="bottom"/>
                </w:tcPr>
                <w:p>
                  <w:pPr>
                    <w:adjustRightInd w:val="0"/>
                    <w:snapToGrid w:val="0"/>
                    <w:ind w:firstLine="0" w:firstLineChars="0"/>
                    <w:jc w:val="center"/>
                    <w:rPr>
                      <w:rFonts w:hint="default" w:ascii="Times New Roman" w:hAnsi="Times New Roman" w:eastAsia="宋体"/>
                      <w:bCs/>
                      <w:color w:val="auto"/>
                      <w:kern w:val="0"/>
                      <w:sz w:val="20"/>
                      <w:szCs w:val="20"/>
                      <w:highlight w:val="none"/>
                      <w:lang w:val="en-US" w:eastAsia="zh-CN"/>
                    </w:rPr>
                  </w:pPr>
                  <w:r>
                    <w:rPr>
                      <w:rFonts w:hint="eastAsia" w:ascii="Times New Roman" w:hAnsi="Times New Roman"/>
                      <w:bCs/>
                      <w:color w:val="auto"/>
                      <w:kern w:val="0"/>
                      <w:sz w:val="20"/>
                      <w:szCs w:val="20"/>
                      <w:highlight w:val="none"/>
                      <w:lang w:val="en-US" w:eastAsia="zh-CN"/>
                    </w:rPr>
                    <w:t>K0+370.00</w:t>
                  </w:r>
                </w:p>
              </w:tc>
              <w:tc>
                <w:tcPr>
                  <w:tcW w:w="1629" w:type="dxa"/>
                  <w:tcBorders>
                    <w:top w:val="single" w:color="auto" w:sz="4" w:space="0"/>
                    <w:left w:val="single" w:color="auto" w:sz="4" w:space="0"/>
                    <w:bottom w:val="single" w:color="auto" w:sz="4" w:space="0"/>
                    <w:right w:val="single" w:color="auto" w:sz="4" w:space="0"/>
                  </w:tcBorders>
                  <w:noWrap w:val="0"/>
                  <w:vAlign w:val="bottom"/>
                </w:tcPr>
                <w:p>
                  <w:pPr>
                    <w:adjustRightInd w:val="0"/>
                    <w:snapToGrid w:val="0"/>
                    <w:ind w:firstLine="0" w:firstLineChars="0"/>
                    <w:jc w:val="center"/>
                    <w:rPr>
                      <w:rFonts w:hint="default" w:ascii="Times New Roman" w:hAnsi="Times New Roman" w:eastAsia="宋体"/>
                      <w:bCs/>
                      <w:color w:val="auto"/>
                      <w:kern w:val="0"/>
                      <w:sz w:val="20"/>
                      <w:szCs w:val="20"/>
                      <w:highlight w:val="none"/>
                      <w:lang w:val="en-US" w:eastAsia="zh-CN"/>
                    </w:rPr>
                  </w:pPr>
                  <w:r>
                    <w:rPr>
                      <w:rFonts w:hint="eastAsia" w:ascii="Times New Roman" w:hAnsi="Times New Roman"/>
                      <w:bCs/>
                      <w:color w:val="auto"/>
                      <w:kern w:val="0"/>
                      <w:sz w:val="20"/>
                      <w:szCs w:val="20"/>
                      <w:highlight w:val="none"/>
                      <w:lang w:val="en-US" w:eastAsia="zh-CN"/>
                    </w:rPr>
                    <w:t>0.042</w:t>
                  </w:r>
                </w:p>
              </w:tc>
              <w:tc>
                <w:tcPr>
                  <w:tcW w:w="2827" w:type="dxa"/>
                  <w:tcBorders>
                    <w:top w:val="single" w:color="auto" w:sz="4" w:space="0"/>
                    <w:left w:val="single" w:color="auto" w:sz="4" w:space="0"/>
                    <w:bottom w:val="single" w:color="auto" w:sz="4" w:space="0"/>
                    <w:right w:val="single" w:color="auto" w:sz="4" w:space="0"/>
                  </w:tcBorders>
                  <w:noWrap w:val="0"/>
                  <w:vAlign w:val="bottom"/>
                </w:tcPr>
                <w:p>
                  <w:pPr>
                    <w:adjustRightInd w:val="0"/>
                    <w:snapToGrid w:val="0"/>
                    <w:ind w:firstLine="0" w:firstLineChars="0"/>
                    <w:jc w:val="center"/>
                    <w:rPr>
                      <w:rFonts w:ascii="Times New Roman" w:hAnsi="Times New Roman"/>
                      <w:bCs/>
                      <w:color w:val="auto"/>
                      <w:kern w:val="0"/>
                      <w:sz w:val="20"/>
                      <w:szCs w:val="20"/>
                      <w:highlight w:val="none"/>
                    </w:rPr>
                  </w:pPr>
                  <w:r>
                    <w:rPr>
                      <w:rFonts w:hint="eastAsia" w:ascii="Times New Roman" w:hAnsi="Times New Roman"/>
                      <w:bCs/>
                      <w:color w:val="auto"/>
                      <w:kern w:val="0"/>
                      <w:sz w:val="20"/>
                      <w:szCs w:val="20"/>
                      <w:highlight w:val="none"/>
                      <w:lang w:val="en-US" w:eastAsia="zh-CN"/>
                    </w:rPr>
                    <w:t>Φ300预制砼</w:t>
                  </w:r>
                  <w:r>
                    <w:rPr>
                      <w:rFonts w:hint="eastAsia" w:ascii="Times New Roman" w:hAnsi="Times New Roman"/>
                      <w:bCs/>
                      <w:color w:val="auto"/>
                      <w:kern w:val="0"/>
                      <w:sz w:val="20"/>
                      <w:szCs w:val="20"/>
                      <w:highlight w:val="none"/>
                    </w:rPr>
                    <w:t>涵管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58"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default" w:ascii="Times New Roman" w:hAnsi="Times New Roman" w:eastAsia="宋体"/>
                      <w:bCs/>
                      <w:color w:val="auto"/>
                      <w:kern w:val="0"/>
                      <w:sz w:val="20"/>
                      <w:szCs w:val="20"/>
                      <w:highlight w:val="none"/>
                      <w:lang w:val="en-US" w:eastAsia="zh-CN" w:bidi="ar-SA"/>
                    </w:rPr>
                  </w:pPr>
                  <w:r>
                    <w:rPr>
                      <w:rFonts w:hint="eastAsia" w:ascii="Times New Roman" w:hAnsi="Times New Roman"/>
                      <w:bCs/>
                      <w:color w:val="auto"/>
                      <w:kern w:val="0"/>
                      <w:sz w:val="20"/>
                      <w:szCs w:val="20"/>
                      <w:highlight w:val="none"/>
                      <w:lang w:val="en-US" w:eastAsia="zh-CN"/>
                    </w:rPr>
                    <w:t>右岸</w:t>
                  </w:r>
                </w:p>
              </w:tc>
              <w:tc>
                <w:tcPr>
                  <w:tcW w:w="1188" w:type="dxa"/>
                  <w:tcBorders>
                    <w:top w:val="single" w:color="auto" w:sz="4" w:space="0"/>
                    <w:left w:val="single" w:color="auto" w:sz="4" w:space="0"/>
                    <w:bottom w:val="single" w:color="auto" w:sz="4" w:space="0"/>
                    <w:right w:val="single" w:color="auto" w:sz="4" w:space="0"/>
                  </w:tcBorders>
                  <w:noWrap w:val="0"/>
                  <w:vAlign w:val="bottom"/>
                </w:tcPr>
                <w:p>
                  <w:pPr>
                    <w:adjustRightInd w:val="0"/>
                    <w:snapToGrid w:val="0"/>
                    <w:ind w:firstLine="0" w:firstLineChars="0"/>
                    <w:jc w:val="center"/>
                    <w:rPr>
                      <w:rFonts w:hint="default" w:ascii="Times New Roman" w:hAnsi="Times New Roman" w:eastAsia="宋体"/>
                      <w:bCs/>
                      <w:color w:val="auto"/>
                      <w:kern w:val="0"/>
                      <w:sz w:val="20"/>
                      <w:szCs w:val="20"/>
                      <w:highlight w:val="none"/>
                      <w:lang w:val="en-US" w:eastAsia="zh-CN" w:bidi="ar-SA"/>
                    </w:rPr>
                  </w:pPr>
                  <w:r>
                    <w:rPr>
                      <w:rFonts w:hint="eastAsia" w:ascii="Times New Roman" w:hAnsi="Times New Roman"/>
                      <w:bCs/>
                      <w:color w:val="auto"/>
                      <w:kern w:val="0"/>
                      <w:sz w:val="20"/>
                      <w:szCs w:val="20"/>
                      <w:highlight w:val="none"/>
                      <w:lang w:val="en-US" w:eastAsia="zh-CN"/>
                    </w:rPr>
                    <w:t>3#</w:t>
                  </w:r>
                </w:p>
              </w:tc>
              <w:tc>
                <w:tcPr>
                  <w:tcW w:w="1910" w:type="dxa"/>
                  <w:tcBorders>
                    <w:top w:val="single" w:color="auto" w:sz="4" w:space="0"/>
                    <w:left w:val="single" w:color="auto" w:sz="4" w:space="0"/>
                    <w:bottom w:val="single" w:color="auto" w:sz="4" w:space="0"/>
                    <w:right w:val="single" w:color="auto" w:sz="4" w:space="0"/>
                  </w:tcBorders>
                  <w:noWrap w:val="0"/>
                  <w:vAlign w:val="bottom"/>
                </w:tcPr>
                <w:p>
                  <w:pPr>
                    <w:adjustRightInd w:val="0"/>
                    <w:snapToGrid w:val="0"/>
                    <w:ind w:firstLine="0" w:firstLineChars="0"/>
                    <w:jc w:val="center"/>
                    <w:rPr>
                      <w:rFonts w:hint="eastAsia" w:ascii="Times New Roman" w:hAnsi="Times New Roman"/>
                      <w:bCs/>
                      <w:color w:val="auto"/>
                      <w:kern w:val="0"/>
                      <w:sz w:val="20"/>
                      <w:szCs w:val="20"/>
                      <w:highlight w:val="none"/>
                      <w:lang w:val="en-US" w:eastAsia="zh-CN" w:bidi="ar-SA"/>
                    </w:rPr>
                  </w:pPr>
                  <w:r>
                    <w:rPr>
                      <w:rFonts w:hint="eastAsia" w:ascii="Times New Roman" w:hAnsi="Times New Roman"/>
                      <w:bCs/>
                      <w:color w:val="auto"/>
                      <w:kern w:val="0"/>
                      <w:sz w:val="20"/>
                      <w:szCs w:val="20"/>
                      <w:highlight w:val="none"/>
                      <w:lang w:val="en-US" w:eastAsia="zh-CN"/>
                    </w:rPr>
                    <w:t>K0+178.00</w:t>
                  </w:r>
                </w:p>
              </w:tc>
              <w:tc>
                <w:tcPr>
                  <w:tcW w:w="1629" w:type="dxa"/>
                  <w:tcBorders>
                    <w:top w:val="single" w:color="auto" w:sz="4" w:space="0"/>
                    <w:left w:val="single" w:color="auto" w:sz="4" w:space="0"/>
                    <w:bottom w:val="single" w:color="auto" w:sz="4" w:space="0"/>
                    <w:right w:val="single" w:color="auto" w:sz="4" w:space="0"/>
                  </w:tcBorders>
                  <w:noWrap w:val="0"/>
                  <w:vAlign w:val="bottom"/>
                </w:tcPr>
                <w:p>
                  <w:pPr>
                    <w:adjustRightInd w:val="0"/>
                    <w:snapToGrid w:val="0"/>
                    <w:ind w:firstLine="0" w:firstLineChars="0"/>
                    <w:jc w:val="center"/>
                    <w:rPr>
                      <w:rFonts w:hint="default" w:ascii="Times New Roman" w:hAnsi="Times New Roman"/>
                      <w:bCs/>
                      <w:color w:val="auto"/>
                      <w:kern w:val="0"/>
                      <w:sz w:val="20"/>
                      <w:szCs w:val="20"/>
                      <w:highlight w:val="none"/>
                      <w:lang w:val="en-US" w:eastAsia="zh-CN"/>
                    </w:rPr>
                  </w:pPr>
                  <w:r>
                    <w:rPr>
                      <w:rFonts w:hint="eastAsia" w:ascii="Times New Roman" w:hAnsi="Times New Roman"/>
                      <w:bCs/>
                      <w:color w:val="auto"/>
                      <w:kern w:val="0"/>
                      <w:sz w:val="20"/>
                      <w:szCs w:val="20"/>
                      <w:highlight w:val="none"/>
                      <w:lang w:val="en-US" w:eastAsia="zh-CN"/>
                    </w:rPr>
                    <w:t>0.01</w:t>
                  </w:r>
                </w:p>
              </w:tc>
              <w:tc>
                <w:tcPr>
                  <w:tcW w:w="2827" w:type="dxa"/>
                  <w:tcBorders>
                    <w:top w:val="single" w:color="auto" w:sz="4" w:space="0"/>
                    <w:left w:val="single" w:color="auto" w:sz="4" w:space="0"/>
                    <w:bottom w:val="single" w:color="auto" w:sz="4" w:space="0"/>
                    <w:right w:val="single" w:color="auto" w:sz="4" w:space="0"/>
                  </w:tcBorders>
                  <w:noWrap w:val="0"/>
                  <w:vAlign w:val="bottom"/>
                </w:tcPr>
                <w:p>
                  <w:pPr>
                    <w:adjustRightInd w:val="0"/>
                    <w:snapToGrid w:val="0"/>
                    <w:ind w:firstLine="0" w:firstLineChars="0"/>
                    <w:jc w:val="center"/>
                    <w:rPr>
                      <w:rFonts w:hint="eastAsia" w:ascii="Times New Roman" w:hAnsi="Times New Roman"/>
                      <w:bCs/>
                      <w:color w:val="auto"/>
                      <w:kern w:val="0"/>
                      <w:sz w:val="20"/>
                      <w:szCs w:val="20"/>
                      <w:highlight w:val="none"/>
                      <w:lang w:val="en-US" w:eastAsia="zh-CN"/>
                    </w:rPr>
                  </w:pPr>
                  <w:r>
                    <w:rPr>
                      <w:rFonts w:hint="eastAsia" w:ascii="Times New Roman" w:hAnsi="Times New Roman"/>
                      <w:bCs/>
                      <w:color w:val="auto"/>
                      <w:kern w:val="0"/>
                      <w:sz w:val="20"/>
                      <w:szCs w:val="20"/>
                      <w:highlight w:val="none"/>
                      <w:lang w:val="en-US" w:eastAsia="zh-CN"/>
                    </w:rPr>
                    <w:t>Φ300预制砼</w:t>
                  </w:r>
                  <w:r>
                    <w:rPr>
                      <w:rFonts w:hint="eastAsia" w:ascii="Times New Roman" w:hAnsi="Times New Roman"/>
                      <w:bCs/>
                      <w:color w:val="auto"/>
                      <w:kern w:val="0"/>
                      <w:sz w:val="20"/>
                      <w:szCs w:val="20"/>
                      <w:highlight w:val="none"/>
                    </w:rPr>
                    <w:t>涵管</w:t>
                  </w:r>
                </w:p>
              </w:tc>
            </w:tr>
          </w:tbl>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7</w:t>
            </w:r>
            <w:r>
              <w:rPr>
                <w:rFonts w:hint="default" w:ascii="Times New Roman" w:hAnsi="Times New Roman" w:eastAsia="宋体" w:cs="Times New Roman"/>
                <w:b/>
                <w:bCs/>
                <w:color w:val="000000"/>
                <w:sz w:val="24"/>
                <w:szCs w:val="24"/>
                <w:lang w:val="en-US" w:eastAsia="zh-CN"/>
              </w:rPr>
              <w:t>.</w:t>
            </w:r>
            <w:r>
              <w:rPr>
                <w:rFonts w:hint="eastAsia" w:ascii="Times New Roman" w:hAnsi="Times New Roman" w:eastAsia="宋体" w:cs="Times New Roman"/>
                <w:b/>
                <w:bCs/>
                <w:color w:val="000000"/>
                <w:sz w:val="24"/>
                <w:szCs w:val="24"/>
                <w:lang w:val="en-US" w:eastAsia="zh-CN"/>
              </w:rPr>
              <w:t>7</w:t>
            </w:r>
            <w:bookmarkEnd w:id="30"/>
            <w:bookmarkStart w:id="31" w:name="_Toc1274"/>
            <w:r>
              <w:rPr>
                <w:rFonts w:hint="eastAsia" w:ascii="Times New Roman" w:hAnsi="Times New Roman" w:eastAsia="宋体" w:cs="Times New Roman"/>
                <w:b/>
                <w:bCs/>
                <w:color w:val="000000"/>
                <w:sz w:val="24"/>
                <w:szCs w:val="24"/>
                <w:lang w:val="en-US" w:eastAsia="zh-CN"/>
              </w:rPr>
              <w:t>河道清淤设计</w:t>
            </w:r>
            <w:bookmarkEnd w:id="31"/>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color w:val="auto"/>
                <w:highlight w:val="none"/>
              </w:rPr>
            </w:pPr>
            <w:r>
              <w:rPr>
                <w:rFonts w:hint="eastAsia" w:cs="Times New Roman"/>
                <w:kern w:val="2"/>
                <w:sz w:val="24"/>
                <w:szCs w:val="24"/>
                <w:lang w:val="en-US" w:eastAsia="zh-CN" w:bidi="ar-SA"/>
              </w:rPr>
              <w:t>广元市昭化区重点采煤沉陷区生态环境综合治理项目</w:t>
            </w:r>
            <w:r>
              <w:rPr>
                <w:rFonts w:hint="eastAsia" w:ascii="Times New Roman" w:hAnsi="Times New Roman" w:eastAsia="宋体" w:cs="Times New Roman"/>
                <w:kern w:val="2"/>
                <w:sz w:val="24"/>
                <w:szCs w:val="24"/>
                <w:lang w:val="en-US" w:eastAsia="zh-CN" w:bidi="ar-SA"/>
              </w:rPr>
              <w:t>清淤起点桩号K0+000.00，清淤终点K0+250.00,清淤长度250m，清淤量700m³，清淤料用于</w:t>
            </w:r>
            <w:r>
              <w:rPr>
                <w:rFonts w:hint="eastAsia" w:cs="Times New Roman"/>
                <w:kern w:val="2"/>
                <w:sz w:val="24"/>
                <w:szCs w:val="24"/>
                <w:lang w:val="en-US" w:eastAsia="zh-CN" w:bidi="ar-SA"/>
              </w:rPr>
              <w:t>工程</w:t>
            </w:r>
            <w:r>
              <w:rPr>
                <w:rFonts w:hint="eastAsia" w:ascii="Times New Roman" w:hAnsi="Times New Roman" w:eastAsia="宋体" w:cs="Times New Roman"/>
                <w:kern w:val="2"/>
                <w:sz w:val="24"/>
                <w:szCs w:val="24"/>
                <w:lang w:val="en-US" w:eastAsia="zh-CN" w:bidi="ar-SA"/>
              </w:rPr>
              <w:t>河道回填。</w:t>
            </w:r>
          </w:p>
          <w:p>
            <w:pPr>
              <w:pStyle w:val="5"/>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eastAsia"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8、管理机构及定员</w:t>
            </w:r>
          </w:p>
          <w:p>
            <w:pPr>
              <w:pStyle w:val="26"/>
              <w:keepNext/>
              <w:keepLines/>
              <w:widowControl w:val="0"/>
              <w:numPr>
                <w:ilvl w:val="1"/>
                <w:numId w:val="0"/>
              </w:numPr>
              <w:tabs>
                <w:tab w:val="left" w:pos="0"/>
              </w:tabs>
              <w:spacing w:before="0" w:beforeAutospacing="0" w:after="0" w:afterAutospacing="0" w:line="360" w:lineRule="auto"/>
              <w:ind w:firstLine="480" w:firstLineChars="200"/>
              <w:jc w:val="both"/>
              <w:outlineLvl w:val="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本工程建设期由广元市昭化区东盛国有投资有限公司负责，全权负责工程的实施和管理，工程建成后，</w:t>
            </w:r>
            <w:bookmarkStart w:id="32" w:name="_Toc66889206"/>
            <w:r>
              <w:rPr>
                <w:rFonts w:hint="eastAsia" w:ascii="Times New Roman" w:hAnsi="Times New Roman" w:eastAsia="宋体" w:cs="Times New Roman"/>
                <w:sz w:val="24"/>
                <w:szCs w:val="24"/>
                <w:lang w:val="en-US" w:eastAsia="zh-CN"/>
              </w:rPr>
              <w:t>移交给广元市昭化区元坝镇，工程建设和运行管理由河湖保护站负责，防汛工作由昭化区水旱灾害防御中心指导，业务管理由水务局负责。其人员纳入水务局统一管理，本工程不新增管理人员编制，若遇非常情况（汛期）人员不足，可选用临时人员协助工作。</w:t>
            </w:r>
          </w:p>
          <w:p>
            <w:pPr>
              <w:pStyle w:val="26"/>
              <w:keepNext/>
              <w:keepLines/>
              <w:widowControl w:val="0"/>
              <w:numPr>
                <w:ilvl w:val="1"/>
                <w:numId w:val="0"/>
              </w:numPr>
              <w:tabs>
                <w:tab w:val="left" w:pos="0"/>
              </w:tabs>
              <w:spacing w:before="0" w:beforeAutospacing="0" w:after="0" w:afterAutospacing="0" w:line="360" w:lineRule="auto"/>
              <w:ind w:firstLine="482" w:firstLineChars="200"/>
              <w:jc w:val="both"/>
              <w:outlineLvl w:val="1"/>
              <w:rPr>
                <w:rFonts w:hint="eastAsia" w:ascii="Times New Roman" w:hAnsi="Times New Roman" w:eastAsia="宋体" w:cs="Times New Roman"/>
                <w:b/>
                <w:bCs/>
                <w:color w:val="auto"/>
                <w:kern w:val="2"/>
                <w:sz w:val="24"/>
                <w:szCs w:val="24"/>
                <w:lang w:eastAsia="zh-CN"/>
              </w:rPr>
            </w:pPr>
            <w:r>
              <w:rPr>
                <w:rFonts w:hint="eastAsia" w:ascii="Times New Roman" w:hAnsi="Times New Roman" w:cs="Times New Roman"/>
                <w:b/>
                <w:bCs/>
                <w:color w:val="auto"/>
                <w:kern w:val="2"/>
                <w:sz w:val="24"/>
                <w:szCs w:val="24"/>
                <w:lang w:val="en-US" w:eastAsia="zh-CN"/>
              </w:rPr>
              <w:t>9</w:t>
            </w:r>
            <w:r>
              <w:rPr>
                <w:rFonts w:hint="default" w:ascii="Times New Roman" w:hAnsi="Times New Roman" w:cs="Times New Roman"/>
                <w:b/>
                <w:bCs/>
                <w:color w:val="auto"/>
                <w:kern w:val="2"/>
                <w:sz w:val="24"/>
                <w:szCs w:val="24"/>
                <w:lang w:val="en-US" w:eastAsia="zh-CN"/>
              </w:rPr>
              <w:t>、</w:t>
            </w:r>
            <w:r>
              <w:rPr>
                <w:rFonts w:hint="default" w:ascii="Times New Roman" w:hAnsi="Times New Roman" w:cs="Times New Roman"/>
                <w:b/>
                <w:bCs/>
                <w:color w:val="auto"/>
                <w:kern w:val="2"/>
                <w:sz w:val="24"/>
                <w:szCs w:val="24"/>
              </w:rPr>
              <w:t>占地</w:t>
            </w:r>
            <w:bookmarkEnd w:id="32"/>
            <w:r>
              <w:rPr>
                <w:rFonts w:hint="eastAsia" w:ascii="Times New Roman" w:hAnsi="Times New Roman" w:cs="Times New Roman"/>
                <w:b/>
                <w:bCs/>
                <w:color w:val="auto"/>
                <w:kern w:val="2"/>
                <w:sz w:val="24"/>
                <w:szCs w:val="24"/>
                <w:lang w:eastAsia="zh-CN"/>
              </w:rPr>
              <w:t>及拆迁</w:t>
            </w:r>
          </w:p>
          <w:p>
            <w:pPr>
              <w:pStyle w:val="81"/>
              <w:ind w:firstLine="480"/>
              <w:rPr>
                <w:rFonts w:hint="eastAsia" w:ascii="Times New Roman" w:hAnsi="Times New Roman" w:eastAsia="宋体" w:cs="Times New Roman"/>
                <w:sz w:val="24"/>
                <w:szCs w:val="24"/>
                <w:lang w:val="en-US" w:eastAsia="zh-CN"/>
              </w:rPr>
            </w:pPr>
            <w:bookmarkStart w:id="33" w:name="_Toc66889207"/>
            <w:r>
              <w:rPr>
                <w:rFonts w:hint="eastAsia" w:ascii="Times New Roman" w:hAnsi="Times New Roman" w:eastAsia="宋体" w:cs="Times New Roman"/>
                <w:sz w:val="24"/>
                <w:szCs w:val="24"/>
                <w:lang w:val="en-US" w:eastAsia="zh-CN"/>
              </w:rPr>
              <w:t>（1）工程占地</w:t>
            </w:r>
          </w:p>
          <w:p>
            <w:pPr>
              <w:pStyle w:val="81"/>
              <w:ind w:firstLine="48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本工程征收征用各类土地面积13.93亩，其中工程永久征地区8.98亩（耕地3.03亩、</w:t>
            </w:r>
            <w:r>
              <w:rPr>
                <w:rFonts w:hint="eastAsia" w:ascii="Times New Roman" w:eastAsia="宋体" w:cs="Times New Roman"/>
                <w:color w:val="auto"/>
                <w:sz w:val="24"/>
                <w:szCs w:val="24"/>
                <w:highlight w:val="none"/>
              </w:rPr>
              <w:t>水域滩涂</w:t>
            </w:r>
            <w:r>
              <w:rPr>
                <w:rFonts w:hint="eastAsia" w:ascii="Times New Roman" w:eastAsia="宋体" w:cs="Times New Roman"/>
                <w:color w:val="auto"/>
                <w:sz w:val="24"/>
                <w:szCs w:val="24"/>
                <w:highlight w:val="none"/>
                <w:lang w:val="en-US" w:eastAsia="zh-CN"/>
              </w:rPr>
              <w:t>5.95</w:t>
            </w:r>
            <w:r>
              <w:rPr>
                <w:rFonts w:hint="eastAsia" w:ascii="Times New Roman" w:eastAsia="宋体" w:cs="Times New Roman"/>
                <w:color w:val="auto"/>
                <w:sz w:val="24"/>
                <w:szCs w:val="24"/>
                <w:highlight w:val="none"/>
              </w:rPr>
              <w:t>亩</w:t>
            </w:r>
            <w:r>
              <w:rPr>
                <w:rFonts w:hint="eastAsia" w:ascii="Times New Roman" w:hAnsi="Times New Roman" w:eastAsia="宋体" w:cs="Times New Roman"/>
                <w:sz w:val="24"/>
                <w:szCs w:val="24"/>
                <w:lang w:val="en-US" w:eastAsia="zh-CN"/>
              </w:rPr>
              <w:t>），临时征用土地4.95亩（耕地4.95亩）。本工程实物调查汇总成果详见表2-8。</w:t>
            </w:r>
          </w:p>
          <w:p>
            <w:pPr>
              <w:widowControl/>
              <w:jc w:val="center"/>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2-9  工程建设征地实物指标汇总表</w:t>
            </w:r>
          </w:p>
          <w:tbl>
            <w:tblPr>
              <w:tblStyle w:val="116"/>
              <w:tblW w:w="789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958"/>
              <w:gridCol w:w="722"/>
              <w:gridCol w:w="1515"/>
              <w:gridCol w:w="1380"/>
              <w:gridCol w:w="14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5" w:type="dxa"/>
                  <w:vMerge w:val="restart"/>
                  <w:noWrap w:val="0"/>
                  <w:vAlign w:val="center"/>
                </w:tcPr>
                <w:p>
                  <w:pPr>
                    <w:pStyle w:val="115"/>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序号</w:t>
                  </w:r>
                </w:p>
              </w:tc>
              <w:tc>
                <w:tcPr>
                  <w:tcW w:w="1958" w:type="dxa"/>
                  <w:vMerge w:val="restart"/>
                  <w:noWrap w:val="0"/>
                  <w:vAlign w:val="center"/>
                </w:tcPr>
                <w:p>
                  <w:pPr>
                    <w:pStyle w:val="115"/>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项      目</w:t>
                  </w:r>
                </w:p>
              </w:tc>
              <w:tc>
                <w:tcPr>
                  <w:tcW w:w="722" w:type="dxa"/>
                  <w:vMerge w:val="restart"/>
                  <w:noWrap w:val="0"/>
                  <w:vAlign w:val="center"/>
                </w:tcPr>
                <w:p>
                  <w:pPr>
                    <w:pStyle w:val="115"/>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单位</w:t>
                  </w:r>
                </w:p>
              </w:tc>
              <w:tc>
                <w:tcPr>
                  <w:tcW w:w="4365" w:type="dxa"/>
                  <w:gridSpan w:val="3"/>
                  <w:noWrap w:val="0"/>
                  <w:vAlign w:val="center"/>
                </w:tcPr>
                <w:p>
                  <w:pPr>
                    <w:pStyle w:val="115"/>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工程建设区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45" w:type="dxa"/>
                  <w:vMerge w:val="continue"/>
                  <w:noWrap w:val="0"/>
                  <w:vAlign w:val="center"/>
                </w:tcPr>
                <w:p>
                  <w:pPr>
                    <w:pStyle w:val="115"/>
                    <w:rPr>
                      <w:rFonts w:hint="default" w:ascii="Times New Roman" w:hAnsi="Times New Roman" w:eastAsia="新宋体" w:cs="Times New Roman"/>
                      <w:sz w:val="21"/>
                      <w:szCs w:val="21"/>
                    </w:rPr>
                  </w:pPr>
                </w:p>
              </w:tc>
              <w:tc>
                <w:tcPr>
                  <w:tcW w:w="1958" w:type="dxa"/>
                  <w:vMerge w:val="continue"/>
                  <w:noWrap w:val="0"/>
                  <w:vAlign w:val="center"/>
                </w:tcPr>
                <w:p>
                  <w:pPr>
                    <w:pStyle w:val="115"/>
                    <w:rPr>
                      <w:rFonts w:hint="default" w:ascii="Times New Roman" w:hAnsi="Times New Roman" w:eastAsia="新宋体" w:cs="Times New Roman"/>
                      <w:sz w:val="21"/>
                      <w:szCs w:val="21"/>
                    </w:rPr>
                  </w:pPr>
                </w:p>
              </w:tc>
              <w:tc>
                <w:tcPr>
                  <w:tcW w:w="722" w:type="dxa"/>
                  <w:vMerge w:val="continue"/>
                  <w:noWrap w:val="0"/>
                  <w:vAlign w:val="center"/>
                </w:tcPr>
                <w:p>
                  <w:pPr>
                    <w:pStyle w:val="115"/>
                    <w:rPr>
                      <w:rFonts w:hint="default" w:ascii="Times New Roman" w:hAnsi="Times New Roman" w:eastAsia="新宋体" w:cs="Times New Roman"/>
                      <w:sz w:val="21"/>
                      <w:szCs w:val="21"/>
                    </w:rPr>
                  </w:pPr>
                </w:p>
              </w:tc>
              <w:tc>
                <w:tcPr>
                  <w:tcW w:w="1515" w:type="dxa"/>
                  <w:noWrap w:val="0"/>
                  <w:vAlign w:val="center"/>
                </w:tcPr>
                <w:p>
                  <w:pPr>
                    <w:pStyle w:val="115"/>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合计</w:t>
                  </w:r>
                </w:p>
              </w:tc>
              <w:tc>
                <w:tcPr>
                  <w:tcW w:w="1380" w:type="dxa"/>
                  <w:noWrap w:val="0"/>
                  <w:vAlign w:val="center"/>
                </w:tcPr>
                <w:p>
                  <w:pPr>
                    <w:pStyle w:val="115"/>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永久征地区</w:t>
                  </w:r>
                </w:p>
              </w:tc>
              <w:tc>
                <w:tcPr>
                  <w:tcW w:w="1470" w:type="dxa"/>
                  <w:noWrap w:val="0"/>
                  <w:vAlign w:val="center"/>
                </w:tcPr>
                <w:p>
                  <w:pPr>
                    <w:pStyle w:val="115"/>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临时用地区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5" w:type="dxa"/>
                  <w:noWrap w:val="0"/>
                  <w:vAlign w:val="center"/>
                </w:tcPr>
                <w:p>
                  <w:pPr>
                    <w:pStyle w:val="115"/>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（一）</w:t>
                  </w:r>
                </w:p>
              </w:tc>
              <w:tc>
                <w:tcPr>
                  <w:tcW w:w="1958" w:type="dxa"/>
                  <w:noWrap w:val="0"/>
                  <w:vAlign w:val="center"/>
                </w:tcPr>
                <w:p>
                  <w:pPr>
                    <w:pStyle w:val="115"/>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土地面积</w:t>
                  </w:r>
                </w:p>
              </w:tc>
              <w:tc>
                <w:tcPr>
                  <w:tcW w:w="722" w:type="dxa"/>
                  <w:noWrap w:val="0"/>
                  <w:vAlign w:val="center"/>
                </w:tcPr>
                <w:p>
                  <w:pPr>
                    <w:pStyle w:val="115"/>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亩</w:t>
                  </w:r>
                </w:p>
              </w:tc>
              <w:tc>
                <w:tcPr>
                  <w:tcW w:w="1515" w:type="dxa"/>
                  <w:noWrap w:val="0"/>
                  <w:vAlign w:val="center"/>
                </w:tcPr>
                <w:p>
                  <w:pPr>
                    <w:pStyle w:val="115"/>
                    <w:rPr>
                      <w:rFonts w:hint="default" w:ascii="Times New Roman" w:hAnsi="Times New Roman" w:eastAsia="新宋体" w:cs="Times New Roman"/>
                      <w:sz w:val="21"/>
                      <w:szCs w:val="21"/>
                      <w:lang w:val="en-US" w:eastAsia="zh-CN"/>
                    </w:rPr>
                  </w:pPr>
                  <w:r>
                    <w:rPr>
                      <w:rFonts w:hint="eastAsia" w:eastAsia="新宋体" w:cs="Times New Roman"/>
                      <w:sz w:val="21"/>
                      <w:szCs w:val="21"/>
                      <w:lang w:val="en-US" w:eastAsia="zh-CN"/>
                    </w:rPr>
                    <w:t>13.93</w:t>
                  </w:r>
                </w:p>
              </w:tc>
              <w:tc>
                <w:tcPr>
                  <w:tcW w:w="1380" w:type="dxa"/>
                  <w:noWrap w:val="0"/>
                  <w:vAlign w:val="center"/>
                </w:tcPr>
                <w:p>
                  <w:pPr>
                    <w:pStyle w:val="115"/>
                    <w:rPr>
                      <w:rFonts w:hint="default" w:ascii="Times New Roman" w:hAnsi="Times New Roman" w:eastAsia="新宋体" w:cs="Times New Roman"/>
                      <w:sz w:val="21"/>
                      <w:szCs w:val="21"/>
                    </w:rPr>
                  </w:pPr>
                  <w:r>
                    <w:rPr>
                      <w:rFonts w:hint="eastAsia" w:eastAsia="新宋体" w:cs="Times New Roman"/>
                      <w:sz w:val="21"/>
                      <w:szCs w:val="21"/>
                      <w:lang w:val="en-US" w:eastAsia="zh-CN"/>
                    </w:rPr>
                    <w:t>8.98</w:t>
                  </w:r>
                  <w:r>
                    <w:rPr>
                      <w:rFonts w:hint="default" w:ascii="Times New Roman" w:hAnsi="Times New Roman" w:eastAsia="新宋体" w:cs="Times New Roman"/>
                      <w:sz w:val="21"/>
                      <w:szCs w:val="21"/>
                    </w:rPr>
                    <w:t xml:space="preserve"> </w:t>
                  </w:r>
                </w:p>
              </w:tc>
              <w:tc>
                <w:tcPr>
                  <w:tcW w:w="1470" w:type="dxa"/>
                  <w:noWrap w:val="0"/>
                  <w:vAlign w:val="center"/>
                </w:tcPr>
                <w:p>
                  <w:pPr>
                    <w:pStyle w:val="115"/>
                    <w:rPr>
                      <w:rFonts w:hint="default" w:ascii="Times New Roman" w:hAnsi="Times New Roman" w:eastAsia="新宋体" w:cs="Times New Roman"/>
                      <w:sz w:val="21"/>
                      <w:szCs w:val="21"/>
                      <w:lang w:val="en-US" w:eastAsia="zh-CN"/>
                    </w:rPr>
                  </w:pPr>
                  <w:r>
                    <w:rPr>
                      <w:rFonts w:hint="eastAsia" w:eastAsia="新宋体" w:cs="Times New Roman"/>
                      <w:sz w:val="21"/>
                      <w:szCs w:val="21"/>
                      <w:lang w:val="en-US" w:eastAsia="zh-CN"/>
                    </w:rPr>
                    <w:t>4.95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5" w:type="dxa"/>
                  <w:noWrap w:val="0"/>
                  <w:vAlign w:val="center"/>
                </w:tcPr>
                <w:p>
                  <w:pPr>
                    <w:pStyle w:val="115"/>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1</w:t>
                  </w:r>
                </w:p>
              </w:tc>
              <w:tc>
                <w:tcPr>
                  <w:tcW w:w="1958" w:type="dxa"/>
                  <w:noWrap w:val="0"/>
                  <w:vAlign w:val="center"/>
                </w:tcPr>
                <w:p>
                  <w:pPr>
                    <w:pStyle w:val="115"/>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耕地</w:t>
                  </w:r>
                </w:p>
              </w:tc>
              <w:tc>
                <w:tcPr>
                  <w:tcW w:w="722" w:type="dxa"/>
                  <w:noWrap w:val="0"/>
                  <w:vAlign w:val="center"/>
                </w:tcPr>
                <w:p>
                  <w:pPr>
                    <w:pStyle w:val="115"/>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亩</w:t>
                  </w:r>
                </w:p>
              </w:tc>
              <w:tc>
                <w:tcPr>
                  <w:tcW w:w="1515" w:type="dxa"/>
                  <w:noWrap w:val="0"/>
                  <w:vAlign w:val="center"/>
                </w:tcPr>
                <w:p>
                  <w:pPr>
                    <w:pStyle w:val="115"/>
                    <w:rPr>
                      <w:rFonts w:hint="default" w:ascii="Times New Roman" w:hAnsi="Times New Roman" w:eastAsia="新宋体" w:cs="Times New Roman"/>
                      <w:sz w:val="21"/>
                      <w:szCs w:val="21"/>
                      <w:lang w:val="en-US" w:eastAsia="zh-CN"/>
                    </w:rPr>
                  </w:pPr>
                  <w:r>
                    <w:rPr>
                      <w:rFonts w:hint="eastAsia" w:eastAsia="新宋体" w:cs="Times New Roman"/>
                      <w:sz w:val="21"/>
                      <w:szCs w:val="21"/>
                      <w:lang w:val="en-US" w:eastAsia="zh-CN"/>
                    </w:rPr>
                    <w:t>7.98</w:t>
                  </w:r>
                </w:p>
              </w:tc>
              <w:tc>
                <w:tcPr>
                  <w:tcW w:w="1380" w:type="dxa"/>
                  <w:noWrap w:val="0"/>
                  <w:vAlign w:val="center"/>
                </w:tcPr>
                <w:p>
                  <w:pPr>
                    <w:pStyle w:val="115"/>
                    <w:rPr>
                      <w:rFonts w:hint="default" w:ascii="Times New Roman" w:hAnsi="Times New Roman" w:eastAsia="新宋体" w:cs="Times New Roman"/>
                      <w:sz w:val="21"/>
                      <w:szCs w:val="21"/>
                    </w:rPr>
                  </w:pPr>
                  <w:r>
                    <w:rPr>
                      <w:rFonts w:hint="eastAsia" w:eastAsia="新宋体" w:cs="Times New Roman"/>
                      <w:sz w:val="21"/>
                      <w:szCs w:val="21"/>
                      <w:lang w:val="en-US" w:eastAsia="zh-CN"/>
                    </w:rPr>
                    <w:t>3.03</w:t>
                  </w:r>
                  <w:r>
                    <w:rPr>
                      <w:rFonts w:hint="default" w:ascii="Times New Roman" w:hAnsi="Times New Roman" w:eastAsia="新宋体" w:cs="Times New Roman"/>
                      <w:sz w:val="21"/>
                      <w:szCs w:val="21"/>
                    </w:rPr>
                    <w:t xml:space="preserve"> </w:t>
                  </w:r>
                </w:p>
              </w:tc>
              <w:tc>
                <w:tcPr>
                  <w:tcW w:w="1470" w:type="dxa"/>
                  <w:noWrap w:val="0"/>
                  <w:vAlign w:val="center"/>
                </w:tcPr>
                <w:p>
                  <w:pPr>
                    <w:pStyle w:val="115"/>
                    <w:rPr>
                      <w:rFonts w:hint="default" w:ascii="Times New Roman" w:hAnsi="Times New Roman" w:eastAsia="新宋体" w:cs="Times New Roman"/>
                      <w:sz w:val="21"/>
                      <w:szCs w:val="21"/>
                      <w:lang w:val="en-US" w:eastAsia="zh-CN"/>
                    </w:rPr>
                  </w:pPr>
                  <w:r>
                    <w:rPr>
                      <w:rFonts w:hint="eastAsia" w:eastAsia="新宋体" w:cs="Times New Roman"/>
                      <w:sz w:val="21"/>
                      <w:szCs w:val="21"/>
                      <w:lang w:val="en-US" w:eastAsia="zh-CN"/>
                    </w:rPr>
                    <w:t>4.95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845" w:type="dxa"/>
                  <w:noWrap w:val="0"/>
                  <w:vAlign w:val="center"/>
                </w:tcPr>
                <w:p>
                  <w:pPr>
                    <w:pStyle w:val="115"/>
                    <w:rPr>
                      <w:rFonts w:hint="eastAsia" w:ascii="Times New Roman" w:hAnsi="Times New Roman" w:eastAsia="新宋体" w:cs="Times New Roman"/>
                      <w:sz w:val="21"/>
                      <w:szCs w:val="21"/>
                      <w:lang w:val="en-US" w:eastAsia="zh-CN"/>
                    </w:rPr>
                  </w:pPr>
                  <w:r>
                    <w:rPr>
                      <w:rFonts w:hint="eastAsia" w:eastAsia="新宋体" w:cs="Times New Roman"/>
                      <w:sz w:val="21"/>
                      <w:szCs w:val="21"/>
                      <w:lang w:val="en-US" w:eastAsia="zh-CN"/>
                    </w:rPr>
                    <w:t>2</w:t>
                  </w:r>
                </w:p>
              </w:tc>
              <w:tc>
                <w:tcPr>
                  <w:tcW w:w="1958" w:type="dxa"/>
                  <w:noWrap w:val="0"/>
                  <w:vAlign w:val="center"/>
                </w:tcPr>
                <w:p>
                  <w:pPr>
                    <w:pStyle w:val="115"/>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水域及水利设施</w:t>
                  </w:r>
                </w:p>
              </w:tc>
              <w:tc>
                <w:tcPr>
                  <w:tcW w:w="722" w:type="dxa"/>
                  <w:noWrap w:val="0"/>
                  <w:vAlign w:val="center"/>
                </w:tcPr>
                <w:p>
                  <w:pPr>
                    <w:pStyle w:val="115"/>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亩</w:t>
                  </w:r>
                </w:p>
              </w:tc>
              <w:tc>
                <w:tcPr>
                  <w:tcW w:w="1515" w:type="dxa"/>
                  <w:noWrap w:val="0"/>
                  <w:vAlign w:val="center"/>
                </w:tcPr>
                <w:p>
                  <w:pPr>
                    <w:pStyle w:val="115"/>
                    <w:rPr>
                      <w:rFonts w:hint="default" w:ascii="Times New Roman" w:hAnsi="Times New Roman" w:eastAsia="新宋体" w:cs="Times New Roman"/>
                      <w:sz w:val="21"/>
                      <w:szCs w:val="21"/>
                      <w:lang w:val="en-US" w:eastAsia="zh-CN"/>
                    </w:rPr>
                  </w:pPr>
                  <w:r>
                    <w:rPr>
                      <w:rFonts w:hint="eastAsia" w:eastAsia="新宋体" w:cs="Times New Roman"/>
                      <w:sz w:val="21"/>
                      <w:szCs w:val="21"/>
                      <w:lang w:val="en-US" w:eastAsia="zh-CN"/>
                    </w:rPr>
                    <w:t>5.95</w:t>
                  </w:r>
                </w:p>
              </w:tc>
              <w:tc>
                <w:tcPr>
                  <w:tcW w:w="1380" w:type="dxa"/>
                  <w:noWrap w:val="0"/>
                  <w:vAlign w:val="center"/>
                </w:tcPr>
                <w:p>
                  <w:pPr>
                    <w:pStyle w:val="115"/>
                    <w:rPr>
                      <w:rFonts w:hint="default" w:ascii="Times New Roman" w:hAnsi="Times New Roman" w:eastAsia="新宋体" w:cs="Times New Roman"/>
                      <w:sz w:val="21"/>
                      <w:szCs w:val="21"/>
                      <w:lang w:val="en-US" w:eastAsia="zh-CN"/>
                    </w:rPr>
                  </w:pPr>
                  <w:r>
                    <w:rPr>
                      <w:rFonts w:hint="eastAsia" w:eastAsia="新宋体" w:cs="Times New Roman"/>
                      <w:sz w:val="21"/>
                      <w:szCs w:val="21"/>
                      <w:lang w:val="en-US" w:eastAsia="zh-CN"/>
                    </w:rPr>
                    <w:t>5.95</w:t>
                  </w:r>
                </w:p>
              </w:tc>
              <w:tc>
                <w:tcPr>
                  <w:tcW w:w="1470" w:type="dxa"/>
                  <w:noWrap w:val="0"/>
                  <w:vAlign w:val="center"/>
                </w:tcPr>
                <w:p>
                  <w:pPr>
                    <w:pStyle w:val="115"/>
                    <w:rPr>
                      <w:rFonts w:hint="eastAsia" w:ascii="Times New Roman" w:hAnsi="Times New Roman" w:eastAsia="新宋体" w:cs="Times New Roman"/>
                      <w:sz w:val="21"/>
                      <w:szCs w:val="21"/>
                      <w:lang w:eastAsia="zh-CN"/>
                    </w:rPr>
                  </w:pPr>
                  <w:r>
                    <w:rPr>
                      <w:rFonts w:hint="eastAsia" w:eastAsia="新宋体" w:cs="Times New Roman"/>
                      <w:sz w:val="21"/>
                      <w:szCs w:val="21"/>
                      <w:lang w:val="en-US" w:eastAsia="zh-CN"/>
                    </w:rPr>
                    <w:t>/</w:t>
                  </w:r>
                </w:p>
              </w:tc>
            </w:tr>
          </w:tbl>
          <w:p>
            <w:pPr>
              <w:pStyle w:val="26"/>
              <w:keepNext/>
              <w:keepLines/>
              <w:widowControl w:val="0"/>
              <w:numPr>
                <w:ilvl w:val="1"/>
                <w:numId w:val="0"/>
              </w:numPr>
              <w:tabs>
                <w:tab w:val="left" w:pos="0"/>
              </w:tabs>
              <w:spacing w:before="0" w:beforeAutospacing="0" w:after="0" w:afterAutospacing="0" w:line="360" w:lineRule="auto"/>
              <w:ind w:firstLine="480" w:firstLineChars="200"/>
              <w:jc w:val="both"/>
              <w:outlineLvl w:val="1"/>
              <w:rPr>
                <w:rFonts w:hint="default" w:ascii="Times New Roman" w:hAnsi="Times New Roman" w:eastAsia="宋体" w:cs="Times New Roman"/>
                <w:color w:val="000000"/>
                <w:sz w:val="24"/>
                <w:szCs w:val="24"/>
                <w:lang w:val="en-US" w:eastAsia="zh-CN"/>
              </w:rPr>
            </w:pPr>
            <w:r>
              <w:rPr>
                <w:rFonts w:hint="eastAsia" w:ascii="Times New Roman" w:eastAsia="宋体" w:cs="Times New Roman"/>
                <w:color w:val="auto"/>
                <w:sz w:val="24"/>
                <w:szCs w:val="24"/>
                <w:highlight w:val="none"/>
              </w:rPr>
              <w:t>经现场调查，工程区无文物、压覆矿等实物。工程施工对此不影响。</w:t>
            </w:r>
            <w:r>
              <w:rPr>
                <w:rFonts w:hint="eastAsia" w:ascii="宋体" w:hAnsi="宋体" w:eastAsia="宋体"/>
                <w:color w:val="auto"/>
                <w:sz w:val="24"/>
                <w:szCs w:val="24"/>
                <w:highlight w:val="none"/>
              </w:rPr>
              <w:t>本工程不涉及移民安置。</w:t>
            </w:r>
            <w:r>
              <w:rPr>
                <w:rFonts w:hint="default" w:ascii="Times New Roman" w:hAnsi="Times New Roman" w:eastAsia="宋体" w:cs="Times New Roman"/>
                <w:color w:val="000000"/>
                <w:sz w:val="24"/>
                <w:szCs w:val="24"/>
              </w:rPr>
              <w:t>占地类型主要为耕地、</w:t>
            </w:r>
            <w:r>
              <w:rPr>
                <w:rFonts w:hint="default" w:ascii="Times New Roman" w:hAnsi="Times New Roman" w:eastAsia="宋体" w:cs="Times New Roman"/>
                <w:color w:val="000000"/>
                <w:sz w:val="24"/>
                <w:szCs w:val="24"/>
                <w:lang w:val="en-US" w:eastAsia="zh-CN"/>
              </w:rPr>
              <w:t>水域滩涂</w:t>
            </w:r>
            <w:r>
              <w:rPr>
                <w:rFonts w:hint="default" w:ascii="Times New Roman" w:hAnsi="Times New Roman" w:eastAsia="宋体" w:cs="Times New Roman"/>
                <w:color w:val="000000"/>
                <w:sz w:val="24"/>
                <w:szCs w:val="24"/>
              </w:rPr>
              <w:t>地</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不涉及基本农田</w:t>
            </w:r>
            <w:r>
              <w:rPr>
                <w:rFonts w:hint="eastAsia" w:ascii="Times New Roman" w:hAnsi="Times New Roman" w:cs="Times New Roman"/>
                <w:color w:val="000000"/>
                <w:sz w:val="24"/>
                <w:szCs w:val="24"/>
                <w:lang w:val="en-US" w:eastAsia="zh-CN"/>
              </w:rPr>
              <w:t>。</w:t>
            </w:r>
          </w:p>
          <w:p>
            <w:pPr>
              <w:pStyle w:val="26"/>
              <w:keepNext/>
              <w:keepLines/>
              <w:widowControl w:val="0"/>
              <w:numPr>
                <w:ilvl w:val="1"/>
                <w:numId w:val="0"/>
              </w:numPr>
              <w:tabs>
                <w:tab w:val="left" w:pos="0"/>
              </w:tabs>
              <w:spacing w:before="0" w:beforeAutospacing="0" w:after="0" w:afterAutospacing="0" w:line="360" w:lineRule="auto"/>
              <w:ind w:firstLine="480" w:firstLineChars="200"/>
              <w:jc w:val="both"/>
              <w:outlineLvl w:val="1"/>
              <w:rPr>
                <w:rFonts w:hint="eastAsia" w:ascii="Times New Roman" w:hAnsi="Times New Roman" w:eastAsia="宋体" w:cs="Times New Roman"/>
                <w:color w:val="auto"/>
                <w:kern w:val="2"/>
                <w:sz w:val="24"/>
                <w:szCs w:val="24"/>
                <w:lang w:eastAsia="zh-CN"/>
              </w:rPr>
            </w:pPr>
            <w:r>
              <w:rPr>
                <w:rFonts w:hint="eastAsia" w:ascii="Times New Roman" w:hAnsi="Times New Roman" w:eastAsia="宋体" w:cs="Times New Roman"/>
                <w:color w:val="auto"/>
                <w:kern w:val="2"/>
                <w:sz w:val="24"/>
                <w:szCs w:val="24"/>
                <w:lang w:eastAsia="zh-CN"/>
              </w:rPr>
              <w:t>（</w:t>
            </w:r>
            <w:r>
              <w:rPr>
                <w:rFonts w:hint="eastAsia" w:ascii="Times New Roman" w:hAnsi="Times New Roman" w:eastAsia="宋体" w:cs="Times New Roman"/>
                <w:color w:val="auto"/>
                <w:kern w:val="2"/>
                <w:sz w:val="24"/>
                <w:szCs w:val="24"/>
                <w:lang w:val="en-US" w:eastAsia="zh-CN"/>
              </w:rPr>
              <w:t>2</w:t>
            </w:r>
            <w:r>
              <w:rPr>
                <w:rFonts w:hint="eastAsia" w:ascii="Times New Roman" w:hAnsi="Times New Roman" w:eastAsia="宋体" w:cs="Times New Roman"/>
                <w:color w:val="auto"/>
                <w:kern w:val="2"/>
                <w:sz w:val="24"/>
                <w:szCs w:val="24"/>
                <w:lang w:eastAsia="zh-CN"/>
              </w:rPr>
              <w:t>）拆迁安置</w:t>
            </w:r>
          </w:p>
          <w:p>
            <w:pPr>
              <w:pStyle w:val="26"/>
              <w:keepNext/>
              <w:keepLines/>
              <w:widowControl w:val="0"/>
              <w:numPr>
                <w:ilvl w:val="1"/>
                <w:numId w:val="0"/>
              </w:numPr>
              <w:tabs>
                <w:tab w:val="left" w:pos="0"/>
              </w:tabs>
              <w:spacing w:before="0" w:beforeAutospacing="0" w:after="0" w:afterAutospacing="0" w:line="360" w:lineRule="auto"/>
              <w:ind w:firstLine="480" w:firstLineChars="200"/>
              <w:jc w:val="both"/>
              <w:outlineLvl w:val="1"/>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本项目不涉及拆迁安置。</w:t>
            </w:r>
          </w:p>
          <w:p>
            <w:pPr>
              <w:pStyle w:val="26"/>
              <w:keepNext/>
              <w:keepLines/>
              <w:widowControl w:val="0"/>
              <w:numPr>
                <w:ilvl w:val="1"/>
                <w:numId w:val="0"/>
              </w:numPr>
              <w:tabs>
                <w:tab w:val="left" w:pos="0"/>
              </w:tabs>
              <w:spacing w:before="0" w:beforeAutospacing="0" w:after="0" w:afterAutospacing="0" w:line="360" w:lineRule="auto"/>
              <w:ind w:firstLine="480" w:firstLineChars="200"/>
              <w:jc w:val="both"/>
              <w:outlineLvl w:val="1"/>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3</w:t>
            </w:r>
            <w:r>
              <w:rPr>
                <w:rFonts w:hint="eastAsia" w:ascii="Times New Roman" w:hAnsi="Times New Roman" w:eastAsia="宋体" w:cs="Times New Roman"/>
                <w:color w:val="000000"/>
                <w:sz w:val="24"/>
                <w:szCs w:val="24"/>
                <w:lang w:eastAsia="zh-CN"/>
              </w:rPr>
              <w:t>）临时用地恢复规划</w:t>
            </w:r>
          </w:p>
          <w:p>
            <w:pPr>
              <w:pStyle w:val="26"/>
              <w:keepNext/>
              <w:keepLines/>
              <w:widowControl w:val="0"/>
              <w:numPr>
                <w:ilvl w:val="1"/>
                <w:numId w:val="0"/>
              </w:numPr>
              <w:tabs>
                <w:tab w:val="left" w:pos="0"/>
              </w:tabs>
              <w:spacing w:before="0" w:beforeAutospacing="0" w:after="0" w:afterAutospacing="0" w:line="360" w:lineRule="auto"/>
              <w:ind w:firstLine="480" w:firstLineChars="200"/>
              <w:jc w:val="both"/>
              <w:outlineLvl w:val="1"/>
              <w:rPr>
                <w:rFonts w:hint="eastAsia" w:ascii="Times New Roman" w:hAnsi="Times New Roman" w:cs="Times New Roman"/>
                <w:b w:val="0"/>
                <w:bCs w:val="0"/>
                <w:color w:val="auto"/>
                <w:kern w:val="2"/>
                <w:sz w:val="24"/>
                <w:szCs w:val="24"/>
                <w:lang w:val="en-US" w:eastAsia="zh-CN"/>
              </w:rPr>
            </w:pPr>
            <w:r>
              <w:rPr>
                <w:rFonts w:hint="eastAsia" w:ascii="Times New Roman" w:hAnsi="Times New Roman" w:cs="Times New Roman"/>
                <w:b w:val="0"/>
                <w:bCs w:val="0"/>
                <w:color w:val="auto"/>
                <w:kern w:val="2"/>
                <w:sz w:val="24"/>
                <w:szCs w:val="24"/>
                <w:lang w:val="en-US" w:eastAsia="zh-CN"/>
              </w:rPr>
              <w:t>本工程临时占地为耕地和水域滩涂，在施工期满后，对临时占用的耕地进行迹地恢复，恢复土地生产条件，及时归还给原土地使用权单位或个人；在占用期间按照占1年补1年产值的方式进行补偿。</w:t>
            </w:r>
          </w:p>
          <w:p>
            <w:pPr>
              <w:pStyle w:val="26"/>
              <w:keepNext/>
              <w:keepLines/>
              <w:widowControl w:val="0"/>
              <w:numPr>
                <w:ilvl w:val="1"/>
                <w:numId w:val="0"/>
              </w:numPr>
              <w:tabs>
                <w:tab w:val="left" w:pos="0"/>
              </w:tabs>
              <w:spacing w:before="0" w:beforeAutospacing="0" w:after="0" w:afterAutospacing="0" w:line="360" w:lineRule="auto"/>
              <w:ind w:firstLine="480" w:firstLineChars="200"/>
              <w:jc w:val="both"/>
              <w:outlineLvl w:val="1"/>
              <w:rPr>
                <w:rFonts w:hint="eastAsia" w:ascii="Times New Roman" w:hAnsi="Times New Roman" w:cs="Times New Roman"/>
                <w:b w:val="0"/>
                <w:bCs w:val="0"/>
                <w:color w:val="auto"/>
                <w:kern w:val="2"/>
                <w:sz w:val="24"/>
                <w:szCs w:val="24"/>
                <w:lang w:val="en-US" w:eastAsia="zh-CN"/>
              </w:rPr>
            </w:pPr>
            <w:r>
              <w:rPr>
                <w:rFonts w:hint="eastAsia" w:ascii="Times New Roman" w:hAnsi="Times New Roman" w:cs="Times New Roman"/>
                <w:b w:val="0"/>
                <w:bCs w:val="0"/>
                <w:color w:val="auto"/>
                <w:kern w:val="2"/>
                <w:sz w:val="24"/>
                <w:szCs w:val="24"/>
                <w:lang w:val="en-US" w:eastAsia="zh-CN"/>
              </w:rPr>
              <w:t>工程建设区临时用地按照耕地、水利部分的相关规定在环保、水保中采取措施处理，并在环保、水保中计列相应费用。为保证施工结束后迹地恢复需要，占用前应对临时用地区内的耕地表层土预先进行剥离，分别暂时堆放在用地区附近。为防止施工期表层土的流失，对集中堆放的表层土需采取临时防护措施。</w:t>
            </w:r>
          </w:p>
          <w:p>
            <w:pPr>
              <w:pStyle w:val="26"/>
              <w:keepNext/>
              <w:keepLines/>
              <w:widowControl w:val="0"/>
              <w:numPr>
                <w:ilvl w:val="1"/>
                <w:numId w:val="0"/>
              </w:numPr>
              <w:tabs>
                <w:tab w:val="left" w:pos="0"/>
              </w:tabs>
              <w:spacing w:before="0" w:beforeAutospacing="0" w:after="0" w:afterAutospacing="0" w:line="360" w:lineRule="auto"/>
              <w:ind w:firstLine="480" w:firstLineChars="200"/>
              <w:jc w:val="both"/>
              <w:outlineLvl w:val="1"/>
              <w:rPr>
                <w:rFonts w:hint="eastAsia" w:ascii="Times New Roman" w:hAnsi="Times New Roman" w:cs="Times New Roman"/>
                <w:b w:val="0"/>
                <w:bCs w:val="0"/>
                <w:color w:val="auto"/>
                <w:kern w:val="2"/>
                <w:sz w:val="24"/>
                <w:szCs w:val="24"/>
                <w:lang w:val="en-US" w:eastAsia="zh-CN"/>
              </w:rPr>
            </w:pPr>
            <w:r>
              <w:rPr>
                <w:rFonts w:hint="eastAsia" w:ascii="Times New Roman" w:hAnsi="Times New Roman" w:cs="Times New Roman"/>
                <w:b w:val="0"/>
                <w:bCs w:val="0"/>
                <w:color w:val="auto"/>
                <w:kern w:val="2"/>
                <w:sz w:val="24"/>
                <w:szCs w:val="24"/>
                <w:lang w:val="en-US" w:eastAsia="zh-CN"/>
              </w:rPr>
              <w:t>迹地恢复后地形地貌与当地自然环境和景观相协调；保护土壤、水源和环境质量，保护生态，防止水土流失，防止次生污染；坚持经济效益、生态效益和社会效益相统一的原则。</w:t>
            </w:r>
          </w:p>
          <w:p>
            <w:pPr>
              <w:pStyle w:val="26"/>
              <w:keepNext/>
              <w:keepLines/>
              <w:widowControl w:val="0"/>
              <w:numPr>
                <w:ilvl w:val="1"/>
                <w:numId w:val="0"/>
              </w:numPr>
              <w:tabs>
                <w:tab w:val="left" w:pos="0"/>
              </w:tabs>
              <w:spacing w:before="0" w:beforeAutospacing="0" w:after="0" w:afterAutospacing="0" w:line="360" w:lineRule="auto"/>
              <w:ind w:firstLine="482" w:firstLineChars="200"/>
              <w:jc w:val="both"/>
              <w:outlineLvl w:val="1"/>
              <w:rPr>
                <w:rFonts w:hint="default" w:ascii="Times New Roman" w:hAnsi="Times New Roman" w:cs="Times New Roman"/>
                <w:b/>
                <w:bCs/>
                <w:color w:val="auto"/>
                <w:kern w:val="2"/>
                <w:sz w:val="24"/>
                <w:szCs w:val="24"/>
              </w:rPr>
            </w:pPr>
            <w:r>
              <w:rPr>
                <w:rFonts w:hint="eastAsia" w:ascii="Times New Roman" w:hAnsi="Times New Roman" w:cs="Times New Roman"/>
                <w:b/>
                <w:bCs/>
                <w:color w:val="auto"/>
                <w:kern w:val="2"/>
                <w:sz w:val="24"/>
                <w:szCs w:val="24"/>
                <w:lang w:val="en-US" w:eastAsia="zh-CN"/>
              </w:rPr>
              <w:t>10、</w:t>
            </w:r>
            <w:r>
              <w:rPr>
                <w:rFonts w:hint="default" w:ascii="Times New Roman" w:hAnsi="Times New Roman" w:cs="Times New Roman"/>
                <w:b/>
                <w:bCs/>
                <w:color w:val="auto"/>
                <w:kern w:val="2"/>
                <w:sz w:val="24"/>
                <w:szCs w:val="24"/>
              </w:rPr>
              <w:t>土石方平衡</w:t>
            </w:r>
            <w:bookmarkEnd w:id="33"/>
          </w:p>
          <w:bookmarkEnd w:id="20"/>
          <w:bookmarkEnd w:id="21"/>
          <w:p>
            <w:pPr>
              <w:snapToGrid w:val="0"/>
              <w:spacing w:line="360" w:lineRule="auto"/>
              <w:ind w:firstLine="480" w:firstLineChars="200"/>
              <w:rPr>
                <w:rFonts w:hint="eastAsia" w:ascii="Times New Roman" w:hAnsi="Times New Roman" w:eastAsia="宋体" w:cs="Times New Roman"/>
                <w:color w:val="000000"/>
                <w:sz w:val="24"/>
                <w:lang w:eastAsia="zh-CN"/>
              </w:rPr>
            </w:pPr>
            <w:r>
              <w:rPr>
                <w:rFonts w:hint="eastAsia" w:ascii="Times New Roman" w:hAnsi="Times New Roman" w:eastAsia="宋体" w:cs="Times New Roman"/>
                <w:color w:val="000000"/>
                <w:sz w:val="24"/>
              </w:rPr>
              <w:t>本工程河段总开挖量为</w:t>
            </w:r>
            <w:r>
              <w:rPr>
                <w:rFonts w:hint="eastAsia" w:ascii="Times New Roman" w:hAnsi="Times New Roman" w:eastAsia="宋体" w:cs="Times New Roman"/>
                <w:color w:val="000000"/>
                <w:sz w:val="24"/>
                <w:lang w:val="en-US" w:eastAsia="zh-CN"/>
              </w:rPr>
              <w:t>1.9</w:t>
            </w:r>
            <w:r>
              <w:rPr>
                <w:rFonts w:hint="eastAsia" w:cs="Times New Roman"/>
                <w:color w:val="000000"/>
                <w:sz w:val="24"/>
                <w:lang w:val="en-US" w:eastAsia="zh-CN"/>
              </w:rPr>
              <w:t>98</w:t>
            </w:r>
            <w:r>
              <w:rPr>
                <w:rFonts w:hint="eastAsia" w:ascii="Times New Roman" w:hAnsi="Times New Roman" w:eastAsia="宋体" w:cs="Times New Roman"/>
                <w:color w:val="000000"/>
                <w:sz w:val="24"/>
              </w:rPr>
              <w:t>万m</w:t>
            </w:r>
            <w:r>
              <w:rPr>
                <w:rFonts w:hint="eastAsia" w:ascii="Times New Roman" w:hAnsi="Times New Roman" w:eastAsia="宋体" w:cs="Times New Roman"/>
                <w:color w:val="000000"/>
                <w:sz w:val="24"/>
                <w:vertAlign w:val="superscript"/>
              </w:rPr>
              <w:t>3</w:t>
            </w:r>
            <w:r>
              <w:rPr>
                <w:rFonts w:hint="eastAsia" w:ascii="Times New Roman" w:hAnsi="Times New Roman" w:eastAsia="宋体" w:cs="Times New Roman"/>
                <w:color w:val="000000"/>
                <w:sz w:val="24"/>
              </w:rPr>
              <w:t>；填筑量为</w:t>
            </w:r>
            <w:r>
              <w:rPr>
                <w:rFonts w:hint="eastAsia" w:cs="Times New Roman"/>
                <w:color w:val="000000"/>
                <w:sz w:val="24"/>
                <w:lang w:val="en-US" w:eastAsia="zh-CN"/>
              </w:rPr>
              <w:t>1.998</w:t>
            </w:r>
            <w:r>
              <w:rPr>
                <w:rFonts w:hint="eastAsia" w:ascii="Times New Roman" w:hAnsi="Times New Roman" w:eastAsia="宋体" w:cs="Times New Roman"/>
                <w:color w:val="000000"/>
                <w:sz w:val="24"/>
              </w:rPr>
              <w:t>万m</w:t>
            </w:r>
            <w:r>
              <w:rPr>
                <w:rFonts w:hint="eastAsia" w:ascii="Times New Roman" w:hAnsi="Times New Roman" w:eastAsia="宋体" w:cs="Times New Roman"/>
                <w:color w:val="000000"/>
                <w:sz w:val="24"/>
                <w:vertAlign w:val="superscript"/>
              </w:rPr>
              <w:t>3</w:t>
            </w:r>
            <w:r>
              <w:rPr>
                <w:rFonts w:hint="eastAsia" w:ascii="Times New Roman" w:hAnsi="Times New Roman" w:eastAsia="宋体" w:cs="Times New Roman"/>
                <w:color w:val="000000"/>
                <w:sz w:val="24"/>
              </w:rPr>
              <w:t>，根据土石方平衡后，工程河段开挖料</w:t>
            </w:r>
            <w:r>
              <w:rPr>
                <w:rFonts w:hint="eastAsia" w:cs="Times New Roman"/>
                <w:color w:val="000000"/>
                <w:sz w:val="24"/>
                <w:lang w:val="en-US" w:eastAsia="zh-CN"/>
              </w:rPr>
              <w:t>全部</w:t>
            </w:r>
            <w:r>
              <w:rPr>
                <w:rFonts w:hint="eastAsia" w:ascii="Times New Roman" w:hAnsi="Times New Roman" w:eastAsia="宋体" w:cs="Times New Roman"/>
                <w:color w:val="000000"/>
                <w:sz w:val="24"/>
              </w:rPr>
              <w:t>用于</w:t>
            </w:r>
            <w:r>
              <w:rPr>
                <w:rFonts w:hint="eastAsia" w:cs="Times New Roman"/>
                <w:color w:val="000000"/>
                <w:sz w:val="24"/>
                <w:lang w:val="en-US" w:eastAsia="zh-CN"/>
              </w:rPr>
              <w:t>工程</w:t>
            </w:r>
            <w:r>
              <w:rPr>
                <w:rFonts w:hint="eastAsia" w:ascii="Times New Roman" w:hAnsi="Times New Roman" w:eastAsia="宋体" w:cs="Times New Roman"/>
                <w:color w:val="000000"/>
                <w:sz w:val="24"/>
              </w:rPr>
              <w:t>填筑，</w:t>
            </w:r>
            <w:r>
              <w:rPr>
                <w:rFonts w:hint="eastAsia" w:cs="Times New Roman"/>
                <w:color w:val="000000"/>
                <w:sz w:val="24"/>
                <w:lang w:val="en-US" w:eastAsia="zh-CN"/>
              </w:rPr>
              <w:t>本项目无弃渣，</w:t>
            </w:r>
            <w:r>
              <w:rPr>
                <w:rFonts w:hint="eastAsia" w:ascii="Times New Roman" w:hAnsi="Times New Roman" w:eastAsia="宋体" w:cs="Times New Roman"/>
                <w:color w:val="000000"/>
                <w:sz w:val="24"/>
                <w:lang w:val="en-US" w:eastAsia="zh-CN"/>
              </w:rPr>
              <w:t>不另设渣场</w:t>
            </w:r>
            <w:r>
              <w:rPr>
                <w:rFonts w:hint="eastAsia" w:ascii="Times New Roman" w:hAnsi="Times New Roman" w:eastAsia="宋体" w:cs="Times New Roman"/>
                <w:color w:val="000000"/>
                <w:sz w:val="24"/>
                <w:lang w:val="zh-CN"/>
              </w:rPr>
              <w:t>。</w:t>
            </w:r>
            <w:r>
              <w:rPr>
                <w:rFonts w:hint="eastAsia" w:ascii="Times New Roman" w:hAnsi="Times New Roman" w:eastAsia="宋体" w:cs="Times New Roman"/>
                <w:color w:val="000000"/>
                <w:sz w:val="24"/>
              </w:rPr>
              <w:t>工程土石方平衡见</w:t>
            </w:r>
            <w:r>
              <w:rPr>
                <w:rFonts w:hint="eastAsia" w:ascii="Times New Roman" w:hAnsi="Times New Roman" w:eastAsia="宋体" w:cs="Times New Roman"/>
                <w:color w:val="000000"/>
                <w:sz w:val="24"/>
                <w:lang w:eastAsia="zh-CN"/>
              </w:rPr>
              <w:t>下</w:t>
            </w:r>
            <w:r>
              <w:rPr>
                <w:rFonts w:hint="eastAsia" w:ascii="Times New Roman" w:hAnsi="Times New Roman" w:eastAsia="宋体" w:cs="Times New Roman"/>
                <w:color w:val="000000"/>
                <w:sz w:val="24"/>
              </w:rPr>
              <w:t>表</w:t>
            </w:r>
            <w:r>
              <w:rPr>
                <w:rFonts w:hint="eastAsia" w:cs="Times New Roman"/>
                <w:color w:val="000000"/>
                <w:sz w:val="24"/>
                <w:lang w:eastAsia="zh-CN"/>
              </w:rPr>
              <w:t>：</w:t>
            </w:r>
          </w:p>
          <w:p>
            <w:pPr>
              <w:widowControl/>
              <w:jc w:val="center"/>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表2-10土石方平衡表  单位：</w:t>
            </w:r>
            <w:r>
              <w:rPr>
                <w:rFonts w:hint="eastAsia" w:cs="Times New Roman"/>
                <w:b/>
                <w:bCs/>
                <w:lang w:val="en-US" w:eastAsia="zh-CN"/>
              </w:rPr>
              <w:t>万</w:t>
            </w:r>
            <w:r>
              <w:rPr>
                <w:rFonts w:hint="default" w:ascii="Times New Roman" w:hAnsi="Times New Roman" w:eastAsia="宋体" w:cs="Times New Roman"/>
                <w:b/>
                <w:bCs/>
                <w:lang w:val="en-US" w:eastAsia="zh-CN"/>
              </w:rPr>
              <w:t>m</w:t>
            </w:r>
            <w:r>
              <w:rPr>
                <w:rFonts w:hint="eastAsia" w:ascii="Times New Roman" w:hAnsi="Times New Roman" w:eastAsia="宋体" w:cs="Times New Roman"/>
                <w:b/>
                <w:bCs/>
                <w:lang w:val="en-US" w:eastAsia="zh-CN"/>
              </w:rPr>
              <w:t>3</w:t>
            </w:r>
          </w:p>
          <w:tbl>
            <w:tblPr>
              <w:tblStyle w:val="30"/>
              <w:tblW w:w="8054" w:type="dxa"/>
              <w:jc w:val="center"/>
              <w:tblLayout w:type="fixed"/>
              <w:tblCellMar>
                <w:top w:w="0" w:type="dxa"/>
                <w:left w:w="108" w:type="dxa"/>
                <w:bottom w:w="0" w:type="dxa"/>
                <w:right w:w="108" w:type="dxa"/>
              </w:tblCellMar>
            </w:tblPr>
            <w:tblGrid>
              <w:gridCol w:w="1610"/>
              <w:gridCol w:w="1963"/>
              <w:gridCol w:w="1639"/>
              <w:gridCol w:w="1421"/>
              <w:gridCol w:w="1421"/>
            </w:tblGrid>
            <w:tr>
              <w:tblPrEx>
                <w:tblCellMar>
                  <w:top w:w="0" w:type="dxa"/>
                  <w:left w:w="108" w:type="dxa"/>
                  <w:bottom w:w="0" w:type="dxa"/>
                  <w:right w:w="108" w:type="dxa"/>
                </w:tblCellMar>
              </w:tblPrEx>
              <w:trPr>
                <w:trHeight w:val="300" w:hRule="atLeast"/>
                <w:jc w:val="center"/>
              </w:trPr>
              <w:tc>
                <w:tcPr>
                  <w:tcW w:w="999" w:type="pct"/>
                  <w:tcBorders>
                    <w:top w:val="single" w:color="auto" w:sz="8" w:space="0"/>
                    <w:left w:val="single" w:color="auto" w:sz="8" w:space="0"/>
                    <w:bottom w:val="single" w:color="auto" w:sz="8" w:space="0"/>
                    <w:right w:val="single" w:color="auto" w:sz="8" w:space="0"/>
                  </w:tcBorders>
                  <w:noWrap w:val="0"/>
                  <w:vAlign w:val="center"/>
                </w:tcPr>
                <w:p>
                  <w:pPr>
                    <w:widowControl/>
                    <w:ind w:firstLine="0" w:firstLineChars="0"/>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工程性质</w:t>
                  </w:r>
                </w:p>
              </w:tc>
              <w:tc>
                <w:tcPr>
                  <w:tcW w:w="1218" w:type="pct"/>
                  <w:tcBorders>
                    <w:top w:val="single" w:color="auto" w:sz="8" w:space="0"/>
                    <w:left w:val="nil"/>
                    <w:bottom w:val="single" w:color="auto" w:sz="8" w:space="0"/>
                    <w:right w:val="single" w:color="auto" w:sz="8"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河段</w:t>
                  </w:r>
                </w:p>
              </w:tc>
              <w:tc>
                <w:tcPr>
                  <w:tcW w:w="1017" w:type="pct"/>
                  <w:tcBorders>
                    <w:top w:val="single" w:color="auto" w:sz="8" w:space="0"/>
                    <w:left w:val="nil"/>
                    <w:bottom w:val="single" w:color="auto" w:sz="8" w:space="0"/>
                    <w:right w:val="single" w:color="auto" w:sz="8"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项目</w:t>
                  </w:r>
                </w:p>
              </w:tc>
              <w:tc>
                <w:tcPr>
                  <w:tcW w:w="882" w:type="pct"/>
                  <w:tcBorders>
                    <w:top w:val="single" w:color="auto" w:sz="8" w:space="0"/>
                    <w:left w:val="nil"/>
                    <w:bottom w:val="single" w:color="auto" w:sz="8" w:space="0"/>
                    <w:right w:val="single" w:color="auto" w:sz="8"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单位</w:t>
                  </w:r>
                </w:p>
              </w:tc>
              <w:tc>
                <w:tcPr>
                  <w:tcW w:w="882" w:type="pct"/>
                  <w:tcBorders>
                    <w:top w:val="single" w:color="auto" w:sz="8" w:space="0"/>
                    <w:left w:val="nil"/>
                    <w:bottom w:val="single" w:color="auto" w:sz="8" w:space="0"/>
                    <w:right w:val="single" w:color="auto" w:sz="8" w:space="0"/>
                  </w:tcBorders>
                  <w:noWrap w:val="0"/>
                  <w:vAlign w:val="center"/>
                </w:tcPr>
                <w:p>
                  <w:pPr>
                    <w:widowControl/>
                    <w:ind w:firstLine="0" w:firstLineChars="0"/>
                    <w:jc w:val="center"/>
                    <w:rPr>
                      <w:rFonts w:hint="eastAsia" w:ascii="宋体" w:hAnsi="宋体" w:eastAsia="宋体" w:cs="宋体"/>
                      <w:color w:val="auto"/>
                      <w:kern w:val="0"/>
                      <w:sz w:val="20"/>
                      <w:szCs w:val="20"/>
                      <w:highlight w:val="none"/>
                      <w:lang w:eastAsia="zh-CN"/>
                    </w:rPr>
                  </w:pPr>
                  <w:r>
                    <w:rPr>
                      <w:rFonts w:hint="eastAsia" w:ascii="宋体" w:hAnsi="宋体" w:cs="宋体"/>
                      <w:color w:val="auto"/>
                      <w:kern w:val="0"/>
                      <w:sz w:val="20"/>
                      <w:szCs w:val="20"/>
                      <w:highlight w:val="none"/>
                      <w:lang w:val="en-US" w:eastAsia="zh-CN"/>
                    </w:rPr>
                    <w:t>数量</w:t>
                  </w:r>
                </w:p>
              </w:tc>
            </w:tr>
            <w:tr>
              <w:tblPrEx>
                <w:tblCellMar>
                  <w:top w:w="0" w:type="dxa"/>
                  <w:left w:w="108" w:type="dxa"/>
                  <w:bottom w:w="0" w:type="dxa"/>
                  <w:right w:w="108" w:type="dxa"/>
                </w:tblCellMar>
              </w:tblPrEx>
              <w:trPr>
                <w:trHeight w:val="300" w:hRule="atLeast"/>
                <w:jc w:val="center"/>
              </w:trPr>
              <w:tc>
                <w:tcPr>
                  <w:tcW w:w="999" w:type="pct"/>
                  <w:vMerge w:val="restart"/>
                  <w:tcBorders>
                    <w:top w:val="nil"/>
                    <w:left w:val="single" w:color="auto" w:sz="8" w:space="0"/>
                    <w:right w:val="single" w:color="auto" w:sz="8"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开挖</w:t>
                  </w:r>
                </w:p>
              </w:tc>
              <w:tc>
                <w:tcPr>
                  <w:tcW w:w="1218" w:type="pct"/>
                  <w:tcBorders>
                    <w:top w:val="nil"/>
                    <w:left w:val="single" w:color="auto" w:sz="8" w:space="0"/>
                    <w:bottom w:val="single" w:color="000000" w:sz="8" w:space="0"/>
                    <w:right w:val="single" w:color="auto" w:sz="8" w:space="0"/>
                  </w:tcBorders>
                  <w:noWrap w:val="0"/>
                  <w:vAlign w:val="center"/>
                </w:tcPr>
                <w:p>
                  <w:pPr>
                    <w:widowControl/>
                    <w:ind w:firstLine="0" w:firstLineChars="0"/>
                    <w:jc w:val="center"/>
                    <w:rPr>
                      <w:rFonts w:hint="eastAsia" w:ascii="宋体" w:hAnsi="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庄子沟</w:t>
                  </w:r>
                  <w:r>
                    <w:rPr>
                      <w:rFonts w:hint="eastAsia" w:ascii="宋体" w:hAnsi="宋体" w:cs="宋体"/>
                      <w:color w:val="auto"/>
                      <w:kern w:val="0"/>
                      <w:sz w:val="20"/>
                      <w:szCs w:val="20"/>
                      <w:highlight w:val="none"/>
                    </w:rPr>
                    <w:t>段</w:t>
                  </w:r>
                </w:p>
              </w:tc>
              <w:tc>
                <w:tcPr>
                  <w:tcW w:w="1017" w:type="pct"/>
                  <w:tcBorders>
                    <w:top w:val="nil"/>
                    <w:left w:val="nil"/>
                    <w:bottom w:val="single" w:color="auto" w:sz="8" w:space="0"/>
                    <w:right w:val="single" w:color="auto" w:sz="8" w:space="0"/>
                  </w:tcBorders>
                  <w:noWrap w:val="0"/>
                  <w:vAlign w:val="center"/>
                </w:tcPr>
                <w:p>
                  <w:pPr>
                    <w:widowControl/>
                    <w:ind w:firstLine="0" w:firstLineChars="0"/>
                    <w:jc w:val="center"/>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表土剥离</w:t>
                  </w:r>
                </w:p>
              </w:tc>
              <w:tc>
                <w:tcPr>
                  <w:tcW w:w="882" w:type="pct"/>
                  <w:tcBorders>
                    <w:top w:val="nil"/>
                    <w:left w:val="nil"/>
                    <w:bottom w:val="single" w:color="auto" w:sz="8" w:space="0"/>
                    <w:right w:val="single" w:color="auto" w:sz="8" w:space="0"/>
                  </w:tcBorders>
                  <w:noWrap w:val="0"/>
                  <w:vAlign w:val="center"/>
                </w:tcPr>
                <w:p>
                  <w:pPr>
                    <w:widowControl/>
                    <w:ind w:firstLine="0" w:firstLineChars="0"/>
                    <w:jc w:val="center"/>
                    <w:rPr>
                      <w:rFonts w:hint="default" w:ascii="Times New Roman" w:hAnsi="Times New Roman" w:cs="Times New Roman"/>
                      <w:color w:val="auto"/>
                      <w:kern w:val="0"/>
                      <w:sz w:val="20"/>
                      <w:szCs w:val="20"/>
                      <w:highlight w:val="none"/>
                    </w:rPr>
                  </w:pPr>
                  <w:r>
                    <w:rPr>
                      <w:rFonts w:hint="eastAsia" w:ascii="Times New Roman" w:hAnsi="Times New Roman" w:cs="Times New Roman"/>
                      <w:color w:val="auto"/>
                      <w:kern w:val="0"/>
                      <w:sz w:val="20"/>
                      <w:szCs w:val="20"/>
                      <w:highlight w:val="none"/>
                      <w:lang w:val="en-US" w:eastAsia="zh-CN"/>
                    </w:rPr>
                    <w:t>万</w:t>
                  </w:r>
                  <w:r>
                    <w:rPr>
                      <w:rFonts w:hint="default" w:ascii="Times New Roman" w:hAnsi="Times New Roman" w:cs="Times New Roman"/>
                      <w:color w:val="auto"/>
                      <w:kern w:val="0"/>
                      <w:sz w:val="20"/>
                      <w:szCs w:val="20"/>
                      <w:highlight w:val="none"/>
                    </w:rPr>
                    <w:t>m</w:t>
                  </w:r>
                  <w:r>
                    <w:rPr>
                      <w:rFonts w:hint="default" w:ascii="Times New Roman" w:hAnsi="Times New Roman" w:cs="Times New Roman"/>
                      <w:color w:val="auto"/>
                      <w:kern w:val="0"/>
                      <w:sz w:val="20"/>
                      <w:szCs w:val="20"/>
                      <w:highlight w:val="none"/>
                      <w:vertAlign w:val="superscript"/>
                    </w:rPr>
                    <w:t>3</w:t>
                  </w:r>
                </w:p>
              </w:tc>
              <w:tc>
                <w:tcPr>
                  <w:tcW w:w="882" w:type="pct"/>
                  <w:tcBorders>
                    <w:top w:val="nil"/>
                    <w:left w:val="nil"/>
                    <w:bottom w:val="single" w:color="auto" w:sz="8" w:space="0"/>
                    <w:right w:val="single" w:color="auto" w:sz="8" w:space="0"/>
                  </w:tcBorders>
                  <w:noWrap w:val="0"/>
                  <w:vAlign w:val="center"/>
                </w:tcPr>
                <w:p>
                  <w:pPr>
                    <w:widowControl/>
                    <w:ind w:firstLine="0" w:firstLineChars="0"/>
                    <w:jc w:val="center"/>
                    <w:rPr>
                      <w:rFonts w:hint="default" w:ascii="Times New Roman" w:hAnsi="Times New Roman" w:cs="Times New Roman"/>
                      <w:color w:val="auto"/>
                      <w:kern w:val="0"/>
                      <w:sz w:val="20"/>
                      <w:szCs w:val="20"/>
                      <w:highlight w:val="none"/>
                      <w:lang w:val="en-US" w:eastAsia="zh-CN"/>
                    </w:rPr>
                  </w:pPr>
                  <w:r>
                    <w:rPr>
                      <w:rFonts w:hint="eastAsia" w:cs="Times New Roman"/>
                      <w:color w:val="auto"/>
                      <w:kern w:val="0"/>
                      <w:sz w:val="20"/>
                      <w:szCs w:val="20"/>
                      <w:highlight w:val="none"/>
                      <w:lang w:val="en-US" w:eastAsia="zh-CN"/>
                    </w:rPr>
                    <w:t>0.123</w:t>
                  </w:r>
                </w:p>
              </w:tc>
            </w:tr>
            <w:tr>
              <w:tblPrEx>
                <w:tblCellMar>
                  <w:top w:w="0" w:type="dxa"/>
                  <w:left w:w="108" w:type="dxa"/>
                  <w:bottom w:w="0" w:type="dxa"/>
                  <w:right w:w="108" w:type="dxa"/>
                </w:tblCellMar>
              </w:tblPrEx>
              <w:trPr>
                <w:trHeight w:val="300" w:hRule="atLeast"/>
                <w:jc w:val="center"/>
              </w:trPr>
              <w:tc>
                <w:tcPr>
                  <w:tcW w:w="999" w:type="pct"/>
                  <w:vMerge w:val="continue"/>
                  <w:tcBorders>
                    <w:left w:val="single" w:color="auto" w:sz="8" w:space="0"/>
                    <w:right w:val="single" w:color="auto" w:sz="8" w:space="0"/>
                  </w:tcBorders>
                  <w:noWrap w:val="0"/>
                  <w:vAlign w:val="center"/>
                </w:tcPr>
                <w:p>
                  <w:pPr>
                    <w:widowControl/>
                    <w:ind w:firstLine="0" w:firstLineChars="0"/>
                    <w:jc w:val="center"/>
                    <w:rPr>
                      <w:rFonts w:hint="eastAsia" w:ascii="宋体" w:hAnsi="宋体" w:cs="宋体"/>
                      <w:color w:val="auto"/>
                      <w:kern w:val="0"/>
                      <w:sz w:val="20"/>
                      <w:szCs w:val="20"/>
                      <w:highlight w:val="none"/>
                    </w:rPr>
                  </w:pPr>
                </w:p>
              </w:tc>
              <w:tc>
                <w:tcPr>
                  <w:tcW w:w="1218" w:type="pct"/>
                  <w:tcBorders>
                    <w:top w:val="nil"/>
                    <w:left w:val="single" w:color="auto" w:sz="8" w:space="0"/>
                    <w:bottom w:val="single" w:color="000000" w:sz="8" w:space="0"/>
                    <w:right w:val="single" w:color="auto" w:sz="8"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rPr>
                    <w:t>庄子沟</w:t>
                  </w:r>
                  <w:r>
                    <w:rPr>
                      <w:rFonts w:hint="eastAsia" w:ascii="宋体" w:hAnsi="宋体" w:cs="宋体"/>
                      <w:color w:val="auto"/>
                      <w:kern w:val="0"/>
                      <w:sz w:val="20"/>
                      <w:szCs w:val="20"/>
                      <w:highlight w:val="none"/>
                    </w:rPr>
                    <w:t>段</w:t>
                  </w:r>
                </w:p>
              </w:tc>
              <w:tc>
                <w:tcPr>
                  <w:tcW w:w="1017" w:type="pct"/>
                  <w:tcBorders>
                    <w:top w:val="nil"/>
                    <w:left w:val="nil"/>
                    <w:bottom w:val="single" w:color="auto" w:sz="8" w:space="0"/>
                    <w:right w:val="single" w:color="auto" w:sz="8"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土方开挖</w:t>
                  </w:r>
                </w:p>
              </w:tc>
              <w:tc>
                <w:tcPr>
                  <w:tcW w:w="882" w:type="pct"/>
                  <w:tcBorders>
                    <w:top w:val="nil"/>
                    <w:left w:val="nil"/>
                    <w:bottom w:val="single" w:color="auto" w:sz="8" w:space="0"/>
                    <w:right w:val="single" w:color="auto" w:sz="8" w:space="0"/>
                  </w:tcBorders>
                  <w:noWrap w:val="0"/>
                  <w:vAlign w:val="center"/>
                </w:tcPr>
                <w:p>
                  <w:pPr>
                    <w:widowControl/>
                    <w:ind w:firstLine="0" w:firstLineChars="0"/>
                    <w:jc w:val="center"/>
                    <w:rPr>
                      <w:rFonts w:hint="default" w:ascii="Times New Roman" w:hAnsi="Times New Roman" w:cs="Times New Roman"/>
                      <w:color w:val="auto"/>
                      <w:kern w:val="0"/>
                      <w:sz w:val="20"/>
                      <w:szCs w:val="20"/>
                      <w:highlight w:val="none"/>
                    </w:rPr>
                  </w:pPr>
                  <w:r>
                    <w:rPr>
                      <w:rFonts w:hint="eastAsia" w:ascii="Times New Roman" w:hAnsi="Times New Roman" w:cs="Times New Roman"/>
                      <w:color w:val="auto"/>
                      <w:kern w:val="0"/>
                      <w:sz w:val="20"/>
                      <w:szCs w:val="20"/>
                      <w:highlight w:val="none"/>
                      <w:lang w:val="en-US" w:eastAsia="zh-CN"/>
                    </w:rPr>
                    <w:t>万</w:t>
                  </w:r>
                  <w:r>
                    <w:rPr>
                      <w:rFonts w:hint="default" w:ascii="Times New Roman" w:hAnsi="Times New Roman" w:cs="Times New Roman"/>
                      <w:color w:val="auto"/>
                      <w:kern w:val="0"/>
                      <w:sz w:val="20"/>
                      <w:szCs w:val="20"/>
                      <w:highlight w:val="none"/>
                    </w:rPr>
                    <w:t>m</w:t>
                  </w:r>
                  <w:r>
                    <w:rPr>
                      <w:rFonts w:hint="default" w:ascii="Times New Roman" w:hAnsi="Times New Roman" w:cs="Times New Roman"/>
                      <w:color w:val="auto"/>
                      <w:kern w:val="0"/>
                      <w:sz w:val="20"/>
                      <w:szCs w:val="20"/>
                      <w:highlight w:val="none"/>
                      <w:vertAlign w:val="superscript"/>
                    </w:rPr>
                    <w:t>3</w:t>
                  </w:r>
                </w:p>
              </w:tc>
              <w:tc>
                <w:tcPr>
                  <w:tcW w:w="882" w:type="pct"/>
                  <w:tcBorders>
                    <w:top w:val="nil"/>
                    <w:left w:val="nil"/>
                    <w:bottom w:val="single" w:color="auto" w:sz="8" w:space="0"/>
                    <w:right w:val="single" w:color="auto" w:sz="8" w:space="0"/>
                  </w:tcBorders>
                  <w:noWrap w:val="0"/>
                  <w:vAlign w:val="center"/>
                </w:tcPr>
                <w:p>
                  <w:pPr>
                    <w:widowControl/>
                    <w:ind w:firstLine="0" w:firstLineChars="0"/>
                    <w:jc w:val="center"/>
                    <w:rPr>
                      <w:rFonts w:hint="default" w:ascii="Times New Roman" w:hAnsi="Times New Roman" w:eastAsia="宋体" w:cs="Times New Roman"/>
                      <w:color w:val="auto"/>
                      <w:kern w:val="0"/>
                      <w:sz w:val="20"/>
                      <w:szCs w:val="20"/>
                      <w:highlight w:val="none"/>
                      <w:lang w:val="en-US" w:eastAsia="zh-CN"/>
                    </w:rPr>
                  </w:pPr>
                  <w:r>
                    <w:rPr>
                      <w:rFonts w:hint="eastAsia" w:cs="Times New Roman"/>
                      <w:color w:val="auto"/>
                      <w:kern w:val="0"/>
                      <w:sz w:val="20"/>
                      <w:szCs w:val="20"/>
                      <w:highlight w:val="none"/>
                      <w:lang w:val="en-US" w:eastAsia="zh-CN"/>
                    </w:rPr>
                    <w:t>1.805</w:t>
                  </w:r>
                </w:p>
              </w:tc>
            </w:tr>
            <w:tr>
              <w:tblPrEx>
                <w:tblCellMar>
                  <w:top w:w="0" w:type="dxa"/>
                  <w:left w:w="108" w:type="dxa"/>
                  <w:bottom w:w="0" w:type="dxa"/>
                  <w:right w:w="108" w:type="dxa"/>
                </w:tblCellMar>
              </w:tblPrEx>
              <w:trPr>
                <w:trHeight w:val="300" w:hRule="atLeast"/>
                <w:jc w:val="center"/>
              </w:trPr>
              <w:tc>
                <w:tcPr>
                  <w:tcW w:w="999" w:type="pct"/>
                  <w:vMerge w:val="continue"/>
                  <w:tcBorders>
                    <w:left w:val="single" w:color="auto" w:sz="8" w:space="0"/>
                    <w:right w:val="single" w:color="auto" w:sz="8" w:space="0"/>
                  </w:tcBorders>
                  <w:noWrap w:val="0"/>
                  <w:vAlign w:val="center"/>
                </w:tcPr>
                <w:p>
                  <w:pPr>
                    <w:widowControl/>
                    <w:ind w:firstLine="0" w:firstLineChars="0"/>
                    <w:jc w:val="center"/>
                    <w:rPr>
                      <w:rFonts w:hint="eastAsia" w:ascii="宋体" w:hAnsi="宋体" w:cs="宋体"/>
                      <w:color w:val="auto"/>
                      <w:kern w:val="0"/>
                      <w:sz w:val="20"/>
                      <w:szCs w:val="20"/>
                      <w:highlight w:val="none"/>
                    </w:rPr>
                  </w:pPr>
                </w:p>
              </w:tc>
              <w:tc>
                <w:tcPr>
                  <w:tcW w:w="1218" w:type="pct"/>
                  <w:tcBorders>
                    <w:top w:val="nil"/>
                    <w:left w:val="single" w:color="auto" w:sz="8" w:space="0"/>
                    <w:bottom w:val="single" w:color="000000" w:sz="8" w:space="0"/>
                    <w:right w:val="single" w:color="auto" w:sz="8" w:space="0"/>
                  </w:tcBorders>
                  <w:noWrap w:val="0"/>
                  <w:vAlign w:val="center"/>
                </w:tcPr>
                <w:p>
                  <w:pPr>
                    <w:widowControl/>
                    <w:ind w:firstLine="0" w:firstLineChars="0"/>
                    <w:jc w:val="center"/>
                    <w:rPr>
                      <w:rFonts w:hint="eastAsia" w:ascii="宋体" w:hAnsi="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庄子沟</w:t>
                  </w:r>
                  <w:r>
                    <w:rPr>
                      <w:rFonts w:hint="eastAsia" w:ascii="宋体" w:hAnsi="宋体" w:cs="宋体"/>
                      <w:color w:val="auto"/>
                      <w:kern w:val="0"/>
                      <w:sz w:val="20"/>
                      <w:szCs w:val="20"/>
                      <w:highlight w:val="none"/>
                    </w:rPr>
                    <w:t>段</w:t>
                  </w:r>
                </w:p>
              </w:tc>
              <w:tc>
                <w:tcPr>
                  <w:tcW w:w="1017" w:type="pct"/>
                  <w:tcBorders>
                    <w:top w:val="nil"/>
                    <w:left w:val="nil"/>
                    <w:bottom w:val="single" w:color="auto" w:sz="8" w:space="0"/>
                    <w:right w:val="single" w:color="auto" w:sz="8" w:space="0"/>
                  </w:tcBorders>
                  <w:noWrap w:val="0"/>
                  <w:vAlign w:val="center"/>
                </w:tcPr>
                <w:p>
                  <w:pPr>
                    <w:widowControl/>
                    <w:ind w:firstLine="0" w:firstLineChars="0"/>
                    <w:jc w:val="center"/>
                    <w:rPr>
                      <w:rFonts w:hint="eastAsia"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河道疏浚</w:t>
                  </w:r>
                </w:p>
              </w:tc>
              <w:tc>
                <w:tcPr>
                  <w:tcW w:w="882" w:type="pct"/>
                  <w:tcBorders>
                    <w:top w:val="nil"/>
                    <w:left w:val="nil"/>
                    <w:bottom w:val="single" w:color="auto" w:sz="8" w:space="0"/>
                    <w:right w:val="single" w:color="auto" w:sz="8" w:space="0"/>
                  </w:tcBorders>
                  <w:noWrap w:val="0"/>
                  <w:vAlign w:val="center"/>
                </w:tcPr>
                <w:p>
                  <w:pPr>
                    <w:widowControl/>
                    <w:ind w:firstLine="0" w:firstLineChars="0"/>
                    <w:jc w:val="center"/>
                    <w:rPr>
                      <w:rFonts w:hint="default" w:ascii="Times New Roman" w:hAnsi="Times New Roman" w:cs="Times New Roman"/>
                      <w:color w:val="auto"/>
                      <w:kern w:val="0"/>
                      <w:sz w:val="20"/>
                      <w:szCs w:val="20"/>
                      <w:highlight w:val="none"/>
                    </w:rPr>
                  </w:pPr>
                  <w:r>
                    <w:rPr>
                      <w:rFonts w:hint="eastAsia" w:ascii="Times New Roman" w:hAnsi="Times New Roman" w:cs="Times New Roman"/>
                      <w:color w:val="auto"/>
                      <w:kern w:val="0"/>
                      <w:sz w:val="20"/>
                      <w:szCs w:val="20"/>
                      <w:highlight w:val="none"/>
                      <w:lang w:val="en-US" w:eastAsia="zh-CN"/>
                    </w:rPr>
                    <w:t>万</w:t>
                  </w:r>
                  <w:r>
                    <w:rPr>
                      <w:rFonts w:hint="default" w:ascii="Times New Roman" w:hAnsi="Times New Roman" w:cs="Times New Roman"/>
                      <w:color w:val="auto"/>
                      <w:kern w:val="0"/>
                      <w:sz w:val="20"/>
                      <w:szCs w:val="20"/>
                      <w:highlight w:val="none"/>
                    </w:rPr>
                    <w:t>m</w:t>
                  </w:r>
                  <w:r>
                    <w:rPr>
                      <w:rFonts w:hint="default" w:ascii="Times New Roman" w:hAnsi="Times New Roman" w:cs="Times New Roman"/>
                      <w:color w:val="auto"/>
                      <w:kern w:val="0"/>
                      <w:sz w:val="20"/>
                      <w:szCs w:val="20"/>
                      <w:highlight w:val="none"/>
                      <w:vertAlign w:val="superscript"/>
                    </w:rPr>
                    <w:t>3</w:t>
                  </w:r>
                </w:p>
              </w:tc>
              <w:tc>
                <w:tcPr>
                  <w:tcW w:w="882" w:type="pct"/>
                  <w:tcBorders>
                    <w:top w:val="nil"/>
                    <w:left w:val="nil"/>
                    <w:bottom w:val="single" w:color="auto" w:sz="8" w:space="0"/>
                    <w:right w:val="single" w:color="auto" w:sz="8" w:space="0"/>
                  </w:tcBorders>
                  <w:noWrap w:val="0"/>
                  <w:vAlign w:val="center"/>
                </w:tcPr>
                <w:p>
                  <w:pPr>
                    <w:widowControl/>
                    <w:ind w:firstLine="0" w:firstLineChars="0"/>
                    <w:jc w:val="center"/>
                    <w:rPr>
                      <w:rFonts w:hint="default" w:ascii="Times New Roman" w:hAnsi="Times New Roman" w:cs="Times New Roman"/>
                      <w:color w:val="auto"/>
                      <w:kern w:val="0"/>
                      <w:sz w:val="20"/>
                      <w:szCs w:val="20"/>
                      <w:highlight w:val="none"/>
                      <w:lang w:val="en-US" w:eastAsia="zh-CN"/>
                    </w:rPr>
                  </w:pPr>
                  <w:r>
                    <w:rPr>
                      <w:rFonts w:hint="eastAsia" w:cs="Times New Roman"/>
                      <w:color w:val="auto"/>
                      <w:kern w:val="0"/>
                      <w:sz w:val="20"/>
                      <w:szCs w:val="20"/>
                      <w:highlight w:val="none"/>
                      <w:lang w:val="en-US" w:eastAsia="zh-CN"/>
                    </w:rPr>
                    <w:t>0.07</w:t>
                  </w:r>
                </w:p>
              </w:tc>
            </w:tr>
            <w:tr>
              <w:tblPrEx>
                <w:tblCellMar>
                  <w:top w:w="0" w:type="dxa"/>
                  <w:left w:w="108" w:type="dxa"/>
                  <w:bottom w:w="0" w:type="dxa"/>
                  <w:right w:w="108" w:type="dxa"/>
                </w:tblCellMar>
              </w:tblPrEx>
              <w:trPr>
                <w:trHeight w:val="300" w:hRule="atLeast"/>
                <w:jc w:val="center"/>
              </w:trPr>
              <w:tc>
                <w:tcPr>
                  <w:tcW w:w="999" w:type="pct"/>
                  <w:vMerge w:val="continue"/>
                  <w:tcBorders>
                    <w:left w:val="single" w:color="auto" w:sz="8" w:space="0"/>
                    <w:bottom w:val="single" w:color="auto" w:sz="4" w:space="0"/>
                    <w:right w:val="single" w:color="auto" w:sz="8" w:space="0"/>
                  </w:tcBorders>
                  <w:noWrap w:val="0"/>
                  <w:vAlign w:val="center"/>
                </w:tcPr>
                <w:p>
                  <w:pPr>
                    <w:widowControl/>
                    <w:ind w:firstLine="0" w:firstLineChars="0"/>
                    <w:jc w:val="center"/>
                    <w:rPr>
                      <w:rFonts w:ascii="宋体" w:hAnsi="宋体" w:cs="宋体"/>
                      <w:color w:val="auto"/>
                      <w:kern w:val="0"/>
                      <w:sz w:val="20"/>
                      <w:szCs w:val="20"/>
                      <w:highlight w:val="none"/>
                    </w:rPr>
                  </w:pPr>
                </w:p>
              </w:tc>
              <w:tc>
                <w:tcPr>
                  <w:tcW w:w="2236" w:type="pct"/>
                  <w:gridSpan w:val="2"/>
                  <w:tcBorders>
                    <w:top w:val="single" w:color="auto" w:sz="8" w:space="0"/>
                    <w:left w:val="nil"/>
                    <w:bottom w:val="single" w:color="auto" w:sz="4" w:space="0"/>
                    <w:right w:val="single" w:color="000000" w:sz="8" w:space="0"/>
                  </w:tcBorders>
                  <w:noWrap w:val="0"/>
                  <w:vAlign w:val="center"/>
                </w:tcPr>
                <w:p>
                  <w:pPr>
                    <w:widowControl/>
                    <w:ind w:firstLine="0" w:firstLineChars="0"/>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小计</w:t>
                  </w:r>
                </w:p>
              </w:tc>
              <w:tc>
                <w:tcPr>
                  <w:tcW w:w="882" w:type="pct"/>
                  <w:tcBorders>
                    <w:top w:val="nil"/>
                    <w:left w:val="nil"/>
                    <w:bottom w:val="single" w:color="auto" w:sz="4" w:space="0"/>
                    <w:right w:val="single" w:color="auto" w:sz="8" w:space="0"/>
                  </w:tcBorders>
                  <w:noWrap w:val="0"/>
                  <w:vAlign w:val="center"/>
                </w:tcPr>
                <w:p>
                  <w:pPr>
                    <w:widowControl/>
                    <w:ind w:firstLine="0" w:firstLineChars="0"/>
                    <w:jc w:val="center"/>
                    <w:rPr>
                      <w:rFonts w:hint="default" w:ascii="Times New Roman" w:hAnsi="Times New Roman" w:eastAsia="等线" w:cs="Times New Roman"/>
                      <w:color w:val="auto"/>
                      <w:kern w:val="0"/>
                      <w:sz w:val="20"/>
                      <w:szCs w:val="20"/>
                      <w:highlight w:val="none"/>
                    </w:rPr>
                  </w:pPr>
                  <w:r>
                    <w:rPr>
                      <w:rFonts w:hint="eastAsia" w:ascii="Times New Roman" w:hAnsi="Times New Roman" w:cs="Times New Roman"/>
                      <w:color w:val="auto"/>
                      <w:kern w:val="0"/>
                      <w:sz w:val="20"/>
                      <w:szCs w:val="20"/>
                      <w:highlight w:val="none"/>
                      <w:lang w:val="en-US" w:eastAsia="zh-CN"/>
                    </w:rPr>
                    <w:t>万</w:t>
                  </w:r>
                  <w:r>
                    <w:rPr>
                      <w:rFonts w:hint="default" w:ascii="Times New Roman" w:hAnsi="Times New Roman" w:cs="Times New Roman"/>
                      <w:color w:val="auto"/>
                      <w:kern w:val="0"/>
                      <w:sz w:val="20"/>
                      <w:szCs w:val="20"/>
                      <w:highlight w:val="none"/>
                    </w:rPr>
                    <w:t>m</w:t>
                  </w:r>
                  <w:r>
                    <w:rPr>
                      <w:rFonts w:hint="default" w:ascii="Times New Roman" w:hAnsi="Times New Roman" w:cs="Times New Roman"/>
                      <w:color w:val="auto"/>
                      <w:kern w:val="0"/>
                      <w:sz w:val="20"/>
                      <w:szCs w:val="20"/>
                      <w:highlight w:val="none"/>
                      <w:vertAlign w:val="superscript"/>
                    </w:rPr>
                    <w:t>3</w:t>
                  </w:r>
                </w:p>
              </w:tc>
              <w:tc>
                <w:tcPr>
                  <w:tcW w:w="882" w:type="pct"/>
                  <w:tcBorders>
                    <w:top w:val="nil"/>
                    <w:left w:val="nil"/>
                    <w:bottom w:val="single" w:color="auto" w:sz="4" w:space="0"/>
                    <w:right w:val="single" w:color="auto" w:sz="8" w:space="0"/>
                  </w:tcBorders>
                  <w:noWrap w:val="0"/>
                  <w:vAlign w:val="center"/>
                </w:tcPr>
                <w:p>
                  <w:pPr>
                    <w:widowControl/>
                    <w:ind w:firstLine="0" w:firstLineChars="0"/>
                    <w:jc w:val="center"/>
                    <w:rPr>
                      <w:rFonts w:hint="default" w:ascii="Times New Roman" w:hAnsi="Times New Roman" w:eastAsia="宋体" w:cs="Times New Roman"/>
                      <w:color w:val="auto"/>
                      <w:kern w:val="0"/>
                      <w:sz w:val="20"/>
                      <w:szCs w:val="20"/>
                      <w:highlight w:val="none"/>
                      <w:lang w:val="en-US" w:eastAsia="zh-CN"/>
                    </w:rPr>
                  </w:pPr>
                  <w:r>
                    <w:rPr>
                      <w:rFonts w:hint="eastAsia" w:cs="Times New Roman"/>
                      <w:color w:val="auto"/>
                      <w:kern w:val="0"/>
                      <w:sz w:val="20"/>
                      <w:szCs w:val="20"/>
                      <w:highlight w:val="none"/>
                      <w:lang w:val="en-US" w:eastAsia="zh-CN"/>
                    </w:rPr>
                    <w:t>1.998</w:t>
                  </w:r>
                </w:p>
              </w:tc>
            </w:tr>
            <w:tr>
              <w:tblPrEx>
                <w:tblCellMar>
                  <w:top w:w="0" w:type="dxa"/>
                  <w:left w:w="108" w:type="dxa"/>
                  <w:bottom w:w="0" w:type="dxa"/>
                  <w:right w:w="108" w:type="dxa"/>
                </w:tblCellMar>
              </w:tblPrEx>
              <w:trPr>
                <w:trHeight w:val="300" w:hRule="atLeast"/>
                <w:jc w:val="center"/>
              </w:trPr>
              <w:tc>
                <w:tcPr>
                  <w:tcW w:w="999"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填筑</w:t>
                  </w:r>
                </w:p>
              </w:tc>
              <w:tc>
                <w:tcPr>
                  <w:tcW w:w="1218" w:type="pct"/>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rPr>
                    <w:t>庄子沟</w:t>
                  </w:r>
                  <w:r>
                    <w:rPr>
                      <w:rFonts w:hint="eastAsia" w:ascii="宋体" w:hAnsi="宋体" w:cs="宋体"/>
                      <w:color w:val="auto"/>
                      <w:kern w:val="0"/>
                      <w:sz w:val="20"/>
                      <w:szCs w:val="20"/>
                      <w:highlight w:val="none"/>
                    </w:rPr>
                    <w:t>段</w:t>
                  </w:r>
                </w:p>
              </w:tc>
              <w:tc>
                <w:tcPr>
                  <w:tcW w:w="1017" w:type="pct"/>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表土回覆</w:t>
                  </w:r>
                </w:p>
              </w:tc>
              <w:tc>
                <w:tcPr>
                  <w:tcW w:w="882" w:type="pct"/>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default" w:ascii="Times New Roman" w:hAnsi="Times New Roman" w:cs="Times New Roman"/>
                      <w:color w:val="auto"/>
                      <w:kern w:val="0"/>
                      <w:sz w:val="20"/>
                      <w:szCs w:val="20"/>
                      <w:highlight w:val="none"/>
                    </w:rPr>
                  </w:pPr>
                  <w:r>
                    <w:rPr>
                      <w:rFonts w:hint="eastAsia" w:ascii="Times New Roman" w:hAnsi="Times New Roman" w:cs="Times New Roman"/>
                      <w:color w:val="auto"/>
                      <w:kern w:val="0"/>
                      <w:sz w:val="20"/>
                      <w:szCs w:val="20"/>
                      <w:highlight w:val="none"/>
                      <w:lang w:val="en-US" w:eastAsia="zh-CN"/>
                    </w:rPr>
                    <w:t>万</w:t>
                  </w:r>
                  <w:r>
                    <w:rPr>
                      <w:rFonts w:hint="default" w:ascii="Times New Roman" w:hAnsi="Times New Roman" w:cs="Times New Roman"/>
                      <w:color w:val="auto"/>
                      <w:kern w:val="0"/>
                      <w:sz w:val="20"/>
                      <w:szCs w:val="20"/>
                      <w:highlight w:val="none"/>
                    </w:rPr>
                    <w:t>m</w:t>
                  </w:r>
                  <w:r>
                    <w:rPr>
                      <w:rFonts w:hint="default" w:ascii="Times New Roman" w:hAnsi="Times New Roman" w:cs="Times New Roman"/>
                      <w:color w:val="auto"/>
                      <w:kern w:val="0"/>
                      <w:sz w:val="20"/>
                      <w:szCs w:val="20"/>
                      <w:highlight w:val="none"/>
                      <w:vertAlign w:val="superscript"/>
                    </w:rPr>
                    <w:t>3</w:t>
                  </w:r>
                </w:p>
              </w:tc>
              <w:tc>
                <w:tcPr>
                  <w:tcW w:w="882" w:type="pct"/>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default" w:ascii="Times New Roman" w:hAnsi="Times New Roman" w:eastAsia="等线" w:cs="Times New Roman"/>
                      <w:color w:val="auto"/>
                      <w:kern w:val="0"/>
                      <w:sz w:val="20"/>
                      <w:szCs w:val="20"/>
                      <w:highlight w:val="none"/>
                      <w:lang w:val="en-US" w:eastAsia="zh-CN"/>
                    </w:rPr>
                  </w:pPr>
                  <w:r>
                    <w:rPr>
                      <w:rFonts w:hint="eastAsia" w:eastAsia="等线" w:cs="Times New Roman"/>
                      <w:color w:val="auto"/>
                      <w:kern w:val="0"/>
                      <w:sz w:val="20"/>
                      <w:szCs w:val="20"/>
                      <w:highlight w:val="none"/>
                      <w:lang w:val="en-US" w:eastAsia="zh-CN"/>
                    </w:rPr>
                    <w:t>0.12</w:t>
                  </w:r>
                </w:p>
              </w:tc>
            </w:tr>
            <w:tr>
              <w:tblPrEx>
                <w:tblCellMar>
                  <w:top w:w="0" w:type="dxa"/>
                  <w:left w:w="108" w:type="dxa"/>
                  <w:bottom w:w="0" w:type="dxa"/>
                  <w:right w:w="108" w:type="dxa"/>
                </w:tblCellMar>
              </w:tblPrEx>
              <w:trPr>
                <w:trHeight w:val="495" w:hRule="atLeast"/>
                <w:jc w:val="center"/>
              </w:trPr>
              <w:tc>
                <w:tcPr>
                  <w:tcW w:w="999"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ascii="宋体" w:hAnsi="宋体" w:cs="宋体"/>
                      <w:color w:val="auto"/>
                      <w:kern w:val="0"/>
                      <w:sz w:val="20"/>
                      <w:szCs w:val="20"/>
                      <w:highlight w:val="none"/>
                    </w:rPr>
                  </w:pPr>
                </w:p>
              </w:tc>
              <w:tc>
                <w:tcPr>
                  <w:tcW w:w="1218" w:type="pct"/>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rPr>
                    <w:t>庄子沟</w:t>
                  </w:r>
                  <w:r>
                    <w:rPr>
                      <w:rFonts w:hint="eastAsia" w:ascii="宋体" w:hAnsi="宋体" w:cs="宋体"/>
                      <w:color w:val="auto"/>
                      <w:kern w:val="0"/>
                      <w:sz w:val="20"/>
                      <w:szCs w:val="20"/>
                      <w:highlight w:val="none"/>
                    </w:rPr>
                    <w:t>段</w:t>
                  </w:r>
                </w:p>
              </w:tc>
              <w:tc>
                <w:tcPr>
                  <w:tcW w:w="1017" w:type="pct"/>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default" w:ascii="宋体" w:hAnsi="宋体" w:eastAsia="宋体" w:cs="宋体"/>
                      <w:color w:val="auto"/>
                      <w:kern w:val="0"/>
                      <w:sz w:val="20"/>
                      <w:szCs w:val="20"/>
                      <w:highlight w:val="none"/>
                      <w:lang w:val="en-US" w:eastAsia="zh-CN"/>
                    </w:rPr>
                  </w:pPr>
                  <w:r>
                    <w:rPr>
                      <w:rFonts w:hint="default" w:ascii="宋体" w:hAnsi="宋体" w:eastAsia="宋体" w:cs="宋体"/>
                      <w:color w:val="auto"/>
                      <w:kern w:val="0"/>
                      <w:sz w:val="20"/>
                      <w:szCs w:val="20"/>
                      <w:highlight w:val="none"/>
                      <w:lang w:val="en-US" w:eastAsia="zh-CN"/>
                    </w:rPr>
                    <w:t>一般土石方</w:t>
                  </w:r>
                </w:p>
              </w:tc>
              <w:tc>
                <w:tcPr>
                  <w:tcW w:w="882" w:type="pct"/>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default" w:ascii="Times New Roman" w:hAnsi="Times New Roman" w:cs="Times New Roman"/>
                      <w:color w:val="auto"/>
                      <w:kern w:val="0"/>
                      <w:sz w:val="20"/>
                      <w:szCs w:val="20"/>
                      <w:highlight w:val="none"/>
                    </w:rPr>
                  </w:pPr>
                  <w:r>
                    <w:rPr>
                      <w:rFonts w:hint="eastAsia" w:ascii="Times New Roman" w:hAnsi="Times New Roman" w:cs="Times New Roman"/>
                      <w:color w:val="auto"/>
                      <w:kern w:val="0"/>
                      <w:sz w:val="20"/>
                      <w:szCs w:val="20"/>
                      <w:highlight w:val="none"/>
                      <w:lang w:val="en-US" w:eastAsia="zh-CN"/>
                    </w:rPr>
                    <w:t>万</w:t>
                  </w:r>
                  <w:r>
                    <w:rPr>
                      <w:rFonts w:hint="default" w:ascii="Times New Roman" w:hAnsi="Times New Roman" w:cs="Times New Roman"/>
                      <w:color w:val="auto"/>
                      <w:kern w:val="0"/>
                      <w:sz w:val="20"/>
                      <w:szCs w:val="20"/>
                      <w:highlight w:val="none"/>
                    </w:rPr>
                    <w:t>m</w:t>
                  </w:r>
                  <w:r>
                    <w:rPr>
                      <w:rFonts w:hint="default" w:ascii="Times New Roman" w:hAnsi="Times New Roman" w:cs="Times New Roman"/>
                      <w:color w:val="auto"/>
                      <w:kern w:val="0"/>
                      <w:sz w:val="20"/>
                      <w:szCs w:val="20"/>
                      <w:highlight w:val="none"/>
                      <w:vertAlign w:val="superscript"/>
                    </w:rPr>
                    <w:t>3</w:t>
                  </w:r>
                </w:p>
              </w:tc>
              <w:tc>
                <w:tcPr>
                  <w:tcW w:w="882" w:type="pct"/>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default" w:ascii="Times New Roman" w:hAnsi="Times New Roman" w:eastAsia="等线" w:cs="Times New Roman"/>
                      <w:color w:val="auto"/>
                      <w:kern w:val="0"/>
                      <w:sz w:val="20"/>
                      <w:szCs w:val="20"/>
                      <w:highlight w:val="none"/>
                      <w:lang w:val="en-US" w:eastAsia="zh-CN"/>
                    </w:rPr>
                  </w:pPr>
                  <w:r>
                    <w:rPr>
                      <w:rFonts w:hint="eastAsia" w:eastAsia="等线" w:cs="Times New Roman"/>
                      <w:color w:val="auto"/>
                      <w:kern w:val="0"/>
                      <w:sz w:val="20"/>
                      <w:szCs w:val="20"/>
                      <w:highlight w:val="none"/>
                      <w:lang w:val="en-US" w:eastAsia="zh-CN"/>
                    </w:rPr>
                    <w:t>1.878</w:t>
                  </w:r>
                </w:p>
              </w:tc>
            </w:tr>
            <w:tr>
              <w:tblPrEx>
                <w:tblCellMar>
                  <w:top w:w="0" w:type="dxa"/>
                  <w:left w:w="108" w:type="dxa"/>
                  <w:bottom w:w="0" w:type="dxa"/>
                  <w:right w:w="108" w:type="dxa"/>
                </w:tblCellMar>
              </w:tblPrEx>
              <w:trPr>
                <w:trHeight w:val="30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疏浚</w:t>
                  </w:r>
                </w:p>
              </w:tc>
              <w:tc>
                <w:tcPr>
                  <w:tcW w:w="2236" w:type="pct"/>
                  <w:gridSpan w:val="2"/>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default" w:ascii="Times New Roman" w:hAnsi="Times New Roman" w:eastAsia="等线"/>
                      <w:color w:val="auto"/>
                      <w:kern w:val="0"/>
                      <w:sz w:val="20"/>
                      <w:szCs w:val="20"/>
                      <w:highlight w:val="none"/>
                      <w:lang w:val="en-US" w:eastAsia="zh-CN"/>
                    </w:rPr>
                  </w:pPr>
                  <w:r>
                    <w:rPr>
                      <w:rFonts w:hint="eastAsia" w:eastAsia="等线"/>
                      <w:color w:val="auto"/>
                      <w:kern w:val="0"/>
                      <w:sz w:val="20"/>
                      <w:szCs w:val="20"/>
                      <w:highlight w:val="none"/>
                      <w:lang w:val="en-US" w:eastAsia="zh-CN"/>
                    </w:rPr>
                    <w:t>小计</w:t>
                  </w:r>
                </w:p>
              </w:tc>
              <w:tc>
                <w:tcPr>
                  <w:tcW w:w="882" w:type="pct"/>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default" w:ascii="Times New Roman" w:hAnsi="Times New Roman" w:eastAsia="等线" w:cs="Times New Roman"/>
                      <w:color w:val="auto"/>
                      <w:kern w:val="0"/>
                      <w:sz w:val="20"/>
                      <w:szCs w:val="20"/>
                      <w:highlight w:val="none"/>
                    </w:rPr>
                  </w:pPr>
                  <w:r>
                    <w:rPr>
                      <w:rFonts w:hint="eastAsia" w:ascii="Times New Roman" w:hAnsi="Times New Roman" w:cs="Times New Roman"/>
                      <w:color w:val="auto"/>
                      <w:kern w:val="0"/>
                      <w:sz w:val="20"/>
                      <w:szCs w:val="20"/>
                      <w:highlight w:val="none"/>
                      <w:lang w:val="en-US" w:eastAsia="zh-CN"/>
                    </w:rPr>
                    <w:t>万</w:t>
                  </w:r>
                  <w:r>
                    <w:rPr>
                      <w:rFonts w:hint="default" w:ascii="Times New Roman" w:hAnsi="Times New Roman" w:cs="Times New Roman"/>
                      <w:color w:val="auto"/>
                      <w:kern w:val="0"/>
                      <w:sz w:val="20"/>
                      <w:szCs w:val="20"/>
                      <w:highlight w:val="none"/>
                    </w:rPr>
                    <w:t>m</w:t>
                  </w:r>
                  <w:r>
                    <w:rPr>
                      <w:rFonts w:hint="default" w:ascii="Times New Roman" w:hAnsi="Times New Roman" w:cs="Times New Roman"/>
                      <w:color w:val="auto"/>
                      <w:kern w:val="0"/>
                      <w:sz w:val="20"/>
                      <w:szCs w:val="20"/>
                      <w:highlight w:val="none"/>
                      <w:vertAlign w:val="superscript"/>
                    </w:rPr>
                    <w:t>3</w:t>
                  </w:r>
                </w:p>
              </w:tc>
              <w:tc>
                <w:tcPr>
                  <w:tcW w:w="882" w:type="pct"/>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default" w:ascii="Times New Roman" w:hAnsi="Times New Roman" w:eastAsia="等线" w:cs="Times New Roman"/>
                      <w:color w:val="auto"/>
                      <w:kern w:val="0"/>
                      <w:sz w:val="20"/>
                      <w:szCs w:val="20"/>
                      <w:highlight w:val="none"/>
                      <w:lang w:val="en-US" w:eastAsia="zh-CN"/>
                    </w:rPr>
                  </w:pPr>
                  <w:r>
                    <w:rPr>
                      <w:rFonts w:hint="eastAsia" w:eastAsia="等线" w:cs="Times New Roman"/>
                      <w:color w:val="auto"/>
                      <w:kern w:val="0"/>
                      <w:sz w:val="20"/>
                      <w:szCs w:val="20"/>
                      <w:highlight w:val="none"/>
                      <w:lang w:val="en-US" w:eastAsia="zh-CN"/>
                    </w:rPr>
                    <w:t>1.998</w:t>
                  </w:r>
                </w:p>
              </w:tc>
            </w:tr>
            <w:tr>
              <w:tblPrEx>
                <w:tblCellMar>
                  <w:top w:w="0" w:type="dxa"/>
                  <w:left w:w="108" w:type="dxa"/>
                  <w:bottom w:w="0" w:type="dxa"/>
                  <w:right w:w="108" w:type="dxa"/>
                </w:tblCellMar>
              </w:tblPrEx>
              <w:trPr>
                <w:trHeight w:val="30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弃渣量</w:t>
                  </w:r>
                </w:p>
              </w:tc>
              <w:tc>
                <w:tcPr>
                  <w:tcW w:w="1218" w:type="pct"/>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Times New Roman" w:hAnsi="Times New Roman" w:eastAsia="等线"/>
                      <w:color w:val="auto"/>
                      <w:kern w:val="0"/>
                      <w:sz w:val="20"/>
                      <w:szCs w:val="20"/>
                      <w:highlight w:val="none"/>
                    </w:rPr>
                  </w:pPr>
                </w:p>
              </w:tc>
              <w:tc>
                <w:tcPr>
                  <w:tcW w:w="1017" w:type="pct"/>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ascii="Times New Roman" w:hAnsi="Times New Roman" w:eastAsia="等线"/>
                      <w:color w:val="auto"/>
                      <w:kern w:val="0"/>
                      <w:sz w:val="20"/>
                      <w:szCs w:val="20"/>
                      <w:highlight w:val="none"/>
                    </w:rPr>
                  </w:pPr>
                </w:p>
              </w:tc>
              <w:tc>
                <w:tcPr>
                  <w:tcW w:w="882" w:type="pct"/>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default" w:ascii="Times New Roman" w:hAnsi="Times New Roman" w:cs="Times New Roman"/>
                      <w:color w:val="auto"/>
                      <w:kern w:val="0"/>
                      <w:sz w:val="20"/>
                      <w:szCs w:val="20"/>
                      <w:highlight w:val="none"/>
                    </w:rPr>
                  </w:pPr>
                  <w:r>
                    <w:rPr>
                      <w:rFonts w:hint="eastAsia" w:ascii="Times New Roman" w:hAnsi="Times New Roman" w:cs="Times New Roman"/>
                      <w:color w:val="auto"/>
                      <w:kern w:val="0"/>
                      <w:sz w:val="20"/>
                      <w:szCs w:val="20"/>
                      <w:highlight w:val="none"/>
                      <w:lang w:val="en-US" w:eastAsia="zh-CN"/>
                    </w:rPr>
                    <w:t>万</w:t>
                  </w:r>
                  <w:r>
                    <w:rPr>
                      <w:rFonts w:hint="default" w:ascii="Times New Roman" w:hAnsi="Times New Roman" w:cs="Times New Roman"/>
                      <w:color w:val="auto"/>
                      <w:kern w:val="0"/>
                      <w:sz w:val="20"/>
                      <w:szCs w:val="20"/>
                      <w:highlight w:val="none"/>
                    </w:rPr>
                    <w:t>m</w:t>
                  </w:r>
                  <w:r>
                    <w:rPr>
                      <w:rFonts w:hint="default" w:ascii="Times New Roman" w:hAnsi="Times New Roman" w:cs="Times New Roman"/>
                      <w:color w:val="auto"/>
                      <w:kern w:val="0"/>
                      <w:sz w:val="20"/>
                      <w:szCs w:val="20"/>
                      <w:highlight w:val="none"/>
                      <w:vertAlign w:val="superscript"/>
                    </w:rPr>
                    <w:t>3</w:t>
                  </w:r>
                </w:p>
              </w:tc>
              <w:tc>
                <w:tcPr>
                  <w:tcW w:w="882" w:type="pct"/>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default" w:ascii="Times New Roman" w:hAnsi="Times New Roman" w:eastAsia="等线" w:cs="Times New Roman"/>
                      <w:color w:val="auto"/>
                      <w:kern w:val="0"/>
                      <w:sz w:val="20"/>
                      <w:szCs w:val="20"/>
                      <w:highlight w:val="none"/>
                      <w:lang w:val="en-US" w:eastAsia="zh-CN"/>
                    </w:rPr>
                  </w:pPr>
                  <w:r>
                    <w:rPr>
                      <w:rFonts w:hint="eastAsia" w:ascii="Times New Roman" w:hAnsi="Times New Roman" w:eastAsia="等线" w:cs="Times New Roman"/>
                      <w:color w:val="auto"/>
                      <w:kern w:val="0"/>
                      <w:sz w:val="20"/>
                      <w:szCs w:val="20"/>
                      <w:highlight w:val="none"/>
                      <w:lang w:val="en-US" w:eastAsia="zh-CN"/>
                    </w:rPr>
                    <w:t>0</w:t>
                  </w:r>
                </w:p>
              </w:tc>
            </w:tr>
          </w:tbl>
          <w:p>
            <w:pPr>
              <w:pStyle w:val="26"/>
              <w:keepNext/>
              <w:keepLines/>
              <w:pageBreakBefore w:val="0"/>
              <w:widowControl w:val="0"/>
              <w:numPr>
                <w:ilvl w:val="1"/>
                <w:numId w:val="0"/>
              </w:numPr>
              <w:tabs>
                <w:tab w:val="left" w:pos="0"/>
              </w:tabs>
              <w:kinsoku/>
              <w:wordWrap/>
              <w:overflowPunct/>
              <w:topLinePunct w:val="0"/>
              <w:autoSpaceDE/>
              <w:autoSpaceDN/>
              <w:bidi w:val="0"/>
              <w:adjustRightInd/>
              <w:snapToGrid/>
              <w:spacing w:before="0" w:beforeAutospacing="0" w:after="0" w:afterAutospacing="0" w:line="240" w:lineRule="auto"/>
              <w:ind w:firstLine="482" w:firstLineChars="200"/>
              <w:jc w:val="both"/>
              <w:textAlignment w:val="auto"/>
              <w:outlineLvl w:val="1"/>
              <w:rPr>
                <w:rFonts w:hint="eastAsia" w:ascii="Times New Roman" w:hAnsi="Times New Roman" w:eastAsia="宋体" w:cs="Times New Roman"/>
                <w:b/>
                <w:bCs/>
                <w:color w:val="auto"/>
                <w:kern w:val="2"/>
                <w:sz w:val="24"/>
                <w:szCs w:val="24"/>
                <w:lang w:eastAsia="zh-CN"/>
              </w:rPr>
            </w:pPr>
            <w:r>
              <w:rPr>
                <w:rFonts w:hint="eastAsia" w:ascii="Times New Roman" w:hAnsi="Times New Roman" w:cs="Times New Roman"/>
                <w:b/>
                <w:bCs/>
                <w:color w:val="auto"/>
                <w:kern w:val="2"/>
                <w:sz w:val="24"/>
                <w:szCs w:val="24"/>
                <w:lang w:val="en-US" w:eastAsia="zh-CN"/>
              </w:rPr>
              <w:t>11、</w:t>
            </w:r>
            <w:r>
              <w:rPr>
                <w:rFonts w:hint="eastAsia" w:ascii="Times New Roman" w:hAnsi="Times New Roman" w:cs="Times New Roman"/>
                <w:b/>
                <w:bCs/>
                <w:color w:val="auto"/>
                <w:kern w:val="2"/>
                <w:sz w:val="24"/>
                <w:szCs w:val="24"/>
                <w:lang w:eastAsia="zh-CN"/>
              </w:rPr>
              <w:t>工程特性表</w:t>
            </w:r>
          </w:p>
          <w:p>
            <w:pPr>
              <w:widowControl/>
              <w:jc w:val="center"/>
              <w:rPr>
                <w:rFonts w:hint="eastAsia" w:ascii="Times New Roman" w:hAnsi="Times New Roman" w:eastAsia="宋体" w:cs="Times New Roman"/>
                <w:b/>
                <w:bCs/>
                <w:lang w:val="en-US" w:eastAsia="zh-CN"/>
              </w:rPr>
            </w:pPr>
          </w:p>
          <w:p>
            <w:pPr>
              <w:widowControl/>
              <w:jc w:val="center"/>
              <w:rPr>
                <w:rFonts w:hint="eastAsia" w:ascii="Times New Roman" w:hAnsi="Times New Roman" w:eastAsia="宋体" w:cs="Times New Roman"/>
                <w:b/>
                <w:bCs/>
                <w:lang w:val="en-US" w:eastAsia="zh-CN"/>
              </w:rPr>
            </w:pPr>
          </w:p>
          <w:p>
            <w:pPr>
              <w:widowControl/>
              <w:jc w:val="center"/>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表2-11工程特性表</w:t>
            </w:r>
          </w:p>
          <w:tbl>
            <w:tblPr>
              <w:tblStyle w:val="116"/>
              <w:tblW w:w="841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42"/>
              <w:gridCol w:w="725"/>
              <w:gridCol w:w="1699"/>
              <w:gridCol w:w="1154"/>
              <w:gridCol w:w="1782"/>
              <w:gridCol w:w="25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dxa"/>
                  <w:vMerge w:val="restart"/>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项目基</w:t>
                  </w:r>
                </w:p>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本情况</w:t>
                  </w:r>
                </w:p>
              </w:tc>
              <w:tc>
                <w:tcPr>
                  <w:tcW w:w="2424" w:type="dxa"/>
                  <w:gridSpan w:val="2"/>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项目名称</w:t>
                  </w:r>
                </w:p>
              </w:tc>
              <w:tc>
                <w:tcPr>
                  <w:tcW w:w="5448" w:type="dxa"/>
                  <w:gridSpan w:val="3"/>
                  <w:noWrap w:val="0"/>
                  <w:vAlign w:val="center"/>
                </w:tcPr>
                <w:p>
                  <w:pPr>
                    <w:pStyle w:val="115"/>
                    <w:rPr>
                      <w:rFonts w:hint="eastAsia" w:ascii="Times New Roman" w:hAnsi="Times New Roman" w:eastAsia="宋体" w:cs="Times New Roman"/>
                      <w:sz w:val="21"/>
                      <w:szCs w:val="21"/>
                      <w:lang w:eastAsia="zh-CN"/>
                    </w:rPr>
                  </w:pPr>
                  <w:r>
                    <w:rPr>
                      <w:rFonts w:hint="eastAsia" w:eastAsia="宋体" w:cs="Times New Roman"/>
                      <w:sz w:val="21"/>
                      <w:szCs w:val="21"/>
                      <w:lang w:eastAsia="zh-CN"/>
                    </w:rPr>
                    <w:t>广元市昭化区重点采煤沉陷区生态环境综合治理项目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dxa"/>
                  <w:vMerge w:val="continue"/>
                  <w:noWrap w:val="0"/>
                  <w:vAlign w:val="center"/>
                </w:tcPr>
                <w:p>
                  <w:pPr>
                    <w:pStyle w:val="115"/>
                    <w:rPr>
                      <w:rFonts w:hint="default" w:ascii="Times New Roman" w:hAnsi="Times New Roman" w:eastAsia="宋体" w:cs="Times New Roman"/>
                      <w:sz w:val="21"/>
                      <w:szCs w:val="21"/>
                    </w:rPr>
                  </w:pPr>
                </w:p>
              </w:tc>
              <w:tc>
                <w:tcPr>
                  <w:tcW w:w="2424" w:type="dxa"/>
                  <w:gridSpan w:val="2"/>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所在水系</w:t>
                  </w:r>
                </w:p>
              </w:tc>
              <w:tc>
                <w:tcPr>
                  <w:tcW w:w="1154"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嘉陵江</w:t>
                  </w:r>
                </w:p>
              </w:tc>
              <w:tc>
                <w:tcPr>
                  <w:tcW w:w="1782"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所在河流</w:t>
                  </w:r>
                </w:p>
              </w:tc>
              <w:tc>
                <w:tcPr>
                  <w:tcW w:w="2512" w:type="dxa"/>
                  <w:noWrap w:val="0"/>
                  <w:vAlign w:val="center"/>
                </w:tcPr>
                <w:p>
                  <w:pPr>
                    <w:pStyle w:val="115"/>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长滩河支流庄子沟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dxa"/>
                  <w:vMerge w:val="continue"/>
                  <w:noWrap w:val="0"/>
                  <w:vAlign w:val="center"/>
                </w:tcPr>
                <w:p>
                  <w:pPr>
                    <w:pStyle w:val="115"/>
                    <w:rPr>
                      <w:rFonts w:hint="default" w:ascii="Times New Roman" w:hAnsi="Times New Roman" w:eastAsia="宋体" w:cs="Times New Roman"/>
                      <w:sz w:val="21"/>
                      <w:szCs w:val="21"/>
                    </w:rPr>
                  </w:pPr>
                </w:p>
              </w:tc>
              <w:tc>
                <w:tcPr>
                  <w:tcW w:w="2424" w:type="dxa"/>
                  <w:gridSpan w:val="2"/>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所在县级行政区域</w:t>
                  </w:r>
                </w:p>
              </w:tc>
              <w:tc>
                <w:tcPr>
                  <w:tcW w:w="1154"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昭化区</w:t>
                  </w:r>
                </w:p>
              </w:tc>
              <w:tc>
                <w:tcPr>
                  <w:tcW w:w="1782"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项目类别</w:t>
                  </w:r>
                </w:p>
              </w:tc>
              <w:tc>
                <w:tcPr>
                  <w:tcW w:w="2512"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rPr>
                    <w:t>河道治理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dxa"/>
                  <w:vMerge w:val="continue"/>
                  <w:noWrap w:val="0"/>
                  <w:vAlign w:val="center"/>
                </w:tcPr>
                <w:p>
                  <w:pPr>
                    <w:pStyle w:val="115"/>
                    <w:rPr>
                      <w:rFonts w:hint="default" w:ascii="Times New Roman" w:hAnsi="Times New Roman" w:eastAsia="宋体" w:cs="Times New Roman"/>
                      <w:sz w:val="21"/>
                      <w:szCs w:val="21"/>
                    </w:rPr>
                  </w:pPr>
                </w:p>
              </w:tc>
              <w:tc>
                <w:tcPr>
                  <w:tcW w:w="2424" w:type="dxa"/>
                  <w:gridSpan w:val="2"/>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项目所在河流流域面积(km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w:t>
                  </w:r>
                </w:p>
              </w:tc>
              <w:tc>
                <w:tcPr>
                  <w:tcW w:w="1154" w:type="dxa"/>
                  <w:noWrap w:val="0"/>
                  <w:vAlign w:val="center"/>
                </w:tcPr>
                <w:p>
                  <w:pPr>
                    <w:pStyle w:val="115"/>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115.9</w:t>
                  </w:r>
                </w:p>
              </w:tc>
              <w:tc>
                <w:tcPr>
                  <w:tcW w:w="1782"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项目依据</w:t>
                  </w:r>
                </w:p>
              </w:tc>
              <w:tc>
                <w:tcPr>
                  <w:tcW w:w="2512" w:type="dxa"/>
                  <w:noWrap w:val="0"/>
                  <w:vAlign w:val="center"/>
                </w:tcPr>
                <w:p>
                  <w:pPr>
                    <w:pStyle w:val="115"/>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昭水函[2023]154号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dxa"/>
                  <w:vMerge w:val="continue"/>
                  <w:noWrap w:val="0"/>
                  <w:vAlign w:val="center"/>
                </w:tcPr>
                <w:p>
                  <w:pPr>
                    <w:pStyle w:val="115"/>
                    <w:rPr>
                      <w:rFonts w:hint="default" w:ascii="Times New Roman" w:hAnsi="Times New Roman" w:eastAsia="宋体" w:cs="Times New Roman"/>
                      <w:sz w:val="21"/>
                      <w:szCs w:val="21"/>
                    </w:rPr>
                  </w:pPr>
                </w:p>
              </w:tc>
              <w:tc>
                <w:tcPr>
                  <w:tcW w:w="725" w:type="dxa"/>
                  <w:vMerge w:val="restart"/>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保护对象</w:t>
                  </w:r>
                </w:p>
              </w:tc>
              <w:tc>
                <w:tcPr>
                  <w:tcW w:w="1699"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保护人口(人)</w:t>
                  </w:r>
                </w:p>
              </w:tc>
              <w:tc>
                <w:tcPr>
                  <w:tcW w:w="1154" w:type="dxa"/>
                  <w:noWrap w:val="0"/>
                  <w:vAlign w:val="center"/>
                </w:tcPr>
                <w:p>
                  <w:pPr>
                    <w:pStyle w:val="115"/>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688</w:t>
                  </w:r>
                </w:p>
              </w:tc>
              <w:tc>
                <w:tcPr>
                  <w:tcW w:w="1782"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建设工期</w:t>
                  </w:r>
                </w:p>
              </w:tc>
              <w:tc>
                <w:tcPr>
                  <w:tcW w:w="2512" w:type="dxa"/>
                  <w:noWrap w:val="0"/>
                  <w:vAlign w:val="center"/>
                </w:tcPr>
                <w:p>
                  <w:pPr>
                    <w:pStyle w:val="115"/>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dxa"/>
                  <w:vMerge w:val="continue"/>
                  <w:noWrap w:val="0"/>
                  <w:vAlign w:val="center"/>
                </w:tcPr>
                <w:p>
                  <w:pPr>
                    <w:pStyle w:val="115"/>
                    <w:rPr>
                      <w:rFonts w:hint="default" w:ascii="Times New Roman" w:hAnsi="Times New Roman" w:eastAsia="宋体" w:cs="Times New Roman"/>
                      <w:sz w:val="21"/>
                      <w:szCs w:val="21"/>
                    </w:rPr>
                  </w:pPr>
                </w:p>
              </w:tc>
              <w:tc>
                <w:tcPr>
                  <w:tcW w:w="725" w:type="dxa"/>
                  <w:vMerge w:val="continue"/>
                  <w:noWrap w:val="0"/>
                  <w:vAlign w:val="center"/>
                </w:tcPr>
                <w:p>
                  <w:pPr>
                    <w:pStyle w:val="115"/>
                    <w:rPr>
                      <w:rFonts w:hint="default" w:ascii="Times New Roman" w:hAnsi="Times New Roman" w:eastAsia="宋体" w:cs="Times New Roman"/>
                      <w:sz w:val="21"/>
                      <w:szCs w:val="21"/>
                    </w:rPr>
                  </w:pPr>
                </w:p>
              </w:tc>
              <w:tc>
                <w:tcPr>
                  <w:tcW w:w="1699"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城(场)镇</w:t>
                  </w:r>
                </w:p>
              </w:tc>
              <w:tc>
                <w:tcPr>
                  <w:tcW w:w="1154"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782"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施工总工期</w:t>
                  </w:r>
                </w:p>
              </w:tc>
              <w:tc>
                <w:tcPr>
                  <w:tcW w:w="2512" w:type="dxa"/>
                  <w:noWrap w:val="0"/>
                  <w:vAlign w:val="center"/>
                </w:tcPr>
                <w:p>
                  <w:pPr>
                    <w:pStyle w:val="115"/>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rPr>
                    <w:t>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dxa"/>
                  <w:vMerge w:val="continue"/>
                  <w:noWrap w:val="0"/>
                  <w:vAlign w:val="center"/>
                </w:tcPr>
                <w:p>
                  <w:pPr>
                    <w:pStyle w:val="115"/>
                    <w:rPr>
                      <w:rFonts w:hint="default" w:ascii="Times New Roman" w:hAnsi="Times New Roman" w:eastAsia="宋体" w:cs="Times New Roman"/>
                      <w:sz w:val="21"/>
                      <w:szCs w:val="21"/>
                    </w:rPr>
                  </w:pPr>
                </w:p>
              </w:tc>
              <w:tc>
                <w:tcPr>
                  <w:tcW w:w="725" w:type="dxa"/>
                  <w:vMerge w:val="continue"/>
                  <w:noWrap w:val="0"/>
                  <w:vAlign w:val="center"/>
                </w:tcPr>
                <w:p>
                  <w:pPr>
                    <w:pStyle w:val="115"/>
                    <w:rPr>
                      <w:rFonts w:hint="default" w:ascii="Times New Roman" w:hAnsi="Times New Roman" w:eastAsia="宋体" w:cs="Times New Roman"/>
                      <w:sz w:val="21"/>
                      <w:szCs w:val="21"/>
                    </w:rPr>
                  </w:pPr>
                </w:p>
              </w:tc>
              <w:tc>
                <w:tcPr>
                  <w:tcW w:w="1699"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耕地面积(亩)</w:t>
                  </w:r>
                </w:p>
              </w:tc>
              <w:tc>
                <w:tcPr>
                  <w:tcW w:w="1154" w:type="dxa"/>
                  <w:noWrap w:val="0"/>
                  <w:vAlign w:val="center"/>
                </w:tcPr>
                <w:p>
                  <w:pPr>
                    <w:pStyle w:val="115"/>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240</w:t>
                  </w:r>
                </w:p>
              </w:tc>
              <w:tc>
                <w:tcPr>
                  <w:tcW w:w="1782"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静态总投资</w:t>
                  </w:r>
                </w:p>
              </w:tc>
              <w:tc>
                <w:tcPr>
                  <w:tcW w:w="2512" w:type="dxa"/>
                  <w:noWrap w:val="0"/>
                  <w:vAlign w:val="center"/>
                </w:tcPr>
                <w:p>
                  <w:pPr>
                    <w:pStyle w:val="115"/>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665.72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dxa"/>
                  <w:vMerge w:val="continue"/>
                  <w:noWrap w:val="0"/>
                  <w:vAlign w:val="center"/>
                </w:tcPr>
                <w:p>
                  <w:pPr>
                    <w:pStyle w:val="115"/>
                    <w:rPr>
                      <w:rFonts w:hint="default" w:ascii="Times New Roman" w:hAnsi="Times New Roman" w:eastAsia="宋体" w:cs="Times New Roman"/>
                      <w:sz w:val="21"/>
                      <w:szCs w:val="21"/>
                    </w:rPr>
                  </w:pPr>
                </w:p>
              </w:tc>
              <w:tc>
                <w:tcPr>
                  <w:tcW w:w="725" w:type="dxa"/>
                  <w:vMerge w:val="continue"/>
                  <w:noWrap w:val="0"/>
                  <w:vAlign w:val="center"/>
                </w:tcPr>
                <w:p>
                  <w:pPr>
                    <w:pStyle w:val="115"/>
                    <w:rPr>
                      <w:rFonts w:hint="default" w:ascii="Times New Roman" w:hAnsi="Times New Roman" w:eastAsia="宋体" w:cs="Times New Roman"/>
                      <w:sz w:val="21"/>
                      <w:szCs w:val="21"/>
                    </w:rPr>
                  </w:pPr>
                </w:p>
              </w:tc>
              <w:tc>
                <w:tcPr>
                  <w:tcW w:w="1699"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专项设施</w:t>
                  </w:r>
                </w:p>
              </w:tc>
              <w:tc>
                <w:tcPr>
                  <w:tcW w:w="1154" w:type="dxa"/>
                  <w:noWrap w:val="0"/>
                  <w:vAlign w:val="center"/>
                </w:tcPr>
                <w:p>
                  <w:pPr>
                    <w:pStyle w:val="115"/>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处</w:t>
                  </w:r>
                </w:p>
              </w:tc>
              <w:tc>
                <w:tcPr>
                  <w:tcW w:w="1782" w:type="dxa"/>
                  <w:noWrap w:val="0"/>
                  <w:vAlign w:val="center"/>
                </w:tcPr>
                <w:p>
                  <w:pPr>
                    <w:pStyle w:val="115"/>
                    <w:rPr>
                      <w:rFonts w:hint="default" w:ascii="Times New Roman" w:hAnsi="Times New Roman" w:eastAsia="宋体" w:cs="Times New Roman"/>
                      <w:sz w:val="21"/>
                      <w:szCs w:val="21"/>
                    </w:rPr>
                  </w:pPr>
                </w:p>
              </w:tc>
              <w:tc>
                <w:tcPr>
                  <w:tcW w:w="2512" w:type="dxa"/>
                  <w:noWrap w:val="0"/>
                  <w:vAlign w:val="center"/>
                </w:tcPr>
                <w:p>
                  <w:pPr>
                    <w:pStyle w:val="115"/>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dxa"/>
                  <w:vMerge w:val="continue"/>
                  <w:noWrap w:val="0"/>
                  <w:vAlign w:val="center"/>
                </w:tcPr>
                <w:p>
                  <w:pPr>
                    <w:pStyle w:val="115"/>
                    <w:rPr>
                      <w:rFonts w:hint="default" w:ascii="Times New Roman" w:hAnsi="Times New Roman" w:eastAsia="宋体" w:cs="Times New Roman"/>
                      <w:sz w:val="21"/>
                      <w:szCs w:val="21"/>
                    </w:rPr>
                  </w:pPr>
                </w:p>
              </w:tc>
              <w:tc>
                <w:tcPr>
                  <w:tcW w:w="2424" w:type="dxa"/>
                  <w:gridSpan w:val="2"/>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工程等别</w:t>
                  </w:r>
                </w:p>
              </w:tc>
              <w:tc>
                <w:tcPr>
                  <w:tcW w:w="1154"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Ⅳ等</w:t>
                  </w:r>
                </w:p>
              </w:tc>
              <w:tc>
                <w:tcPr>
                  <w:tcW w:w="1782"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防洪标准</w:t>
                  </w:r>
                </w:p>
              </w:tc>
              <w:tc>
                <w:tcPr>
                  <w:tcW w:w="2512"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20年一遇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dxa"/>
                  <w:vMerge w:val="continue"/>
                  <w:noWrap w:val="0"/>
                  <w:vAlign w:val="center"/>
                </w:tcPr>
                <w:p>
                  <w:pPr>
                    <w:pStyle w:val="115"/>
                    <w:rPr>
                      <w:rFonts w:hint="default" w:ascii="Times New Roman" w:hAnsi="Times New Roman" w:eastAsia="宋体" w:cs="Times New Roman"/>
                      <w:sz w:val="21"/>
                      <w:szCs w:val="21"/>
                    </w:rPr>
                  </w:pPr>
                </w:p>
              </w:tc>
              <w:tc>
                <w:tcPr>
                  <w:tcW w:w="2424" w:type="dxa"/>
                  <w:gridSpan w:val="2"/>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工程综合治理河道长度(m)</w:t>
                  </w:r>
                </w:p>
              </w:tc>
              <w:tc>
                <w:tcPr>
                  <w:tcW w:w="1154" w:type="dxa"/>
                  <w:noWrap w:val="0"/>
                  <w:vAlign w:val="center"/>
                </w:tcPr>
                <w:p>
                  <w:pPr>
                    <w:pStyle w:val="115"/>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452</w:t>
                  </w:r>
                </w:p>
              </w:tc>
              <w:tc>
                <w:tcPr>
                  <w:tcW w:w="1782" w:type="dxa"/>
                  <w:noWrap w:val="0"/>
                  <w:vAlign w:val="center"/>
                </w:tcPr>
                <w:p>
                  <w:pPr>
                    <w:pStyle w:val="115"/>
                    <w:rPr>
                      <w:rFonts w:hint="default" w:ascii="Times New Roman" w:hAnsi="Times New Roman" w:eastAsia="宋体" w:cs="Times New Roman"/>
                      <w:sz w:val="21"/>
                      <w:szCs w:val="21"/>
                    </w:rPr>
                  </w:pPr>
                </w:p>
              </w:tc>
              <w:tc>
                <w:tcPr>
                  <w:tcW w:w="2512" w:type="dxa"/>
                  <w:noWrap w:val="0"/>
                  <w:vAlign w:val="center"/>
                </w:tcPr>
                <w:p>
                  <w:pPr>
                    <w:pStyle w:val="115"/>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dxa"/>
                  <w:vMerge w:val="continue"/>
                  <w:noWrap w:val="0"/>
                  <w:vAlign w:val="center"/>
                </w:tcPr>
                <w:p>
                  <w:pPr>
                    <w:pStyle w:val="115"/>
                    <w:rPr>
                      <w:rFonts w:hint="default" w:ascii="Times New Roman" w:hAnsi="Times New Roman" w:eastAsia="宋体" w:cs="Times New Roman"/>
                      <w:sz w:val="21"/>
                      <w:szCs w:val="21"/>
                    </w:rPr>
                  </w:pPr>
                </w:p>
              </w:tc>
              <w:tc>
                <w:tcPr>
                  <w:tcW w:w="2424" w:type="dxa"/>
                  <w:gridSpan w:val="2"/>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基本堤型</w:t>
                  </w:r>
                </w:p>
              </w:tc>
              <w:tc>
                <w:tcPr>
                  <w:tcW w:w="1154" w:type="dxa"/>
                  <w:noWrap w:val="0"/>
                  <w:vAlign w:val="center"/>
                </w:tcPr>
                <w:p>
                  <w:pPr>
                    <w:pStyle w:val="115"/>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上游段</w:t>
                  </w:r>
                  <w:r>
                    <w:rPr>
                      <w:rFonts w:hint="default" w:ascii="Times New Roman" w:hAnsi="Times New Roman" w:eastAsia="宋体" w:cs="Times New Roman"/>
                      <w:sz w:val="21"/>
                      <w:szCs w:val="21"/>
                    </w:rPr>
                    <w:t>混凝土重力式堤</w:t>
                  </w:r>
                  <w:r>
                    <w:rPr>
                      <w:rFonts w:hint="default" w:ascii="Times New Roman" w:hAnsi="Times New Roman" w:eastAsia="宋体" w:cs="Times New Roman"/>
                      <w:sz w:val="21"/>
                      <w:szCs w:val="21"/>
                      <w:lang w:val="en-US" w:eastAsia="zh-CN"/>
                    </w:rPr>
                    <w:t>和</w:t>
                  </w:r>
                  <w:r>
                    <w:rPr>
                      <w:rFonts w:hint="eastAsia" w:ascii="Times New Roman" w:hAnsi="Times New Roman" w:eastAsia="宋体" w:cs="Times New Roman"/>
                      <w:sz w:val="21"/>
                      <w:szCs w:val="21"/>
                      <w:lang w:val="en-US" w:eastAsia="zh-CN"/>
                    </w:rPr>
                    <w:t>下游段</w:t>
                  </w:r>
                  <w:r>
                    <w:rPr>
                      <w:rFonts w:hint="default" w:ascii="Times New Roman" w:hAnsi="Times New Roman" w:eastAsia="宋体" w:cs="Times New Roman"/>
                      <w:sz w:val="21"/>
                      <w:szCs w:val="21"/>
                      <w:lang w:val="en-US" w:eastAsia="zh-CN"/>
                    </w:rPr>
                    <w:t>矩形直墙堤</w:t>
                  </w:r>
                </w:p>
              </w:tc>
              <w:tc>
                <w:tcPr>
                  <w:tcW w:w="1782"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其中生态堤防长度(km)</w:t>
                  </w:r>
                </w:p>
              </w:tc>
              <w:tc>
                <w:tcPr>
                  <w:tcW w:w="2512" w:type="dxa"/>
                  <w:noWrap w:val="0"/>
                  <w:vAlign w:val="center"/>
                </w:tcPr>
                <w:p>
                  <w:pPr>
                    <w:pStyle w:val="115"/>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dxa"/>
                  <w:vMerge w:val="restart"/>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工程量</w:t>
                  </w:r>
                </w:p>
              </w:tc>
              <w:tc>
                <w:tcPr>
                  <w:tcW w:w="725" w:type="dxa"/>
                  <w:vMerge w:val="restart"/>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加固堤防</w:t>
                  </w:r>
                </w:p>
              </w:tc>
              <w:tc>
                <w:tcPr>
                  <w:tcW w:w="1699"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治理长度(km)</w:t>
                  </w:r>
                </w:p>
              </w:tc>
              <w:tc>
                <w:tcPr>
                  <w:tcW w:w="1154"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782" w:type="dxa"/>
                  <w:vMerge w:val="restart"/>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土石填筑量(万m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2512" w:type="dxa"/>
                  <w:vMerge w:val="restart"/>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dxa"/>
                  <w:vMerge w:val="continue"/>
                  <w:noWrap w:val="0"/>
                  <w:vAlign w:val="center"/>
                </w:tcPr>
                <w:p>
                  <w:pPr>
                    <w:pStyle w:val="115"/>
                    <w:rPr>
                      <w:rFonts w:hint="default" w:ascii="Times New Roman" w:hAnsi="Times New Roman" w:eastAsia="宋体" w:cs="Times New Roman"/>
                      <w:sz w:val="21"/>
                      <w:szCs w:val="21"/>
                    </w:rPr>
                  </w:pPr>
                </w:p>
              </w:tc>
              <w:tc>
                <w:tcPr>
                  <w:tcW w:w="725" w:type="dxa"/>
                  <w:vMerge w:val="continue"/>
                  <w:noWrap w:val="0"/>
                  <w:vAlign w:val="center"/>
                </w:tcPr>
                <w:p>
                  <w:pPr>
                    <w:pStyle w:val="115"/>
                    <w:rPr>
                      <w:rFonts w:hint="default" w:ascii="Times New Roman" w:hAnsi="Times New Roman" w:eastAsia="宋体" w:cs="Times New Roman"/>
                      <w:sz w:val="21"/>
                      <w:szCs w:val="21"/>
                    </w:rPr>
                  </w:pPr>
                </w:p>
              </w:tc>
              <w:tc>
                <w:tcPr>
                  <w:tcW w:w="1699"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相应投资（万元）</w:t>
                  </w:r>
                </w:p>
              </w:tc>
              <w:tc>
                <w:tcPr>
                  <w:tcW w:w="1154"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782" w:type="dxa"/>
                  <w:vMerge w:val="continue"/>
                  <w:noWrap w:val="0"/>
                  <w:vAlign w:val="center"/>
                </w:tcPr>
                <w:p>
                  <w:pPr>
                    <w:pStyle w:val="115"/>
                    <w:rPr>
                      <w:rFonts w:hint="default" w:ascii="Times New Roman" w:hAnsi="Times New Roman" w:eastAsia="宋体" w:cs="Times New Roman"/>
                      <w:sz w:val="21"/>
                      <w:szCs w:val="21"/>
                    </w:rPr>
                  </w:pPr>
                </w:p>
              </w:tc>
              <w:tc>
                <w:tcPr>
                  <w:tcW w:w="2512" w:type="dxa"/>
                  <w:vMerge w:val="continue"/>
                  <w:noWrap w:val="0"/>
                  <w:vAlign w:val="center"/>
                </w:tcPr>
                <w:p>
                  <w:pPr>
                    <w:pStyle w:val="115"/>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dxa"/>
                  <w:vMerge w:val="continue"/>
                  <w:noWrap w:val="0"/>
                  <w:vAlign w:val="center"/>
                </w:tcPr>
                <w:p>
                  <w:pPr>
                    <w:pStyle w:val="115"/>
                    <w:rPr>
                      <w:rFonts w:hint="default" w:ascii="Times New Roman" w:hAnsi="Times New Roman" w:eastAsia="宋体" w:cs="Times New Roman"/>
                      <w:sz w:val="21"/>
                      <w:szCs w:val="21"/>
                    </w:rPr>
                  </w:pPr>
                </w:p>
              </w:tc>
              <w:tc>
                <w:tcPr>
                  <w:tcW w:w="725" w:type="dxa"/>
                  <w:vMerge w:val="continue"/>
                  <w:noWrap w:val="0"/>
                  <w:vAlign w:val="center"/>
                </w:tcPr>
                <w:p>
                  <w:pPr>
                    <w:pStyle w:val="115"/>
                    <w:rPr>
                      <w:rFonts w:hint="default" w:ascii="Times New Roman" w:hAnsi="Times New Roman" w:eastAsia="宋体" w:cs="Times New Roman"/>
                      <w:sz w:val="21"/>
                      <w:szCs w:val="21"/>
                    </w:rPr>
                  </w:pPr>
                </w:p>
              </w:tc>
              <w:tc>
                <w:tcPr>
                  <w:tcW w:w="1699"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单位长度投资（万元/km）</w:t>
                  </w:r>
                </w:p>
              </w:tc>
              <w:tc>
                <w:tcPr>
                  <w:tcW w:w="1154" w:type="dxa"/>
                  <w:noWrap w:val="0"/>
                  <w:vAlign w:val="center"/>
                </w:tcPr>
                <w:p>
                  <w:pPr>
                    <w:pStyle w:val="11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782"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砼方量(万m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2512"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dxa"/>
                  <w:vMerge w:val="continue"/>
                  <w:noWrap w:val="0"/>
                  <w:vAlign w:val="center"/>
                </w:tcPr>
                <w:p>
                  <w:pPr>
                    <w:pStyle w:val="115"/>
                    <w:rPr>
                      <w:rFonts w:hint="default" w:ascii="Times New Roman" w:hAnsi="Times New Roman" w:eastAsia="宋体" w:cs="Times New Roman"/>
                      <w:sz w:val="21"/>
                      <w:szCs w:val="21"/>
                    </w:rPr>
                  </w:pPr>
                </w:p>
              </w:tc>
              <w:tc>
                <w:tcPr>
                  <w:tcW w:w="725" w:type="dxa"/>
                  <w:vMerge w:val="restart"/>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新建堤防</w:t>
                  </w:r>
                </w:p>
              </w:tc>
              <w:tc>
                <w:tcPr>
                  <w:tcW w:w="1699"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长度（</w:t>
                  </w:r>
                  <w:r>
                    <w:rPr>
                      <w:rFonts w:hint="eastAsia" w:ascii="Times New Roman" w:hAnsi="Times New Roman" w:eastAsia="宋体" w:cs="Times New Roman"/>
                      <w:sz w:val="21"/>
                      <w:szCs w:val="21"/>
                      <w:lang w:val="en-US" w:eastAsia="zh-CN"/>
                    </w:rPr>
                    <w:t>k</w:t>
                  </w:r>
                  <w:r>
                    <w:rPr>
                      <w:rFonts w:hint="default" w:ascii="Times New Roman" w:hAnsi="Times New Roman" w:eastAsia="宋体" w:cs="Times New Roman"/>
                      <w:sz w:val="21"/>
                      <w:szCs w:val="21"/>
                    </w:rPr>
                    <w:t>m）</w:t>
                  </w:r>
                </w:p>
              </w:tc>
              <w:tc>
                <w:tcPr>
                  <w:tcW w:w="1154" w:type="dxa"/>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0.906</w:t>
                  </w:r>
                </w:p>
              </w:tc>
              <w:tc>
                <w:tcPr>
                  <w:tcW w:w="1782" w:type="dxa"/>
                  <w:vMerge w:val="restart"/>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土石填筑量(万m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2512" w:type="dxa"/>
                  <w:vMerge w:val="restart"/>
                  <w:noWrap w:val="0"/>
                  <w:vAlign w:val="center"/>
                </w:tcPr>
                <w:p>
                  <w:pPr>
                    <w:jc w:val="center"/>
                    <w:rPr>
                      <w:rFonts w:hint="default" w:eastAsia="宋体"/>
                      <w:lang w:val="en-US" w:eastAsia="zh-CN"/>
                    </w:rPr>
                  </w:pPr>
                  <w:r>
                    <w:rPr>
                      <w:rFonts w:hint="eastAsia" w:eastAsia="仿宋_GB2312"/>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dxa"/>
                  <w:vMerge w:val="continue"/>
                  <w:noWrap w:val="0"/>
                  <w:vAlign w:val="center"/>
                </w:tcPr>
                <w:p>
                  <w:pPr>
                    <w:pStyle w:val="115"/>
                    <w:rPr>
                      <w:rFonts w:hint="default" w:ascii="Times New Roman" w:hAnsi="Times New Roman" w:eastAsia="宋体" w:cs="Times New Roman"/>
                      <w:sz w:val="21"/>
                      <w:szCs w:val="21"/>
                    </w:rPr>
                  </w:pPr>
                </w:p>
              </w:tc>
              <w:tc>
                <w:tcPr>
                  <w:tcW w:w="725" w:type="dxa"/>
                  <w:vMerge w:val="continue"/>
                  <w:noWrap w:val="0"/>
                  <w:vAlign w:val="center"/>
                </w:tcPr>
                <w:p>
                  <w:pPr>
                    <w:pStyle w:val="115"/>
                    <w:rPr>
                      <w:rFonts w:hint="default" w:ascii="Times New Roman" w:hAnsi="Times New Roman" w:eastAsia="宋体" w:cs="Times New Roman"/>
                      <w:sz w:val="21"/>
                      <w:szCs w:val="21"/>
                    </w:rPr>
                  </w:pPr>
                </w:p>
              </w:tc>
              <w:tc>
                <w:tcPr>
                  <w:tcW w:w="1699"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相应投资（万元）</w:t>
                  </w:r>
                </w:p>
              </w:tc>
              <w:tc>
                <w:tcPr>
                  <w:tcW w:w="1154"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p>
              </w:tc>
              <w:tc>
                <w:tcPr>
                  <w:tcW w:w="1782" w:type="dxa"/>
                  <w:vMerge w:val="continue"/>
                  <w:noWrap w:val="0"/>
                  <w:vAlign w:val="center"/>
                </w:tcPr>
                <w:p>
                  <w:pPr>
                    <w:pStyle w:val="115"/>
                    <w:rPr>
                      <w:rFonts w:hint="default" w:ascii="Times New Roman" w:hAnsi="Times New Roman" w:eastAsia="宋体" w:cs="Times New Roman"/>
                      <w:sz w:val="21"/>
                      <w:szCs w:val="21"/>
                    </w:rPr>
                  </w:pPr>
                </w:p>
              </w:tc>
              <w:tc>
                <w:tcPr>
                  <w:tcW w:w="2512" w:type="dxa"/>
                  <w:vMerge w:val="continue"/>
                  <w:noWrap w:val="0"/>
                  <w:vAlign w:val="center"/>
                </w:tcPr>
                <w:p>
                  <w:pPr>
                    <w:pStyle w:val="115"/>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dxa"/>
                  <w:vMerge w:val="continue"/>
                  <w:noWrap w:val="0"/>
                  <w:vAlign w:val="center"/>
                </w:tcPr>
                <w:p>
                  <w:pPr>
                    <w:pStyle w:val="115"/>
                    <w:rPr>
                      <w:rFonts w:hint="default" w:ascii="Times New Roman" w:hAnsi="Times New Roman" w:eastAsia="宋体" w:cs="Times New Roman"/>
                      <w:sz w:val="21"/>
                      <w:szCs w:val="21"/>
                    </w:rPr>
                  </w:pPr>
                </w:p>
              </w:tc>
              <w:tc>
                <w:tcPr>
                  <w:tcW w:w="725" w:type="dxa"/>
                  <w:vMerge w:val="continue"/>
                  <w:noWrap w:val="0"/>
                  <w:vAlign w:val="center"/>
                </w:tcPr>
                <w:p>
                  <w:pPr>
                    <w:pStyle w:val="115"/>
                    <w:rPr>
                      <w:rFonts w:hint="default" w:ascii="Times New Roman" w:hAnsi="Times New Roman" w:eastAsia="宋体" w:cs="Times New Roman"/>
                      <w:sz w:val="21"/>
                      <w:szCs w:val="21"/>
                    </w:rPr>
                  </w:pPr>
                </w:p>
              </w:tc>
              <w:tc>
                <w:tcPr>
                  <w:tcW w:w="1699"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相应单位长度投资（万元/km）</w:t>
                  </w:r>
                </w:p>
              </w:tc>
              <w:tc>
                <w:tcPr>
                  <w:tcW w:w="1154"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p>
              </w:tc>
              <w:tc>
                <w:tcPr>
                  <w:tcW w:w="1782" w:type="dxa"/>
                  <w:noWrap w:val="0"/>
                  <w:vAlign w:val="center"/>
                </w:tcPr>
                <w:p>
                  <w:pPr>
                    <w:pStyle w:val="115"/>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钢筋</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t</w:t>
                  </w:r>
                  <w:r>
                    <w:rPr>
                      <w:rFonts w:hint="default" w:ascii="Times New Roman" w:hAnsi="Times New Roman" w:eastAsia="宋体" w:cs="Times New Roman"/>
                      <w:sz w:val="21"/>
                      <w:szCs w:val="21"/>
                    </w:rPr>
                    <w:t>)</w:t>
                  </w:r>
                </w:p>
              </w:tc>
              <w:tc>
                <w:tcPr>
                  <w:tcW w:w="2512"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dxa"/>
                  <w:vMerge w:val="continue"/>
                  <w:noWrap w:val="0"/>
                  <w:vAlign w:val="center"/>
                </w:tcPr>
                <w:p>
                  <w:pPr>
                    <w:pStyle w:val="115"/>
                    <w:rPr>
                      <w:rFonts w:hint="default" w:ascii="Times New Roman" w:hAnsi="Times New Roman" w:eastAsia="宋体" w:cs="Times New Roman"/>
                      <w:sz w:val="21"/>
                      <w:szCs w:val="21"/>
                    </w:rPr>
                  </w:pPr>
                </w:p>
              </w:tc>
              <w:tc>
                <w:tcPr>
                  <w:tcW w:w="725" w:type="dxa"/>
                  <w:vMerge w:val="restart"/>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疏浚</w:t>
                  </w:r>
                </w:p>
              </w:tc>
              <w:tc>
                <w:tcPr>
                  <w:tcW w:w="1699"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治理长度（km）</w:t>
                  </w:r>
                </w:p>
              </w:tc>
              <w:tc>
                <w:tcPr>
                  <w:tcW w:w="1154" w:type="dxa"/>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0.250</w:t>
                  </w:r>
                </w:p>
              </w:tc>
              <w:tc>
                <w:tcPr>
                  <w:tcW w:w="1782"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挖淤泥（泥沙）方量（m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2512" w:type="dxa"/>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dxa"/>
                  <w:vMerge w:val="continue"/>
                  <w:noWrap w:val="0"/>
                  <w:vAlign w:val="center"/>
                </w:tcPr>
                <w:p>
                  <w:pPr>
                    <w:pStyle w:val="115"/>
                    <w:rPr>
                      <w:rFonts w:hint="default" w:ascii="Times New Roman" w:hAnsi="Times New Roman" w:eastAsia="宋体" w:cs="Times New Roman"/>
                      <w:sz w:val="21"/>
                      <w:szCs w:val="21"/>
                    </w:rPr>
                  </w:pPr>
                </w:p>
              </w:tc>
              <w:tc>
                <w:tcPr>
                  <w:tcW w:w="725" w:type="dxa"/>
                  <w:vMerge w:val="continue"/>
                  <w:noWrap w:val="0"/>
                  <w:vAlign w:val="center"/>
                </w:tcPr>
                <w:p>
                  <w:pPr>
                    <w:pStyle w:val="115"/>
                    <w:rPr>
                      <w:rFonts w:hint="default" w:ascii="Times New Roman" w:hAnsi="Times New Roman" w:eastAsia="宋体" w:cs="Times New Roman"/>
                      <w:sz w:val="21"/>
                      <w:szCs w:val="21"/>
                    </w:rPr>
                  </w:pPr>
                </w:p>
              </w:tc>
              <w:tc>
                <w:tcPr>
                  <w:tcW w:w="1699"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相应投资（万元）</w:t>
                  </w:r>
                </w:p>
              </w:tc>
              <w:tc>
                <w:tcPr>
                  <w:tcW w:w="1154"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782"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其他固体方量（万m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2512"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dxa"/>
                  <w:vMerge w:val="continue"/>
                  <w:noWrap w:val="0"/>
                  <w:vAlign w:val="center"/>
                </w:tcPr>
                <w:p>
                  <w:pPr>
                    <w:pStyle w:val="115"/>
                    <w:rPr>
                      <w:rFonts w:hint="default" w:ascii="Times New Roman" w:hAnsi="Times New Roman" w:eastAsia="宋体" w:cs="Times New Roman"/>
                      <w:sz w:val="21"/>
                      <w:szCs w:val="21"/>
                    </w:rPr>
                  </w:pPr>
                </w:p>
              </w:tc>
              <w:tc>
                <w:tcPr>
                  <w:tcW w:w="725" w:type="dxa"/>
                  <w:vMerge w:val="continue"/>
                  <w:noWrap w:val="0"/>
                  <w:vAlign w:val="center"/>
                </w:tcPr>
                <w:p>
                  <w:pPr>
                    <w:pStyle w:val="115"/>
                    <w:rPr>
                      <w:rFonts w:hint="default" w:ascii="Times New Roman" w:hAnsi="Times New Roman" w:eastAsia="宋体" w:cs="Times New Roman"/>
                      <w:sz w:val="21"/>
                      <w:szCs w:val="21"/>
                    </w:rPr>
                  </w:pPr>
                </w:p>
              </w:tc>
              <w:tc>
                <w:tcPr>
                  <w:tcW w:w="1699"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单位长度投资</w:t>
                  </w:r>
                </w:p>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(万元/km)</w:t>
                  </w:r>
                </w:p>
              </w:tc>
              <w:tc>
                <w:tcPr>
                  <w:tcW w:w="1154"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782"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综合单位方量投资（元/m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2512"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dxa"/>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指标</w:t>
                  </w:r>
                </w:p>
              </w:tc>
              <w:tc>
                <w:tcPr>
                  <w:tcW w:w="2424" w:type="dxa"/>
                  <w:gridSpan w:val="2"/>
                  <w:noWrap w:val="0"/>
                  <w:vAlign w:val="center"/>
                </w:tcPr>
                <w:p>
                  <w:pPr>
                    <w:pStyle w:val="11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工程总投资（万元）</w:t>
                  </w:r>
                </w:p>
              </w:tc>
              <w:tc>
                <w:tcPr>
                  <w:tcW w:w="1154" w:type="dxa"/>
                  <w:noWrap w:val="0"/>
                  <w:vAlign w:val="center"/>
                </w:tcPr>
                <w:p>
                  <w:pPr>
                    <w:pStyle w:val="115"/>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665.72</w:t>
                  </w:r>
                </w:p>
              </w:tc>
              <w:tc>
                <w:tcPr>
                  <w:tcW w:w="1782" w:type="dxa"/>
                  <w:noWrap w:val="0"/>
                  <w:vAlign w:val="center"/>
                </w:tcPr>
                <w:p>
                  <w:pPr>
                    <w:pStyle w:val="115"/>
                    <w:rPr>
                      <w:rFonts w:hint="default" w:ascii="Times New Roman" w:hAnsi="Times New Roman" w:eastAsia="宋体" w:cs="Times New Roman"/>
                      <w:sz w:val="21"/>
                      <w:szCs w:val="21"/>
                    </w:rPr>
                  </w:pPr>
                </w:p>
              </w:tc>
              <w:tc>
                <w:tcPr>
                  <w:tcW w:w="2512" w:type="dxa"/>
                  <w:noWrap w:val="0"/>
                  <w:vAlign w:val="center"/>
                </w:tcPr>
                <w:p>
                  <w:pPr>
                    <w:pStyle w:val="115"/>
                    <w:rPr>
                      <w:rFonts w:hint="default" w:ascii="Times New Roman" w:hAnsi="Times New Roman" w:eastAsia="宋体" w:cs="Times New Roman"/>
                      <w:sz w:val="21"/>
                      <w:szCs w:val="21"/>
                    </w:rPr>
                  </w:pPr>
                </w:p>
              </w:tc>
            </w:tr>
          </w:tbl>
          <w:p>
            <w:pPr>
              <w:pStyle w:val="26"/>
              <w:keepNext/>
              <w:keepLines/>
              <w:widowControl w:val="0"/>
              <w:numPr>
                <w:ilvl w:val="0"/>
                <w:numId w:val="0"/>
              </w:numPr>
              <w:tabs>
                <w:tab w:val="left" w:pos="0"/>
              </w:tabs>
              <w:spacing w:before="0" w:beforeAutospacing="0" w:after="0" w:afterAutospacing="0" w:line="360" w:lineRule="auto"/>
              <w:jc w:val="both"/>
              <w:outlineLvl w:val="1"/>
              <w:rPr>
                <w:rFonts w:hint="default" w:ascii="Times New Roman" w:hAnsi="Times New Roman" w:eastAsia="宋体" w:cs="Times New Roman"/>
                <w:b/>
                <w:bCs/>
                <w:color w:val="auto"/>
                <w:kern w:val="2"/>
                <w:sz w:val="24"/>
                <w:szCs w:val="24"/>
                <w:lang w:val="en-US" w:eastAsia="zh-CN"/>
              </w:rPr>
            </w:pPr>
          </w:p>
        </w:tc>
      </w:tr>
    </w:tbl>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eastAsia="仿宋_GB2312"/>
          <w:b/>
          <w:bCs/>
        </w:rPr>
        <w:sectPr>
          <w:pgSz w:w="11906" w:h="16838"/>
          <w:pgMar w:top="1440" w:right="1800" w:bottom="1440" w:left="1800" w:header="851" w:footer="1077" w:gutter="0"/>
          <w:pgBorders>
            <w:top w:val="none" w:sz="0" w:space="0"/>
            <w:left w:val="none" w:sz="0" w:space="0"/>
            <w:bottom w:val="none" w:sz="0" w:space="0"/>
            <w:right w:val="none" w:sz="0" w:space="0"/>
          </w:pgBorders>
          <w:pgNumType w:fmt="numberInDash"/>
          <w:cols w:space="720" w:num="1"/>
          <w:docGrid w:linePitch="312" w:charSpace="0"/>
        </w:sectPr>
      </w:pPr>
    </w:p>
    <w:tbl>
      <w:tblPr>
        <w:tblStyle w:val="30"/>
        <w:tblW w:w="90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4"/>
        <w:gridCol w:w="83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674" w:type="dxa"/>
            <w:noWrap w:val="0"/>
            <w:vAlign w:val="center"/>
          </w:tcPr>
          <w:p>
            <w:pPr>
              <w:adjustRightInd w:val="0"/>
              <w:snapToGrid w:val="0"/>
              <w:jc w:val="center"/>
              <w:rPr>
                <w:rFonts w:ascii="宋体" w:hAnsi="宋体" w:cs="宋体"/>
                <w:kern w:val="0"/>
                <w:sz w:val="24"/>
                <w:szCs w:val="24"/>
              </w:rPr>
            </w:pPr>
            <w:r>
              <w:rPr>
                <w:rFonts w:hint="eastAsia" w:ascii="宋体" w:hAnsi="宋体" w:cs="宋体"/>
                <w:b/>
                <w:bCs/>
                <w:kern w:val="0"/>
                <w:sz w:val="24"/>
                <w:szCs w:val="24"/>
              </w:rPr>
              <w:t>总平面及现场布置</w:t>
            </w:r>
          </w:p>
        </w:tc>
        <w:tc>
          <w:tcPr>
            <w:tcW w:w="8365" w:type="dxa"/>
            <w:noWrap w:val="0"/>
            <w:vAlign w:val="center"/>
          </w:tcPr>
          <w:p>
            <w:pPr>
              <w:keepNext w:val="0"/>
              <w:keepLines w:val="0"/>
              <w:pageBreakBefore w:val="0"/>
              <w:kinsoku/>
              <w:wordWrap/>
              <w:overflowPunct/>
              <w:topLinePunct w:val="0"/>
              <w:bidi w:val="0"/>
              <w:spacing w:line="360" w:lineRule="auto"/>
              <w:textAlignment w:val="auto"/>
              <w:rPr>
                <w:rFonts w:hint="eastAsia" w:ascii="Times New Roman" w:hAnsi="Times New Roman" w:eastAsia="宋体" w:cs="Times New Roman"/>
                <w:b/>
                <w:color w:val="000000"/>
                <w:sz w:val="24"/>
                <w:szCs w:val="24"/>
                <w:lang w:val="en-US" w:eastAsia="zh-CN"/>
              </w:rPr>
            </w:pPr>
            <w:r>
              <w:rPr>
                <w:rFonts w:hint="eastAsia" w:ascii="Times New Roman" w:hAnsi="Times New Roman" w:eastAsia="宋体" w:cs="Times New Roman"/>
                <w:b/>
                <w:color w:val="000000"/>
                <w:sz w:val="24"/>
                <w:szCs w:val="24"/>
                <w:lang w:val="en-US" w:eastAsia="zh-CN"/>
              </w:rPr>
              <w:t>1、堤线布置</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根据工程河段情况及堤线平面布置，庄子沟段整治河道起点为上游现状的混凝土平板桥，终点顺接下游已建堤防，K0+000.00-K0+250.00段轴线沿原河道岸坡布置，K0+250.00至K0+400.00段堤线沿现有公路布置。</w:t>
            </w:r>
          </w:p>
          <w:p>
            <w:pPr>
              <w:keepNext w:val="0"/>
              <w:keepLines w:val="0"/>
              <w:pageBreakBefore w:val="0"/>
              <w:kinsoku/>
              <w:wordWrap/>
              <w:overflowPunct/>
              <w:topLinePunct w:val="0"/>
              <w:bidi w:val="0"/>
              <w:spacing w:line="360" w:lineRule="auto"/>
              <w:textAlignment w:val="auto"/>
              <w:rPr>
                <w:rFonts w:hint="default" w:ascii="Times New Roman" w:hAnsi="Times New Roman" w:cs="Times New Roman"/>
                <w:b/>
                <w:color w:val="000000"/>
                <w:sz w:val="24"/>
                <w:szCs w:val="24"/>
                <w:lang w:val="en-US" w:eastAsia="zh-CN"/>
              </w:rPr>
            </w:pPr>
            <w:r>
              <w:rPr>
                <w:rFonts w:hint="eastAsia" w:ascii="Times New Roman" w:hAnsi="Times New Roman" w:cs="Times New Roman"/>
                <w:b/>
                <w:color w:val="000000"/>
                <w:sz w:val="24"/>
                <w:szCs w:val="24"/>
                <w:lang w:val="en-US" w:eastAsia="zh-CN"/>
              </w:rPr>
              <w:t>2、施工平面布置</w:t>
            </w:r>
          </w:p>
          <w:p>
            <w:pPr>
              <w:keepNext w:val="0"/>
              <w:keepLines w:val="0"/>
              <w:pageBreakBefore w:val="0"/>
              <w:kinsoku/>
              <w:wordWrap/>
              <w:overflowPunct/>
              <w:topLinePunct w:val="0"/>
              <w:bidi w:val="0"/>
              <w:spacing w:line="360" w:lineRule="auto"/>
              <w:ind w:firstLine="482" w:firstLineChars="200"/>
              <w:textAlignment w:val="auto"/>
              <w:rPr>
                <w:rFonts w:hint="default" w:ascii="Times New Roman" w:hAnsi="Times New Roman" w:cs="Times New Roman"/>
                <w:b/>
                <w:color w:val="000000"/>
                <w:sz w:val="24"/>
                <w:szCs w:val="24"/>
                <w:lang w:eastAsia="zh-CN"/>
              </w:rPr>
            </w:pPr>
            <w:r>
              <w:rPr>
                <w:rFonts w:hint="eastAsia" w:ascii="Times New Roman" w:hAnsi="Times New Roman" w:cs="Times New Roman"/>
                <w:b/>
                <w:color w:val="000000"/>
                <w:sz w:val="24"/>
                <w:szCs w:val="24"/>
                <w:lang w:eastAsia="zh-CN"/>
              </w:rPr>
              <w:t>（</w:t>
            </w:r>
            <w:r>
              <w:rPr>
                <w:rFonts w:hint="eastAsia" w:ascii="Times New Roman" w:hAnsi="Times New Roman" w:cs="Times New Roman"/>
                <w:b/>
                <w:color w:val="000000"/>
                <w:sz w:val="24"/>
                <w:szCs w:val="24"/>
                <w:lang w:val="en-US" w:eastAsia="zh-CN"/>
              </w:rPr>
              <w:t>1</w:t>
            </w:r>
            <w:r>
              <w:rPr>
                <w:rFonts w:hint="eastAsia" w:ascii="Times New Roman" w:hAnsi="Times New Roman" w:cs="Times New Roman"/>
                <w:b/>
                <w:color w:val="000000"/>
                <w:sz w:val="24"/>
                <w:szCs w:val="24"/>
                <w:lang w:eastAsia="zh-CN"/>
              </w:rPr>
              <w:t>）</w:t>
            </w:r>
            <w:r>
              <w:rPr>
                <w:rFonts w:hint="default" w:ascii="Times New Roman" w:hAnsi="Times New Roman" w:cs="Times New Roman"/>
                <w:b/>
                <w:color w:val="000000"/>
                <w:sz w:val="24"/>
                <w:szCs w:val="24"/>
                <w:lang w:eastAsia="zh-CN"/>
              </w:rPr>
              <w:t>施工平面布置</w:t>
            </w:r>
          </w:p>
          <w:p>
            <w:pPr>
              <w:spacing w:line="360" w:lineRule="auto"/>
              <w:ind w:firstLine="481"/>
              <w:rPr>
                <w:rFonts w:hint="default" w:ascii="Times New Roman" w:hAnsi="Times New Roman" w:eastAsia="宋体" w:cs="Times New Roman"/>
                <w:sz w:val="24"/>
                <w:szCs w:val="24"/>
                <w:lang w:val="zh-CN" w:eastAsia="zh-CN"/>
              </w:rPr>
            </w:pPr>
            <w:r>
              <w:rPr>
                <w:rFonts w:hint="default" w:ascii="Times New Roman" w:hAnsi="Times New Roman" w:eastAsia="宋体" w:cs="Times New Roman"/>
                <w:sz w:val="24"/>
                <w:szCs w:val="24"/>
                <w:lang w:val="zh-CN" w:eastAsia="zh-CN"/>
              </w:rPr>
              <w:t>本工程为线性工程，为利于生产，方便生活，施工总布置宜选用分散与集中相结合的布置方式。</w:t>
            </w:r>
          </w:p>
          <w:p>
            <w:pPr>
              <w:spacing w:line="360" w:lineRule="auto"/>
              <w:ind w:firstLine="481"/>
              <w:rPr>
                <w:rFonts w:hint="default" w:ascii="Times New Roman" w:hAnsi="Times New Roman" w:eastAsia="宋体" w:cs="Times New Roman"/>
                <w:sz w:val="24"/>
                <w:szCs w:val="24"/>
                <w:lang w:val="zh-CN" w:eastAsia="zh-CN"/>
              </w:rPr>
            </w:pPr>
            <w:r>
              <w:rPr>
                <w:rFonts w:hint="default" w:ascii="Times New Roman" w:hAnsi="Times New Roman" w:eastAsia="宋体" w:cs="Times New Roman"/>
                <w:sz w:val="24"/>
                <w:szCs w:val="24"/>
                <w:lang w:val="zh-CN" w:eastAsia="zh-CN"/>
              </w:rPr>
              <w:t>施工生产生活设施主要布置有办公室、施工生产用房及值班房等，生活用房采用租用方式。</w:t>
            </w:r>
            <w:r>
              <w:rPr>
                <w:rFonts w:hint="eastAsia" w:ascii="Times New Roman" w:hAnsi="Times New Roman" w:eastAsia="宋体" w:cs="Times New Roman"/>
                <w:sz w:val="24"/>
                <w:szCs w:val="24"/>
                <w:lang w:val="en-US" w:eastAsia="zh-CN"/>
              </w:rPr>
              <w:t>办公生活区位于庄子沟右岸，靠近堤段，施工生产场地主要用于钢筋制作安装及木材加工，并作临时材料堆存，因此在工区</w:t>
            </w:r>
            <w:r>
              <w:rPr>
                <w:rFonts w:hint="eastAsia" w:cs="Times New Roman"/>
                <w:sz w:val="24"/>
                <w:szCs w:val="24"/>
                <w:lang w:val="en-US" w:eastAsia="zh-CN"/>
              </w:rPr>
              <w:t>上游右岸</w:t>
            </w:r>
            <w:r>
              <w:rPr>
                <w:rFonts w:hint="eastAsia" w:ascii="Times New Roman" w:hAnsi="Times New Roman" w:eastAsia="宋体" w:cs="Times New Roman"/>
                <w:sz w:val="24"/>
                <w:szCs w:val="24"/>
                <w:lang w:val="en-US" w:eastAsia="zh-CN"/>
              </w:rPr>
              <w:t>设一个</w:t>
            </w:r>
            <w:r>
              <w:rPr>
                <w:rFonts w:hint="eastAsia" w:cs="Times New Roman"/>
                <w:sz w:val="24"/>
                <w:szCs w:val="24"/>
                <w:lang w:val="en-US" w:eastAsia="zh-CN"/>
              </w:rPr>
              <w:t>2</w:t>
            </w:r>
            <w:r>
              <w:rPr>
                <w:rFonts w:hint="eastAsia" w:ascii="Times New Roman" w:hAnsi="Times New Roman" w:eastAsia="宋体" w:cs="Times New Roman"/>
                <w:sz w:val="24"/>
                <w:szCs w:val="24"/>
                <w:lang w:val="en-US" w:eastAsia="zh-CN"/>
              </w:rPr>
              <w:t>00m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的临时施工场地</w:t>
            </w:r>
            <w:r>
              <w:rPr>
                <w:rFonts w:hint="eastAsia" w:cs="Times New Roman"/>
                <w:sz w:val="24"/>
                <w:szCs w:val="24"/>
                <w:lang w:val="en-US" w:eastAsia="zh-CN"/>
              </w:rPr>
              <w:t>，均</w:t>
            </w:r>
            <w:r>
              <w:rPr>
                <w:rFonts w:hint="eastAsia" w:ascii="Times New Roman" w:hAnsi="Times New Roman" w:eastAsia="宋体" w:cs="Times New Roman"/>
                <w:sz w:val="24"/>
                <w:szCs w:val="24"/>
                <w:lang w:val="en-US" w:eastAsia="zh-CN"/>
              </w:rPr>
              <w:t>位于</w:t>
            </w:r>
            <w:r>
              <w:rPr>
                <w:rFonts w:hint="default"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val="en-US" w:eastAsia="zh-CN"/>
              </w:rPr>
              <w:t>年一遇洪水位以上地带。</w:t>
            </w:r>
            <w:r>
              <w:rPr>
                <w:rFonts w:hint="default" w:ascii="Times New Roman" w:hAnsi="Times New Roman" w:eastAsia="宋体" w:cs="Times New Roman"/>
                <w:sz w:val="24"/>
                <w:szCs w:val="24"/>
                <w:lang w:val="zh-CN" w:eastAsia="zh-CN"/>
              </w:rPr>
              <w:t>综合分析对外及场内交通路线、料场分布、输电线路架设，并按工程量尽可能均衡的原则，工区内布置有施工生产设施，主要有供水、供电系统，机械设备和汽车等停放场、仓库等各类库房等。</w:t>
            </w:r>
          </w:p>
          <w:p>
            <w:pPr>
              <w:spacing w:line="360" w:lineRule="auto"/>
              <w:ind w:firstLine="481"/>
              <w:rPr>
                <w:rFonts w:hint="default" w:ascii="Times New Roman" w:hAnsi="Times New Roman" w:eastAsia="宋体" w:cs="Times New Roman"/>
                <w:sz w:val="24"/>
                <w:szCs w:val="24"/>
                <w:lang w:val="zh-CN" w:eastAsia="zh-CN"/>
              </w:rPr>
            </w:pPr>
            <w:r>
              <w:rPr>
                <w:rFonts w:hint="eastAsia" w:cs="Times New Roman"/>
                <w:sz w:val="24"/>
                <w:szCs w:val="24"/>
                <w:lang w:val="zh-CN" w:eastAsia="zh-CN"/>
              </w:rPr>
              <w:t>广元市昭化区重点采煤沉陷区生态环境综合治理项目</w:t>
            </w:r>
            <w:r>
              <w:rPr>
                <w:rFonts w:hint="default" w:ascii="Times New Roman" w:hAnsi="Times New Roman" w:eastAsia="宋体" w:cs="Times New Roman"/>
                <w:sz w:val="24"/>
                <w:szCs w:val="24"/>
                <w:lang w:val="zh-CN" w:eastAsia="zh-CN"/>
              </w:rPr>
              <w:t>庄子沟段长0.45km，遵循因地制宜，利于生产，便于管理，经济合理的原则，本工程设置施工工区1个。</w:t>
            </w:r>
          </w:p>
          <w:p>
            <w:pPr>
              <w:spacing w:line="360" w:lineRule="auto"/>
              <w:ind w:firstLine="481"/>
              <w:rPr>
                <w:rFonts w:hint="default" w:ascii="Times New Roman" w:hAnsi="Times New Roman" w:eastAsia="宋体" w:cs="Times New Roman"/>
                <w:sz w:val="24"/>
                <w:szCs w:val="24"/>
                <w:lang w:val="zh-CN" w:eastAsia="zh-CN"/>
              </w:rPr>
            </w:pPr>
            <w:r>
              <w:rPr>
                <w:rFonts w:hint="default" w:ascii="Times New Roman" w:hAnsi="Times New Roman" w:eastAsia="宋体" w:cs="Times New Roman"/>
                <w:sz w:val="24"/>
                <w:szCs w:val="24"/>
                <w:lang w:val="zh-CN" w:eastAsia="zh-CN"/>
              </w:rPr>
              <w:t>工区内布置有相应的施工临时设施，如临时堆</w:t>
            </w:r>
            <w:r>
              <w:rPr>
                <w:rFonts w:hint="eastAsia" w:cs="Times New Roman"/>
                <w:sz w:val="24"/>
                <w:szCs w:val="24"/>
                <w:lang w:val="en-US" w:eastAsia="zh-CN"/>
              </w:rPr>
              <w:t>土</w:t>
            </w:r>
            <w:r>
              <w:rPr>
                <w:rFonts w:hint="default" w:ascii="Times New Roman" w:hAnsi="Times New Roman" w:eastAsia="宋体" w:cs="Times New Roman"/>
                <w:sz w:val="24"/>
                <w:szCs w:val="24"/>
                <w:lang w:val="zh-CN" w:eastAsia="zh-CN"/>
              </w:rPr>
              <w:t>场、</w:t>
            </w:r>
            <w:r>
              <w:rPr>
                <w:rFonts w:hint="eastAsia" w:cs="Times New Roman"/>
                <w:sz w:val="24"/>
                <w:szCs w:val="24"/>
                <w:lang w:val="en-US" w:eastAsia="zh-CN"/>
              </w:rPr>
              <w:t>施工生产区、施工</w:t>
            </w:r>
            <w:r>
              <w:rPr>
                <w:rFonts w:hint="default" w:ascii="Times New Roman" w:hAnsi="Times New Roman" w:eastAsia="宋体" w:cs="Times New Roman"/>
                <w:sz w:val="24"/>
                <w:szCs w:val="24"/>
                <w:lang w:val="zh-CN" w:eastAsia="zh-CN"/>
              </w:rPr>
              <w:t>道路等，</w:t>
            </w:r>
            <w:r>
              <w:rPr>
                <w:rFonts w:hint="eastAsia" w:cs="Times New Roman"/>
                <w:sz w:val="24"/>
                <w:szCs w:val="24"/>
                <w:lang w:val="en-US" w:eastAsia="zh-CN"/>
              </w:rPr>
              <w:t>均</w:t>
            </w:r>
            <w:r>
              <w:rPr>
                <w:rFonts w:hint="default" w:ascii="Times New Roman" w:hAnsi="Times New Roman" w:eastAsia="宋体" w:cs="Times New Roman"/>
                <w:sz w:val="24"/>
                <w:szCs w:val="24"/>
                <w:lang w:val="zh-CN" w:eastAsia="zh-CN"/>
              </w:rPr>
              <w:t>位于河段上游空地处。</w:t>
            </w:r>
            <w:r>
              <w:rPr>
                <w:rFonts w:hint="eastAsia" w:ascii="Times New Roman" w:hAnsi="Times New Roman" w:eastAsia="宋体" w:cs="Times New Roman"/>
                <w:sz w:val="24"/>
                <w:szCs w:val="24"/>
                <w:lang w:val="en-US" w:eastAsia="zh-CN"/>
              </w:rPr>
              <w:t>同时，</w:t>
            </w:r>
            <w:r>
              <w:rPr>
                <w:rFonts w:hint="default" w:ascii="Times New Roman" w:hAnsi="Times New Roman" w:eastAsia="宋体" w:cs="Times New Roman"/>
                <w:sz w:val="24"/>
                <w:szCs w:val="24"/>
                <w:lang w:val="en-US" w:eastAsia="zh-CN"/>
              </w:rPr>
              <w:t>项目不在施工场地设置混凝土搅拌站</w:t>
            </w:r>
            <w:r>
              <w:rPr>
                <w:rFonts w:hint="eastAsia" w:ascii="Times New Roman" w:hAnsi="Times New Roman" w:eastAsia="宋体" w:cs="Times New Roman"/>
                <w:sz w:val="24"/>
                <w:szCs w:val="24"/>
                <w:lang w:val="en-US" w:eastAsia="zh-CN"/>
              </w:rPr>
              <w:t>和预制场</w:t>
            </w:r>
            <w:r>
              <w:rPr>
                <w:rFonts w:hint="default" w:ascii="Times New Roman" w:hAnsi="Times New Roman" w:eastAsia="宋体" w:cs="Times New Roman"/>
                <w:sz w:val="24"/>
                <w:szCs w:val="24"/>
                <w:lang w:val="en-US" w:eastAsia="zh-CN"/>
              </w:rPr>
              <w:t>，项目一律采用商商品混凝土</w:t>
            </w:r>
            <w:r>
              <w:rPr>
                <w:rFonts w:hint="eastAsia" w:ascii="Times New Roman" w:hAnsi="Times New Roman" w:eastAsia="宋体" w:cs="Times New Roman"/>
                <w:sz w:val="24"/>
                <w:szCs w:val="24"/>
                <w:lang w:val="en-US" w:eastAsia="zh-CN"/>
              </w:rPr>
              <w:t>，周边预制场购买成品预制件</w:t>
            </w:r>
            <w:r>
              <w:rPr>
                <w:rFonts w:hint="default" w:ascii="Times New Roman" w:hAnsi="Times New Roman" w:eastAsia="宋体" w:cs="Times New Roman"/>
                <w:sz w:val="24"/>
                <w:szCs w:val="24"/>
                <w:lang w:val="en-US" w:eastAsia="zh-CN"/>
              </w:rPr>
              <w:t>。</w:t>
            </w:r>
          </w:p>
          <w:p>
            <w:pPr>
              <w:spacing w:line="360" w:lineRule="auto"/>
              <w:ind w:firstLine="481"/>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lang w:val="en-US" w:eastAsia="zh-CN"/>
              </w:rPr>
              <w:t>施工</w:t>
            </w:r>
            <w:r>
              <w:rPr>
                <w:rFonts w:hint="eastAsia" w:ascii="Times New Roman" w:hAnsi="Times New Roman" w:eastAsia="宋体" w:cs="Times New Roman"/>
                <w:b/>
                <w:bCs/>
                <w:sz w:val="24"/>
                <w:szCs w:val="24"/>
                <w:lang w:val="en-US" w:eastAsia="zh-CN"/>
              </w:rPr>
              <w:t>场地外环境关系及选址合理性分析</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施工期间仅需临时搭设</w:t>
            </w:r>
            <w:r>
              <w:rPr>
                <w:rFonts w:hint="eastAsia" w:cs="Times New Roman"/>
                <w:sz w:val="24"/>
                <w:szCs w:val="24"/>
                <w:lang w:val="en-US" w:eastAsia="zh-CN"/>
              </w:rPr>
              <w:t>施工生产区、</w:t>
            </w:r>
            <w:r>
              <w:rPr>
                <w:rFonts w:hint="eastAsia" w:ascii="Times New Roman" w:hAnsi="Times New Roman" w:eastAsia="宋体" w:cs="Times New Roman"/>
                <w:sz w:val="24"/>
                <w:szCs w:val="24"/>
                <w:lang w:val="en-US" w:eastAsia="zh-CN"/>
              </w:rPr>
              <w:t>临时堆</w:t>
            </w:r>
            <w:r>
              <w:rPr>
                <w:rFonts w:hint="eastAsia" w:cs="Times New Roman"/>
                <w:sz w:val="24"/>
                <w:szCs w:val="24"/>
                <w:lang w:val="en-US" w:eastAsia="zh-CN"/>
              </w:rPr>
              <w:t>土</w:t>
            </w:r>
            <w:r>
              <w:rPr>
                <w:rFonts w:hint="eastAsia" w:ascii="Times New Roman" w:hAnsi="Times New Roman" w:eastAsia="宋体" w:cs="Times New Roman"/>
                <w:sz w:val="24"/>
                <w:szCs w:val="24"/>
                <w:lang w:val="en-US" w:eastAsia="zh-CN"/>
              </w:rPr>
              <w:t>场、施工便道等。工程河道离乡镇较近，且沿河有居民点，办公生活用房、材料仓库、试验室、值班室等采用租用；开挖土石方（含疏浚物）弃土</w:t>
            </w:r>
            <w:r>
              <w:rPr>
                <w:rFonts w:hint="eastAsia" w:cs="Times New Roman"/>
                <w:sz w:val="24"/>
                <w:szCs w:val="24"/>
                <w:lang w:val="en-US" w:eastAsia="zh-CN"/>
              </w:rPr>
              <w:t>用于工程河道回填</w:t>
            </w:r>
            <w:r>
              <w:rPr>
                <w:rFonts w:hint="eastAsia" w:ascii="Times New Roman" w:hAnsi="Times New Roman" w:eastAsia="宋体" w:cs="Times New Roman"/>
                <w:sz w:val="24"/>
                <w:szCs w:val="24"/>
                <w:lang w:val="en-US" w:eastAsia="zh-CN"/>
              </w:rPr>
              <w:t>，不另设渣场。</w:t>
            </w:r>
          </w:p>
          <w:p>
            <w:pPr>
              <w:spacing w:line="360" w:lineRule="auto"/>
              <w:ind w:firstLine="481"/>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结合本项目外环境关系，工程平面布置分析如下：</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①合理布局施工场地。本项目施工场地设置于下风向，施工场地的位置对项目所在地居民的影响较小。</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②采取有效的降尘措施。施工材料临时堆放于</w:t>
            </w:r>
            <w:r>
              <w:rPr>
                <w:rFonts w:hint="eastAsia" w:cs="Times New Roman"/>
                <w:sz w:val="24"/>
                <w:szCs w:val="24"/>
                <w:lang w:val="en-US" w:eastAsia="zh-CN"/>
              </w:rPr>
              <w:t>施工生产区</w:t>
            </w:r>
            <w:r>
              <w:rPr>
                <w:rFonts w:hint="eastAsia" w:ascii="Times New Roman" w:hAnsi="Times New Roman" w:eastAsia="宋体" w:cs="Times New Roman"/>
                <w:sz w:val="24"/>
                <w:szCs w:val="24"/>
                <w:lang w:val="en-US" w:eastAsia="zh-CN"/>
              </w:rPr>
              <w:t>中，同时对施工场地采取洒水降尘措施。</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③合理布设运输路线。施工期间车辆应制定合理的运输路线，</w:t>
            </w:r>
            <w:r>
              <w:rPr>
                <w:rFonts w:hint="default" w:ascii="Times New Roman" w:hAnsi="Times New Roman" w:eastAsia="宋体" w:cs="Times New Roman"/>
                <w:sz w:val="24"/>
                <w:szCs w:val="24"/>
                <w:lang w:val="en-US" w:eastAsia="zh-CN"/>
              </w:rPr>
              <w:t>主要是乡村公路进行运输，其周边敏感点少，在通过敏感点处，要求驾驶员降速行驶、禁止鸣笛等措施减少对其影响程度。</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④</w:t>
            </w:r>
            <w:r>
              <w:rPr>
                <w:rFonts w:hint="default" w:ascii="Times New Roman" w:hAnsi="Times New Roman" w:eastAsia="宋体" w:cs="Times New Roman"/>
                <w:sz w:val="24"/>
                <w:szCs w:val="24"/>
                <w:lang w:val="en-US" w:eastAsia="zh-CN"/>
              </w:rPr>
              <w:t>采取有效的废水治理措施。机械、车辆清洗点废水</w:t>
            </w:r>
            <w:r>
              <w:rPr>
                <w:rFonts w:hint="eastAsia" w:ascii="Times New Roman" w:hAnsi="Times New Roman" w:eastAsia="宋体" w:cs="Times New Roman"/>
                <w:sz w:val="24"/>
                <w:szCs w:val="24"/>
                <w:lang w:val="en-US" w:eastAsia="zh-CN"/>
              </w:rPr>
              <w:t>设置</w:t>
            </w:r>
            <w:r>
              <w:rPr>
                <w:rFonts w:hint="default" w:ascii="Times New Roman" w:hAnsi="Times New Roman" w:eastAsia="宋体" w:cs="Times New Roman"/>
                <w:sz w:val="24"/>
                <w:szCs w:val="24"/>
                <w:lang w:val="en-US" w:eastAsia="zh-CN"/>
              </w:rPr>
              <w:t>沉淀隔油处理后，循环利用</w:t>
            </w:r>
            <w:r>
              <w:rPr>
                <w:rFonts w:hint="eastAsia" w:ascii="Times New Roman" w:hAnsi="Times New Roman" w:eastAsia="宋体" w:cs="Times New Roman"/>
                <w:sz w:val="24"/>
                <w:szCs w:val="24"/>
                <w:lang w:val="en-US" w:eastAsia="zh-CN"/>
              </w:rPr>
              <w:t>于洒水降尘。</w:t>
            </w:r>
          </w:p>
          <w:p>
            <w:pPr>
              <w:spacing w:line="360" w:lineRule="auto"/>
              <w:ind w:firstLine="481"/>
              <w:rPr>
                <w:rFonts w:hint="eastAsia" w:ascii="Times New Roman" w:hAnsi="Times New Roman" w:eastAsia="宋体" w:cs="Times New Roman"/>
                <w:sz w:val="24"/>
                <w:szCs w:val="24"/>
                <w:lang w:val="en-US" w:eastAsia="zh-CN"/>
              </w:rPr>
            </w:pPr>
            <w:r>
              <w:rPr>
                <w:rFonts w:hint="eastAsia" w:ascii="新宋体" w:hAnsi="新宋体" w:eastAsia="新宋体" w:cs="新宋体"/>
                <w:sz w:val="24"/>
                <w:szCs w:val="24"/>
                <w:lang w:val="en-US" w:eastAsia="zh-CN"/>
              </w:rPr>
              <w:t>⑤</w:t>
            </w:r>
            <w:r>
              <w:rPr>
                <w:rFonts w:hint="eastAsia" w:ascii="Times New Roman" w:hAnsi="Times New Roman" w:eastAsia="宋体" w:cs="Times New Roman"/>
                <w:sz w:val="24"/>
                <w:szCs w:val="24"/>
                <w:lang w:val="en-US" w:eastAsia="zh-CN"/>
              </w:rPr>
              <w:t>办公生活用房</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由于项目周边住户较多，可租用其房屋作为办公生活用房。</w:t>
            </w:r>
          </w:p>
          <w:p>
            <w:pPr>
              <w:pStyle w:val="123"/>
              <w:keepNext w:val="0"/>
              <w:keepLines w:val="0"/>
              <w:pageBreakBefore w:val="0"/>
              <w:widowControl/>
              <w:kinsoku/>
              <w:wordWrap/>
              <w:overflowPunct/>
              <w:topLinePunct w:val="0"/>
              <w:autoSpaceDE/>
              <w:autoSpaceDN/>
              <w:bidi w:val="0"/>
              <w:adjustRightInd/>
              <w:snapToGrid w:val="0"/>
              <w:spacing w:before="0" w:after="0"/>
              <w:ind w:right="113"/>
              <w:textAlignment w:val="auto"/>
              <w:rPr>
                <w:rFonts w:hint="eastAsia" w:ascii="宋体" w:hAnsi="宋体"/>
                <w:color w:val="auto"/>
                <w:sz w:val="24"/>
                <w:szCs w:val="24"/>
                <w:lang w:val="zh-CN" w:eastAsia="zh-CN"/>
              </w:rPr>
            </w:pPr>
            <w:r>
              <w:rPr>
                <w:rFonts w:hint="eastAsia" w:ascii="Times New Roman" w:hAnsi="Times New Roman" w:eastAsia="宋体" w:cs="Times New Roman"/>
                <w:bCs w:val="0"/>
                <w:kern w:val="2"/>
                <w:sz w:val="24"/>
                <w:szCs w:val="24"/>
                <w:lang w:val="zh-CN" w:eastAsia="zh-CN" w:bidi="ar-SA"/>
              </w:rPr>
              <w:t>施工</w:t>
            </w:r>
            <w:r>
              <w:rPr>
                <w:rFonts w:hint="eastAsia" w:ascii="Times New Roman" w:hAnsi="Times New Roman" w:eastAsia="宋体" w:cs="Times New Roman"/>
                <w:sz w:val="24"/>
                <w:szCs w:val="24"/>
                <w:lang w:val="en-US" w:eastAsia="zh-CN"/>
              </w:rPr>
              <w:t>开挖土石方（含疏浚物）弃土</w:t>
            </w:r>
            <w:r>
              <w:rPr>
                <w:rFonts w:hint="eastAsia" w:cs="Times New Roman"/>
                <w:sz w:val="24"/>
                <w:szCs w:val="24"/>
                <w:lang w:val="en-US" w:eastAsia="zh-CN"/>
              </w:rPr>
              <w:t>用于工程河道回填</w:t>
            </w:r>
            <w:r>
              <w:rPr>
                <w:rFonts w:hint="eastAsia" w:ascii="Times New Roman" w:hAnsi="Times New Roman" w:eastAsia="宋体" w:cs="Times New Roman"/>
                <w:bCs w:val="0"/>
                <w:kern w:val="2"/>
                <w:sz w:val="24"/>
                <w:szCs w:val="24"/>
                <w:lang w:val="zh-CN" w:eastAsia="zh-CN" w:bidi="ar-SA"/>
              </w:rPr>
              <w:t>，不另设</w:t>
            </w:r>
            <w:r>
              <w:rPr>
                <w:rFonts w:hint="eastAsia" w:ascii="宋体" w:hAnsi="宋体"/>
                <w:color w:val="auto"/>
                <w:sz w:val="24"/>
                <w:szCs w:val="24"/>
                <w:lang w:val="zh-CN" w:eastAsia="zh-CN"/>
              </w:rPr>
              <w:t>渣场。</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综上，根据现场调查，项目所涉及的临时占地的各场地主要为耕地、水域涂滩，其选址合理可行。工程布置及施工布置范围内无泥石流易发区、崩塌滑坡危险区。因此，只要在施工过程中严格按照本报告及水保等文件提出的环保及水保措施实施后，可将影响降低到最低程度。</w:t>
            </w:r>
          </w:p>
          <w:p>
            <w:pPr>
              <w:spacing w:line="360" w:lineRule="auto"/>
              <w:ind w:firstLine="481"/>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因此，评价认为施工期各场地选址从环保角度分析较为合理可行。</w:t>
            </w:r>
          </w:p>
          <w:p>
            <w:pPr>
              <w:pStyle w:val="8"/>
              <w:rPr>
                <w:rFonts w:hint="default"/>
                <w:lang w:val="en-US" w:eastAsia="zh-CN"/>
              </w:rPr>
            </w:pPr>
          </w:p>
          <w:p>
            <w:pPr>
              <w:spacing w:line="360" w:lineRule="auto"/>
              <w:ind w:firstLine="481"/>
              <w:rPr>
                <w:rFonts w:hint="eastAsia" w:ascii="宋体" w:hAnsi="宋体" w:eastAsia="宋体" w:cs="宋体"/>
                <w:kern w:val="0"/>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674" w:type="dxa"/>
            <w:noWrap w:val="0"/>
            <w:vAlign w:val="center"/>
          </w:tcPr>
          <w:p>
            <w:pPr>
              <w:adjustRightInd w:val="0"/>
              <w:snapToGrid w:val="0"/>
              <w:jc w:val="center"/>
              <w:rPr>
                <w:rFonts w:ascii="宋体" w:hAnsi="宋体" w:cs="宋体"/>
                <w:b/>
                <w:bCs/>
                <w:kern w:val="0"/>
                <w:sz w:val="24"/>
                <w:szCs w:val="24"/>
              </w:rPr>
            </w:pPr>
            <w:r>
              <w:rPr>
                <w:rFonts w:hint="eastAsia" w:ascii="宋体" w:hAnsi="宋体" w:cs="宋体"/>
                <w:b/>
                <w:bCs/>
                <w:kern w:val="0"/>
                <w:sz w:val="24"/>
                <w:szCs w:val="24"/>
              </w:rPr>
              <w:t>施工方案</w:t>
            </w:r>
          </w:p>
        </w:tc>
        <w:tc>
          <w:tcPr>
            <w:tcW w:w="8365" w:type="dxa"/>
            <w:noWrap w:val="0"/>
            <w:vAlign w:val="center"/>
          </w:tcPr>
          <w:p>
            <w:pPr>
              <w:spacing w:line="360" w:lineRule="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1、施工进度安排</w:t>
            </w:r>
          </w:p>
          <w:p>
            <w:pPr>
              <w:spacing w:line="360" w:lineRule="auto"/>
              <w:ind w:firstLine="481"/>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本工程的施工总工期安排为6个月，其中准备工期1个月，主体工程施工期4个月（12月～3月），工程完建期1个月。</w:t>
            </w:r>
          </w:p>
          <w:p>
            <w:pPr>
              <w:spacing w:line="360" w:lineRule="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2、施工组织设计</w:t>
            </w:r>
          </w:p>
          <w:p>
            <w:pPr>
              <w:spacing w:line="360" w:lineRule="auto"/>
              <w:ind w:firstLine="482" w:firstLineChars="200"/>
              <w:rPr>
                <w:rFonts w:hint="eastAsia" w:ascii="Times New Roman" w:hAnsi="Times New Roman" w:eastAsia="宋体" w:cs="Times New Roman"/>
                <w:b/>
                <w:bCs/>
                <w:sz w:val="24"/>
                <w:szCs w:val="24"/>
                <w:lang w:val="en-US" w:eastAsia="zh-CN"/>
              </w:rPr>
            </w:pPr>
            <w:bookmarkStart w:id="34" w:name="_Toc20379"/>
            <w:r>
              <w:rPr>
                <w:rFonts w:hint="eastAsia" w:ascii="Times New Roman" w:hAnsi="Times New Roman" w:eastAsia="宋体" w:cs="Times New Roman"/>
                <w:b/>
                <w:bCs/>
                <w:sz w:val="24"/>
                <w:szCs w:val="24"/>
                <w:lang w:val="en-US" w:eastAsia="zh-CN"/>
              </w:rPr>
              <w:t>2.1施工条件</w:t>
            </w:r>
            <w:bookmarkEnd w:id="34"/>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1、本工程所需的水泥、汽油、柴油等主要外来材料拟从广元市城区或元坝镇购买。</w:t>
            </w:r>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2、本工程位于昭化区元坝镇</w:t>
            </w:r>
            <w:r>
              <w:rPr>
                <w:rFonts w:hint="eastAsia" w:ascii="Times New Roman" w:hAnsi="Times New Roman" w:eastAsia="宋体" w:cs="Times New Roman"/>
                <w:color w:val="auto"/>
                <w:kern w:val="2"/>
                <w:sz w:val="24"/>
                <w:szCs w:val="24"/>
                <w:highlight w:val="none"/>
                <w:lang w:val="en-US" w:eastAsia="zh-CN" w:bidi="ar-SA"/>
              </w:rPr>
              <w:t>长坝社区</w:t>
            </w:r>
            <w:r>
              <w:rPr>
                <w:rFonts w:hint="default" w:ascii="Times New Roman" w:hAnsi="Times New Roman" w:eastAsia="宋体" w:cs="Times New Roman"/>
                <w:sz w:val="24"/>
                <w:szCs w:val="24"/>
                <w:lang w:val="en-US" w:eastAsia="zh-CN"/>
              </w:rPr>
              <w:t>，生活物资供应有保障；附近农村剩余劳动力较多，能为本工程施工提供充足的劳动力；元坝镇具有一定的机械及汽车修配能力，能够承担本工程施工期汽修、机修任务。</w:t>
            </w:r>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3、施工供水：本工程施工供水分施工用水和生活用水，施工用水采用直接抽取河水，生活用水因住房租用当地民房用水则用自来水。</w:t>
            </w:r>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4、施工供电：施工用电由附近电网搭接。</w:t>
            </w:r>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5、当地建筑材料：工程所需天然建筑材料主要为混凝土粗、细骨料和砂卵石料，本次工程砼采用商品砼，在昭化区元坝镇商品砼拌合站购买，综合运距8km。</w:t>
            </w:r>
          </w:p>
          <w:p>
            <w:pPr>
              <w:spacing w:line="360" w:lineRule="auto"/>
              <w:ind w:firstLine="481"/>
              <w:rPr>
                <w:rFonts w:hint="eastAsia" w:ascii="Times New Roman" w:hAnsi="Times New Roman" w:eastAsia="宋体" w:cs="Times New Roman"/>
                <w:b/>
                <w:bCs/>
                <w:sz w:val="24"/>
                <w:szCs w:val="24"/>
                <w:lang w:val="en-US" w:eastAsia="zh-CN"/>
              </w:rPr>
            </w:pPr>
            <w:bookmarkStart w:id="35" w:name="_Toc67907349"/>
            <w:r>
              <w:rPr>
                <w:rFonts w:hint="eastAsia" w:ascii="Times New Roman" w:hAnsi="Times New Roman" w:eastAsia="宋体" w:cs="Times New Roman"/>
                <w:b/>
                <w:bCs/>
                <w:sz w:val="24"/>
                <w:szCs w:val="24"/>
                <w:lang w:val="en-US" w:eastAsia="zh-CN"/>
              </w:rPr>
              <w:t>2.2施工交通运输</w:t>
            </w:r>
            <w:bookmarkEnd w:id="35"/>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施工对外交通</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本工程外来物资主要包括各种建筑材料，施工机械设备、水泥、汽柴油等，这些物资主要来自广元、元坝镇等地。</w:t>
            </w:r>
          </w:p>
          <w:p>
            <w:pPr>
              <w:spacing w:line="360" w:lineRule="auto"/>
              <w:ind w:firstLine="481"/>
              <w:rPr>
                <w:rFonts w:hint="eastAsia" w:ascii="Times New Roman" w:hAnsi="Times New Roman" w:eastAsia="宋体" w:cs="Times New Roman"/>
                <w:sz w:val="24"/>
                <w:szCs w:val="24"/>
                <w:lang w:val="en-US" w:eastAsia="zh-CN"/>
              </w:rPr>
            </w:pPr>
            <w:bookmarkStart w:id="36" w:name="_Hlk141713744"/>
            <w:r>
              <w:rPr>
                <w:rFonts w:hint="eastAsia" w:ascii="Times New Roman" w:hAnsi="Times New Roman" w:eastAsia="宋体" w:cs="Times New Roman"/>
                <w:sz w:val="24"/>
                <w:szCs w:val="24"/>
                <w:lang w:val="en-US" w:eastAsia="zh-CN"/>
              </w:rPr>
              <w:t>本工程位于四川省广元市昭化区元坝镇</w:t>
            </w:r>
            <w:r>
              <w:rPr>
                <w:rFonts w:hint="eastAsia" w:ascii="Times New Roman" w:hAnsi="Times New Roman" w:eastAsia="宋体" w:cs="Times New Roman"/>
                <w:color w:val="auto"/>
                <w:kern w:val="2"/>
                <w:sz w:val="24"/>
                <w:szCs w:val="24"/>
                <w:highlight w:val="none"/>
                <w:lang w:val="en-US" w:eastAsia="zh-CN" w:bidi="ar-SA"/>
              </w:rPr>
              <w:t>长坝社区</w:t>
            </w:r>
            <w:r>
              <w:rPr>
                <w:rFonts w:hint="eastAsia" w:ascii="Times New Roman" w:hAnsi="Times New Roman" w:eastAsia="宋体" w:cs="Times New Roman"/>
                <w:sz w:val="24"/>
                <w:szCs w:val="24"/>
                <w:lang w:val="en-US" w:eastAsia="zh-CN"/>
              </w:rPr>
              <w:t>。元坝镇位于广元市以东南方向约18km，嘉陵江和白龙江交汇处。元坝镇交通便利，G542国道、G212国道在境内交汇，恩广高速公路在此设有进出口通道。通过G212国道、广元绕城高速可连接至广元市主城区，工程区位于元坝镇，至广元市主城区公路里程约18km。工程对外交通较为方便。</w:t>
            </w:r>
          </w:p>
          <w:bookmarkEnd w:id="36"/>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施工场内交通</w:t>
            </w:r>
          </w:p>
          <w:p>
            <w:pPr>
              <w:spacing w:line="360" w:lineRule="auto"/>
              <w:ind w:firstLine="481"/>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场内运输量主要包括分区运输的外来物资、施工现场的各类物料。庄子沟段场内交通主要依靠防洪堤右岸的乡镇公路，路宽约4.0m。工程河段现有道路均能满足商品砼和砂卵石料料等物质的运输要求。</w:t>
            </w:r>
          </w:p>
          <w:p>
            <w:pPr>
              <w:spacing w:line="360" w:lineRule="auto"/>
              <w:ind w:firstLine="481"/>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沿河现有道路路况良好，交通方便，但防洪堤施工期间仍需新建场内临时交通道路至各个工作面，根据施工临时道路布置，沿庄子沟河道平整0.2km长简易临时施工道路。</w:t>
            </w:r>
          </w:p>
          <w:p>
            <w:pPr>
              <w:spacing w:line="360" w:lineRule="auto"/>
              <w:ind w:firstLine="481"/>
              <w:rPr>
                <w:rFonts w:hint="eastAsia" w:ascii="Times New Roman" w:hAnsi="Times New Roman" w:eastAsia="宋体" w:cs="Times New Roman"/>
                <w:b/>
                <w:bCs/>
                <w:sz w:val="24"/>
                <w:szCs w:val="24"/>
                <w:lang w:val="en-US" w:eastAsia="zh-CN"/>
              </w:rPr>
            </w:pPr>
            <w:bookmarkStart w:id="37" w:name="_Toc67907350"/>
            <w:r>
              <w:rPr>
                <w:rFonts w:hint="eastAsia" w:ascii="Times New Roman" w:hAnsi="Times New Roman" w:eastAsia="宋体" w:cs="Times New Roman"/>
                <w:b/>
                <w:bCs/>
                <w:sz w:val="24"/>
                <w:szCs w:val="24"/>
                <w:lang w:val="en-US" w:eastAsia="zh-CN"/>
              </w:rPr>
              <w:t>2.3施工</w:t>
            </w:r>
            <w:bookmarkEnd w:id="37"/>
            <w:r>
              <w:rPr>
                <w:rFonts w:hint="eastAsia" w:ascii="Times New Roman" w:hAnsi="Times New Roman" w:eastAsia="宋体" w:cs="Times New Roman"/>
                <w:b/>
                <w:bCs/>
                <w:sz w:val="24"/>
                <w:szCs w:val="24"/>
                <w:lang w:val="en-US" w:eastAsia="zh-CN"/>
              </w:rPr>
              <w:t>布置</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1、生产系统</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施工用电采用当地电网，施工用水设1台离心水泵 单级 11-17kW抽水至蓄水池。</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2、综合加工与机修系统</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综合加工与机修系统包括钢筋加工、机械维修与汽车保养。</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（1）混凝土生产系统</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本工程采用商品混凝土，故本工程不设置混凝土生产系统。</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（2）临时施工场地</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施工生产场地主要用于钢筋制作安装及木材加工，并作临时材料堆存，因此在工区设一个</w:t>
            </w:r>
            <w:r>
              <w:rPr>
                <w:rFonts w:hint="eastAsia" w:cs="Times New Roman"/>
                <w:sz w:val="24"/>
                <w:szCs w:val="24"/>
                <w:lang w:val="en-US" w:eastAsia="zh-CN"/>
              </w:rPr>
              <w:t>2</w:t>
            </w:r>
            <w:r>
              <w:rPr>
                <w:rFonts w:hint="eastAsia" w:ascii="Times New Roman" w:hAnsi="Times New Roman" w:eastAsia="宋体" w:cs="Times New Roman"/>
                <w:sz w:val="24"/>
                <w:szCs w:val="24"/>
                <w:lang w:val="en-US" w:eastAsia="zh-CN"/>
              </w:rPr>
              <w:t>00m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的临时施工场地。</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（3）机械维修与汽车保养</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工区紧邻昭化区城区，具有一定的机械修配能力，故在现场不设机械修配站和汽车保养站，工程场内大、中型施工机械的二级以上的定期保养、小型机械的修理可就近在昭化区城区进行。</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（4）消防设施</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消防设施布置在施工生产生活区内，按特殊防火要求配备干式灭火器，满足施工场区消防灭火要求。</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（5）施工供水、供电及通讯</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施工供水：</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本工程施工战线较短，宜集中布置供水系统，拟沿堤防上下游设置1处供水站，分别供应相应堤防段施工用水及附近施工临建设施生产用水，从工程河段中取水，施工用水设1台离心水泵 单级 11-17kW抽水至蓄水池，设置20m3清水池一个，自流或泵送至各施工工作面。</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施工供电：</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项目区采用接当地电网，庄子沟社区有200KV变压器，负荷除去居民用电，负荷较充裕，并配备设置一台30kw柴油发电机备用。</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施工通讯：</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为了确保施工，使工程顺利进行，施工期间对内部使用对讲机，对外采用手机通讯系统联系。</w:t>
            </w:r>
          </w:p>
          <w:p>
            <w:pPr>
              <w:spacing w:line="360" w:lineRule="auto"/>
              <w:ind w:firstLine="481"/>
              <w:rPr>
                <w:rFonts w:hint="eastAsia" w:ascii="Times New Roman" w:hAnsi="Times New Roman" w:eastAsia="宋体" w:cs="Times New Roman"/>
                <w:b w:val="0"/>
                <w:bCs/>
                <w:color w:val="000000"/>
                <w:sz w:val="24"/>
                <w:szCs w:val="24"/>
                <w:lang w:val="en-US" w:eastAsia="zh-CN"/>
              </w:rPr>
            </w:pPr>
            <w:bookmarkStart w:id="38" w:name="_Toc2976"/>
            <w:r>
              <w:rPr>
                <w:rFonts w:hint="eastAsia" w:ascii="Times New Roman" w:hAnsi="Times New Roman" w:eastAsia="宋体" w:cs="Times New Roman"/>
                <w:b w:val="0"/>
                <w:bCs/>
                <w:color w:val="000000"/>
                <w:sz w:val="24"/>
                <w:szCs w:val="24"/>
                <w:lang w:val="en-US" w:eastAsia="zh-CN"/>
              </w:rPr>
              <w:t>（6）建筑材料</w:t>
            </w:r>
            <w:bookmarkEnd w:id="38"/>
          </w:p>
          <w:p>
            <w:pPr>
              <w:spacing w:line="360" w:lineRule="auto"/>
              <w:ind w:firstLine="481"/>
              <w:rPr>
                <w:rFonts w:hint="eastAsia"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color w:val="000000"/>
                <w:sz w:val="24"/>
                <w:szCs w:val="24"/>
                <w:lang w:val="en-US" w:eastAsia="zh-CN"/>
              </w:rPr>
              <w:t>1、混凝土粗、细骨料</w:t>
            </w:r>
          </w:p>
          <w:p>
            <w:pPr>
              <w:spacing w:line="360" w:lineRule="auto"/>
              <w:ind w:firstLine="481"/>
              <w:rPr>
                <w:rFonts w:hint="eastAsia"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color w:val="000000"/>
                <w:sz w:val="24"/>
                <w:szCs w:val="24"/>
                <w:lang w:val="en-US" w:eastAsia="zh-CN"/>
              </w:rPr>
              <w:t>根据四川省下发的《四川省散装水泥管理条例》（四川省第十二届人民代表大会常务委员会公告第84号）、商务部、住房和城乡建设部《关于进一步做好城市禁止现场搅拌砂浆工作的通知》（商贸发[2009]361号）等法规、政策，以及广元市下发的《广元市人民政府关于禁止在市辖县区现场搅拌混凝土和砂浆的通告》。项目区位于昭化区，属于禁止现场搅拌混凝土和砂浆的区域。因此工程区所用的混凝土料采用外购商品砼。</w:t>
            </w:r>
          </w:p>
          <w:p>
            <w:pPr>
              <w:spacing w:line="360" w:lineRule="auto"/>
              <w:ind w:firstLine="481"/>
              <w:rPr>
                <w:rFonts w:hint="eastAsia"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color w:val="000000"/>
                <w:sz w:val="24"/>
                <w:szCs w:val="24"/>
                <w:lang w:val="en-US" w:eastAsia="zh-CN"/>
              </w:rPr>
              <w:t>外购混凝土地点为昭化区元坝镇，到工区有公路相通，交通便利，综合运距8km，根据现场调查，昭化区元坝镇拌合站年生产能力10万吨，完全满足工程需要，其商品质量均有相关部门的检测，能满足工程需要。</w:t>
            </w:r>
          </w:p>
          <w:p>
            <w:pPr>
              <w:spacing w:line="360" w:lineRule="auto"/>
              <w:ind w:firstLine="481"/>
              <w:rPr>
                <w:rFonts w:hint="eastAsia"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color w:val="000000"/>
                <w:sz w:val="24"/>
                <w:szCs w:val="24"/>
                <w:lang w:val="en-US" w:eastAsia="zh-CN"/>
              </w:rPr>
              <w:t>2、砂卵石料</w:t>
            </w:r>
          </w:p>
          <w:p>
            <w:pPr>
              <w:spacing w:line="360" w:lineRule="auto"/>
              <w:ind w:firstLine="481"/>
              <w:rPr>
                <w:rFonts w:hint="eastAsia"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color w:val="000000"/>
                <w:sz w:val="24"/>
                <w:szCs w:val="24"/>
                <w:lang w:val="en-US" w:eastAsia="zh-CN"/>
              </w:rPr>
              <w:t>本工程涉及的砂卵石料主要是基础换填用料，该工程开挖中基本为土方，无砂卵石可利用，砂卵石料可在昭化区元坝镇购买，有公路相通，交通便利，综合运距8km。</w:t>
            </w:r>
          </w:p>
          <w:p>
            <w:pPr>
              <w:spacing w:line="360" w:lineRule="auto"/>
              <w:ind w:firstLine="481"/>
              <w:rPr>
                <w:rFonts w:hint="default"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color w:val="000000"/>
                <w:sz w:val="24"/>
                <w:szCs w:val="24"/>
                <w:lang w:val="en-US" w:eastAsia="zh-CN"/>
              </w:rPr>
              <w:t>（7）</w:t>
            </w:r>
            <w:r>
              <w:rPr>
                <w:rFonts w:hint="default" w:ascii="Times New Roman" w:hAnsi="Times New Roman" w:eastAsia="宋体" w:cs="Times New Roman"/>
                <w:b w:val="0"/>
                <w:bCs/>
                <w:color w:val="000000"/>
                <w:sz w:val="24"/>
                <w:szCs w:val="24"/>
                <w:lang w:val="en-US" w:eastAsia="zh-CN"/>
              </w:rPr>
              <w:t>临时堆</w:t>
            </w:r>
            <w:r>
              <w:rPr>
                <w:rFonts w:hint="eastAsia" w:cs="Times New Roman"/>
                <w:b w:val="0"/>
                <w:bCs/>
                <w:color w:val="000000"/>
                <w:sz w:val="24"/>
                <w:szCs w:val="24"/>
                <w:lang w:val="en-US" w:eastAsia="zh-CN"/>
              </w:rPr>
              <w:t>土场</w:t>
            </w:r>
          </w:p>
          <w:p>
            <w:pPr>
              <w:spacing w:line="360" w:lineRule="auto"/>
              <w:ind w:firstLine="481"/>
              <w:jc w:val="both"/>
              <w:rPr>
                <w:rFonts w:hint="eastAsia" w:ascii="Times New Roman" w:hAnsi="Times New Roman" w:eastAsia="宋体" w:cs="Times New Roman"/>
                <w:sz w:val="24"/>
                <w:szCs w:val="24"/>
                <w:lang w:val="en-US" w:eastAsia="zh-CN"/>
              </w:rPr>
            </w:pPr>
            <w:bookmarkStart w:id="39" w:name="_Toc30707"/>
            <w:r>
              <w:rPr>
                <w:rFonts w:hint="eastAsia" w:ascii="Times New Roman" w:hAnsi="Times New Roman" w:eastAsia="宋体" w:cs="Times New Roman"/>
                <w:sz w:val="24"/>
                <w:szCs w:val="24"/>
                <w:lang w:val="en-US" w:eastAsia="zh-CN"/>
              </w:rPr>
              <w:t>根据本工程施工工艺，河道开挖未及时回填料可临时堆置于河道两侧。在工程</w:t>
            </w:r>
            <w:r>
              <w:rPr>
                <w:rFonts w:hint="eastAsia" w:cs="Times New Roman"/>
                <w:sz w:val="24"/>
                <w:szCs w:val="24"/>
                <w:lang w:val="en-US" w:eastAsia="zh-CN"/>
              </w:rPr>
              <w:t>上游</w:t>
            </w:r>
            <w:r>
              <w:rPr>
                <w:rFonts w:hint="eastAsia" w:ascii="Times New Roman" w:hAnsi="Times New Roman" w:eastAsia="宋体" w:cs="Times New Roman"/>
                <w:sz w:val="24"/>
                <w:szCs w:val="24"/>
                <w:lang w:val="en-US" w:eastAsia="zh-CN"/>
              </w:rPr>
              <w:t>平坦处设置一个</w:t>
            </w:r>
            <w:r>
              <w:rPr>
                <w:rFonts w:hint="eastAsia" w:cs="Times New Roman"/>
                <w:sz w:val="24"/>
                <w:szCs w:val="24"/>
                <w:lang w:val="en-US" w:eastAsia="zh-CN"/>
              </w:rPr>
              <w:t>临时堆土场</w:t>
            </w:r>
            <w:r>
              <w:rPr>
                <w:rFonts w:hint="eastAsia" w:ascii="Times New Roman" w:hAnsi="Times New Roman" w:eastAsia="宋体" w:cs="Times New Roman"/>
                <w:sz w:val="24"/>
                <w:szCs w:val="24"/>
                <w:lang w:val="en-US" w:eastAsia="zh-CN"/>
              </w:rPr>
              <w:t>，将未及时回覆的</w:t>
            </w:r>
            <w:r>
              <w:rPr>
                <w:rFonts w:hint="eastAsia" w:cs="Times New Roman"/>
                <w:sz w:val="24"/>
                <w:szCs w:val="24"/>
                <w:lang w:val="en-US" w:eastAsia="zh-CN"/>
              </w:rPr>
              <w:t>挖方</w:t>
            </w:r>
            <w:r>
              <w:rPr>
                <w:rFonts w:hint="eastAsia" w:ascii="Times New Roman" w:hAnsi="Times New Roman" w:eastAsia="宋体" w:cs="Times New Roman"/>
                <w:sz w:val="24"/>
                <w:szCs w:val="24"/>
                <w:lang w:val="en-US" w:eastAsia="zh-CN"/>
              </w:rPr>
              <w:t>临时堆放至此处。</w:t>
            </w:r>
          </w:p>
          <w:p>
            <w:pPr>
              <w:spacing w:line="360" w:lineRule="auto"/>
              <w:ind w:firstLine="481"/>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表2-12施工临时工程量汇总表</w:t>
            </w:r>
          </w:p>
          <w:tbl>
            <w:tblPr>
              <w:tblStyle w:val="30"/>
              <w:tblW w:w="4732" w:type="pct"/>
              <w:tblInd w:w="219" w:type="dxa"/>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
            <w:tblGrid>
              <w:gridCol w:w="813"/>
              <w:gridCol w:w="2349"/>
              <w:gridCol w:w="925"/>
              <w:gridCol w:w="800"/>
              <w:gridCol w:w="2826"/>
            </w:tblGrid>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0" w:type="dxa"/>
                  <w:bottom w:w="0" w:type="dxa"/>
                  <w:right w:w="0" w:type="dxa"/>
                </w:tblCellMar>
              </w:tblPrEx>
              <w:trPr>
                <w:trHeight w:val="284" w:hRule="atLeast"/>
              </w:trPr>
              <w:tc>
                <w:tcPr>
                  <w:tcW w:w="527" w:type="pct"/>
                  <w:tcBorders>
                    <w:bottom w:val="single" w:color="000000" w:sz="4" w:space="0"/>
                    <w:right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序号</w:t>
                  </w:r>
                </w:p>
              </w:tc>
              <w:tc>
                <w:tcPr>
                  <w:tcW w:w="1522" w:type="pct"/>
                  <w:tcBorders>
                    <w:left w:val="single" w:color="000000" w:sz="4" w:space="0"/>
                    <w:bottom w:val="single" w:color="000000" w:sz="4" w:space="0"/>
                    <w:right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工程或费用名称</w:t>
                  </w:r>
                </w:p>
              </w:tc>
              <w:tc>
                <w:tcPr>
                  <w:tcW w:w="599" w:type="pct"/>
                  <w:tcBorders>
                    <w:left w:val="single" w:color="000000" w:sz="4" w:space="0"/>
                    <w:bottom w:val="single" w:color="000000" w:sz="4" w:space="0"/>
                    <w:right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单位</w:t>
                  </w:r>
                </w:p>
              </w:tc>
              <w:tc>
                <w:tcPr>
                  <w:tcW w:w="518" w:type="pct"/>
                  <w:tcBorders>
                    <w:left w:val="single" w:color="000000" w:sz="4" w:space="0"/>
                    <w:bottom w:val="single" w:color="000000" w:sz="4" w:space="0"/>
                    <w:right w:val="single" w:color="auto"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数量</w:t>
                  </w:r>
                </w:p>
              </w:tc>
              <w:tc>
                <w:tcPr>
                  <w:tcW w:w="1831" w:type="pct"/>
                  <w:tcBorders>
                    <w:left w:val="single" w:color="auto" w:sz="4" w:space="0"/>
                    <w:bottom w:val="single" w:color="000000" w:sz="4" w:space="0"/>
                  </w:tcBorders>
                  <w:noWrap w:val="0"/>
                  <w:vAlign w:val="center"/>
                </w:tcPr>
                <w:p>
                  <w:pPr>
                    <w:widowControl/>
                    <w:ind w:firstLine="0" w:firstLineChars="0"/>
                    <w:jc w:val="center"/>
                    <w:rPr>
                      <w:rFonts w:hint="eastAsia"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备注</w:t>
                  </w: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0" w:type="dxa"/>
                  <w:bottom w:w="0" w:type="dxa"/>
                  <w:right w:w="0" w:type="dxa"/>
                </w:tblCellMar>
              </w:tblPrEx>
              <w:trPr>
                <w:trHeight w:val="284" w:hRule="atLeast"/>
              </w:trPr>
              <w:tc>
                <w:tcPr>
                  <w:tcW w:w="527" w:type="pct"/>
                  <w:tcBorders>
                    <w:top w:val="nil"/>
                    <w:bottom w:val="single" w:color="000000" w:sz="4" w:space="0"/>
                    <w:right w:val="single" w:color="000000" w:sz="4" w:space="0"/>
                  </w:tcBorders>
                  <w:noWrap w:val="0"/>
                  <w:vAlign w:val="center"/>
                </w:tcPr>
                <w:p>
                  <w:pPr>
                    <w:widowControl/>
                    <w:ind w:firstLine="0" w:firstLineChars="0"/>
                    <w:jc w:val="center"/>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一</w:t>
                  </w:r>
                </w:p>
              </w:tc>
              <w:tc>
                <w:tcPr>
                  <w:tcW w:w="1522" w:type="pct"/>
                  <w:tcBorders>
                    <w:top w:val="nil"/>
                    <w:left w:val="nil"/>
                    <w:bottom w:val="single" w:color="000000" w:sz="4" w:space="0"/>
                    <w:right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rPr>
                    <w:t>围堰工程</w:t>
                  </w:r>
                </w:p>
              </w:tc>
              <w:tc>
                <w:tcPr>
                  <w:tcW w:w="599" w:type="pct"/>
                  <w:tcBorders>
                    <w:top w:val="nil"/>
                    <w:left w:val="nil"/>
                    <w:bottom w:val="single" w:color="000000" w:sz="4" w:space="0"/>
                    <w:right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p>
              </w:tc>
              <w:tc>
                <w:tcPr>
                  <w:tcW w:w="518" w:type="pct"/>
                  <w:tcBorders>
                    <w:top w:val="nil"/>
                    <w:left w:val="nil"/>
                    <w:bottom w:val="single" w:color="000000" w:sz="4" w:space="0"/>
                    <w:right w:val="single" w:color="auto"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p>
              </w:tc>
              <w:tc>
                <w:tcPr>
                  <w:tcW w:w="1831" w:type="pct"/>
                  <w:tcBorders>
                    <w:top w:val="nil"/>
                    <w:left w:val="single" w:color="auto" w:sz="4" w:space="0"/>
                    <w:bottom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0" w:type="dxa"/>
                  <w:bottom w:w="0" w:type="dxa"/>
                  <w:right w:w="0" w:type="dxa"/>
                </w:tblCellMar>
              </w:tblPrEx>
              <w:trPr>
                <w:trHeight w:val="284" w:hRule="atLeast"/>
              </w:trPr>
              <w:tc>
                <w:tcPr>
                  <w:tcW w:w="527" w:type="pct"/>
                  <w:tcBorders>
                    <w:top w:val="nil"/>
                    <w:bottom w:val="single" w:color="000000" w:sz="4" w:space="0"/>
                    <w:right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rPr>
                    <w:t>1</w:t>
                  </w:r>
                </w:p>
              </w:tc>
              <w:tc>
                <w:tcPr>
                  <w:tcW w:w="1522" w:type="pct"/>
                  <w:tcBorders>
                    <w:top w:val="nil"/>
                    <w:left w:val="nil"/>
                    <w:bottom w:val="single" w:color="000000" w:sz="4" w:space="0"/>
                    <w:right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rPr>
                    <w:t>导流明渠开挖</w:t>
                  </w:r>
                </w:p>
              </w:tc>
              <w:tc>
                <w:tcPr>
                  <w:tcW w:w="599" w:type="pct"/>
                  <w:tcBorders>
                    <w:top w:val="nil"/>
                    <w:left w:val="nil"/>
                    <w:bottom w:val="single" w:color="000000" w:sz="4" w:space="0"/>
                    <w:right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rPr>
                    <w:t>m</w:t>
                  </w:r>
                  <w:r>
                    <w:rPr>
                      <w:rFonts w:hint="eastAsia" w:ascii="宋体" w:hAnsi="宋体" w:cs="宋体"/>
                      <w:color w:val="auto"/>
                      <w:kern w:val="0"/>
                      <w:sz w:val="20"/>
                      <w:szCs w:val="20"/>
                      <w:highlight w:val="none"/>
                      <w:vertAlign w:val="superscript"/>
                      <w:lang w:val="en-US" w:eastAsia="zh-CN"/>
                    </w:rPr>
                    <w:t>3</w:t>
                  </w:r>
                </w:p>
              </w:tc>
              <w:tc>
                <w:tcPr>
                  <w:tcW w:w="518" w:type="pct"/>
                  <w:tcBorders>
                    <w:top w:val="nil"/>
                    <w:left w:val="nil"/>
                    <w:bottom w:val="single" w:color="000000" w:sz="4" w:space="0"/>
                    <w:right w:val="single" w:color="auto"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rPr>
                    <w:t>131</w:t>
                  </w:r>
                </w:p>
              </w:tc>
              <w:tc>
                <w:tcPr>
                  <w:tcW w:w="1831" w:type="pct"/>
                  <w:tcBorders>
                    <w:top w:val="nil"/>
                    <w:left w:val="single" w:color="auto" w:sz="4" w:space="0"/>
                    <w:bottom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0" w:type="dxa"/>
                  <w:bottom w:w="0" w:type="dxa"/>
                  <w:right w:w="0" w:type="dxa"/>
                </w:tblCellMar>
              </w:tblPrEx>
              <w:trPr>
                <w:trHeight w:val="284" w:hRule="atLeast"/>
              </w:trPr>
              <w:tc>
                <w:tcPr>
                  <w:tcW w:w="527" w:type="pct"/>
                  <w:tcBorders>
                    <w:top w:val="nil"/>
                    <w:bottom w:val="single" w:color="000000" w:sz="4" w:space="0"/>
                    <w:right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rPr>
                    <w:t>2</w:t>
                  </w:r>
                </w:p>
              </w:tc>
              <w:tc>
                <w:tcPr>
                  <w:tcW w:w="1522" w:type="pct"/>
                  <w:tcBorders>
                    <w:top w:val="nil"/>
                    <w:left w:val="nil"/>
                    <w:bottom w:val="single" w:color="000000" w:sz="4" w:space="0"/>
                    <w:right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rPr>
                    <w:t>导流明渠回填</w:t>
                  </w:r>
                </w:p>
              </w:tc>
              <w:tc>
                <w:tcPr>
                  <w:tcW w:w="599" w:type="pct"/>
                  <w:tcBorders>
                    <w:top w:val="nil"/>
                    <w:left w:val="nil"/>
                    <w:bottom w:val="single" w:color="000000" w:sz="4" w:space="0"/>
                    <w:right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rPr>
                    <w:t>m</w:t>
                  </w:r>
                  <w:r>
                    <w:rPr>
                      <w:rFonts w:hint="eastAsia" w:ascii="宋体" w:hAnsi="宋体" w:cs="宋体"/>
                      <w:color w:val="auto"/>
                      <w:kern w:val="0"/>
                      <w:sz w:val="20"/>
                      <w:szCs w:val="20"/>
                      <w:highlight w:val="none"/>
                      <w:vertAlign w:val="superscript"/>
                      <w:lang w:val="en-US" w:eastAsia="zh-CN"/>
                    </w:rPr>
                    <w:t>3</w:t>
                  </w:r>
                </w:p>
              </w:tc>
              <w:tc>
                <w:tcPr>
                  <w:tcW w:w="518" w:type="pct"/>
                  <w:tcBorders>
                    <w:top w:val="nil"/>
                    <w:left w:val="nil"/>
                    <w:bottom w:val="single" w:color="000000" w:sz="4" w:space="0"/>
                    <w:right w:val="single" w:color="auto" w:sz="4" w:space="0"/>
                  </w:tcBorders>
                  <w:noWrap w:val="0"/>
                  <w:vAlign w:val="center"/>
                </w:tcPr>
                <w:p>
                  <w:pPr>
                    <w:widowControl/>
                    <w:ind w:firstLine="0" w:firstLineChars="0"/>
                    <w:jc w:val="center"/>
                    <w:rPr>
                      <w:rFonts w:hint="default" w:ascii="宋体" w:hAnsi="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131</w:t>
                  </w:r>
                </w:p>
              </w:tc>
              <w:tc>
                <w:tcPr>
                  <w:tcW w:w="1831" w:type="pct"/>
                  <w:tcBorders>
                    <w:top w:val="nil"/>
                    <w:left w:val="single" w:color="auto" w:sz="4" w:space="0"/>
                    <w:bottom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0" w:type="dxa"/>
                  <w:bottom w:w="0" w:type="dxa"/>
                  <w:right w:w="0" w:type="dxa"/>
                </w:tblCellMar>
              </w:tblPrEx>
              <w:trPr>
                <w:trHeight w:val="284" w:hRule="atLeast"/>
              </w:trPr>
              <w:tc>
                <w:tcPr>
                  <w:tcW w:w="527" w:type="pct"/>
                  <w:tcBorders>
                    <w:top w:val="nil"/>
                    <w:bottom w:val="single" w:color="000000" w:sz="4" w:space="0"/>
                    <w:right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rPr>
                    <w:t>3</w:t>
                  </w:r>
                </w:p>
              </w:tc>
              <w:tc>
                <w:tcPr>
                  <w:tcW w:w="1522" w:type="pct"/>
                  <w:tcBorders>
                    <w:top w:val="nil"/>
                    <w:left w:val="nil"/>
                    <w:bottom w:val="single" w:color="000000" w:sz="4" w:space="0"/>
                    <w:right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rPr>
                    <w:t>土石围堰</w:t>
                  </w:r>
                </w:p>
              </w:tc>
              <w:tc>
                <w:tcPr>
                  <w:tcW w:w="599" w:type="pct"/>
                  <w:tcBorders>
                    <w:top w:val="nil"/>
                    <w:left w:val="nil"/>
                    <w:bottom w:val="single" w:color="000000" w:sz="4" w:space="0"/>
                    <w:right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rPr>
                    <w:t>m</w:t>
                  </w:r>
                  <w:r>
                    <w:rPr>
                      <w:rFonts w:hint="eastAsia" w:ascii="宋体" w:hAnsi="宋体" w:cs="宋体"/>
                      <w:color w:val="auto"/>
                      <w:kern w:val="0"/>
                      <w:sz w:val="20"/>
                      <w:szCs w:val="20"/>
                      <w:highlight w:val="none"/>
                      <w:vertAlign w:val="superscript"/>
                      <w:lang w:val="en-US" w:eastAsia="zh-CN"/>
                    </w:rPr>
                    <w:t>3</w:t>
                  </w:r>
                </w:p>
              </w:tc>
              <w:tc>
                <w:tcPr>
                  <w:tcW w:w="518" w:type="pct"/>
                  <w:tcBorders>
                    <w:top w:val="nil"/>
                    <w:left w:val="nil"/>
                    <w:bottom w:val="single" w:color="000000" w:sz="4" w:space="0"/>
                    <w:right w:val="single" w:color="auto" w:sz="4" w:space="0"/>
                  </w:tcBorders>
                  <w:noWrap w:val="0"/>
                  <w:vAlign w:val="center"/>
                </w:tcPr>
                <w:p>
                  <w:pPr>
                    <w:widowControl/>
                    <w:ind w:firstLine="0" w:firstLineChars="0"/>
                    <w:jc w:val="center"/>
                    <w:rPr>
                      <w:rFonts w:hint="default" w:ascii="宋体" w:hAnsi="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8</w:t>
                  </w:r>
                </w:p>
              </w:tc>
              <w:tc>
                <w:tcPr>
                  <w:tcW w:w="1831" w:type="pct"/>
                  <w:tcBorders>
                    <w:top w:val="nil"/>
                    <w:left w:val="single" w:color="auto" w:sz="4" w:space="0"/>
                    <w:bottom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0" w:type="dxa"/>
                  <w:bottom w:w="0" w:type="dxa"/>
                  <w:right w:w="0" w:type="dxa"/>
                </w:tblCellMar>
              </w:tblPrEx>
              <w:trPr>
                <w:trHeight w:val="284" w:hRule="atLeast"/>
              </w:trPr>
              <w:tc>
                <w:tcPr>
                  <w:tcW w:w="527" w:type="pct"/>
                  <w:tcBorders>
                    <w:top w:val="nil"/>
                    <w:bottom w:val="single" w:color="000000" w:sz="4" w:space="0"/>
                    <w:right w:val="single" w:color="000000" w:sz="4" w:space="0"/>
                  </w:tcBorders>
                  <w:noWrap w:val="0"/>
                  <w:vAlign w:val="center"/>
                </w:tcPr>
                <w:p>
                  <w:pPr>
                    <w:widowControl/>
                    <w:ind w:firstLine="0" w:firstLineChars="0"/>
                    <w:jc w:val="center"/>
                    <w:rPr>
                      <w:rFonts w:hint="eastAsia"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二</w:t>
                  </w:r>
                </w:p>
              </w:tc>
              <w:tc>
                <w:tcPr>
                  <w:tcW w:w="1522" w:type="pct"/>
                  <w:tcBorders>
                    <w:top w:val="nil"/>
                    <w:left w:val="nil"/>
                    <w:bottom w:val="single" w:color="000000" w:sz="4" w:space="0"/>
                    <w:right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rPr>
                    <w:t>交通工程</w:t>
                  </w:r>
                </w:p>
              </w:tc>
              <w:tc>
                <w:tcPr>
                  <w:tcW w:w="599" w:type="pct"/>
                  <w:tcBorders>
                    <w:top w:val="nil"/>
                    <w:left w:val="nil"/>
                    <w:bottom w:val="single" w:color="000000" w:sz="4" w:space="0"/>
                    <w:right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p>
              </w:tc>
              <w:tc>
                <w:tcPr>
                  <w:tcW w:w="518" w:type="pct"/>
                  <w:tcBorders>
                    <w:top w:val="nil"/>
                    <w:left w:val="nil"/>
                    <w:bottom w:val="single" w:color="000000" w:sz="4" w:space="0"/>
                    <w:right w:val="single" w:color="auto"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p>
              </w:tc>
              <w:tc>
                <w:tcPr>
                  <w:tcW w:w="1831" w:type="pct"/>
                  <w:tcBorders>
                    <w:top w:val="nil"/>
                    <w:left w:val="single" w:color="auto" w:sz="4" w:space="0"/>
                    <w:bottom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0" w:type="dxa"/>
                  <w:bottom w:w="0" w:type="dxa"/>
                  <w:right w:w="0" w:type="dxa"/>
                </w:tblCellMar>
              </w:tblPrEx>
              <w:trPr>
                <w:trHeight w:val="284" w:hRule="atLeast"/>
              </w:trPr>
              <w:tc>
                <w:tcPr>
                  <w:tcW w:w="527" w:type="pct"/>
                  <w:tcBorders>
                    <w:top w:val="nil"/>
                    <w:bottom w:val="single" w:color="000000" w:sz="4" w:space="0"/>
                    <w:right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rPr>
                    <w:t>1</w:t>
                  </w:r>
                </w:p>
              </w:tc>
              <w:tc>
                <w:tcPr>
                  <w:tcW w:w="1522" w:type="pct"/>
                  <w:tcBorders>
                    <w:top w:val="nil"/>
                    <w:left w:val="nil"/>
                    <w:bottom w:val="single" w:color="000000" w:sz="4" w:space="0"/>
                    <w:right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rPr>
                    <w:t>临时道路</w:t>
                  </w:r>
                </w:p>
              </w:tc>
              <w:tc>
                <w:tcPr>
                  <w:tcW w:w="599" w:type="pct"/>
                  <w:tcBorders>
                    <w:top w:val="nil"/>
                    <w:left w:val="nil"/>
                    <w:bottom w:val="single" w:color="000000" w:sz="4" w:space="0"/>
                    <w:right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rPr>
                    <w:t>km</w:t>
                  </w:r>
                </w:p>
              </w:tc>
              <w:tc>
                <w:tcPr>
                  <w:tcW w:w="518" w:type="pct"/>
                  <w:tcBorders>
                    <w:top w:val="nil"/>
                    <w:left w:val="nil"/>
                    <w:bottom w:val="single" w:color="000000" w:sz="4" w:space="0"/>
                    <w:right w:val="single" w:color="auto" w:sz="4" w:space="0"/>
                  </w:tcBorders>
                  <w:noWrap w:val="0"/>
                  <w:vAlign w:val="center"/>
                </w:tcPr>
                <w:p>
                  <w:pPr>
                    <w:widowControl/>
                    <w:ind w:firstLine="0" w:firstLineChars="0"/>
                    <w:jc w:val="center"/>
                    <w:rPr>
                      <w:rFonts w:hint="default" w:ascii="宋体" w:hAnsi="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0.2</w:t>
                  </w:r>
                </w:p>
              </w:tc>
              <w:tc>
                <w:tcPr>
                  <w:tcW w:w="1831" w:type="pct"/>
                  <w:tcBorders>
                    <w:top w:val="nil"/>
                    <w:left w:val="single" w:color="auto" w:sz="4" w:space="0"/>
                    <w:bottom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泥结石路面，4.5m宽20cm厚</w:t>
                  </w: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0" w:type="dxa"/>
                  <w:bottom w:w="0" w:type="dxa"/>
                  <w:right w:w="0" w:type="dxa"/>
                </w:tblCellMar>
              </w:tblPrEx>
              <w:trPr>
                <w:trHeight w:val="284" w:hRule="atLeast"/>
              </w:trPr>
              <w:tc>
                <w:tcPr>
                  <w:tcW w:w="527" w:type="pct"/>
                  <w:tcBorders>
                    <w:top w:val="nil"/>
                    <w:bottom w:val="single" w:color="000000" w:sz="4" w:space="0"/>
                    <w:right w:val="single" w:color="000000" w:sz="4" w:space="0"/>
                  </w:tcBorders>
                  <w:noWrap w:val="0"/>
                  <w:vAlign w:val="center"/>
                </w:tcPr>
                <w:p>
                  <w:pPr>
                    <w:widowControl/>
                    <w:ind w:firstLine="0" w:firstLineChars="0"/>
                    <w:jc w:val="center"/>
                    <w:rPr>
                      <w:rFonts w:hint="eastAsia"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三</w:t>
                  </w:r>
                </w:p>
              </w:tc>
              <w:tc>
                <w:tcPr>
                  <w:tcW w:w="1522" w:type="pct"/>
                  <w:tcBorders>
                    <w:top w:val="nil"/>
                    <w:left w:val="nil"/>
                    <w:bottom w:val="single" w:color="000000" w:sz="4" w:space="0"/>
                    <w:right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rPr>
                    <w:t>房屋建筑工程</w:t>
                  </w:r>
                </w:p>
              </w:tc>
              <w:tc>
                <w:tcPr>
                  <w:tcW w:w="599" w:type="pct"/>
                  <w:tcBorders>
                    <w:top w:val="nil"/>
                    <w:left w:val="nil"/>
                    <w:bottom w:val="single" w:color="000000" w:sz="4" w:space="0"/>
                    <w:right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p>
              </w:tc>
              <w:tc>
                <w:tcPr>
                  <w:tcW w:w="518" w:type="pct"/>
                  <w:tcBorders>
                    <w:top w:val="nil"/>
                    <w:left w:val="nil"/>
                    <w:bottom w:val="single" w:color="000000" w:sz="4" w:space="0"/>
                    <w:right w:val="single" w:color="auto"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p>
              </w:tc>
              <w:tc>
                <w:tcPr>
                  <w:tcW w:w="1831" w:type="pct"/>
                  <w:tcBorders>
                    <w:top w:val="nil"/>
                    <w:left w:val="single" w:color="auto" w:sz="4" w:space="0"/>
                    <w:bottom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0" w:type="dxa"/>
                  <w:bottom w:w="0" w:type="dxa"/>
                  <w:right w:w="0" w:type="dxa"/>
                </w:tblCellMar>
              </w:tblPrEx>
              <w:trPr>
                <w:trHeight w:val="284" w:hRule="atLeast"/>
              </w:trPr>
              <w:tc>
                <w:tcPr>
                  <w:tcW w:w="527" w:type="pct"/>
                  <w:tcBorders>
                    <w:top w:val="nil"/>
                    <w:bottom w:val="single" w:color="000000" w:sz="4" w:space="0"/>
                    <w:right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rPr>
                    <w:t>1</w:t>
                  </w:r>
                </w:p>
              </w:tc>
              <w:tc>
                <w:tcPr>
                  <w:tcW w:w="1522" w:type="pct"/>
                  <w:tcBorders>
                    <w:top w:val="nil"/>
                    <w:left w:val="nil"/>
                    <w:bottom w:val="single" w:color="000000" w:sz="4" w:space="0"/>
                    <w:right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rPr>
                    <w:t>仓库</w:t>
                  </w:r>
                </w:p>
              </w:tc>
              <w:tc>
                <w:tcPr>
                  <w:tcW w:w="599" w:type="pct"/>
                  <w:tcBorders>
                    <w:top w:val="nil"/>
                    <w:left w:val="nil"/>
                    <w:bottom w:val="single" w:color="000000" w:sz="4" w:space="0"/>
                    <w:right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rPr>
                    <w:t>m</w:t>
                  </w:r>
                  <w:r>
                    <w:rPr>
                      <w:rFonts w:hint="eastAsia" w:ascii="宋体" w:hAnsi="宋体" w:cs="宋体"/>
                      <w:color w:val="auto"/>
                      <w:kern w:val="0"/>
                      <w:sz w:val="20"/>
                      <w:szCs w:val="20"/>
                      <w:highlight w:val="none"/>
                      <w:vertAlign w:val="superscript"/>
                      <w:lang w:val="en-US" w:eastAsia="zh-CN"/>
                    </w:rPr>
                    <w:t>2</w:t>
                  </w:r>
                </w:p>
              </w:tc>
              <w:tc>
                <w:tcPr>
                  <w:tcW w:w="518" w:type="pct"/>
                  <w:tcBorders>
                    <w:top w:val="nil"/>
                    <w:left w:val="nil"/>
                    <w:bottom w:val="single" w:color="000000" w:sz="4" w:space="0"/>
                    <w:right w:val="single" w:color="auto"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rPr>
                    <w:t>200</w:t>
                  </w:r>
                </w:p>
              </w:tc>
              <w:tc>
                <w:tcPr>
                  <w:tcW w:w="1831" w:type="pct"/>
                  <w:tcBorders>
                    <w:top w:val="nil"/>
                    <w:left w:val="single" w:color="auto" w:sz="4" w:space="0"/>
                    <w:bottom w:val="single" w:color="000000" w:sz="4" w:space="0"/>
                  </w:tcBorders>
                  <w:noWrap w:val="0"/>
                  <w:vAlign w:val="center"/>
                </w:tcPr>
                <w:p>
                  <w:pPr>
                    <w:widowControl/>
                    <w:ind w:firstLine="0" w:firstLineChars="0"/>
                    <w:jc w:val="center"/>
                    <w:rPr>
                      <w:rFonts w:hint="default" w:ascii="宋体" w:hAnsi="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租用</w:t>
                  </w: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0" w:type="dxa"/>
                  <w:bottom w:w="0" w:type="dxa"/>
                  <w:right w:w="0" w:type="dxa"/>
                </w:tblCellMar>
              </w:tblPrEx>
              <w:trPr>
                <w:trHeight w:val="284" w:hRule="atLeast"/>
              </w:trPr>
              <w:tc>
                <w:tcPr>
                  <w:tcW w:w="527" w:type="pct"/>
                  <w:tcBorders>
                    <w:top w:val="nil"/>
                    <w:right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rPr>
                    <w:t>2</w:t>
                  </w:r>
                </w:p>
              </w:tc>
              <w:tc>
                <w:tcPr>
                  <w:tcW w:w="1522" w:type="pct"/>
                  <w:tcBorders>
                    <w:top w:val="nil"/>
                    <w:left w:val="nil"/>
                    <w:right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rPr>
                    <w:t>办公及生活福利用房</w:t>
                  </w:r>
                </w:p>
              </w:tc>
              <w:tc>
                <w:tcPr>
                  <w:tcW w:w="599" w:type="pct"/>
                  <w:tcBorders>
                    <w:top w:val="nil"/>
                    <w:left w:val="nil"/>
                    <w:right w:val="single" w:color="000000"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rPr>
                    <w:t>m</w:t>
                  </w:r>
                  <w:r>
                    <w:rPr>
                      <w:rFonts w:hint="eastAsia" w:ascii="宋体" w:hAnsi="宋体" w:cs="宋体"/>
                      <w:color w:val="auto"/>
                      <w:kern w:val="0"/>
                      <w:sz w:val="20"/>
                      <w:szCs w:val="20"/>
                      <w:highlight w:val="none"/>
                      <w:vertAlign w:val="superscript"/>
                      <w:lang w:val="en-US" w:eastAsia="zh-CN"/>
                    </w:rPr>
                    <w:t>2</w:t>
                  </w:r>
                </w:p>
              </w:tc>
              <w:tc>
                <w:tcPr>
                  <w:tcW w:w="518" w:type="pct"/>
                  <w:tcBorders>
                    <w:top w:val="nil"/>
                    <w:left w:val="nil"/>
                    <w:right w:val="single" w:color="auto" w:sz="4" w:space="0"/>
                  </w:tcBorders>
                  <w:noWrap w:val="0"/>
                  <w:vAlign w:val="center"/>
                </w:tcPr>
                <w:p>
                  <w:pPr>
                    <w:widowControl/>
                    <w:ind w:firstLine="0" w:firstLineChars="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rPr>
                    <w:t>200</w:t>
                  </w:r>
                </w:p>
              </w:tc>
              <w:tc>
                <w:tcPr>
                  <w:tcW w:w="1831" w:type="pct"/>
                  <w:tcBorders>
                    <w:top w:val="nil"/>
                    <w:left w:val="single" w:color="auto" w:sz="4" w:space="0"/>
                  </w:tcBorders>
                  <w:noWrap w:val="0"/>
                  <w:vAlign w:val="center"/>
                </w:tcPr>
                <w:p>
                  <w:pPr>
                    <w:widowControl/>
                    <w:ind w:firstLine="0" w:firstLineChars="0"/>
                    <w:jc w:val="center"/>
                    <w:rPr>
                      <w:rFonts w:hint="default" w:ascii="宋体" w:hAnsi="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租用</w:t>
                  </w:r>
                </w:p>
              </w:tc>
            </w:tr>
          </w:tbl>
          <w:p>
            <w:pPr>
              <w:spacing w:line="360" w:lineRule="auto"/>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3、主要施工方法及施工工艺</w:t>
            </w:r>
            <w:bookmarkEnd w:id="39"/>
          </w:p>
          <w:p>
            <w:pPr>
              <w:spacing w:line="360" w:lineRule="auto"/>
              <w:ind w:firstLine="482"/>
              <w:jc w:val="left"/>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本项目堤防工程施工工艺过程及流程见图5-1。</w:t>
            </w:r>
          </w:p>
          <w:p>
            <w:pPr>
              <w:jc w:val="center"/>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mc:AlternateContent>
                <mc:Choice Requires="wpc">
                  <w:drawing>
                    <wp:inline distT="0" distB="0" distL="114300" distR="114300">
                      <wp:extent cx="5426075" cy="2139315"/>
                      <wp:effectExtent l="0" t="0" r="0" b="12700"/>
                      <wp:docPr id="30" name="画布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矩形 10"/>
                              <wps:cNvSpPr/>
                              <wps:spPr>
                                <a:xfrm>
                                  <a:off x="1195337" y="134289"/>
                                  <a:ext cx="685515" cy="2965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spacing w:val="-16"/>
                                        <w:szCs w:val="21"/>
                                      </w:rPr>
                                    </w:pPr>
                                    <w:r>
                                      <w:rPr>
                                        <w:rFonts w:hint="eastAsia" w:ascii="宋体" w:hAnsi="宋体"/>
                                        <w:spacing w:val="-16"/>
                                        <w:szCs w:val="21"/>
                                      </w:rPr>
                                      <w:t>材料运输</w:t>
                                    </w:r>
                                  </w:p>
                                </w:txbxContent>
                              </wps:txbx>
                              <wps:bodyPr vert="horz" wrap="square" anchor="t" anchorCtr="0" upright="1"/>
                            </wps:wsp>
                            <wps:wsp>
                              <wps:cNvPr id="2" name="直线 11"/>
                              <wps:cNvCnPr/>
                              <wps:spPr>
                                <a:xfrm flipV="1">
                                  <a:off x="1816535" y="777792"/>
                                  <a:ext cx="249421" cy="3105"/>
                                </a:xfrm>
                                <a:prstGeom prst="line">
                                  <a:avLst/>
                                </a:prstGeom>
                                <a:ln w="9525" cap="flat" cmpd="sng">
                                  <a:solidFill>
                                    <a:srgbClr val="000000"/>
                                  </a:solidFill>
                                  <a:prstDash val="solid"/>
                                  <a:headEnd type="none" w="med" len="med"/>
                                  <a:tailEnd type="triangle" w="med" len="med"/>
                                </a:ln>
                              </wps:spPr>
                              <wps:bodyPr upright="1"/>
                            </wps:wsp>
                            <wps:wsp>
                              <wps:cNvPr id="3" name="直线 12"/>
                              <wps:cNvCnPr/>
                              <wps:spPr>
                                <a:xfrm>
                                  <a:off x="2623623" y="777792"/>
                                  <a:ext cx="195301" cy="3105"/>
                                </a:xfrm>
                                <a:prstGeom prst="line">
                                  <a:avLst/>
                                </a:prstGeom>
                                <a:ln w="9525" cap="flat" cmpd="sng">
                                  <a:solidFill>
                                    <a:srgbClr val="000000"/>
                                  </a:solidFill>
                                  <a:prstDash val="solid"/>
                                  <a:headEnd type="none" w="med" len="med"/>
                                  <a:tailEnd type="triangle" w="med" len="med"/>
                                </a:ln>
                              </wps:spPr>
                              <wps:bodyPr upright="1"/>
                            </wps:wsp>
                            <wps:wsp>
                              <wps:cNvPr id="4" name="直线 13"/>
                              <wps:cNvCnPr/>
                              <wps:spPr>
                                <a:xfrm flipV="1">
                                  <a:off x="4354664" y="825142"/>
                                  <a:ext cx="138828" cy="3881"/>
                                </a:xfrm>
                                <a:prstGeom prst="line">
                                  <a:avLst/>
                                </a:prstGeom>
                                <a:ln w="9525" cap="flat" cmpd="sng">
                                  <a:solidFill>
                                    <a:srgbClr val="000000"/>
                                  </a:solidFill>
                                  <a:prstDash val="solid"/>
                                  <a:headEnd type="none" w="med" len="med"/>
                                  <a:tailEnd type="triangle" w="med" len="med"/>
                                </a:ln>
                              </wps:spPr>
                              <wps:bodyPr upright="1"/>
                            </wps:wsp>
                            <wps:wsp>
                              <wps:cNvPr id="5" name="矩形 14"/>
                              <wps:cNvSpPr/>
                              <wps:spPr>
                                <a:xfrm>
                                  <a:off x="3742878" y="584508"/>
                                  <a:ext cx="611786" cy="4929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Cs/>
                                        <w:color w:val="000000"/>
                                      </w:rPr>
                                    </w:pPr>
                                    <w:r>
                                      <w:rPr>
                                        <w:rFonts w:hint="eastAsia"/>
                                        <w:bCs/>
                                        <w:color w:val="000000"/>
                                      </w:rPr>
                                      <w:t>土石方</w:t>
                                    </w:r>
                                  </w:p>
                                  <w:p>
                                    <w:pPr>
                                      <w:ind w:firstLine="89" w:firstLineChars="50"/>
                                      <w:rPr>
                                        <w:rFonts w:ascii="宋体" w:hAnsi="宋体"/>
                                        <w:spacing w:val="-16"/>
                                        <w:szCs w:val="21"/>
                                      </w:rPr>
                                    </w:pPr>
                                    <w:r>
                                      <w:rPr>
                                        <w:rFonts w:hint="eastAsia" w:ascii="宋体" w:hAnsi="宋体"/>
                                        <w:spacing w:val="-16"/>
                                        <w:szCs w:val="21"/>
                                      </w:rPr>
                                      <w:t>回填</w:t>
                                    </w:r>
                                  </w:p>
                                </w:txbxContent>
                              </wps:txbx>
                              <wps:bodyPr vert="horz" wrap="square" anchor="t" anchorCtr="0" upright="1"/>
                            </wps:wsp>
                            <wps:wsp>
                              <wps:cNvPr id="6" name="矩形 15"/>
                              <wps:cNvSpPr/>
                              <wps:spPr>
                                <a:xfrm>
                                  <a:off x="4476237" y="553458"/>
                                  <a:ext cx="738065" cy="5006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堤顶施工</w:t>
                                    </w:r>
                                  </w:p>
                                </w:txbxContent>
                              </wps:txbx>
                              <wps:bodyPr vert="horz" wrap="square" anchor="t" anchorCtr="0" upright="1"/>
                            </wps:wsp>
                            <wps:wsp>
                              <wps:cNvPr id="7" name="直线 16"/>
                              <wps:cNvCnPr/>
                              <wps:spPr>
                                <a:xfrm flipH="1">
                                  <a:off x="1394559" y="430813"/>
                                  <a:ext cx="784" cy="205703"/>
                                </a:xfrm>
                                <a:prstGeom prst="line">
                                  <a:avLst/>
                                </a:prstGeom>
                                <a:ln w="9525" cap="flat" cmpd="sng">
                                  <a:solidFill>
                                    <a:srgbClr val="000000"/>
                                  </a:solidFill>
                                  <a:prstDash val="solid"/>
                                  <a:headEnd type="none" w="med" len="med"/>
                                  <a:tailEnd type="triangle" w="med" len="med"/>
                                </a:ln>
                              </wps:spPr>
                              <wps:bodyPr upright="1"/>
                            </wps:wsp>
                            <wps:wsp>
                              <wps:cNvPr id="8" name="直线 17"/>
                              <wps:cNvCnPr/>
                              <wps:spPr>
                                <a:xfrm>
                                  <a:off x="1906734" y="279446"/>
                                  <a:ext cx="2938144" cy="776"/>
                                </a:xfrm>
                                <a:prstGeom prst="line">
                                  <a:avLst/>
                                </a:prstGeom>
                                <a:ln w="9525" cap="flat" cmpd="sng">
                                  <a:solidFill>
                                    <a:srgbClr val="000000"/>
                                  </a:solidFill>
                                  <a:prstDash val="solid"/>
                                  <a:headEnd type="none" w="med" len="med"/>
                                  <a:tailEnd type="none" w="med" len="med"/>
                                </a:ln>
                              </wps:spPr>
                              <wps:bodyPr upright="1"/>
                            </wps:wsp>
                            <wps:wsp>
                              <wps:cNvPr id="9" name="直线 18"/>
                              <wps:cNvCnPr/>
                              <wps:spPr>
                                <a:xfrm>
                                  <a:off x="2299689" y="281775"/>
                                  <a:ext cx="0" cy="321363"/>
                                </a:xfrm>
                                <a:prstGeom prst="line">
                                  <a:avLst/>
                                </a:prstGeom>
                                <a:ln w="9525" cap="flat" cmpd="sng">
                                  <a:solidFill>
                                    <a:srgbClr val="000000"/>
                                  </a:solidFill>
                                  <a:prstDash val="solid"/>
                                  <a:headEnd type="none" w="med" len="med"/>
                                  <a:tailEnd type="triangle" w="med" len="med"/>
                                </a:ln>
                              </wps:spPr>
                              <wps:bodyPr upright="1"/>
                            </wps:wsp>
                            <wps:wsp>
                              <wps:cNvPr id="10" name="直线 19"/>
                              <wps:cNvCnPr/>
                              <wps:spPr>
                                <a:xfrm>
                                  <a:off x="4037790" y="276341"/>
                                  <a:ext cx="784" cy="297300"/>
                                </a:xfrm>
                                <a:prstGeom prst="line">
                                  <a:avLst/>
                                </a:prstGeom>
                                <a:ln w="9525" cap="flat" cmpd="sng">
                                  <a:solidFill>
                                    <a:srgbClr val="000000"/>
                                  </a:solidFill>
                                  <a:prstDash val="solid"/>
                                  <a:headEnd type="none" w="med" len="med"/>
                                  <a:tailEnd type="triangle" w="med" len="med"/>
                                </a:ln>
                              </wps:spPr>
                              <wps:bodyPr upright="1"/>
                            </wps:wsp>
                            <wps:wsp>
                              <wps:cNvPr id="11" name="直线 20"/>
                              <wps:cNvCnPr/>
                              <wps:spPr>
                                <a:xfrm>
                                  <a:off x="4844094" y="278670"/>
                                  <a:ext cx="784" cy="297300"/>
                                </a:xfrm>
                                <a:prstGeom prst="line">
                                  <a:avLst/>
                                </a:prstGeom>
                                <a:ln w="9525" cap="flat" cmpd="sng">
                                  <a:solidFill>
                                    <a:srgbClr val="000000"/>
                                  </a:solidFill>
                                  <a:prstDash val="solid"/>
                                  <a:headEnd type="none" w="med" len="med"/>
                                  <a:tailEnd type="triangle" w="med" len="med"/>
                                </a:ln>
                              </wps:spPr>
                              <wps:bodyPr upright="1"/>
                            </wps:wsp>
                            <wps:wsp>
                              <wps:cNvPr id="12" name="直线 21"/>
                              <wps:cNvCnPr/>
                              <wps:spPr>
                                <a:xfrm>
                                  <a:off x="4863702" y="1072762"/>
                                  <a:ext cx="784" cy="728889"/>
                                </a:xfrm>
                                <a:prstGeom prst="line">
                                  <a:avLst/>
                                </a:prstGeom>
                                <a:ln w="9525" cap="flat" cmpd="sng">
                                  <a:solidFill>
                                    <a:srgbClr val="000000"/>
                                  </a:solidFill>
                                  <a:prstDash val="solid"/>
                                  <a:headEnd type="none" w="med" len="med"/>
                                  <a:tailEnd type="triangle" w="med" len="med"/>
                                </a:ln>
                              </wps:spPr>
                              <wps:bodyPr upright="1"/>
                            </wps:wsp>
                            <wps:wsp>
                              <wps:cNvPr id="13" name="矩形 22"/>
                              <wps:cNvSpPr/>
                              <wps:spPr>
                                <a:xfrm>
                                  <a:off x="1245534" y="1408098"/>
                                  <a:ext cx="2570287" cy="295747"/>
                                </a:xfrm>
                                <a:prstGeom prst="rect">
                                  <a:avLst/>
                                </a:prstGeom>
                                <a:solidFill>
                                  <a:srgbClr val="FFFFFF">
                                    <a:alpha val="0"/>
                                  </a:srgbClr>
                                </a:solidFill>
                                <a:ln w="12700">
                                  <a:noFill/>
                                </a:ln>
                              </wps:spPr>
                              <wps:txbx>
                                <w:txbxContent>
                                  <w:p>
                                    <w:pPr>
                                      <w:ind w:firstLine="267" w:firstLineChars="150"/>
                                      <w:rPr>
                                        <w:rFonts w:hint="eastAsia" w:ascii="宋体" w:hAnsi="宋体"/>
                                        <w:spacing w:val="-16"/>
                                        <w:szCs w:val="21"/>
                                      </w:rPr>
                                    </w:pPr>
                                    <w:r>
                                      <w:rPr>
                                        <w:rFonts w:hint="eastAsia" w:ascii="宋体" w:hAnsi="宋体"/>
                                        <w:spacing w:val="-16"/>
                                        <w:szCs w:val="21"/>
                                      </w:rPr>
                                      <w:t>噪 声、粉 尘、弃 土 方、水 土 流 失</w:t>
                                    </w:r>
                                  </w:p>
                                </w:txbxContent>
                              </wps:txbx>
                              <wps:bodyPr vert="horz" wrap="square" anchor="t" anchorCtr="0" upright="1"/>
                            </wps:wsp>
                            <wps:wsp>
                              <wps:cNvPr id="14" name="直线 23"/>
                              <wps:cNvCnPr/>
                              <wps:spPr>
                                <a:xfrm>
                                  <a:off x="1686334" y="978838"/>
                                  <a:ext cx="209419" cy="427708"/>
                                </a:xfrm>
                                <a:prstGeom prst="line">
                                  <a:avLst/>
                                </a:prstGeom>
                                <a:ln w="9525" cap="flat" cmpd="sng">
                                  <a:solidFill>
                                    <a:srgbClr val="000000"/>
                                  </a:solidFill>
                                  <a:prstDash val="dash"/>
                                  <a:headEnd type="none" w="med" len="med"/>
                                  <a:tailEnd type="triangle" w="med" len="med"/>
                                </a:ln>
                              </wps:spPr>
                              <wps:bodyPr upright="1"/>
                            </wps:wsp>
                            <wps:wsp>
                              <wps:cNvPr id="15" name="直线 24"/>
                              <wps:cNvCnPr/>
                              <wps:spPr>
                                <a:xfrm>
                                  <a:off x="2299689" y="944683"/>
                                  <a:ext cx="784" cy="458757"/>
                                </a:xfrm>
                                <a:prstGeom prst="line">
                                  <a:avLst/>
                                </a:prstGeom>
                                <a:ln w="9525" cap="flat" cmpd="sng">
                                  <a:solidFill>
                                    <a:srgbClr val="000000"/>
                                  </a:solidFill>
                                  <a:prstDash val="dash"/>
                                  <a:headEnd type="none" w="med" len="med"/>
                                  <a:tailEnd type="triangle" w="med" len="med"/>
                                </a:ln>
                              </wps:spPr>
                              <wps:bodyPr upright="1"/>
                            </wps:wsp>
                            <wps:wsp>
                              <wps:cNvPr id="16" name="直线 25"/>
                              <wps:cNvCnPr/>
                              <wps:spPr>
                                <a:xfrm flipH="1">
                                  <a:off x="3381297" y="1077420"/>
                                  <a:ext cx="548255" cy="329125"/>
                                </a:xfrm>
                                <a:prstGeom prst="line">
                                  <a:avLst/>
                                </a:prstGeom>
                                <a:ln w="9525" cap="flat" cmpd="sng">
                                  <a:solidFill>
                                    <a:srgbClr val="000000"/>
                                  </a:solidFill>
                                  <a:prstDash val="dash"/>
                                  <a:headEnd type="none" w="med" len="med"/>
                                  <a:tailEnd type="triangle" w="med" len="med"/>
                                </a:ln>
                              </wps:spPr>
                              <wps:bodyPr upright="1"/>
                            </wps:wsp>
                            <wps:wsp>
                              <wps:cNvPr id="17" name="直线 26"/>
                              <wps:cNvCnPr/>
                              <wps:spPr>
                                <a:xfrm flipH="1">
                                  <a:off x="3610324" y="1109246"/>
                                  <a:ext cx="937288" cy="297300"/>
                                </a:xfrm>
                                <a:prstGeom prst="line">
                                  <a:avLst/>
                                </a:prstGeom>
                                <a:ln w="9525" cap="flat" cmpd="sng">
                                  <a:solidFill>
                                    <a:srgbClr val="000000"/>
                                  </a:solidFill>
                                  <a:prstDash val="dash"/>
                                  <a:headEnd type="none" w="med" len="med"/>
                                  <a:tailEnd type="triangle" w="med" len="med"/>
                                </a:ln>
                              </wps:spPr>
                              <wps:bodyPr upright="1"/>
                            </wps:wsp>
                            <wps:wsp>
                              <wps:cNvPr id="18" name="矩形 27"/>
                              <wps:cNvSpPr/>
                              <wps:spPr>
                                <a:xfrm>
                                  <a:off x="174908" y="647383"/>
                                  <a:ext cx="654925" cy="3104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spacing w:val="-16"/>
                                        <w:szCs w:val="21"/>
                                        <w:lang w:eastAsia="zh-CN"/>
                                      </w:rPr>
                                    </w:pPr>
                                    <w:r>
                                      <w:rPr>
                                        <w:rFonts w:hint="eastAsia" w:ascii="宋体" w:hAnsi="宋体"/>
                                        <w:spacing w:val="-16"/>
                                        <w:szCs w:val="21"/>
                                      </w:rPr>
                                      <w:t>施工</w:t>
                                    </w:r>
                                    <w:r>
                                      <w:rPr>
                                        <w:rFonts w:hint="eastAsia" w:ascii="宋体" w:hAnsi="宋体"/>
                                        <w:spacing w:val="-16"/>
                                        <w:szCs w:val="21"/>
                                        <w:lang w:eastAsia="zh-CN"/>
                                      </w:rPr>
                                      <w:t>准备</w:t>
                                    </w:r>
                                  </w:p>
                                </w:txbxContent>
                              </wps:txbx>
                              <wps:bodyPr vert="horz" wrap="square" anchor="t" anchorCtr="0" upright="1"/>
                            </wps:wsp>
                            <wps:wsp>
                              <wps:cNvPr id="19" name="直线 28"/>
                              <wps:cNvCnPr/>
                              <wps:spPr>
                                <a:xfrm flipV="1">
                                  <a:off x="805519" y="773910"/>
                                  <a:ext cx="317658" cy="6986"/>
                                </a:xfrm>
                                <a:prstGeom prst="line">
                                  <a:avLst/>
                                </a:prstGeom>
                                <a:ln w="9525" cap="flat" cmpd="sng">
                                  <a:solidFill>
                                    <a:srgbClr val="000000"/>
                                  </a:solidFill>
                                  <a:prstDash val="solid"/>
                                  <a:headEnd type="none" w="med" len="med"/>
                                  <a:tailEnd type="triangle" w="med" len="med"/>
                                </a:ln>
                              </wps:spPr>
                              <wps:bodyPr upright="1"/>
                            </wps:wsp>
                            <wps:wsp>
                              <wps:cNvPr id="20" name="直线 29"/>
                              <wps:cNvCnPr/>
                              <wps:spPr>
                                <a:xfrm>
                                  <a:off x="562373" y="895004"/>
                                  <a:ext cx="990623" cy="511542"/>
                                </a:xfrm>
                                <a:prstGeom prst="line">
                                  <a:avLst/>
                                </a:prstGeom>
                                <a:ln w="9525" cap="flat" cmpd="sng">
                                  <a:solidFill>
                                    <a:srgbClr val="000000"/>
                                  </a:solidFill>
                                  <a:prstDash val="dash"/>
                                  <a:headEnd type="none" w="med" len="med"/>
                                  <a:tailEnd type="triangle" w="med" len="med"/>
                                </a:ln>
                              </wps:spPr>
                              <wps:bodyPr upright="1"/>
                            </wps:wsp>
                            <wps:wsp>
                              <wps:cNvPr id="21" name="矩形 30"/>
                              <wps:cNvSpPr/>
                              <wps:spPr>
                                <a:xfrm>
                                  <a:off x="2065956" y="603138"/>
                                  <a:ext cx="563942" cy="4867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spacing w:val="-16"/>
                                        <w:szCs w:val="21"/>
                                        <w:lang w:eastAsia="zh-CN"/>
                                      </w:rPr>
                                    </w:pPr>
                                    <w:r>
                                      <w:rPr>
                                        <w:rFonts w:hint="eastAsia" w:ascii="宋体" w:hAnsi="宋体"/>
                                        <w:spacing w:val="-16"/>
                                        <w:szCs w:val="21"/>
                                        <w:lang w:eastAsia="zh-CN"/>
                                      </w:rPr>
                                      <w:t>土石方开挖</w:t>
                                    </w:r>
                                  </w:p>
                                </w:txbxContent>
                              </wps:txbx>
                              <wps:bodyPr vert="horz" wrap="square" anchor="t" anchorCtr="0" upright="1"/>
                            </wps:wsp>
                            <wps:wsp>
                              <wps:cNvPr id="22" name="直线 31"/>
                              <wps:cNvCnPr/>
                              <wps:spPr>
                                <a:xfrm>
                                  <a:off x="3062854" y="276341"/>
                                  <a:ext cx="784" cy="308167"/>
                                </a:xfrm>
                                <a:prstGeom prst="line">
                                  <a:avLst/>
                                </a:prstGeom>
                                <a:ln w="9525" cap="flat" cmpd="sng">
                                  <a:solidFill>
                                    <a:srgbClr val="000000"/>
                                  </a:solidFill>
                                  <a:prstDash val="solid"/>
                                  <a:headEnd type="none" w="med" len="med"/>
                                  <a:tailEnd type="triangle" w="med" len="med"/>
                                </a:ln>
                              </wps:spPr>
                              <wps:bodyPr upright="1"/>
                            </wps:wsp>
                            <wps:wsp>
                              <wps:cNvPr id="23" name="矩形 32"/>
                              <wps:cNvSpPr/>
                              <wps:spPr>
                                <a:xfrm>
                                  <a:off x="2818924" y="603138"/>
                                  <a:ext cx="684730" cy="341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pacing w:val="-16"/>
                                        <w:szCs w:val="21"/>
                                      </w:rPr>
                                    </w:pPr>
                                    <w:r>
                                      <w:rPr>
                                        <w:rFonts w:hint="eastAsia" w:ascii="宋体" w:hAnsi="宋体"/>
                                        <w:spacing w:val="-16"/>
                                        <w:szCs w:val="21"/>
                                      </w:rPr>
                                      <w:t>堤防砌石</w:t>
                                    </w:r>
                                  </w:p>
                                </w:txbxContent>
                              </wps:txbx>
                              <wps:bodyPr vert="horz" wrap="square" anchor="t" anchorCtr="0" upright="1"/>
                            </wps:wsp>
                            <wps:wsp>
                              <wps:cNvPr id="24" name="直线 33"/>
                              <wps:cNvCnPr/>
                              <wps:spPr>
                                <a:xfrm>
                                  <a:off x="3503654" y="770029"/>
                                  <a:ext cx="239224" cy="3881"/>
                                </a:xfrm>
                                <a:prstGeom prst="line">
                                  <a:avLst/>
                                </a:prstGeom>
                                <a:ln w="9525" cap="flat" cmpd="sng">
                                  <a:solidFill>
                                    <a:srgbClr val="000000"/>
                                  </a:solidFill>
                                  <a:prstDash val="solid"/>
                                  <a:headEnd type="none" w="med" len="med"/>
                                  <a:tailEnd type="triangle" w="med" len="med"/>
                                </a:ln>
                              </wps:spPr>
                              <wps:bodyPr upright="1"/>
                            </wps:wsp>
                            <wps:wsp>
                              <wps:cNvPr id="25" name="直线 34"/>
                              <wps:cNvCnPr/>
                              <wps:spPr>
                                <a:xfrm>
                                  <a:off x="3062069" y="944683"/>
                                  <a:ext cx="784" cy="458757"/>
                                </a:xfrm>
                                <a:prstGeom prst="line">
                                  <a:avLst/>
                                </a:prstGeom>
                                <a:ln w="9525" cap="flat" cmpd="sng">
                                  <a:solidFill>
                                    <a:srgbClr val="000000"/>
                                  </a:solidFill>
                                  <a:prstDash val="dash"/>
                                  <a:headEnd type="none" w="med" len="med"/>
                                  <a:tailEnd type="triangle" w="med" len="med"/>
                                </a:ln>
                              </wps:spPr>
                              <wps:bodyPr upright="1"/>
                            </wps:wsp>
                            <wps:wsp>
                              <wps:cNvPr id="26" name="直线 35"/>
                              <wps:cNvCnPr/>
                              <wps:spPr>
                                <a:xfrm flipH="1">
                                  <a:off x="3971121" y="1972424"/>
                                  <a:ext cx="488645" cy="6210"/>
                                </a:xfrm>
                                <a:prstGeom prst="line">
                                  <a:avLst/>
                                </a:prstGeom>
                                <a:ln w="9525" cap="flat" cmpd="sng">
                                  <a:solidFill>
                                    <a:srgbClr val="000000"/>
                                  </a:solidFill>
                                  <a:prstDash val="solid"/>
                                  <a:headEnd type="none" w="med" len="med"/>
                                  <a:tailEnd type="triangle" w="med" len="med"/>
                                </a:ln>
                              </wps:spPr>
                              <wps:bodyPr upright="1"/>
                            </wps:wsp>
                            <wps:wsp>
                              <wps:cNvPr id="27" name="矩形 36"/>
                              <wps:cNvSpPr/>
                              <wps:spPr>
                                <a:xfrm>
                                  <a:off x="3178152" y="1842015"/>
                                  <a:ext cx="745124" cy="297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spacing w:val="-16"/>
                                        <w:szCs w:val="21"/>
                                      </w:rPr>
                                    </w:pPr>
                                    <w:r>
                                      <w:rPr>
                                        <w:rFonts w:hint="eastAsia" w:ascii="宋体" w:hAnsi="宋体"/>
                                        <w:spacing w:val="-16"/>
                                        <w:szCs w:val="21"/>
                                      </w:rPr>
                                      <w:t>投入使用</w:t>
                                    </w:r>
                                  </w:p>
                                </w:txbxContent>
                              </wps:txbx>
                              <wps:bodyPr vert="horz" wrap="square" anchor="t" anchorCtr="0" upright="1"/>
                            </wps:wsp>
                            <wps:wsp>
                              <wps:cNvPr id="28" name="矩形 37"/>
                              <wps:cNvSpPr/>
                              <wps:spPr>
                                <a:xfrm>
                                  <a:off x="4441726" y="1812518"/>
                                  <a:ext cx="745124" cy="2965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spacing w:val="-16"/>
                                        <w:szCs w:val="21"/>
                                      </w:rPr>
                                    </w:pPr>
                                    <w:r>
                                      <w:rPr>
                                        <w:rFonts w:hint="eastAsia" w:ascii="宋体" w:hAnsi="宋体"/>
                                        <w:spacing w:val="-16"/>
                                        <w:szCs w:val="21"/>
                                      </w:rPr>
                                      <w:t>竣工验收</w:t>
                                    </w:r>
                                  </w:p>
                                </w:txbxContent>
                              </wps:txbx>
                              <wps:bodyPr vert="horz" wrap="square" anchor="t" anchorCtr="0" upright="1"/>
                            </wps:wsp>
                            <wps:wsp>
                              <wps:cNvPr id="29" name="矩形 38"/>
                              <wps:cNvSpPr/>
                              <wps:spPr>
                                <a:xfrm>
                                  <a:off x="1123177" y="636516"/>
                                  <a:ext cx="693358" cy="4533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ascii="宋体" w:hAnsi="宋体"/>
                                        <w:spacing w:val="-16"/>
                                        <w:szCs w:val="21"/>
                                      </w:rPr>
                                      <w:t>边坡基础处理</w:t>
                                    </w:r>
                                  </w:p>
                                </w:txbxContent>
                              </wps:txbx>
                              <wps:bodyPr vert="horz" wrap="square" anchor="t" anchorCtr="0" upright="1"/>
                            </wps:wsp>
                          </wpc:wpc>
                        </a:graphicData>
                      </a:graphic>
                    </wp:inline>
                  </w:drawing>
                </mc:Choice>
                <mc:Fallback>
                  <w:pict>
                    <v:group id="画布 8" o:spid="_x0000_s1026" o:spt="203" style="height:168.45pt;width:427.25pt;" coordsize="5426075,2139315" editas="canvas" o:gfxdata="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">
                      <o:lock v:ext="edit" aspectratio="f"/>
                      <v:shape id="画布 8" o:spid="_x0000_s1026" style="position:absolute;left:0;top:0;height:2139315;width:5426075;" filled="f" stroked="f" coordsize="21600,21600" o:gfxdata="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">
                        <v:fill on="f" focussize="0,0"/>
                        <v:stroke on="f"/>
                        <v:imagedata o:title=""/>
                        <o:lock v:ext="edit" aspectratio="t"/>
                      </v:shape>
                      <v:rect id="矩形 10" o:spid="_x0000_s1026" o:spt="1" style="position:absolute;left:1195337;top:134289;height:296523;width:685515;" fillcolor="#FFFFFF" filled="t" stroked="t" coordsize="21600,21600" o:gfxdata="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69cfPtYAAAAFAQAADwAAAAAAAAABACAAAAAiAAAAZHJzL2Rvd25yZXYueG1sUEsBAhQAFAAA&#10;AAgAh07iQCIwwRgqAgAAZwQAAA4AAAAAAAAAAQAgAAAAJQEAAGRycy9lMm9Eb2MueG1sUEsFBgAA&#10;AAAGAAYAWQEAAMEFAAAAAA==&#10;">
                        <v:fill on="t" focussize="0,0"/>
                        <v:stroke color="#000000" joinstyle="miter"/>
                        <v:imagedata o:title=""/>
                        <o:lock v:ext="edit" aspectratio="f"/>
                        <v:textbox>
                          <w:txbxContent>
                            <w:p>
                              <w:pPr>
                                <w:rPr>
                                  <w:rFonts w:ascii="宋体" w:hAnsi="宋体"/>
                                  <w:spacing w:val="-16"/>
                                  <w:szCs w:val="21"/>
                                </w:rPr>
                              </w:pPr>
                              <w:r>
                                <w:rPr>
                                  <w:rFonts w:hint="eastAsia" w:ascii="宋体" w:hAnsi="宋体"/>
                                  <w:spacing w:val="-16"/>
                                  <w:szCs w:val="21"/>
                                </w:rPr>
                                <w:t>材料运输</w:t>
                              </w:r>
                            </w:p>
                          </w:txbxContent>
                        </v:textbox>
                      </v:rect>
                      <v:line id="直线 11" o:spid="_x0000_s1026" o:spt="20" style="position:absolute;left:1816535;top:777792;flip:y;height:3105;width:249421;" filled="f" stroked="t" coordsize="21600,21600" o:gfxdata="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rrw2n1wAAAAUBAAAPAAAAAAAAAAEAIAAAACIAAABkcnMv&#10;ZG93bnJldi54bWxQSwECFAAUAAAACACHTuJA573MiAQCAAD3AwAADgAAAAAAAAABACAAAAAmAQAA&#10;ZHJzL2Uyb0RvYy54bWxQSwUGAAAAAAYABgBZAQAAnAUAAAAA&#10;">
                        <v:fill on="f" focussize="0,0"/>
                        <v:stroke color="#000000" joinstyle="round" endarrow="block"/>
                        <v:imagedata o:title=""/>
                        <o:lock v:ext="edit" aspectratio="f"/>
                      </v:line>
                      <v:line id="直线 12" o:spid="_x0000_s1026" o:spt="20" style="position:absolute;left:2623623;top:777792;height:3105;width:195301;" filled="f" stroked="t" coordsize="21600,21600" o:gfxdata="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PHmPTYAAAABQEAAA8AAAAAAAAAAQAgAAAAIgAAAGRycy9kb3ducmV2&#10;LnhtbFBLAQIUABQAAAAIAIdO4kBYw4Km/AEAAO0DAAAOAAAAAAAAAAEAIAAAACcBAABkcnMvZTJv&#10;RG9jLnhtbFBLBQYAAAAABgAGAFkBAACVBQAAAAA=&#10;">
                        <v:fill on="f" focussize="0,0"/>
                        <v:stroke color="#000000" joinstyle="round" endarrow="block"/>
                        <v:imagedata o:title=""/>
                        <o:lock v:ext="edit" aspectratio="f"/>
                      </v:line>
                      <v:line id="直线 13" o:spid="_x0000_s1026" o:spt="20" style="position:absolute;left:4354664;top:825142;flip:y;height:3881;width:138828;" filled="f" stroked="t" coordsize="21600,21600" o:gfxdata="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uvDafXAAAABQEAAA8AAAAAAAAAAQAgAAAAIgAAAGRycy9k&#10;b3ducmV2LnhtbFBLAQIUABQAAAAIAIdO4kB9Cjh5AwIAAPcDAAAOAAAAAAAAAAEAIAAAACYBAABk&#10;cnMvZTJvRG9jLnhtbFBLBQYAAAAABgAGAFkBAACbBQAAAAA=&#10;">
                        <v:fill on="f" focussize="0,0"/>
                        <v:stroke color="#000000" joinstyle="round" endarrow="block"/>
                        <v:imagedata o:title=""/>
                        <o:lock v:ext="edit" aspectratio="f"/>
                      </v:line>
                      <v:rect id="矩形 14" o:spid="_x0000_s1026" o:spt="1" style="position:absolute;left:3742878;top:584508;height:492912;width:611786;" fillcolor="#FFFFFF" filled="t" stroked="t" coordsize="21600,21600" o:gfxdata="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vXHz7WAAAABQEAAA8AAAAAAAAAAQAgAAAAIgAAAGRycy9kb3ducmV2LnhtbFBLAQIUABQA&#10;AAAIAIdO4kDSXSH1KwIAAGcEAAAOAAAAAAAAAAEAIAAAACUBAABkcnMvZTJvRG9jLnhtbFBLBQYA&#10;AAAABgAGAFkBAADCBQAAAAA=&#10;">
                        <v:fill on="t" focussize="0,0"/>
                        <v:stroke color="#000000" joinstyle="miter"/>
                        <v:imagedata o:title=""/>
                        <o:lock v:ext="edit" aspectratio="f"/>
                        <v:textbox>
                          <w:txbxContent>
                            <w:p>
                              <w:pPr>
                                <w:rPr>
                                  <w:rFonts w:hint="eastAsia"/>
                                  <w:bCs/>
                                  <w:color w:val="000000"/>
                                </w:rPr>
                              </w:pPr>
                              <w:r>
                                <w:rPr>
                                  <w:rFonts w:hint="eastAsia"/>
                                  <w:bCs/>
                                  <w:color w:val="000000"/>
                                </w:rPr>
                                <w:t>土石方</w:t>
                              </w:r>
                            </w:p>
                            <w:p>
                              <w:pPr>
                                <w:ind w:firstLine="89" w:firstLineChars="50"/>
                                <w:rPr>
                                  <w:rFonts w:ascii="宋体" w:hAnsi="宋体"/>
                                  <w:spacing w:val="-16"/>
                                  <w:szCs w:val="21"/>
                                </w:rPr>
                              </w:pPr>
                              <w:r>
                                <w:rPr>
                                  <w:rFonts w:hint="eastAsia" w:ascii="宋体" w:hAnsi="宋体"/>
                                  <w:spacing w:val="-16"/>
                                  <w:szCs w:val="21"/>
                                </w:rPr>
                                <w:t>回填</w:t>
                              </w:r>
                            </w:p>
                          </w:txbxContent>
                        </v:textbox>
                      </v:rect>
                      <v:rect id="矩形 15" o:spid="_x0000_s1026" o:spt="1" style="position:absolute;left:4476237;top:553458;height:500674;width:738065;" fillcolor="#FFFFFF" filled="t" stroked="t" coordsize="21600,21600" o:gfxdata="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vXHz7WAAAABQEAAA8AAAAAAAAAAQAgAAAAIgAAAGRycy9kb3ducmV2LnhtbFBLAQIUABQA&#10;AAAIAIdO4kCwPCs+KwIAAGcEAAAOAAAAAAAAAAEAIAAAACUBAABkcnMvZTJvRG9jLnhtbFBLBQYA&#10;AAAABgAGAFkBAADCBQAAAAA=&#10;">
                        <v:fill on="t" focussize="0,0"/>
                        <v:stroke color="#000000" joinstyle="miter"/>
                        <v:imagedata o:title=""/>
                        <o:lock v:ext="edit" aspectratio="f"/>
                        <v:textbox>
                          <w:txbxContent>
                            <w:p>
                              <w:pPr>
                                <w:rPr>
                                  <w:rFonts w:hint="eastAsia"/>
                                </w:rPr>
                              </w:pPr>
                              <w:r>
                                <w:rPr>
                                  <w:rFonts w:hint="eastAsia"/>
                                </w:rPr>
                                <w:t>堤顶施工</w:t>
                              </w:r>
                            </w:p>
                          </w:txbxContent>
                        </v:textbox>
                      </v:rect>
                      <v:line id="直线 16" o:spid="_x0000_s1026" o:spt="20" style="position:absolute;left:1394559;top:430813;flip:x;height:205703;width:784;" filled="f" stroked="t" coordsize="21600,21600" o:gfxdata="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68Np9cAAAAFAQAADwAAAAAAAAABACAAAAAiAAAA&#10;ZHJzL2Rvd25yZXYueG1sUEsBAhQAFAAAAAgAh07iQHV8nWAIAgAA9gMAAA4AAAAAAAAAAQAgAAAA&#10;JgEAAGRycy9lMm9Eb2MueG1sUEsFBgAAAAAGAAYAWQEAAKAFAAAAAA==&#10;">
                        <v:fill on="f" focussize="0,0"/>
                        <v:stroke color="#000000" joinstyle="round" endarrow="block"/>
                        <v:imagedata o:title=""/>
                        <o:lock v:ext="edit" aspectratio="f"/>
                      </v:line>
                      <v:line id="直线 17" o:spid="_x0000_s1026" o:spt="20" style="position:absolute;left:1906734;top:279446;height:776;width:2938144;" filled="f" stroked="t" coordsize="21600,21600" o:gfxdata="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szuU1QAAAAUBAAAPAAAAAAAAAAEAIAAAACIAAABkcnMvZG93bnJldi54bWxQ&#10;SwECFAAUAAAACACHTuJAB1dEd/oBAADpAwAADgAAAAAAAAABACAAAAAkAQAAZHJzL2Uyb0RvYy54&#10;bWxQSwUGAAAAAAYABgBZAQAAkAUAAAAA&#10;">
                        <v:fill on="f" focussize="0,0"/>
                        <v:stroke color="#000000" joinstyle="round"/>
                        <v:imagedata o:title=""/>
                        <o:lock v:ext="edit" aspectratio="f"/>
                      </v:line>
                      <v:line id="直线 18" o:spid="_x0000_s1026" o:spt="20" style="position:absolute;left:2299689;top:281775;height:321363;width:0;" filled="f" stroked="t" coordsize="21600,21600" o:gfxdata="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jx5j02AAAAAUBAAAPAAAAAAAAAAEAIAAAACIAAABkcnMvZG93bnJldi54&#10;bWxQSwECFAAUAAAACACHTuJAdLIRqvoBAADqAwAADgAAAAAAAAABACAAAAAnAQAAZHJzL2Uyb0Rv&#10;Yy54bWxQSwUGAAAAAAYABgBZAQAAkwUAAAAA&#10;">
                        <v:fill on="f" focussize="0,0"/>
                        <v:stroke color="#000000" joinstyle="round" endarrow="block"/>
                        <v:imagedata o:title=""/>
                        <o:lock v:ext="edit" aspectratio="f"/>
                      </v:line>
                      <v:line id="直线 19" o:spid="_x0000_s1026" o:spt="20" style="position:absolute;left:4037790;top:276341;height:297300;width:784;" filled="f" stroked="t" coordsize="21600,21600" o:gfxdata="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PHmPTYAAAABQEAAA8AAAAAAAAAAQAgAAAAIgAAAGRycy9kb3du&#10;cmV2LnhtbFBLAQIUABQAAAAIAIdO4kBOIZhZ/wEAAO0DAAAOAAAAAAAAAAEAIAAAACcBAABkcnMv&#10;ZTJvRG9jLnhtbFBLBQYAAAAABgAGAFkBAACYBQAAAAA=&#10;">
                        <v:fill on="f" focussize="0,0"/>
                        <v:stroke color="#000000" joinstyle="round" endarrow="block"/>
                        <v:imagedata o:title=""/>
                        <o:lock v:ext="edit" aspectratio="f"/>
                      </v:line>
                      <v:line id="直线 20" o:spid="_x0000_s1026" o:spt="20" style="position:absolute;left:4844094;top:278670;height:297300;width:784;" filled="f" stroked="t" coordsize="21600,21600" o:gfxdata="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8eY9NgAAAAFAQAADwAAAAAAAAABACAAAAAiAAAAZHJzL2Rvd25y&#10;ZXYueG1sUEsBAhQAFAAAAAgAh07iQLjwRwX+AQAA7QMAAA4AAAAAAAAAAQAgAAAAJwEAAGRycy9l&#10;Mm9Eb2MueG1sUEsFBgAAAAAGAAYAWQEAAJcFAAAAAA==&#10;">
                        <v:fill on="f" focussize="0,0"/>
                        <v:stroke color="#000000" joinstyle="round" endarrow="block"/>
                        <v:imagedata o:title=""/>
                        <o:lock v:ext="edit" aspectratio="f"/>
                      </v:line>
                      <v:line id="直线 21" o:spid="_x0000_s1026" o:spt="20" style="position:absolute;left:4863702;top:1072762;height:728889;width:784;" filled="f" stroked="t" coordsize="21600,21600" o:gfxdata="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8eY9NgAAAAFAQAADwAAAAAAAAABACAAAAAiAAAAZHJzL2Rvd25y&#10;ZXYueG1sUEsBAhQAFAAAAAgAh07iQC6cRMj+AQAA7gMAAA4AAAAAAAAAAQAgAAAAJwEAAGRycy9l&#10;Mm9Eb2MueG1sUEsFBgAAAAAGAAYAWQEAAJcFAAAAAA==&#10;">
                        <v:fill on="f" focussize="0,0"/>
                        <v:stroke color="#000000" joinstyle="round" endarrow="block"/>
                        <v:imagedata o:title=""/>
                        <o:lock v:ext="edit" aspectratio="f"/>
                      </v:line>
                      <v:rect id="矩形 22" o:spid="_x0000_s1026" o:spt="1" style="position:absolute;left:1245534;top:1408098;height:295747;width:2570287;" fillcolor="#FFFFFF" filled="t" stroked="f" coordsize="21600,21600" o:gfxdata="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n0AV91gAAAAUBAAAPAAAAAAAAAAEAIAAAACIAAABkcnMvZG93bnJldi54bWxQSwEC&#10;FAAUAAAACACHTuJAVyxGF/YBAADSAwAADgAAAAAAAAABACAAAAAlAQAAZHJzL2Uyb0RvYy54bWxQ&#10;SwUGAAAAAAYABgBZAQAAjQUAAAAA&#10;">
                        <v:fill on="t" opacity="0f" focussize="0,0"/>
                        <v:stroke on="f" weight="1pt"/>
                        <v:imagedata o:title=""/>
                        <o:lock v:ext="edit" aspectratio="f"/>
                        <v:textbox>
                          <w:txbxContent>
                            <w:p>
                              <w:pPr>
                                <w:ind w:firstLine="267" w:firstLineChars="150"/>
                                <w:rPr>
                                  <w:rFonts w:hint="eastAsia" w:ascii="宋体" w:hAnsi="宋体"/>
                                  <w:spacing w:val="-16"/>
                                  <w:szCs w:val="21"/>
                                </w:rPr>
                              </w:pPr>
                              <w:r>
                                <w:rPr>
                                  <w:rFonts w:hint="eastAsia" w:ascii="宋体" w:hAnsi="宋体"/>
                                  <w:spacing w:val="-16"/>
                                  <w:szCs w:val="21"/>
                                </w:rPr>
                                <w:t>噪 声、粉 尘、弃 土 方、水 土 流 失</w:t>
                              </w:r>
                            </w:p>
                          </w:txbxContent>
                        </v:textbox>
                      </v:rect>
                      <v:line id="直线 23" o:spid="_x0000_s1026" o:spt="20" style="position:absolute;left:1686334;top:978838;height:427708;width:209419;" filled="f" stroked="t" coordsize="21600,21600" o:gfxdata="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k0KrQ2AAAAAUBAAAPAAAAAAAAAAEAIAAAACIAAABkcnMv&#10;ZG93bnJldi54bWxQSwECFAAUAAAACACHTuJAcnbx3AMCAADvAwAADgAAAAAAAAABACAAAAAnAQAA&#10;ZHJzL2Uyb0RvYy54bWxQSwUGAAAAAAYABgBZAQAAnAUAAAAA&#10;">
                        <v:fill on="f" focussize="0,0"/>
                        <v:stroke color="#000000" joinstyle="round" dashstyle="dash" endarrow="block"/>
                        <v:imagedata o:title=""/>
                        <o:lock v:ext="edit" aspectratio="f"/>
                      </v:line>
                      <v:line id="直线 24" o:spid="_x0000_s1026" o:spt="20" style="position:absolute;left:2299689;top:944683;height:458757;width:784;" filled="f" stroked="t" coordsize="21600,21600" o:gfxdata="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TQqtDYAAAABQEAAA8AAAAAAAAAAQAgAAAAIgAAAGRycy9kb3du&#10;cmV2LnhtbFBLAQIUABQAAAAIAIdO4kA1cymM/wEAAOwDAAAOAAAAAAAAAAEAIAAAACcBAABkcnMv&#10;ZTJvRG9jLnhtbFBLBQYAAAAABgAGAFkBAACYBQAAAAA=&#10;">
                        <v:fill on="f" focussize="0,0"/>
                        <v:stroke color="#000000" joinstyle="round" dashstyle="dash" endarrow="block"/>
                        <v:imagedata o:title=""/>
                        <o:lock v:ext="edit" aspectratio="f"/>
                      </v:line>
                      <v:line id="直线 25" o:spid="_x0000_s1026" o:spt="20" style="position:absolute;left:3381297;top:1077420;flip:x;height:329125;width:548255;" filled="f" stroked="t" coordsize="21600,21600" o:gfxdata="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p9rCLVAAAABQEAAA8AAAAAAAAAAQAgAAAAIgAA&#10;AGRycy9kb3ducmV2LnhtbFBLAQIUABQAAAAIAIdO4kC/Jk0qCwIAAPoDAAAOAAAAAAAAAAEAIAAA&#10;ACQBAABkcnMvZTJvRG9jLnhtbFBLBQYAAAAABgAGAFkBAAChBQAAAAA=&#10;">
                        <v:fill on="f" focussize="0,0"/>
                        <v:stroke color="#000000" joinstyle="round" dashstyle="dash" endarrow="block"/>
                        <v:imagedata o:title=""/>
                        <o:lock v:ext="edit" aspectratio="f"/>
                      </v:line>
                      <v:line id="直线 26" o:spid="_x0000_s1026" o:spt="20" style="position:absolute;left:3610324;top:1109246;flip:x;height:297300;width:937288;" filled="f" stroked="t" coordsize="21600,21600" o:gfxdata="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fawi1QAAAAUBAAAPAAAAAAAAAAEAIAAAACIA&#10;AABkcnMvZG93bnJldi54bWxQSwECFAAUAAAACACHTuJA31e7GgwCAAD6AwAADgAAAAAAAAABACAA&#10;AAAkAQAAZHJzL2Uyb0RvYy54bWxQSwUGAAAAAAYABgBZAQAAogUAAAAA&#10;">
                        <v:fill on="f" focussize="0,0"/>
                        <v:stroke color="#000000" joinstyle="round" dashstyle="dash" endarrow="block"/>
                        <v:imagedata o:title=""/>
                        <o:lock v:ext="edit" aspectratio="f"/>
                      </v:line>
                      <v:rect id="矩形 27" o:spid="_x0000_s1026" o:spt="1" style="position:absolute;left:174908;top:647383;height:310496;width:654925;" fillcolor="#FFFFFF" filled="t" stroked="t" coordsize="21600,21600" o:gfxdata="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69cfPtYAAAAFAQAADwAAAAAAAAABACAAAAAiAAAAZHJzL2Rvd25yZXYueG1sUEsBAhQAFAAA&#10;AAgAh07iQE+jCVsqAgAAZwQAAA4AAAAAAAAAAQAgAAAAJQEAAGRycy9lMm9Eb2MueG1sUEsFBgAA&#10;AAAGAAYAWQEAAMEFAAAAAA==&#10;">
                        <v:fill on="t" focussize="0,0"/>
                        <v:stroke color="#000000" joinstyle="miter"/>
                        <v:imagedata o:title=""/>
                        <o:lock v:ext="edit" aspectratio="f"/>
                        <v:textbox>
                          <w:txbxContent>
                            <w:p>
                              <w:pPr>
                                <w:jc w:val="center"/>
                                <w:rPr>
                                  <w:rFonts w:hint="eastAsia" w:ascii="宋体" w:hAnsi="宋体" w:eastAsia="宋体"/>
                                  <w:spacing w:val="-16"/>
                                  <w:szCs w:val="21"/>
                                  <w:lang w:eastAsia="zh-CN"/>
                                </w:rPr>
                              </w:pPr>
                              <w:r>
                                <w:rPr>
                                  <w:rFonts w:hint="eastAsia" w:ascii="宋体" w:hAnsi="宋体"/>
                                  <w:spacing w:val="-16"/>
                                  <w:szCs w:val="21"/>
                                </w:rPr>
                                <w:t>施工</w:t>
                              </w:r>
                              <w:r>
                                <w:rPr>
                                  <w:rFonts w:hint="eastAsia" w:ascii="宋体" w:hAnsi="宋体"/>
                                  <w:spacing w:val="-16"/>
                                  <w:szCs w:val="21"/>
                                  <w:lang w:eastAsia="zh-CN"/>
                                </w:rPr>
                                <w:t>准备</w:t>
                              </w:r>
                            </w:p>
                          </w:txbxContent>
                        </v:textbox>
                      </v:rect>
                      <v:line id="直线 28" o:spid="_x0000_s1026" o:spt="20" style="position:absolute;left:805519;top:773910;flip:y;height:6986;width:317658;" filled="f" stroked="t" coordsize="21600,21600" o:gfxdata="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rrw2n1wAAAAUBAAAPAAAAAAAAAAEAIAAAACIAAABkcnMv&#10;ZG93bnJldi54bWxQSwECFAAUAAAACACHTuJAG9xf9gQCAAD3AwAADgAAAAAAAAABACAAAAAmAQAA&#10;ZHJzL2Uyb0RvYy54bWxQSwUGAAAAAAYABgBZAQAAnAUAAAAA&#10;">
                        <v:fill on="f" focussize="0,0"/>
                        <v:stroke color="#000000" joinstyle="round" endarrow="block"/>
                        <v:imagedata o:title=""/>
                        <o:lock v:ext="edit" aspectratio="f"/>
                      </v:line>
                      <v:line id="直线 29" o:spid="_x0000_s1026" o:spt="20" style="position:absolute;left:562373;top:895004;height:511542;width:990623;" filled="f" stroked="t" coordsize="21600,21600" o:gfxdata="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TQqtDYAAAABQEAAA8AAAAAAAAAAQAgAAAAIgAAAGRycy9kb3du&#10;cmV2LnhtbFBLAQIUABQAAAAIAIdO4kDawrwm/wEAAO4DAAAOAAAAAAAAAAEAIAAAACcBAABkcnMv&#10;ZTJvRG9jLnhtbFBLBQYAAAAABgAGAFkBAACYBQAAAAA=&#10;">
                        <v:fill on="f" focussize="0,0"/>
                        <v:stroke color="#000000" joinstyle="round" dashstyle="dash" endarrow="block"/>
                        <v:imagedata o:title=""/>
                        <o:lock v:ext="edit" aspectratio="f"/>
                      </v:line>
                      <v:rect id="矩形 30" o:spid="_x0000_s1026" o:spt="1" style="position:absolute;left:2065956;top:603138;height:486702;width:563942;" fillcolor="#FFFFFF" filled="t" stroked="t" coordsize="21600,21600" o:gfxdata="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r1x8+1gAAAAUBAAAPAAAAAAAAAAEAIAAAACIAAABkcnMvZG93bnJldi54bWxQSwECFAAU&#10;AAAACACHTuJA/rRUUSwCAABoBAAADgAAAAAAAAABACAAAAAlAQAAZHJzL2Uyb0RvYy54bWxQSwUG&#10;AAAAAAYABgBZAQAAwwUAAAAA&#10;">
                        <v:fill on="t" focussize="0,0"/>
                        <v:stroke color="#000000" joinstyle="miter"/>
                        <v:imagedata o:title=""/>
                        <o:lock v:ext="edit" aspectratio="f"/>
                        <v:textbox>
                          <w:txbxContent>
                            <w:p>
                              <w:pPr>
                                <w:jc w:val="center"/>
                                <w:rPr>
                                  <w:rFonts w:hint="eastAsia" w:ascii="宋体" w:hAnsi="宋体" w:eastAsia="宋体"/>
                                  <w:spacing w:val="-16"/>
                                  <w:szCs w:val="21"/>
                                  <w:lang w:eastAsia="zh-CN"/>
                                </w:rPr>
                              </w:pPr>
                              <w:r>
                                <w:rPr>
                                  <w:rFonts w:hint="eastAsia" w:ascii="宋体" w:hAnsi="宋体"/>
                                  <w:spacing w:val="-16"/>
                                  <w:szCs w:val="21"/>
                                  <w:lang w:eastAsia="zh-CN"/>
                                </w:rPr>
                                <w:t>土石方开挖</w:t>
                              </w:r>
                            </w:p>
                          </w:txbxContent>
                        </v:textbox>
                      </v:rect>
                      <v:line id="直线 31" o:spid="_x0000_s1026" o:spt="20" style="position:absolute;left:3062854;top:276341;height:308167;width:784;" filled="f" stroked="t" coordsize="21600,21600" o:gfxdata="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x5j02AAAAAUBAAAPAAAAAAAAAAEAIAAAACIAAABkcnMvZG93bnJl&#10;di54bWxQSwECFAAUAAAACACHTuJATb7m3P0BAADtAwAADgAAAAAAAAABACAAAAAnAQAAZHJzL2Uy&#10;b0RvYy54bWxQSwUGAAAAAAYABgBZAQAAlgUAAAAA&#10;">
                        <v:fill on="f" focussize="0,0"/>
                        <v:stroke color="#000000" joinstyle="round" endarrow="block"/>
                        <v:imagedata o:title=""/>
                        <o:lock v:ext="edit" aspectratio="f"/>
                      </v:line>
                      <v:rect id="矩形 32" o:spid="_x0000_s1026" o:spt="1" style="position:absolute;left:2818924;top:603138;height:341545;width:684730;" fillcolor="#FFFFFF" filled="t" stroked="t" coordsize="21600,21600" o:gfxdata="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9cfPtYAAAAFAQAADwAAAAAAAAABACAAAAAiAAAAZHJzL2Rvd25yZXYueG1sUEsBAhQA&#10;FAAAAAgAh07iQKxeSHUtAgAAaAQAAA4AAAAAAAAAAQAgAAAAJQEAAGRycy9lMm9Eb2MueG1sUEsF&#10;BgAAAAAGAAYAWQEAAMQFAAAAAA==&#10;">
                        <v:fill on="t" focussize="0,0"/>
                        <v:stroke color="#000000" joinstyle="miter"/>
                        <v:imagedata o:title=""/>
                        <o:lock v:ext="edit" aspectratio="f"/>
                        <v:textbox>
                          <w:txbxContent>
                            <w:p>
                              <w:pPr>
                                <w:rPr>
                                  <w:rFonts w:hint="eastAsia" w:ascii="宋体" w:hAnsi="宋体"/>
                                  <w:spacing w:val="-16"/>
                                  <w:szCs w:val="21"/>
                                </w:rPr>
                              </w:pPr>
                              <w:r>
                                <w:rPr>
                                  <w:rFonts w:hint="eastAsia" w:ascii="宋体" w:hAnsi="宋体"/>
                                  <w:spacing w:val="-16"/>
                                  <w:szCs w:val="21"/>
                                </w:rPr>
                                <w:t>堤防砌石</w:t>
                              </w:r>
                            </w:p>
                          </w:txbxContent>
                        </v:textbox>
                      </v:rect>
                      <v:line id="直线 33" o:spid="_x0000_s1026" o:spt="20" style="position:absolute;left:3503654;top:770029;height:3881;width:239224;" filled="f" stroked="t" coordsize="21600,21600" o:gfxdata="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8eY9NgAAAAFAQAADwAAAAAAAAABACAAAAAiAAAAZHJzL2Rvd25y&#10;ZXYueG1sUEsBAhQAFAAAAAgAh07iQHjD4N3+AQAA7gMAAA4AAAAAAAAAAQAgAAAAJwEAAGRycy9l&#10;Mm9Eb2MueG1sUEsFBgAAAAAGAAYAWQEAAJcFAAAAAA==&#10;">
                        <v:fill on="f" focussize="0,0"/>
                        <v:stroke color="#000000" joinstyle="round" endarrow="block"/>
                        <v:imagedata o:title=""/>
                        <o:lock v:ext="edit" aspectratio="f"/>
                      </v:line>
                      <v:line id="直线 34" o:spid="_x0000_s1026" o:spt="20" style="position:absolute;left:3062069;top:944683;height:458757;width:784;" filled="f" stroked="t" coordsize="21600,21600" o:gfxdata="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NCq0NgAAAAFAQAADwAAAAAAAAABACAAAAAiAAAAZHJzL2Rvd25y&#10;ZXYueG1sUEsBAhQAFAAAAAgAh07iQJpnSzj+AQAA7AMAAA4AAAAAAAAAAQAgAAAAJwEAAGRycy9l&#10;Mm9Eb2MueG1sUEsFBgAAAAAGAAYAWQEAAJcFAAAAAA==&#10;">
                        <v:fill on="f" focussize="0,0"/>
                        <v:stroke color="#000000" joinstyle="round" dashstyle="dash" endarrow="block"/>
                        <v:imagedata o:title=""/>
                        <o:lock v:ext="edit" aspectratio="f"/>
                      </v:line>
                      <v:line id="直线 35" o:spid="_x0000_s1026" o:spt="20" style="position:absolute;left:3971121;top:1972424;flip:x;height:6210;width:488645;" filled="f" stroked="t" coordsize="21600,21600" o:gfxdata="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68Np9cAAAAFAQAADwAAAAAAAAABACAAAAAi&#10;AAAAZHJzL2Rvd25yZXYueG1sUEsBAhQAFAAAAAgAh07iQK251TkLAgAA+QMAAA4AAAAAAAAAAQAg&#10;AAAAJgEAAGRycy9lMm9Eb2MueG1sUEsFBgAAAAAGAAYAWQEAAKMFAAAAAA==&#10;">
                        <v:fill on="f" focussize="0,0"/>
                        <v:stroke color="#000000" joinstyle="round" endarrow="block"/>
                        <v:imagedata o:title=""/>
                        <o:lock v:ext="edit" aspectratio="f"/>
                      </v:line>
                      <v:rect id="矩形 36" o:spid="_x0000_s1026" o:spt="1" style="position:absolute;left:3178152;top:1842015;height:297300;width:745124;" fillcolor="#FFFFFF" filled="t" stroked="t" coordsize="21600,21600" o:gfxdata="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69cfPtYAAAAFAQAADwAAAAAAAAABACAAAAAiAAAAZHJzL2Rvd25yZXYueG1sUEsB&#10;AhQAFAAAAAgAh07iQINyBiEwAgAAaQQAAA4AAAAAAAAAAQAgAAAAJQEAAGRycy9lMm9Eb2MueG1s&#10;UEsFBgAAAAAGAAYAWQEAAMcFAAAAAA==&#10;">
                        <v:fill on="t" focussize="0,0"/>
                        <v:stroke color="#000000" joinstyle="miter"/>
                        <v:imagedata o:title=""/>
                        <o:lock v:ext="edit" aspectratio="f"/>
                        <v:textbox>
                          <w:txbxContent>
                            <w:p>
                              <w:pPr>
                                <w:rPr>
                                  <w:rFonts w:ascii="宋体" w:hAnsi="宋体"/>
                                  <w:spacing w:val="-16"/>
                                  <w:szCs w:val="21"/>
                                </w:rPr>
                              </w:pPr>
                              <w:r>
                                <w:rPr>
                                  <w:rFonts w:hint="eastAsia" w:ascii="宋体" w:hAnsi="宋体"/>
                                  <w:spacing w:val="-16"/>
                                  <w:szCs w:val="21"/>
                                </w:rPr>
                                <w:t>投入使用</w:t>
                              </w:r>
                            </w:p>
                          </w:txbxContent>
                        </v:textbox>
                      </v:rect>
                      <v:rect id="矩形 37" o:spid="_x0000_s1026" o:spt="1" style="position:absolute;left:4441726;top:1812518;height:296523;width:745124;" fillcolor="#FFFFFF" filled="t" stroked="t" coordsize="21600,21600" o:gfxdata="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r1x8+1gAAAAUBAAAPAAAAAAAAAAEAIAAAACIAAABkcnMvZG93bnJldi54bWxQSwEC&#10;FAAUAAAACACHTuJAe5wimC8CAABpBAAADgAAAAAAAAABACAAAAAlAQAAZHJzL2Uyb0RvYy54bWxQ&#10;SwUGAAAAAAYABgBZAQAAxgUAAAAA&#10;">
                        <v:fill on="t" focussize="0,0"/>
                        <v:stroke color="#000000" joinstyle="miter"/>
                        <v:imagedata o:title=""/>
                        <o:lock v:ext="edit" aspectratio="f"/>
                        <v:textbox>
                          <w:txbxContent>
                            <w:p>
                              <w:pPr>
                                <w:rPr>
                                  <w:rFonts w:ascii="宋体" w:hAnsi="宋体"/>
                                  <w:spacing w:val="-16"/>
                                  <w:szCs w:val="21"/>
                                </w:rPr>
                              </w:pPr>
                              <w:r>
                                <w:rPr>
                                  <w:rFonts w:hint="eastAsia" w:ascii="宋体" w:hAnsi="宋体"/>
                                  <w:spacing w:val="-16"/>
                                  <w:szCs w:val="21"/>
                                </w:rPr>
                                <w:t>竣工验收</w:t>
                              </w:r>
                            </w:p>
                          </w:txbxContent>
                        </v:textbox>
                      </v:rect>
                      <v:rect id="矩形 38" o:spid="_x0000_s1026" o:spt="1" style="position:absolute;left:1123177;top:636516;height:453324;width:693358;" fillcolor="#FFFFFF" filled="t" stroked="t" coordsize="21600,21600" o:gfxdata="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r1x8+1gAAAAUBAAAPAAAAAAAAAAEAIAAAACIAAABkcnMvZG93bnJldi54bWxQSwEC&#10;FAAUAAAACACHTuJAZH3Mwi8CAABoBAAADgAAAAAAAAABACAAAAAlAQAAZHJzL2Uyb0RvYy54bWxQ&#10;SwUGAAAAAAYABgBZAQAAxgUAAAAA&#10;">
                        <v:fill on="t" focussize="0,0"/>
                        <v:stroke color="#000000" joinstyle="miter"/>
                        <v:imagedata o:title=""/>
                        <o:lock v:ext="edit" aspectratio="f"/>
                        <v:textbox>
                          <w:txbxContent>
                            <w:p>
                              <w:pPr>
                                <w:jc w:val="center"/>
                                <w:rPr>
                                  <w:szCs w:val="21"/>
                                </w:rPr>
                              </w:pPr>
                              <w:r>
                                <w:rPr>
                                  <w:rFonts w:hint="eastAsia" w:ascii="宋体" w:hAnsi="宋体"/>
                                  <w:spacing w:val="-16"/>
                                  <w:szCs w:val="21"/>
                                </w:rPr>
                                <w:t>边坡基础处理</w:t>
                              </w:r>
                            </w:p>
                          </w:txbxContent>
                        </v:textbox>
                      </v:rect>
                      <w10:wrap type="none"/>
                      <w10:anchorlock/>
                    </v:group>
                  </w:pict>
                </mc:Fallback>
              </mc:AlternateContent>
            </w:r>
          </w:p>
          <w:p>
            <w:pPr>
              <w:tabs>
                <w:tab w:val="left" w:pos="2580"/>
                <w:tab w:val="left" w:pos="7560"/>
              </w:tabs>
              <w:spacing w:line="360" w:lineRule="auto"/>
              <w:jc w:val="center"/>
              <w:rPr>
                <w:rFonts w:hint="default" w:ascii="Times New Roman" w:hAnsi="Times New Roman" w:eastAsia="宋体" w:cs="Times New Roman"/>
                <w:bCs/>
                <w:color w:val="000000"/>
                <w:sz w:val="24"/>
                <w:highlight w:val="none"/>
              </w:rPr>
            </w:pPr>
            <w:bookmarkStart w:id="40" w:name="_Toc254685733"/>
            <w:bookmarkStart w:id="41" w:name="_Toc244578887"/>
            <w:bookmarkStart w:id="42" w:name="_Toc254685187"/>
            <w:bookmarkStart w:id="43" w:name="_Toc249175529"/>
            <w:bookmarkStart w:id="44" w:name="_Toc254685460"/>
            <w:r>
              <w:rPr>
                <w:rFonts w:hint="default" w:ascii="Times New Roman" w:hAnsi="Times New Roman" w:eastAsia="宋体" w:cs="Times New Roman"/>
                <w:bCs/>
                <w:color w:val="000000"/>
                <w:sz w:val="24"/>
                <w:highlight w:val="none"/>
              </w:rPr>
              <w:t>图</w:t>
            </w:r>
            <w:r>
              <w:rPr>
                <w:rFonts w:hint="eastAsia" w:ascii="Times New Roman" w:hAnsi="Times New Roman" w:eastAsia="宋体" w:cs="Times New Roman"/>
                <w:bCs/>
                <w:color w:val="000000"/>
                <w:sz w:val="24"/>
                <w:highlight w:val="none"/>
                <w:lang w:val="en-US" w:eastAsia="zh-CN"/>
              </w:rPr>
              <w:t>2</w:t>
            </w:r>
            <w:r>
              <w:rPr>
                <w:rFonts w:hint="default" w:ascii="Times New Roman" w:hAnsi="Times New Roman" w:eastAsia="宋体" w:cs="Times New Roman"/>
                <w:bCs/>
                <w:color w:val="000000"/>
                <w:sz w:val="24"/>
                <w:highlight w:val="none"/>
              </w:rPr>
              <w:t>-</w:t>
            </w:r>
            <w:r>
              <w:rPr>
                <w:rFonts w:hint="eastAsia" w:ascii="Times New Roman" w:hAnsi="Times New Roman" w:eastAsia="宋体" w:cs="Times New Roman"/>
                <w:bCs/>
                <w:color w:val="000000"/>
                <w:sz w:val="24"/>
                <w:highlight w:val="none"/>
                <w:lang w:val="en-US" w:eastAsia="zh-CN"/>
              </w:rPr>
              <w:t>3</w:t>
            </w:r>
            <w:r>
              <w:rPr>
                <w:rFonts w:hint="default" w:ascii="Times New Roman" w:hAnsi="Times New Roman" w:eastAsia="宋体" w:cs="Times New Roman"/>
                <w:bCs/>
                <w:color w:val="000000"/>
                <w:sz w:val="24"/>
                <w:highlight w:val="none"/>
              </w:rPr>
              <w:t xml:space="preserve">  提防施工期工艺流程及产污位置图</w:t>
            </w:r>
            <w:bookmarkEnd w:id="40"/>
            <w:bookmarkEnd w:id="41"/>
            <w:bookmarkEnd w:id="42"/>
            <w:bookmarkEnd w:id="43"/>
            <w:bookmarkEnd w:id="44"/>
          </w:p>
          <w:p>
            <w:pPr>
              <w:spacing w:line="360" w:lineRule="auto"/>
              <w:ind w:firstLine="482" w:firstLineChars="200"/>
              <w:rPr>
                <w:rFonts w:hint="default" w:ascii="Times New Roman" w:hAnsi="Times New Roman" w:eastAsia="宋体" w:cs="Times New Roman"/>
                <w:b/>
                <w:bCs/>
                <w:sz w:val="24"/>
              </w:rPr>
            </w:pPr>
            <w:r>
              <w:rPr>
                <w:rFonts w:hint="eastAsia" w:ascii="Times New Roman" w:hAnsi="Times New Roman" w:eastAsia="宋体" w:cs="Times New Roman"/>
                <w:b/>
                <w:bCs/>
                <w:sz w:val="24"/>
                <w:lang w:eastAsia="zh-CN"/>
              </w:rPr>
              <w:t>（</w:t>
            </w:r>
            <w:r>
              <w:rPr>
                <w:rFonts w:hint="default" w:ascii="Times New Roman" w:hAnsi="Times New Roman" w:eastAsia="宋体" w:cs="Times New Roman"/>
                <w:b/>
                <w:bCs/>
                <w:sz w:val="24"/>
              </w:rPr>
              <w:t>1</w:t>
            </w:r>
            <w:r>
              <w:rPr>
                <w:rFonts w:hint="eastAsia" w:ascii="Times New Roman" w:hAnsi="Times New Roman" w:eastAsia="宋体" w:cs="Times New Roman"/>
                <w:b/>
                <w:bCs/>
                <w:sz w:val="24"/>
                <w:lang w:eastAsia="zh-CN"/>
              </w:rPr>
              <w:t>）</w:t>
            </w:r>
            <w:r>
              <w:rPr>
                <w:rFonts w:hint="default" w:ascii="Times New Roman" w:hAnsi="Times New Roman" w:eastAsia="宋体" w:cs="Times New Roman"/>
                <w:b/>
                <w:bCs/>
                <w:sz w:val="24"/>
              </w:rPr>
              <w:t>施工导流</w:t>
            </w:r>
          </w:p>
          <w:p>
            <w:pPr>
              <w:spacing w:line="360" w:lineRule="auto"/>
              <w:ind w:firstLine="481"/>
              <w:rPr>
                <w:rFonts w:hint="eastAsia" w:ascii="Times New Roman" w:hAnsi="Times New Roman" w:eastAsia="宋体" w:cs="Times New Roman"/>
                <w:sz w:val="24"/>
                <w:szCs w:val="24"/>
                <w:lang w:val="en-US" w:eastAsia="zh-CN"/>
              </w:rPr>
            </w:pPr>
            <w:bookmarkStart w:id="45" w:name="_Toc338704216"/>
            <w:bookmarkStart w:id="46" w:name="_Toc344140380"/>
            <w:bookmarkStart w:id="47" w:name="_Toc326739759"/>
            <w:bookmarkStart w:id="48" w:name="_Toc340151409"/>
            <w:bookmarkStart w:id="49" w:name="_Toc326737703"/>
            <w:bookmarkStart w:id="50" w:name="_Toc22740"/>
            <w:bookmarkStart w:id="51" w:name="_Toc326766774"/>
            <w:bookmarkStart w:id="52" w:name="_Toc386377559"/>
            <w:bookmarkStart w:id="53" w:name="_Toc351036906"/>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导流标准</w:t>
            </w:r>
            <w:bookmarkEnd w:id="45"/>
            <w:bookmarkEnd w:id="46"/>
            <w:bookmarkEnd w:id="47"/>
            <w:bookmarkEnd w:id="48"/>
            <w:bookmarkEnd w:id="49"/>
            <w:bookmarkEnd w:id="50"/>
            <w:bookmarkEnd w:id="51"/>
            <w:r>
              <w:rPr>
                <w:rFonts w:hint="eastAsia" w:ascii="Times New Roman" w:hAnsi="Times New Roman" w:eastAsia="宋体" w:cs="Times New Roman"/>
                <w:sz w:val="24"/>
                <w:szCs w:val="24"/>
                <w:lang w:val="en-US" w:eastAsia="zh-CN"/>
              </w:rPr>
              <w:t>、时段</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堤防工程设计规范》（GB50286-2013），本工程主要建筑物防洪堤为4级建筑物。根据《水利水电工程施工组织设计规范》（SL303—2017）和《水利水电工程等级划分及洪水标准》（SL252-2017）有关规定，3级及以下堤防工程围堰挡水导流标准为5～10年一遇洪水，本工程导流标准采用5年一遇。</w:t>
            </w:r>
          </w:p>
          <w:p>
            <w:pPr>
              <w:spacing w:line="360" w:lineRule="auto"/>
              <w:ind w:firstLine="481"/>
              <w:rPr>
                <w:rFonts w:hint="eastAsia" w:ascii="Times New Roman" w:hAnsi="Times New Roman" w:eastAsia="宋体" w:cs="Times New Roman"/>
                <w:sz w:val="24"/>
                <w:szCs w:val="24"/>
                <w:lang w:val="en-GB" w:eastAsia="zh-CN"/>
              </w:rPr>
            </w:pPr>
            <w:r>
              <w:rPr>
                <w:rFonts w:hint="eastAsia" w:ascii="Times New Roman" w:hAnsi="Times New Roman" w:eastAsia="宋体" w:cs="Times New Roman"/>
                <w:sz w:val="24"/>
                <w:szCs w:val="24"/>
                <w:lang w:val="en-GB" w:eastAsia="zh-CN"/>
              </w:rPr>
              <w:t>根据SL290-2017《水利水电工程施工组织设计规范》土石围堰洪水标准为重现期5～10年一遇。本工程考虑到工程较小，采用5年一遇洪水导流标准，导流时段为12月～次年2月。</w:t>
            </w:r>
          </w:p>
          <w:p>
            <w:pPr>
              <w:spacing w:line="360" w:lineRule="auto"/>
              <w:ind w:firstLine="481"/>
              <w:rPr>
                <w:rFonts w:hint="eastAsia" w:ascii="Times New Roman" w:hAnsi="Times New Roman" w:eastAsia="宋体" w:cs="Times New Roman"/>
                <w:sz w:val="24"/>
                <w:szCs w:val="24"/>
                <w:lang w:val="en-GB" w:eastAsia="zh-CN"/>
              </w:rPr>
            </w:pP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val="en-GB" w:eastAsia="zh-CN"/>
              </w:rPr>
              <w:t>）</w:t>
            </w:r>
            <w:bookmarkEnd w:id="52"/>
            <w:bookmarkEnd w:id="53"/>
            <w:bookmarkStart w:id="54" w:name="_Toc252999380"/>
            <w:bookmarkStart w:id="55" w:name="_Toc256368345"/>
            <w:r>
              <w:rPr>
                <w:rFonts w:hint="eastAsia" w:ascii="Times New Roman" w:hAnsi="Times New Roman" w:eastAsia="宋体" w:cs="Times New Roman"/>
                <w:sz w:val="24"/>
                <w:szCs w:val="24"/>
                <w:lang w:val="en-GB" w:eastAsia="zh-CN"/>
              </w:rPr>
              <w:t>导流方式</w:t>
            </w:r>
          </w:p>
          <w:p>
            <w:pPr>
              <w:spacing w:line="360" w:lineRule="auto"/>
              <w:ind w:firstLine="481"/>
              <w:rPr>
                <w:rFonts w:hint="eastAsia" w:ascii="Times New Roman" w:hAnsi="Times New Roman" w:eastAsia="宋体" w:cs="Times New Roman"/>
                <w:sz w:val="24"/>
                <w:szCs w:val="24"/>
                <w:lang w:val="en-GB" w:eastAsia="zh-CN"/>
              </w:rPr>
            </w:pPr>
            <w:r>
              <w:rPr>
                <w:rFonts w:hint="eastAsia" w:ascii="Times New Roman" w:hAnsi="Times New Roman" w:eastAsia="宋体" w:cs="Times New Roman"/>
                <w:sz w:val="24"/>
                <w:szCs w:val="24"/>
                <w:lang w:val="en-GB" w:eastAsia="zh-CN"/>
              </w:rPr>
              <w:t>根据施工进度计划，堤防主体工程安排在枯期施工，导流流量小，导流方式拟采用开挖明渠进行导流。</w:t>
            </w:r>
          </w:p>
          <w:p>
            <w:pPr>
              <w:spacing w:line="360" w:lineRule="auto"/>
              <w:ind w:firstLine="481"/>
              <w:rPr>
                <w:rFonts w:hint="eastAsia" w:ascii="Times New Roman" w:hAnsi="Times New Roman" w:eastAsia="宋体" w:cs="Times New Roman"/>
                <w:sz w:val="24"/>
                <w:szCs w:val="24"/>
                <w:lang w:val="en-GB" w:eastAsia="zh-CN"/>
              </w:rPr>
            </w:pP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lang w:val="en-GB" w:eastAsia="zh-CN"/>
              </w:rPr>
              <w:t>）导流建筑物设计</w:t>
            </w:r>
          </w:p>
          <w:p>
            <w:pPr>
              <w:spacing w:line="360" w:lineRule="auto"/>
              <w:ind w:firstLine="481"/>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导流明渠采用梯形式，初步拟定导流明渠断面尺寸：底宽0.5m，渠深0.5m，边坡坡比1:1.0，比降与原河床走势保持一致。</w:t>
            </w:r>
          </w:p>
          <w:p>
            <w:pPr>
              <w:spacing w:line="360" w:lineRule="auto"/>
              <w:ind w:firstLine="481"/>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表2-14 围堰工程量表</w:t>
            </w:r>
          </w:p>
          <w:tbl>
            <w:tblPr>
              <w:tblStyle w:val="116"/>
              <w:tblW w:w="762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2637"/>
              <w:gridCol w:w="882"/>
              <w:gridCol w:w="1277"/>
              <w:gridCol w:w="17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0" w:hRule="atLeast"/>
                <w:jc w:val="center"/>
              </w:trPr>
              <w:tc>
                <w:tcPr>
                  <w:tcW w:w="1077" w:type="dxa"/>
                  <w:noWrap w:val="0"/>
                  <w:vAlign w:val="center"/>
                </w:tcPr>
                <w:p>
                  <w:pPr>
                    <w:pStyle w:val="119"/>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(一)</w:t>
                  </w:r>
                </w:p>
              </w:tc>
              <w:tc>
                <w:tcPr>
                  <w:tcW w:w="2637" w:type="dxa"/>
                  <w:noWrap w:val="0"/>
                  <w:vAlign w:val="center"/>
                </w:tcPr>
                <w:p>
                  <w:pPr>
                    <w:pStyle w:val="119"/>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施工导流工程</w:t>
                  </w:r>
                </w:p>
              </w:tc>
              <w:tc>
                <w:tcPr>
                  <w:tcW w:w="882" w:type="dxa"/>
                  <w:noWrap w:val="0"/>
                  <w:vAlign w:val="center"/>
                </w:tcPr>
                <w:p>
                  <w:pPr>
                    <w:pStyle w:val="119"/>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单位</w:t>
                  </w:r>
                </w:p>
              </w:tc>
              <w:tc>
                <w:tcPr>
                  <w:tcW w:w="1277" w:type="dxa"/>
                  <w:noWrap w:val="0"/>
                  <w:vAlign w:val="center"/>
                </w:tcPr>
                <w:p>
                  <w:pPr>
                    <w:pStyle w:val="119"/>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数量</w:t>
                  </w:r>
                </w:p>
              </w:tc>
              <w:tc>
                <w:tcPr>
                  <w:tcW w:w="1750" w:type="dxa"/>
                  <w:noWrap w:val="0"/>
                  <w:vAlign w:val="center"/>
                </w:tcPr>
                <w:p>
                  <w:pPr>
                    <w:pStyle w:val="119"/>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77" w:type="dxa"/>
                  <w:noWrap w:val="0"/>
                  <w:vAlign w:val="center"/>
                </w:tcPr>
                <w:p>
                  <w:pPr>
                    <w:pStyle w:val="119"/>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1</w:t>
                  </w:r>
                </w:p>
              </w:tc>
              <w:tc>
                <w:tcPr>
                  <w:tcW w:w="2637" w:type="dxa"/>
                  <w:noWrap w:val="0"/>
                  <w:vAlign w:val="center"/>
                </w:tcPr>
                <w:p>
                  <w:pPr>
                    <w:widowControl/>
                    <w:ind w:firstLine="0" w:firstLineChars="0"/>
                    <w:jc w:val="center"/>
                    <w:rPr>
                      <w:rFonts w:hint="eastAsia" w:ascii="宋体" w:hAnsi="宋体" w:eastAsia="宋体" w:cs="宋体"/>
                      <w:sz w:val="21"/>
                      <w:szCs w:val="21"/>
                    </w:rPr>
                  </w:pPr>
                  <w:r>
                    <w:rPr>
                      <w:rFonts w:hint="eastAsia" w:ascii="宋体" w:hAnsi="宋体" w:eastAsia="宋体" w:cs="宋体"/>
                      <w:color w:val="auto"/>
                      <w:kern w:val="0"/>
                      <w:sz w:val="20"/>
                      <w:szCs w:val="20"/>
                      <w:highlight w:val="none"/>
                      <w:lang w:val="en-US" w:eastAsia="zh-CN"/>
                    </w:rPr>
                    <w:t>导流明渠开挖</w:t>
                  </w:r>
                </w:p>
              </w:tc>
              <w:tc>
                <w:tcPr>
                  <w:tcW w:w="882" w:type="dxa"/>
                  <w:noWrap w:val="0"/>
                  <w:vAlign w:val="center"/>
                </w:tcPr>
                <w:p>
                  <w:pPr>
                    <w:pStyle w:val="119"/>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m</w:t>
                  </w:r>
                  <w:r>
                    <w:rPr>
                      <w:rFonts w:hint="default" w:ascii="Times New Roman" w:hAnsi="Times New Roman" w:eastAsia="新宋体" w:cs="Times New Roman"/>
                      <w:sz w:val="21"/>
                      <w:szCs w:val="21"/>
                      <w:vertAlign w:val="superscript"/>
                    </w:rPr>
                    <w:t>3</w:t>
                  </w:r>
                </w:p>
              </w:tc>
              <w:tc>
                <w:tcPr>
                  <w:tcW w:w="1277" w:type="dxa"/>
                  <w:noWrap w:val="0"/>
                  <w:vAlign w:val="center"/>
                </w:tcPr>
                <w:p>
                  <w:pPr>
                    <w:widowControl/>
                    <w:ind w:firstLine="0" w:firstLineChars="0"/>
                    <w:jc w:val="center"/>
                    <w:rPr>
                      <w:rFonts w:hint="default" w:ascii="Times New Roman" w:hAnsi="Times New Roman" w:eastAsia="新宋体" w:cs="Times New Roman"/>
                      <w:sz w:val="21"/>
                      <w:szCs w:val="21"/>
                    </w:rPr>
                  </w:pPr>
                  <w:r>
                    <w:rPr>
                      <w:rFonts w:hint="default" w:ascii="Times New Roman" w:hAnsi="Times New Roman" w:eastAsia="仿宋_GB2312" w:cs="Times New Roman"/>
                      <w:color w:val="auto"/>
                      <w:kern w:val="0"/>
                      <w:sz w:val="20"/>
                      <w:szCs w:val="20"/>
                      <w:highlight w:val="none"/>
                      <w:lang w:val="en-US" w:eastAsia="zh-CN"/>
                    </w:rPr>
                    <w:t>131</w:t>
                  </w:r>
                </w:p>
              </w:tc>
              <w:tc>
                <w:tcPr>
                  <w:tcW w:w="1750" w:type="dxa"/>
                  <w:noWrap w:val="0"/>
                  <w:vAlign w:val="center"/>
                </w:tcPr>
                <w:p>
                  <w:pPr>
                    <w:pStyle w:val="119"/>
                    <w:rPr>
                      <w:rFonts w:hint="default" w:ascii="Times New Roman" w:hAnsi="Times New Roman" w:eastAsia="新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77" w:type="dxa"/>
                  <w:noWrap w:val="0"/>
                  <w:vAlign w:val="center"/>
                </w:tcPr>
                <w:p>
                  <w:pPr>
                    <w:pStyle w:val="119"/>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2</w:t>
                  </w:r>
                </w:p>
              </w:tc>
              <w:tc>
                <w:tcPr>
                  <w:tcW w:w="2637" w:type="dxa"/>
                  <w:noWrap w:val="0"/>
                  <w:vAlign w:val="center"/>
                </w:tcPr>
                <w:p>
                  <w:pPr>
                    <w:widowControl/>
                    <w:ind w:firstLine="0" w:firstLineChars="0"/>
                    <w:jc w:val="center"/>
                    <w:rPr>
                      <w:rFonts w:hint="eastAsia" w:ascii="宋体" w:hAnsi="宋体" w:eastAsia="宋体" w:cs="宋体"/>
                      <w:sz w:val="21"/>
                      <w:szCs w:val="21"/>
                    </w:rPr>
                  </w:pPr>
                  <w:r>
                    <w:rPr>
                      <w:rFonts w:hint="eastAsia" w:ascii="宋体" w:hAnsi="宋体" w:eastAsia="宋体" w:cs="宋体"/>
                      <w:color w:val="auto"/>
                      <w:kern w:val="0"/>
                      <w:sz w:val="20"/>
                      <w:szCs w:val="20"/>
                      <w:highlight w:val="none"/>
                      <w:lang w:val="en-US" w:eastAsia="zh-CN"/>
                    </w:rPr>
                    <w:t>导流明渠回填</w:t>
                  </w:r>
                </w:p>
              </w:tc>
              <w:tc>
                <w:tcPr>
                  <w:tcW w:w="882" w:type="dxa"/>
                  <w:noWrap w:val="0"/>
                  <w:vAlign w:val="center"/>
                </w:tcPr>
                <w:p>
                  <w:pPr>
                    <w:pStyle w:val="119"/>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m</w:t>
                  </w:r>
                  <w:r>
                    <w:rPr>
                      <w:rFonts w:hint="default" w:ascii="Times New Roman" w:hAnsi="Times New Roman" w:eastAsia="新宋体" w:cs="Times New Roman"/>
                      <w:sz w:val="21"/>
                      <w:szCs w:val="21"/>
                      <w:vertAlign w:val="superscript"/>
                    </w:rPr>
                    <w:t>3</w:t>
                  </w:r>
                </w:p>
              </w:tc>
              <w:tc>
                <w:tcPr>
                  <w:tcW w:w="1277" w:type="dxa"/>
                  <w:noWrap w:val="0"/>
                  <w:vAlign w:val="center"/>
                </w:tcPr>
                <w:p>
                  <w:pPr>
                    <w:widowControl/>
                    <w:ind w:firstLine="0" w:firstLineChars="0"/>
                    <w:jc w:val="center"/>
                    <w:rPr>
                      <w:rFonts w:hint="default" w:ascii="Times New Roman" w:hAnsi="Times New Roman" w:eastAsia="新宋体" w:cs="Times New Roman"/>
                      <w:sz w:val="21"/>
                      <w:szCs w:val="21"/>
                    </w:rPr>
                  </w:pPr>
                  <w:r>
                    <w:rPr>
                      <w:rFonts w:hint="default" w:ascii="Times New Roman" w:hAnsi="Times New Roman" w:eastAsia="仿宋_GB2312" w:cs="Times New Roman"/>
                      <w:color w:val="auto"/>
                      <w:kern w:val="0"/>
                      <w:sz w:val="20"/>
                      <w:szCs w:val="20"/>
                      <w:highlight w:val="none"/>
                      <w:lang w:val="en-US" w:eastAsia="zh-CN"/>
                    </w:rPr>
                    <w:t>131</w:t>
                  </w:r>
                </w:p>
              </w:tc>
              <w:tc>
                <w:tcPr>
                  <w:tcW w:w="1750" w:type="dxa"/>
                  <w:noWrap w:val="0"/>
                  <w:vAlign w:val="center"/>
                </w:tcPr>
                <w:p>
                  <w:pPr>
                    <w:pStyle w:val="119"/>
                    <w:rPr>
                      <w:rFonts w:hint="default" w:ascii="Times New Roman" w:hAnsi="Times New Roman" w:eastAsia="新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77" w:type="dxa"/>
                  <w:noWrap w:val="0"/>
                  <w:vAlign w:val="center"/>
                </w:tcPr>
                <w:p>
                  <w:pPr>
                    <w:pStyle w:val="119"/>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3</w:t>
                  </w:r>
                </w:p>
              </w:tc>
              <w:tc>
                <w:tcPr>
                  <w:tcW w:w="2637" w:type="dxa"/>
                  <w:noWrap w:val="0"/>
                  <w:vAlign w:val="center"/>
                </w:tcPr>
                <w:p>
                  <w:pPr>
                    <w:widowControl/>
                    <w:ind w:firstLine="0" w:firstLineChars="0"/>
                    <w:jc w:val="center"/>
                    <w:rPr>
                      <w:rFonts w:hint="eastAsia" w:ascii="宋体" w:hAnsi="宋体" w:eastAsia="宋体" w:cs="宋体"/>
                      <w:sz w:val="21"/>
                      <w:szCs w:val="21"/>
                    </w:rPr>
                  </w:pPr>
                  <w:r>
                    <w:rPr>
                      <w:rFonts w:hint="eastAsia" w:ascii="宋体" w:hAnsi="宋体" w:eastAsia="宋体" w:cs="宋体"/>
                      <w:color w:val="auto"/>
                      <w:kern w:val="0"/>
                      <w:sz w:val="20"/>
                      <w:szCs w:val="20"/>
                      <w:highlight w:val="none"/>
                      <w:lang w:val="en-US" w:eastAsia="zh-CN"/>
                    </w:rPr>
                    <w:t>土石围堰</w:t>
                  </w:r>
                </w:p>
              </w:tc>
              <w:tc>
                <w:tcPr>
                  <w:tcW w:w="882" w:type="dxa"/>
                  <w:noWrap w:val="0"/>
                  <w:vAlign w:val="center"/>
                </w:tcPr>
                <w:p>
                  <w:pPr>
                    <w:pStyle w:val="119"/>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m</w:t>
                  </w:r>
                  <w:r>
                    <w:rPr>
                      <w:rFonts w:hint="default" w:ascii="Times New Roman" w:hAnsi="Times New Roman" w:eastAsia="新宋体" w:cs="Times New Roman"/>
                      <w:sz w:val="21"/>
                      <w:szCs w:val="21"/>
                      <w:vertAlign w:val="superscript"/>
                    </w:rPr>
                    <w:t>3</w:t>
                  </w:r>
                </w:p>
              </w:tc>
              <w:tc>
                <w:tcPr>
                  <w:tcW w:w="1277" w:type="dxa"/>
                  <w:noWrap w:val="0"/>
                  <w:vAlign w:val="center"/>
                </w:tcPr>
                <w:p>
                  <w:pPr>
                    <w:widowControl/>
                    <w:ind w:firstLine="0" w:firstLineChars="0"/>
                    <w:jc w:val="center"/>
                    <w:rPr>
                      <w:rFonts w:hint="default" w:ascii="Times New Roman" w:hAnsi="Times New Roman" w:eastAsia="新宋体" w:cs="Times New Roman"/>
                      <w:sz w:val="21"/>
                      <w:szCs w:val="21"/>
                    </w:rPr>
                  </w:pPr>
                  <w:r>
                    <w:rPr>
                      <w:rFonts w:hint="default" w:ascii="Times New Roman" w:hAnsi="Times New Roman" w:eastAsia="仿宋_GB2312" w:cs="Times New Roman"/>
                      <w:color w:val="auto"/>
                      <w:kern w:val="0"/>
                      <w:sz w:val="20"/>
                      <w:szCs w:val="20"/>
                      <w:highlight w:val="none"/>
                      <w:lang w:val="en-US" w:eastAsia="zh-CN"/>
                    </w:rPr>
                    <w:t>8</w:t>
                  </w:r>
                </w:p>
              </w:tc>
              <w:tc>
                <w:tcPr>
                  <w:tcW w:w="1750" w:type="dxa"/>
                  <w:noWrap w:val="0"/>
                  <w:vAlign w:val="center"/>
                </w:tcPr>
                <w:p>
                  <w:pPr>
                    <w:pStyle w:val="119"/>
                    <w:rPr>
                      <w:rFonts w:hint="default" w:ascii="Times New Roman" w:hAnsi="Times New Roman" w:eastAsia="新宋体" w:cs="Times New Roman"/>
                      <w:sz w:val="21"/>
                      <w:szCs w:val="21"/>
                    </w:rPr>
                  </w:pPr>
                </w:p>
              </w:tc>
            </w:tr>
          </w:tbl>
          <w:p>
            <w:pPr>
              <w:spacing w:line="360" w:lineRule="auto"/>
              <w:ind w:firstLine="480" w:firstLineChars="200"/>
              <w:rPr>
                <w:rFonts w:hint="eastAsia" w:ascii="Times New Roman" w:hAnsi="Times New Roman" w:eastAsia="宋体" w:cs="Times New Roman"/>
                <w:sz w:val="24"/>
                <w:szCs w:val="24"/>
                <w:lang w:val="en-GB" w:eastAsia="zh-CN"/>
              </w:rPr>
            </w:pP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lang w:val="en-GB" w:eastAsia="zh-CN"/>
              </w:rPr>
              <w:t>）基坑排水</w:t>
            </w:r>
          </w:p>
          <w:bookmarkEnd w:id="54"/>
          <w:bookmarkEnd w:id="55"/>
          <w:p>
            <w:pPr>
              <w:spacing w:line="360" w:lineRule="auto"/>
              <w:ind w:firstLine="480" w:firstLineChars="200"/>
              <w:rPr>
                <w:rFonts w:hint="default" w:ascii="Times New Roman" w:hAnsi="Times New Roman" w:eastAsia="宋体" w:cs="Times New Roman"/>
                <w:b w:val="0"/>
                <w:bCs/>
                <w:sz w:val="24"/>
              </w:rPr>
            </w:pPr>
            <w:r>
              <w:rPr>
                <w:rFonts w:hint="default" w:ascii="Times New Roman" w:hAnsi="Times New Roman" w:eastAsia="宋体" w:cs="Times New Roman"/>
                <w:b w:val="0"/>
                <w:bCs/>
                <w:sz w:val="24"/>
              </w:rPr>
              <w:t>（1）初期排水</w:t>
            </w:r>
          </w:p>
          <w:p>
            <w:pPr>
              <w:spacing w:line="360" w:lineRule="auto"/>
              <w:ind w:firstLine="480" w:firstLineChars="200"/>
              <w:rPr>
                <w:rFonts w:hint="default" w:ascii="Times New Roman" w:hAnsi="Times New Roman" w:eastAsia="宋体" w:cs="Times New Roman"/>
                <w:b w:val="0"/>
                <w:bCs/>
                <w:sz w:val="24"/>
              </w:rPr>
            </w:pPr>
            <w:r>
              <w:rPr>
                <w:rFonts w:hint="default" w:ascii="Times New Roman" w:hAnsi="Times New Roman" w:eastAsia="宋体" w:cs="Times New Roman"/>
                <w:b w:val="0"/>
                <w:bCs/>
                <w:sz w:val="24"/>
                <w:lang w:val="en-US" w:eastAsia="zh-CN"/>
              </w:rPr>
              <w:t>庄子沟</w:t>
            </w:r>
            <w:r>
              <w:rPr>
                <w:rFonts w:hint="default" w:ascii="Times New Roman" w:hAnsi="Times New Roman" w:eastAsia="宋体" w:cs="Times New Roman"/>
                <w:b w:val="0"/>
                <w:bCs/>
                <w:sz w:val="24"/>
              </w:rPr>
              <w:t>堤防工程施工</w:t>
            </w:r>
            <w:r>
              <w:rPr>
                <w:rFonts w:hint="default" w:ascii="Times New Roman" w:hAnsi="Times New Roman" w:eastAsia="宋体" w:cs="Times New Roman"/>
                <w:b w:val="0"/>
                <w:bCs/>
                <w:sz w:val="24"/>
                <w:lang w:val="en-US" w:eastAsia="zh-CN"/>
              </w:rPr>
              <w:t>为两岸</w:t>
            </w:r>
            <w:r>
              <w:rPr>
                <w:rFonts w:hint="default" w:ascii="Times New Roman" w:hAnsi="Times New Roman" w:eastAsia="宋体" w:cs="Times New Roman"/>
                <w:b w:val="0"/>
                <w:bCs/>
                <w:sz w:val="24"/>
              </w:rPr>
              <w:t>，基坑形成后，集水少，初期排水量小，可结合经常性排水选择排水设备。</w:t>
            </w:r>
          </w:p>
          <w:p>
            <w:pPr>
              <w:spacing w:line="360" w:lineRule="auto"/>
              <w:ind w:firstLine="360" w:firstLineChars="150"/>
              <w:rPr>
                <w:rFonts w:hint="default" w:ascii="Times New Roman" w:hAnsi="Times New Roman" w:eastAsia="宋体" w:cs="Times New Roman"/>
                <w:b w:val="0"/>
                <w:bCs/>
                <w:sz w:val="24"/>
              </w:rPr>
            </w:pPr>
            <w:r>
              <w:rPr>
                <w:rFonts w:hint="default" w:ascii="Times New Roman" w:hAnsi="Times New Roman" w:eastAsia="宋体" w:cs="Times New Roman"/>
                <w:b w:val="0"/>
                <w:bCs/>
                <w:sz w:val="24"/>
              </w:rPr>
              <w:t>（2）经常性排水</w:t>
            </w:r>
          </w:p>
          <w:p>
            <w:pPr>
              <w:spacing w:line="360" w:lineRule="auto"/>
              <w:ind w:firstLine="480" w:firstLineChars="200"/>
              <w:rPr>
                <w:rFonts w:hint="default" w:ascii="Times New Roman" w:hAnsi="Times New Roman" w:eastAsia="宋体" w:cs="Times New Roman"/>
                <w:b w:val="0"/>
                <w:bCs/>
                <w:sz w:val="24"/>
                <w:lang w:val="en-US" w:eastAsia="zh-CN"/>
              </w:rPr>
            </w:pPr>
            <w:r>
              <w:rPr>
                <w:rFonts w:hint="default" w:ascii="Times New Roman" w:hAnsi="Times New Roman" w:eastAsia="宋体" w:cs="Times New Roman"/>
                <w:b w:val="0"/>
                <w:bCs/>
                <w:sz w:val="24"/>
              </w:rPr>
              <w:t>经常性排水包括围堰及基础渗水、施工弃水和降雨。防洪堤在枯期施工，根据广元气象站资料，枯期降水量小；根据地质资料，河堤整治段基础</w:t>
            </w:r>
            <w:r>
              <w:rPr>
                <w:rFonts w:hint="default" w:ascii="Times New Roman" w:hAnsi="Times New Roman" w:eastAsia="宋体" w:cs="Times New Roman"/>
                <w:b w:val="0"/>
                <w:bCs/>
                <w:sz w:val="24"/>
                <w:lang w:val="en-US" w:eastAsia="zh-CN"/>
              </w:rPr>
              <w:t>土夹</w:t>
            </w:r>
            <w:r>
              <w:rPr>
                <w:rFonts w:hint="default" w:ascii="Times New Roman" w:hAnsi="Times New Roman" w:eastAsia="宋体" w:cs="Times New Roman"/>
                <w:b w:val="0"/>
                <w:bCs/>
                <w:sz w:val="24"/>
              </w:rPr>
              <w:t>石，渗透性强，渗水量大；故经常性排水只考虑基础渗水和施工弃水。</w:t>
            </w:r>
            <w:r>
              <w:rPr>
                <w:rFonts w:hint="default" w:ascii="Times New Roman" w:hAnsi="Times New Roman" w:eastAsia="宋体" w:cs="Times New Roman"/>
                <w:b w:val="0"/>
                <w:bCs/>
                <w:sz w:val="24"/>
                <w:lang w:val="en-US" w:eastAsia="zh-CN"/>
              </w:rPr>
              <w:t>设置两台水泵抽水，一台备用，水泵型号为80WQ65-25-7.5。</w:t>
            </w:r>
          </w:p>
          <w:p>
            <w:pPr>
              <w:spacing w:line="360" w:lineRule="auto"/>
              <w:ind w:firstLine="361" w:firstLineChars="150"/>
              <w:rPr>
                <w:rFonts w:hint="default" w:ascii="Times New Roman" w:hAnsi="Times New Roman" w:eastAsia="宋体" w:cs="Times New Roman"/>
                <w:b/>
                <w:bCs w:val="0"/>
                <w:sz w:val="24"/>
              </w:rPr>
            </w:pPr>
            <w:r>
              <w:rPr>
                <w:rFonts w:hint="default" w:ascii="Times New Roman" w:hAnsi="Times New Roman" w:eastAsia="宋体" w:cs="Times New Roman"/>
                <w:b/>
                <w:bCs w:val="0"/>
                <w:sz w:val="24"/>
              </w:rPr>
              <w:t>2、主体工程施工</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（1）土方开挖</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本工程需开挖土方1.9</w:t>
            </w:r>
            <w:r>
              <w:rPr>
                <w:rFonts w:hint="eastAsia" w:cs="Times New Roman"/>
                <w:sz w:val="24"/>
                <w:szCs w:val="24"/>
                <w:lang w:val="en-US" w:eastAsia="zh-CN"/>
              </w:rPr>
              <w:t>98</w:t>
            </w:r>
            <w:r>
              <w:rPr>
                <w:rFonts w:hint="eastAsia" w:ascii="Times New Roman" w:hAnsi="Times New Roman" w:eastAsia="宋体" w:cs="Times New Roman"/>
                <w:sz w:val="24"/>
                <w:szCs w:val="24"/>
                <w:lang w:val="en-US" w:eastAsia="zh-CN"/>
              </w:rPr>
              <w:t>万m³，采用单斗挖掘机液压1m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开挖，并采用103kw推土机沿线堆至旁边低洼处就近临时堆放，用于后期回填。</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（2）填筑工程</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堤体填筑量为1.</w:t>
            </w:r>
            <w:r>
              <w:rPr>
                <w:rFonts w:hint="eastAsia" w:cs="Times New Roman"/>
                <w:sz w:val="24"/>
                <w:szCs w:val="24"/>
                <w:lang w:val="en-US" w:eastAsia="zh-CN"/>
              </w:rPr>
              <w:t>878</w:t>
            </w:r>
            <w:r>
              <w:rPr>
                <w:rFonts w:hint="eastAsia" w:ascii="Times New Roman" w:hAnsi="Times New Roman" w:eastAsia="宋体" w:cs="Times New Roman"/>
                <w:sz w:val="24"/>
                <w:szCs w:val="24"/>
                <w:lang w:val="en-US" w:eastAsia="zh-CN"/>
              </w:rPr>
              <w:t>万m³，为土石填筑料。堤体填筑的工序为铺料、碾压及质检，用进占法铺筑，采用羊脚碾 5-7t 拖拉机 59kw碾压，配合蛙式夯实机 2.8kw夯实，斜坡采用斜坡碾，下坡静碾，上坡动碾。实行碾压采用摊铺一段，碾压密实一段，碾压时采用先轻后重，先慢后快，自两边向中间，由低处向高处逐步碾压。</w:t>
            </w:r>
          </w:p>
          <w:p>
            <w:pPr>
              <w:spacing w:line="360" w:lineRule="auto"/>
              <w:ind w:firstLine="481"/>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（3）混凝土浇筑</w:t>
            </w:r>
          </w:p>
          <w:p>
            <w:pPr>
              <w:spacing w:line="360" w:lineRule="auto"/>
              <w:ind w:firstLine="481"/>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混凝土施工程序：支模→浇筑→养护。</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商品混凝土采用搅拌运输车进行运输</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使用振捣器振捣密实。基础墙身及主体结构梁板柱砼浇捣商品混凝土要连续进行。如必须间歇，间歇时间尽量缩短，不得超过2小时，并在前段商品混凝土初凝前，将前段商品混凝土浇捣完毕，否则按施工缝处理。禁止向商品混凝土臂架式泵车的储料斗中任意加水。</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混凝土浇筑完毕后，商品混凝土的养护时间应不得少于14天，在砼强度达到1.2Mpa之前，不得在其上踩踏或施工振动。柱、墙板应带模养护2天以上。拆模后再继续保湿养护。采用浇水养护方法，浇水次数应能保持有足够的润湿状态。</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lang w:val="en-US" w:eastAsia="zh-CN"/>
              </w:rPr>
              <w:t>、</w:t>
            </w:r>
            <w:r>
              <w:rPr>
                <w:rFonts w:hint="eastAsia" w:ascii="Times New Roman" w:hAnsi="Times New Roman" w:eastAsia="宋体" w:cs="Times New Roman"/>
                <w:b/>
                <w:bCs/>
                <w:color w:val="auto"/>
                <w:sz w:val="24"/>
                <w:highlight w:val="none"/>
                <w:lang w:val="en-US" w:eastAsia="zh-CN"/>
              </w:rPr>
              <w:t>穿堤及排涝涵管施工工艺</w:t>
            </w:r>
          </w:p>
          <w:p>
            <w:pPr>
              <w:pStyle w:val="134"/>
              <w:ind w:firstLineChars="200"/>
              <w:rPr>
                <w:rFonts w:hint="eastAsia" w:ascii="宋体" w:hAnsi="宋体" w:eastAsia="宋体" w:cs="宋体"/>
                <w:color w:val="auto"/>
                <w:sz w:val="24"/>
                <w:highlight w:val="none"/>
              </w:rPr>
            </w:pPr>
            <w:r>
              <w:rPr>
                <w:rFonts w:hint="eastAsia"/>
                <w:color w:val="auto"/>
                <w:sz w:val="24"/>
                <w:szCs w:val="24"/>
                <w:highlight w:val="none"/>
              </w:rPr>
              <w:t>堤防共设置排涝涵管</w:t>
            </w:r>
            <w:r>
              <w:rPr>
                <w:rFonts w:hint="eastAsia"/>
                <w:color w:val="auto"/>
                <w:sz w:val="24"/>
                <w:szCs w:val="24"/>
                <w:highlight w:val="none"/>
                <w:lang w:val="en-US" w:eastAsia="zh-CN"/>
              </w:rPr>
              <w:t>2</w:t>
            </w:r>
            <w:r>
              <w:rPr>
                <w:rFonts w:hint="eastAsia"/>
                <w:color w:val="auto"/>
                <w:sz w:val="24"/>
                <w:szCs w:val="24"/>
                <w:highlight w:val="none"/>
              </w:rPr>
              <w:t>处，均</w:t>
            </w:r>
            <w:r>
              <w:rPr>
                <w:rFonts w:hint="eastAsia" w:ascii="宋体" w:hAnsi="宋体" w:eastAsia="宋体" w:cs="宋体"/>
                <w:color w:val="auto"/>
                <w:sz w:val="24"/>
                <w:highlight w:val="none"/>
              </w:rPr>
              <w:t>采用预制钢筋砼管，管径Φ</w:t>
            </w:r>
            <w:r>
              <w:rPr>
                <w:rFonts w:hint="eastAsia" w:ascii="宋体" w:hAnsi="宋体" w:eastAsia="宋体" w:cs="宋体"/>
                <w:color w:val="auto"/>
                <w:sz w:val="24"/>
                <w:highlight w:val="none"/>
                <w:lang w:val="en-US" w:eastAsia="zh-CN"/>
              </w:rPr>
              <w:t>300</w:t>
            </w:r>
            <w:r>
              <w:rPr>
                <w:rFonts w:hint="eastAsia" w:ascii="宋体" w:hAnsi="宋体" w:eastAsia="宋体" w:cs="宋体"/>
                <w:color w:val="auto"/>
                <w:sz w:val="24"/>
                <w:highlight w:val="none"/>
              </w:rPr>
              <w:t>mm，管道纵坡坡比为1：</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为方便沿线</w:t>
            </w:r>
            <w:r>
              <w:rPr>
                <w:rFonts w:hint="eastAsia" w:ascii="宋体" w:hAnsi="宋体" w:eastAsia="宋体" w:cs="宋体"/>
                <w:color w:val="auto"/>
                <w:sz w:val="24"/>
                <w:highlight w:val="none"/>
                <w:lang w:val="en-US" w:eastAsia="zh-CN"/>
              </w:rPr>
              <w:t>农田</w:t>
            </w:r>
            <w:r>
              <w:rPr>
                <w:rFonts w:hint="eastAsia" w:ascii="宋体" w:hAnsi="宋体" w:eastAsia="宋体" w:cs="宋体"/>
                <w:color w:val="auto"/>
                <w:sz w:val="24"/>
                <w:highlight w:val="none"/>
              </w:rPr>
              <w:t>排水</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沿堤线设置排水沟</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汇集后经排涝涵管进入河道</w:t>
            </w:r>
            <w:r>
              <w:rPr>
                <w:rFonts w:hint="eastAsia" w:ascii="宋体" w:hAnsi="宋体" w:eastAsia="宋体" w:cs="宋体"/>
                <w:color w:val="auto"/>
                <w:sz w:val="24"/>
                <w:highlight w:val="none"/>
              </w:rPr>
              <w:t>。</w:t>
            </w:r>
          </w:p>
          <w:p>
            <w:pPr>
              <w:spacing w:line="360" w:lineRule="auto"/>
              <w:ind w:firstLine="481"/>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w:t>
            </w:r>
            <w:r>
              <w:rPr>
                <w:rFonts w:hint="eastAsia" w:ascii="Times New Roman" w:hAnsi="Times New Roman" w:eastAsia="宋体" w:cs="Times New Roman"/>
                <w:b/>
                <w:bCs/>
                <w:color w:val="auto"/>
                <w:sz w:val="24"/>
                <w:szCs w:val="24"/>
                <w:highlight w:val="none"/>
                <w:lang w:val="en-US" w:eastAsia="zh-CN"/>
              </w:rPr>
              <w:t>疏浚施工工艺</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庄子沟杂草丛生，两岸植被较多，增加了河道糙率，且淤积较严重，水流状况较差，影响河道行洪，为了增加河道的行洪能力，需要对河段进行疏浚处理。河道疏浚施工应严格依照《疏浚工程施工技术规范》和《疏浚工程技术规范》执行。</w:t>
            </w:r>
          </w:p>
          <w:p>
            <w:pPr>
              <w:pStyle w:val="8"/>
              <w:keepNext w:val="0"/>
              <w:keepLines w:val="0"/>
              <w:pageBreakBefore w:val="0"/>
              <w:widowControl/>
              <w:kinsoku/>
              <w:wordWrap/>
              <w:overflowPunct/>
              <w:topLinePunct w:val="0"/>
              <w:autoSpaceDE/>
              <w:autoSpaceDN/>
              <w:bidi w:val="0"/>
              <w:adjustRightInd/>
              <w:snapToGrid w:val="0"/>
              <w:spacing w:before="0" w:after="0" w:line="360" w:lineRule="auto"/>
              <w:ind w:right="113" w:firstLine="480" w:firstLineChars="200"/>
              <w:textAlignment w:val="auto"/>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广元市昭化区重点采煤沉陷区生态环境综合治理项目</w:t>
            </w:r>
            <w:r>
              <w:rPr>
                <w:rFonts w:hint="default" w:ascii="Times New Roman" w:hAnsi="Times New Roman" w:eastAsia="宋体" w:cs="Times New Roman"/>
                <w:kern w:val="2"/>
                <w:sz w:val="24"/>
                <w:szCs w:val="24"/>
                <w:lang w:val="en-US" w:eastAsia="zh-CN" w:bidi="ar-SA"/>
              </w:rPr>
              <w:t>清淤起点桩号K0+000.00，清淤终点K0+250.00,清淤长度250m，清淤量700m³，清淤料用于</w:t>
            </w:r>
            <w:r>
              <w:rPr>
                <w:rFonts w:hint="eastAsia" w:cs="Times New Roman"/>
                <w:kern w:val="2"/>
                <w:sz w:val="24"/>
                <w:szCs w:val="24"/>
                <w:lang w:val="en-US" w:eastAsia="zh-CN" w:bidi="ar-SA"/>
              </w:rPr>
              <w:t>工程</w:t>
            </w:r>
            <w:r>
              <w:rPr>
                <w:rFonts w:hint="default" w:ascii="Times New Roman" w:hAnsi="Times New Roman" w:eastAsia="宋体" w:cs="Times New Roman"/>
                <w:kern w:val="2"/>
                <w:sz w:val="24"/>
                <w:szCs w:val="24"/>
                <w:lang w:val="en-US" w:eastAsia="zh-CN" w:bidi="ar-SA"/>
              </w:rPr>
              <w:t>河道回填。</w:t>
            </w:r>
          </w:p>
          <w:p>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采用机械清淤，</w:t>
            </w:r>
            <w:r>
              <w:rPr>
                <w:rFonts w:hint="eastAsia" w:ascii="Times New Roman" w:hAnsi="Times New Roman" w:eastAsia="宋体" w:cs="Times New Roman"/>
                <w:sz w:val="24"/>
                <w:szCs w:val="24"/>
                <w:lang w:val="en-US" w:eastAsia="zh-CN"/>
              </w:rPr>
              <w:t>在枯水期实施，</w:t>
            </w:r>
            <w:r>
              <w:rPr>
                <w:rFonts w:hint="default" w:ascii="Times New Roman" w:hAnsi="Times New Roman" w:eastAsia="宋体" w:cs="Times New Roman"/>
                <w:sz w:val="24"/>
                <w:szCs w:val="24"/>
                <w:lang w:val="en-US" w:eastAsia="zh-CN"/>
              </w:rPr>
              <w:t>使用挖掘、推土机等机械直接开下河道内进行淤泥疏掏，并将</w:t>
            </w:r>
            <w:r>
              <w:rPr>
                <w:rFonts w:hint="eastAsia" w:ascii="Times New Roman" w:hAnsi="Times New Roman" w:eastAsia="宋体" w:cs="Times New Roman"/>
                <w:sz w:val="24"/>
                <w:szCs w:val="24"/>
                <w:lang w:val="en-US" w:eastAsia="zh-CN"/>
              </w:rPr>
              <w:t>清淤泥沙采用</w:t>
            </w:r>
            <w:r>
              <w:rPr>
                <w:rFonts w:hint="default" w:ascii="Times New Roman" w:hAnsi="Times New Roman" w:eastAsia="宋体" w:cs="Times New Roman"/>
                <w:sz w:val="24"/>
                <w:szCs w:val="24"/>
                <w:lang w:val="en-US" w:eastAsia="zh-CN"/>
              </w:rPr>
              <w:t>自卸汽车上转运至</w:t>
            </w:r>
            <w:r>
              <w:rPr>
                <w:rFonts w:hint="eastAsia" w:cs="Times New Roman"/>
                <w:sz w:val="24"/>
                <w:szCs w:val="24"/>
                <w:lang w:val="en-US" w:eastAsia="zh-CN"/>
              </w:rPr>
              <w:t>临时堆土场临时</w:t>
            </w:r>
            <w:r>
              <w:rPr>
                <w:rFonts w:hint="eastAsia" w:ascii="Times New Roman" w:hAnsi="Times New Roman" w:eastAsia="宋体" w:cs="Times New Roman"/>
                <w:sz w:val="24"/>
                <w:szCs w:val="24"/>
                <w:lang w:val="en-US" w:eastAsia="zh-CN"/>
              </w:rPr>
              <w:t>堆放，用于</w:t>
            </w:r>
            <w:r>
              <w:rPr>
                <w:rFonts w:hint="eastAsia" w:cs="Times New Roman"/>
                <w:sz w:val="24"/>
                <w:szCs w:val="24"/>
                <w:lang w:val="en-US" w:eastAsia="zh-CN"/>
              </w:rPr>
              <w:t>工程河道</w:t>
            </w:r>
            <w:r>
              <w:rPr>
                <w:rFonts w:hint="eastAsia" w:ascii="Times New Roman" w:hAnsi="Times New Roman" w:eastAsia="宋体" w:cs="Times New Roman"/>
                <w:sz w:val="24"/>
                <w:szCs w:val="24"/>
                <w:lang w:val="en-US" w:eastAsia="zh-CN"/>
              </w:rPr>
              <w:t>回填处理。</w:t>
            </w:r>
          </w:p>
          <w:p>
            <w:pPr>
              <w:spacing w:line="360" w:lineRule="auto"/>
              <w:ind w:firstLine="481"/>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5</w:t>
            </w:r>
            <w:r>
              <w:rPr>
                <w:rFonts w:hint="default" w:ascii="Times New Roman" w:hAnsi="Times New Roman" w:eastAsia="宋体" w:cs="Times New Roman"/>
                <w:b/>
                <w:bCs/>
                <w:sz w:val="24"/>
                <w:szCs w:val="24"/>
                <w:lang w:val="en-US" w:eastAsia="zh-CN"/>
              </w:rPr>
              <w:t>、</w:t>
            </w:r>
            <w:r>
              <w:rPr>
                <w:rFonts w:hint="eastAsia" w:ascii="Times New Roman" w:hAnsi="Times New Roman" w:eastAsia="宋体" w:cs="Times New Roman"/>
                <w:b/>
                <w:bCs/>
                <w:sz w:val="24"/>
                <w:szCs w:val="24"/>
                <w:lang w:val="en-US" w:eastAsia="zh-CN"/>
              </w:rPr>
              <w:t>施工管理要求</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工程建设的作业范围应严格按照红线范围实施，施工过程中不得越界施工。工程建设中所需施工材料全部由区外调运。</w:t>
            </w:r>
          </w:p>
          <w:p>
            <w:pPr>
              <w:spacing w:line="360" w:lineRule="auto"/>
              <w:ind w:firstLine="48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项目应合理安排施工进度和方案，尽量缩短施工周期，避免在雨季施工。</w:t>
            </w:r>
          </w:p>
          <w:p>
            <w:pPr>
              <w:spacing w:line="360" w:lineRule="auto"/>
              <w:ind w:firstLine="481"/>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施工过程不得随意改变堤型结构</w:t>
            </w:r>
            <w:r>
              <w:rPr>
                <w:rFonts w:hint="default" w:ascii="Times New Roman" w:hAnsi="Times New Roman" w:eastAsia="宋体" w:cs="Times New Roman"/>
                <w:sz w:val="24"/>
                <w:szCs w:val="24"/>
                <w:lang w:val="en-US" w:eastAsia="zh-CN"/>
              </w:rPr>
              <w:t>。</w:t>
            </w:r>
          </w:p>
          <w:p>
            <w:pPr>
              <w:spacing w:line="360" w:lineRule="auto"/>
              <w:ind w:firstLine="481"/>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向施工人员宣传《中华人民共和国森林法》、《中华人民共和国野生动物保护法》、《森林和野生动物类型自然保护区管理办法》、《中华人民共和国环境保护法》等法律法规，以及国家和四川省关于保护自然生态系统和保护珍稀濒危动植物的有关政策的宣传教育，以提高施工人员的保护意识，防止乱砍滥伐林木、乱捕乱猎野生动物等现象发生。一旦发现问题，及时依法进行严肃处理。</w:t>
            </w:r>
          </w:p>
          <w:p>
            <w:pPr>
              <w:spacing w:line="360" w:lineRule="auto"/>
              <w:ind w:firstLine="481"/>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加强大型施工机械和车辆管理。一是选用符合国家相关卫生标准的施工机械和运输工具，使其排放的废气符合国家相关标准。二是定期检查、维修、确保施工机械和车辆各项环保指标符合尾气排放要求。三是采用优质、污染小的燃油。四是机械、设备、场地等的清洗产生的废料应由施工车辆收集送至指定的处理场所进行处理或作为场地恢复的填充材料妥善填埋，不得任意丢弃。</w:t>
            </w:r>
          </w:p>
          <w:p>
            <w:pPr>
              <w:spacing w:line="360" w:lineRule="auto"/>
              <w:ind w:firstLine="481"/>
              <w:rPr>
                <w:rFonts w:hint="eastAsia" w:ascii="Times New Roman" w:hAnsi="Times New Roman" w:eastAsia="宋体" w:cs="Times New Roman"/>
                <w:sz w:val="24"/>
                <w:szCs w:val="24"/>
                <w:lang w:val="en-US" w:eastAsia="zh-CN"/>
              </w:rPr>
            </w:pPr>
          </w:p>
          <w:p>
            <w:pPr>
              <w:rPr>
                <w:rFonts w:hint="eastAsia"/>
              </w:rPr>
            </w:pPr>
          </w:p>
          <w:p>
            <w:pPr>
              <w:pStyle w:val="65"/>
              <w:numPr>
                <w:ilvl w:val="0"/>
                <w:numId w:val="0"/>
              </w:numPr>
              <w:spacing w:beforeLines="0" w:afterLines="0"/>
              <w:ind w:firstLine="0"/>
              <w:jc w:val="both"/>
              <w:rPr>
                <w:rFonts w:hint="eastAsia"/>
                <w:sz w:val="24"/>
                <w:szCs w:val="24"/>
              </w:rPr>
            </w:pPr>
          </w:p>
          <w:p>
            <w:pPr>
              <w:spacing w:line="360" w:lineRule="auto"/>
              <w:ind w:firstLine="481"/>
              <w:rPr>
                <w:rFonts w:hint="eastAsia" w:eastAsia="宋体"/>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noWrap w:val="0"/>
            <w:vAlign w:val="center"/>
          </w:tcPr>
          <w:p>
            <w:pPr>
              <w:adjustRightInd w:val="0"/>
              <w:snapToGrid w:val="0"/>
              <w:jc w:val="center"/>
              <w:rPr>
                <w:rFonts w:hint="default" w:ascii="Times New Roman" w:hAnsi="Times New Roman" w:cs="Times New Roman"/>
                <w:b/>
                <w:bCs/>
                <w:color w:val="auto"/>
                <w:kern w:val="2"/>
                <w:sz w:val="24"/>
                <w:szCs w:val="24"/>
                <w:highlight w:val="none"/>
                <w:lang w:val="en-US" w:eastAsia="zh-CN" w:bidi="ar-SA"/>
              </w:rPr>
            </w:pPr>
            <w:r>
              <w:rPr>
                <w:rFonts w:hint="eastAsia" w:ascii="宋体" w:hAnsi="宋体" w:cs="宋体"/>
                <w:b/>
                <w:bCs/>
                <w:kern w:val="0"/>
                <w:sz w:val="24"/>
                <w:szCs w:val="24"/>
                <w:lang w:val="en-US" w:eastAsia="zh-CN"/>
              </w:rPr>
              <w:t>其他</w:t>
            </w:r>
          </w:p>
        </w:tc>
        <w:tc>
          <w:tcPr>
            <w:tcW w:w="8365" w:type="dxa"/>
            <w:noWrap w:val="0"/>
            <w:vAlign w:val="bottom"/>
          </w:tcPr>
          <w:p>
            <w:pPr>
              <w:pStyle w:val="28"/>
              <w:ind w:left="0" w:leftChars="0" w:firstLine="0" w:firstLineChars="0"/>
              <w:rPr>
                <w:rFonts w:hint="eastAsia" w:ascii="Times New Roman" w:hAnsi="Times New Roman" w:cs="Times New Roman"/>
                <w:color w:val="auto"/>
                <w:sz w:val="24"/>
                <w:szCs w:val="24"/>
                <w:highlight w:val="none"/>
                <w:lang w:val="en-US" w:eastAsia="zh-CN" w:bidi="ar-SA"/>
              </w:rPr>
            </w:pPr>
          </w:p>
        </w:tc>
      </w:tr>
    </w:tbl>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黑体" w:hAnsi="黑体" w:eastAsia="黑体"/>
          <w:snapToGrid w:val="0"/>
          <w:sz w:val="30"/>
          <w:szCs w:val="30"/>
        </w:rPr>
      </w:pPr>
      <w:r>
        <w:rPr>
          <w:rFonts w:hint="eastAsia" w:ascii="黑体" w:hAnsi="黑体" w:eastAsia="黑体"/>
          <w:snapToGrid w:val="0"/>
          <w:sz w:val="30"/>
          <w:szCs w:val="30"/>
          <w:lang w:val="en-US" w:eastAsia="zh-CN"/>
        </w:rPr>
        <w:br w:type="page"/>
      </w:r>
      <w:bookmarkStart w:id="56" w:name="_Toc2970"/>
      <w:r>
        <w:rPr>
          <w:rFonts w:hint="eastAsia" w:ascii="黑体" w:hAnsi="黑体" w:eastAsia="黑体"/>
          <w:snapToGrid w:val="0"/>
          <w:sz w:val="30"/>
          <w:szCs w:val="30"/>
          <w:lang w:val="en-US" w:eastAsia="zh-CN"/>
        </w:rPr>
        <w:t>三、生态环境现状、保护目标及评价标准</w:t>
      </w:r>
      <w:bookmarkEnd w:id="56"/>
    </w:p>
    <w:tbl>
      <w:tblPr>
        <w:tblStyle w:val="30"/>
        <w:tblW w:w="93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9"/>
        <w:gridCol w:w="88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2" w:hRule="atLeast"/>
          <w:jc w:val="center"/>
        </w:trPr>
        <w:tc>
          <w:tcPr>
            <w:tcW w:w="539" w:type="dxa"/>
            <w:noWrap w:val="0"/>
            <w:vAlign w:val="center"/>
          </w:tcPr>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b/>
                <w:bCs/>
                <w:kern w:val="0"/>
                <w:sz w:val="24"/>
                <w:szCs w:val="24"/>
              </w:rPr>
              <w:t>生态环境现状</w:t>
            </w:r>
          </w:p>
        </w:tc>
        <w:tc>
          <w:tcPr>
            <w:tcW w:w="8850" w:type="dxa"/>
            <w:noWrap w:val="0"/>
            <w:vAlign w:val="center"/>
          </w:tcPr>
          <w:p>
            <w:pPr>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一</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生态环境现状</w:t>
            </w:r>
          </w:p>
          <w:p>
            <w:pPr>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rPr>
              <w:t>生态功能</w:t>
            </w:r>
            <w:r>
              <w:rPr>
                <w:rFonts w:hint="default" w:ascii="Times New Roman" w:hAnsi="Times New Roman" w:cs="Times New Roman"/>
                <w:b/>
                <w:bCs/>
                <w:color w:val="auto"/>
                <w:sz w:val="24"/>
                <w:szCs w:val="24"/>
                <w:lang w:val="en-US" w:eastAsia="zh-CN"/>
              </w:rPr>
              <w:t>区划和主体功能区规划</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1.1四川省生态功能区划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态功能分区是依据区域生态环境敏感性、生态服务功能重要性以及生态环境特征的相似性和差异性而进行的地理空间分区。四川生态功能区划分区以四川的地形、地貌、气候、生态系统类型、生态环境特征以及区域的生态环境敏感性和生态服务功能等为基础，进行四川生态功能区划三级分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一级区（生态区）划分：以全国生态功能区划的二级生态功能区为基础，以地形、地貌、气候为依据。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二级区（生态亚区）划分；以全国生态功能区划的三级生态功能区为基础，以主要生态系统类型和生态服务功能类型为依据。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三级区（生态功能区）划分：以生态服务功能的重要性、生态环境敏感性等指标为依据。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根据《四川省生态功能区划》（20</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月），四川省生态功能区划中，一级区（生态区）4个</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二级区（生态亚区）13个</w:t>
            </w:r>
            <w:r>
              <w:rPr>
                <w:rFonts w:hint="eastAsia" w:ascii="Times New Roman" w:hAnsi="Times New Roman" w:eastAsia="宋体" w:cs="Times New Roman"/>
                <w:color w:val="auto"/>
                <w:sz w:val="24"/>
                <w:szCs w:val="24"/>
                <w:lang w:val="en-US" w:eastAsia="zh-CN"/>
              </w:rPr>
              <w:t>，三级区（生态功能区）36个，分区如下：</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表3-1  四川省生态功能区划分区</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2"/>
              <w:gridCol w:w="263"/>
              <w:gridCol w:w="4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4"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left"/>
                    <w:textAlignment w:val="auto"/>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b/>
                      <w:bCs/>
                      <w:color w:val="000000"/>
                      <w:spacing w:val="0"/>
                      <w:w w:val="100"/>
                      <w:position w:val="0"/>
                      <w:sz w:val="21"/>
                      <w:szCs w:val="21"/>
                    </w:rPr>
                    <w:t>I四川盆地亚热带湿润气候生态区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4"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1260" w:firstLineChars="600"/>
                    <w:jc w:val="both"/>
                    <w:textAlignment w:val="auto"/>
                    <w:rPr>
                      <w:rFonts w:hint="eastAsia" w:ascii="宋体" w:hAnsi="宋体" w:eastAsia="宋体" w:cs="Times New Roman"/>
                      <w:color w:val="auto"/>
                      <w:kern w:val="2"/>
                      <w:sz w:val="21"/>
                      <w:szCs w:val="21"/>
                      <w:vertAlign w:val="baseline"/>
                      <w:lang w:val="en-US" w:eastAsia="zh-CN" w:bidi="ar-SA"/>
                    </w:rPr>
                  </w:pPr>
                  <w:r>
                    <w:rPr>
                      <w:rFonts w:ascii="Times New Roman" w:hAnsi="Times New Roman" w:eastAsia="宋体" w:cs="Times New Roman"/>
                      <w:color w:val="000000"/>
                      <w:spacing w:val="0"/>
                      <w:w w:val="100"/>
                      <w:kern w:val="2"/>
                      <w:position w:val="0"/>
                      <w:sz w:val="21"/>
                      <w:szCs w:val="21"/>
                      <w:lang w:val="en-US" w:eastAsia="zh-CN" w:bidi="ar-SA"/>
                    </w:rPr>
                    <w:t>I</w:t>
                  </w:r>
                  <w:r>
                    <w:rPr>
                      <w:rFonts w:hint="eastAsia" w:ascii="Times New Roman" w:hAnsi="Times New Roman" w:eastAsia="宋体" w:cs="Times New Roman"/>
                      <w:color w:val="000000"/>
                      <w:spacing w:val="0"/>
                      <w:w w:val="100"/>
                      <w:kern w:val="2"/>
                      <w:position w:val="0"/>
                      <w:sz w:val="21"/>
                      <w:szCs w:val="21"/>
                      <w:lang w:val="en-US" w:eastAsia="zh-CN" w:bidi="ar-SA"/>
                    </w:rPr>
                    <w:t xml:space="preserve"> - 1成都平原城市与农业生态亚区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1260" w:firstLineChars="600"/>
                    <w:jc w:val="center"/>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ascii="Times New Roman" w:hAnsi="Times New Roman" w:eastAsia="宋体" w:cs="Times New Roman"/>
                      <w:color w:val="000000"/>
                      <w:spacing w:val="0"/>
                      <w:w w:val="100"/>
                      <w:kern w:val="2"/>
                      <w:position w:val="0"/>
                      <w:sz w:val="21"/>
                      <w:szCs w:val="21"/>
                      <w:lang w:val="en-US" w:eastAsia="zh-CN" w:bidi="ar-SA"/>
                    </w:rPr>
                    <w:t>I</w:t>
                  </w:r>
                  <w:r>
                    <w:rPr>
                      <w:rFonts w:hint="eastAsia" w:ascii="Times New Roman" w:hAnsi="Times New Roman" w:eastAsia="宋体" w:cs="Times New Roman"/>
                      <w:color w:val="000000"/>
                      <w:spacing w:val="0"/>
                      <w:w w:val="100"/>
                      <w:kern w:val="2"/>
                      <w:position w:val="0"/>
                      <w:sz w:val="21"/>
                      <w:szCs w:val="21"/>
                      <w:lang w:val="en-US" w:eastAsia="en-US" w:bidi="ar-SA"/>
                    </w:rPr>
                    <w:t>-1-1</w:t>
                  </w:r>
                </w:p>
              </w:tc>
              <w:tc>
                <w:tcPr>
                  <w:tcW w:w="440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平原北部城市农业生态功能区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5"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1260" w:firstLineChars="600"/>
                    <w:jc w:val="center"/>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ascii="Times New Roman" w:hAnsi="Times New Roman" w:eastAsia="宋体" w:cs="Times New Roman"/>
                      <w:color w:val="000000"/>
                      <w:spacing w:val="0"/>
                      <w:w w:val="100"/>
                      <w:kern w:val="2"/>
                      <w:position w:val="0"/>
                      <w:sz w:val="21"/>
                      <w:szCs w:val="21"/>
                      <w:lang w:val="en-US" w:eastAsia="zh-CN" w:bidi="ar-SA"/>
                    </w:rPr>
                    <w:t>I</w:t>
                  </w:r>
                  <w:r>
                    <w:rPr>
                      <w:rFonts w:hint="eastAsia" w:ascii="Times New Roman" w:hAnsi="Times New Roman" w:eastAsia="宋体" w:cs="Times New Roman"/>
                      <w:color w:val="000000"/>
                      <w:spacing w:val="0"/>
                      <w:w w:val="100"/>
                      <w:kern w:val="2"/>
                      <w:position w:val="0"/>
                      <w:sz w:val="21"/>
                      <w:szCs w:val="21"/>
                      <w:lang w:val="en-US" w:eastAsia="en-US" w:bidi="ar-SA"/>
                    </w:rPr>
                    <w:t>-1-2</w:t>
                  </w:r>
                </w:p>
              </w:tc>
              <w:tc>
                <w:tcPr>
                  <w:tcW w:w="440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平原中部都市一农业生态功能区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5"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1260" w:firstLineChars="600"/>
                    <w:jc w:val="center"/>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ascii="Times New Roman" w:hAnsi="Times New Roman" w:eastAsia="宋体" w:cs="Times New Roman"/>
                      <w:color w:val="000000"/>
                      <w:spacing w:val="0"/>
                      <w:w w:val="100"/>
                      <w:kern w:val="2"/>
                      <w:position w:val="0"/>
                      <w:sz w:val="21"/>
                      <w:szCs w:val="21"/>
                      <w:lang w:val="en-US" w:eastAsia="zh-CN" w:bidi="ar-SA"/>
                    </w:rPr>
                    <w:t>I</w:t>
                  </w:r>
                  <w:r>
                    <w:rPr>
                      <w:rFonts w:hint="eastAsia" w:ascii="Times New Roman" w:hAnsi="Times New Roman" w:eastAsia="宋体" w:cs="Times New Roman"/>
                      <w:color w:val="000000"/>
                      <w:spacing w:val="0"/>
                      <w:w w:val="100"/>
                      <w:kern w:val="2"/>
                      <w:position w:val="0"/>
                      <w:sz w:val="21"/>
                      <w:szCs w:val="21"/>
                      <w:lang w:val="en-US" w:eastAsia="en-US" w:bidi="ar-SA"/>
                    </w:rPr>
                    <w:t>-1-3</w:t>
                  </w:r>
                </w:p>
              </w:tc>
              <w:tc>
                <w:tcPr>
                  <w:tcW w:w="440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平原南部城市一农业生态功能区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4"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1260" w:firstLineChars="60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ascii="Times New Roman" w:hAnsi="Times New Roman" w:eastAsia="宋体" w:cs="Times New Roman"/>
                      <w:color w:val="000000"/>
                      <w:spacing w:val="0"/>
                      <w:w w:val="100"/>
                      <w:kern w:val="2"/>
                      <w:position w:val="0"/>
                      <w:sz w:val="21"/>
                      <w:szCs w:val="21"/>
                      <w:lang w:val="en-US" w:eastAsia="zh-CN" w:bidi="ar-SA"/>
                    </w:rPr>
                    <w:t>I - 2盆中丘陵农林复合生态亚区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1260" w:firstLineChars="600"/>
                    <w:jc w:val="center"/>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ascii="Times New Roman" w:hAnsi="Times New Roman" w:eastAsia="宋体" w:cs="Times New Roman"/>
                      <w:color w:val="000000"/>
                      <w:spacing w:val="0"/>
                      <w:w w:val="100"/>
                      <w:kern w:val="2"/>
                      <w:position w:val="0"/>
                      <w:sz w:val="21"/>
                      <w:szCs w:val="21"/>
                      <w:lang w:val="en-US" w:eastAsia="zh-CN" w:bidi="ar-SA"/>
                    </w:rPr>
                    <w:t>I</w:t>
                  </w:r>
                  <w:r>
                    <w:rPr>
                      <w:rFonts w:hint="default" w:ascii="Times New Roman" w:hAnsi="Times New Roman" w:eastAsia="宋体" w:cs="Times New Roman"/>
                      <w:color w:val="000000"/>
                      <w:spacing w:val="0"/>
                      <w:w w:val="100"/>
                      <w:kern w:val="2"/>
                      <w:position w:val="0"/>
                      <w:sz w:val="21"/>
                      <w:szCs w:val="21"/>
                      <w:lang w:val="en-US" w:eastAsia="en-US" w:bidi="ar-SA"/>
                    </w:rPr>
                    <w:t>-2-1</w:t>
                  </w:r>
                </w:p>
              </w:tc>
              <w:tc>
                <w:tcPr>
                  <w:tcW w:w="440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盆北深丘农林业与土壤保持生态功能区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1260" w:firstLineChars="600"/>
                    <w:jc w:val="center"/>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ascii="Times New Roman" w:hAnsi="Times New Roman" w:eastAsia="宋体" w:cs="Times New Roman"/>
                      <w:color w:val="000000"/>
                      <w:spacing w:val="0"/>
                      <w:w w:val="100"/>
                      <w:kern w:val="2"/>
                      <w:position w:val="0"/>
                      <w:sz w:val="21"/>
                      <w:szCs w:val="21"/>
                      <w:lang w:val="en-US" w:eastAsia="zh-CN" w:bidi="ar-SA"/>
                    </w:rPr>
                    <w:t>I</w:t>
                  </w:r>
                  <w:r>
                    <w:rPr>
                      <w:rFonts w:hint="default" w:ascii="Times New Roman" w:hAnsi="Times New Roman" w:eastAsia="宋体" w:cs="Times New Roman"/>
                      <w:color w:val="000000"/>
                      <w:spacing w:val="0"/>
                      <w:w w:val="100"/>
                      <w:kern w:val="2"/>
                      <w:position w:val="0"/>
                      <w:sz w:val="21"/>
                      <w:szCs w:val="21"/>
                      <w:lang w:val="en-US" w:eastAsia="en-US" w:bidi="ar-SA"/>
                    </w:rPr>
                    <w:t>-2-2</w:t>
                  </w:r>
                </w:p>
              </w:tc>
              <w:tc>
                <w:tcPr>
                  <w:tcW w:w="44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渠江农业生态功能区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1260" w:firstLineChars="600"/>
                    <w:jc w:val="center"/>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ascii="Times New Roman" w:hAnsi="Times New Roman" w:eastAsia="宋体" w:cs="Times New Roman"/>
                      <w:color w:val="000000"/>
                      <w:spacing w:val="0"/>
                      <w:w w:val="100"/>
                      <w:kern w:val="2"/>
                      <w:position w:val="0"/>
                      <w:sz w:val="21"/>
                      <w:szCs w:val="21"/>
                      <w:lang w:val="en-US" w:eastAsia="zh-CN" w:bidi="ar-SA"/>
                    </w:rPr>
                    <w:t>I</w:t>
                  </w:r>
                  <w:r>
                    <w:rPr>
                      <w:rFonts w:hint="default" w:ascii="Times New Roman" w:hAnsi="Times New Roman" w:eastAsia="宋体" w:cs="Times New Roman"/>
                      <w:color w:val="000000"/>
                      <w:spacing w:val="0"/>
                      <w:w w:val="100"/>
                      <w:kern w:val="2"/>
                      <w:position w:val="0"/>
                      <w:sz w:val="21"/>
                      <w:szCs w:val="21"/>
                      <w:lang w:val="en-US" w:eastAsia="en-US" w:bidi="ar-SA"/>
                    </w:rPr>
                    <w:t>-2-3</w:t>
                  </w:r>
                </w:p>
              </w:tc>
              <w:tc>
                <w:tcPr>
                  <w:tcW w:w="4409" w:type="dxa"/>
                  <w:noWrap w:val="0"/>
                  <w:vAlign w:val="bottom"/>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嘉陵江中下游农业与土壤保持生态功能区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1260" w:firstLineChars="600"/>
                    <w:jc w:val="center"/>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ascii="Times New Roman" w:hAnsi="Times New Roman" w:eastAsia="宋体" w:cs="Times New Roman"/>
                      <w:color w:val="000000"/>
                      <w:spacing w:val="0"/>
                      <w:w w:val="100"/>
                      <w:kern w:val="2"/>
                      <w:position w:val="0"/>
                      <w:sz w:val="21"/>
                      <w:szCs w:val="21"/>
                      <w:lang w:val="en-US" w:eastAsia="zh-CN" w:bidi="ar-SA"/>
                    </w:rPr>
                    <w:t>I</w:t>
                  </w:r>
                  <w:r>
                    <w:rPr>
                      <w:rFonts w:hint="default" w:ascii="Times New Roman" w:hAnsi="Times New Roman" w:eastAsia="宋体" w:cs="Times New Roman"/>
                      <w:color w:val="000000"/>
                      <w:spacing w:val="0"/>
                      <w:w w:val="100"/>
                      <w:kern w:val="2"/>
                      <w:position w:val="0"/>
                      <w:sz w:val="21"/>
                      <w:szCs w:val="21"/>
                      <w:lang w:val="en-US" w:eastAsia="en-US" w:bidi="ar-SA"/>
                    </w:rPr>
                    <w:t>-2-4</w:t>
                  </w:r>
                </w:p>
              </w:tc>
              <w:tc>
                <w:tcPr>
                  <w:tcW w:w="4409" w:type="dxa"/>
                  <w:noWrap w:val="0"/>
                  <w:vAlign w:val="bottom"/>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涪江中下游农业生态功能区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5"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1260" w:firstLineChars="600"/>
                    <w:jc w:val="center"/>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ascii="Times New Roman" w:hAnsi="Times New Roman" w:eastAsia="宋体" w:cs="Times New Roman"/>
                      <w:color w:val="000000"/>
                      <w:spacing w:val="0"/>
                      <w:w w:val="100"/>
                      <w:kern w:val="2"/>
                      <w:position w:val="0"/>
                      <w:sz w:val="21"/>
                      <w:szCs w:val="21"/>
                      <w:lang w:val="en-US" w:eastAsia="zh-CN" w:bidi="ar-SA"/>
                    </w:rPr>
                    <w:t xml:space="preserve">I </w:t>
                  </w:r>
                  <w:r>
                    <w:rPr>
                      <w:rFonts w:ascii="Times New Roman" w:hAnsi="Times New Roman" w:eastAsia="宋体" w:cs="Times New Roman"/>
                      <w:color w:val="000000"/>
                      <w:spacing w:val="0"/>
                      <w:w w:val="100"/>
                      <w:kern w:val="2"/>
                      <w:position w:val="0"/>
                      <w:sz w:val="21"/>
                      <w:szCs w:val="21"/>
                      <w:lang w:val="en-US" w:eastAsia="en-US" w:bidi="ar-SA"/>
                    </w:rPr>
                    <w:t>-2-5</w:t>
                  </w:r>
                </w:p>
              </w:tc>
              <w:tc>
                <w:tcPr>
                  <w:tcW w:w="440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沱江中下</w:t>
                  </w:r>
                  <w:r>
                    <w:rPr>
                      <w:rFonts w:hint="eastAsia" w:ascii="Times New Roman" w:hAnsi="Times New Roman" w:eastAsia="宋体" w:cs="Times New Roman"/>
                      <w:color w:val="000000"/>
                      <w:spacing w:val="0"/>
                      <w:w w:val="100"/>
                      <w:kern w:val="2"/>
                      <w:position w:val="0"/>
                      <w:sz w:val="21"/>
                      <w:szCs w:val="21"/>
                      <w:lang w:val="zh-CN" w:eastAsia="zh-CN" w:bidi="ar-SA"/>
                    </w:rPr>
                    <w:t>游城</w:t>
                  </w:r>
                  <w:r>
                    <w:rPr>
                      <w:rFonts w:hint="eastAsia" w:ascii="Times New Roman" w:hAnsi="Times New Roman" w:eastAsia="宋体" w:cs="Times New Roman"/>
                      <w:color w:val="000000"/>
                      <w:spacing w:val="0"/>
                      <w:w w:val="100"/>
                      <w:kern w:val="2"/>
                      <w:position w:val="0"/>
                      <w:sz w:val="21"/>
                      <w:szCs w:val="21"/>
                      <w:lang w:val="en-US" w:eastAsia="zh-CN" w:bidi="ar-SA"/>
                    </w:rPr>
                    <w:t>镇一农业生态功能区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5"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1260" w:firstLineChars="600"/>
                    <w:jc w:val="center"/>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ascii="Times New Roman" w:hAnsi="Times New Roman" w:eastAsia="宋体" w:cs="Times New Roman"/>
                      <w:color w:val="000000"/>
                      <w:spacing w:val="0"/>
                      <w:w w:val="100"/>
                      <w:kern w:val="2"/>
                      <w:position w:val="0"/>
                      <w:sz w:val="21"/>
                      <w:szCs w:val="21"/>
                      <w:lang w:val="en-US" w:eastAsia="zh-CN" w:bidi="ar-SA"/>
                    </w:rPr>
                    <w:t xml:space="preserve">I </w:t>
                  </w:r>
                  <w:r>
                    <w:rPr>
                      <w:rFonts w:ascii="Times New Roman" w:hAnsi="Times New Roman" w:eastAsia="宋体" w:cs="Times New Roman"/>
                      <w:color w:val="000000"/>
                      <w:spacing w:val="0"/>
                      <w:w w:val="100"/>
                      <w:kern w:val="2"/>
                      <w:position w:val="0"/>
                      <w:sz w:val="21"/>
                      <w:szCs w:val="21"/>
                      <w:lang w:val="en-US" w:eastAsia="en-US" w:bidi="ar-SA"/>
                    </w:rPr>
                    <w:t>-2-</w:t>
                  </w:r>
                  <w:r>
                    <w:rPr>
                      <w:rFonts w:hint="eastAsia" w:ascii="Times New Roman" w:hAnsi="Times New Roman" w:eastAsia="宋体" w:cs="Times New Roman"/>
                      <w:color w:val="000000"/>
                      <w:spacing w:val="0"/>
                      <w:w w:val="100"/>
                      <w:kern w:val="2"/>
                      <w:position w:val="0"/>
                      <w:sz w:val="21"/>
                      <w:szCs w:val="21"/>
                      <w:lang w:val="en-US" w:eastAsia="zh-CN" w:bidi="ar-SA"/>
                    </w:rPr>
                    <w:t>6</w:t>
                  </w:r>
                </w:p>
              </w:tc>
              <w:tc>
                <w:tcPr>
                  <w:tcW w:w="440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岷江下游农业生态功能区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5"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1260" w:firstLineChars="600"/>
                    <w:jc w:val="center"/>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ascii="Times New Roman" w:hAnsi="Times New Roman" w:eastAsia="宋体" w:cs="Times New Roman"/>
                      <w:color w:val="000000"/>
                      <w:spacing w:val="0"/>
                      <w:w w:val="100"/>
                      <w:kern w:val="2"/>
                      <w:position w:val="0"/>
                      <w:sz w:val="21"/>
                      <w:szCs w:val="21"/>
                      <w:lang w:val="en-US" w:eastAsia="zh-CN" w:bidi="ar-SA"/>
                    </w:rPr>
                    <w:t xml:space="preserve">I </w:t>
                  </w:r>
                  <w:r>
                    <w:rPr>
                      <w:rFonts w:ascii="Times New Roman" w:hAnsi="Times New Roman" w:eastAsia="宋体" w:cs="Times New Roman"/>
                      <w:color w:val="000000"/>
                      <w:spacing w:val="0"/>
                      <w:w w:val="100"/>
                      <w:kern w:val="2"/>
                      <w:position w:val="0"/>
                      <w:sz w:val="21"/>
                      <w:szCs w:val="21"/>
                      <w:lang w:val="en-US" w:eastAsia="en-US" w:bidi="ar-SA"/>
                    </w:rPr>
                    <w:t>-2-</w:t>
                  </w:r>
                  <w:r>
                    <w:rPr>
                      <w:rFonts w:hint="eastAsia" w:ascii="Times New Roman" w:hAnsi="Times New Roman" w:eastAsia="宋体" w:cs="Times New Roman"/>
                      <w:color w:val="000000"/>
                      <w:spacing w:val="0"/>
                      <w:w w:val="100"/>
                      <w:kern w:val="2"/>
                      <w:position w:val="0"/>
                      <w:sz w:val="21"/>
                      <w:szCs w:val="21"/>
                      <w:lang w:val="en-US" w:eastAsia="zh-CN" w:bidi="ar-SA"/>
                    </w:rPr>
                    <w:t>7</w:t>
                  </w:r>
                </w:p>
              </w:tc>
              <w:tc>
                <w:tcPr>
                  <w:tcW w:w="440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川江干流城市一农业生态功能区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4"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1260" w:firstLineChars="60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ascii="Times New Roman" w:hAnsi="Times New Roman" w:eastAsia="宋体" w:cs="Times New Roman"/>
                      <w:color w:val="000000"/>
                      <w:spacing w:val="0"/>
                      <w:w w:val="100"/>
                      <w:kern w:val="2"/>
                      <w:position w:val="0"/>
                      <w:sz w:val="21"/>
                      <w:szCs w:val="21"/>
                      <w:lang w:val="en-US" w:eastAsia="zh-CN" w:bidi="ar-SA"/>
                    </w:rPr>
                    <w:t>I - 3盆北秦巴山地常绿阔叶林一针阔混交林生态亚区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5"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1260" w:firstLineChars="600"/>
                    <w:jc w:val="center"/>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ascii="Times New Roman" w:hAnsi="Times New Roman" w:eastAsia="宋体" w:cs="Times New Roman"/>
                      <w:color w:val="000000"/>
                      <w:spacing w:val="0"/>
                      <w:w w:val="100"/>
                      <w:kern w:val="2"/>
                      <w:position w:val="0"/>
                      <w:sz w:val="21"/>
                      <w:szCs w:val="21"/>
                      <w:lang w:val="en-US" w:eastAsia="zh-CN" w:bidi="ar-SA"/>
                    </w:rPr>
                    <w:t>I</w:t>
                  </w:r>
                  <w:r>
                    <w:rPr>
                      <w:rFonts w:hint="default" w:ascii="Times New Roman" w:hAnsi="Times New Roman" w:eastAsia="宋体" w:cs="Times New Roman"/>
                      <w:color w:val="000000"/>
                      <w:spacing w:val="0"/>
                      <w:w w:val="100"/>
                      <w:kern w:val="2"/>
                      <w:position w:val="0"/>
                      <w:sz w:val="21"/>
                      <w:szCs w:val="21"/>
                      <w:lang w:val="en-US" w:eastAsia="en-US" w:bidi="ar-SA"/>
                    </w:rPr>
                    <w:t>-</w:t>
                  </w:r>
                  <w:r>
                    <w:rPr>
                      <w:rFonts w:hint="eastAsia" w:ascii="Times New Roman" w:hAnsi="Times New Roman" w:eastAsia="宋体" w:cs="Times New Roman"/>
                      <w:color w:val="000000"/>
                      <w:spacing w:val="0"/>
                      <w:w w:val="100"/>
                      <w:kern w:val="2"/>
                      <w:position w:val="0"/>
                      <w:sz w:val="21"/>
                      <w:szCs w:val="21"/>
                      <w:lang w:val="en-US" w:eastAsia="zh-CN" w:bidi="ar-SA"/>
                    </w:rPr>
                    <w:t>3</w:t>
                  </w:r>
                  <w:r>
                    <w:rPr>
                      <w:rFonts w:hint="default" w:ascii="Times New Roman" w:hAnsi="Times New Roman" w:eastAsia="宋体" w:cs="Times New Roman"/>
                      <w:color w:val="000000"/>
                      <w:spacing w:val="0"/>
                      <w:w w:val="100"/>
                      <w:kern w:val="2"/>
                      <w:position w:val="0"/>
                      <w:sz w:val="21"/>
                      <w:szCs w:val="21"/>
                      <w:lang w:val="en-US" w:eastAsia="en-US" w:bidi="ar-SA"/>
                    </w:rPr>
                    <w:t>-1</w:t>
                  </w:r>
                </w:p>
              </w:tc>
              <w:tc>
                <w:tcPr>
                  <w:tcW w:w="440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米仓山水源涵养与生物多样性保护生态功能区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5"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1260" w:firstLineChars="600"/>
                    <w:jc w:val="center"/>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ascii="Times New Roman" w:hAnsi="Times New Roman" w:eastAsia="宋体" w:cs="Times New Roman"/>
                      <w:color w:val="000000"/>
                      <w:spacing w:val="0"/>
                      <w:w w:val="100"/>
                      <w:kern w:val="2"/>
                      <w:position w:val="0"/>
                      <w:sz w:val="21"/>
                      <w:szCs w:val="21"/>
                      <w:lang w:val="en-US" w:eastAsia="zh-CN" w:bidi="ar-SA"/>
                    </w:rPr>
                    <w:t>I</w:t>
                  </w:r>
                  <w:r>
                    <w:rPr>
                      <w:rFonts w:hint="default" w:ascii="Times New Roman" w:hAnsi="Times New Roman" w:eastAsia="宋体" w:cs="Times New Roman"/>
                      <w:color w:val="000000"/>
                      <w:spacing w:val="0"/>
                      <w:w w:val="100"/>
                      <w:kern w:val="2"/>
                      <w:position w:val="0"/>
                      <w:sz w:val="21"/>
                      <w:szCs w:val="21"/>
                      <w:lang w:val="en-US" w:eastAsia="en-US" w:bidi="ar-SA"/>
                    </w:rPr>
                    <w:t>-</w:t>
                  </w:r>
                  <w:r>
                    <w:rPr>
                      <w:rFonts w:hint="eastAsia" w:ascii="Times New Roman" w:hAnsi="Times New Roman" w:eastAsia="宋体" w:cs="Times New Roman"/>
                      <w:color w:val="000000"/>
                      <w:spacing w:val="0"/>
                      <w:w w:val="100"/>
                      <w:kern w:val="2"/>
                      <w:position w:val="0"/>
                      <w:sz w:val="21"/>
                      <w:szCs w:val="21"/>
                      <w:lang w:val="en-US" w:eastAsia="zh-CN" w:bidi="ar-SA"/>
                    </w:rPr>
                    <w:t>3</w:t>
                  </w:r>
                  <w:r>
                    <w:rPr>
                      <w:rFonts w:hint="default" w:ascii="Times New Roman" w:hAnsi="Times New Roman" w:eastAsia="宋体" w:cs="Times New Roman"/>
                      <w:color w:val="000000"/>
                      <w:spacing w:val="0"/>
                      <w:w w:val="100"/>
                      <w:kern w:val="2"/>
                      <w:position w:val="0"/>
                      <w:sz w:val="21"/>
                      <w:szCs w:val="21"/>
                      <w:lang w:val="en-US" w:eastAsia="en-US" w:bidi="ar-SA"/>
                    </w:rPr>
                    <w:t>-</w:t>
                  </w:r>
                  <w:r>
                    <w:rPr>
                      <w:rFonts w:hint="eastAsia" w:ascii="Times New Roman" w:hAnsi="Times New Roman" w:eastAsia="宋体" w:cs="Times New Roman"/>
                      <w:color w:val="000000"/>
                      <w:spacing w:val="0"/>
                      <w:w w:val="100"/>
                      <w:kern w:val="2"/>
                      <w:position w:val="0"/>
                      <w:sz w:val="21"/>
                      <w:szCs w:val="21"/>
                      <w:lang w:val="en-US" w:eastAsia="zh-CN" w:bidi="ar-SA"/>
                    </w:rPr>
                    <w:t>2</w:t>
                  </w:r>
                </w:p>
              </w:tc>
              <w:tc>
                <w:tcPr>
                  <w:tcW w:w="440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大巴山水源涵养与土壤保持生态功能区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4"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1260" w:firstLineChars="60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ascii="Times New Roman" w:hAnsi="Times New Roman" w:eastAsia="宋体" w:cs="Times New Roman"/>
                      <w:color w:val="000000"/>
                      <w:spacing w:val="0"/>
                      <w:w w:val="100"/>
                      <w:kern w:val="2"/>
                      <w:position w:val="0"/>
                      <w:sz w:val="21"/>
                      <w:szCs w:val="21"/>
                      <w:lang w:val="en-US" w:eastAsia="zh-CN" w:bidi="ar-SA"/>
                    </w:rPr>
                    <w:t xml:space="preserve">I - </w:t>
                  </w:r>
                  <w:r>
                    <w:rPr>
                      <w:rFonts w:hint="eastAsia" w:ascii="Times New Roman" w:hAnsi="Times New Roman" w:eastAsia="宋体" w:cs="Times New Roman"/>
                      <w:color w:val="000000"/>
                      <w:spacing w:val="0"/>
                      <w:w w:val="100"/>
                      <w:kern w:val="2"/>
                      <w:position w:val="0"/>
                      <w:sz w:val="21"/>
                      <w:szCs w:val="21"/>
                      <w:lang w:val="en-US" w:eastAsia="zh-CN" w:bidi="ar-SA"/>
                    </w:rPr>
                    <w:t>4</w:t>
                  </w:r>
                  <w:r>
                    <w:rPr>
                      <w:rFonts w:ascii="Times New Roman" w:hAnsi="Times New Roman" w:eastAsia="宋体" w:cs="Times New Roman"/>
                      <w:color w:val="000000"/>
                      <w:spacing w:val="0"/>
                      <w:w w:val="100"/>
                      <w:kern w:val="2"/>
                      <w:position w:val="0"/>
                      <w:sz w:val="21"/>
                      <w:szCs w:val="21"/>
                      <w:lang w:val="en-US" w:eastAsia="zh-CN" w:bidi="ar-SA"/>
                    </w:rPr>
                    <w:t>盆东平行岭谷农林复合生态亚区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95"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2520" w:firstLineChars="120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ascii="Times New Roman" w:hAnsi="Times New Roman" w:eastAsia="宋体" w:cs="Times New Roman"/>
                      <w:color w:val="000000"/>
                      <w:spacing w:val="0"/>
                      <w:w w:val="100"/>
                      <w:kern w:val="2"/>
                      <w:position w:val="0"/>
                      <w:sz w:val="21"/>
                      <w:szCs w:val="21"/>
                      <w:lang w:val="en-US" w:eastAsia="zh-CN" w:bidi="ar-SA"/>
                    </w:rPr>
                    <w:t>I</w:t>
                  </w:r>
                  <w:r>
                    <w:rPr>
                      <w:rFonts w:hint="default" w:ascii="Times New Roman" w:hAnsi="Times New Roman" w:eastAsia="宋体" w:cs="Times New Roman"/>
                      <w:color w:val="000000"/>
                      <w:spacing w:val="0"/>
                      <w:w w:val="100"/>
                      <w:kern w:val="2"/>
                      <w:position w:val="0"/>
                      <w:sz w:val="21"/>
                      <w:szCs w:val="21"/>
                      <w:lang w:val="en-US" w:eastAsia="en-US" w:bidi="ar-SA"/>
                    </w:rPr>
                    <w:t>-</w:t>
                  </w:r>
                  <w:r>
                    <w:rPr>
                      <w:rFonts w:hint="eastAsia" w:ascii="Times New Roman" w:hAnsi="Times New Roman" w:eastAsia="宋体" w:cs="Times New Roman"/>
                      <w:color w:val="000000"/>
                      <w:spacing w:val="0"/>
                      <w:w w:val="100"/>
                      <w:kern w:val="2"/>
                      <w:position w:val="0"/>
                      <w:sz w:val="21"/>
                      <w:szCs w:val="21"/>
                      <w:lang w:val="en-US" w:eastAsia="zh-CN" w:bidi="ar-SA"/>
                    </w:rPr>
                    <w:t>4</w:t>
                  </w:r>
                  <w:r>
                    <w:rPr>
                      <w:rFonts w:hint="default" w:ascii="Times New Roman" w:hAnsi="Times New Roman" w:eastAsia="宋体" w:cs="Times New Roman"/>
                      <w:color w:val="000000"/>
                      <w:spacing w:val="0"/>
                      <w:w w:val="100"/>
                      <w:kern w:val="2"/>
                      <w:position w:val="0"/>
                      <w:sz w:val="21"/>
                      <w:szCs w:val="21"/>
                      <w:lang w:val="en-US" w:eastAsia="en-US" w:bidi="ar-SA"/>
                    </w:rPr>
                    <w:t>-1</w:t>
                  </w:r>
                </w:p>
              </w:tc>
              <w:tc>
                <w:tcPr>
                  <w:tcW w:w="440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华蓥山</w:t>
                  </w:r>
                  <w:r>
                    <w:rPr>
                      <w:rFonts w:ascii="Times New Roman" w:hAnsi="Times New Roman" w:eastAsia="宋体" w:cs="Times New Roman"/>
                      <w:color w:val="000000"/>
                      <w:spacing w:val="0"/>
                      <w:w w:val="100"/>
                      <w:kern w:val="2"/>
                      <w:position w:val="0"/>
                      <w:sz w:val="21"/>
                      <w:szCs w:val="21"/>
                      <w:lang w:val="en-US" w:eastAsia="zh-CN" w:bidi="ar-SA"/>
                    </w:rPr>
                    <w:t>农林业与土壤保持生态功能区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4"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1260" w:firstLineChars="60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ascii="Times New Roman" w:hAnsi="Times New Roman" w:eastAsia="宋体" w:cs="Times New Roman"/>
                      <w:color w:val="000000"/>
                      <w:spacing w:val="0"/>
                      <w:w w:val="100"/>
                      <w:kern w:val="2"/>
                      <w:position w:val="0"/>
                      <w:sz w:val="21"/>
                      <w:szCs w:val="21"/>
                      <w:lang w:val="en-US" w:eastAsia="zh-CN" w:bidi="ar-SA"/>
                    </w:rPr>
                    <w:t xml:space="preserve">I - </w:t>
                  </w:r>
                  <w:r>
                    <w:rPr>
                      <w:rFonts w:hint="eastAsia" w:ascii="Times New Roman" w:hAnsi="Times New Roman" w:eastAsia="宋体" w:cs="Times New Roman"/>
                      <w:color w:val="000000"/>
                      <w:spacing w:val="0"/>
                      <w:w w:val="100"/>
                      <w:kern w:val="2"/>
                      <w:position w:val="0"/>
                      <w:sz w:val="21"/>
                      <w:szCs w:val="21"/>
                      <w:lang w:val="en-US" w:eastAsia="zh-CN" w:bidi="ar-SA"/>
                    </w:rPr>
                    <w:t>5</w:t>
                  </w:r>
                  <w:r>
                    <w:rPr>
                      <w:rFonts w:ascii="Times New Roman" w:hAnsi="Times New Roman" w:eastAsia="宋体" w:cs="Times New Roman"/>
                      <w:color w:val="000000"/>
                      <w:spacing w:val="0"/>
                      <w:w w:val="100"/>
                      <w:kern w:val="2"/>
                      <w:position w:val="0"/>
                      <w:sz w:val="21"/>
                      <w:szCs w:val="21"/>
                      <w:lang w:val="en-US" w:eastAsia="zh-CN" w:bidi="ar-SA"/>
                    </w:rPr>
                    <w:t>盆地南缘岩溶常绿阔叶林生态亚区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5"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2310" w:firstLineChars="110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ascii="Times New Roman" w:hAnsi="Times New Roman" w:eastAsia="宋体" w:cs="Times New Roman"/>
                      <w:color w:val="000000"/>
                      <w:spacing w:val="0"/>
                      <w:w w:val="100"/>
                      <w:kern w:val="2"/>
                      <w:position w:val="0"/>
                      <w:sz w:val="21"/>
                      <w:szCs w:val="21"/>
                      <w:lang w:val="en-US" w:eastAsia="zh-CN" w:bidi="ar-SA"/>
                    </w:rPr>
                    <w:t xml:space="preserve">I </w:t>
                  </w:r>
                  <w:r>
                    <w:rPr>
                      <w:rFonts w:hint="eastAsia" w:ascii="Times New Roman" w:hAnsi="Times New Roman" w:eastAsia="宋体" w:cs="Times New Roman"/>
                      <w:color w:val="000000"/>
                      <w:spacing w:val="0"/>
                      <w:w w:val="100"/>
                      <w:kern w:val="2"/>
                      <w:position w:val="0"/>
                      <w:sz w:val="21"/>
                      <w:szCs w:val="21"/>
                      <w:lang w:val="en-US" w:eastAsia="zh-CN" w:bidi="ar-SA"/>
                    </w:rPr>
                    <w:t>-5-1</w:t>
                  </w:r>
                </w:p>
              </w:tc>
              <w:tc>
                <w:tcPr>
                  <w:tcW w:w="440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宜南矿产业与土壤保持生态功能区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5"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2310" w:firstLineChars="1100"/>
                    <w:jc w:val="both"/>
                    <w:textAlignment w:val="auto"/>
                    <w:rPr>
                      <w:rFonts w:ascii="Times New Roman" w:hAnsi="Times New Roman" w:eastAsia="宋体" w:cs="Times New Roman"/>
                      <w:color w:val="000000"/>
                      <w:spacing w:val="0"/>
                      <w:w w:val="100"/>
                      <w:kern w:val="2"/>
                      <w:position w:val="0"/>
                      <w:sz w:val="21"/>
                      <w:szCs w:val="21"/>
                      <w:lang w:val="en-US" w:eastAsia="zh-CN" w:bidi="ar-SA"/>
                    </w:rPr>
                  </w:pPr>
                  <w:r>
                    <w:rPr>
                      <w:rFonts w:ascii="Times New Roman" w:hAnsi="Times New Roman" w:eastAsia="宋体" w:cs="Times New Roman"/>
                      <w:color w:val="000000"/>
                      <w:spacing w:val="0"/>
                      <w:w w:val="100"/>
                      <w:kern w:val="2"/>
                      <w:position w:val="0"/>
                      <w:sz w:val="21"/>
                      <w:szCs w:val="21"/>
                      <w:lang w:val="en-US" w:eastAsia="zh-CN" w:bidi="ar-SA"/>
                    </w:rPr>
                    <w:t xml:space="preserve">I </w:t>
                  </w:r>
                  <w:r>
                    <w:rPr>
                      <w:rFonts w:hint="eastAsia" w:ascii="Times New Roman" w:hAnsi="Times New Roman" w:eastAsia="宋体" w:cs="Times New Roman"/>
                      <w:color w:val="000000"/>
                      <w:spacing w:val="0"/>
                      <w:w w:val="100"/>
                      <w:kern w:val="2"/>
                      <w:position w:val="0"/>
                      <w:sz w:val="21"/>
                      <w:szCs w:val="21"/>
                      <w:lang w:val="en-US" w:eastAsia="zh-CN" w:bidi="ar-SA"/>
                    </w:rPr>
                    <w:t>-5-2</w:t>
                  </w:r>
                </w:p>
              </w:tc>
              <w:tc>
                <w:tcPr>
                  <w:tcW w:w="440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占叙矿产业与生物多样性保护生态功能区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4"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left"/>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b/>
                      <w:bCs/>
                      <w:color w:val="000000"/>
                      <w:spacing w:val="0"/>
                      <w:w w:val="100"/>
                      <w:kern w:val="2"/>
                      <w:position w:val="0"/>
                      <w:sz w:val="21"/>
                      <w:szCs w:val="21"/>
                      <w:lang w:val="en-US" w:eastAsia="zh-CN" w:bidi="ar-SA"/>
                    </w:rPr>
                    <w:t>Ⅱ 川西南山地亚热带半湿润气候生态区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04"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1260" w:firstLineChars="600"/>
                    <w:jc w:val="left"/>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Ⅱ-1沙鲁里山南部亚高山暗针叶林生态亚区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5"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2100" w:firstLineChars="1000"/>
                    <w:jc w:val="both"/>
                    <w:textAlignment w:val="auto"/>
                    <w:rPr>
                      <w:rFonts w:hint="default"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Ⅱ-1-1</w:t>
                  </w:r>
                </w:p>
              </w:tc>
              <w:tc>
                <w:tcPr>
                  <w:tcW w:w="440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木里一九龙林牧业与水源涵养生态功能区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5"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2100" w:firstLineChars="1000"/>
                    <w:jc w:val="left"/>
                    <w:textAlignment w:val="auto"/>
                    <w:rPr>
                      <w:rFonts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Ⅱ-1-2</w:t>
                  </w:r>
                </w:p>
              </w:tc>
              <w:tc>
                <w:tcPr>
                  <w:tcW w:w="440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盐源农牧业与土壤保持生态功能区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4"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1260" w:firstLineChars="600"/>
                    <w:jc w:val="left"/>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Ⅱ-2川西南山地常绿阔叶林生态亚区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5"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2100" w:firstLineChars="100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Ⅱ-2-1</w:t>
                  </w:r>
                </w:p>
              </w:tc>
              <w:tc>
                <w:tcPr>
                  <w:tcW w:w="440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峨眉山一大风顶生物多样性保护与水源涵养生态功能区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5"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2100" w:firstLineChars="1000"/>
                    <w:jc w:val="left"/>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Ⅱ-2-2</w:t>
                  </w:r>
                </w:p>
              </w:tc>
              <w:tc>
                <w:tcPr>
                  <w:tcW w:w="440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汉源一甘洛矿产业一农林业与土壤保持生态功能区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5"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2100" w:firstLineChars="100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Ⅱ-2-3</w:t>
                  </w:r>
                </w:p>
              </w:tc>
              <w:tc>
                <w:tcPr>
                  <w:tcW w:w="440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凉山山原农牧业与土壤保持生态功能区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5"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2100" w:firstLineChars="1000"/>
                    <w:jc w:val="left"/>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Ⅱ-2-4</w:t>
                  </w:r>
                </w:p>
              </w:tc>
              <w:tc>
                <w:tcPr>
                  <w:tcW w:w="440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安宁河流域特色农业与土壤保持生态功能区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4"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1260" w:firstLineChars="60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Ⅱ-3金沙江</w:t>
                  </w:r>
                  <w:r>
                    <w:rPr>
                      <w:rFonts w:hint="eastAsia" w:ascii="Times New Roman" w:hAnsi="Times New Roman" w:eastAsia="宋体" w:cs="Times New Roman"/>
                      <w:color w:val="000000"/>
                      <w:spacing w:val="0"/>
                      <w:w w:val="100"/>
                      <w:kern w:val="2"/>
                      <w:position w:val="0"/>
                      <w:sz w:val="21"/>
                      <w:szCs w:val="21"/>
                      <w:lang w:val="zh-CN" w:eastAsia="zh-CN" w:bidi="ar-SA"/>
                    </w:rPr>
                    <w:t>卜游干</w:t>
                  </w:r>
                  <w:r>
                    <w:rPr>
                      <w:rFonts w:hint="eastAsia" w:ascii="Times New Roman" w:hAnsi="Times New Roman" w:eastAsia="宋体" w:cs="Times New Roman"/>
                      <w:color w:val="000000"/>
                      <w:spacing w:val="0"/>
                      <w:w w:val="100"/>
                      <w:kern w:val="2"/>
                      <w:position w:val="0"/>
                      <w:sz w:val="21"/>
                      <w:szCs w:val="21"/>
                      <w:lang w:val="en-US" w:eastAsia="zh-CN" w:bidi="ar-SA"/>
                    </w:rPr>
                    <w:t>热河谷稀树一灌丛一草地生态亚区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5"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2100" w:firstLineChars="100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Ⅱ-3-1</w:t>
                  </w:r>
                </w:p>
              </w:tc>
              <w:tc>
                <w:tcPr>
                  <w:tcW w:w="440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金沙江下游资源开发与土壤保持生态功能区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4"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宋体" w:hAnsi="宋体" w:eastAsia="宋体" w:cs="宋体"/>
                      <w:b/>
                      <w:bCs/>
                      <w:color w:val="000000"/>
                      <w:spacing w:val="0"/>
                      <w:w w:val="100"/>
                      <w:kern w:val="2"/>
                      <w:position w:val="0"/>
                      <w:sz w:val="21"/>
                      <w:szCs w:val="21"/>
                      <w:lang w:val="en-US" w:eastAsia="zh-CN" w:bidi="ar-SA"/>
                    </w:rPr>
                    <w:t>Ш</w:t>
                  </w:r>
                  <w:r>
                    <w:rPr>
                      <w:rFonts w:hint="eastAsia" w:ascii="Times New Roman" w:hAnsi="Times New Roman" w:eastAsia="宋体" w:cs="Times New Roman"/>
                      <w:b/>
                      <w:bCs/>
                      <w:color w:val="000000"/>
                      <w:spacing w:val="0"/>
                      <w:w w:val="100"/>
                      <w:kern w:val="2"/>
                      <w:position w:val="0"/>
                      <w:sz w:val="21"/>
                      <w:szCs w:val="21"/>
                      <w:lang w:val="en-US" w:eastAsia="zh-CN" w:bidi="ar-SA"/>
                    </w:rPr>
                    <w:t xml:space="preserve"> 川西高山高原亚热带一温带一寒温带生态区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4"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1260" w:firstLineChars="600"/>
                    <w:jc w:val="both"/>
                    <w:textAlignment w:val="auto"/>
                    <w:rPr>
                      <w:rFonts w:hint="eastAsia" w:ascii="宋体" w:hAnsi="宋体" w:eastAsia="宋体" w:cs="宋体"/>
                      <w:b/>
                      <w:bCs/>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Ш-1龙门山地常绿阔叶林一针叶林生态亚区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2100" w:firstLineChars="1000"/>
                    <w:jc w:val="both"/>
                    <w:textAlignment w:val="auto"/>
                    <w:rPr>
                      <w:rFonts w:hint="default" w:ascii="宋体" w:hAnsi="宋体" w:eastAsia="宋体" w:cs="宋体"/>
                      <w:b/>
                      <w:bCs/>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Ш-1-1</w:t>
                  </w:r>
                </w:p>
              </w:tc>
              <w:tc>
                <w:tcPr>
                  <w:tcW w:w="467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龙门山农林业与生物多样性保护生态功能区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2100" w:firstLineChars="1000"/>
                    <w:jc w:val="both"/>
                    <w:textAlignment w:val="auto"/>
                    <w:rPr>
                      <w:rFonts w:hint="eastAsia" w:ascii="宋体" w:hAnsi="宋体" w:eastAsia="宋体" w:cs="宋体"/>
                      <w:b/>
                      <w:bCs/>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Ш-1-2</w:t>
                  </w:r>
                </w:p>
              </w:tc>
              <w:tc>
                <w:tcPr>
                  <w:tcW w:w="467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茶坪山生物多样性保护与土壤保持生态功能区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2100" w:firstLineChars="1000"/>
                    <w:jc w:val="both"/>
                    <w:textAlignment w:val="auto"/>
                    <w:rPr>
                      <w:rFonts w:hint="eastAsia" w:ascii="宋体" w:hAnsi="宋体" w:eastAsia="宋体" w:cs="宋体"/>
                      <w:b/>
                      <w:bCs/>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Ш-1-3</w:t>
                  </w:r>
                </w:p>
              </w:tc>
              <w:tc>
                <w:tcPr>
                  <w:tcW w:w="467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邛崃山南段生物多样性保护与水源涵养生态功能区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4"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1260" w:firstLineChars="600"/>
                    <w:jc w:val="both"/>
                    <w:textAlignment w:val="auto"/>
                    <w:rPr>
                      <w:rFonts w:hint="eastAsia" w:ascii="宋体" w:hAnsi="宋体" w:eastAsia="宋体" w:cs="宋体"/>
                      <w:b/>
                      <w:bCs/>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Ш-2岷山一邛崃山云杉冷杉林一高山草甸生态亚区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2100" w:firstLineChars="100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Ш-2-1</w:t>
                  </w:r>
                </w:p>
              </w:tc>
              <w:tc>
                <w:tcPr>
                  <w:tcW w:w="467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spacing w:val="0"/>
                      <w:w w:val="100"/>
                      <w:kern w:val="2"/>
                      <w:position w:val="0"/>
                      <w:sz w:val="21"/>
                      <w:szCs w:val="21"/>
                      <w:lang w:val="en-US" w:eastAsia="zh-CN" w:bidi="ar-SA"/>
                    </w:rPr>
                  </w:pPr>
                  <w:r>
                    <w:rPr>
                      <w:rFonts w:hint="eastAsia" w:ascii="Times New Roman" w:hAnsi="Times New Roman" w:eastAsia="宋体" w:cs="Times New Roman"/>
                      <w:sz w:val="21"/>
                      <w:szCs w:val="21"/>
                    </w:rPr>
                    <w:t>九寨沟自然景观与生物多样性保护生态功能区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2100" w:firstLineChars="1000"/>
                    <w:jc w:val="both"/>
                    <w:textAlignment w:val="auto"/>
                    <w:rPr>
                      <w:rFonts w:hint="eastAsia" w:ascii="宋体" w:hAnsi="宋体" w:eastAsia="宋体" w:cs="宋体"/>
                      <w:b/>
                      <w:bCs/>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Ш-2-2</w:t>
                  </w:r>
                </w:p>
              </w:tc>
              <w:tc>
                <w:tcPr>
                  <w:tcW w:w="467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spacing w:val="0"/>
                      <w:w w:val="100"/>
                      <w:kern w:val="2"/>
                      <w:position w:val="0"/>
                      <w:sz w:val="21"/>
                      <w:szCs w:val="21"/>
                      <w:lang w:val="en-US" w:eastAsia="zh-CN" w:bidi="ar-SA"/>
                    </w:rPr>
                  </w:pPr>
                  <w:r>
                    <w:rPr>
                      <w:rFonts w:hint="eastAsia" w:ascii="Times New Roman" w:hAnsi="Times New Roman" w:eastAsia="宋体" w:cs="Times New Roman"/>
                      <w:sz w:val="21"/>
                      <w:szCs w:val="21"/>
                    </w:rPr>
                    <w:t>岷江上游水源涵养与土壤保持生态功能区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2100" w:firstLineChars="1000"/>
                    <w:jc w:val="both"/>
                    <w:textAlignment w:val="auto"/>
                    <w:rPr>
                      <w:rFonts w:hint="eastAsia" w:ascii="宋体" w:hAnsi="宋体" w:eastAsia="宋体" w:cs="宋体"/>
                      <w:b/>
                      <w:bCs/>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Ш-2-3</w:t>
                  </w:r>
                </w:p>
              </w:tc>
              <w:tc>
                <w:tcPr>
                  <w:tcW w:w="467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spacing w:val="0"/>
                      <w:w w:val="100"/>
                      <w:kern w:val="2"/>
                      <w:position w:val="0"/>
                      <w:sz w:val="21"/>
                      <w:szCs w:val="21"/>
                      <w:lang w:val="en-US" w:eastAsia="zh-CN" w:bidi="ar-SA"/>
                    </w:rPr>
                  </w:pPr>
                  <w:r>
                    <w:rPr>
                      <w:rFonts w:hint="eastAsia" w:ascii="Times New Roman" w:hAnsi="Times New Roman" w:eastAsia="宋体" w:cs="Times New Roman"/>
                      <w:sz w:val="21"/>
                      <w:szCs w:val="21"/>
                    </w:rPr>
                    <w:t>大渡河中游土壤保持与生物多样性保护生态功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4"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1260" w:firstLineChars="600"/>
                    <w:jc w:val="both"/>
                    <w:textAlignment w:val="auto"/>
                    <w:rPr>
                      <w:rFonts w:hint="eastAsia" w:ascii="宋体" w:hAnsi="宋体" w:eastAsia="宋体" w:cs="宋体"/>
                      <w:b/>
                      <w:bCs/>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Ш-3大雪山沙鲁里山云杉冷杉林一高山灌丛一高山草甸生态亚区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2100" w:firstLineChars="1000"/>
                    <w:jc w:val="both"/>
                    <w:textAlignment w:val="auto"/>
                    <w:rPr>
                      <w:rFonts w:hint="eastAsia" w:ascii="宋体" w:hAnsi="宋体" w:eastAsia="宋体" w:cs="宋体"/>
                      <w:b/>
                      <w:bCs/>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Ш-3-1</w:t>
                  </w:r>
                </w:p>
              </w:tc>
              <w:tc>
                <w:tcPr>
                  <w:tcW w:w="467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spacing w:val="0"/>
                      <w:w w:val="100"/>
                      <w:kern w:val="2"/>
                      <w:position w:val="0"/>
                      <w:sz w:val="21"/>
                      <w:szCs w:val="21"/>
                      <w:lang w:val="en-US" w:eastAsia="zh-CN" w:bidi="ar-SA"/>
                    </w:rPr>
                  </w:pPr>
                  <w:r>
                    <w:rPr>
                      <w:rFonts w:hint="eastAsia" w:ascii="Times New Roman" w:hAnsi="Times New Roman" w:eastAsia="宋体" w:cs="Times New Roman"/>
                      <w:sz w:val="21"/>
                      <w:szCs w:val="21"/>
                    </w:rPr>
                    <w:t>贡嘎山冰川与生物多 样性保护生态功能区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2100" w:firstLineChars="1000"/>
                    <w:jc w:val="both"/>
                    <w:textAlignment w:val="auto"/>
                    <w:rPr>
                      <w:rFonts w:hint="eastAsia" w:ascii="宋体" w:hAnsi="宋体" w:eastAsia="宋体" w:cs="宋体"/>
                      <w:b/>
                      <w:bCs/>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Ш-3-2</w:t>
                  </w:r>
                </w:p>
              </w:tc>
              <w:tc>
                <w:tcPr>
                  <w:tcW w:w="467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spacing w:val="0"/>
                      <w:w w:val="100"/>
                      <w:kern w:val="2"/>
                      <w:position w:val="0"/>
                      <w:sz w:val="21"/>
                      <w:szCs w:val="21"/>
                      <w:lang w:val="en-US" w:eastAsia="zh-CN" w:bidi="ar-SA"/>
                    </w:rPr>
                  </w:pPr>
                  <w:r>
                    <w:rPr>
                      <w:rFonts w:hint="eastAsia" w:ascii="Times New Roman" w:hAnsi="Times New Roman" w:eastAsia="宋体" w:cs="Times New Roman"/>
                      <w:sz w:val="21"/>
                      <w:szCs w:val="21"/>
                    </w:rPr>
                    <w:t>雅砻江中游林牧业与土壤保持生态功能区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2100" w:firstLineChars="1000"/>
                    <w:jc w:val="both"/>
                    <w:textAlignment w:val="auto"/>
                    <w:rPr>
                      <w:rFonts w:hint="eastAsia" w:ascii="宋体" w:hAnsi="宋体" w:eastAsia="宋体" w:cs="宋体"/>
                      <w:b/>
                      <w:bCs/>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Ш-3-3</w:t>
                  </w:r>
                </w:p>
              </w:tc>
              <w:tc>
                <w:tcPr>
                  <w:tcW w:w="467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spacing w:val="0"/>
                      <w:w w:val="100"/>
                      <w:kern w:val="2"/>
                      <w:position w:val="0"/>
                      <w:sz w:val="21"/>
                      <w:szCs w:val="21"/>
                      <w:lang w:val="en-US" w:eastAsia="zh-CN" w:bidi="ar-SA"/>
                    </w:rPr>
                  </w:pPr>
                  <w:r>
                    <w:rPr>
                      <w:rFonts w:hint="eastAsia" w:ascii="Times New Roman" w:hAnsi="Times New Roman" w:eastAsia="宋体" w:cs="Times New Roman"/>
                      <w:sz w:val="21"/>
                      <w:szCs w:val="21"/>
                    </w:rPr>
                    <w:t>沙鲁里山牧业与生物多样性保护生态功能区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2100" w:firstLineChars="1000"/>
                    <w:jc w:val="both"/>
                    <w:textAlignment w:val="auto"/>
                    <w:rPr>
                      <w:rFonts w:hint="eastAsia"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color w:val="000000"/>
                      <w:spacing w:val="0"/>
                      <w:w w:val="100"/>
                      <w:kern w:val="2"/>
                      <w:position w:val="0"/>
                      <w:sz w:val="21"/>
                      <w:szCs w:val="21"/>
                      <w:lang w:val="en-US" w:eastAsia="zh-CN" w:bidi="ar-SA"/>
                    </w:rPr>
                    <w:t>Ш-3-4</w:t>
                  </w:r>
                </w:p>
              </w:tc>
              <w:tc>
                <w:tcPr>
                  <w:tcW w:w="467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spacing w:val="0"/>
                      <w:w w:val="100"/>
                      <w:kern w:val="2"/>
                      <w:position w:val="0"/>
                      <w:sz w:val="21"/>
                      <w:szCs w:val="21"/>
                      <w:lang w:val="en-US" w:eastAsia="zh-CN" w:bidi="ar-SA"/>
                    </w:rPr>
                  </w:pPr>
                  <w:r>
                    <w:rPr>
                      <w:rFonts w:hint="eastAsia" w:ascii="Times New Roman" w:hAnsi="Times New Roman" w:eastAsia="宋体" w:cs="Times New Roman"/>
                      <w:sz w:val="21"/>
                      <w:szCs w:val="21"/>
                    </w:rPr>
                    <w:t>金沙江上游林牧业与水源涵养生态功能区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4"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b/>
                      <w:bCs/>
                      <w:color w:val="000000"/>
                      <w:spacing w:val="0"/>
                      <w:w w:val="100"/>
                      <w:kern w:val="2"/>
                      <w:position w:val="0"/>
                      <w:sz w:val="21"/>
                      <w:szCs w:val="21"/>
                      <w:lang w:val="en-US" w:eastAsia="zh-CN" w:bidi="ar-SA"/>
                    </w:rPr>
                  </w:pPr>
                  <w:r>
                    <w:rPr>
                      <w:rFonts w:hint="default" w:ascii="Times New Roman" w:hAnsi="Times New Roman" w:eastAsia="宋体" w:cs="Times New Roman"/>
                      <w:b/>
                      <w:bCs/>
                      <w:color w:val="000000"/>
                      <w:spacing w:val="0"/>
                      <w:w w:val="100"/>
                      <w:kern w:val="2"/>
                      <w:position w:val="0"/>
                      <w:sz w:val="21"/>
                      <w:szCs w:val="21"/>
                      <w:lang w:val="en-US" w:eastAsia="zh-CN" w:bidi="ar-SA"/>
                    </w:rPr>
                    <w:t>IV川西北高原江河源区寒温带一亚寒带生态区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4"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1260" w:firstLineChars="600"/>
                    <w:jc w:val="both"/>
                    <w:textAlignment w:val="auto"/>
                    <w:rPr>
                      <w:rFonts w:hint="default" w:ascii="宋体" w:hAnsi="宋体" w:eastAsia="宋体" w:cs="宋体"/>
                      <w:b w:val="0"/>
                      <w:bCs w:val="0"/>
                      <w:color w:val="000000"/>
                      <w:spacing w:val="0"/>
                      <w:w w:val="100"/>
                      <w:kern w:val="2"/>
                      <w:position w:val="0"/>
                      <w:sz w:val="21"/>
                      <w:szCs w:val="21"/>
                      <w:lang w:val="en-US" w:eastAsia="zh-CN" w:bidi="ar-SA"/>
                    </w:rPr>
                  </w:pPr>
                  <w:r>
                    <w:rPr>
                      <w:rFonts w:hint="eastAsia" w:ascii="Times New Roman" w:hAnsi="Times New Roman" w:eastAsia="宋体" w:cs="Times New Roman"/>
                      <w:b w:val="0"/>
                      <w:bCs w:val="0"/>
                      <w:color w:val="000000"/>
                      <w:spacing w:val="0"/>
                      <w:w w:val="100"/>
                      <w:kern w:val="2"/>
                      <w:position w:val="0"/>
                      <w:sz w:val="21"/>
                      <w:szCs w:val="21"/>
                      <w:lang w:val="en-US" w:eastAsia="zh-CN" w:bidi="ar-SA"/>
                    </w:rPr>
                    <w:t>IV-1 黄河源高寒草甸草原沼泽生态亚区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2100" w:firstLineChars="1000"/>
                    <w:jc w:val="both"/>
                    <w:textAlignment w:val="auto"/>
                    <w:rPr>
                      <w:rFonts w:hint="default" w:ascii="Times New Roman" w:hAnsi="Times New Roman" w:eastAsia="宋体" w:cs="Times New Roman"/>
                      <w:color w:val="000000"/>
                      <w:spacing w:val="0"/>
                      <w:w w:val="100"/>
                      <w:kern w:val="2"/>
                      <w:position w:val="0"/>
                      <w:sz w:val="21"/>
                      <w:szCs w:val="21"/>
                      <w:lang w:val="en-US" w:eastAsia="zh-CN" w:bidi="ar-SA"/>
                    </w:rPr>
                  </w:pPr>
                  <w:r>
                    <w:rPr>
                      <w:rFonts w:hint="eastAsia" w:ascii="Times New Roman" w:hAnsi="Times New Roman" w:eastAsia="宋体" w:cs="Times New Roman"/>
                      <w:b w:val="0"/>
                      <w:bCs w:val="0"/>
                      <w:color w:val="000000"/>
                      <w:spacing w:val="0"/>
                      <w:w w:val="100"/>
                      <w:kern w:val="2"/>
                      <w:position w:val="0"/>
                      <w:sz w:val="21"/>
                      <w:szCs w:val="21"/>
                      <w:lang w:val="en-US" w:eastAsia="zh-CN" w:bidi="ar-SA"/>
                    </w:rPr>
                    <w:t>IV-1 -1</w:t>
                  </w:r>
                </w:p>
              </w:tc>
              <w:tc>
                <w:tcPr>
                  <w:tcW w:w="467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bCs/>
                      <w:color w:val="000000"/>
                      <w:spacing w:val="0"/>
                      <w:w w:val="100"/>
                      <w:kern w:val="2"/>
                      <w:position w:val="0"/>
                      <w:sz w:val="21"/>
                      <w:szCs w:val="21"/>
                      <w:lang w:val="en-US" w:eastAsia="zh-CN" w:bidi="ar-SA"/>
                    </w:rPr>
                  </w:pPr>
                  <w:r>
                    <w:rPr>
                      <w:rFonts w:hint="eastAsia" w:ascii="宋体" w:hAnsi="宋体" w:eastAsia="宋体" w:cs="宋体"/>
                      <w:b w:val="0"/>
                      <w:bCs w:val="0"/>
                      <w:color w:val="000000"/>
                      <w:spacing w:val="0"/>
                      <w:w w:val="100"/>
                      <w:kern w:val="2"/>
                      <w:position w:val="0"/>
                      <w:sz w:val="21"/>
                      <w:szCs w:val="21"/>
                      <w:lang w:val="en-US" w:eastAsia="zh-CN" w:bidi="ar-SA"/>
                    </w:rPr>
                    <w:t>若尔盖牧业与湿地生物多样性保护一-水源涵养生态功能区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4"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1260" w:firstLineChars="600"/>
                    <w:jc w:val="both"/>
                    <w:textAlignment w:val="auto"/>
                    <w:rPr>
                      <w:rFonts w:hint="eastAsia" w:ascii="宋体" w:hAnsi="宋体" w:eastAsia="宋体" w:cs="宋体"/>
                      <w:b/>
                      <w:bCs/>
                      <w:color w:val="000000"/>
                      <w:spacing w:val="0"/>
                      <w:w w:val="100"/>
                      <w:kern w:val="2"/>
                      <w:position w:val="0"/>
                      <w:sz w:val="21"/>
                      <w:szCs w:val="21"/>
                      <w:lang w:val="en-US" w:eastAsia="zh-CN" w:bidi="ar-SA"/>
                    </w:rPr>
                  </w:pPr>
                  <w:r>
                    <w:rPr>
                      <w:rFonts w:hint="eastAsia" w:ascii="Times New Roman" w:hAnsi="Times New Roman" w:eastAsia="宋体" w:cs="Times New Roman"/>
                      <w:b w:val="0"/>
                      <w:bCs w:val="0"/>
                      <w:color w:val="000000"/>
                      <w:spacing w:val="0"/>
                      <w:w w:val="100"/>
                      <w:kern w:val="2"/>
                      <w:position w:val="0"/>
                      <w:sz w:val="21"/>
                      <w:szCs w:val="21"/>
                      <w:lang w:val="en-US" w:eastAsia="zh-CN" w:bidi="ar-SA"/>
                    </w:rPr>
                    <w:t xml:space="preserve"> IV-2长江源高寒草甸草原生态亚区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2100" w:firstLineChars="1000"/>
                    <w:jc w:val="both"/>
                    <w:textAlignment w:val="auto"/>
                    <w:rPr>
                      <w:rFonts w:hint="default" w:ascii="Times New Roman" w:hAnsi="Times New Roman" w:eastAsia="宋体" w:cs="Times New Roman"/>
                      <w:b w:val="0"/>
                      <w:bCs w:val="0"/>
                      <w:color w:val="000000"/>
                      <w:spacing w:val="0"/>
                      <w:w w:val="100"/>
                      <w:kern w:val="2"/>
                      <w:position w:val="0"/>
                      <w:sz w:val="21"/>
                      <w:szCs w:val="21"/>
                      <w:lang w:val="en-US" w:eastAsia="zh-CN" w:bidi="ar-SA"/>
                    </w:rPr>
                  </w:pPr>
                  <w:r>
                    <w:rPr>
                      <w:rFonts w:hint="eastAsia" w:ascii="Times New Roman" w:hAnsi="Times New Roman" w:eastAsia="宋体" w:cs="Times New Roman"/>
                      <w:b w:val="0"/>
                      <w:bCs w:val="0"/>
                      <w:color w:val="000000"/>
                      <w:spacing w:val="0"/>
                      <w:w w:val="100"/>
                      <w:kern w:val="2"/>
                      <w:position w:val="0"/>
                      <w:sz w:val="21"/>
                      <w:szCs w:val="21"/>
                      <w:lang w:val="en-US" w:eastAsia="zh-CN" w:bidi="ar-SA"/>
                    </w:rPr>
                    <w:t>IV-2-1</w:t>
                  </w:r>
                </w:p>
              </w:tc>
              <w:tc>
                <w:tcPr>
                  <w:tcW w:w="467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spacing w:val="0"/>
                      <w:w w:val="100"/>
                      <w:kern w:val="2"/>
                      <w:position w:val="0"/>
                      <w:sz w:val="21"/>
                      <w:szCs w:val="21"/>
                      <w:lang w:val="en-US" w:eastAsia="zh-CN" w:bidi="ar-SA"/>
                    </w:rPr>
                  </w:pPr>
                  <w:r>
                    <w:rPr>
                      <w:rFonts w:hint="eastAsia" w:ascii="Times New Roman" w:hAnsi="Times New Roman" w:eastAsia="宋体" w:cs="Times New Roman"/>
                      <w:sz w:val="21"/>
                      <w:szCs w:val="21"/>
                    </w:rPr>
                    <w:t>阿坝一壤塘农牧业与水源涵养生态功能区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2100" w:firstLineChars="1000"/>
                    <w:jc w:val="both"/>
                    <w:textAlignment w:val="auto"/>
                    <w:rPr>
                      <w:rFonts w:hint="eastAsia" w:ascii="Times New Roman" w:hAnsi="Times New Roman" w:eastAsia="宋体" w:cs="Times New Roman"/>
                      <w:b w:val="0"/>
                      <w:bCs w:val="0"/>
                      <w:color w:val="000000"/>
                      <w:spacing w:val="0"/>
                      <w:w w:val="100"/>
                      <w:kern w:val="2"/>
                      <w:position w:val="0"/>
                      <w:sz w:val="21"/>
                      <w:szCs w:val="21"/>
                      <w:lang w:val="en-US" w:eastAsia="zh-CN" w:bidi="ar-SA"/>
                    </w:rPr>
                  </w:pPr>
                  <w:r>
                    <w:rPr>
                      <w:rFonts w:hint="eastAsia" w:ascii="Times New Roman" w:hAnsi="Times New Roman" w:eastAsia="宋体" w:cs="Times New Roman"/>
                      <w:b w:val="0"/>
                      <w:bCs w:val="0"/>
                      <w:color w:val="000000"/>
                      <w:spacing w:val="0"/>
                      <w:w w:val="100"/>
                      <w:kern w:val="2"/>
                      <w:position w:val="0"/>
                      <w:sz w:val="21"/>
                      <w:szCs w:val="21"/>
                      <w:lang w:val="en-US" w:eastAsia="zh-CN" w:bidi="ar-SA"/>
                    </w:rPr>
                    <w:t>IV-2-2</w:t>
                  </w:r>
                </w:p>
              </w:tc>
              <w:tc>
                <w:tcPr>
                  <w:tcW w:w="467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spacing w:val="0"/>
                      <w:w w:val="100"/>
                      <w:kern w:val="2"/>
                      <w:position w:val="0"/>
                      <w:sz w:val="21"/>
                      <w:szCs w:val="21"/>
                      <w:lang w:val="en-US" w:eastAsia="zh-CN" w:bidi="ar-SA"/>
                    </w:rPr>
                  </w:pPr>
                  <w:r>
                    <w:rPr>
                      <w:rFonts w:hint="eastAsia" w:ascii="Times New Roman" w:hAnsi="Times New Roman" w:eastAsia="宋体" w:cs="Times New Roman"/>
                      <w:sz w:val="21"/>
                      <w:szCs w:val="21"/>
                    </w:rPr>
                    <w:t>色达农牧业与水源涵养生态功能区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2100" w:firstLineChars="1000"/>
                    <w:jc w:val="both"/>
                    <w:textAlignment w:val="auto"/>
                    <w:rPr>
                      <w:rFonts w:hint="eastAsia" w:ascii="Times New Roman" w:hAnsi="Times New Roman" w:eastAsia="宋体" w:cs="Times New Roman"/>
                      <w:b w:val="0"/>
                      <w:bCs w:val="0"/>
                      <w:color w:val="000000"/>
                      <w:spacing w:val="0"/>
                      <w:w w:val="100"/>
                      <w:kern w:val="2"/>
                      <w:position w:val="0"/>
                      <w:sz w:val="21"/>
                      <w:szCs w:val="21"/>
                      <w:lang w:val="en-US" w:eastAsia="zh-CN" w:bidi="ar-SA"/>
                    </w:rPr>
                  </w:pPr>
                  <w:r>
                    <w:rPr>
                      <w:rFonts w:hint="eastAsia" w:ascii="Times New Roman" w:hAnsi="Times New Roman" w:eastAsia="宋体" w:cs="Times New Roman"/>
                      <w:b w:val="0"/>
                      <w:bCs w:val="0"/>
                      <w:color w:val="000000"/>
                      <w:spacing w:val="0"/>
                      <w:w w:val="100"/>
                      <w:kern w:val="2"/>
                      <w:position w:val="0"/>
                      <w:sz w:val="21"/>
                      <w:szCs w:val="21"/>
                      <w:lang w:val="en-US" w:eastAsia="zh-CN" w:bidi="ar-SA"/>
                    </w:rPr>
                    <w:t>IV-2-3</w:t>
                  </w:r>
                </w:p>
              </w:tc>
              <w:tc>
                <w:tcPr>
                  <w:tcW w:w="467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spacing w:val="0"/>
                      <w:w w:val="100"/>
                      <w:kern w:val="2"/>
                      <w:position w:val="0"/>
                      <w:sz w:val="21"/>
                      <w:szCs w:val="21"/>
                      <w:lang w:val="en-US" w:eastAsia="zh-CN" w:bidi="ar-SA"/>
                    </w:rPr>
                  </w:pPr>
                  <w:r>
                    <w:rPr>
                      <w:rFonts w:hint="eastAsia" w:ascii="Times New Roman" w:hAnsi="Times New Roman" w:eastAsia="宋体" w:cs="Times New Roman"/>
                      <w:sz w:val="21"/>
                      <w:szCs w:val="21"/>
                    </w:rPr>
                    <w:t>石渠牧业与生物多样性保护-水源涵养生态功</w:t>
                  </w: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根据《四川省生态功能区划》和《四川省生态功能区划三级区特征一览表》，项目评价区所处生态功能区划是：</w:t>
            </w:r>
          </w:p>
          <w:p>
            <w:pPr>
              <w:spacing w:line="360" w:lineRule="auto"/>
              <w:ind w:firstLine="480" w:firstLineChars="200"/>
              <w:rPr>
                <w:rFonts w:hint="eastAsia" w:ascii="宋体" w:hAnsi="宋体" w:eastAsia="宋体" w:cs="宋体"/>
                <w:sz w:val="24"/>
                <w:szCs w:val="24"/>
              </w:rPr>
            </w:pPr>
            <w:bookmarkStart w:id="57" w:name="_Hlk535790616"/>
            <w:r>
              <w:rPr>
                <w:rFonts w:hint="eastAsia" w:ascii="宋体" w:hAnsi="宋体" w:eastAsia="宋体" w:cs="宋体"/>
                <w:sz w:val="24"/>
                <w:szCs w:val="24"/>
              </w:rPr>
              <w:t xml:space="preserve">Ⅰ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四川盆地亚热带湿润气候生态区</w:t>
            </w:r>
          </w:p>
          <w:p>
            <w:pPr>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rPr>
              <w:t xml:space="preserve">Ⅰ </w:t>
            </w:r>
            <w:r>
              <w:rPr>
                <w:rFonts w:hint="eastAsia" w:ascii="宋体" w:hAnsi="宋体" w:eastAsia="宋体" w:cs="宋体"/>
                <w:sz w:val="24"/>
                <w:szCs w:val="24"/>
                <w:lang w:val="en-US" w:eastAsia="zh-CN"/>
              </w:rPr>
              <w:t>2</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zh-CN"/>
              </w:rPr>
              <w:t>盆中丘陵农林复合生态亚区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Ⅰ-2-1 盆北深丘农林业与土壤保持生态功能区</w:t>
            </w:r>
          </w:p>
          <w:bookmarkEnd w:id="57"/>
          <w:p>
            <w:pPr>
              <w:spacing w:line="360" w:lineRule="auto"/>
              <w:ind w:firstLine="482" w:firstLineChars="200"/>
              <w:rPr>
                <w:color w:val="000000"/>
                <w:sz w:val="24"/>
              </w:rPr>
            </w:pPr>
            <w:r>
              <w:rPr>
                <w:rFonts w:hAnsi="宋体"/>
                <w:b/>
                <w:color w:val="000000"/>
                <w:sz w:val="24"/>
              </w:rPr>
              <w:t>①所在区域面积：</w:t>
            </w:r>
            <w:r>
              <w:rPr>
                <w:rFonts w:hAnsi="宋体"/>
                <w:color w:val="000000"/>
                <w:sz w:val="24"/>
              </w:rPr>
              <w:t>该生态</w:t>
            </w:r>
            <w:r>
              <w:rPr>
                <w:rStyle w:val="51"/>
                <w:rFonts w:hint="default"/>
              </w:rPr>
              <w:t>功能</w:t>
            </w:r>
            <w:r>
              <w:rPr>
                <w:rFonts w:hAnsi="宋体"/>
                <w:color w:val="000000"/>
                <w:sz w:val="24"/>
              </w:rPr>
              <w:t>区在西川盆地北部，跨广元、巴中、达州市的</w:t>
            </w:r>
            <w:r>
              <w:rPr>
                <w:color w:val="000000"/>
                <w:sz w:val="24"/>
              </w:rPr>
              <w:t>11</w:t>
            </w:r>
            <w:r>
              <w:rPr>
                <w:rFonts w:hAnsi="宋体"/>
                <w:color w:val="000000"/>
                <w:sz w:val="24"/>
              </w:rPr>
              <w:t>个县级行政区。面积</w:t>
            </w:r>
            <w:r>
              <w:rPr>
                <w:color w:val="000000"/>
                <w:sz w:val="24"/>
              </w:rPr>
              <w:t>0.98</w:t>
            </w:r>
            <w:r>
              <w:rPr>
                <w:rFonts w:hAnsi="宋体"/>
                <w:color w:val="000000"/>
                <w:sz w:val="24"/>
              </w:rPr>
              <w:t>万</w:t>
            </w:r>
            <w:r>
              <w:rPr>
                <w:color w:val="000000"/>
                <w:sz w:val="24"/>
              </w:rPr>
              <w:t>km</w:t>
            </w:r>
            <w:r>
              <w:rPr>
                <w:color w:val="000000"/>
                <w:sz w:val="24"/>
                <w:vertAlign w:val="superscript"/>
              </w:rPr>
              <w:t>2</w:t>
            </w:r>
            <w:r>
              <w:rPr>
                <w:rFonts w:hAnsi="宋体"/>
                <w:color w:val="000000"/>
                <w:sz w:val="24"/>
              </w:rPr>
              <w:t>。</w:t>
            </w:r>
          </w:p>
          <w:p>
            <w:pPr>
              <w:spacing w:line="360" w:lineRule="auto"/>
              <w:ind w:firstLine="482" w:firstLineChars="200"/>
              <w:rPr>
                <w:color w:val="000000"/>
                <w:sz w:val="24"/>
              </w:rPr>
            </w:pPr>
            <w:r>
              <w:rPr>
                <w:rFonts w:hAnsi="宋体"/>
                <w:b/>
                <w:color w:val="000000"/>
                <w:sz w:val="24"/>
              </w:rPr>
              <w:t>②典型生态系统：</w:t>
            </w:r>
            <w:r>
              <w:rPr>
                <w:rFonts w:hAnsi="宋体"/>
                <w:color w:val="000000"/>
                <w:sz w:val="24"/>
              </w:rPr>
              <w:t>农田、城市、森林生态系统。</w:t>
            </w:r>
          </w:p>
          <w:p>
            <w:pPr>
              <w:spacing w:line="360" w:lineRule="auto"/>
              <w:ind w:firstLine="482" w:firstLineChars="200"/>
              <w:rPr>
                <w:color w:val="000000"/>
                <w:sz w:val="24"/>
              </w:rPr>
            </w:pPr>
            <w:r>
              <w:rPr>
                <w:rFonts w:hAnsi="宋体"/>
                <w:b/>
                <w:color w:val="000000"/>
                <w:sz w:val="24"/>
              </w:rPr>
              <w:t>③</w:t>
            </w:r>
            <w:r>
              <w:rPr>
                <w:rStyle w:val="51"/>
                <w:rFonts w:hint="default"/>
                <w:b/>
              </w:rPr>
              <w:t>主要生态问题：</w:t>
            </w:r>
            <w:r>
              <w:rPr>
                <w:rStyle w:val="51"/>
                <w:rFonts w:hint="default"/>
              </w:rPr>
              <w:t>水土流夫较严重，易发生滑坡;生物多样性及森林资源保护有待加强。</w:t>
            </w:r>
          </w:p>
          <w:p>
            <w:pPr>
              <w:spacing w:line="360" w:lineRule="auto"/>
              <w:ind w:firstLine="482" w:firstLineChars="200"/>
              <w:rPr>
                <w:rStyle w:val="51"/>
                <w:rFonts w:hint="default"/>
              </w:rPr>
            </w:pPr>
            <w:r>
              <w:rPr>
                <w:rFonts w:hAnsi="宋体"/>
                <w:b/>
                <w:color w:val="000000"/>
                <w:sz w:val="24"/>
              </w:rPr>
              <w:t>④生态环境敏感性：</w:t>
            </w:r>
            <w:r>
              <w:rPr>
                <w:rFonts w:hAnsi="宋体"/>
                <w:color w:val="000000"/>
                <w:sz w:val="24"/>
              </w:rPr>
              <w:t>土壤侵蚀极敏感，野生动物生境中度敏感。</w:t>
            </w:r>
          </w:p>
          <w:p>
            <w:pPr>
              <w:spacing w:line="360" w:lineRule="auto"/>
              <w:ind w:firstLine="482" w:firstLineChars="200"/>
              <w:rPr>
                <w:color w:val="000000"/>
                <w:sz w:val="24"/>
              </w:rPr>
            </w:pPr>
            <w:r>
              <w:rPr>
                <w:rFonts w:hAnsi="宋体"/>
                <w:b/>
                <w:color w:val="000000"/>
                <w:sz w:val="24"/>
              </w:rPr>
              <w:t>⑤</w:t>
            </w:r>
            <w:r>
              <w:rPr>
                <w:rStyle w:val="51"/>
                <w:rFonts w:hint="default"/>
                <w:b/>
              </w:rPr>
              <w:t>生态服务功能重要性</w:t>
            </w:r>
            <w:r>
              <w:rPr>
                <w:rFonts w:hAnsi="宋体"/>
                <w:b/>
                <w:color w:val="000000"/>
                <w:sz w:val="24"/>
              </w:rPr>
              <w:t>：</w:t>
            </w:r>
            <w:r>
              <w:rPr>
                <w:rFonts w:hAnsi="宋体"/>
                <w:color w:val="000000"/>
                <w:sz w:val="24"/>
              </w:rPr>
              <w:t>农业及林业发展，土壤保持。</w:t>
            </w:r>
          </w:p>
          <w:p>
            <w:pPr>
              <w:spacing w:line="360" w:lineRule="auto"/>
              <w:ind w:firstLine="482" w:firstLineChars="200"/>
              <w:rPr>
                <w:color w:val="000000"/>
                <w:sz w:val="24"/>
              </w:rPr>
            </w:pPr>
            <w:r>
              <w:rPr>
                <w:rFonts w:hAnsi="宋体"/>
                <w:b/>
                <w:color w:val="000000"/>
                <w:sz w:val="24"/>
              </w:rPr>
              <w:t>⑥生态建设与发展方向：</w:t>
            </w:r>
            <w:r>
              <w:rPr>
                <w:rFonts w:hAnsi="宋体"/>
                <w:color w:val="000000"/>
                <w:sz w:val="24"/>
              </w:rPr>
              <w:t>发掘历史文化财富，开发人文景观资源，发展旅游观光业及相关产业链、维护森林生态系统和农田生态系统的良性循环，改善水土流失现状</w:t>
            </w:r>
            <w:r>
              <w:rPr>
                <w:color w:val="000000"/>
                <w:sz w:val="24"/>
              </w:rPr>
              <w:t>;</w:t>
            </w:r>
            <w:r>
              <w:rPr>
                <w:rFonts w:hAnsi="宋体"/>
                <w:color w:val="000000"/>
                <w:sz w:val="24"/>
              </w:rPr>
              <w:t>发展中药材产业，做好野生资源保护工作。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1.2四川省主体功能区划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根据《四川省主体功能区规划》（川府发【2013】16号）</w:t>
            </w:r>
            <w:r>
              <w:rPr>
                <w:rFonts w:hint="eastAsia" w:ascii="Times New Roman" w:hAnsi="Times New Roman" w:eastAsia="宋体" w:cs="Times New Roman"/>
                <w:color w:val="auto"/>
                <w:sz w:val="24"/>
                <w:szCs w:val="24"/>
                <w:lang w:val="en-US" w:eastAsia="zh-CN"/>
              </w:rPr>
              <w:t>，四川省主体功能区划分为四川省重点开发区域、四川省限制开发区域（农产品主产区）、四川省限制开发区域（重点生态功能区）。本项目位于广元市昭化区</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广元市昭化区属于川东北地区。</w:t>
            </w:r>
          </w:p>
          <w:p>
            <w:pPr>
              <w:pStyle w:val="8"/>
              <w:jc w:val="center"/>
              <w:rPr>
                <w:rFonts w:hint="default"/>
                <w:lang w:val="en-US" w:eastAsia="zh-CN"/>
              </w:rPr>
            </w:pPr>
            <w:r>
              <w:drawing>
                <wp:inline distT="0" distB="0" distL="114300" distR="114300">
                  <wp:extent cx="4691380" cy="3707765"/>
                  <wp:effectExtent l="12700" t="12700" r="20320" b="13335"/>
                  <wp:docPr id="56"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3"/>
                          <pic:cNvPicPr>
                            <a:picLocks noChangeAspect="1"/>
                          </pic:cNvPicPr>
                        </pic:nvPicPr>
                        <pic:blipFill>
                          <a:blip r:embed="rId16"/>
                          <a:stretch>
                            <a:fillRect/>
                          </a:stretch>
                        </pic:blipFill>
                        <pic:spPr>
                          <a:xfrm>
                            <a:off x="0" y="0"/>
                            <a:ext cx="4691380" cy="3707765"/>
                          </a:xfrm>
                          <a:prstGeom prst="rect">
                            <a:avLst/>
                          </a:prstGeom>
                          <a:noFill/>
                          <a:ln w="12700"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w:t>
            </w:r>
            <w:r>
              <w:rPr>
                <w:rFonts w:hint="default" w:ascii="Times New Roman" w:hAnsi="Times New Roman" w:eastAsia="宋体" w:cs="Times New Roman"/>
                <w:color w:val="auto"/>
                <w:sz w:val="24"/>
                <w:szCs w:val="24"/>
                <w:lang w:val="en-US" w:eastAsia="zh-CN"/>
              </w:rPr>
              <w:t>《四川省主体功能区规划》</w:t>
            </w:r>
            <w:r>
              <w:rPr>
                <w:rFonts w:hint="eastAsia" w:ascii="Times New Roman" w:hAnsi="Times New Roman" w:eastAsia="宋体" w:cs="Times New Roman"/>
                <w:color w:val="auto"/>
                <w:sz w:val="24"/>
                <w:szCs w:val="24"/>
                <w:lang w:val="en-US" w:eastAsia="zh-CN"/>
              </w:rPr>
              <w:t>中四川省主体功能区划分，广元市属于四川省重点开发区域；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w:t>
            </w:r>
            <w:r>
              <w:rPr>
                <w:rFonts w:hint="default" w:ascii="Times New Roman" w:hAnsi="Times New Roman" w:eastAsia="宋体" w:cs="Times New Roman"/>
                <w:color w:val="auto"/>
                <w:sz w:val="24"/>
                <w:szCs w:val="24"/>
                <w:lang w:val="en-US" w:eastAsia="zh-CN"/>
              </w:rPr>
              <w:t>《四川省主体功能区规划》</w:t>
            </w:r>
            <w:r>
              <w:rPr>
                <w:rFonts w:hint="eastAsia" w:ascii="Times New Roman" w:hAnsi="Times New Roman" w:eastAsia="宋体" w:cs="Times New Roman"/>
                <w:color w:val="auto"/>
                <w:sz w:val="24"/>
                <w:szCs w:val="24"/>
                <w:lang w:val="en-US" w:eastAsia="zh-CN"/>
              </w:rPr>
              <w:t>中四川省限制开发区域（农产品主产区）划分，广元市不属于国家、省级限制开发区域；根据四川省限制开发区域（重点生态功能区）划分，广元市不属于国家、省级限制开发区域；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根据《四川省主体功能区规划》中四川省</w:t>
            </w:r>
            <w:r>
              <w:rPr>
                <w:rFonts w:hint="eastAsia" w:ascii="Times New Roman" w:hAnsi="Times New Roman" w:eastAsia="宋体" w:cs="Times New Roman"/>
                <w:color w:val="auto"/>
                <w:sz w:val="24"/>
                <w:szCs w:val="24"/>
                <w:lang w:val="en-US" w:eastAsia="zh-CN"/>
              </w:rPr>
              <w:t>禁止</w:t>
            </w:r>
            <w:r>
              <w:rPr>
                <w:rFonts w:hint="default" w:ascii="Times New Roman" w:hAnsi="Times New Roman" w:eastAsia="宋体" w:cs="Times New Roman"/>
                <w:color w:val="auto"/>
                <w:sz w:val="24"/>
                <w:szCs w:val="24"/>
                <w:lang w:val="en-US" w:eastAsia="zh-CN"/>
              </w:rPr>
              <w:t>开发区域划分，四川省</w:t>
            </w:r>
            <w:r>
              <w:rPr>
                <w:rFonts w:hint="eastAsia" w:ascii="Times New Roman" w:hAnsi="Times New Roman" w:eastAsia="宋体" w:cs="Times New Roman"/>
                <w:color w:val="auto"/>
                <w:sz w:val="24"/>
                <w:szCs w:val="24"/>
                <w:lang w:val="en-US" w:eastAsia="zh-CN"/>
              </w:rPr>
              <w:t>禁止</w:t>
            </w:r>
            <w:r>
              <w:rPr>
                <w:rFonts w:hint="default" w:ascii="Times New Roman" w:hAnsi="Times New Roman" w:eastAsia="宋体" w:cs="Times New Roman"/>
                <w:color w:val="auto"/>
                <w:sz w:val="24"/>
                <w:szCs w:val="24"/>
                <w:lang w:val="en-US" w:eastAsia="zh-CN"/>
              </w:rPr>
              <w:t>开发区域</w:t>
            </w:r>
            <w:r>
              <w:rPr>
                <w:rFonts w:hint="eastAsia" w:ascii="Times New Roman" w:hAnsi="Times New Roman" w:eastAsia="宋体" w:cs="Times New Roman"/>
                <w:color w:val="auto"/>
                <w:sz w:val="24"/>
                <w:szCs w:val="24"/>
                <w:lang w:val="en-US" w:eastAsia="zh-CN"/>
              </w:rPr>
              <w:t>主要包含以下区域：</w:t>
            </w:r>
            <w:r>
              <w:rPr>
                <w:rFonts w:hint="default" w:ascii="Times New Roman" w:hAnsi="Times New Roman" w:eastAsia="宋体" w:cs="Times New Roman"/>
                <w:color w:val="auto"/>
                <w:sz w:val="24"/>
                <w:szCs w:val="24"/>
                <w:lang w:val="en-US" w:eastAsia="zh-CN"/>
              </w:rPr>
              <w:t>国家和省级自然保护区</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世界自然文化遗产</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国家和省级森林公园</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国家和省级地质公园</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重要湿地和湿地公园</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国家和省级风景名胜区</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w:t>
            </w:r>
            <w:r>
              <w:rPr>
                <w:rFonts w:hint="default" w:ascii="Times New Roman" w:hAnsi="Times New Roman" w:eastAsia="宋体" w:cs="Times New Roman"/>
                <w:color w:val="auto"/>
                <w:sz w:val="24"/>
                <w:szCs w:val="24"/>
                <w:lang w:val="en-US" w:eastAsia="zh-CN"/>
              </w:rPr>
              <w:t>《四川省主体功能区规划》</w:t>
            </w:r>
            <w:r>
              <w:rPr>
                <w:rFonts w:hint="eastAsia" w:ascii="Times New Roman" w:hAnsi="Times New Roman" w:eastAsia="宋体" w:cs="Times New Roman"/>
                <w:color w:val="auto"/>
                <w:sz w:val="24"/>
                <w:szCs w:val="24"/>
                <w:lang w:val="en-US" w:eastAsia="zh-CN"/>
              </w:rPr>
              <w:t>附件</w:t>
            </w:r>
            <w:r>
              <w:rPr>
                <w:rFonts w:hint="default" w:ascii="Times New Roman" w:hAnsi="Times New Roman" w:eastAsia="宋体" w:cs="Times New Roman"/>
                <w:color w:val="auto"/>
                <w:sz w:val="24"/>
                <w:szCs w:val="24"/>
                <w:lang w:val="en-US" w:eastAsia="zh-CN"/>
              </w:rPr>
              <w:t>中四川省</w:t>
            </w:r>
            <w:r>
              <w:rPr>
                <w:rFonts w:hint="eastAsia" w:ascii="Times New Roman" w:hAnsi="Times New Roman" w:eastAsia="宋体" w:cs="Times New Roman"/>
                <w:color w:val="auto"/>
                <w:sz w:val="24"/>
                <w:szCs w:val="24"/>
                <w:lang w:val="en-US" w:eastAsia="zh-CN"/>
              </w:rPr>
              <w:t>禁止</w:t>
            </w:r>
            <w:r>
              <w:rPr>
                <w:rFonts w:hint="default" w:ascii="Times New Roman" w:hAnsi="Times New Roman" w:eastAsia="宋体" w:cs="Times New Roman"/>
                <w:color w:val="auto"/>
                <w:sz w:val="24"/>
                <w:szCs w:val="24"/>
                <w:lang w:val="en-US" w:eastAsia="zh-CN"/>
              </w:rPr>
              <w:t>开发区域</w:t>
            </w:r>
            <w:r>
              <w:rPr>
                <w:rFonts w:hint="eastAsia" w:ascii="Times New Roman" w:hAnsi="Times New Roman" w:eastAsia="宋体" w:cs="Times New Roman"/>
                <w:color w:val="auto"/>
                <w:sz w:val="24"/>
                <w:szCs w:val="24"/>
                <w:lang w:val="en-US" w:eastAsia="zh-CN"/>
              </w:rPr>
              <w:t>名录，广元市涉及的禁止开发区域有：广元市旺苍县的四川米仓山国家级自然保护区、广元市青川县的四川唐家河国家级自然保护区、广元市剑阁县、元坝区的四川翠云廊古柏省级自然保护区、广元市青川县的四川东阳沟省级自然保护区、广元市朝天区的四川水磨沟省级自然保护区、广元市青川县的四川毛寨省级自然保护区、广元市苍溪县四川九龙山省级自然保护区、广元市剑阁县剑门关国家森林公园、广元市利州区天曌山国家森林公园、广元市旺苍县四川省鼓城山森林公园、广元市利州区四川省雪峰森林公园、广元市元坝区四川省栖凤峡森林公园、广元市苍溪县四川省三溪口森林公园、广元市青川县青川地震遗迹国家地质公园、广元市剑阁县剑阁剑门关省级地质公园、广元市朝天区朝天省级地质公园、广元市利州区四川南河国家湿地公园、广元市四川柏林湖国家湿地公园、广元市剑门蜀道风景名胜区、广元市青川县白龙湖风景名胜区、广元市旺苍县彭城山—七里峡、广元市青川县阴平古道。</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u w:val="single"/>
                <w:lang w:val="en-US" w:eastAsia="zh-CN"/>
              </w:rPr>
            </w:pPr>
            <w:r>
              <w:rPr>
                <w:rFonts w:hint="eastAsia" w:ascii="Times New Roman" w:hAnsi="Times New Roman" w:eastAsia="宋体" w:cs="Times New Roman"/>
                <w:b/>
                <w:bCs/>
                <w:color w:val="auto"/>
                <w:sz w:val="24"/>
                <w:szCs w:val="24"/>
                <w:u w:val="single"/>
                <w:lang w:val="en-US" w:eastAsia="zh-CN"/>
              </w:rPr>
              <w:t>根据核查，项目工程河道不在广元市元坝区四川省栖凤峡森林公园、广元市利州区四川省雪峰森林公园、广元市利州区四川南河国家湿地公园等禁止开发区域内，项目建设与四川省主体功能区划相协调。</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2、</w:t>
            </w:r>
            <w:r>
              <w:rPr>
                <w:rFonts w:hint="eastAsia" w:ascii="Times New Roman" w:hAnsi="Times New Roman" w:eastAsia="宋体" w:cs="Times New Roman"/>
                <w:b/>
                <w:bCs/>
                <w:color w:val="auto"/>
                <w:sz w:val="24"/>
                <w:szCs w:val="24"/>
                <w:lang w:val="en-US" w:eastAsia="zh-CN" w:bidi="ar-SA"/>
              </w:rPr>
              <w:t>评价区域水文概况</w:t>
            </w:r>
          </w:p>
          <w:p>
            <w:pPr>
              <w:spacing w:line="360" w:lineRule="auto"/>
              <w:ind w:firstLine="480" w:firstLineChars="200"/>
              <w:rPr>
                <w:rFonts w:hint="eastAsia" w:ascii="Times New Roman" w:hAnsi="宋体" w:eastAsia="宋体" w:cs="Times New Roman"/>
                <w:color w:val="000000"/>
                <w:sz w:val="24"/>
              </w:rPr>
            </w:pPr>
            <w:r>
              <w:rPr>
                <w:rFonts w:hint="eastAsia" w:ascii="Times New Roman" w:hAnsi="宋体" w:eastAsia="宋体" w:cs="Times New Roman"/>
                <w:color w:val="000000"/>
                <w:sz w:val="24"/>
              </w:rPr>
              <w:t>项目区长滩河为南河中游左岸支流，嘉陵江二级支流，干流发源于元坝区柳桥乡东山村，从东南至西北环流穿元坝市区而出，于龙洞扁大桥上游约400m汇入南河，河道全长25.8km，流域面积117km2，河口处河床海拔高程501.1m，平均比降为8.44%。长滩河（元坝中学处，陈家沟水文控制断面）集雨面积83.61km2，河道长度16.66km，平均比降8.4%。长滩河（田坝沟、谭家沟水文控制断面，铁路桥下约50m）控制断面集雨面积18.78km2，河道长度9.8km，平均比降27.88%。</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textAlignment w:val="auto"/>
              <w:rPr>
                <w:rFonts w:hint="default" w:ascii="Times New Roman" w:hAnsi="Times New Roman" w:eastAsia="宋体" w:cs="Times New Roman"/>
                <w:b/>
                <w:bCs/>
                <w:color w:val="auto"/>
                <w:sz w:val="24"/>
                <w:szCs w:val="24"/>
                <w:lang w:val="en-US" w:eastAsia="zh-CN" w:bidi="ar-SA"/>
              </w:rPr>
            </w:pPr>
          </w:p>
          <w:p>
            <w:pPr>
              <w:keepNext w:val="0"/>
              <w:keepLines w:val="0"/>
              <w:pageBreakBefore w:val="0"/>
              <w:widowControl w:val="0"/>
              <w:kinsoku/>
              <w:wordWrap/>
              <w:overflowPunct/>
              <w:topLinePunct w:val="0"/>
              <w:autoSpaceDE w:val="0"/>
              <w:autoSpaceDN w:val="0"/>
              <w:bidi w:val="0"/>
              <w:adjustRightInd w:val="0"/>
              <w:snapToGrid/>
              <w:spacing w:line="360" w:lineRule="auto"/>
              <w:ind w:firstLine="480"/>
              <w:textAlignment w:val="auto"/>
              <w:rPr>
                <w:rFonts w:hint="default" w:ascii="黑体" w:hAnsi="Times New Roman" w:eastAsia="黑体" w:cs="Times New Roman"/>
                <w:color w:val="FF0000"/>
                <w:sz w:val="24"/>
                <w:szCs w:val="24"/>
                <w:lang w:val="en-US" w:eastAsia="zh-CN" w:bidi="ar-SA"/>
              </w:rPr>
            </w:pPr>
            <w:r>
              <w:rPr>
                <w:rFonts w:hint="eastAsia" w:cs="Times New Roman"/>
                <w:b/>
                <w:bCs/>
                <w:color w:val="auto"/>
                <w:sz w:val="24"/>
                <w:szCs w:val="24"/>
                <w:lang w:val="en-US" w:eastAsia="zh-CN" w:bidi="ar-SA"/>
              </w:rPr>
              <w:t>3、</w:t>
            </w:r>
            <w:r>
              <w:rPr>
                <w:rFonts w:hint="default" w:ascii="Times New Roman" w:hAnsi="Times New Roman" w:eastAsia="宋体" w:cs="Times New Roman"/>
                <w:b/>
                <w:bCs/>
                <w:color w:val="auto"/>
                <w:sz w:val="24"/>
                <w:szCs w:val="24"/>
                <w:lang w:val="en-US" w:eastAsia="zh-CN" w:bidi="ar-SA"/>
              </w:rPr>
              <w:t>陆生生态</w:t>
            </w:r>
            <w:r>
              <w:rPr>
                <w:rFonts w:hint="eastAsia" w:ascii="Times New Roman" w:hAnsi="Times New Roman" w:eastAsia="宋体" w:cs="Times New Roman"/>
                <w:b/>
                <w:bCs/>
                <w:color w:val="auto"/>
                <w:sz w:val="24"/>
                <w:szCs w:val="24"/>
                <w:lang w:val="en-US" w:eastAsia="zh-CN" w:bidi="ar-SA"/>
              </w:rPr>
              <w:t>系统</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①广元市土地利用类型</w:t>
            </w:r>
          </w:p>
          <w:p>
            <w:pPr>
              <w:spacing w:line="360" w:lineRule="auto"/>
              <w:ind w:firstLine="480" w:firstLineChars="200"/>
              <w:rPr>
                <w:rFonts w:hint="eastAsia" w:ascii="Times New Roman" w:hAnsi="宋体" w:eastAsia="宋体" w:cs="Times New Roman"/>
                <w:color w:val="000000"/>
                <w:sz w:val="24"/>
              </w:rPr>
            </w:pPr>
            <w:r>
              <w:rPr>
                <w:rFonts w:hint="eastAsia" w:ascii="Times New Roman" w:hAnsi="宋体" w:eastAsia="宋体" w:cs="Times New Roman"/>
                <w:color w:val="000000"/>
                <w:sz w:val="24"/>
              </w:rPr>
              <w:t>广元市幅员面积1.63万平方公里，</w:t>
            </w:r>
            <w:r>
              <w:rPr>
                <w:rFonts w:ascii="Times New Roman" w:hAnsi="宋体" w:eastAsia="宋体" w:cs="Times New Roman"/>
                <w:color w:val="000000"/>
                <w:sz w:val="24"/>
              </w:rPr>
              <w:t>全市耕地27.03万公顷（405.40万亩），园地2.85万公顷（42.72万亩），林地112.33万公顷（1684.93万亩），草地0.26万公顷（3.93万亩），城镇村及工矿用地7.38万公顷（110.77万亩），交通运输用地2.52万公顷（37.73万亩），水域及水利设施用地5.27万公顷（79.06万亩）。全市森林覆盖率57.63%，森林面积1410.8万亩，森林蓄积6190万立方米，活力木蓄积6593万立方米。</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广元市的土地利用空间布局呈现明显的地域特性，山地多、平坝地少，山地占幅员面积的85.01%，平坝主要位于江河沿岸一、二级台地上，仅占总面积的2.56%，其余部分为丘陵和水域。</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广元市南北高差悬殊、区域差异明显，农用地分布于西北部中山区、北部低山中山区、中部河谷平坝区、中南部低山区和南部丘陵区，具有明显的地带性。其中耕地主要集中在南部丘陵地区和中部河谷地区，北部耕地较少。全市耕地主要分布在苍溪、剑阁县和旺苍县，土地面积约占全市的52.16%， 耕地面积占全市的62.72%，苍溪县耕地面积82486公顷，是耕地面积最大的县，耕地面积最小的是利州区，仅占全市耕地的6.45%；西部和北部的山区林、牧资源较为丰富，以青川县的林地最多；东南部林地较少，苍溪县较少。</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lang w:val="en-US" w:eastAsia="zh-CN"/>
              </w:rPr>
            </w:pPr>
            <w:r>
              <w:rPr>
                <w:rFonts w:hint="eastAsia" w:ascii="Times New Roman" w:hAnsi="Times New Roman" w:eastAsia="宋体" w:cs="Times New Roman"/>
                <w:color w:val="auto"/>
                <w:kern w:val="2"/>
                <w:sz w:val="24"/>
                <w:szCs w:val="24"/>
                <w:lang w:val="en-US" w:eastAsia="zh-CN" w:bidi="ar-SA"/>
              </w:rPr>
              <w:t>昭化区全区境域面积1433.47平方公里，最东端在磨滩镇金堂村与旺苍县枣林乡交界，最西端在大朝乡孟江村与剑阁县下寺镇交界，最南端在青牛乡莲池村与剑阁县樵店乡和鹤龄镇交界，最北端在昭化镇坪雾村与广元市利州区盘龙镇和宝轮镇交界。全区林业用地面积达124万亩，人均拥有林地面积5.16亩，活立木蓄积831.4万立方米，森林覆盖率达56.27%。</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②土壤类型</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昭化区基质以石灰岩和砂岩为主，土壤类型多样，类型有紫色土冲积土，山地黄壤及少量黄棕壤。低山下部及河谷浅丘平坝区分布着紫色土，冲积土，低山中上部为山地黄壤和黄棕壤。质地以中壤和砂壤为主，偶而有少量的重壤和轻壤土，土壤化学性质呈酸性或微酸性反应，PH值一般在5.0～6.0左右。土层厚度一般多在40～100厘米之间，表土层为5～30厘米左右。水平分布与垂直分布差异明显，且多呈犬牙交错的复合分布。全区土壤可划分10个土类、16个亚类、43个土种。昭化区土壤主要以紫色土为主，紫色土属于较为肥沃的农业土壤，但由于微团聚体发育较差，遇水易于散碎，抗蚀能力较弱，因此紫色土地区也是水土流失比较严重的地区之一。其成土母质主要有侏罗系沙溪庙组、侏罗系自流井组、侏罗系蓬莱镇组、侏罗系遂宁组等为主的紫红色砂泥岩、页岩的残积物、坡积物和一些沉积物。</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③区域植被概况</w:t>
            </w:r>
          </w:p>
          <w:p>
            <w:pPr>
              <w:keepNext w:val="0"/>
              <w:keepLines w:val="0"/>
              <w:pageBreakBefore w:val="0"/>
              <w:widowControl/>
              <w:kinsoku/>
              <w:wordWrap w:val="0"/>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广元县志》、《四川植被》等资料，本工程所在区域植被区为“川东盆地及川西南山地常绿阔叶林地带—川东盆地偏湿性常绿阔叶林带—盆地北部中山植被小区—米仓山植被小区”。基带植被为亚热带常绿阔叶林，由南向北随海拔升高，过渡到常绿、落叶、阔叶、混交林和针叶林。原生天然植被破坏后，演替为次生植被，其分布规律如下：</w:t>
            </w:r>
          </w:p>
          <w:p>
            <w:pPr>
              <w:keepNext w:val="0"/>
              <w:keepLines w:val="0"/>
              <w:pageBreakBefore w:val="0"/>
              <w:widowControl/>
              <w:kinsoku/>
              <w:wordWrap w:val="0"/>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①</w:t>
            </w:r>
            <w:r>
              <w:rPr>
                <w:rFonts w:hint="default" w:ascii="Times New Roman" w:hAnsi="Times New Roman" w:eastAsia="宋体" w:cs="Times New Roman"/>
                <w:color w:val="auto"/>
                <w:kern w:val="2"/>
                <w:sz w:val="24"/>
                <w:szCs w:val="24"/>
                <w:lang w:val="en-US" w:eastAsia="zh-CN" w:bidi="ar-SA"/>
              </w:rPr>
              <w:t>水平分布：南部低山以柏木，桤木、慈竹、马尾松为主：中部低山河谷地带以马尾松、柏木、桤木为主，抱栎林分布也较广泛；北部种上地区广泛分布华山松、油松、栎类林和落叶、常绿阔叶混交林，以及木竹、杜鹃等。</w:t>
            </w:r>
          </w:p>
          <w:p>
            <w:pPr>
              <w:keepNext w:val="0"/>
              <w:keepLines w:val="0"/>
              <w:pageBreakBefore w:val="0"/>
              <w:widowControl/>
              <w:kinsoku/>
              <w:wordWrap w:val="0"/>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②</w:t>
            </w:r>
            <w:r>
              <w:rPr>
                <w:rFonts w:hint="default" w:ascii="Times New Roman" w:hAnsi="Times New Roman" w:eastAsia="宋体" w:cs="Times New Roman"/>
                <w:color w:val="auto"/>
                <w:kern w:val="2"/>
                <w:sz w:val="24"/>
                <w:szCs w:val="24"/>
                <w:lang w:val="en-US" w:eastAsia="zh-CN" w:bidi="ar-SA"/>
              </w:rPr>
              <w:t>垂直分布：南部低山和中部低山河谷地区相对高差较小，森林植被垂直分布故不明显；北部中山地区，相对高差大，气温随高度上升而下降，变幅较大，山地水热条件差异显著：在海拔1200m以下的低山河谷地带，分布为亚热带的马尾松、杉木油桐等为主，山上中部(1200m以上)，分布为华山松、油松、桦木、栎类和木竹、杜鹃等，森林植被垂直分布差异较大。</w:t>
            </w:r>
          </w:p>
          <w:p>
            <w:pPr>
              <w:keepNext w:val="0"/>
              <w:keepLines w:val="0"/>
              <w:pageBreakBefore w:val="0"/>
              <w:widowControl/>
              <w:kinsoku/>
              <w:wordWrap w:val="0"/>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广元树种繁多，市境内的森林树种有1900多种（含1954年以来引种成功的悬铃木、水杉、桉树等树种），野生饲草植物300多种，可利用灌木100多种，栽培植物700多种。国家保护的名贵树种有珙桐、楠木、银杏、桫罗树、剑阁柏等120多种，其中属于国家一级重点保护植物有水杉，二级保护植物有香果树、杜仲、银杏和胡桃，三级保护植物有厚朴、凹叶厚朴、红豆树和香水月季。</w:t>
            </w:r>
          </w:p>
          <w:p>
            <w:pPr>
              <w:keepNext w:val="0"/>
              <w:keepLines w:val="0"/>
              <w:pageBreakBefore w:val="0"/>
              <w:widowControl/>
              <w:kinsoku/>
              <w:wordWrap w:val="0"/>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③</w:t>
            </w:r>
            <w:r>
              <w:rPr>
                <w:rFonts w:hint="default" w:ascii="Times New Roman" w:hAnsi="Times New Roman" w:eastAsia="宋体" w:cs="Times New Roman"/>
                <w:color w:val="auto"/>
                <w:kern w:val="2"/>
                <w:sz w:val="24"/>
                <w:szCs w:val="24"/>
                <w:lang w:val="en-US" w:eastAsia="zh-CN" w:bidi="ar-SA"/>
              </w:rPr>
              <w:t>沿线植被现状</w:t>
            </w:r>
          </w:p>
          <w:p>
            <w:pPr>
              <w:keepNext w:val="0"/>
              <w:keepLines w:val="0"/>
              <w:pageBreakBefore w:val="0"/>
              <w:widowControl/>
              <w:kinsoku/>
              <w:wordWrap w:val="0"/>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项目区植被属亚热带季风性湿润气候区常绿针阔叶林带，全区植物种类较多，山区以各种乔木林、果树林相间分布，平坝则为果树林与四旁树、竹并存。天然植被草本以黄茅、白茅、莎草为主，灌木层植被以槲栎、火棘、铁仔等为主，乔木以麻栋、马尾松、湿地松、柏木、栏木为主。</w:t>
            </w:r>
          </w:p>
          <w:p>
            <w:pPr>
              <w:keepNext w:val="0"/>
              <w:keepLines w:val="0"/>
              <w:pageBreakBefore w:val="0"/>
              <w:widowControl/>
              <w:kinsoku/>
              <w:wordWrap w:val="0"/>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④</w:t>
            </w:r>
            <w:r>
              <w:rPr>
                <w:rFonts w:hint="default" w:ascii="Times New Roman" w:hAnsi="Times New Roman" w:eastAsia="宋体" w:cs="Times New Roman"/>
                <w:color w:val="auto"/>
                <w:kern w:val="2"/>
                <w:sz w:val="24"/>
                <w:szCs w:val="24"/>
                <w:lang w:val="en-US" w:eastAsia="zh-CN" w:bidi="ar-SA"/>
              </w:rPr>
              <w:t>珍稀保护植物及古树名木</w:t>
            </w:r>
          </w:p>
          <w:p>
            <w:pPr>
              <w:keepNext w:val="0"/>
              <w:keepLines w:val="0"/>
              <w:pageBreakBefore w:val="0"/>
              <w:widowControl/>
              <w:kinsoku/>
              <w:wordWrap w:val="0"/>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2"/>
                <w:sz w:val="24"/>
                <w:szCs w:val="24"/>
                <w:u w:val="single"/>
                <w:lang w:val="en-US" w:eastAsia="zh-CN" w:bidi="ar-SA"/>
              </w:rPr>
            </w:pPr>
            <w:r>
              <w:rPr>
                <w:rFonts w:hint="default" w:ascii="Times New Roman" w:hAnsi="Times New Roman" w:eastAsia="宋体" w:cs="Times New Roman"/>
                <w:b/>
                <w:bCs/>
                <w:color w:val="auto"/>
                <w:kern w:val="2"/>
                <w:sz w:val="24"/>
                <w:szCs w:val="24"/>
                <w:u w:val="single"/>
                <w:lang w:val="en-US" w:eastAsia="zh-CN" w:bidi="ar-SA"/>
              </w:rPr>
              <w:t>本工程评价区内不涉及国家级、省级珍稀保护野生植物和古树名木。</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④区域动物概况</w:t>
            </w:r>
          </w:p>
          <w:p>
            <w:pPr>
              <w:keepNext w:val="0"/>
              <w:keepLines w:val="0"/>
              <w:pageBreakBefore w:val="0"/>
              <w:widowControl/>
              <w:kinsoku/>
              <w:wordWrap w:val="0"/>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广元市境内分布野生动物400种，其中大熊猫、金丝猴、牛羚等国家和省级重点保护野生动物达76种(据1999年统计仅大熊猫就多达60余只)。分布境内野生植物2900多种，仅珍贵野生木本植物832种，其中：珙桐、水青树、连香树、剑阁柏等国家级重点保护植物34种。列入联合国《濒危野生动植物国际贸易公约》红皮书的野生动植物就有40余种。</w:t>
            </w:r>
          </w:p>
          <w:p>
            <w:pPr>
              <w:keepNext w:val="0"/>
              <w:keepLines w:val="0"/>
              <w:pageBreakBefore w:val="0"/>
              <w:widowControl/>
              <w:kinsoku/>
              <w:wordWrap w:val="0"/>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工程沿线陆生动物以一些常见种类为主，如兽类的草兔、田鼠等，鸟类的山麻雀、雉鸡、家燕等，两栖类的中华蟾蜍等，爬行类的为蹼趾壁虎、黑眉锦蛇、乌梢蛇等，均属于当地常见动物。人工饲养动物主要有牛、羊、猪、鸡、狗等。</w:t>
            </w:r>
          </w:p>
          <w:p>
            <w:pPr>
              <w:keepNext w:val="0"/>
              <w:keepLines w:val="0"/>
              <w:pageBreakBefore w:val="0"/>
              <w:widowControl/>
              <w:kinsoku/>
              <w:wordWrap w:val="0"/>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2"/>
                <w:sz w:val="24"/>
                <w:szCs w:val="24"/>
                <w:u w:val="single"/>
                <w:lang w:val="en-US" w:eastAsia="zh-CN" w:bidi="ar-SA"/>
              </w:rPr>
            </w:pPr>
            <w:r>
              <w:rPr>
                <w:rFonts w:hint="default" w:ascii="Times New Roman" w:hAnsi="Times New Roman" w:eastAsia="宋体" w:cs="Times New Roman"/>
                <w:b/>
                <w:bCs/>
                <w:color w:val="auto"/>
                <w:kern w:val="2"/>
                <w:sz w:val="24"/>
                <w:szCs w:val="24"/>
                <w:u w:val="single"/>
                <w:lang w:val="en-US" w:eastAsia="zh-CN" w:bidi="ar-SA"/>
              </w:rPr>
              <w:t>经过</w:t>
            </w:r>
            <w:r>
              <w:rPr>
                <w:rFonts w:hint="eastAsia" w:ascii="Times New Roman" w:hAnsi="Times New Roman" w:eastAsia="宋体" w:cs="Times New Roman"/>
                <w:b/>
                <w:bCs/>
                <w:color w:val="auto"/>
                <w:kern w:val="2"/>
                <w:sz w:val="24"/>
                <w:szCs w:val="24"/>
                <w:u w:val="single"/>
                <w:lang w:val="en-US" w:eastAsia="zh-CN" w:bidi="ar-SA"/>
              </w:rPr>
              <w:t>现场</w:t>
            </w:r>
            <w:r>
              <w:rPr>
                <w:rFonts w:hint="default" w:ascii="Times New Roman" w:hAnsi="Times New Roman" w:eastAsia="宋体" w:cs="Times New Roman"/>
                <w:b/>
                <w:bCs/>
                <w:color w:val="auto"/>
                <w:kern w:val="2"/>
                <w:sz w:val="24"/>
                <w:szCs w:val="24"/>
                <w:u w:val="single"/>
                <w:lang w:val="en-US" w:eastAsia="zh-CN" w:bidi="ar-SA"/>
              </w:rPr>
              <w:t>调查和了解，本工程评价范围内未发现国家、四川省重点保护物种和《中国濒危动物红皮书》中的物种。</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黑体" w:hAnsi="Times New Roman" w:eastAsia="黑体" w:cs="Times New Roman"/>
                <w:color w:val="FF0000"/>
                <w:sz w:val="24"/>
                <w:szCs w:val="24"/>
                <w:lang w:val="en-US" w:eastAsia="zh-CN" w:bidi="ar-SA"/>
              </w:rPr>
            </w:pPr>
            <w:r>
              <w:rPr>
                <w:rFonts w:hint="eastAsia" w:ascii="黑体" w:hAnsi="Times New Roman" w:eastAsia="黑体" w:cs="Times New Roman"/>
                <w:color w:val="FF0000"/>
                <w:sz w:val="24"/>
                <w:szCs w:val="24"/>
                <w:lang w:val="en-US" w:eastAsia="zh-CN" w:bidi="ar-SA"/>
              </w:rPr>
              <w:t xml:space="preserve">  </w:t>
            </w:r>
            <w:r>
              <w:rPr>
                <w:rFonts w:hint="eastAsia" w:ascii="黑体" w:hAnsi="Times New Roman" w:eastAsia="黑体" w:cs="Times New Roman"/>
                <w:color w:val="auto"/>
                <w:sz w:val="24"/>
                <w:szCs w:val="24"/>
                <w:lang w:val="en-US" w:eastAsia="zh-CN" w:bidi="ar-SA"/>
              </w:rPr>
              <w:t xml:space="preserve"> </w:t>
            </w:r>
            <w:r>
              <w:rPr>
                <w:rFonts w:hint="default" w:ascii="Times New Roman" w:hAnsi="Times New Roman" w:eastAsia="宋体" w:cs="Times New Roman"/>
                <w:b/>
                <w:bCs/>
                <w:color w:val="auto"/>
                <w:sz w:val="24"/>
                <w:szCs w:val="24"/>
                <w:lang w:val="en-US" w:eastAsia="zh-CN" w:bidi="ar-SA"/>
              </w:rPr>
              <w:t xml:space="preserve"> </w:t>
            </w:r>
            <w:r>
              <w:rPr>
                <w:rFonts w:hint="eastAsia" w:cs="Times New Roman"/>
                <w:b/>
                <w:bCs/>
                <w:color w:val="auto"/>
                <w:sz w:val="24"/>
                <w:szCs w:val="24"/>
                <w:lang w:val="en-US" w:eastAsia="zh-CN" w:bidi="ar-SA"/>
              </w:rPr>
              <w:t>4</w:t>
            </w:r>
            <w:r>
              <w:rPr>
                <w:rFonts w:hint="default" w:ascii="Times New Roman" w:hAnsi="Times New Roman" w:eastAsia="宋体" w:cs="Times New Roman"/>
                <w:b/>
                <w:bCs/>
                <w:color w:val="auto"/>
                <w:sz w:val="24"/>
                <w:szCs w:val="24"/>
                <w:lang w:val="en-US" w:eastAsia="zh-CN" w:bidi="ar-SA"/>
              </w:rPr>
              <w:t>、</w:t>
            </w:r>
            <w:r>
              <w:rPr>
                <w:rFonts w:hint="eastAsia" w:ascii="Times New Roman" w:hAnsi="Times New Roman" w:eastAsia="宋体" w:cs="Times New Roman"/>
                <w:b/>
                <w:bCs/>
                <w:color w:val="auto"/>
                <w:sz w:val="24"/>
                <w:szCs w:val="24"/>
                <w:lang w:val="en-US" w:eastAsia="zh-CN" w:bidi="ar-SA"/>
              </w:rPr>
              <w:t>水生</w:t>
            </w:r>
            <w:r>
              <w:rPr>
                <w:rFonts w:hint="default" w:ascii="Times New Roman" w:hAnsi="Times New Roman" w:eastAsia="宋体" w:cs="Times New Roman"/>
                <w:b/>
                <w:bCs/>
                <w:color w:val="auto"/>
                <w:sz w:val="24"/>
                <w:szCs w:val="24"/>
                <w:lang w:val="en-US" w:eastAsia="zh-CN" w:bidi="ar-SA"/>
              </w:rPr>
              <w:t>生态</w:t>
            </w:r>
            <w:r>
              <w:rPr>
                <w:rFonts w:hint="eastAsia" w:ascii="Times New Roman" w:hAnsi="Times New Roman" w:eastAsia="宋体" w:cs="Times New Roman"/>
                <w:b/>
                <w:bCs/>
                <w:color w:val="auto"/>
                <w:sz w:val="24"/>
                <w:szCs w:val="24"/>
                <w:lang w:val="en-US" w:eastAsia="zh-CN" w:bidi="ar-SA"/>
              </w:rPr>
              <w:t>系统</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评价区水生生态系统是以</w:t>
            </w:r>
            <w:r>
              <w:rPr>
                <w:rFonts w:hint="eastAsia" w:ascii="Times New Roman" w:hAnsi="Times New Roman" w:eastAsia="宋体" w:cs="Times New Roman"/>
                <w:color w:val="000000"/>
                <w:sz w:val="24"/>
                <w:szCs w:val="24"/>
                <w:lang w:eastAsia="zh-CN"/>
              </w:rPr>
              <w:t>长滩河</w:t>
            </w:r>
            <w:r>
              <w:rPr>
                <w:rFonts w:hint="default" w:ascii="Times New Roman" w:hAnsi="Times New Roman" w:eastAsia="宋体" w:cs="Times New Roman"/>
                <w:color w:val="000000"/>
                <w:sz w:val="24"/>
                <w:szCs w:val="24"/>
              </w:rPr>
              <w:t>为主的河流生态系统。河流生态系统呈线型分布，水体是河流生态系统的重要因素，河流水体的流动不仅加强了河流内部的物质交流和循环，还对河岸带的湿地群落的维持有重要作用。河流生态系统还有调控评价区水分布的重要功能，对评价区其他植被类型的分布具有控制作用。湿地生态系统内动物种类较多，一些涉禽鸟类和经常活动于河岸带的鸟类在生态系统内极为常见，同时，一些大中型兽类也常下到干扰较小的河边饮水、休憩。</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sz w:val="24"/>
              </w:rPr>
              <w:t>项目区域河段由于受人类活动影响深远，</w:t>
            </w:r>
            <w:r>
              <w:rPr>
                <w:rFonts w:hint="eastAsia" w:ascii="Times New Roman" w:hAnsi="Times New Roman" w:eastAsia="宋体" w:cs="Times New Roman"/>
                <w:color w:val="000000"/>
                <w:sz w:val="24"/>
                <w:szCs w:val="24"/>
                <w:lang w:eastAsia="zh-CN"/>
              </w:rPr>
              <w:t>工程涉及</w:t>
            </w:r>
            <w:r>
              <w:rPr>
                <w:rFonts w:hint="default" w:ascii="Times New Roman" w:hAnsi="Times New Roman" w:eastAsia="宋体" w:cs="Times New Roman"/>
                <w:color w:val="000000"/>
                <w:sz w:val="24"/>
                <w:szCs w:val="24"/>
                <w:lang w:eastAsia="zh-CN"/>
              </w:rPr>
              <w:t>河道内</w:t>
            </w:r>
            <w:r>
              <w:rPr>
                <w:rFonts w:hint="eastAsia" w:ascii="Times New Roman" w:hAnsi="Times New Roman" w:eastAsia="宋体" w:cs="Times New Roman"/>
                <w:color w:val="000000"/>
                <w:sz w:val="24"/>
                <w:szCs w:val="24"/>
                <w:lang w:val="en-US" w:eastAsia="zh-CN"/>
              </w:rPr>
              <w:t>庄子沟</w:t>
            </w:r>
            <w:r>
              <w:rPr>
                <w:rFonts w:hint="default" w:ascii="Times New Roman" w:hAnsi="Times New Roman" w:eastAsia="宋体" w:cs="Times New Roman"/>
                <w:color w:val="000000"/>
                <w:sz w:val="24"/>
                <w:szCs w:val="24"/>
                <w:lang w:eastAsia="zh-CN"/>
              </w:rPr>
              <w:t>无珍稀水生生物</w:t>
            </w:r>
            <w:r>
              <w:rPr>
                <w:rFonts w:hint="eastAsia" w:ascii="Times New Roman" w:hAnsi="Times New Roman" w:eastAsia="宋体" w:cs="Times New Roman"/>
                <w:color w:val="000000"/>
                <w:sz w:val="24"/>
                <w:szCs w:val="24"/>
                <w:lang w:eastAsia="zh-CN"/>
              </w:rPr>
              <w:t>、保护鱼类</w:t>
            </w:r>
            <w:r>
              <w:rPr>
                <w:rFonts w:hint="default" w:ascii="Times New Roman" w:hAnsi="Times New Roman" w:eastAsia="宋体" w:cs="Times New Roman"/>
                <w:color w:val="000000"/>
                <w:sz w:val="24"/>
                <w:szCs w:val="24"/>
                <w:lang w:eastAsia="zh-CN"/>
              </w:rPr>
              <w:t>，不涉及饮用水源保护区，其水体功能主要为行洪、农业灌溉等</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rPr>
              <w:t>区域内仅有少量的鲤鱼、鲫鱼</w:t>
            </w:r>
            <w:r>
              <w:rPr>
                <w:rFonts w:hint="eastAsia" w:ascii="Times New Roman" w:hAnsi="Times New Roman" w:eastAsia="宋体" w:cs="Times New Roman"/>
                <w:color w:val="000000"/>
                <w:sz w:val="24"/>
                <w:lang w:eastAsia="zh-CN"/>
              </w:rPr>
              <w:t>、</w:t>
            </w:r>
            <w:r>
              <w:rPr>
                <w:rFonts w:hint="default" w:ascii="Times New Roman" w:hAnsi="Times New Roman" w:eastAsia="宋体" w:cs="Times New Roman"/>
                <w:sz w:val="24"/>
              </w:rPr>
              <w:t>草鱼、泥鳅</w:t>
            </w:r>
            <w:r>
              <w:rPr>
                <w:rFonts w:hint="default" w:ascii="Times New Roman" w:hAnsi="Times New Roman" w:eastAsia="宋体" w:cs="Times New Roman"/>
                <w:color w:val="000000"/>
                <w:sz w:val="24"/>
              </w:rPr>
              <w:t>等常见鱼种，</w:t>
            </w:r>
            <w:r>
              <w:rPr>
                <w:rFonts w:hint="default" w:ascii="Times New Roman" w:hAnsi="Times New Roman" w:eastAsia="宋体" w:cs="Times New Roman"/>
                <w:sz w:val="24"/>
              </w:rPr>
              <w:t>水生生物主要有芦苇、禾本科植物等</w:t>
            </w:r>
            <w:r>
              <w:rPr>
                <w:rFonts w:hint="eastAsia" w:ascii="Times New Roman" w:hAnsi="Times New Roman" w:eastAsia="宋体" w:cs="Times New Roman"/>
                <w:sz w:val="24"/>
                <w:lang w:eastAsia="zh-CN"/>
              </w:rPr>
              <w:t>，</w:t>
            </w:r>
            <w:r>
              <w:rPr>
                <w:rFonts w:hint="default" w:ascii="Times New Roman" w:hAnsi="Times New Roman" w:eastAsia="宋体" w:cs="Times New Roman"/>
                <w:color w:val="000000"/>
                <w:sz w:val="24"/>
              </w:rPr>
              <w:t>工程建设不在鱼类的回游、产卵、繁殖的区域范围内。</w:t>
            </w:r>
          </w:p>
          <w:p>
            <w:pPr>
              <w:pStyle w:val="20"/>
              <w:spacing w:line="360" w:lineRule="auto"/>
              <w:ind w:left="0" w:leftChars="0" w:firstLine="480" w:firstLineChars="200"/>
              <w:rPr>
                <w:rFonts w:hint="eastAsia"/>
                <w:sz w:val="24"/>
                <w:szCs w:val="32"/>
                <w:lang w:val="en-US" w:eastAsia="zh-CN"/>
              </w:rPr>
            </w:pPr>
            <w:r>
              <w:rPr>
                <w:rFonts w:hint="eastAsia"/>
                <w:sz w:val="24"/>
                <w:szCs w:val="32"/>
                <w:lang w:val="en-US" w:eastAsia="zh-CN"/>
              </w:rPr>
              <w:t>项目河道下游水系图如下：</w:t>
            </w:r>
          </w:p>
          <w:p>
            <w:pPr>
              <w:pStyle w:val="2"/>
              <w:ind w:left="0" w:leftChars="0" w:firstLine="0" w:firstLineChars="0"/>
              <w:jc w:val="center"/>
              <w:rPr>
                <w:rFonts w:hint="default"/>
              </w:rPr>
            </w:pPr>
            <w:r>
              <w:drawing>
                <wp:inline distT="0" distB="0" distL="114300" distR="114300">
                  <wp:extent cx="4500245" cy="2895600"/>
                  <wp:effectExtent l="12700" t="12700" r="20955" b="25400"/>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pic:cNvPicPr>
                        </pic:nvPicPr>
                        <pic:blipFill>
                          <a:blip r:embed="rId17"/>
                          <a:stretch>
                            <a:fillRect/>
                          </a:stretch>
                        </pic:blipFill>
                        <pic:spPr>
                          <a:xfrm>
                            <a:off x="0" y="0"/>
                            <a:ext cx="4500245" cy="2895600"/>
                          </a:xfrm>
                          <a:prstGeom prst="rect">
                            <a:avLst/>
                          </a:prstGeom>
                          <a:noFill/>
                          <a:ln w="12700" cmpd="sng">
                            <a:solidFill>
                              <a:schemeClr val="tx1"/>
                            </a:solidFill>
                            <a:prstDash val="solid"/>
                          </a:ln>
                        </pic:spPr>
                      </pic:pic>
                    </a:graphicData>
                  </a:graphic>
                </wp:inline>
              </w:drawing>
            </w:r>
          </w:p>
          <w:p>
            <w:pPr>
              <w:keepNext w:val="0"/>
              <w:keepLines w:val="0"/>
              <w:pageBreakBefore w:val="0"/>
              <w:widowControl/>
              <w:kinsoku/>
              <w:wordWrap w:val="0"/>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因此，项目评价范围内不涉及珍稀的水生保护鱼类，不存在鱼类“三场”问题</w:t>
            </w:r>
            <w:r>
              <w:rPr>
                <w:rFonts w:hint="eastAsia" w:cs="Times New Roman"/>
                <w:b/>
                <w:bCs/>
                <w:color w:val="auto"/>
                <w:kern w:val="2"/>
                <w:sz w:val="24"/>
                <w:szCs w:val="24"/>
                <w:lang w:val="en-US" w:eastAsia="zh-CN" w:bidi="ar-SA"/>
              </w:rPr>
              <w:t>，</w:t>
            </w:r>
            <w:r>
              <w:rPr>
                <w:rFonts w:hint="eastAsia" w:ascii="Times New Roman" w:hAnsi="Times New Roman" w:eastAsia="宋体" w:cs="Times New Roman"/>
                <w:b/>
                <w:bCs/>
                <w:color w:val="auto"/>
                <w:kern w:val="2"/>
                <w:sz w:val="24"/>
                <w:szCs w:val="24"/>
                <w:highlight w:val="none"/>
                <w:lang w:val="en-US" w:eastAsia="zh-CN" w:bidi="ar-SA"/>
              </w:rPr>
              <w:t>不涉及饮用水源保护区、控制断面</w:t>
            </w:r>
            <w:r>
              <w:rPr>
                <w:rFonts w:hint="eastAsia" w:ascii="Times New Roman" w:hAnsi="Times New Roman" w:eastAsia="宋体" w:cs="Times New Roman"/>
                <w:b/>
                <w:bCs/>
                <w:color w:val="auto"/>
                <w:kern w:val="2"/>
                <w:sz w:val="24"/>
                <w:szCs w:val="24"/>
                <w:lang w:val="en-US" w:eastAsia="zh-CN" w:bidi="ar-SA"/>
              </w:rPr>
              <w:t>。</w:t>
            </w:r>
          </w:p>
          <w:p>
            <w:pPr>
              <w:spacing w:line="360" w:lineRule="auto"/>
              <w:ind w:left="-2" w:leftChars="-1"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lang w:val="en-US" w:eastAsia="zh-CN"/>
              </w:rPr>
              <w:t>二）</w:t>
            </w:r>
            <w:r>
              <w:rPr>
                <w:rFonts w:hint="default" w:ascii="Times New Roman" w:hAnsi="Times New Roman" w:cs="Times New Roman"/>
                <w:b/>
                <w:color w:val="auto"/>
                <w:sz w:val="24"/>
                <w:szCs w:val="24"/>
              </w:rPr>
              <w:t>环境空气质量现状</w:t>
            </w:r>
          </w:p>
          <w:p>
            <w:pPr>
              <w:pStyle w:val="85"/>
              <w:keepNext w:val="0"/>
              <w:keepLines w:val="0"/>
              <w:pageBreakBefore w:val="0"/>
              <w:widowControl/>
              <w:kinsoku/>
              <w:wordWrap w:val="0"/>
              <w:overflowPunct/>
              <w:topLinePunct/>
              <w:autoSpaceDE/>
              <w:autoSpaceDN/>
              <w:bidi w:val="0"/>
              <w:adjustRightInd/>
              <w:snapToGrid/>
              <w:ind w:left="0" w:leftChars="0" w:firstLine="480" w:firstLineChars="200"/>
              <w:textAlignment w:val="auto"/>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根据《环境影响评价技术导则大气环境》（HJ2.2-2018）“5.5 评级基准年筛选，依据评价所需环境质量现状、气象资料等数据的可获得性、数据质量、代表性等因素，选择近</w:t>
            </w:r>
            <w:r>
              <w:rPr>
                <w:rFonts w:hint="eastAsia" w:ascii="Times New Roman" w:hAnsi="Times New Roman" w:cs="Times New Roman"/>
                <w:color w:val="000000"/>
                <w:sz w:val="24"/>
                <w:szCs w:val="24"/>
                <w:lang w:val="en-US" w:eastAsia="zh-CN"/>
              </w:rPr>
              <w:t>3</w:t>
            </w:r>
            <w:r>
              <w:rPr>
                <w:rFonts w:hint="default" w:ascii="Times New Roman" w:hAnsi="Times New Roman" w:cs="Times New Roman"/>
                <w:color w:val="000000"/>
                <w:sz w:val="24"/>
                <w:szCs w:val="24"/>
                <w:lang w:val="en-US" w:eastAsia="zh-CN"/>
              </w:rPr>
              <w:t>年终数据相对完整的 1个日历年作为评价基准年”。“6.2数据来源，采用评价范围内国家或地方环境空气质量监测网中评价基准年连续 1年的监测数据，或采用生态环境主管部门公布发布的环境空气质量现状数据”。</w:t>
            </w:r>
          </w:p>
          <w:p>
            <w:pPr>
              <w:pStyle w:val="85"/>
              <w:keepNext w:val="0"/>
              <w:keepLines w:val="0"/>
              <w:pageBreakBefore w:val="0"/>
              <w:widowControl/>
              <w:kinsoku/>
              <w:wordWrap w:val="0"/>
              <w:overflowPunct/>
              <w:topLinePunct/>
              <w:autoSpaceDE/>
              <w:autoSpaceDN/>
              <w:bidi w:val="0"/>
              <w:adjustRightInd/>
              <w:snapToGrid/>
              <w:ind w:left="0" w:leftChars="0"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根据广元生态环境局发布的《202</w:t>
            </w:r>
            <w:r>
              <w:rPr>
                <w:rFonts w:hint="eastAsia" w:cs="Times New Roman"/>
                <w:color w:val="000000"/>
                <w:sz w:val="24"/>
                <w:szCs w:val="24"/>
                <w:lang w:val="en-US" w:eastAsia="zh-CN"/>
              </w:rPr>
              <w:t>3</w:t>
            </w:r>
            <w:r>
              <w:rPr>
                <w:rFonts w:hint="default" w:ascii="Times New Roman" w:hAnsi="Times New Roman" w:eastAsia="宋体" w:cs="Times New Roman"/>
                <w:color w:val="000000"/>
                <w:sz w:val="24"/>
                <w:szCs w:val="24"/>
                <w:lang w:val="en-US" w:eastAsia="zh-CN"/>
              </w:rPr>
              <w:t>年广元市环境质量状况》。总体上，202</w:t>
            </w:r>
            <w:r>
              <w:rPr>
                <w:rFonts w:hint="eastAsia" w:cs="Times New Roman"/>
                <w:color w:val="000000"/>
                <w:sz w:val="24"/>
                <w:szCs w:val="24"/>
                <w:lang w:val="en-US" w:eastAsia="zh-CN"/>
              </w:rPr>
              <w:t>3</w:t>
            </w:r>
            <w:r>
              <w:rPr>
                <w:rFonts w:hint="default" w:ascii="Times New Roman" w:hAnsi="Times New Roman" w:eastAsia="宋体" w:cs="Times New Roman"/>
                <w:color w:val="000000"/>
                <w:sz w:val="24"/>
                <w:szCs w:val="24"/>
                <w:lang w:val="en-US" w:eastAsia="zh-CN"/>
              </w:rPr>
              <w:t>年广元市环境空气质量较上年</w:t>
            </w:r>
            <w:r>
              <w:rPr>
                <w:rFonts w:hint="eastAsia" w:cs="Times New Roman"/>
                <w:color w:val="000000"/>
                <w:sz w:val="24"/>
                <w:szCs w:val="24"/>
                <w:lang w:val="en-US" w:eastAsia="zh-CN"/>
              </w:rPr>
              <w:t>相比总体保持稳定</w:t>
            </w:r>
            <w:r>
              <w:rPr>
                <w:rFonts w:hint="default" w:ascii="Times New Roman" w:hAnsi="Times New Roman" w:eastAsia="宋体" w:cs="Times New Roman"/>
                <w:color w:val="000000"/>
                <w:sz w:val="24"/>
                <w:szCs w:val="24"/>
                <w:lang w:val="en-US" w:eastAsia="zh-CN"/>
              </w:rPr>
              <w:t>，市中心城区202</w:t>
            </w:r>
            <w:r>
              <w:rPr>
                <w:rFonts w:hint="eastAsia" w:cs="Times New Roman"/>
                <w:color w:val="000000"/>
                <w:sz w:val="24"/>
                <w:szCs w:val="24"/>
                <w:lang w:val="en-US" w:eastAsia="zh-CN"/>
              </w:rPr>
              <w:t>3</w:t>
            </w:r>
            <w:r>
              <w:rPr>
                <w:rFonts w:hint="default" w:ascii="Times New Roman" w:hAnsi="Times New Roman" w:eastAsia="宋体" w:cs="Times New Roman"/>
                <w:color w:val="000000"/>
                <w:sz w:val="24"/>
                <w:szCs w:val="24"/>
                <w:lang w:val="en-US" w:eastAsia="zh-CN"/>
              </w:rPr>
              <w:t>年环境空气质量优良总天数为3</w:t>
            </w:r>
            <w:r>
              <w:rPr>
                <w:rFonts w:hint="eastAsia" w:cs="Times New Roman"/>
                <w:color w:val="000000"/>
                <w:sz w:val="24"/>
                <w:szCs w:val="24"/>
                <w:lang w:val="en-US" w:eastAsia="zh-CN"/>
              </w:rPr>
              <w:t>47</w:t>
            </w:r>
            <w:r>
              <w:rPr>
                <w:rFonts w:hint="default" w:ascii="Times New Roman" w:hAnsi="Times New Roman" w:eastAsia="宋体" w:cs="Times New Roman"/>
                <w:color w:val="000000"/>
                <w:sz w:val="24"/>
                <w:szCs w:val="24"/>
                <w:lang w:val="en-US" w:eastAsia="zh-CN"/>
              </w:rPr>
              <w:t>天，优良天数比例为9</w:t>
            </w:r>
            <w:r>
              <w:rPr>
                <w:rFonts w:hint="eastAsia" w:cs="Times New Roman"/>
                <w:color w:val="000000"/>
                <w:sz w:val="24"/>
                <w:szCs w:val="24"/>
                <w:lang w:val="en-US" w:eastAsia="zh-CN"/>
              </w:rPr>
              <w:t>5</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lang w:val="en-US" w:eastAsia="zh-CN"/>
              </w:rPr>
              <w:t>%，较上年</w:t>
            </w:r>
            <w:r>
              <w:rPr>
                <w:rFonts w:hint="eastAsia" w:cs="Times New Roman"/>
                <w:color w:val="000000"/>
                <w:sz w:val="24"/>
                <w:szCs w:val="24"/>
                <w:lang w:val="en-US" w:eastAsia="zh-CN"/>
              </w:rPr>
              <w:t>下降3</w:t>
            </w:r>
            <w:r>
              <w:rPr>
                <w:rFonts w:hint="default" w:ascii="Times New Roman" w:hAnsi="Times New Roman" w:eastAsia="宋体" w:cs="Times New Roman"/>
                <w:color w:val="000000"/>
                <w:sz w:val="24"/>
                <w:szCs w:val="24"/>
                <w:lang w:val="en-US" w:eastAsia="zh-CN"/>
              </w:rPr>
              <w:t>%。其中，环境空气质量为优的天数为</w:t>
            </w:r>
            <w:r>
              <w:rPr>
                <w:rFonts w:hint="eastAsia" w:ascii="Times New Roman" w:hAnsi="Times New Roman" w:eastAsia="宋体" w:cs="Times New Roman"/>
                <w:color w:val="000000"/>
                <w:sz w:val="24"/>
                <w:szCs w:val="24"/>
                <w:lang w:val="en-US" w:eastAsia="zh-CN"/>
              </w:rPr>
              <w:t>1</w:t>
            </w:r>
            <w:r>
              <w:rPr>
                <w:rFonts w:hint="eastAsia" w:cs="Times New Roman"/>
                <w:color w:val="000000"/>
                <w:sz w:val="24"/>
                <w:szCs w:val="24"/>
                <w:lang w:val="en-US" w:eastAsia="zh-CN"/>
              </w:rPr>
              <w:t>60</w:t>
            </w:r>
            <w:r>
              <w:rPr>
                <w:rFonts w:hint="default" w:ascii="Times New Roman" w:hAnsi="Times New Roman" w:eastAsia="宋体" w:cs="Times New Roman"/>
                <w:color w:val="000000"/>
                <w:sz w:val="24"/>
                <w:szCs w:val="24"/>
                <w:lang w:val="en-US" w:eastAsia="zh-CN"/>
              </w:rPr>
              <w:t>天，占全年的</w:t>
            </w:r>
            <w:r>
              <w:rPr>
                <w:rFonts w:hint="eastAsia" w:ascii="Times New Roman" w:hAnsi="Times New Roman" w:eastAsia="宋体" w:cs="Times New Roman"/>
                <w:color w:val="000000"/>
                <w:sz w:val="24"/>
                <w:szCs w:val="24"/>
                <w:lang w:val="en-US" w:eastAsia="zh-CN"/>
              </w:rPr>
              <w:t>4</w:t>
            </w:r>
            <w:r>
              <w:rPr>
                <w:rFonts w:hint="eastAsia" w:cs="Times New Roman"/>
                <w:color w:val="000000"/>
                <w:sz w:val="24"/>
                <w:szCs w:val="24"/>
                <w:lang w:val="en-US" w:eastAsia="zh-CN"/>
              </w:rPr>
              <w:t>3.8</w:t>
            </w:r>
            <w:r>
              <w:rPr>
                <w:rFonts w:hint="default" w:ascii="Times New Roman" w:hAnsi="Times New Roman" w:eastAsia="宋体" w:cs="Times New Roman"/>
                <w:color w:val="000000"/>
                <w:sz w:val="24"/>
                <w:szCs w:val="24"/>
                <w:lang w:val="en-US" w:eastAsia="zh-CN"/>
              </w:rPr>
              <w:t>%，良的天数为</w:t>
            </w:r>
            <w:r>
              <w:rPr>
                <w:rFonts w:hint="eastAsia" w:ascii="Times New Roman" w:hAnsi="Times New Roman" w:eastAsia="宋体" w:cs="Times New Roman"/>
                <w:color w:val="000000"/>
                <w:sz w:val="24"/>
                <w:szCs w:val="24"/>
                <w:lang w:val="en-US" w:eastAsia="zh-CN"/>
              </w:rPr>
              <w:t>18</w:t>
            </w:r>
            <w:r>
              <w:rPr>
                <w:rFonts w:hint="eastAsia" w:cs="Times New Roman"/>
                <w:color w:val="000000"/>
                <w:sz w:val="24"/>
                <w:szCs w:val="24"/>
                <w:lang w:val="en-US" w:eastAsia="zh-CN"/>
              </w:rPr>
              <w:t>7</w:t>
            </w:r>
            <w:r>
              <w:rPr>
                <w:rFonts w:hint="default" w:ascii="Times New Roman" w:hAnsi="Times New Roman" w:eastAsia="宋体" w:cs="Times New Roman"/>
                <w:color w:val="000000"/>
                <w:sz w:val="24"/>
                <w:szCs w:val="24"/>
                <w:lang w:val="en-US" w:eastAsia="zh-CN"/>
              </w:rPr>
              <w:t>天，占全年的</w:t>
            </w:r>
            <w:r>
              <w:rPr>
                <w:rFonts w:hint="eastAsia" w:ascii="Times New Roman" w:hAnsi="Times New Roman" w:eastAsia="宋体" w:cs="Times New Roman"/>
                <w:color w:val="000000"/>
                <w:sz w:val="24"/>
                <w:szCs w:val="24"/>
                <w:lang w:val="en-US" w:eastAsia="zh-CN"/>
              </w:rPr>
              <w:t>5</w:t>
            </w:r>
            <w:r>
              <w:rPr>
                <w:rFonts w:hint="eastAsia" w:cs="Times New Roman"/>
                <w:color w:val="000000"/>
                <w:sz w:val="24"/>
                <w:szCs w:val="24"/>
                <w:lang w:val="en-US" w:eastAsia="zh-CN"/>
              </w:rPr>
              <w:t>1.2</w:t>
            </w:r>
            <w:r>
              <w:rPr>
                <w:rFonts w:hint="default" w:ascii="Times New Roman" w:hAnsi="Times New Roman" w:eastAsia="宋体" w:cs="Times New Roman"/>
                <w:color w:val="000000"/>
                <w:sz w:val="24"/>
                <w:szCs w:val="24"/>
                <w:lang w:val="en-US" w:eastAsia="zh-CN"/>
              </w:rPr>
              <w:t>%，轻度污染的天数为</w:t>
            </w:r>
            <w:r>
              <w:rPr>
                <w:rFonts w:hint="eastAsia" w:cs="Times New Roman"/>
                <w:color w:val="000000"/>
                <w:sz w:val="24"/>
                <w:szCs w:val="24"/>
                <w:lang w:val="en-US" w:eastAsia="zh-CN"/>
              </w:rPr>
              <w:t>16</w:t>
            </w:r>
            <w:r>
              <w:rPr>
                <w:rFonts w:hint="default" w:ascii="Times New Roman" w:hAnsi="Times New Roman" w:eastAsia="宋体" w:cs="Times New Roman"/>
                <w:color w:val="000000"/>
                <w:sz w:val="24"/>
                <w:szCs w:val="24"/>
                <w:lang w:val="en-US" w:eastAsia="zh-CN"/>
              </w:rPr>
              <w:t>天，占全年的</w:t>
            </w:r>
            <w:r>
              <w:rPr>
                <w:rFonts w:hint="eastAsia" w:cs="Times New Roman"/>
                <w:color w:val="000000"/>
                <w:sz w:val="24"/>
                <w:szCs w:val="24"/>
                <w:lang w:val="en-US" w:eastAsia="zh-CN"/>
              </w:rPr>
              <w:t>4.4</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首要污染物为可吸入颗粒物、臭氧</w:t>
            </w:r>
            <w:r>
              <w:rPr>
                <w:rFonts w:hint="default" w:ascii="Times New Roman" w:hAnsi="Times New Roman" w:eastAsia="宋体" w:cs="Times New Roman"/>
                <w:i w:val="0"/>
                <w:iCs w:val="0"/>
                <w:caps w:val="0"/>
                <w:color w:val="000000"/>
                <w:spacing w:val="0"/>
                <w:kern w:val="0"/>
                <w:sz w:val="24"/>
                <w:szCs w:val="24"/>
                <w:shd w:val="clear" w:color="auto" w:fill="FFFFFF"/>
                <w:lang w:val="en-US" w:eastAsia="zh-CN" w:bidi="ar"/>
              </w:rPr>
              <w:t>日最大8小时平均</w:t>
            </w:r>
            <w:r>
              <w:rPr>
                <w:rFonts w:hint="default" w:ascii="Times New Roman" w:hAnsi="Times New Roman" w:eastAsia="宋体" w:cs="Times New Roman"/>
                <w:color w:val="000000"/>
                <w:sz w:val="24"/>
                <w:szCs w:val="24"/>
                <w:lang w:val="en-US" w:eastAsia="zh-CN"/>
              </w:rPr>
              <w:t>第90百分位数和细颗粒物。具体区域空气质量现状统计见表 3-</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val="en-US" w:eastAsia="zh-CN"/>
              </w:rPr>
              <w:t>、表 3-</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b/>
                <w:color w:val="000000"/>
                <w:sz w:val="21"/>
                <w:szCs w:val="21"/>
                <w:lang w:val="en-US" w:eastAsia="zh-CN"/>
              </w:rPr>
            </w:pPr>
            <w:r>
              <w:rPr>
                <w:rFonts w:hint="default" w:ascii="Times New Roman" w:hAnsi="Times New Roman" w:eastAsia="宋体" w:cs="Times New Roman"/>
                <w:b/>
                <w:color w:val="000000"/>
                <w:sz w:val="21"/>
                <w:szCs w:val="21"/>
                <w:lang w:val="en-US" w:eastAsia="zh-CN"/>
              </w:rPr>
              <w:t>表 3-</w:t>
            </w:r>
            <w:r>
              <w:rPr>
                <w:rFonts w:hint="eastAsia" w:ascii="Times New Roman" w:hAnsi="Times New Roman" w:eastAsia="宋体" w:cs="Times New Roman"/>
                <w:b/>
                <w:color w:val="000000"/>
                <w:sz w:val="21"/>
                <w:szCs w:val="21"/>
                <w:lang w:val="en-US" w:eastAsia="zh-CN"/>
              </w:rPr>
              <w:t>2</w:t>
            </w:r>
            <w:r>
              <w:rPr>
                <w:rFonts w:hint="default" w:ascii="Times New Roman" w:hAnsi="Times New Roman" w:eastAsia="宋体" w:cs="Times New Roman"/>
                <w:b/>
                <w:color w:val="000000"/>
                <w:sz w:val="21"/>
                <w:szCs w:val="21"/>
                <w:lang w:val="en-US" w:eastAsia="zh-CN"/>
              </w:rPr>
              <w:t xml:space="preserve"> 广元市 20</w:t>
            </w:r>
            <w:r>
              <w:rPr>
                <w:rFonts w:hint="eastAsia" w:ascii="Times New Roman" w:hAnsi="Times New Roman" w:eastAsia="宋体" w:cs="Times New Roman"/>
                <w:b/>
                <w:color w:val="000000"/>
                <w:sz w:val="21"/>
                <w:szCs w:val="21"/>
                <w:lang w:val="en-US" w:eastAsia="zh-CN"/>
              </w:rPr>
              <w:t>22</w:t>
            </w:r>
            <w:r>
              <w:rPr>
                <w:rFonts w:hint="default" w:ascii="Times New Roman" w:hAnsi="Times New Roman" w:eastAsia="宋体" w:cs="Times New Roman"/>
                <w:b/>
                <w:color w:val="000000"/>
                <w:sz w:val="21"/>
                <w:szCs w:val="21"/>
                <w:lang w:val="en-US" w:eastAsia="zh-CN"/>
              </w:rPr>
              <w:t xml:space="preserve"> 年环境空气优良天数统计表</w:t>
            </w:r>
          </w:p>
          <w:tbl>
            <w:tblPr>
              <w:tblStyle w:val="30"/>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503"/>
              <w:gridCol w:w="473"/>
              <w:gridCol w:w="412"/>
              <w:gridCol w:w="534"/>
              <w:gridCol w:w="502"/>
              <w:gridCol w:w="596"/>
              <w:gridCol w:w="392"/>
              <w:gridCol w:w="627"/>
              <w:gridCol w:w="521"/>
              <w:gridCol w:w="624"/>
              <w:gridCol w:w="552"/>
              <w:gridCol w:w="576"/>
              <w:gridCol w:w="523"/>
              <w:gridCol w:w="603"/>
              <w:gridCol w:w="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734" w:type="dxa"/>
                  <w:vMerge w:val="restart"/>
                  <w:tcBorders>
                    <w:top w:val="single" w:color="auto" w:sz="12" w:space="0"/>
                    <w:left w:val="nil"/>
                  </w:tcBorders>
                  <w:noWrap w:val="0"/>
                  <w:vAlign w:val="center"/>
                </w:tcPr>
                <w:p>
                  <w:pPr>
                    <w:jc w:val="center"/>
                    <w:rPr>
                      <w:b/>
                      <w:bCs/>
                      <w:color w:val="auto"/>
                      <w:sz w:val="28"/>
                      <w:szCs w:val="28"/>
                    </w:rPr>
                  </w:pPr>
                  <w:r>
                    <w:rPr>
                      <w:b/>
                      <w:bCs/>
                      <w:color w:val="auto"/>
                    </w:rPr>
                    <w:t>年度</w:t>
                  </w:r>
                </w:p>
              </w:tc>
              <w:tc>
                <w:tcPr>
                  <w:tcW w:w="976" w:type="dxa"/>
                  <w:gridSpan w:val="2"/>
                  <w:tcBorders>
                    <w:top w:val="single" w:color="auto" w:sz="12" w:space="0"/>
                  </w:tcBorders>
                  <w:noWrap w:val="0"/>
                  <w:tcMar>
                    <w:left w:w="6" w:type="dxa"/>
                    <w:right w:w="6" w:type="dxa"/>
                  </w:tcMar>
                  <w:vAlign w:val="center"/>
                </w:tcPr>
                <w:p>
                  <w:pPr>
                    <w:jc w:val="center"/>
                    <w:rPr>
                      <w:b/>
                      <w:bCs/>
                      <w:color w:val="auto"/>
                      <w:sz w:val="24"/>
                    </w:rPr>
                  </w:pPr>
                  <w:r>
                    <w:rPr>
                      <w:b/>
                      <w:bCs/>
                      <w:color w:val="auto"/>
                    </w:rPr>
                    <w:t>一级(优)</w:t>
                  </w:r>
                </w:p>
              </w:tc>
              <w:tc>
                <w:tcPr>
                  <w:tcW w:w="946" w:type="dxa"/>
                  <w:gridSpan w:val="2"/>
                  <w:tcBorders>
                    <w:top w:val="single" w:color="auto" w:sz="12" w:space="0"/>
                  </w:tcBorders>
                  <w:noWrap w:val="0"/>
                  <w:tcMar>
                    <w:left w:w="6" w:type="dxa"/>
                    <w:right w:w="6" w:type="dxa"/>
                  </w:tcMar>
                  <w:vAlign w:val="center"/>
                </w:tcPr>
                <w:p>
                  <w:pPr>
                    <w:jc w:val="center"/>
                    <w:rPr>
                      <w:b/>
                      <w:bCs/>
                      <w:color w:val="auto"/>
                      <w:sz w:val="24"/>
                    </w:rPr>
                  </w:pPr>
                  <w:r>
                    <w:rPr>
                      <w:b/>
                      <w:bCs/>
                      <w:color w:val="auto"/>
                    </w:rPr>
                    <w:t>二级(良)</w:t>
                  </w:r>
                </w:p>
              </w:tc>
              <w:tc>
                <w:tcPr>
                  <w:tcW w:w="1098" w:type="dxa"/>
                  <w:gridSpan w:val="2"/>
                  <w:tcBorders>
                    <w:top w:val="single" w:color="auto" w:sz="12" w:space="0"/>
                  </w:tcBorders>
                  <w:noWrap w:val="0"/>
                  <w:tcMar>
                    <w:left w:w="6" w:type="dxa"/>
                    <w:right w:w="6" w:type="dxa"/>
                  </w:tcMar>
                  <w:vAlign w:val="center"/>
                </w:tcPr>
                <w:p>
                  <w:pPr>
                    <w:jc w:val="center"/>
                    <w:rPr>
                      <w:b/>
                      <w:bCs/>
                      <w:color w:val="auto"/>
                    </w:rPr>
                  </w:pPr>
                  <w:r>
                    <w:rPr>
                      <w:b/>
                      <w:bCs/>
                      <w:color w:val="auto"/>
                    </w:rPr>
                    <w:t>三级</w:t>
                  </w:r>
                </w:p>
                <w:p>
                  <w:pPr>
                    <w:jc w:val="center"/>
                    <w:rPr>
                      <w:b/>
                      <w:bCs/>
                      <w:color w:val="auto"/>
                      <w:sz w:val="24"/>
                    </w:rPr>
                  </w:pPr>
                  <w:r>
                    <w:rPr>
                      <w:b/>
                      <w:bCs/>
                      <w:color w:val="auto"/>
                    </w:rPr>
                    <w:t>(轻度污染)</w:t>
                  </w:r>
                </w:p>
              </w:tc>
              <w:tc>
                <w:tcPr>
                  <w:tcW w:w="1019" w:type="dxa"/>
                  <w:gridSpan w:val="2"/>
                  <w:tcBorders>
                    <w:top w:val="single" w:color="auto" w:sz="12" w:space="0"/>
                  </w:tcBorders>
                  <w:noWrap w:val="0"/>
                  <w:tcMar>
                    <w:left w:w="6" w:type="dxa"/>
                    <w:right w:w="6" w:type="dxa"/>
                  </w:tcMar>
                  <w:vAlign w:val="center"/>
                </w:tcPr>
                <w:p>
                  <w:pPr>
                    <w:jc w:val="center"/>
                    <w:rPr>
                      <w:b/>
                      <w:bCs/>
                      <w:color w:val="auto"/>
                    </w:rPr>
                  </w:pPr>
                  <w:r>
                    <w:rPr>
                      <w:b/>
                      <w:bCs/>
                      <w:color w:val="auto"/>
                    </w:rPr>
                    <w:t>四级</w:t>
                  </w:r>
                </w:p>
                <w:p>
                  <w:pPr>
                    <w:jc w:val="center"/>
                    <w:rPr>
                      <w:b/>
                      <w:bCs/>
                      <w:color w:val="auto"/>
                      <w:sz w:val="24"/>
                    </w:rPr>
                  </w:pPr>
                  <w:r>
                    <w:rPr>
                      <w:b/>
                      <w:bCs/>
                      <w:color w:val="auto"/>
                    </w:rPr>
                    <w:t>(中度污染)</w:t>
                  </w:r>
                </w:p>
              </w:tc>
              <w:tc>
                <w:tcPr>
                  <w:tcW w:w="1145" w:type="dxa"/>
                  <w:gridSpan w:val="2"/>
                  <w:tcBorders>
                    <w:top w:val="single" w:color="auto" w:sz="12" w:space="0"/>
                  </w:tcBorders>
                  <w:noWrap w:val="0"/>
                  <w:tcMar>
                    <w:left w:w="6" w:type="dxa"/>
                    <w:right w:w="6" w:type="dxa"/>
                  </w:tcMar>
                  <w:vAlign w:val="center"/>
                </w:tcPr>
                <w:p>
                  <w:pPr>
                    <w:jc w:val="center"/>
                    <w:rPr>
                      <w:b/>
                      <w:bCs/>
                      <w:color w:val="auto"/>
                    </w:rPr>
                  </w:pPr>
                  <w:r>
                    <w:rPr>
                      <w:b/>
                      <w:bCs/>
                      <w:color w:val="auto"/>
                    </w:rPr>
                    <w:t>五级</w:t>
                  </w:r>
                </w:p>
                <w:p>
                  <w:pPr>
                    <w:jc w:val="center"/>
                    <w:rPr>
                      <w:b/>
                      <w:bCs/>
                      <w:color w:val="auto"/>
                      <w:sz w:val="24"/>
                    </w:rPr>
                  </w:pPr>
                  <w:r>
                    <w:rPr>
                      <w:b/>
                      <w:bCs/>
                      <w:color w:val="auto"/>
                    </w:rPr>
                    <w:t>(重度污染)</w:t>
                  </w:r>
                </w:p>
              </w:tc>
              <w:tc>
                <w:tcPr>
                  <w:tcW w:w="1128" w:type="dxa"/>
                  <w:gridSpan w:val="2"/>
                  <w:tcBorders>
                    <w:top w:val="single" w:color="auto" w:sz="12" w:space="0"/>
                  </w:tcBorders>
                  <w:noWrap w:val="0"/>
                  <w:tcMar>
                    <w:left w:w="6" w:type="dxa"/>
                    <w:right w:w="6" w:type="dxa"/>
                  </w:tcMar>
                  <w:vAlign w:val="center"/>
                </w:tcPr>
                <w:p>
                  <w:pPr>
                    <w:jc w:val="center"/>
                    <w:rPr>
                      <w:b/>
                      <w:bCs/>
                      <w:color w:val="auto"/>
                    </w:rPr>
                  </w:pPr>
                  <w:r>
                    <w:rPr>
                      <w:b/>
                      <w:bCs/>
                      <w:color w:val="auto"/>
                    </w:rPr>
                    <w:t>六级</w:t>
                  </w:r>
                </w:p>
                <w:p>
                  <w:pPr>
                    <w:jc w:val="center"/>
                    <w:rPr>
                      <w:b/>
                      <w:bCs/>
                      <w:color w:val="auto"/>
                      <w:sz w:val="24"/>
                    </w:rPr>
                  </w:pPr>
                  <w:r>
                    <w:rPr>
                      <w:b/>
                      <w:bCs/>
                      <w:color w:val="auto"/>
                    </w:rPr>
                    <w:t>(严重污染)</w:t>
                  </w:r>
                </w:p>
              </w:tc>
              <w:tc>
                <w:tcPr>
                  <w:tcW w:w="1570" w:type="dxa"/>
                  <w:gridSpan w:val="3"/>
                  <w:tcBorders>
                    <w:top w:val="single" w:color="auto" w:sz="12" w:space="0"/>
                    <w:right w:val="nil"/>
                  </w:tcBorders>
                  <w:noWrap w:val="0"/>
                  <w:tcMar>
                    <w:left w:w="6" w:type="dxa"/>
                    <w:right w:w="6" w:type="dxa"/>
                  </w:tcMar>
                  <w:vAlign w:val="center"/>
                </w:tcPr>
                <w:p>
                  <w:pPr>
                    <w:jc w:val="center"/>
                    <w:rPr>
                      <w:b/>
                      <w:bCs/>
                      <w:color w:val="auto"/>
                      <w:sz w:val="24"/>
                    </w:rPr>
                  </w:pPr>
                  <w:r>
                    <w:rPr>
                      <w:b/>
                      <w:bCs/>
                      <w:color w:val="auto"/>
                    </w:rPr>
                    <w:t>环境空气质量达标情况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jc w:val="center"/>
              </w:trPr>
              <w:tc>
                <w:tcPr>
                  <w:tcW w:w="734" w:type="dxa"/>
                  <w:vMerge w:val="continue"/>
                  <w:tcBorders>
                    <w:left w:val="nil"/>
                  </w:tcBorders>
                  <w:noWrap w:val="0"/>
                  <w:vAlign w:val="top"/>
                </w:tcPr>
                <w:p>
                  <w:pPr>
                    <w:ind w:right="560"/>
                    <w:jc w:val="center"/>
                    <w:rPr>
                      <w:b/>
                      <w:color w:val="auto"/>
                      <w:sz w:val="28"/>
                      <w:szCs w:val="28"/>
                    </w:rPr>
                  </w:pPr>
                </w:p>
              </w:tc>
              <w:tc>
                <w:tcPr>
                  <w:tcW w:w="503" w:type="dxa"/>
                  <w:noWrap w:val="0"/>
                  <w:tcMar>
                    <w:left w:w="6" w:type="dxa"/>
                    <w:right w:w="6" w:type="dxa"/>
                  </w:tcMar>
                  <w:vAlign w:val="center"/>
                </w:tcPr>
                <w:p>
                  <w:pPr>
                    <w:jc w:val="center"/>
                    <w:rPr>
                      <w:color w:val="auto"/>
                      <w:sz w:val="18"/>
                      <w:szCs w:val="18"/>
                    </w:rPr>
                  </w:pPr>
                  <w:r>
                    <w:rPr>
                      <w:color w:val="auto"/>
                      <w:sz w:val="18"/>
                      <w:szCs w:val="18"/>
                    </w:rPr>
                    <w:t>天数(天)</w:t>
                  </w:r>
                </w:p>
              </w:tc>
              <w:tc>
                <w:tcPr>
                  <w:tcW w:w="473" w:type="dxa"/>
                  <w:noWrap w:val="0"/>
                  <w:tcMar>
                    <w:left w:w="6" w:type="dxa"/>
                    <w:right w:w="6" w:type="dxa"/>
                  </w:tcMar>
                  <w:vAlign w:val="center"/>
                </w:tcPr>
                <w:p>
                  <w:pPr>
                    <w:jc w:val="center"/>
                    <w:rPr>
                      <w:color w:val="auto"/>
                      <w:sz w:val="18"/>
                      <w:szCs w:val="18"/>
                    </w:rPr>
                  </w:pPr>
                  <w:r>
                    <w:rPr>
                      <w:color w:val="auto"/>
                      <w:sz w:val="18"/>
                      <w:szCs w:val="18"/>
                    </w:rPr>
                    <w:t>比例(%)</w:t>
                  </w:r>
                </w:p>
              </w:tc>
              <w:tc>
                <w:tcPr>
                  <w:tcW w:w="412" w:type="dxa"/>
                  <w:noWrap w:val="0"/>
                  <w:tcMar>
                    <w:left w:w="6" w:type="dxa"/>
                    <w:right w:w="6" w:type="dxa"/>
                  </w:tcMar>
                  <w:vAlign w:val="center"/>
                </w:tcPr>
                <w:p>
                  <w:pPr>
                    <w:jc w:val="center"/>
                    <w:rPr>
                      <w:color w:val="auto"/>
                      <w:sz w:val="18"/>
                      <w:szCs w:val="18"/>
                    </w:rPr>
                  </w:pPr>
                  <w:r>
                    <w:rPr>
                      <w:color w:val="auto"/>
                      <w:sz w:val="18"/>
                      <w:szCs w:val="18"/>
                    </w:rPr>
                    <w:t>天数(天)</w:t>
                  </w:r>
                </w:p>
              </w:tc>
              <w:tc>
                <w:tcPr>
                  <w:tcW w:w="534" w:type="dxa"/>
                  <w:noWrap w:val="0"/>
                  <w:tcMar>
                    <w:left w:w="6" w:type="dxa"/>
                    <w:right w:w="6" w:type="dxa"/>
                  </w:tcMar>
                  <w:vAlign w:val="center"/>
                </w:tcPr>
                <w:p>
                  <w:pPr>
                    <w:jc w:val="center"/>
                    <w:rPr>
                      <w:color w:val="auto"/>
                      <w:sz w:val="18"/>
                      <w:szCs w:val="18"/>
                    </w:rPr>
                  </w:pPr>
                  <w:r>
                    <w:rPr>
                      <w:color w:val="auto"/>
                      <w:sz w:val="18"/>
                      <w:szCs w:val="18"/>
                    </w:rPr>
                    <w:t>比例(%)</w:t>
                  </w:r>
                </w:p>
              </w:tc>
              <w:tc>
                <w:tcPr>
                  <w:tcW w:w="502" w:type="dxa"/>
                  <w:noWrap w:val="0"/>
                  <w:tcMar>
                    <w:left w:w="6" w:type="dxa"/>
                    <w:right w:w="6" w:type="dxa"/>
                  </w:tcMar>
                  <w:vAlign w:val="center"/>
                </w:tcPr>
                <w:p>
                  <w:pPr>
                    <w:jc w:val="center"/>
                    <w:rPr>
                      <w:color w:val="auto"/>
                      <w:sz w:val="18"/>
                      <w:szCs w:val="18"/>
                    </w:rPr>
                  </w:pPr>
                  <w:r>
                    <w:rPr>
                      <w:color w:val="auto"/>
                      <w:sz w:val="18"/>
                      <w:szCs w:val="18"/>
                    </w:rPr>
                    <w:t>天数(天)</w:t>
                  </w:r>
                </w:p>
              </w:tc>
              <w:tc>
                <w:tcPr>
                  <w:tcW w:w="596" w:type="dxa"/>
                  <w:noWrap w:val="0"/>
                  <w:tcMar>
                    <w:left w:w="6" w:type="dxa"/>
                    <w:right w:w="6" w:type="dxa"/>
                  </w:tcMar>
                  <w:vAlign w:val="center"/>
                </w:tcPr>
                <w:p>
                  <w:pPr>
                    <w:jc w:val="center"/>
                    <w:rPr>
                      <w:color w:val="auto"/>
                      <w:sz w:val="18"/>
                      <w:szCs w:val="18"/>
                    </w:rPr>
                  </w:pPr>
                  <w:r>
                    <w:rPr>
                      <w:color w:val="auto"/>
                      <w:sz w:val="18"/>
                      <w:szCs w:val="18"/>
                    </w:rPr>
                    <w:t>比例(%)</w:t>
                  </w:r>
                </w:p>
              </w:tc>
              <w:tc>
                <w:tcPr>
                  <w:tcW w:w="392" w:type="dxa"/>
                  <w:noWrap w:val="0"/>
                  <w:tcMar>
                    <w:left w:w="6" w:type="dxa"/>
                    <w:right w:w="6" w:type="dxa"/>
                  </w:tcMar>
                  <w:vAlign w:val="center"/>
                </w:tcPr>
                <w:p>
                  <w:pPr>
                    <w:jc w:val="center"/>
                    <w:rPr>
                      <w:color w:val="auto"/>
                      <w:sz w:val="18"/>
                      <w:szCs w:val="18"/>
                    </w:rPr>
                  </w:pPr>
                  <w:r>
                    <w:rPr>
                      <w:color w:val="auto"/>
                      <w:sz w:val="18"/>
                      <w:szCs w:val="18"/>
                    </w:rPr>
                    <w:t>天数(天)</w:t>
                  </w:r>
                </w:p>
              </w:tc>
              <w:tc>
                <w:tcPr>
                  <w:tcW w:w="627" w:type="dxa"/>
                  <w:noWrap w:val="0"/>
                  <w:tcMar>
                    <w:left w:w="6" w:type="dxa"/>
                    <w:right w:w="6" w:type="dxa"/>
                  </w:tcMar>
                  <w:vAlign w:val="center"/>
                </w:tcPr>
                <w:p>
                  <w:pPr>
                    <w:jc w:val="center"/>
                    <w:rPr>
                      <w:color w:val="auto"/>
                      <w:sz w:val="18"/>
                      <w:szCs w:val="18"/>
                    </w:rPr>
                  </w:pPr>
                  <w:r>
                    <w:rPr>
                      <w:color w:val="auto"/>
                      <w:sz w:val="18"/>
                      <w:szCs w:val="18"/>
                    </w:rPr>
                    <w:t>比例(%)</w:t>
                  </w:r>
                </w:p>
              </w:tc>
              <w:tc>
                <w:tcPr>
                  <w:tcW w:w="521" w:type="dxa"/>
                  <w:noWrap w:val="0"/>
                  <w:tcMar>
                    <w:left w:w="6" w:type="dxa"/>
                    <w:right w:w="6" w:type="dxa"/>
                  </w:tcMar>
                  <w:vAlign w:val="center"/>
                </w:tcPr>
                <w:p>
                  <w:pPr>
                    <w:jc w:val="center"/>
                    <w:rPr>
                      <w:color w:val="auto"/>
                      <w:sz w:val="18"/>
                      <w:szCs w:val="18"/>
                    </w:rPr>
                  </w:pPr>
                  <w:r>
                    <w:rPr>
                      <w:color w:val="auto"/>
                      <w:sz w:val="18"/>
                      <w:szCs w:val="18"/>
                    </w:rPr>
                    <w:t>天数(天)</w:t>
                  </w:r>
                </w:p>
              </w:tc>
              <w:tc>
                <w:tcPr>
                  <w:tcW w:w="624" w:type="dxa"/>
                  <w:noWrap w:val="0"/>
                  <w:tcMar>
                    <w:left w:w="6" w:type="dxa"/>
                    <w:right w:w="6" w:type="dxa"/>
                  </w:tcMar>
                  <w:vAlign w:val="center"/>
                </w:tcPr>
                <w:p>
                  <w:pPr>
                    <w:jc w:val="center"/>
                    <w:rPr>
                      <w:color w:val="auto"/>
                      <w:sz w:val="18"/>
                      <w:szCs w:val="18"/>
                    </w:rPr>
                  </w:pPr>
                  <w:r>
                    <w:rPr>
                      <w:color w:val="auto"/>
                      <w:sz w:val="18"/>
                      <w:szCs w:val="18"/>
                    </w:rPr>
                    <w:t>比例(%)</w:t>
                  </w:r>
                </w:p>
              </w:tc>
              <w:tc>
                <w:tcPr>
                  <w:tcW w:w="552" w:type="dxa"/>
                  <w:noWrap w:val="0"/>
                  <w:tcMar>
                    <w:left w:w="6" w:type="dxa"/>
                    <w:right w:w="6" w:type="dxa"/>
                  </w:tcMar>
                  <w:vAlign w:val="center"/>
                </w:tcPr>
                <w:p>
                  <w:pPr>
                    <w:jc w:val="center"/>
                    <w:rPr>
                      <w:color w:val="auto"/>
                      <w:sz w:val="18"/>
                      <w:szCs w:val="18"/>
                    </w:rPr>
                  </w:pPr>
                  <w:r>
                    <w:rPr>
                      <w:color w:val="auto"/>
                      <w:sz w:val="18"/>
                      <w:szCs w:val="18"/>
                    </w:rPr>
                    <w:t>天数(天)</w:t>
                  </w:r>
                </w:p>
              </w:tc>
              <w:tc>
                <w:tcPr>
                  <w:tcW w:w="576" w:type="dxa"/>
                  <w:noWrap w:val="0"/>
                  <w:tcMar>
                    <w:left w:w="6" w:type="dxa"/>
                    <w:right w:w="6" w:type="dxa"/>
                  </w:tcMar>
                  <w:vAlign w:val="center"/>
                </w:tcPr>
                <w:p>
                  <w:pPr>
                    <w:jc w:val="center"/>
                    <w:rPr>
                      <w:color w:val="auto"/>
                      <w:sz w:val="18"/>
                      <w:szCs w:val="18"/>
                    </w:rPr>
                  </w:pPr>
                  <w:r>
                    <w:rPr>
                      <w:color w:val="auto"/>
                      <w:sz w:val="18"/>
                      <w:szCs w:val="18"/>
                    </w:rPr>
                    <w:t>比例(%)</w:t>
                  </w:r>
                </w:p>
              </w:tc>
              <w:tc>
                <w:tcPr>
                  <w:tcW w:w="523" w:type="dxa"/>
                  <w:noWrap w:val="0"/>
                  <w:tcMar>
                    <w:left w:w="6" w:type="dxa"/>
                    <w:right w:w="6" w:type="dxa"/>
                  </w:tcMar>
                  <w:vAlign w:val="center"/>
                </w:tcPr>
                <w:p>
                  <w:pPr>
                    <w:jc w:val="center"/>
                    <w:rPr>
                      <w:rFonts w:hint="eastAsia"/>
                      <w:color w:val="auto"/>
                      <w:sz w:val="18"/>
                      <w:szCs w:val="18"/>
                    </w:rPr>
                  </w:pPr>
                  <w:r>
                    <w:rPr>
                      <w:rFonts w:hint="eastAsia"/>
                      <w:color w:val="auto"/>
                      <w:sz w:val="18"/>
                      <w:szCs w:val="18"/>
                    </w:rPr>
                    <w:t>有效</w:t>
                  </w:r>
                </w:p>
                <w:p>
                  <w:pPr>
                    <w:jc w:val="center"/>
                    <w:rPr>
                      <w:rFonts w:hint="eastAsia"/>
                      <w:color w:val="auto"/>
                      <w:sz w:val="18"/>
                      <w:szCs w:val="18"/>
                    </w:rPr>
                  </w:pPr>
                  <w:r>
                    <w:rPr>
                      <w:rFonts w:hint="eastAsia"/>
                      <w:color w:val="auto"/>
                      <w:sz w:val="18"/>
                      <w:szCs w:val="18"/>
                    </w:rPr>
                    <w:t>天数</w:t>
                  </w:r>
                  <w:r>
                    <w:rPr>
                      <w:color w:val="auto"/>
                      <w:sz w:val="18"/>
                      <w:szCs w:val="18"/>
                    </w:rPr>
                    <w:t>(天)</w:t>
                  </w:r>
                </w:p>
              </w:tc>
              <w:tc>
                <w:tcPr>
                  <w:tcW w:w="603" w:type="dxa"/>
                  <w:noWrap w:val="0"/>
                  <w:vAlign w:val="center"/>
                </w:tcPr>
                <w:p>
                  <w:pPr>
                    <w:jc w:val="center"/>
                    <w:rPr>
                      <w:color w:val="auto"/>
                      <w:sz w:val="18"/>
                      <w:szCs w:val="18"/>
                    </w:rPr>
                  </w:pPr>
                  <w:r>
                    <w:rPr>
                      <w:color w:val="auto"/>
                      <w:sz w:val="18"/>
                      <w:szCs w:val="18"/>
                    </w:rPr>
                    <w:t>达标天数(天)</w:t>
                  </w:r>
                </w:p>
              </w:tc>
              <w:tc>
                <w:tcPr>
                  <w:tcW w:w="444" w:type="dxa"/>
                  <w:tcBorders>
                    <w:right w:val="nil"/>
                  </w:tcBorders>
                  <w:noWrap w:val="0"/>
                  <w:tcMar>
                    <w:left w:w="6" w:type="dxa"/>
                    <w:right w:w="6" w:type="dxa"/>
                  </w:tcMar>
                  <w:vAlign w:val="center"/>
                </w:tcPr>
                <w:p>
                  <w:pPr>
                    <w:jc w:val="center"/>
                    <w:rPr>
                      <w:color w:val="auto"/>
                      <w:sz w:val="18"/>
                      <w:szCs w:val="18"/>
                    </w:rPr>
                  </w:pPr>
                  <w:r>
                    <w:rPr>
                      <w:color w:val="auto"/>
                      <w:sz w:val="18"/>
                      <w:szCs w:val="18"/>
                    </w:rPr>
                    <w:t>达标率(%)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34" w:type="dxa"/>
                  <w:tcBorders>
                    <w:top w:val="single" w:color="auto" w:sz="2" w:space="0"/>
                    <w:left w:val="nil"/>
                    <w:bottom w:val="single" w:color="auto" w:sz="2" w:space="0"/>
                  </w:tcBorders>
                  <w:noWrap w:val="0"/>
                  <w:tcMar>
                    <w:left w:w="0" w:type="dxa"/>
                    <w:right w:w="0" w:type="dxa"/>
                  </w:tcMar>
                  <w:vAlign w:val="center"/>
                </w:tcPr>
                <w:p>
                  <w:pPr>
                    <w:jc w:val="center"/>
                    <w:rPr>
                      <w:color w:val="auto"/>
                      <w:sz w:val="18"/>
                      <w:szCs w:val="18"/>
                    </w:rPr>
                  </w:pPr>
                  <w:r>
                    <w:rPr>
                      <w:color w:val="auto"/>
                      <w:sz w:val="18"/>
                      <w:szCs w:val="18"/>
                    </w:rPr>
                    <w:t>20</w:t>
                  </w:r>
                  <w:r>
                    <w:rPr>
                      <w:rFonts w:hint="eastAsia"/>
                      <w:color w:val="auto"/>
                      <w:sz w:val="18"/>
                      <w:szCs w:val="18"/>
                      <w:lang w:val="en-US" w:eastAsia="zh-CN"/>
                    </w:rPr>
                    <w:t>22</w:t>
                  </w:r>
                  <w:r>
                    <w:rPr>
                      <w:color w:val="auto"/>
                      <w:sz w:val="18"/>
                      <w:szCs w:val="18"/>
                    </w:rPr>
                    <w:t>年</w:t>
                  </w:r>
                </w:p>
              </w:tc>
              <w:tc>
                <w:tcPr>
                  <w:tcW w:w="503" w:type="dxa"/>
                  <w:noWrap w:val="0"/>
                  <w:tcMar>
                    <w:left w:w="6" w:type="dxa"/>
                    <w:right w:w="6" w:type="dxa"/>
                  </w:tcMar>
                  <w:vAlign w:val="center"/>
                </w:tcPr>
                <w:p>
                  <w:pPr>
                    <w:jc w:val="center"/>
                    <w:rPr>
                      <w:rFonts w:hint="default" w:eastAsia="宋体"/>
                      <w:color w:val="auto"/>
                      <w:lang w:val="en-US" w:eastAsia="zh-CN"/>
                    </w:rPr>
                  </w:pPr>
                  <w:r>
                    <w:rPr>
                      <w:rFonts w:hint="eastAsia"/>
                      <w:color w:val="auto"/>
                      <w:lang w:val="en-US" w:eastAsia="zh-CN"/>
                    </w:rPr>
                    <w:t>173</w:t>
                  </w:r>
                </w:p>
              </w:tc>
              <w:tc>
                <w:tcPr>
                  <w:tcW w:w="473" w:type="dxa"/>
                  <w:noWrap w:val="0"/>
                  <w:tcMar>
                    <w:left w:w="0" w:type="dxa"/>
                    <w:right w:w="0" w:type="dxa"/>
                  </w:tcMar>
                  <w:vAlign w:val="center"/>
                </w:tcPr>
                <w:p>
                  <w:pPr>
                    <w:jc w:val="center"/>
                    <w:rPr>
                      <w:rFonts w:hint="default" w:eastAsia="宋体"/>
                      <w:color w:val="auto"/>
                      <w:lang w:val="en-US" w:eastAsia="zh-CN"/>
                    </w:rPr>
                  </w:pPr>
                  <w:r>
                    <w:rPr>
                      <w:rFonts w:hint="eastAsia"/>
                      <w:color w:val="auto"/>
                      <w:lang w:val="en-US" w:eastAsia="zh-CN"/>
                    </w:rPr>
                    <w:t>47.4</w:t>
                  </w:r>
                </w:p>
              </w:tc>
              <w:tc>
                <w:tcPr>
                  <w:tcW w:w="412" w:type="dxa"/>
                  <w:noWrap w:val="0"/>
                  <w:tcMar>
                    <w:left w:w="0" w:type="dxa"/>
                    <w:right w:w="0" w:type="dxa"/>
                  </w:tcMar>
                  <w:vAlign w:val="center"/>
                </w:tcPr>
                <w:p>
                  <w:pPr>
                    <w:jc w:val="center"/>
                    <w:rPr>
                      <w:rFonts w:hint="eastAsia" w:eastAsia="宋体"/>
                      <w:color w:val="auto"/>
                      <w:lang w:val="en-US" w:eastAsia="zh-CN"/>
                    </w:rPr>
                  </w:pPr>
                  <w:r>
                    <w:rPr>
                      <w:rFonts w:hint="eastAsia"/>
                      <w:color w:val="auto"/>
                      <w:lang w:val="en-US" w:eastAsia="zh-CN"/>
                    </w:rPr>
                    <w:t>185</w:t>
                  </w:r>
                </w:p>
              </w:tc>
              <w:tc>
                <w:tcPr>
                  <w:tcW w:w="534" w:type="dxa"/>
                  <w:noWrap w:val="0"/>
                  <w:tcMar>
                    <w:left w:w="0" w:type="dxa"/>
                    <w:right w:w="0" w:type="dxa"/>
                  </w:tcMar>
                  <w:vAlign w:val="center"/>
                </w:tcPr>
                <w:p>
                  <w:pPr>
                    <w:jc w:val="center"/>
                    <w:rPr>
                      <w:rFonts w:hint="default" w:eastAsia="宋体"/>
                      <w:color w:val="auto"/>
                      <w:lang w:val="en-US" w:eastAsia="zh-CN"/>
                    </w:rPr>
                  </w:pPr>
                  <w:r>
                    <w:rPr>
                      <w:rFonts w:hint="eastAsia"/>
                      <w:color w:val="auto"/>
                      <w:lang w:val="en-US" w:eastAsia="zh-CN"/>
                    </w:rPr>
                    <w:t>50.7</w:t>
                  </w:r>
                </w:p>
              </w:tc>
              <w:tc>
                <w:tcPr>
                  <w:tcW w:w="502" w:type="dxa"/>
                  <w:noWrap w:val="0"/>
                  <w:tcMar>
                    <w:left w:w="0" w:type="dxa"/>
                    <w:right w:w="0" w:type="dxa"/>
                  </w:tcMar>
                  <w:vAlign w:val="center"/>
                </w:tcPr>
                <w:p>
                  <w:pPr>
                    <w:jc w:val="center"/>
                    <w:rPr>
                      <w:rFonts w:hint="eastAsia" w:eastAsia="宋体"/>
                      <w:color w:val="auto"/>
                      <w:lang w:val="en-US" w:eastAsia="zh-CN"/>
                    </w:rPr>
                  </w:pPr>
                  <w:r>
                    <w:rPr>
                      <w:rFonts w:hint="eastAsia"/>
                      <w:color w:val="auto"/>
                      <w:lang w:val="en-US" w:eastAsia="zh-CN"/>
                    </w:rPr>
                    <w:t>7</w:t>
                  </w:r>
                </w:p>
              </w:tc>
              <w:tc>
                <w:tcPr>
                  <w:tcW w:w="596" w:type="dxa"/>
                  <w:noWrap w:val="0"/>
                  <w:tcMar>
                    <w:left w:w="0" w:type="dxa"/>
                    <w:right w:w="0" w:type="dxa"/>
                  </w:tcMar>
                  <w:vAlign w:val="center"/>
                </w:tcPr>
                <w:p>
                  <w:pPr>
                    <w:jc w:val="center"/>
                    <w:rPr>
                      <w:rFonts w:hint="default" w:eastAsia="宋体"/>
                      <w:color w:val="auto"/>
                      <w:lang w:val="en-US" w:eastAsia="zh-CN"/>
                    </w:rPr>
                  </w:pPr>
                  <w:r>
                    <w:rPr>
                      <w:rFonts w:hint="eastAsia"/>
                      <w:color w:val="auto"/>
                      <w:lang w:val="en-US" w:eastAsia="zh-CN"/>
                    </w:rPr>
                    <w:t>1.9</w:t>
                  </w:r>
                </w:p>
              </w:tc>
              <w:tc>
                <w:tcPr>
                  <w:tcW w:w="392" w:type="dxa"/>
                  <w:noWrap w:val="0"/>
                  <w:tcMar>
                    <w:left w:w="0" w:type="dxa"/>
                    <w:right w:w="0" w:type="dxa"/>
                  </w:tcMar>
                  <w:vAlign w:val="center"/>
                </w:tcPr>
                <w:p>
                  <w:pPr>
                    <w:jc w:val="center"/>
                    <w:rPr>
                      <w:rFonts w:hint="eastAsia"/>
                      <w:color w:val="auto"/>
                    </w:rPr>
                  </w:pPr>
                  <w:r>
                    <w:rPr>
                      <w:rFonts w:hint="eastAsia"/>
                      <w:color w:val="auto"/>
                      <w:lang w:val="en-US" w:eastAsia="zh-CN"/>
                    </w:rPr>
                    <w:t>0</w:t>
                  </w:r>
                </w:p>
              </w:tc>
              <w:tc>
                <w:tcPr>
                  <w:tcW w:w="627" w:type="dxa"/>
                  <w:noWrap w:val="0"/>
                  <w:tcMar>
                    <w:left w:w="0" w:type="dxa"/>
                    <w:right w:w="0" w:type="dxa"/>
                  </w:tcMar>
                  <w:vAlign w:val="center"/>
                </w:tcPr>
                <w:p>
                  <w:pPr>
                    <w:jc w:val="center"/>
                    <w:rPr>
                      <w:rFonts w:hint="eastAsia"/>
                      <w:color w:val="auto"/>
                    </w:rPr>
                  </w:pPr>
                  <w:r>
                    <w:rPr>
                      <w:rFonts w:hint="eastAsia"/>
                      <w:color w:val="auto"/>
                      <w:lang w:val="en-US" w:eastAsia="zh-CN"/>
                    </w:rPr>
                    <w:t>0</w:t>
                  </w:r>
                </w:p>
              </w:tc>
              <w:tc>
                <w:tcPr>
                  <w:tcW w:w="521" w:type="dxa"/>
                  <w:noWrap w:val="0"/>
                  <w:tcMar>
                    <w:left w:w="0" w:type="dxa"/>
                    <w:right w:w="0" w:type="dxa"/>
                  </w:tcMar>
                  <w:vAlign w:val="center"/>
                </w:tcPr>
                <w:p>
                  <w:pPr>
                    <w:jc w:val="center"/>
                    <w:rPr>
                      <w:rFonts w:hint="eastAsia"/>
                      <w:color w:val="auto"/>
                    </w:rPr>
                  </w:pPr>
                  <w:r>
                    <w:rPr>
                      <w:rFonts w:hint="eastAsia"/>
                      <w:color w:val="auto"/>
                    </w:rPr>
                    <w:t>0</w:t>
                  </w:r>
                </w:p>
              </w:tc>
              <w:tc>
                <w:tcPr>
                  <w:tcW w:w="624" w:type="dxa"/>
                  <w:noWrap w:val="0"/>
                  <w:tcMar>
                    <w:left w:w="0" w:type="dxa"/>
                    <w:right w:w="0" w:type="dxa"/>
                  </w:tcMar>
                  <w:vAlign w:val="center"/>
                </w:tcPr>
                <w:p>
                  <w:pPr>
                    <w:jc w:val="center"/>
                    <w:rPr>
                      <w:rFonts w:hint="eastAsia"/>
                      <w:color w:val="auto"/>
                    </w:rPr>
                  </w:pPr>
                  <w:r>
                    <w:rPr>
                      <w:rFonts w:hint="eastAsia"/>
                      <w:color w:val="auto"/>
                    </w:rPr>
                    <w:t>0</w:t>
                  </w:r>
                </w:p>
              </w:tc>
              <w:tc>
                <w:tcPr>
                  <w:tcW w:w="552" w:type="dxa"/>
                  <w:noWrap w:val="0"/>
                  <w:tcMar>
                    <w:left w:w="0" w:type="dxa"/>
                    <w:right w:w="0" w:type="dxa"/>
                  </w:tcMar>
                  <w:vAlign w:val="center"/>
                </w:tcPr>
                <w:p>
                  <w:pPr>
                    <w:jc w:val="center"/>
                    <w:rPr>
                      <w:rFonts w:hint="eastAsia"/>
                      <w:color w:val="auto"/>
                    </w:rPr>
                  </w:pPr>
                  <w:r>
                    <w:rPr>
                      <w:rFonts w:hint="eastAsia"/>
                      <w:color w:val="auto"/>
                    </w:rPr>
                    <w:t>0</w:t>
                  </w:r>
                </w:p>
              </w:tc>
              <w:tc>
                <w:tcPr>
                  <w:tcW w:w="576" w:type="dxa"/>
                  <w:noWrap w:val="0"/>
                  <w:tcMar>
                    <w:left w:w="0" w:type="dxa"/>
                    <w:right w:w="0" w:type="dxa"/>
                  </w:tcMar>
                  <w:vAlign w:val="center"/>
                </w:tcPr>
                <w:p>
                  <w:pPr>
                    <w:jc w:val="center"/>
                    <w:rPr>
                      <w:rFonts w:hint="eastAsia"/>
                      <w:color w:val="auto"/>
                    </w:rPr>
                  </w:pPr>
                  <w:r>
                    <w:rPr>
                      <w:rFonts w:hint="eastAsia"/>
                      <w:color w:val="auto"/>
                    </w:rPr>
                    <w:t>0</w:t>
                  </w:r>
                </w:p>
              </w:tc>
              <w:tc>
                <w:tcPr>
                  <w:tcW w:w="523" w:type="dxa"/>
                  <w:noWrap w:val="0"/>
                  <w:tcMar>
                    <w:left w:w="0" w:type="dxa"/>
                    <w:right w:w="0" w:type="dxa"/>
                  </w:tcMar>
                  <w:vAlign w:val="center"/>
                </w:tcPr>
                <w:p>
                  <w:pPr>
                    <w:jc w:val="center"/>
                    <w:rPr>
                      <w:color w:val="auto"/>
                    </w:rPr>
                  </w:pPr>
                  <w:r>
                    <w:rPr>
                      <w:rFonts w:hint="eastAsia"/>
                      <w:color w:val="auto"/>
                      <w:lang w:val="en-US" w:eastAsia="zh-CN"/>
                    </w:rPr>
                    <w:t>365</w:t>
                  </w:r>
                </w:p>
              </w:tc>
              <w:tc>
                <w:tcPr>
                  <w:tcW w:w="603" w:type="dxa"/>
                  <w:noWrap w:val="0"/>
                  <w:vAlign w:val="center"/>
                </w:tcPr>
                <w:p>
                  <w:pPr>
                    <w:jc w:val="center"/>
                    <w:rPr>
                      <w:rFonts w:hint="eastAsia" w:eastAsia="宋体"/>
                      <w:color w:val="auto"/>
                      <w:lang w:val="en-US" w:eastAsia="zh-CN"/>
                    </w:rPr>
                  </w:pPr>
                  <w:r>
                    <w:rPr>
                      <w:rFonts w:hint="eastAsia"/>
                      <w:color w:val="auto"/>
                    </w:rPr>
                    <w:t>35</w:t>
                  </w:r>
                  <w:r>
                    <w:rPr>
                      <w:rFonts w:hint="eastAsia"/>
                      <w:color w:val="auto"/>
                      <w:lang w:val="en-US" w:eastAsia="zh-CN"/>
                    </w:rPr>
                    <w:t>8</w:t>
                  </w:r>
                </w:p>
              </w:tc>
              <w:tc>
                <w:tcPr>
                  <w:tcW w:w="444" w:type="dxa"/>
                  <w:tcBorders>
                    <w:right w:val="nil"/>
                  </w:tcBorders>
                  <w:noWrap w:val="0"/>
                  <w:tcMar>
                    <w:left w:w="6" w:type="dxa"/>
                    <w:right w:w="6" w:type="dxa"/>
                  </w:tcMar>
                  <w:vAlign w:val="center"/>
                </w:tcPr>
                <w:p>
                  <w:pPr>
                    <w:jc w:val="center"/>
                    <w:rPr>
                      <w:rFonts w:hint="default" w:eastAsia="宋体"/>
                      <w:color w:val="auto"/>
                      <w:lang w:val="en-US" w:eastAsia="zh-CN"/>
                    </w:rPr>
                  </w:pPr>
                  <w:r>
                    <w:rPr>
                      <w:rFonts w:hint="eastAsia"/>
                      <w:color w:val="auto"/>
                      <w:lang w:val="en-US" w:eastAsia="zh-CN"/>
                    </w:rPr>
                    <w:t>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34" w:type="dxa"/>
                  <w:tcBorders>
                    <w:top w:val="single" w:color="auto" w:sz="2" w:space="0"/>
                    <w:left w:val="nil"/>
                    <w:bottom w:val="single" w:color="auto" w:sz="12" w:space="0"/>
                  </w:tcBorders>
                  <w:noWrap w:val="0"/>
                  <w:tcMar>
                    <w:left w:w="0" w:type="dxa"/>
                    <w:right w:w="0" w:type="dxa"/>
                  </w:tcMar>
                  <w:vAlign w:val="center"/>
                </w:tcPr>
                <w:p>
                  <w:pPr>
                    <w:jc w:val="center"/>
                    <w:rPr>
                      <w:color w:val="auto"/>
                      <w:sz w:val="18"/>
                      <w:szCs w:val="18"/>
                    </w:rPr>
                  </w:pPr>
                  <w:r>
                    <w:rPr>
                      <w:rFonts w:hint="eastAsia"/>
                      <w:color w:val="auto"/>
                      <w:sz w:val="18"/>
                      <w:szCs w:val="18"/>
                    </w:rPr>
                    <w:t>20</w:t>
                  </w:r>
                  <w:r>
                    <w:rPr>
                      <w:rFonts w:hint="default"/>
                      <w:color w:val="auto"/>
                      <w:sz w:val="18"/>
                      <w:szCs w:val="18"/>
                    </w:rPr>
                    <w:t>2</w:t>
                  </w:r>
                  <w:r>
                    <w:rPr>
                      <w:rFonts w:hint="eastAsia"/>
                      <w:color w:val="auto"/>
                      <w:sz w:val="18"/>
                      <w:szCs w:val="18"/>
                      <w:lang w:val="en-US" w:eastAsia="zh-CN"/>
                    </w:rPr>
                    <w:t>3</w:t>
                  </w:r>
                  <w:r>
                    <w:rPr>
                      <w:rFonts w:hint="eastAsia"/>
                      <w:color w:val="auto"/>
                      <w:sz w:val="18"/>
                      <w:szCs w:val="18"/>
                    </w:rPr>
                    <w:t>年</w:t>
                  </w:r>
                </w:p>
              </w:tc>
              <w:tc>
                <w:tcPr>
                  <w:tcW w:w="503" w:type="dxa"/>
                  <w:tcBorders>
                    <w:bottom w:val="single" w:color="auto" w:sz="12" w:space="0"/>
                  </w:tcBorders>
                  <w:noWrap w:val="0"/>
                  <w:tcMar>
                    <w:left w:w="6" w:type="dxa"/>
                    <w:right w:w="6" w:type="dxa"/>
                  </w:tcMar>
                  <w:vAlign w:val="center"/>
                </w:tcPr>
                <w:p>
                  <w:pPr>
                    <w:jc w:val="center"/>
                    <w:rPr>
                      <w:rFonts w:hint="default" w:eastAsia="宋体"/>
                      <w:color w:val="auto"/>
                      <w:lang w:val="en-US" w:eastAsia="zh-CN"/>
                    </w:rPr>
                  </w:pPr>
                  <w:r>
                    <w:rPr>
                      <w:rFonts w:hint="eastAsia"/>
                      <w:color w:val="auto"/>
                      <w:lang w:val="en-US" w:eastAsia="zh-CN"/>
                    </w:rPr>
                    <w:t>160</w:t>
                  </w:r>
                </w:p>
              </w:tc>
              <w:tc>
                <w:tcPr>
                  <w:tcW w:w="473" w:type="dxa"/>
                  <w:tcBorders>
                    <w:bottom w:val="single" w:color="auto" w:sz="12" w:space="0"/>
                  </w:tcBorders>
                  <w:noWrap w:val="0"/>
                  <w:tcMar>
                    <w:left w:w="0" w:type="dxa"/>
                    <w:right w:w="0" w:type="dxa"/>
                  </w:tcMar>
                  <w:vAlign w:val="center"/>
                </w:tcPr>
                <w:p>
                  <w:pPr>
                    <w:jc w:val="center"/>
                    <w:rPr>
                      <w:rFonts w:hint="default" w:eastAsia="宋体"/>
                      <w:color w:val="auto"/>
                      <w:lang w:val="en-US" w:eastAsia="zh-CN"/>
                    </w:rPr>
                  </w:pPr>
                  <w:r>
                    <w:rPr>
                      <w:rFonts w:hint="eastAsia" w:eastAsia="宋体"/>
                      <w:color w:val="auto"/>
                      <w:lang w:val="en-US" w:eastAsia="zh-CN"/>
                    </w:rPr>
                    <w:t>43.8</w:t>
                  </w:r>
                </w:p>
              </w:tc>
              <w:tc>
                <w:tcPr>
                  <w:tcW w:w="412" w:type="dxa"/>
                  <w:tcBorders>
                    <w:bottom w:val="single" w:color="auto" w:sz="12" w:space="0"/>
                  </w:tcBorders>
                  <w:noWrap w:val="0"/>
                  <w:tcMar>
                    <w:left w:w="0" w:type="dxa"/>
                    <w:right w:w="0" w:type="dxa"/>
                  </w:tcMar>
                  <w:vAlign w:val="center"/>
                </w:tcPr>
                <w:p>
                  <w:pPr>
                    <w:jc w:val="center"/>
                    <w:rPr>
                      <w:rFonts w:hint="default" w:eastAsia="宋体"/>
                      <w:color w:val="auto"/>
                      <w:lang w:eastAsia="zh-CN"/>
                    </w:rPr>
                  </w:pPr>
                  <w:r>
                    <w:rPr>
                      <w:rFonts w:hint="default"/>
                      <w:color w:val="auto"/>
                      <w:lang w:eastAsia="zh-CN"/>
                    </w:rPr>
                    <w:t>18</w:t>
                  </w:r>
                  <w:r>
                    <w:rPr>
                      <w:rFonts w:hint="eastAsia"/>
                      <w:color w:val="auto"/>
                      <w:lang w:val="en-US" w:eastAsia="zh-CN"/>
                    </w:rPr>
                    <w:t>7</w:t>
                  </w:r>
                </w:p>
              </w:tc>
              <w:tc>
                <w:tcPr>
                  <w:tcW w:w="534" w:type="dxa"/>
                  <w:tcBorders>
                    <w:bottom w:val="single" w:color="auto" w:sz="12" w:space="0"/>
                  </w:tcBorders>
                  <w:noWrap w:val="0"/>
                  <w:tcMar>
                    <w:left w:w="0" w:type="dxa"/>
                    <w:right w:w="0" w:type="dxa"/>
                  </w:tcMar>
                  <w:vAlign w:val="center"/>
                </w:tcPr>
                <w:p>
                  <w:pPr>
                    <w:jc w:val="center"/>
                    <w:rPr>
                      <w:rFonts w:hint="default" w:eastAsia="宋体"/>
                      <w:color w:val="auto"/>
                      <w:lang w:val="en-US" w:eastAsia="zh-CN"/>
                    </w:rPr>
                  </w:pPr>
                  <w:r>
                    <w:rPr>
                      <w:rFonts w:hint="eastAsia"/>
                      <w:color w:val="auto"/>
                      <w:lang w:val="en-US" w:eastAsia="zh-CN"/>
                    </w:rPr>
                    <w:t>51.2</w:t>
                  </w:r>
                </w:p>
              </w:tc>
              <w:tc>
                <w:tcPr>
                  <w:tcW w:w="502" w:type="dxa"/>
                  <w:tcBorders>
                    <w:bottom w:val="single" w:color="auto" w:sz="12" w:space="0"/>
                  </w:tcBorders>
                  <w:noWrap w:val="0"/>
                  <w:tcMar>
                    <w:left w:w="0" w:type="dxa"/>
                    <w:right w:w="0" w:type="dxa"/>
                  </w:tcMar>
                  <w:vAlign w:val="center"/>
                </w:tcPr>
                <w:p>
                  <w:pPr>
                    <w:jc w:val="center"/>
                    <w:rPr>
                      <w:rFonts w:hint="default" w:eastAsia="宋体"/>
                      <w:color w:val="auto"/>
                      <w:lang w:val="en-US" w:eastAsia="zh-CN"/>
                    </w:rPr>
                  </w:pPr>
                  <w:r>
                    <w:rPr>
                      <w:rFonts w:hint="eastAsia"/>
                      <w:color w:val="auto"/>
                      <w:lang w:val="en-US" w:eastAsia="zh-CN"/>
                    </w:rPr>
                    <w:t>16</w:t>
                  </w:r>
                </w:p>
              </w:tc>
              <w:tc>
                <w:tcPr>
                  <w:tcW w:w="596" w:type="dxa"/>
                  <w:tcBorders>
                    <w:bottom w:val="single" w:color="auto" w:sz="12" w:space="0"/>
                  </w:tcBorders>
                  <w:noWrap w:val="0"/>
                  <w:tcMar>
                    <w:left w:w="0" w:type="dxa"/>
                    <w:right w:w="0" w:type="dxa"/>
                  </w:tcMar>
                  <w:vAlign w:val="center"/>
                </w:tcPr>
                <w:p>
                  <w:pPr>
                    <w:jc w:val="center"/>
                    <w:rPr>
                      <w:rFonts w:hint="default" w:eastAsia="宋体"/>
                      <w:color w:val="auto"/>
                      <w:lang w:val="en-US" w:eastAsia="zh-CN"/>
                    </w:rPr>
                  </w:pPr>
                  <w:r>
                    <w:rPr>
                      <w:rFonts w:hint="eastAsia"/>
                      <w:color w:val="auto"/>
                      <w:lang w:val="en-US" w:eastAsia="zh-CN"/>
                    </w:rPr>
                    <w:t>4.4</w:t>
                  </w:r>
                </w:p>
              </w:tc>
              <w:tc>
                <w:tcPr>
                  <w:tcW w:w="392" w:type="dxa"/>
                  <w:tcBorders>
                    <w:bottom w:val="single" w:color="auto" w:sz="12" w:space="0"/>
                  </w:tcBorders>
                  <w:noWrap w:val="0"/>
                  <w:tcMar>
                    <w:left w:w="0" w:type="dxa"/>
                    <w:right w:w="0" w:type="dxa"/>
                  </w:tcMar>
                  <w:vAlign w:val="center"/>
                </w:tcPr>
                <w:p>
                  <w:pPr>
                    <w:jc w:val="center"/>
                    <w:rPr>
                      <w:rFonts w:hint="default" w:eastAsia="宋体"/>
                      <w:color w:val="auto"/>
                      <w:lang w:eastAsia="zh-CN"/>
                    </w:rPr>
                  </w:pPr>
                  <w:r>
                    <w:rPr>
                      <w:rFonts w:hint="eastAsia"/>
                      <w:color w:val="auto"/>
                      <w:lang w:val="en-US" w:eastAsia="zh-CN"/>
                    </w:rPr>
                    <w:t>1</w:t>
                  </w:r>
                </w:p>
              </w:tc>
              <w:tc>
                <w:tcPr>
                  <w:tcW w:w="627" w:type="dxa"/>
                  <w:tcBorders>
                    <w:bottom w:val="single" w:color="auto" w:sz="12" w:space="0"/>
                  </w:tcBorders>
                  <w:noWrap w:val="0"/>
                  <w:tcMar>
                    <w:left w:w="0" w:type="dxa"/>
                    <w:right w:w="0" w:type="dxa"/>
                  </w:tcMar>
                  <w:vAlign w:val="center"/>
                </w:tcPr>
                <w:p>
                  <w:pPr>
                    <w:jc w:val="center"/>
                    <w:rPr>
                      <w:rFonts w:hint="default" w:eastAsia="宋体"/>
                      <w:color w:val="auto"/>
                      <w:lang w:val="en-US" w:eastAsia="zh-CN"/>
                    </w:rPr>
                  </w:pPr>
                  <w:r>
                    <w:rPr>
                      <w:rFonts w:hint="eastAsia"/>
                      <w:color w:val="auto"/>
                      <w:lang w:val="en-US" w:eastAsia="zh-CN"/>
                    </w:rPr>
                    <w:t>0.3</w:t>
                  </w:r>
                </w:p>
              </w:tc>
              <w:tc>
                <w:tcPr>
                  <w:tcW w:w="521" w:type="dxa"/>
                  <w:tcBorders>
                    <w:bottom w:val="single" w:color="auto" w:sz="12" w:space="0"/>
                  </w:tcBorders>
                  <w:noWrap w:val="0"/>
                  <w:tcMar>
                    <w:left w:w="0" w:type="dxa"/>
                    <w:right w:w="0" w:type="dxa"/>
                  </w:tcMar>
                  <w:vAlign w:val="center"/>
                </w:tcPr>
                <w:p>
                  <w:pPr>
                    <w:jc w:val="center"/>
                    <w:rPr>
                      <w:rFonts w:hint="eastAsia" w:eastAsia="宋体"/>
                      <w:color w:val="auto"/>
                      <w:lang w:eastAsia="zh-CN"/>
                    </w:rPr>
                  </w:pPr>
                  <w:r>
                    <w:rPr>
                      <w:rFonts w:hint="eastAsia"/>
                      <w:color w:val="auto"/>
                      <w:lang w:val="en-US" w:eastAsia="zh-CN"/>
                    </w:rPr>
                    <w:t>1</w:t>
                  </w:r>
                </w:p>
              </w:tc>
              <w:tc>
                <w:tcPr>
                  <w:tcW w:w="624" w:type="dxa"/>
                  <w:tcBorders>
                    <w:bottom w:val="single" w:color="auto" w:sz="12" w:space="0"/>
                  </w:tcBorders>
                  <w:noWrap w:val="0"/>
                  <w:tcMar>
                    <w:left w:w="0" w:type="dxa"/>
                    <w:right w:w="0" w:type="dxa"/>
                  </w:tcMar>
                  <w:vAlign w:val="center"/>
                </w:tcPr>
                <w:p>
                  <w:pPr>
                    <w:jc w:val="center"/>
                    <w:rPr>
                      <w:rFonts w:hint="default" w:eastAsia="宋体"/>
                      <w:color w:val="auto"/>
                      <w:lang w:val="en-US" w:eastAsia="zh-CN"/>
                    </w:rPr>
                  </w:pPr>
                  <w:r>
                    <w:rPr>
                      <w:rFonts w:hint="eastAsia"/>
                      <w:color w:val="auto"/>
                      <w:lang w:val="en-US" w:eastAsia="zh-CN"/>
                    </w:rPr>
                    <w:t>0.3</w:t>
                  </w:r>
                </w:p>
              </w:tc>
              <w:tc>
                <w:tcPr>
                  <w:tcW w:w="552" w:type="dxa"/>
                  <w:tcBorders>
                    <w:bottom w:val="single" w:color="auto" w:sz="12" w:space="0"/>
                  </w:tcBorders>
                  <w:noWrap w:val="0"/>
                  <w:tcMar>
                    <w:left w:w="0" w:type="dxa"/>
                    <w:right w:w="0" w:type="dxa"/>
                  </w:tcMar>
                  <w:vAlign w:val="center"/>
                </w:tcPr>
                <w:p>
                  <w:pPr>
                    <w:jc w:val="center"/>
                    <w:rPr>
                      <w:rFonts w:hint="eastAsia"/>
                      <w:color w:val="auto"/>
                    </w:rPr>
                  </w:pPr>
                  <w:r>
                    <w:rPr>
                      <w:rFonts w:hint="eastAsia"/>
                      <w:color w:val="auto"/>
                    </w:rPr>
                    <w:t>0</w:t>
                  </w:r>
                </w:p>
              </w:tc>
              <w:tc>
                <w:tcPr>
                  <w:tcW w:w="576" w:type="dxa"/>
                  <w:tcBorders>
                    <w:bottom w:val="single" w:color="auto" w:sz="12" w:space="0"/>
                  </w:tcBorders>
                  <w:noWrap w:val="0"/>
                  <w:tcMar>
                    <w:left w:w="0" w:type="dxa"/>
                    <w:right w:w="0" w:type="dxa"/>
                  </w:tcMar>
                  <w:vAlign w:val="center"/>
                </w:tcPr>
                <w:p>
                  <w:pPr>
                    <w:jc w:val="center"/>
                    <w:rPr>
                      <w:rFonts w:hint="eastAsia"/>
                      <w:color w:val="auto"/>
                    </w:rPr>
                  </w:pPr>
                  <w:r>
                    <w:rPr>
                      <w:rFonts w:hint="eastAsia"/>
                      <w:color w:val="auto"/>
                    </w:rPr>
                    <w:t>0</w:t>
                  </w:r>
                </w:p>
              </w:tc>
              <w:tc>
                <w:tcPr>
                  <w:tcW w:w="523" w:type="dxa"/>
                  <w:tcBorders>
                    <w:bottom w:val="single" w:color="auto" w:sz="12" w:space="0"/>
                  </w:tcBorders>
                  <w:noWrap w:val="0"/>
                  <w:tcMar>
                    <w:left w:w="0" w:type="dxa"/>
                    <w:right w:w="0" w:type="dxa"/>
                  </w:tcMar>
                  <w:vAlign w:val="center"/>
                </w:tcPr>
                <w:p>
                  <w:pPr>
                    <w:jc w:val="center"/>
                    <w:rPr>
                      <w:rFonts w:hint="default" w:eastAsia="宋体"/>
                      <w:color w:val="auto"/>
                      <w:lang w:val="en-US" w:eastAsia="zh-CN"/>
                    </w:rPr>
                  </w:pPr>
                  <w:r>
                    <w:rPr>
                      <w:rFonts w:hint="eastAsia"/>
                      <w:color w:val="auto"/>
                      <w:lang w:val="en-US" w:eastAsia="zh-CN"/>
                    </w:rPr>
                    <w:t>365</w:t>
                  </w:r>
                </w:p>
              </w:tc>
              <w:tc>
                <w:tcPr>
                  <w:tcW w:w="603" w:type="dxa"/>
                  <w:tcBorders>
                    <w:bottom w:val="single" w:color="auto" w:sz="12" w:space="0"/>
                  </w:tcBorders>
                  <w:noWrap w:val="0"/>
                  <w:vAlign w:val="center"/>
                </w:tcPr>
                <w:p>
                  <w:pPr>
                    <w:jc w:val="center"/>
                    <w:rPr>
                      <w:rFonts w:hint="default" w:eastAsia="宋体"/>
                      <w:color w:val="auto"/>
                      <w:lang w:val="en-US" w:eastAsia="zh-CN"/>
                    </w:rPr>
                  </w:pPr>
                  <w:r>
                    <w:rPr>
                      <w:rFonts w:hint="default"/>
                      <w:color w:val="auto"/>
                    </w:rPr>
                    <w:t>3</w:t>
                  </w:r>
                  <w:r>
                    <w:rPr>
                      <w:rFonts w:hint="eastAsia"/>
                      <w:color w:val="auto"/>
                      <w:lang w:val="en-US" w:eastAsia="zh-CN"/>
                    </w:rPr>
                    <w:t>47</w:t>
                  </w:r>
                </w:p>
              </w:tc>
              <w:tc>
                <w:tcPr>
                  <w:tcW w:w="444" w:type="dxa"/>
                  <w:tcBorders>
                    <w:bottom w:val="single" w:color="auto" w:sz="12" w:space="0"/>
                    <w:right w:val="nil"/>
                  </w:tcBorders>
                  <w:noWrap w:val="0"/>
                  <w:tcMar>
                    <w:left w:w="6" w:type="dxa"/>
                    <w:right w:w="6" w:type="dxa"/>
                  </w:tcMar>
                  <w:vAlign w:val="center"/>
                </w:tcPr>
                <w:p>
                  <w:pPr>
                    <w:jc w:val="center"/>
                    <w:rPr>
                      <w:rFonts w:hint="default" w:eastAsia="宋体"/>
                      <w:color w:val="auto"/>
                      <w:lang w:eastAsia="zh-CN"/>
                    </w:rPr>
                  </w:pPr>
                  <w:r>
                    <w:rPr>
                      <w:rFonts w:hint="eastAsia"/>
                      <w:color w:val="auto"/>
                      <w:lang w:val="en-US" w:eastAsia="zh-CN"/>
                    </w:rPr>
                    <w:t>95</w:t>
                  </w:r>
                  <w:r>
                    <w:rPr>
                      <w:rFonts w:hint="default"/>
                      <w:color w:val="auto"/>
                      <w:lang w:eastAsia="zh-CN"/>
                    </w:rPr>
                    <w:t>.1</w:t>
                  </w:r>
                </w:p>
              </w:tc>
            </w:tr>
          </w:tbl>
          <w:p>
            <w:pPr>
              <w:spacing w:line="360" w:lineRule="auto"/>
              <w:ind w:firstLine="1687" w:firstLineChars="800"/>
              <w:jc w:val="both"/>
              <w:rPr>
                <w:rFonts w:hint="default" w:ascii="Times New Roman" w:hAnsi="Times New Roman" w:eastAsia="宋体" w:cs="Times New Roman"/>
                <w:b/>
                <w:color w:val="000000"/>
                <w:sz w:val="21"/>
                <w:szCs w:val="21"/>
                <w:lang w:val="en-US" w:eastAsia="zh-CN"/>
              </w:rPr>
            </w:pPr>
            <w:r>
              <w:rPr>
                <w:rFonts w:hint="default" w:ascii="Times New Roman" w:hAnsi="Times New Roman" w:eastAsia="宋体" w:cs="Times New Roman"/>
                <w:b/>
                <w:color w:val="000000"/>
                <w:sz w:val="21"/>
                <w:szCs w:val="21"/>
                <w:lang w:val="en-US" w:eastAsia="zh-CN"/>
              </w:rPr>
              <w:t>表 3-</w:t>
            </w:r>
            <w:r>
              <w:rPr>
                <w:rFonts w:hint="eastAsia" w:ascii="Times New Roman" w:hAnsi="Times New Roman" w:eastAsia="宋体" w:cs="Times New Roman"/>
                <w:b/>
                <w:color w:val="000000"/>
                <w:sz w:val="21"/>
                <w:szCs w:val="21"/>
                <w:lang w:val="en-US" w:eastAsia="zh-CN"/>
              </w:rPr>
              <w:t>3</w:t>
            </w:r>
            <w:r>
              <w:rPr>
                <w:rFonts w:hint="default" w:ascii="Times New Roman" w:hAnsi="Times New Roman" w:eastAsia="宋体" w:cs="Times New Roman"/>
                <w:b/>
                <w:color w:val="000000"/>
                <w:sz w:val="21"/>
                <w:szCs w:val="21"/>
                <w:lang w:val="en-US" w:eastAsia="zh-CN"/>
              </w:rPr>
              <w:t xml:space="preserve"> </w:t>
            </w:r>
            <w:r>
              <w:rPr>
                <w:rFonts w:hint="eastAsia"/>
                <w:b/>
                <w:color w:val="auto"/>
                <w:kern w:val="0"/>
                <w:sz w:val="24"/>
                <w:szCs w:val="24"/>
              </w:rPr>
              <w:t>环境空气主</w:t>
            </w:r>
            <w:r>
              <w:rPr>
                <w:rFonts w:hint="eastAsia"/>
                <w:b/>
                <w:color w:val="auto"/>
                <w:kern w:val="0"/>
                <w:sz w:val="24"/>
                <w:szCs w:val="24"/>
                <w:lang w:eastAsia="zh-CN"/>
              </w:rPr>
              <w:t>要</w:t>
            </w:r>
            <w:r>
              <w:rPr>
                <w:rFonts w:hint="eastAsia"/>
                <w:b/>
                <w:color w:val="auto"/>
                <w:kern w:val="0"/>
                <w:sz w:val="24"/>
                <w:szCs w:val="24"/>
              </w:rPr>
              <w:t>污染物年均浓度对比变化表</w:t>
            </w:r>
          </w:p>
          <w:tbl>
            <w:tblPr>
              <w:tblStyle w:val="30"/>
              <w:tblW w:w="873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429"/>
              <w:gridCol w:w="3315"/>
              <w:gridCol w:w="29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34" w:hRule="atLeast"/>
                <w:tblHeader/>
                <w:jc w:val="center"/>
              </w:trPr>
              <w:tc>
                <w:tcPr>
                  <w:tcW w:w="2429" w:type="dxa"/>
                  <w:vMerge w:val="restart"/>
                  <w:noWrap w:val="0"/>
                  <w:vAlign w:val="center"/>
                </w:tcPr>
                <w:p>
                  <w:pPr>
                    <w:jc w:val="center"/>
                    <w:rPr>
                      <w:color w:val="auto"/>
                      <w:sz w:val="18"/>
                      <w:szCs w:val="18"/>
                    </w:rPr>
                  </w:pPr>
                  <w:r>
                    <w:rPr>
                      <w:color w:val="auto"/>
                      <w:sz w:val="18"/>
                      <w:szCs w:val="18"/>
                    </w:rPr>
                    <w:t>监测项目</w:t>
                  </w:r>
                </w:p>
              </w:tc>
              <w:tc>
                <w:tcPr>
                  <w:tcW w:w="6301" w:type="dxa"/>
                  <w:gridSpan w:val="2"/>
                  <w:noWrap w:val="0"/>
                  <w:vAlign w:val="center"/>
                </w:tcPr>
                <w:p>
                  <w:pPr>
                    <w:jc w:val="center"/>
                    <w:rPr>
                      <w:color w:val="auto"/>
                      <w:sz w:val="18"/>
                      <w:szCs w:val="18"/>
                    </w:rPr>
                  </w:pPr>
                  <w:r>
                    <w:rPr>
                      <w:color w:val="auto"/>
                      <w:sz w:val="18"/>
                      <w:szCs w:val="18"/>
                    </w:rPr>
                    <w:t>平   均   浓   度   值</w:t>
                  </w:r>
                </w:p>
                <w:p>
                  <w:pPr>
                    <w:jc w:val="center"/>
                    <w:rPr>
                      <w:color w:val="auto"/>
                      <w:sz w:val="18"/>
                      <w:szCs w:val="18"/>
                    </w:rPr>
                  </w:pPr>
                  <w:r>
                    <w:rPr>
                      <w:color w:val="auto"/>
                      <w:sz w:val="18"/>
                      <w:szCs w:val="18"/>
                    </w:rPr>
                    <w:t>（μg/m</w:t>
                  </w:r>
                  <w:r>
                    <w:rPr>
                      <w:color w:val="auto"/>
                      <w:sz w:val="18"/>
                      <w:szCs w:val="18"/>
                      <w:vertAlign w:val="superscript"/>
                    </w:rPr>
                    <w:t>3</w:t>
                  </w:r>
                  <w:r>
                    <w:rPr>
                      <w:color w:val="auto"/>
                      <w:sz w:val="18"/>
                      <w:szCs w:val="18"/>
                    </w:rPr>
                    <w:t>，注：CO单位为mg/ m</w:t>
                  </w:r>
                  <w:r>
                    <w:rPr>
                      <w:color w:val="auto"/>
                      <w:sz w:val="18"/>
                      <w:szCs w:val="18"/>
                      <w:vertAlign w:val="superscript"/>
                    </w:rPr>
                    <w:t>3</w:t>
                  </w:r>
                  <w:r>
                    <w:rPr>
                      <w:color w:val="auto"/>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91" w:hRule="atLeast"/>
                <w:tblHeader/>
                <w:jc w:val="center"/>
              </w:trPr>
              <w:tc>
                <w:tcPr>
                  <w:tcW w:w="2429" w:type="dxa"/>
                  <w:vMerge w:val="continue"/>
                  <w:noWrap w:val="0"/>
                  <w:vAlign w:val="center"/>
                </w:tcPr>
                <w:p>
                  <w:pPr>
                    <w:jc w:val="center"/>
                    <w:rPr>
                      <w:color w:val="auto"/>
                      <w:sz w:val="18"/>
                      <w:szCs w:val="18"/>
                    </w:rPr>
                  </w:pPr>
                </w:p>
              </w:tc>
              <w:tc>
                <w:tcPr>
                  <w:tcW w:w="6301" w:type="dxa"/>
                  <w:gridSpan w:val="2"/>
                  <w:tcBorders>
                    <w:top w:val="single" w:color="auto" w:sz="4" w:space="0"/>
                  </w:tcBorders>
                  <w:noWrap w:val="0"/>
                  <w:vAlign w:val="center"/>
                </w:tcPr>
                <w:p>
                  <w:pPr>
                    <w:jc w:val="center"/>
                    <w:rPr>
                      <w:color w:val="auto"/>
                      <w:sz w:val="18"/>
                      <w:szCs w:val="18"/>
                    </w:rPr>
                  </w:pPr>
                  <w:r>
                    <w:rPr>
                      <w:rFonts w:hint="eastAsia"/>
                      <w:color w:val="auto"/>
                      <w:sz w:val="18"/>
                      <w:szCs w:val="18"/>
                    </w:rPr>
                    <w:t>年</w:t>
                  </w:r>
                  <w:r>
                    <w:rPr>
                      <w:color w:val="auto"/>
                      <w:sz w:val="18"/>
                      <w:szCs w:val="18"/>
                    </w:rPr>
                    <w:t>均值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57" w:hRule="atLeast"/>
                <w:tblHeader/>
                <w:jc w:val="center"/>
              </w:trPr>
              <w:tc>
                <w:tcPr>
                  <w:tcW w:w="2429" w:type="dxa"/>
                  <w:vMerge w:val="continue"/>
                  <w:noWrap w:val="0"/>
                  <w:vAlign w:val="center"/>
                </w:tcPr>
                <w:p>
                  <w:pPr>
                    <w:jc w:val="center"/>
                    <w:rPr>
                      <w:color w:val="auto"/>
                      <w:sz w:val="18"/>
                      <w:szCs w:val="18"/>
                    </w:rPr>
                  </w:pPr>
                </w:p>
              </w:tc>
              <w:tc>
                <w:tcPr>
                  <w:tcW w:w="3315" w:type="dxa"/>
                  <w:noWrap w:val="0"/>
                  <w:vAlign w:val="center"/>
                </w:tcPr>
                <w:p>
                  <w:pPr>
                    <w:jc w:val="center"/>
                    <w:rPr>
                      <w:color w:val="auto"/>
                      <w:sz w:val="18"/>
                      <w:szCs w:val="18"/>
                    </w:rPr>
                  </w:pPr>
                  <w:r>
                    <w:rPr>
                      <w:color w:val="auto"/>
                      <w:sz w:val="18"/>
                      <w:szCs w:val="18"/>
                    </w:rPr>
                    <w:t>202</w:t>
                  </w:r>
                  <w:r>
                    <w:rPr>
                      <w:rFonts w:hint="default"/>
                      <w:color w:val="auto"/>
                      <w:sz w:val="18"/>
                      <w:szCs w:val="18"/>
                      <w:lang w:eastAsia="zh-CN"/>
                    </w:rPr>
                    <w:t>2</w:t>
                  </w:r>
                  <w:r>
                    <w:rPr>
                      <w:color w:val="auto"/>
                      <w:sz w:val="18"/>
                      <w:szCs w:val="18"/>
                    </w:rPr>
                    <w:t>年</w:t>
                  </w:r>
                </w:p>
              </w:tc>
              <w:tc>
                <w:tcPr>
                  <w:tcW w:w="2986" w:type="dxa"/>
                  <w:noWrap w:val="0"/>
                  <w:vAlign w:val="center"/>
                </w:tcPr>
                <w:p>
                  <w:pPr>
                    <w:jc w:val="center"/>
                    <w:rPr>
                      <w:color w:val="auto"/>
                      <w:sz w:val="18"/>
                      <w:szCs w:val="18"/>
                    </w:rPr>
                  </w:pPr>
                  <w:r>
                    <w:rPr>
                      <w:color w:val="auto"/>
                      <w:sz w:val="18"/>
                      <w:szCs w:val="18"/>
                    </w:rPr>
                    <w:t>202</w:t>
                  </w:r>
                  <w:r>
                    <w:rPr>
                      <w:rFonts w:hint="eastAsia"/>
                      <w:color w:val="auto"/>
                      <w:sz w:val="18"/>
                      <w:szCs w:val="18"/>
                      <w:lang w:val="en-US" w:eastAsia="zh-CN"/>
                    </w:rPr>
                    <w:t>3</w:t>
                  </w:r>
                  <w:r>
                    <w:rPr>
                      <w:color w:val="auto"/>
                      <w:sz w:val="18"/>
                      <w:szCs w:val="18"/>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78" w:hRule="atLeast"/>
                <w:jc w:val="center"/>
              </w:trPr>
              <w:tc>
                <w:tcPr>
                  <w:tcW w:w="2429" w:type="dxa"/>
                  <w:noWrap w:val="0"/>
                  <w:vAlign w:val="center"/>
                </w:tcPr>
                <w:p>
                  <w:pPr>
                    <w:jc w:val="center"/>
                    <w:rPr>
                      <w:color w:val="auto"/>
                      <w:sz w:val="18"/>
                      <w:szCs w:val="18"/>
                    </w:rPr>
                  </w:pPr>
                  <w:r>
                    <w:rPr>
                      <w:color w:val="auto"/>
                      <w:sz w:val="18"/>
                      <w:szCs w:val="18"/>
                    </w:rPr>
                    <w:t>二氧化硫(年平均)</w:t>
                  </w:r>
                </w:p>
              </w:tc>
              <w:tc>
                <w:tcPr>
                  <w:tcW w:w="3315" w:type="dxa"/>
                  <w:noWrap w:val="0"/>
                  <w:vAlign w:val="center"/>
                </w:tcPr>
                <w:p>
                  <w:pPr>
                    <w:jc w:val="center"/>
                    <w:rPr>
                      <w:rFonts w:hint="eastAsia"/>
                      <w:color w:val="auto"/>
                      <w:sz w:val="18"/>
                      <w:szCs w:val="18"/>
                      <w:lang w:val="en-US" w:eastAsia="zh-CN"/>
                    </w:rPr>
                  </w:pPr>
                  <w:r>
                    <w:rPr>
                      <w:rFonts w:hint="default"/>
                      <w:color w:val="auto"/>
                      <w:sz w:val="18"/>
                      <w:szCs w:val="18"/>
                      <w:lang w:eastAsia="zh-CN"/>
                    </w:rPr>
                    <w:t>8.8</w:t>
                  </w:r>
                </w:p>
              </w:tc>
              <w:tc>
                <w:tcPr>
                  <w:tcW w:w="2986" w:type="dxa"/>
                  <w:noWrap w:val="0"/>
                  <w:vAlign w:val="center"/>
                </w:tcPr>
                <w:p>
                  <w:pPr>
                    <w:jc w:val="center"/>
                    <w:rPr>
                      <w:rFonts w:hint="default"/>
                      <w:color w:val="auto"/>
                      <w:sz w:val="18"/>
                      <w:szCs w:val="18"/>
                      <w:lang w:val="en-US" w:eastAsia="zh-CN"/>
                    </w:rPr>
                  </w:pPr>
                  <w:r>
                    <w:rPr>
                      <w:rFonts w:hint="eastAsia"/>
                      <w:color w:val="auto"/>
                      <w:sz w:val="18"/>
                      <w:szCs w:val="18"/>
                      <w:lang w:val="en-US" w:eastAsia="zh-CN"/>
                    </w:rPr>
                    <w:t>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78" w:hRule="atLeast"/>
                <w:jc w:val="center"/>
              </w:trPr>
              <w:tc>
                <w:tcPr>
                  <w:tcW w:w="2429" w:type="dxa"/>
                  <w:noWrap w:val="0"/>
                  <w:vAlign w:val="center"/>
                </w:tcPr>
                <w:p>
                  <w:pPr>
                    <w:jc w:val="center"/>
                    <w:rPr>
                      <w:color w:val="auto"/>
                      <w:sz w:val="18"/>
                      <w:szCs w:val="18"/>
                    </w:rPr>
                  </w:pPr>
                  <w:r>
                    <w:rPr>
                      <w:color w:val="auto"/>
                      <w:sz w:val="18"/>
                      <w:szCs w:val="18"/>
                    </w:rPr>
                    <w:t>二氧化氮(年平均)</w:t>
                  </w:r>
                </w:p>
              </w:tc>
              <w:tc>
                <w:tcPr>
                  <w:tcW w:w="3315" w:type="dxa"/>
                  <w:noWrap w:val="0"/>
                  <w:vAlign w:val="center"/>
                </w:tcPr>
                <w:p>
                  <w:pPr>
                    <w:jc w:val="center"/>
                    <w:rPr>
                      <w:rFonts w:hint="default"/>
                      <w:color w:val="auto"/>
                      <w:sz w:val="18"/>
                      <w:szCs w:val="18"/>
                      <w:lang w:val="en-US" w:eastAsia="zh-CN"/>
                    </w:rPr>
                  </w:pPr>
                  <w:r>
                    <w:rPr>
                      <w:rFonts w:hint="default"/>
                      <w:color w:val="auto"/>
                      <w:sz w:val="18"/>
                      <w:szCs w:val="18"/>
                      <w:lang w:eastAsia="zh-CN"/>
                    </w:rPr>
                    <w:t>24.1</w:t>
                  </w:r>
                </w:p>
              </w:tc>
              <w:tc>
                <w:tcPr>
                  <w:tcW w:w="2986" w:type="dxa"/>
                  <w:noWrap w:val="0"/>
                  <w:vAlign w:val="center"/>
                </w:tcPr>
                <w:p>
                  <w:pPr>
                    <w:jc w:val="center"/>
                    <w:rPr>
                      <w:rFonts w:hint="default"/>
                      <w:color w:val="auto"/>
                      <w:sz w:val="18"/>
                      <w:szCs w:val="18"/>
                      <w:lang w:val="en-US" w:eastAsia="zh-CN"/>
                    </w:rPr>
                  </w:pPr>
                  <w:r>
                    <w:rPr>
                      <w:rFonts w:hint="eastAsia"/>
                      <w:color w:val="auto"/>
                      <w:sz w:val="18"/>
                      <w:szCs w:val="18"/>
                      <w:lang w:val="en-US" w:eastAsia="zh-CN"/>
                    </w:rPr>
                    <w:t>22.9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78" w:hRule="atLeast"/>
                <w:jc w:val="center"/>
              </w:trPr>
              <w:tc>
                <w:tcPr>
                  <w:tcW w:w="2429" w:type="dxa"/>
                  <w:noWrap w:val="0"/>
                  <w:vAlign w:val="center"/>
                </w:tcPr>
                <w:p>
                  <w:pPr>
                    <w:jc w:val="center"/>
                    <w:rPr>
                      <w:color w:val="auto"/>
                      <w:sz w:val="18"/>
                      <w:szCs w:val="18"/>
                    </w:rPr>
                  </w:pPr>
                  <w:r>
                    <w:rPr>
                      <w:color w:val="auto"/>
                      <w:sz w:val="18"/>
                      <w:szCs w:val="18"/>
                    </w:rPr>
                    <w:t>可吸入颗粒物(年平均)</w:t>
                  </w:r>
                </w:p>
              </w:tc>
              <w:tc>
                <w:tcPr>
                  <w:tcW w:w="3315" w:type="dxa"/>
                  <w:noWrap w:val="0"/>
                  <w:vAlign w:val="center"/>
                </w:tcPr>
                <w:p>
                  <w:pPr>
                    <w:jc w:val="center"/>
                    <w:rPr>
                      <w:rFonts w:hint="eastAsia"/>
                      <w:color w:val="auto"/>
                      <w:sz w:val="18"/>
                      <w:szCs w:val="18"/>
                      <w:lang w:val="en-US" w:eastAsia="zh-CN"/>
                    </w:rPr>
                  </w:pPr>
                  <w:r>
                    <w:rPr>
                      <w:rFonts w:hint="default"/>
                      <w:color w:val="auto"/>
                      <w:sz w:val="18"/>
                      <w:szCs w:val="18"/>
                      <w:lang w:eastAsia="zh-CN"/>
                    </w:rPr>
                    <w:t>41.3</w:t>
                  </w:r>
                </w:p>
              </w:tc>
              <w:tc>
                <w:tcPr>
                  <w:tcW w:w="2986" w:type="dxa"/>
                  <w:noWrap w:val="0"/>
                  <w:vAlign w:val="center"/>
                </w:tcPr>
                <w:p>
                  <w:pPr>
                    <w:jc w:val="center"/>
                    <w:rPr>
                      <w:rFonts w:hint="default"/>
                      <w:color w:val="auto"/>
                      <w:sz w:val="18"/>
                      <w:szCs w:val="18"/>
                      <w:lang w:val="en-US" w:eastAsia="zh-CN"/>
                    </w:rPr>
                  </w:pPr>
                  <w:r>
                    <w:rPr>
                      <w:rFonts w:hint="eastAsia"/>
                      <w:color w:val="auto"/>
                      <w:sz w:val="18"/>
                      <w:szCs w:val="18"/>
                      <w:lang w:val="en-US" w:eastAsia="zh-CN"/>
                    </w:rPr>
                    <w:t>46.4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78" w:hRule="atLeast"/>
                <w:jc w:val="center"/>
              </w:trPr>
              <w:tc>
                <w:tcPr>
                  <w:tcW w:w="2429" w:type="dxa"/>
                  <w:noWrap w:val="0"/>
                  <w:vAlign w:val="center"/>
                </w:tcPr>
                <w:p>
                  <w:pPr>
                    <w:jc w:val="center"/>
                    <w:rPr>
                      <w:color w:val="auto"/>
                      <w:sz w:val="18"/>
                      <w:szCs w:val="18"/>
                    </w:rPr>
                  </w:pPr>
                  <w:r>
                    <w:rPr>
                      <w:color w:val="auto"/>
                      <w:sz w:val="18"/>
                      <w:szCs w:val="18"/>
                    </w:rPr>
                    <w:t>一氧化碳(</w:t>
                  </w:r>
                  <w:r>
                    <w:rPr>
                      <w:rFonts w:hint="eastAsia"/>
                      <w:color w:val="auto"/>
                      <w:sz w:val="18"/>
                      <w:szCs w:val="18"/>
                    </w:rPr>
                    <w:t>第95百分位数</w:t>
                  </w:r>
                  <w:r>
                    <w:rPr>
                      <w:color w:val="auto"/>
                      <w:sz w:val="18"/>
                      <w:szCs w:val="18"/>
                    </w:rPr>
                    <w:t>)</w:t>
                  </w:r>
                </w:p>
              </w:tc>
              <w:tc>
                <w:tcPr>
                  <w:tcW w:w="3315" w:type="dxa"/>
                  <w:noWrap w:val="0"/>
                  <w:vAlign w:val="center"/>
                </w:tcPr>
                <w:p>
                  <w:pPr>
                    <w:jc w:val="center"/>
                    <w:rPr>
                      <w:rFonts w:hint="eastAsia"/>
                      <w:color w:val="auto"/>
                      <w:sz w:val="18"/>
                      <w:szCs w:val="18"/>
                      <w:lang w:val="en-US" w:eastAsia="zh-CN"/>
                    </w:rPr>
                  </w:pPr>
                  <w:r>
                    <w:rPr>
                      <w:rFonts w:hint="default"/>
                      <w:color w:val="auto"/>
                      <w:sz w:val="18"/>
                      <w:szCs w:val="18"/>
                      <w:lang w:eastAsia="zh-CN"/>
                    </w:rPr>
                    <w:t>1.2</w:t>
                  </w:r>
                </w:p>
              </w:tc>
              <w:tc>
                <w:tcPr>
                  <w:tcW w:w="2986" w:type="dxa"/>
                  <w:noWrap w:val="0"/>
                  <w:vAlign w:val="center"/>
                </w:tcPr>
                <w:p>
                  <w:pPr>
                    <w:jc w:val="center"/>
                    <w:rPr>
                      <w:rFonts w:hint="default"/>
                      <w:color w:val="auto"/>
                      <w:sz w:val="18"/>
                      <w:szCs w:val="18"/>
                      <w:lang w:eastAsia="zh-CN"/>
                    </w:rPr>
                  </w:pPr>
                  <w:r>
                    <w:rPr>
                      <w:rFonts w:hint="default"/>
                      <w:color w:val="auto"/>
                      <w:sz w:val="18"/>
                      <w:szCs w:val="18"/>
                      <w:lang w:eastAsia="zh-CN"/>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78" w:hRule="atLeast"/>
                <w:jc w:val="center"/>
              </w:trPr>
              <w:tc>
                <w:tcPr>
                  <w:tcW w:w="2429" w:type="dxa"/>
                  <w:noWrap w:val="0"/>
                  <w:vAlign w:val="center"/>
                </w:tcPr>
                <w:p>
                  <w:pPr>
                    <w:jc w:val="center"/>
                    <w:rPr>
                      <w:color w:val="auto"/>
                      <w:sz w:val="18"/>
                      <w:szCs w:val="18"/>
                    </w:rPr>
                  </w:pPr>
                  <w:r>
                    <w:rPr>
                      <w:color w:val="auto"/>
                      <w:sz w:val="18"/>
                      <w:szCs w:val="18"/>
                    </w:rPr>
                    <w:t>臭氧(</w:t>
                  </w:r>
                  <w:r>
                    <w:rPr>
                      <w:rFonts w:hint="eastAsia"/>
                      <w:color w:val="auto"/>
                      <w:sz w:val="18"/>
                      <w:szCs w:val="18"/>
                    </w:rPr>
                    <w:t>第90百分位数</w:t>
                  </w:r>
                  <w:r>
                    <w:rPr>
                      <w:color w:val="auto"/>
                      <w:sz w:val="18"/>
                      <w:szCs w:val="18"/>
                    </w:rPr>
                    <w:t>)</w:t>
                  </w:r>
                </w:p>
              </w:tc>
              <w:tc>
                <w:tcPr>
                  <w:tcW w:w="3315" w:type="dxa"/>
                  <w:noWrap w:val="0"/>
                  <w:vAlign w:val="center"/>
                </w:tcPr>
                <w:p>
                  <w:pPr>
                    <w:jc w:val="center"/>
                    <w:rPr>
                      <w:rFonts w:hint="default"/>
                      <w:color w:val="auto"/>
                      <w:sz w:val="18"/>
                      <w:szCs w:val="18"/>
                      <w:lang w:val="en-US" w:eastAsia="zh-CN"/>
                    </w:rPr>
                  </w:pPr>
                  <w:r>
                    <w:rPr>
                      <w:rFonts w:hint="default"/>
                      <w:color w:val="auto"/>
                      <w:sz w:val="18"/>
                      <w:szCs w:val="18"/>
                      <w:lang w:eastAsia="zh-CN"/>
                    </w:rPr>
                    <w:t>122.6</w:t>
                  </w:r>
                </w:p>
              </w:tc>
              <w:tc>
                <w:tcPr>
                  <w:tcW w:w="2986" w:type="dxa"/>
                  <w:noWrap w:val="0"/>
                  <w:vAlign w:val="center"/>
                </w:tcPr>
                <w:p>
                  <w:pPr>
                    <w:jc w:val="center"/>
                    <w:rPr>
                      <w:rFonts w:hint="default"/>
                      <w:color w:val="auto"/>
                      <w:sz w:val="18"/>
                      <w:szCs w:val="18"/>
                      <w:lang w:val="en-US" w:eastAsia="zh-CN"/>
                    </w:rPr>
                  </w:pPr>
                  <w:r>
                    <w:rPr>
                      <w:rFonts w:hint="eastAsia"/>
                      <w:color w:val="auto"/>
                      <w:sz w:val="18"/>
                      <w:szCs w:val="18"/>
                      <w:lang w:val="en-US" w:eastAsia="zh-CN"/>
                    </w:rPr>
                    <w:t>124.6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78" w:hRule="atLeast"/>
                <w:jc w:val="center"/>
              </w:trPr>
              <w:tc>
                <w:tcPr>
                  <w:tcW w:w="2429" w:type="dxa"/>
                  <w:noWrap w:val="0"/>
                  <w:vAlign w:val="center"/>
                </w:tcPr>
                <w:p>
                  <w:pPr>
                    <w:jc w:val="center"/>
                    <w:rPr>
                      <w:color w:val="auto"/>
                      <w:sz w:val="18"/>
                      <w:szCs w:val="18"/>
                    </w:rPr>
                  </w:pPr>
                  <w:r>
                    <w:rPr>
                      <w:color w:val="auto"/>
                      <w:sz w:val="18"/>
                      <w:szCs w:val="18"/>
                    </w:rPr>
                    <w:t>细颗粒物(年平均)</w:t>
                  </w:r>
                </w:p>
              </w:tc>
              <w:tc>
                <w:tcPr>
                  <w:tcW w:w="3315" w:type="dxa"/>
                  <w:noWrap w:val="0"/>
                  <w:vAlign w:val="center"/>
                </w:tcPr>
                <w:p>
                  <w:pPr>
                    <w:jc w:val="center"/>
                    <w:rPr>
                      <w:rFonts w:hint="default"/>
                      <w:color w:val="auto"/>
                      <w:sz w:val="18"/>
                      <w:szCs w:val="18"/>
                      <w:lang w:val="en-US" w:eastAsia="zh-CN"/>
                    </w:rPr>
                  </w:pPr>
                  <w:r>
                    <w:rPr>
                      <w:rFonts w:hint="default"/>
                      <w:color w:val="auto"/>
                      <w:sz w:val="18"/>
                      <w:szCs w:val="18"/>
                      <w:lang w:eastAsia="zh-CN"/>
                    </w:rPr>
                    <w:t>24.5</w:t>
                  </w:r>
                </w:p>
              </w:tc>
              <w:tc>
                <w:tcPr>
                  <w:tcW w:w="2986" w:type="dxa"/>
                  <w:noWrap w:val="0"/>
                  <w:vAlign w:val="center"/>
                </w:tcPr>
                <w:p>
                  <w:pPr>
                    <w:jc w:val="center"/>
                    <w:rPr>
                      <w:rFonts w:hint="default"/>
                      <w:color w:val="auto"/>
                      <w:sz w:val="18"/>
                      <w:szCs w:val="18"/>
                      <w:lang w:val="en-US" w:eastAsia="zh-CN"/>
                    </w:rPr>
                  </w:pPr>
                  <w:r>
                    <w:rPr>
                      <w:rFonts w:hint="eastAsia"/>
                      <w:color w:val="auto"/>
                      <w:sz w:val="18"/>
                      <w:szCs w:val="18"/>
                      <w:lang w:val="en-US" w:eastAsia="zh-CN"/>
                    </w:rPr>
                    <w:t>25.8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04" w:hRule="atLeast"/>
                <w:jc w:val="center"/>
              </w:trPr>
              <w:tc>
                <w:tcPr>
                  <w:tcW w:w="8730" w:type="dxa"/>
                  <w:gridSpan w:val="3"/>
                  <w:noWrap w:val="0"/>
                  <w:vAlign w:val="center"/>
                </w:tcPr>
                <w:p>
                  <w:pPr>
                    <w:jc w:val="center"/>
                    <w:rPr>
                      <w:rFonts w:hint="eastAsia"/>
                      <w:color w:val="auto"/>
                      <w:sz w:val="18"/>
                      <w:szCs w:val="18"/>
                    </w:rPr>
                  </w:pPr>
                  <w:r>
                    <w:rPr>
                      <w:rFonts w:hint="eastAsia"/>
                      <w:color w:val="auto"/>
                      <w:sz w:val="18"/>
                      <w:szCs w:val="18"/>
                    </w:rPr>
                    <w:t>注：数据来源于四川省空气质量监测网络管理系统，最终数据以国家公布为准。</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1"/>
              <w:rPr>
                <w:rFonts w:hint="default" w:ascii="Times New Roman" w:hAnsi="Times New Roman" w:eastAsia="宋体" w:cs="Times New Roman"/>
                <w:i w:val="0"/>
                <w:iCs w:val="0"/>
                <w:caps w:val="0"/>
                <w:color w:val="000000"/>
                <w:spacing w:val="0"/>
                <w:kern w:val="0"/>
                <w:sz w:val="24"/>
                <w:szCs w:val="24"/>
                <w:shd w:val="clear" w:color="auto" w:fill="FFFFFF"/>
                <w:lang w:val="en-US" w:eastAsia="zh-CN" w:bidi="ar"/>
              </w:rPr>
            </w:pPr>
            <w:r>
              <w:rPr>
                <w:rFonts w:hint="default" w:ascii="Times New Roman" w:hAnsi="Times New Roman" w:eastAsia="宋体" w:cs="Times New Roman"/>
                <w:i w:val="0"/>
                <w:iCs w:val="0"/>
                <w:caps w:val="0"/>
                <w:color w:val="000000"/>
                <w:spacing w:val="0"/>
                <w:kern w:val="0"/>
                <w:sz w:val="24"/>
                <w:szCs w:val="24"/>
                <w:shd w:val="clear" w:color="auto" w:fill="FFFFFF"/>
                <w:lang w:val="en-US" w:eastAsia="zh-CN" w:bidi="ar"/>
              </w:rPr>
              <w:t>202</w:t>
            </w:r>
            <w:r>
              <w:rPr>
                <w:rFonts w:hint="eastAsia" w:cs="Times New Roman"/>
                <w:i w:val="0"/>
                <w:iCs w:val="0"/>
                <w:caps w:val="0"/>
                <w:color w:val="000000"/>
                <w:spacing w:val="0"/>
                <w:kern w:val="0"/>
                <w:sz w:val="24"/>
                <w:szCs w:val="24"/>
                <w:shd w:val="clear" w:color="auto" w:fill="FFFFFF"/>
                <w:lang w:val="en-US" w:eastAsia="zh-CN" w:bidi="ar"/>
              </w:rPr>
              <w:t>3</w:t>
            </w:r>
            <w:r>
              <w:rPr>
                <w:rFonts w:hint="default" w:ascii="Times New Roman" w:hAnsi="Times New Roman" w:eastAsia="宋体" w:cs="Times New Roman"/>
                <w:i w:val="0"/>
                <w:iCs w:val="0"/>
                <w:caps w:val="0"/>
                <w:color w:val="000000"/>
                <w:spacing w:val="0"/>
                <w:kern w:val="0"/>
                <w:sz w:val="24"/>
                <w:szCs w:val="24"/>
                <w:shd w:val="clear" w:color="auto" w:fill="FFFFFF"/>
                <w:lang w:val="en-US" w:eastAsia="zh-CN" w:bidi="ar"/>
              </w:rPr>
              <w:t>年，二氧化硫平均浓度较上年相比下降0.9微克每立方米，二氧化氮平均浓度较上年相比下降1.2微克每立方米，一氧化碳第95百分位浓度较上年相比保持不变，臭氧第90百分位浓度较上年相比上升2.0微克每立方米，可吸入颗粒物和细颗粒物平均浓度较上年相比分别上升5.1微克每立方米和1.3微克每立方米。</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1"/>
              <w:rPr>
                <w:rFonts w:hint="default"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color w:val="000000"/>
                <w:sz w:val="24"/>
                <w:szCs w:val="24"/>
                <w:lang w:val="en-US" w:eastAsia="zh-CN"/>
              </w:rPr>
              <w:t>总体来说，项目所在评价区域大气环境质量较好，评价区域为</w:t>
            </w:r>
            <w:r>
              <w:rPr>
                <w:rFonts w:hint="default" w:ascii="Times New Roman" w:hAnsi="Times New Roman" w:eastAsia="宋体" w:cs="Times New Roman"/>
                <w:b/>
                <w:bCs w:val="0"/>
                <w:color w:val="000000"/>
                <w:sz w:val="24"/>
                <w:szCs w:val="24"/>
                <w:lang w:val="en-US" w:eastAsia="zh-CN"/>
              </w:rPr>
              <w:t>达标区</w:t>
            </w:r>
            <w:r>
              <w:rPr>
                <w:rFonts w:hint="eastAsia" w:ascii="Times New Roman" w:hAnsi="Times New Roman" w:eastAsia="宋体" w:cs="Times New Roman"/>
                <w:b w:val="0"/>
                <w:bCs/>
                <w:color w:val="000000"/>
                <w:sz w:val="24"/>
                <w:szCs w:val="24"/>
                <w:lang w:val="en-US" w:eastAsia="zh-CN"/>
              </w:rPr>
              <w:t>。</w:t>
            </w:r>
          </w:p>
          <w:p>
            <w:pPr>
              <w:spacing w:line="360" w:lineRule="auto"/>
              <w:ind w:left="-2" w:leftChars="-1"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三）</w:t>
            </w:r>
            <w:r>
              <w:rPr>
                <w:rFonts w:hint="default" w:ascii="Times New Roman" w:hAnsi="Times New Roman" w:cs="Times New Roman"/>
                <w:b/>
                <w:bCs/>
                <w:color w:val="auto"/>
                <w:sz w:val="24"/>
                <w:szCs w:val="24"/>
              </w:rPr>
              <w:t>地表水环境质量现状</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1"/>
              <w:rPr>
                <w:rFonts w:hint="default" w:ascii="Times New Roman" w:hAnsi="Times New Roman" w:eastAsia="宋体" w:cs="Times New Roman"/>
                <w:b w:val="0"/>
                <w:bCs/>
                <w:color w:val="000000"/>
                <w:sz w:val="24"/>
                <w:szCs w:val="24"/>
                <w:lang w:val="en-US" w:eastAsia="zh-CN"/>
              </w:rPr>
            </w:pPr>
            <w:r>
              <w:rPr>
                <w:rFonts w:hint="default" w:ascii="Times New Roman" w:hAnsi="Times New Roman" w:eastAsia="宋体" w:cs="Times New Roman"/>
                <w:b w:val="0"/>
                <w:bCs/>
                <w:color w:val="000000"/>
                <w:sz w:val="24"/>
                <w:szCs w:val="24"/>
                <w:lang w:val="en-US" w:eastAsia="zh-CN"/>
              </w:rPr>
              <w:t>根据《环境影响评价技术导则地表水环境》（HJ2.3-2018），地表水环境现状调查与评价中规定，地表水环境质量现状调查应优先采用国务院生态环境保护主管部门统一发布的水环境状况信息。为了解项目所在地区的地表水环境质量现状，本次评价采用</w:t>
            </w:r>
            <w:r>
              <w:rPr>
                <w:rFonts w:hint="eastAsia" w:ascii="Times New Roman" w:hAnsi="Times New Roman" w:eastAsia="宋体" w:cs="Times New Roman"/>
                <w:b w:val="0"/>
                <w:bCs/>
                <w:color w:val="000000"/>
                <w:sz w:val="24"/>
                <w:szCs w:val="24"/>
                <w:lang w:val="en-US" w:eastAsia="zh-CN"/>
              </w:rPr>
              <w:t>广元市生态环境局</w:t>
            </w:r>
            <w:r>
              <w:rPr>
                <w:rFonts w:hint="default" w:ascii="Times New Roman" w:hAnsi="Times New Roman" w:eastAsia="宋体" w:cs="Times New Roman"/>
                <w:b w:val="0"/>
                <w:bCs/>
                <w:color w:val="000000"/>
                <w:sz w:val="24"/>
                <w:szCs w:val="24"/>
                <w:lang w:val="en-US" w:eastAsia="zh-CN"/>
              </w:rPr>
              <w:t>公布的</w:t>
            </w:r>
            <w:r>
              <w:rPr>
                <w:rFonts w:hint="eastAsia" w:ascii="Times New Roman" w:hAnsi="Times New Roman" w:eastAsia="宋体" w:cs="Times New Roman"/>
                <w:b w:val="0"/>
                <w:bCs/>
                <w:color w:val="000000"/>
                <w:sz w:val="24"/>
                <w:szCs w:val="24"/>
                <w:lang w:val="en-US" w:eastAsia="zh-CN"/>
              </w:rPr>
              <w:t>《202</w:t>
            </w:r>
            <w:r>
              <w:rPr>
                <w:rFonts w:hint="eastAsia" w:cs="Times New Roman"/>
                <w:b w:val="0"/>
                <w:bCs/>
                <w:color w:val="000000"/>
                <w:sz w:val="24"/>
                <w:szCs w:val="24"/>
                <w:lang w:val="en-US" w:eastAsia="zh-CN"/>
              </w:rPr>
              <w:t>3</w:t>
            </w:r>
            <w:r>
              <w:rPr>
                <w:rFonts w:hint="eastAsia" w:ascii="Times New Roman" w:hAnsi="Times New Roman" w:eastAsia="宋体" w:cs="Times New Roman"/>
                <w:b w:val="0"/>
                <w:bCs/>
                <w:color w:val="000000"/>
                <w:sz w:val="24"/>
                <w:szCs w:val="24"/>
                <w:lang w:val="en-US" w:eastAsia="zh-CN"/>
              </w:rPr>
              <w:t>年广元市环境质量状况》</w:t>
            </w:r>
            <w:r>
              <w:rPr>
                <w:rFonts w:hint="default" w:ascii="Times New Roman" w:hAnsi="Times New Roman" w:eastAsia="宋体" w:cs="Times New Roman"/>
                <w:b w:val="0"/>
                <w:bCs/>
                <w:color w:val="000000"/>
                <w:sz w:val="24"/>
                <w:szCs w:val="24"/>
                <w:lang w:val="en-US" w:eastAsia="zh-CN"/>
              </w:rPr>
              <w:t>中地表水数据。</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1"/>
              <w:rPr>
                <w:rFonts w:hint="default" w:ascii="Times New Roman" w:hAnsi="Times New Roman" w:eastAsia="宋体" w:cs="Times New Roman"/>
                <w:b w:val="0"/>
                <w:bCs/>
                <w:color w:val="000000"/>
                <w:sz w:val="24"/>
                <w:szCs w:val="24"/>
                <w:lang w:val="en-US" w:eastAsia="zh-CN"/>
              </w:rPr>
            </w:pPr>
            <w:r>
              <w:rPr>
                <w:rFonts w:hint="default" w:ascii="Times New Roman" w:hAnsi="Times New Roman" w:eastAsia="宋体" w:cs="Times New Roman"/>
                <w:b w:val="0"/>
                <w:bCs/>
                <w:color w:val="000000"/>
                <w:sz w:val="24"/>
                <w:szCs w:val="24"/>
                <w:lang w:val="en-US" w:eastAsia="zh-CN"/>
              </w:rPr>
              <w:t>我市境内主要河流按照《地表水环境质量评价办法(试行)》（环办[2011]22号）规定，均达到或优于规定水域环境功能的要求。20</w:t>
            </w:r>
            <w:r>
              <w:rPr>
                <w:rFonts w:hint="default" w:ascii="Times New Roman" w:hAnsi="Times New Roman" w:eastAsia="宋体" w:cs="Times New Roman"/>
                <w:b w:val="0"/>
                <w:bCs/>
                <w:color w:val="000000"/>
                <w:sz w:val="24"/>
                <w:szCs w:val="24"/>
                <w:lang w:eastAsia="zh-CN"/>
              </w:rPr>
              <w:t>2</w:t>
            </w:r>
            <w:r>
              <w:rPr>
                <w:rFonts w:hint="eastAsia" w:cs="Times New Roman"/>
                <w:b w:val="0"/>
                <w:bCs/>
                <w:color w:val="000000"/>
                <w:sz w:val="24"/>
                <w:szCs w:val="24"/>
                <w:lang w:val="en-US" w:eastAsia="zh-CN"/>
              </w:rPr>
              <w:t>2</w:t>
            </w:r>
            <w:r>
              <w:rPr>
                <w:rFonts w:hint="default" w:ascii="Times New Roman" w:hAnsi="Times New Roman" w:eastAsia="宋体" w:cs="Times New Roman"/>
                <w:b w:val="0"/>
                <w:bCs/>
                <w:color w:val="000000"/>
                <w:sz w:val="24"/>
                <w:szCs w:val="24"/>
                <w:lang w:val="en-US" w:eastAsia="zh-CN"/>
              </w:rPr>
              <w:t>年、202</w:t>
            </w:r>
            <w:r>
              <w:rPr>
                <w:rFonts w:hint="eastAsia" w:cs="Times New Roman"/>
                <w:b w:val="0"/>
                <w:bCs/>
                <w:color w:val="000000"/>
                <w:sz w:val="24"/>
                <w:szCs w:val="24"/>
                <w:lang w:val="en-US" w:eastAsia="zh-CN"/>
              </w:rPr>
              <w:t>3</w:t>
            </w:r>
            <w:r>
              <w:rPr>
                <w:rFonts w:hint="default" w:ascii="Times New Roman" w:hAnsi="Times New Roman" w:eastAsia="宋体" w:cs="Times New Roman"/>
                <w:b w:val="0"/>
                <w:bCs/>
                <w:color w:val="000000"/>
                <w:sz w:val="24"/>
                <w:szCs w:val="24"/>
                <w:lang w:val="en-US" w:eastAsia="zh-CN"/>
              </w:rPr>
              <w:t>年嘉陵江、南河、</w:t>
            </w:r>
            <w:r>
              <w:rPr>
                <w:rFonts w:hint="default" w:ascii="Times New Roman" w:hAnsi="Times New Roman" w:eastAsia="宋体" w:cs="Times New Roman"/>
                <w:b w:val="0"/>
                <w:bCs/>
                <w:color w:val="000000"/>
                <w:sz w:val="24"/>
                <w:szCs w:val="24"/>
                <w:lang w:eastAsia="zh-CN"/>
              </w:rPr>
              <w:t>东河、</w:t>
            </w:r>
            <w:r>
              <w:rPr>
                <w:rFonts w:hint="default" w:ascii="Times New Roman" w:hAnsi="Times New Roman" w:eastAsia="宋体" w:cs="Times New Roman"/>
                <w:b w:val="0"/>
                <w:bCs/>
                <w:color w:val="000000"/>
                <w:sz w:val="24"/>
                <w:szCs w:val="24"/>
                <w:lang w:val="en-US" w:eastAsia="zh-CN"/>
              </w:rPr>
              <w:t>白龙江、</w:t>
            </w:r>
            <w:r>
              <w:rPr>
                <w:rFonts w:hint="default" w:ascii="Times New Roman" w:hAnsi="Times New Roman" w:eastAsia="宋体" w:cs="Times New Roman"/>
                <w:b w:val="0"/>
                <w:bCs/>
                <w:color w:val="000000"/>
                <w:sz w:val="24"/>
                <w:szCs w:val="24"/>
                <w:lang w:eastAsia="zh-CN"/>
              </w:rPr>
              <w:t>西河、清江河、</w:t>
            </w:r>
            <w:r>
              <w:rPr>
                <w:rFonts w:hint="eastAsia" w:ascii="Times New Roman" w:hAnsi="Times New Roman" w:eastAsia="宋体" w:cs="Times New Roman"/>
                <w:b w:val="0"/>
                <w:bCs/>
                <w:color w:val="000000"/>
                <w:sz w:val="24"/>
                <w:szCs w:val="24"/>
                <w:lang w:val="en-US" w:eastAsia="zh-CN"/>
              </w:rPr>
              <w:t>插江、白龙湖、恩阳河、构溪河等</w:t>
            </w:r>
            <w:r>
              <w:rPr>
                <w:rFonts w:hint="default" w:ascii="Times New Roman" w:hAnsi="Times New Roman" w:eastAsia="宋体" w:cs="Times New Roman"/>
                <w:b w:val="0"/>
                <w:bCs/>
                <w:color w:val="000000"/>
                <w:sz w:val="24"/>
                <w:szCs w:val="24"/>
                <w:lang w:val="en-US" w:eastAsia="zh-CN"/>
              </w:rPr>
              <w:t>主要河流水质监测评价表见下表。</w:t>
            </w:r>
          </w:p>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b/>
                <w:color w:val="000000"/>
                <w:sz w:val="24"/>
                <w:szCs w:val="24"/>
                <w:lang w:val="en-US" w:eastAsia="zh-CN"/>
              </w:rPr>
            </w:pPr>
            <w:r>
              <w:rPr>
                <w:rFonts w:hint="default" w:ascii="Times New Roman" w:hAnsi="Times New Roman" w:eastAsia="宋体" w:cs="Times New Roman"/>
                <w:b/>
                <w:color w:val="000000"/>
                <w:sz w:val="24"/>
                <w:szCs w:val="24"/>
                <w:lang w:val="en-US" w:eastAsia="zh-CN"/>
              </w:rPr>
              <w:t>表3-</w:t>
            </w:r>
            <w:r>
              <w:rPr>
                <w:rFonts w:hint="eastAsia" w:ascii="Times New Roman" w:hAnsi="Times New Roman" w:eastAsia="宋体" w:cs="Times New Roman"/>
                <w:b/>
                <w:color w:val="000000"/>
                <w:sz w:val="24"/>
                <w:szCs w:val="24"/>
                <w:lang w:val="en-US" w:eastAsia="zh-CN"/>
              </w:rPr>
              <w:t xml:space="preserve">4  </w:t>
            </w:r>
            <w:r>
              <w:rPr>
                <w:rFonts w:hint="eastAsia"/>
                <w:b/>
                <w:kern w:val="0"/>
                <w:sz w:val="24"/>
                <w:szCs w:val="24"/>
                <w:lang w:val="en-US" w:eastAsia="zh-CN"/>
              </w:rPr>
              <w:t>2022</w:t>
            </w:r>
            <w:r>
              <w:rPr>
                <w:rFonts w:hint="eastAsia"/>
                <w:b/>
                <w:kern w:val="0"/>
                <w:sz w:val="24"/>
                <w:szCs w:val="24"/>
              </w:rPr>
              <w:t>~202</w:t>
            </w:r>
            <w:r>
              <w:rPr>
                <w:rFonts w:hint="eastAsia"/>
                <w:b/>
                <w:kern w:val="0"/>
                <w:sz w:val="24"/>
                <w:szCs w:val="24"/>
                <w:lang w:val="en-US" w:eastAsia="zh-CN"/>
              </w:rPr>
              <w:t>3</w:t>
            </w:r>
            <w:r>
              <w:rPr>
                <w:rFonts w:hint="eastAsia"/>
                <w:b/>
                <w:kern w:val="0"/>
                <w:sz w:val="24"/>
                <w:szCs w:val="24"/>
              </w:rPr>
              <w:t>年广元市主要河流水质状况对比表</w:t>
            </w:r>
          </w:p>
          <w:tbl>
            <w:tblPr>
              <w:tblStyle w:val="30"/>
              <w:tblW w:w="8597"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055"/>
              <w:gridCol w:w="1398"/>
              <w:gridCol w:w="981"/>
              <w:gridCol w:w="1226"/>
              <w:gridCol w:w="981"/>
              <w:gridCol w:w="985"/>
              <w:gridCol w:w="981"/>
              <w:gridCol w:w="99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68" w:hRule="atLeast"/>
                <w:tblHeader/>
              </w:trPr>
              <w:tc>
                <w:tcPr>
                  <w:tcW w:w="1056" w:type="dxa"/>
                  <w:vMerge w:val="restart"/>
                  <w:tcBorders>
                    <w:tl2br w:val="nil"/>
                    <w:tr2bl w:val="nil"/>
                  </w:tcBorders>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河流</w:t>
                  </w:r>
                </w:p>
              </w:tc>
              <w:tc>
                <w:tcPr>
                  <w:tcW w:w="1398" w:type="dxa"/>
                  <w:vMerge w:val="restart"/>
                  <w:tcBorders>
                    <w:tl2br w:val="nil"/>
                    <w:tr2bl w:val="nil"/>
                  </w:tcBorders>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监测</w:t>
                  </w:r>
                </w:p>
                <w:p>
                  <w:pPr>
                    <w:jc w:val="center"/>
                    <w:rPr>
                      <w:rFonts w:hint="eastAsia" w:ascii="宋体" w:hAnsi="宋体" w:eastAsia="宋体" w:cs="宋体"/>
                      <w:sz w:val="21"/>
                      <w:szCs w:val="21"/>
                    </w:rPr>
                  </w:pPr>
                  <w:r>
                    <w:rPr>
                      <w:rFonts w:hint="eastAsia" w:ascii="宋体" w:hAnsi="宋体" w:eastAsia="宋体" w:cs="宋体"/>
                      <w:sz w:val="21"/>
                      <w:szCs w:val="21"/>
                    </w:rPr>
                    <w:t>断面</w:t>
                  </w:r>
                </w:p>
              </w:tc>
              <w:tc>
                <w:tcPr>
                  <w:tcW w:w="981" w:type="dxa"/>
                  <w:vMerge w:val="restart"/>
                  <w:tcBorders>
                    <w:tl2br w:val="nil"/>
                    <w:tr2bl w:val="nil"/>
                  </w:tcBorders>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级别</w:t>
                  </w:r>
                </w:p>
              </w:tc>
              <w:tc>
                <w:tcPr>
                  <w:tcW w:w="1226" w:type="dxa"/>
                  <w:vMerge w:val="restart"/>
                  <w:tcBorders>
                    <w:tl2br w:val="nil"/>
                    <w:tr2bl w:val="nil"/>
                  </w:tcBorders>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规定水功能类别</w:t>
                  </w:r>
                </w:p>
              </w:tc>
              <w:tc>
                <w:tcPr>
                  <w:tcW w:w="3936" w:type="dxa"/>
                  <w:gridSpan w:val="4"/>
                  <w:tcBorders>
                    <w:tl2br w:val="nil"/>
                    <w:tr2bl w:val="nil"/>
                  </w:tcBorders>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实测类别及水质状况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61" w:hRule="atLeast"/>
                <w:tblHeader/>
              </w:trPr>
              <w:tc>
                <w:tcPr>
                  <w:tcW w:w="1056" w:type="dxa"/>
                  <w:vMerge w:val="continue"/>
                  <w:tcBorders>
                    <w:tl2br w:val="nil"/>
                    <w:tr2bl w:val="nil"/>
                  </w:tcBorders>
                  <w:noWrap w:val="0"/>
                  <w:vAlign w:val="center"/>
                </w:tcPr>
                <w:p>
                  <w:pPr>
                    <w:jc w:val="center"/>
                    <w:rPr>
                      <w:rFonts w:hint="eastAsia" w:ascii="宋体" w:hAnsi="宋体" w:eastAsia="宋体" w:cs="宋体"/>
                      <w:sz w:val="21"/>
                      <w:szCs w:val="21"/>
                    </w:rPr>
                  </w:pPr>
                </w:p>
              </w:tc>
              <w:tc>
                <w:tcPr>
                  <w:tcW w:w="1398" w:type="dxa"/>
                  <w:vMerge w:val="continue"/>
                  <w:tcBorders>
                    <w:tl2br w:val="nil"/>
                    <w:tr2bl w:val="nil"/>
                  </w:tcBorders>
                  <w:noWrap w:val="0"/>
                  <w:vAlign w:val="center"/>
                </w:tcPr>
                <w:p>
                  <w:pPr>
                    <w:jc w:val="center"/>
                    <w:rPr>
                      <w:rFonts w:hint="eastAsia" w:ascii="宋体" w:hAnsi="宋体" w:eastAsia="宋体" w:cs="宋体"/>
                      <w:sz w:val="21"/>
                      <w:szCs w:val="21"/>
                    </w:rPr>
                  </w:pPr>
                </w:p>
              </w:tc>
              <w:tc>
                <w:tcPr>
                  <w:tcW w:w="981" w:type="dxa"/>
                  <w:vMerge w:val="continue"/>
                  <w:tcBorders>
                    <w:tl2br w:val="nil"/>
                    <w:tr2bl w:val="nil"/>
                  </w:tcBorders>
                  <w:noWrap w:val="0"/>
                  <w:vAlign w:val="center"/>
                </w:tcPr>
                <w:p>
                  <w:pPr>
                    <w:jc w:val="center"/>
                    <w:rPr>
                      <w:rFonts w:hint="eastAsia" w:ascii="宋体" w:hAnsi="宋体" w:eastAsia="宋体" w:cs="宋体"/>
                      <w:sz w:val="21"/>
                      <w:szCs w:val="21"/>
                    </w:rPr>
                  </w:pPr>
                </w:p>
              </w:tc>
              <w:tc>
                <w:tcPr>
                  <w:tcW w:w="1226" w:type="dxa"/>
                  <w:vMerge w:val="continue"/>
                  <w:tcBorders>
                    <w:tl2br w:val="nil"/>
                    <w:tr2bl w:val="nil"/>
                  </w:tcBorders>
                  <w:noWrap w:val="0"/>
                  <w:vAlign w:val="center"/>
                </w:tcPr>
                <w:p>
                  <w:pPr>
                    <w:jc w:val="center"/>
                    <w:rPr>
                      <w:rFonts w:hint="eastAsia" w:ascii="宋体" w:hAnsi="宋体" w:eastAsia="宋体" w:cs="宋体"/>
                      <w:sz w:val="21"/>
                      <w:szCs w:val="21"/>
                    </w:rPr>
                  </w:pPr>
                </w:p>
              </w:tc>
              <w:tc>
                <w:tcPr>
                  <w:tcW w:w="3936" w:type="dxa"/>
                  <w:gridSpan w:val="4"/>
                  <w:tcBorders>
                    <w:tl2br w:val="nil"/>
                    <w:tr2bl w:val="nil"/>
                  </w:tcBorders>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断面水质评价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61" w:hRule="atLeast"/>
                <w:tblHeader/>
              </w:trPr>
              <w:tc>
                <w:tcPr>
                  <w:tcW w:w="1056" w:type="dxa"/>
                  <w:vMerge w:val="continue"/>
                  <w:tcBorders>
                    <w:tl2br w:val="nil"/>
                    <w:tr2bl w:val="nil"/>
                  </w:tcBorders>
                  <w:noWrap w:val="0"/>
                  <w:vAlign w:val="center"/>
                </w:tcPr>
                <w:p>
                  <w:pPr>
                    <w:jc w:val="center"/>
                    <w:rPr>
                      <w:rFonts w:hint="eastAsia" w:ascii="宋体" w:hAnsi="宋体" w:eastAsia="宋体" w:cs="宋体"/>
                      <w:sz w:val="21"/>
                      <w:szCs w:val="21"/>
                    </w:rPr>
                  </w:pPr>
                </w:p>
              </w:tc>
              <w:tc>
                <w:tcPr>
                  <w:tcW w:w="1398" w:type="dxa"/>
                  <w:vMerge w:val="continue"/>
                  <w:tcBorders>
                    <w:tl2br w:val="nil"/>
                    <w:tr2bl w:val="nil"/>
                  </w:tcBorders>
                  <w:noWrap w:val="0"/>
                  <w:vAlign w:val="center"/>
                </w:tcPr>
                <w:p>
                  <w:pPr>
                    <w:jc w:val="center"/>
                    <w:rPr>
                      <w:rFonts w:hint="eastAsia" w:ascii="宋体" w:hAnsi="宋体" w:eastAsia="宋体" w:cs="宋体"/>
                      <w:sz w:val="21"/>
                      <w:szCs w:val="21"/>
                    </w:rPr>
                  </w:pPr>
                </w:p>
              </w:tc>
              <w:tc>
                <w:tcPr>
                  <w:tcW w:w="981" w:type="dxa"/>
                  <w:vMerge w:val="continue"/>
                  <w:tcBorders>
                    <w:tl2br w:val="nil"/>
                    <w:tr2bl w:val="nil"/>
                  </w:tcBorders>
                  <w:noWrap w:val="0"/>
                  <w:vAlign w:val="center"/>
                </w:tcPr>
                <w:p>
                  <w:pPr>
                    <w:jc w:val="center"/>
                    <w:rPr>
                      <w:rFonts w:hint="eastAsia" w:ascii="宋体" w:hAnsi="宋体" w:eastAsia="宋体" w:cs="宋体"/>
                      <w:sz w:val="21"/>
                      <w:szCs w:val="21"/>
                    </w:rPr>
                  </w:pPr>
                </w:p>
              </w:tc>
              <w:tc>
                <w:tcPr>
                  <w:tcW w:w="1226" w:type="dxa"/>
                  <w:vMerge w:val="continue"/>
                  <w:tcBorders>
                    <w:tl2br w:val="nil"/>
                    <w:tr2bl w:val="nil"/>
                  </w:tcBorders>
                  <w:noWrap w:val="0"/>
                  <w:vAlign w:val="center"/>
                </w:tcPr>
                <w:p>
                  <w:pPr>
                    <w:jc w:val="center"/>
                    <w:rPr>
                      <w:rFonts w:hint="eastAsia" w:ascii="宋体" w:hAnsi="宋体" w:eastAsia="宋体" w:cs="宋体"/>
                      <w:sz w:val="21"/>
                      <w:szCs w:val="21"/>
                    </w:rPr>
                  </w:pPr>
                </w:p>
              </w:tc>
              <w:tc>
                <w:tcPr>
                  <w:tcW w:w="1965" w:type="dxa"/>
                  <w:gridSpan w:val="2"/>
                  <w:tcBorders>
                    <w:tl2br w:val="nil"/>
                    <w:tr2bl w:val="nil"/>
                  </w:tcBorders>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202</w:t>
                  </w:r>
                  <w:r>
                    <w:rPr>
                      <w:rFonts w:hint="eastAsia" w:ascii="宋体" w:hAnsi="宋体" w:eastAsia="宋体" w:cs="宋体"/>
                      <w:sz w:val="21"/>
                      <w:szCs w:val="21"/>
                      <w:lang w:val="en-US" w:eastAsia="zh-CN"/>
                    </w:rPr>
                    <w:t>2</w:t>
                  </w:r>
                  <w:r>
                    <w:rPr>
                      <w:rFonts w:hint="eastAsia" w:ascii="宋体" w:hAnsi="宋体" w:eastAsia="宋体" w:cs="宋体"/>
                      <w:sz w:val="21"/>
                      <w:szCs w:val="21"/>
                    </w:rPr>
                    <w:t>年</w:t>
                  </w:r>
                </w:p>
              </w:tc>
              <w:tc>
                <w:tcPr>
                  <w:tcW w:w="1971" w:type="dxa"/>
                  <w:gridSpan w:val="2"/>
                  <w:tcBorders>
                    <w:tl2br w:val="nil"/>
                    <w:tr2bl w:val="nil"/>
                  </w:tcBorders>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2023年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61" w:hRule="atLeast"/>
                <w:tblHeader/>
              </w:trPr>
              <w:tc>
                <w:tcPr>
                  <w:tcW w:w="1056" w:type="dxa"/>
                  <w:vMerge w:val="continue"/>
                  <w:tcBorders>
                    <w:tl2br w:val="nil"/>
                    <w:tr2bl w:val="nil"/>
                  </w:tcBorders>
                  <w:noWrap w:val="0"/>
                  <w:vAlign w:val="center"/>
                </w:tcPr>
                <w:p>
                  <w:pPr>
                    <w:jc w:val="center"/>
                    <w:rPr>
                      <w:rFonts w:hint="eastAsia" w:ascii="宋体" w:hAnsi="宋体" w:eastAsia="宋体" w:cs="宋体"/>
                      <w:sz w:val="21"/>
                      <w:szCs w:val="21"/>
                    </w:rPr>
                  </w:pPr>
                </w:p>
              </w:tc>
              <w:tc>
                <w:tcPr>
                  <w:tcW w:w="1398" w:type="dxa"/>
                  <w:vMerge w:val="continue"/>
                  <w:tcBorders>
                    <w:tl2br w:val="nil"/>
                    <w:tr2bl w:val="nil"/>
                  </w:tcBorders>
                  <w:noWrap w:val="0"/>
                  <w:vAlign w:val="center"/>
                </w:tcPr>
                <w:p>
                  <w:pPr>
                    <w:jc w:val="center"/>
                    <w:rPr>
                      <w:rFonts w:hint="eastAsia" w:ascii="宋体" w:hAnsi="宋体" w:eastAsia="宋体" w:cs="宋体"/>
                      <w:sz w:val="21"/>
                      <w:szCs w:val="21"/>
                    </w:rPr>
                  </w:pPr>
                </w:p>
              </w:tc>
              <w:tc>
                <w:tcPr>
                  <w:tcW w:w="981" w:type="dxa"/>
                  <w:vMerge w:val="continue"/>
                  <w:tcBorders>
                    <w:tl2br w:val="nil"/>
                    <w:tr2bl w:val="nil"/>
                  </w:tcBorders>
                  <w:noWrap w:val="0"/>
                  <w:vAlign w:val="center"/>
                </w:tcPr>
                <w:p>
                  <w:pPr>
                    <w:jc w:val="center"/>
                    <w:rPr>
                      <w:rFonts w:hint="eastAsia" w:ascii="宋体" w:hAnsi="宋体" w:eastAsia="宋体" w:cs="宋体"/>
                      <w:sz w:val="21"/>
                      <w:szCs w:val="21"/>
                    </w:rPr>
                  </w:pPr>
                </w:p>
              </w:tc>
              <w:tc>
                <w:tcPr>
                  <w:tcW w:w="1226" w:type="dxa"/>
                  <w:vMerge w:val="continue"/>
                  <w:tcBorders>
                    <w:tl2br w:val="nil"/>
                    <w:tr2bl w:val="nil"/>
                  </w:tcBorders>
                  <w:noWrap w:val="0"/>
                  <w:vAlign w:val="center"/>
                </w:tcPr>
                <w:p>
                  <w:pPr>
                    <w:jc w:val="center"/>
                    <w:rPr>
                      <w:rFonts w:hint="eastAsia" w:ascii="宋体" w:hAnsi="宋体" w:eastAsia="宋体" w:cs="宋体"/>
                      <w:sz w:val="21"/>
                      <w:szCs w:val="21"/>
                    </w:rPr>
                  </w:pPr>
                </w:p>
              </w:tc>
              <w:tc>
                <w:tcPr>
                  <w:tcW w:w="980" w:type="dxa"/>
                  <w:tcBorders>
                    <w:tl2br w:val="nil"/>
                    <w:tr2bl w:val="nil"/>
                  </w:tcBorders>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实测类别</w:t>
                  </w:r>
                </w:p>
              </w:tc>
              <w:tc>
                <w:tcPr>
                  <w:tcW w:w="985" w:type="dxa"/>
                  <w:tcBorders>
                    <w:tl2br w:val="nil"/>
                    <w:tr2bl w:val="nil"/>
                  </w:tcBorders>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水质状况</w:t>
                  </w:r>
                </w:p>
              </w:tc>
              <w:tc>
                <w:tcPr>
                  <w:tcW w:w="981" w:type="dxa"/>
                  <w:tcBorders>
                    <w:tl2br w:val="nil"/>
                    <w:tr2bl w:val="nil"/>
                  </w:tcBorders>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实测类别</w:t>
                  </w:r>
                </w:p>
              </w:tc>
              <w:tc>
                <w:tcPr>
                  <w:tcW w:w="990" w:type="dxa"/>
                  <w:tcBorders>
                    <w:tl2br w:val="nil"/>
                    <w:tr2bl w:val="nil"/>
                  </w:tcBorders>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水质状况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61" w:hRule="atLeast"/>
              </w:trPr>
              <w:tc>
                <w:tcPr>
                  <w:tcW w:w="1056" w:type="dxa"/>
                  <w:vMerge w:val="restart"/>
                  <w:tcBorders>
                    <w:tl2br w:val="nil"/>
                    <w:tr2bl w:val="nil"/>
                  </w:tcBorders>
                  <w:noWrap w:val="0"/>
                  <w:vAlign w:val="center"/>
                </w:tcPr>
                <w:p>
                  <w:pPr>
                    <w:jc w:val="center"/>
                    <w:rPr>
                      <w:rFonts w:hint="eastAsia"/>
                      <w:sz w:val="21"/>
                      <w:szCs w:val="21"/>
                    </w:rPr>
                  </w:pPr>
                  <w:r>
                    <w:rPr>
                      <w:rFonts w:hint="eastAsia"/>
                      <w:sz w:val="21"/>
                      <w:szCs w:val="21"/>
                      <w:lang w:val="en-US" w:eastAsia="zh-CN"/>
                    </w:rPr>
                    <w:t>嘉陵江</w:t>
                  </w:r>
                </w:p>
              </w:tc>
              <w:tc>
                <w:tcPr>
                  <w:tcW w:w="1398" w:type="dxa"/>
                  <w:tcBorders>
                    <w:tl2br w:val="nil"/>
                    <w:tr2bl w:val="nil"/>
                  </w:tcBorders>
                  <w:noWrap w:val="0"/>
                  <w:vAlign w:val="center"/>
                </w:tcPr>
                <w:p>
                  <w:pPr>
                    <w:jc w:val="center"/>
                    <w:rPr>
                      <w:rFonts w:hint="eastAsia"/>
                      <w:color w:val="auto"/>
                      <w:sz w:val="21"/>
                      <w:szCs w:val="21"/>
                    </w:rPr>
                  </w:pPr>
                  <w:r>
                    <w:rPr>
                      <w:rFonts w:hint="eastAsia"/>
                      <w:color w:val="auto"/>
                      <w:sz w:val="21"/>
                      <w:szCs w:val="21"/>
                      <w:lang w:val="en-US" w:eastAsia="zh-CN"/>
                    </w:rPr>
                    <w:t>红岩</w:t>
                  </w:r>
                </w:p>
              </w:tc>
              <w:tc>
                <w:tcPr>
                  <w:tcW w:w="981" w:type="dxa"/>
                  <w:tcBorders>
                    <w:tl2br w:val="nil"/>
                    <w:tr2bl w:val="nil"/>
                  </w:tcBorders>
                  <w:noWrap w:val="0"/>
                  <w:vAlign w:val="center"/>
                </w:tcPr>
                <w:p>
                  <w:pPr>
                    <w:jc w:val="center"/>
                    <w:rPr>
                      <w:rFonts w:hint="eastAsia"/>
                      <w:color w:val="auto"/>
                      <w:sz w:val="21"/>
                      <w:szCs w:val="21"/>
                      <w:lang w:eastAsia="zh-CN"/>
                    </w:rPr>
                  </w:pPr>
                  <w:r>
                    <w:rPr>
                      <w:rFonts w:hint="eastAsia"/>
                      <w:color w:val="auto"/>
                      <w:sz w:val="21"/>
                      <w:szCs w:val="21"/>
                      <w:lang w:eastAsia="zh-CN"/>
                    </w:rPr>
                    <w:t>省控</w:t>
                  </w:r>
                </w:p>
              </w:tc>
              <w:tc>
                <w:tcPr>
                  <w:tcW w:w="1226" w:type="dxa"/>
                  <w:tcBorders>
                    <w:tl2br w:val="nil"/>
                    <w:tr2bl w:val="nil"/>
                  </w:tcBorders>
                  <w:noWrap w:val="0"/>
                  <w:vAlign w:val="center"/>
                </w:tcPr>
                <w:p>
                  <w:pPr>
                    <w:jc w:val="center"/>
                    <w:rPr>
                      <w:rFonts w:hint="eastAsia"/>
                      <w:sz w:val="21"/>
                      <w:szCs w:val="21"/>
                    </w:rPr>
                  </w:pPr>
                  <w:r>
                    <w:rPr>
                      <w:rFonts w:hint="eastAsia"/>
                      <w:sz w:val="21"/>
                      <w:szCs w:val="21"/>
                    </w:rPr>
                    <w:t>Ⅲ</w:t>
                  </w:r>
                </w:p>
              </w:tc>
              <w:tc>
                <w:tcPr>
                  <w:tcW w:w="980" w:type="dxa"/>
                  <w:tcBorders>
                    <w:tl2br w:val="nil"/>
                    <w:tr2bl w:val="nil"/>
                  </w:tcBorders>
                  <w:noWrap w:val="0"/>
                  <w:vAlign w:val="center"/>
                </w:tcPr>
                <w:p>
                  <w:pPr>
                    <w:jc w:val="center"/>
                    <w:rPr>
                      <w:rFonts w:hint="eastAsia"/>
                      <w:sz w:val="21"/>
                      <w:szCs w:val="21"/>
                      <w:lang w:eastAsia="zh-CN"/>
                    </w:rPr>
                  </w:pPr>
                  <w:r>
                    <w:rPr>
                      <w:rFonts w:hint="eastAsia"/>
                      <w:sz w:val="21"/>
                      <w:szCs w:val="21"/>
                    </w:rPr>
                    <w:t>Ⅱ</w:t>
                  </w:r>
                </w:p>
              </w:tc>
              <w:tc>
                <w:tcPr>
                  <w:tcW w:w="985" w:type="dxa"/>
                  <w:tcBorders>
                    <w:tl2br w:val="nil"/>
                    <w:tr2bl w:val="nil"/>
                  </w:tcBorders>
                  <w:noWrap w:val="0"/>
                  <w:vAlign w:val="center"/>
                </w:tcPr>
                <w:p>
                  <w:pPr>
                    <w:jc w:val="center"/>
                    <w:rPr>
                      <w:rFonts w:hint="eastAsia"/>
                      <w:sz w:val="21"/>
                      <w:szCs w:val="21"/>
                    </w:rPr>
                  </w:pPr>
                  <w:r>
                    <w:rPr>
                      <w:rFonts w:hint="eastAsia"/>
                      <w:sz w:val="21"/>
                      <w:szCs w:val="21"/>
                    </w:rPr>
                    <w:t>优</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Ⅰ</w:t>
                  </w:r>
                </w:p>
              </w:tc>
              <w:tc>
                <w:tcPr>
                  <w:tcW w:w="990" w:type="dxa"/>
                  <w:tcBorders>
                    <w:tl2br w:val="nil"/>
                    <w:tr2bl w:val="nil"/>
                  </w:tcBorders>
                  <w:noWrap w:val="0"/>
                  <w:vAlign w:val="center"/>
                </w:tcPr>
                <w:p>
                  <w:pPr>
                    <w:jc w:val="center"/>
                    <w:rPr>
                      <w:rFonts w:hint="eastAsia"/>
                      <w:sz w:val="21"/>
                      <w:szCs w:val="21"/>
                    </w:rPr>
                  </w:pPr>
                  <w:r>
                    <w:rPr>
                      <w:rFonts w:hint="eastAsia"/>
                      <w:sz w:val="21"/>
                      <w:szCs w:val="21"/>
                    </w:rPr>
                    <w:t>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61" w:hRule="atLeast"/>
              </w:trPr>
              <w:tc>
                <w:tcPr>
                  <w:tcW w:w="1056" w:type="dxa"/>
                  <w:vMerge w:val="continue"/>
                  <w:tcBorders>
                    <w:tl2br w:val="nil"/>
                    <w:tr2bl w:val="nil"/>
                  </w:tcBorders>
                  <w:noWrap w:val="0"/>
                  <w:vAlign w:val="center"/>
                </w:tcPr>
                <w:p>
                  <w:pPr>
                    <w:jc w:val="center"/>
                    <w:rPr>
                      <w:rFonts w:hint="eastAsia"/>
                      <w:sz w:val="21"/>
                      <w:szCs w:val="21"/>
                    </w:rPr>
                  </w:pPr>
                </w:p>
              </w:tc>
              <w:tc>
                <w:tcPr>
                  <w:tcW w:w="1398" w:type="dxa"/>
                  <w:tcBorders>
                    <w:tl2br w:val="nil"/>
                    <w:tr2bl w:val="nil"/>
                  </w:tcBorders>
                  <w:noWrap w:val="0"/>
                  <w:vAlign w:val="center"/>
                </w:tcPr>
                <w:p>
                  <w:pPr>
                    <w:jc w:val="center"/>
                    <w:rPr>
                      <w:rFonts w:hint="eastAsia"/>
                      <w:color w:val="auto"/>
                      <w:sz w:val="21"/>
                      <w:szCs w:val="21"/>
                    </w:rPr>
                  </w:pPr>
                  <w:r>
                    <w:rPr>
                      <w:rFonts w:hint="eastAsia"/>
                      <w:color w:val="auto"/>
                      <w:sz w:val="21"/>
                      <w:szCs w:val="21"/>
                      <w:lang w:val="en-US" w:eastAsia="zh-CN"/>
                    </w:rPr>
                    <w:t>上石盘</w:t>
                  </w:r>
                </w:p>
              </w:tc>
              <w:tc>
                <w:tcPr>
                  <w:tcW w:w="981" w:type="dxa"/>
                  <w:tcBorders>
                    <w:tl2br w:val="nil"/>
                    <w:tr2bl w:val="nil"/>
                  </w:tcBorders>
                  <w:noWrap w:val="0"/>
                  <w:vAlign w:val="center"/>
                </w:tcPr>
                <w:p>
                  <w:pPr>
                    <w:jc w:val="center"/>
                    <w:rPr>
                      <w:rFonts w:hint="eastAsia"/>
                      <w:color w:val="auto"/>
                      <w:sz w:val="21"/>
                      <w:szCs w:val="21"/>
                    </w:rPr>
                  </w:pPr>
                  <w:r>
                    <w:rPr>
                      <w:rFonts w:hint="eastAsia"/>
                      <w:color w:val="auto"/>
                      <w:sz w:val="21"/>
                      <w:szCs w:val="21"/>
                    </w:rPr>
                    <w:t>国控</w:t>
                  </w:r>
                </w:p>
              </w:tc>
              <w:tc>
                <w:tcPr>
                  <w:tcW w:w="1226" w:type="dxa"/>
                  <w:tcBorders>
                    <w:tl2br w:val="nil"/>
                    <w:tr2bl w:val="nil"/>
                  </w:tcBorders>
                  <w:noWrap w:val="0"/>
                  <w:vAlign w:val="center"/>
                </w:tcPr>
                <w:p>
                  <w:pPr>
                    <w:jc w:val="center"/>
                    <w:rPr>
                      <w:rFonts w:hint="eastAsia"/>
                      <w:sz w:val="21"/>
                      <w:szCs w:val="21"/>
                    </w:rPr>
                  </w:pPr>
                  <w:r>
                    <w:rPr>
                      <w:rFonts w:hint="eastAsia"/>
                      <w:sz w:val="21"/>
                      <w:szCs w:val="21"/>
                    </w:rPr>
                    <w:t>Ⅲ</w:t>
                  </w:r>
                </w:p>
              </w:tc>
              <w:tc>
                <w:tcPr>
                  <w:tcW w:w="980" w:type="dxa"/>
                  <w:tcBorders>
                    <w:tl2br w:val="nil"/>
                    <w:tr2bl w:val="nil"/>
                  </w:tcBorders>
                  <w:noWrap w:val="0"/>
                  <w:vAlign w:val="center"/>
                </w:tcPr>
                <w:p>
                  <w:pPr>
                    <w:jc w:val="center"/>
                    <w:rPr>
                      <w:rFonts w:hint="eastAsia"/>
                      <w:sz w:val="21"/>
                      <w:szCs w:val="21"/>
                    </w:rPr>
                  </w:pPr>
                  <w:r>
                    <w:rPr>
                      <w:rFonts w:hint="eastAsia"/>
                      <w:sz w:val="21"/>
                      <w:szCs w:val="21"/>
                    </w:rPr>
                    <w:t>Ⅱ</w:t>
                  </w:r>
                </w:p>
              </w:tc>
              <w:tc>
                <w:tcPr>
                  <w:tcW w:w="985" w:type="dxa"/>
                  <w:tcBorders>
                    <w:tl2br w:val="nil"/>
                    <w:tr2bl w:val="nil"/>
                  </w:tcBorders>
                  <w:noWrap w:val="0"/>
                  <w:vAlign w:val="center"/>
                </w:tcPr>
                <w:p>
                  <w:pPr>
                    <w:jc w:val="center"/>
                    <w:rPr>
                      <w:rFonts w:hint="eastAsia"/>
                      <w:sz w:val="21"/>
                      <w:szCs w:val="21"/>
                    </w:rPr>
                  </w:pPr>
                  <w:r>
                    <w:rPr>
                      <w:rFonts w:hint="eastAsia"/>
                      <w:sz w:val="21"/>
                      <w:szCs w:val="21"/>
                    </w:rPr>
                    <w:t>优</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Ⅰ</w:t>
                  </w:r>
                </w:p>
              </w:tc>
              <w:tc>
                <w:tcPr>
                  <w:tcW w:w="990" w:type="dxa"/>
                  <w:tcBorders>
                    <w:tl2br w:val="nil"/>
                    <w:tr2bl w:val="nil"/>
                  </w:tcBorders>
                  <w:noWrap w:val="0"/>
                  <w:vAlign w:val="center"/>
                </w:tcPr>
                <w:p>
                  <w:pPr>
                    <w:jc w:val="center"/>
                    <w:rPr>
                      <w:rFonts w:hint="eastAsia"/>
                      <w:sz w:val="21"/>
                      <w:szCs w:val="21"/>
                    </w:rPr>
                  </w:pPr>
                  <w:r>
                    <w:rPr>
                      <w:rFonts w:hint="eastAsia"/>
                      <w:sz w:val="21"/>
                      <w:szCs w:val="21"/>
                    </w:rPr>
                    <w:t>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61" w:hRule="atLeast"/>
              </w:trPr>
              <w:tc>
                <w:tcPr>
                  <w:tcW w:w="1056" w:type="dxa"/>
                  <w:vMerge w:val="continue"/>
                  <w:tcBorders>
                    <w:tl2br w:val="nil"/>
                    <w:tr2bl w:val="nil"/>
                  </w:tcBorders>
                  <w:noWrap w:val="0"/>
                  <w:vAlign w:val="center"/>
                </w:tcPr>
                <w:p>
                  <w:pPr>
                    <w:jc w:val="center"/>
                    <w:rPr>
                      <w:rFonts w:hint="eastAsia"/>
                      <w:sz w:val="21"/>
                      <w:szCs w:val="21"/>
                    </w:rPr>
                  </w:pPr>
                </w:p>
              </w:tc>
              <w:tc>
                <w:tcPr>
                  <w:tcW w:w="1398" w:type="dxa"/>
                  <w:tcBorders>
                    <w:tl2br w:val="nil"/>
                    <w:tr2bl w:val="nil"/>
                  </w:tcBorders>
                  <w:noWrap w:val="0"/>
                  <w:vAlign w:val="center"/>
                </w:tcPr>
                <w:p>
                  <w:pPr>
                    <w:jc w:val="center"/>
                    <w:rPr>
                      <w:rFonts w:hint="eastAsia"/>
                      <w:color w:val="auto"/>
                      <w:sz w:val="21"/>
                      <w:szCs w:val="21"/>
                    </w:rPr>
                  </w:pPr>
                  <w:r>
                    <w:rPr>
                      <w:rFonts w:hint="eastAsia"/>
                      <w:color w:val="auto"/>
                      <w:sz w:val="21"/>
                      <w:szCs w:val="21"/>
                      <w:lang w:val="en-US" w:eastAsia="zh-CN"/>
                    </w:rPr>
                    <w:t>沙溪</w:t>
                  </w:r>
                </w:p>
              </w:tc>
              <w:tc>
                <w:tcPr>
                  <w:tcW w:w="981" w:type="dxa"/>
                  <w:tcBorders>
                    <w:tl2br w:val="nil"/>
                    <w:tr2bl w:val="nil"/>
                  </w:tcBorders>
                  <w:noWrap w:val="0"/>
                  <w:vAlign w:val="center"/>
                </w:tcPr>
                <w:p>
                  <w:pPr>
                    <w:jc w:val="center"/>
                    <w:rPr>
                      <w:rFonts w:hint="eastAsia"/>
                      <w:color w:val="auto"/>
                      <w:sz w:val="21"/>
                      <w:szCs w:val="21"/>
                    </w:rPr>
                  </w:pPr>
                  <w:r>
                    <w:rPr>
                      <w:rFonts w:hint="eastAsia"/>
                      <w:color w:val="auto"/>
                      <w:sz w:val="21"/>
                      <w:szCs w:val="21"/>
                    </w:rPr>
                    <w:t>国控</w:t>
                  </w:r>
                </w:p>
              </w:tc>
              <w:tc>
                <w:tcPr>
                  <w:tcW w:w="1226" w:type="dxa"/>
                  <w:tcBorders>
                    <w:tl2br w:val="nil"/>
                    <w:tr2bl w:val="nil"/>
                  </w:tcBorders>
                  <w:noWrap w:val="0"/>
                  <w:vAlign w:val="center"/>
                </w:tcPr>
                <w:p>
                  <w:pPr>
                    <w:jc w:val="center"/>
                    <w:rPr>
                      <w:rFonts w:hint="eastAsia"/>
                      <w:sz w:val="21"/>
                      <w:szCs w:val="21"/>
                    </w:rPr>
                  </w:pPr>
                  <w:r>
                    <w:rPr>
                      <w:rFonts w:hint="eastAsia"/>
                      <w:sz w:val="21"/>
                      <w:szCs w:val="21"/>
                    </w:rPr>
                    <w:t>Ⅲ</w:t>
                  </w:r>
                </w:p>
              </w:tc>
              <w:tc>
                <w:tcPr>
                  <w:tcW w:w="980" w:type="dxa"/>
                  <w:tcBorders>
                    <w:tl2br w:val="nil"/>
                    <w:tr2bl w:val="nil"/>
                  </w:tcBorders>
                  <w:noWrap w:val="0"/>
                  <w:vAlign w:val="center"/>
                </w:tcPr>
                <w:p>
                  <w:pPr>
                    <w:jc w:val="center"/>
                    <w:rPr>
                      <w:rFonts w:hint="eastAsia"/>
                      <w:sz w:val="21"/>
                      <w:szCs w:val="21"/>
                    </w:rPr>
                  </w:pPr>
                  <w:r>
                    <w:rPr>
                      <w:rFonts w:hint="eastAsia"/>
                      <w:sz w:val="21"/>
                      <w:szCs w:val="21"/>
                    </w:rPr>
                    <w:t>Ⅰ</w:t>
                  </w:r>
                </w:p>
              </w:tc>
              <w:tc>
                <w:tcPr>
                  <w:tcW w:w="985" w:type="dxa"/>
                  <w:tcBorders>
                    <w:tl2br w:val="nil"/>
                    <w:tr2bl w:val="nil"/>
                  </w:tcBorders>
                  <w:noWrap w:val="0"/>
                  <w:vAlign w:val="center"/>
                </w:tcPr>
                <w:p>
                  <w:pPr>
                    <w:jc w:val="center"/>
                    <w:rPr>
                      <w:rFonts w:hint="eastAsia"/>
                      <w:sz w:val="21"/>
                      <w:szCs w:val="21"/>
                    </w:rPr>
                  </w:pPr>
                  <w:r>
                    <w:rPr>
                      <w:rFonts w:hint="eastAsia"/>
                      <w:sz w:val="21"/>
                      <w:szCs w:val="21"/>
                    </w:rPr>
                    <w:t>优</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Ⅰ</w:t>
                  </w:r>
                </w:p>
              </w:tc>
              <w:tc>
                <w:tcPr>
                  <w:tcW w:w="990" w:type="dxa"/>
                  <w:tcBorders>
                    <w:tl2br w:val="nil"/>
                    <w:tr2bl w:val="nil"/>
                  </w:tcBorders>
                  <w:noWrap w:val="0"/>
                  <w:vAlign w:val="center"/>
                </w:tcPr>
                <w:p>
                  <w:pPr>
                    <w:jc w:val="center"/>
                    <w:rPr>
                      <w:rFonts w:hint="eastAsia"/>
                      <w:sz w:val="21"/>
                      <w:szCs w:val="21"/>
                    </w:rPr>
                  </w:pPr>
                  <w:r>
                    <w:rPr>
                      <w:rFonts w:hint="eastAsia"/>
                      <w:sz w:val="21"/>
                      <w:szCs w:val="21"/>
                    </w:rPr>
                    <w:t>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61" w:hRule="atLeast"/>
              </w:trPr>
              <w:tc>
                <w:tcPr>
                  <w:tcW w:w="1056" w:type="dxa"/>
                  <w:vMerge w:val="continue"/>
                  <w:tcBorders>
                    <w:tl2br w:val="nil"/>
                    <w:tr2bl w:val="nil"/>
                  </w:tcBorders>
                  <w:noWrap w:val="0"/>
                  <w:vAlign w:val="center"/>
                </w:tcPr>
                <w:p>
                  <w:pPr>
                    <w:jc w:val="center"/>
                    <w:rPr>
                      <w:rFonts w:hint="eastAsia"/>
                      <w:sz w:val="21"/>
                      <w:szCs w:val="21"/>
                    </w:rPr>
                  </w:pPr>
                </w:p>
              </w:tc>
              <w:tc>
                <w:tcPr>
                  <w:tcW w:w="1398" w:type="dxa"/>
                  <w:tcBorders>
                    <w:tl2br w:val="nil"/>
                    <w:tr2bl w:val="nil"/>
                  </w:tcBorders>
                  <w:noWrap w:val="0"/>
                  <w:vAlign w:val="center"/>
                </w:tcPr>
                <w:p>
                  <w:pPr>
                    <w:jc w:val="center"/>
                    <w:rPr>
                      <w:rFonts w:hint="eastAsia"/>
                      <w:color w:val="auto"/>
                      <w:sz w:val="21"/>
                      <w:szCs w:val="21"/>
                    </w:rPr>
                  </w:pPr>
                  <w:r>
                    <w:rPr>
                      <w:rFonts w:hint="eastAsia"/>
                      <w:color w:val="auto"/>
                      <w:sz w:val="21"/>
                      <w:szCs w:val="21"/>
                      <w:lang w:val="en-US" w:eastAsia="zh-CN"/>
                    </w:rPr>
                    <w:t>元西村</w:t>
                  </w:r>
                </w:p>
              </w:tc>
              <w:tc>
                <w:tcPr>
                  <w:tcW w:w="981" w:type="dxa"/>
                  <w:tcBorders>
                    <w:tl2br w:val="nil"/>
                    <w:tr2bl w:val="nil"/>
                  </w:tcBorders>
                  <w:noWrap w:val="0"/>
                  <w:vAlign w:val="center"/>
                </w:tcPr>
                <w:p>
                  <w:pPr>
                    <w:jc w:val="center"/>
                    <w:rPr>
                      <w:rFonts w:hint="eastAsia"/>
                      <w:color w:val="auto"/>
                      <w:sz w:val="21"/>
                      <w:szCs w:val="21"/>
                    </w:rPr>
                  </w:pPr>
                  <w:r>
                    <w:rPr>
                      <w:rFonts w:hint="eastAsia"/>
                      <w:color w:val="auto"/>
                      <w:sz w:val="21"/>
                      <w:szCs w:val="21"/>
                    </w:rPr>
                    <w:t>国控</w:t>
                  </w:r>
                </w:p>
              </w:tc>
              <w:tc>
                <w:tcPr>
                  <w:tcW w:w="1226" w:type="dxa"/>
                  <w:tcBorders>
                    <w:tl2br w:val="nil"/>
                    <w:tr2bl w:val="nil"/>
                  </w:tcBorders>
                  <w:noWrap w:val="0"/>
                  <w:vAlign w:val="center"/>
                </w:tcPr>
                <w:p>
                  <w:pPr>
                    <w:jc w:val="center"/>
                    <w:rPr>
                      <w:rFonts w:hint="eastAsia"/>
                      <w:sz w:val="21"/>
                      <w:szCs w:val="21"/>
                    </w:rPr>
                  </w:pPr>
                  <w:r>
                    <w:rPr>
                      <w:rFonts w:hint="eastAsia"/>
                      <w:sz w:val="21"/>
                      <w:szCs w:val="21"/>
                    </w:rPr>
                    <w:t>Ⅲ</w:t>
                  </w:r>
                </w:p>
              </w:tc>
              <w:tc>
                <w:tcPr>
                  <w:tcW w:w="980" w:type="dxa"/>
                  <w:tcBorders>
                    <w:tl2br w:val="nil"/>
                    <w:tr2bl w:val="nil"/>
                  </w:tcBorders>
                  <w:noWrap w:val="0"/>
                  <w:vAlign w:val="center"/>
                </w:tcPr>
                <w:p>
                  <w:pPr>
                    <w:jc w:val="center"/>
                    <w:rPr>
                      <w:rFonts w:hint="eastAsia"/>
                      <w:sz w:val="21"/>
                      <w:szCs w:val="21"/>
                    </w:rPr>
                  </w:pPr>
                  <w:r>
                    <w:rPr>
                      <w:rFonts w:hint="eastAsia"/>
                      <w:sz w:val="21"/>
                      <w:szCs w:val="21"/>
                    </w:rPr>
                    <w:t>Ⅱ</w:t>
                  </w:r>
                </w:p>
              </w:tc>
              <w:tc>
                <w:tcPr>
                  <w:tcW w:w="985" w:type="dxa"/>
                  <w:tcBorders>
                    <w:tl2br w:val="nil"/>
                    <w:tr2bl w:val="nil"/>
                  </w:tcBorders>
                  <w:noWrap w:val="0"/>
                  <w:vAlign w:val="center"/>
                </w:tcPr>
                <w:p>
                  <w:pPr>
                    <w:jc w:val="center"/>
                    <w:rPr>
                      <w:rFonts w:hint="eastAsia"/>
                      <w:sz w:val="21"/>
                      <w:szCs w:val="21"/>
                    </w:rPr>
                  </w:pPr>
                  <w:r>
                    <w:rPr>
                      <w:rFonts w:hint="eastAsia"/>
                      <w:sz w:val="21"/>
                      <w:szCs w:val="21"/>
                      <w:lang w:eastAsia="zh-CN"/>
                    </w:rPr>
                    <w:t>优</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Ⅱ</w:t>
                  </w:r>
                </w:p>
              </w:tc>
              <w:tc>
                <w:tcPr>
                  <w:tcW w:w="990" w:type="dxa"/>
                  <w:tcBorders>
                    <w:tl2br w:val="nil"/>
                    <w:tr2bl w:val="nil"/>
                  </w:tcBorders>
                  <w:noWrap w:val="0"/>
                  <w:vAlign w:val="center"/>
                </w:tcPr>
                <w:p>
                  <w:pPr>
                    <w:jc w:val="center"/>
                    <w:rPr>
                      <w:rFonts w:hint="eastAsia"/>
                      <w:sz w:val="21"/>
                      <w:szCs w:val="21"/>
                    </w:rPr>
                  </w:pPr>
                  <w:r>
                    <w:rPr>
                      <w:rFonts w:hint="eastAsia"/>
                      <w:sz w:val="21"/>
                      <w:szCs w:val="21"/>
                    </w:rPr>
                    <w:t>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61" w:hRule="atLeast"/>
              </w:trPr>
              <w:tc>
                <w:tcPr>
                  <w:tcW w:w="1056" w:type="dxa"/>
                  <w:vMerge w:val="continue"/>
                  <w:tcBorders>
                    <w:tl2br w:val="nil"/>
                    <w:tr2bl w:val="nil"/>
                  </w:tcBorders>
                  <w:noWrap w:val="0"/>
                  <w:vAlign w:val="center"/>
                </w:tcPr>
                <w:p>
                  <w:pPr>
                    <w:jc w:val="center"/>
                    <w:rPr>
                      <w:rFonts w:hint="eastAsia"/>
                      <w:sz w:val="21"/>
                      <w:szCs w:val="21"/>
                    </w:rPr>
                  </w:pPr>
                </w:p>
              </w:tc>
              <w:tc>
                <w:tcPr>
                  <w:tcW w:w="1398" w:type="dxa"/>
                  <w:tcBorders>
                    <w:tl2br w:val="nil"/>
                    <w:tr2bl w:val="nil"/>
                  </w:tcBorders>
                  <w:noWrap w:val="0"/>
                  <w:vAlign w:val="center"/>
                </w:tcPr>
                <w:p>
                  <w:pPr>
                    <w:jc w:val="center"/>
                    <w:rPr>
                      <w:rFonts w:hint="eastAsia"/>
                      <w:color w:val="auto"/>
                      <w:sz w:val="21"/>
                      <w:szCs w:val="21"/>
                    </w:rPr>
                  </w:pPr>
                  <w:r>
                    <w:rPr>
                      <w:rFonts w:hint="eastAsia"/>
                      <w:color w:val="auto"/>
                      <w:sz w:val="21"/>
                      <w:szCs w:val="21"/>
                      <w:lang w:val="en-US" w:eastAsia="zh-CN"/>
                    </w:rPr>
                    <w:t>金银渡</w:t>
                  </w:r>
                </w:p>
              </w:tc>
              <w:tc>
                <w:tcPr>
                  <w:tcW w:w="981" w:type="dxa"/>
                  <w:tcBorders>
                    <w:tl2br w:val="nil"/>
                    <w:tr2bl w:val="nil"/>
                  </w:tcBorders>
                  <w:noWrap w:val="0"/>
                  <w:vAlign w:val="center"/>
                </w:tcPr>
                <w:p>
                  <w:pPr>
                    <w:jc w:val="center"/>
                    <w:rPr>
                      <w:rFonts w:hint="eastAsia"/>
                      <w:color w:val="auto"/>
                      <w:sz w:val="21"/>
                      <w:szCs w:val="21"/>
                    </w:rPr>
                  </w:pPr>
                  <w:r>
                    <w:rPr>
                      <w:rFonts w:hint="eastAsia"/>
                      <w:color w:val="auto"/>
                      <w:sz w:val="21"/>
                      <w:szCs w:val="21"/>
                      <w:lang w:eastAsia="zh-CN"/>
                    </w:rPr>
                    <w:t>省控</w:t>
                  </w:r>
                </w:p>
              </w:tc>
              <w:tc>
                <w:tcPr>
                  <w:tcW w:w="1226" w:type="dxa"/>
                  <w:tcBorders>
                    <w:tl2br w:val="nil"/>
                    <w:tr2bl w:val="nil"/>
                  </w:tcBorders>
                  <w:noWrap w:val="0"/>
                  <w:vAlign w:val="center"/>
                </w:tcPr>
                <w:p>
                  <w:pPr>
                    <w:jc w:val="center"/>
                    <w:rPr>
                      <w:rFonts w:hint="eastAsia"/>
                      <w:sz w:val="21"/>
                      <w:szCs w:val="21"/>
                    </w:rPr>
                  </w:pPr>
                  <w:r>
                    <w:rPr>
                      <w:rFonts w:hint="eastAsia"/>
                      <w:sz w:val="21"/>
                      <w:szCs w:val="21"/>
                    </w:rPr>
                    <w:t>Ⅲ</w:t>
                  </w:r>
                </w:p>
              </w:tc>
              <w:tc>
                <w:tcPr>
                  <w:tcW w:w="980" w:type="dxa"/>
                  <w:tcBorders>
                    <w:tl2br w:val="nil"/>
                    <w:tr2bl w:val="nil"/>
                  </w:tcBorders>
                  <w:noWrap w:val="0"/>
                  <w:vAlign w:val="center"/>
                </w:tcPr>
                <w:p>
                  <w:pPr>
                    <w:jc w:val="center"/>
                    <w:rPr>
                      <w:rFonts w:hint="eastAsia"/>
                      <w:sz w:val="21"/>
                      <w:szCs w:val="21"/>
                    </w:rPr>
                  </w:pPr>
                  <w:r>
                    <w:rPr>
                      <w:rFonts w:hint="eastAsia"/>
                      <w:sz w:val="21"/>
                      <w:szCs w:val="21"/>
                    </w:rPr>
                    <w:t>Ⅱ</w:t>
                  </w:r>
                </w:p>
              </w:tc>
              <w:tc>
                <w:tcPr>
                  <w:tcW w:w="985" w:type="dxa"/>
                  <w:tcBorders>
                    <w:tl2br w:val="nil"/>
                    <w:tr2bl w:val="nil"/>
                  </w:tcBorders>
                  <w:noWrap w:val="0"/>
                  <w:vAlign w:val="center"/>
                </w:tcPr>
                <w:p>
                  <w:pPr>
                    <w:jc w:val="center"/>
                    <w:rPr>
                      <w:rFonts w:hint="eastAsia"/>
                      <w:sz w:val="21"/>
                      <w:szCs w:val="21"/>
                    </w:rPr>
                  </w:pPr>
                  <w:r>
                    <w:rPr>
                      <w:rFonts w:hint="eastAsia"/>
                      <w:sz w:val="21"/>
                      <w:szCs w:val="21"/>
                      <w:lang w:eastAsia="zh-CN"/>
                    </w:rPr>
                    <w:t>优</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Ⅰ</w:t>
                  </w:r>
                </w:p>
              </w:tc>
              <w:tc>
                <w:tcPr>
                  <w:tcW w:w="990" w:type="dxa"/>
                  <w:tcBorders>
                    <w:tl2br w:val="nil"/>
                    <w:tr2bl w:val="nil"/>
                  </w:tcBorders>
                  <w:noWrap w:val="0"/>
                  <w:vAlign w:val="center"/>
                </w:tcPr>
                <w:p>
                  <w:pPr>
                    <w:jc w:val="center"/>
                    <w:rPr>
                      <w:rFonts w:hint="eastAsia"/>
                      <w:sz w:val="21"/>
                      <w:szCs w:val="21"/>
                    </w:rPr>
                  </w:pPr>
                  <w:r>
                    <w:rPr>
                      <w:rFonts w:hint="eastAsia"/>
                      <w:sz w:val="21"/>
                      <w:szCs w:val="21"/>
                    </w:rPr>
                    <w:t>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61" w:hRule="atLeast"/>
              </w:trPr>
              <w:tc>
                <w:tcPr>
                  <w:tcW w:w="1056" w:type="dxa"/>
                  <w:vMerge w:val="restart"/>
                  <w:tcBorders>
                    <w:tl2br w:val="nil"/>
                    <w:tr2bl w:val="nil"/>
                  </w:tcBorders>
                  <w:noWrap w:val="0"/>
                  <w:vAlign w:val="center"/>
                </w:tcPr>
                <w:p>
                  <w:pPr>
                    <w:jc w:val="center"/>
                    <w:rPr>
                      <w:rFonts w:hint="eastAsia"/>
                      <w:sz w:val="21"/>
                      <w:szCs w:val="21"/>
                    </w:rPr>
                  </w:pPr>
                  <w:r>
                    <w:rPr>
                      <w:rFonts w:hint="eastAsia"/>
                      <w:sz w:val="21"/>
                      <w:szCs w:val="21"/>
                      <w:lang w:val="en-US" w:eastAsia="zh-CN"/>
                    </w:rPr>
                    <w:t>南河</w:t>
                  </w:r>
                </w:p>
              </w:tc>
              <w:tc>
                <w:tcPr>
                  <w:tcW w:w="1398" w:type="dxa"/>
                  <w:tcBorders>
                    <w:tl2br w:val="nil"/>
                    <w:tr2bl w:val="nil"/>
                  </w:tcBorders>
                  <w:noWrap w:val="0"/>
                  <w:vAlign w:val="center"/>
                </w:tcPr>
                <w:p>
                  <w:pPr>
                    <w:jc w:val="center"/>
                    <w:rPr>
                      <w:rFonts w:hint="eastAsia"/>
                      <w:color w:val="auto"/>
                      <w:sz w:val="21"/>
                      <w:szCs w:val="21"/>
                    </w:rPr>
                  </w:pPr>
                  <w:r>
                    <w:rPr>
                      <w:rFonts w:hint="eastAsia"/>
                      <w:color w:val="auto"/>
                      <w:sz w:val="21"/>
                      <w:szCs w:val="21"/>
                      <w:lang w:val="en-US" w:eastAsia="zh-CN"/>
                    </w:rPr>
                    <w:t>荣山</w:t>
                  </w:r>
                </w:p>
              </w:tc>
              <w:tc>
                <w:tcPr>
                  <w:tcW w:w="981" w:type="dxa"/>
                  <w:tcBorders>
                    <w:tl2br w:val="nil"/>
                    <w:tr2bl w:val="nil"/>
                  </w:tcBorders>
                  <w:noWrap w:val="0"/>
                  <w:vAlign w:val="center"/>
                </w:tcPr>
                <w:p>
                  <w:pPr>
                    <w:jc w:val="center"/>
                    <w:rPr>
                      <w:rFonts w:hint="eastAsia"/>
                      <w:color w:val="auto"/>
                      <w:sz w:val="21"/>
                      <w:szCs w:val="21"/>
                    </w:rPr>
                  </w:pPr>
                  <w:r>
                    <w:rPr>
                      <w:rFonts w:hint="eastAsia"/>
                      <w:color w:val="auto"/>
                      <w:sz w:val="21"/>
                      <w:szCs w:val="21"/>
                      <w:lang w:eastAsia="zh-CN"/>
                    </w:rPr>
                    <w:t>省控</w:t>
                  </w:r>
                </w:p>
              </w:tc>
              <w:tc>
                <w:tcPr>
                  <w:tcW w:w="1226" w:type="dxa"/>
                  <w:tcBorders>
                    <w:tl2br w:val="nil"/>
                    <w:tr2bl w:val="nil"/>
                  </w:tcBorders>
                  <w:noWrap w:val="0"/>
                  <w:vAlign w:val="center"/>
                </w:tcPr>
                <w:p>
                  <w:pPr>
                    <w:jc w:val="center"/>
                    <w:rPr>
                      <w:rFonts w:hint="eastAsia"/>
                      <w:sz w:val="21"/>
                      <w:szCs w:val="21"/>
                    </w:rPr>
                  </w:pPr>
                  <w:r>
                    <w:rPr>
                      <w:rFonts w:hint="eastAsia"/>
                      <w:sz w:val="21"/>
                      <w:szCs w:val="21"/>
                    </w:rPr>
                    <w:t>Ⅲ</w:t>
                  </w:r>
                </w:p>
              </w:tc>
              <w:tc>
                <w:tcPr>
                  <w:tcW w:w="980" w:type="dxa"/>
                  <w:tcBorders>
                    <w:tl2br w:val="nil"/>
                    <w:tr2bl w:val="nil"/>
                  </w:tcBorders>
                  <w:noWrap w:val="0"/>
                  <w:vAlign w:val="center"/>
                </w:tcPr>
                <w:p>
                  <w:pPr>
                    <w:jc w:val="center"/>
                    <w:rPr>
                      <w:rFonts w:hint="eastAsia"/>
                      <w:sz w:val="21"/>
                      <w:szCs w:val="21"/>
                    </w:rPr>
                  </w:pPr>
                  <w:r>
                    <w:rPr>
                      <w:rFonts w:hint="eastAsia"/>
                      <w:sz w:val="21"/>
                      <w:szCs w:val="21"/>
                    </w:rPr>
                    <w:t>Ⅰ</w:t>
                  </w:r>
                </w:p>
              </w:tc>
              <w:tc>
                <w:tcPr>
                  <w:tcW w:w="985" w:type="dxa"/>
                  <w:tcBorders>
                    <w:tl2br w:val="nil"/>
                    <w:tr2bl w:val="nil"/>
                  </w:tcBorders>
                  <w:noWrap w:val="0"/>
                  <w:vAlign w:val="center"/>
                </w:tcPr>
                <w:p>
                  <w:pPr>
                    <w:jc w:val="center"/>
                    <w:rPr>
                      <w:rFonts w:hint="eastAsia"/>
                      <w:sz w:val="21"/>
                      <w:szCs w:val="21"/>
                    </w:rPr>
                  </w:pPr>
                  <w:r>
                    <w:rPr>
                      <w:rFonts w:hint="eastAsia"/>
                      <w:sz w:val="21"/>
                      <w:szCs w:val="21"/>
                    </w:rPr>
                    <w:t>优</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Ⅱ</w:t>
                  </w:r>
                </w:p>
              </w:tc>
              <w:tc>
                <w:tcPr>
                  <w:tcW w:w="990" w:type="dxa"/>
                  <w:tcBorders>
                    <w:tl2br w:val="nil"/>
                    <w:tr2bl w:val="nil"/>
                  </w:tcBorders>
                  <w:noWrap w:val="0"/>
                  <w:vAlign w:val="center"/>
                </w:tcPr>
                <w:p>
                  <w:pPr>
                    <w:jc w:val="center"/>
                    <w:rPr>
                      <w:rFonts w:hint="eastAsia"/>
                      <w:sz w:val="21"/>
                      <w:szCs w:val="21"/>
                    </w:rPr>
                  </w:pPr>
                  <w:r>
                    <w:rPr>
                      <w:rFonts w:hint="eastAsia"/>
                      <w:sz w:val="21"/>
                      <w:szCs w:val="21"/>
                    </w:rPr>
                    <w:t>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61" w:hRule="atLeast"/>
              </w:trPr>
              <w:tc>
                <w:tcPr>
                  <w:tcW w:w="1056" w:type="dxa"/>
                  <w:vMerge w:val="continue"/>
                  <w:tcBorders>
                    <w:tl2br w:val="nil"/>
                    <w:tr2bl w:val="nil"/>
                  </w:tcBorders>
                  <w:noWrap w:val="0"/>
                  <w:vAlign w:val="center"/>
                </w:tcPr>
                <w:p>
                  <w:pPr>
                    <w:jc w:val="center"/>
                    <w:rPr>
                      <w:rFonts w:hint="eastAsia"/>
                      <w:sz w:val="21"/>
                      <w:szCs w:val="21"/>
                    </w:rPr>
                  </w:pPr>
                </w:p>
              </w:tc>
              <w:tc>
                <w:tcPr>
                  <w:tcW w:w="1398" w:type="dxa"/>
                  <w:tcBorders>
                    <w:tl2br w:val="nil"/>
                    <w:tr2bl w:val="nil"/>
                  </w:tcBorders>
                  <w:noWrap w:val="0"/>
                  <w:vAlign w:val="center"/>
                </w:tcPr>
                <w:p>
                  <w:pPr>
                    <w:jc w:val="center"/>
                    <w:rPr>
                      <w:rFonts w:hint="eastAsia"/>
                      <w:color w:val="auto"/>
                      <w:sz w:val="21"/>
                      <w:szCs w:val="21"/>
                    </w:rPr>
                  </w:pPr>
                  <w:r>
                    <w:rPr>
                      <w:rFonts w:hint="eastAsia"/>
                      <w:color w:val="auto"/>
                      <w:sz w:val="21"/>
                      <w:szCs w:val="21"/>
                      <w:lang w:val="en-US" w:eastAsia="zh-CN"/>
                    </w:rPr>
                    <w:t>南渡</w:t>
                  </w:r>
                </w:p>
              </w:tc>
              <w:tc>
                <w:tcPr>
                  <w:tcW w:w="981" w:type="dxa"/>
                  <w:tcBorders>
                    <w:tl2br w:val="nil"/>
                    <w:tr2bl w:val="nil"/>
                  </w:tcBorders>
                  <w:noWrap w:val="0"/>
                  <w:vAlign w:val="center"/>
                </w:tcPr>
                <w:p>
                  <w:pPr>
                    <w:jc w:val="center"/>
                    <w:rPr>
                      <w:rFonts w:hint="eastAsia"/>
                      <w:color w:val="auto"/>
                      <w:sz w:val="21"/>
                      <w:szCs w:val="21"/>
                    </w:rPr>
                  </w:pPr>
                  <w:r>
                    <w:rPr>
                      <w:rFonts w:hint="eastAsia"/>
                      <w:color w:val="auto"/>
                      <w:sz w:val="21"/>
                      <w:szCs w:val="21"/>
                    </w:rPr>
                    <w:t>国控</w:t>
                  </w:r>
                </w:p>
              </w:tc>
              <w:tc>
                <w:tcPr>
                  <w:tcW w:w="1226" w:type="dxa"/>
                  <w:tcBorders>
                    <w:tl2br w:val="nil"/>
                    <w:tr2bl w:val="nil"/>
                  </w:tcBorders>
                  <w:noWrap w:val="0"/>
                  <w:vAlign w:val="center"/>
                </w:tcPr>
                <w:p>
                  <w:pPr>
                    <w:jc w:val="center"/>
                    <w:rPr>
                      <w:rFonts w:hint="eastAsia"/>
                      <w:sz w:val="21"/>
                      <w:szCs w:val="21"/>
                    </w:rPr>
                  </w:pPr>
                  <w:r>
                    <w:rPr>
                      <w:rFonts w:hint="eastAsia"/>
                      <w:sz w:val="21"/>
                      <w:szCs w:val="21"/>
                    </w:rPr>
                    <w:t>Ⅲ</w:t>
                  </w:r>
                </w:p>
              </w:tc>
              <w:tc>
                <w:tcPr>
                  <w:tcW w:w="980" w:type="dxa"/>
                  <w:tcBorders>
                    <w:tl2br w:val="nil"/>
                    <w:tr2bl w:val="nil"/>
                  </w:tcBorders>
                  <w:noWrap w:val="0"/>
                  <w:vAlign w:val="center"/>
                </w:tcPr>
                <w:p>
                  <w:pPr>
                    <w:jc w:val="center"/>
                    <w:rPr>
                      <w:rFonts w:hint="eastAsia"/>
                      <w:sz w:val="21"/>
                      <w:szCs w:val="21"/>
                    </w:rPr>
                  </w:pPr>
                  <w:r>
                    <w:rPr>
                      <w:rFonts w:hint="eastAsia"/>
                      <w:sz w:val="21"/>
                      <w:szCs w:val="21"/>
                    </w:rPr>
                    <w:t>Ⅰ</w:t>
                  </w:r>
                </w:p>
              </w:tc>
              <w:tc>
                <w:tcPr>
                  <w:tcW w:w="985" w:type="dxa"/>
                  <w:tcBorders>
                    <w:tl2br w:val="nil"/>
                    <w:tr2bl w:val="nil"/>
                  </w:tcBorders>
                  <w:noWrap w:val="0"/>
                  <w:vAlign w:val="center"/>
                </w:tcPr>
                <w:p>
                  <w:pPr>
                    <w:jc w:val="center"/>
                    <w:rPr>
                      <w:rFonts w:hint="eastAsia"/>
                      <w:sz w:val="21"/>
                      <w:szCs w:val="21"/>
                    </w:rPr>
                  </w:pPr>
                  <w:r>
                    <w:rPr>
                      <w:rFonts w:hint="eastAsia"/>
                      <w:sz w:val="21"/>
                      <w:szCs w:val="21"/>
                    </w:rPr>
                    <w:t>优</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Ⅰ</w:t>
                  </w:r>
                </w:p>
              </w:tc>
              <w:tc>
                <w:tcPr>
                  <w:tcW w:w="990" w:type="dxa"/>
                  <w:tcBorders>
                    <w:tl2br w:val="nil"/>
                    <w:tr2bl w:val="nil"/>
                  </w:tcBorders>
                  <w:noWrap w:val="0"/>
                  <w:vAlign w:val="center"/>
                </w:tcPr>
                <w:p>
                  <w:pPr>
                    <w:jc w:val="center"/>
                    <w:rPr>
                      <w:rFonts w:hint="eastAsia"/>
                      <w:sz w:val="21"/>
                      <w:szCs w:val="21"/>
                    </w:rPr>
                  </w:pPr>
                  <w:r>
                    <w:rPr>
                      <w:rFonts w:hint="eastAsia"/>
                      <w:sz w:val="21"/>
                      <w:szCs w:val="21"/>
                    </w:rPr>
                    <w:t>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61" w:hRule="atLeast"/>
              </w:trPr>
              <w:tc>
                <w:tcPr>
                  <w:tcW w:w="1056" w:type="dxa"/>
                  <w:vMerge w:val="continue"/>
                  <w:tcBorders>
                    <w:tl2br w:val="nil"/>
                    <w:tr2bl w:val="nil"/>
                  </w:tcBorders>
                  <w:noWrap w:val="0"/>
                  <w:vAlign w:val="center"/>
                </w:tcPr>
                <w:p>
                  <w:pPr>
                    <w:jc w:val="center"/>
                    <w:rPr>
                      <w:rFonts w:hint="eastAsia"/>
                      <w:sz w:val="21"/>
                      <w:szCs w:val="21"/>
                    </w:rPr>
                  </w:pPr>
                </w:p>
              </w:tc>
              <w:tc>
                <w:tcPr>
                  <w:tcW w:w="1398" w:type="dxa"/>
                  <w:tcBorders>
                    <w:tl2br w:val="nil"/>
                    <w:tr2bl w:val="nil"/>
                  </w:tcBorders>
                  <w:noWrap w:val="0"/>
                  <w:vAlign w:val="center"/>
                </w:tcPr>
                <w:p>
                  <w:pPr>
                    <w:jc w:val="center"/>
                    <w:rPr>
                      <w:rFonts w:hint="eastAsia"/>
                      <w:color w:val="auto"/>
                      <w:sz w:val="21"/>
                      <w:szCs w:val="21"/>
                    </w:rPr>
                  </w:pPr>
                  <w:r>
                    <w:rPr>
                      <w:rFonts w:hint="eastAsia"/>
                      <w:color w:val="auto"/>
                      <w:sz w:val="21"/>
                      <w:szCs w:val="21"/>
                      <w:lang w:val="en-US" w:eastAsia="zh-CN"/>
                    </w:rPr>
                    <w:t>安家湾</w:t>
                  </w:r>
                </w:p>
              </w:tc>
              <w:tc>
                <w:tcPr>
                  <w:tcW w:w="981" w:type="dxa"/>
                  <w:tcBorders>
                    <w:tl2br w:val="nil"/>
                    <w:tr2bl w:val="nil"/>
                  </w:tcBorders>
                  <w:noWrap w:val="0"/>
                  <w:vAlign w:val="center"/>
                </w:tcPr>
                <w:p>
                  <w:pPr>
                    <w:jc w:val="center"/>
                    <w:rPr>
                      <w:rFonts w:hint="eastAsia"/>
                      <w:color w:val="auto"/>
                      <w:sz w:val="21"/>
                      <w:szCs w:val="21"/>
                    </w:rPr>
                  </w:pPr>
                  <w:r>
                    <w:rPr>
                      <w:rFonts w:hint="eastAsia"/>
                      <w:color w:val="auto"/>
                      <w:sz w:val="21"/>
                      <w:szCs w:val="21"/>
                      <w:lang w:eastAsia="zh-CN"/>
                    </w:rPr>
                    <w:t>省控</w:t>
                  </w:r>
                </w:p>
              </w:tc>
              <w:tc>
                <w:tcPr>
                  <w:tcW w:w="1226" w:type="dxa"/>
                  <w:tcBorders>
                    <w:tl2br w:val="nil"/>
                    <w:tr2bl w:val="nil"/>
                  </w:tcBorders>
                  <w:noWrap w:val="0"/>
                  <w:vAlign w:val="center"/>
                </w:tcPr>
                <w:p>
                  <w:pPr>
                    <w:jc w:val="center"/>
                    <w:rPr>
                      <w:rFonts w:hint="eastAsia"/>
                      <w:sz w:val="21"/>
                      <w:szCs w:val="21"/>
                    </w:rPr>
                  </w:pPr>
                  <w:r>
                    <w:rPr>
                      <w:rFonts w:hint="eastAsia"/>
                      <w:sz w:val="21"/>
                      <w:szCs w:val="21"/>
                    </w:rPr>
                    <w:t>Ⅲ</w:t>
                  </w:r>
                </w:p>
              </w:tc>
              <w:tc>
                <w:tcPr>
                  <w:tcW w:w="980" w:type="dxa"/>
                  <w:tcBorders>
                    <w:tl2br w:val="nil"/>
                    <w:tr2bl w:val="nil"/>
                  </w:tcBorders>
                  <w:noWrap w:val="0"/>
                  <w:vAlign w:val="center"/>
                </w:tcPr>
                <w:p>
                  <w:pPr>
                    <w:jc w:val="center"/>
                    <w:rPr>
                      <w:rFonts w:hint="eastAsia"/>
                      <w:sz w:val="21"/>
                      <w:szCs w:val="21"/>
                    </w:rPr>
                  </w:pPr>
                  <w:r>
                    <w:rPr>
                      <w:rFonts w:hint="eastAsia"/>
                      <w:sz w:val="21"/>
                      <w:szCs w:val="21"/>
                    </w:rPr>
                    <w:t>Ⅱ</w:t>
                  </w:r>
                </w:p>
              </w:tc>
              <w:tc>
                <w:tcPr>
                  <w:tcW w:w="985" w:type="dxa"/>
                  <w:tcBorders>
                    <w:tl2br w:val="nil"/>
                    <w:tr2bl w:val="nil"/>
                  </w:tcBorders>
                  <w:noWrap w:val="0"/>
                  <w:vAlign w:val="center"/>
                </w:tcPr>
                <w:p>
                  <w:pPr>
                    <w:jc w:val="center"/>
                    <w:rPr>
                      <w:rFonts w:hint="eastAsia"/>
                      <w:sz w:val="21"/>
                      <w:szCs w:val="21"/>
                    </w:rPr>
                  </w:pPr>
                  <w:r>
                    <w:rPr>
                      <w:rFonts w:hint="eastAsia"/>
                      <w:sz w:val="21"/>
                      <w:szCs w:val="21"/>
                    </w:rPr>
                    <w:t>优</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Ⅱ</w:t>
                  </w:r>
                </w:p>
              </w:tc>
              <w:tc>
                <w:tcPr>
                  <w:tcW w:w="990" w:type="dxa"/>
                  <w:tcBorders>
                    <w:tl2br w:val="nil"/>
                    <w:tr2bl w:val="nil"/>
                  </w:tcBorders>
                  <w:noWrap w:val="0"/>
                  <w:vAlign w:val="center"/>
                </w:tcPr>
                <w:p>
                  <w:pPr>
                    <w:jc w:val="center"/>
                    <w:rPr>
                      <w:rFonts w:hint="eastAsia"/>
                      <w:sz w:val="21"/>
                      <w:szCs w:val="21"/>
                    </w:rPr>
                  </w:pPr>
                  <w:r>
                    <w:rPr>
                      <w:rFonts w:hint="eastAsia"/>
                      <w:sz w:val="21"/>
                      <w:szCs w:val="21"/>
                    </w:rPr>
                    <w:t>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61" w:hRule="atLeast"/>
              </w:trPr>
              <w:tc>
                <w:tcPr>
                  <w:tcW w:w="1056" w:type="dxa"/>
                  <w:vMerge w:val="restart"/>
                  <w:tcBorders>
                    <w:tl2br w:val="nil"/>
                    <w:tr2bl w:val="nil"/>
                  </w:tcBorders>
                  <w:noWrap w:val="0"/>
                  <w:vAlign w:val="center"/>
                </w:tcPr>
                <w:p>
                  <w:pPr>
                    <w:jc w:val="center"/>
                    <w:rPr>
                      <w:rFonts w:hint="eastAsia"/>
                      <w:sz w:val="21"/>
                      <w:szCs w:val="21"/>
                    </w:rPr>
                  </w:pPr>
                  <w:r>
                    <w:rPr>
                      <w:rFonts w:hint="eastAsia"/>
                      <w:sz w:val="21"/>
                      <w:szCs w:val="21"/>
                      <w:lang w:val="en-US" w:eastAsia="zh-CN"/>
                    </w:rPr>
                    <w:t>东河</w:t>
                  </w:r>
                </w:p>
              </w:tc>
              <w:tc>
                <w:tcPr>
                  <w:tcW w:w="1398" w:type="dxa"/>
                  <w:tcBorders>
                    <w:tl2br w:val="nil"/>
                    <w:tr2bl w:val="nil"/>
                  </w:tcBorders>
                  <w:noWrap w:val="0"/>
                  <w:vAlign w:val="center"/>
                </w:tcPr>
                <w:p>
                  <w:pPr>
                    <w:jc w:val="center"/>
                    <w:rPr>
                      <w:rFonts w:hint="eastAsia"/>
                      <w:color w:val="auto"/>
                      <w:sz w:val="21"/>
                      <w:szCs w:val="21"/>
                    </w:rPr>
                  </w:pPr>
                  <w:r>
                    <w:rPr>
                      <w:rFonts w:hint="eastAsia"/>
                      <w:color w:val="auto"/>
                      <w:sz w:val="21"/>
                      <w:szCs w:val="21"/>
                      <w:lang w:val="en-US" w:eastAsia="zh-CN"/>
                    </w:rPr>
                    <w:t>王渡</w:t>
                  </w:r>
                </w:p>
              </w:tc>
              <w:tc>
                <w:tcPr>
                  <w:tcW w:w="981" w:type="dxa"/>
                  <w:tcBorders>
                    <w:tl2br w:val="nil"/>
                    <w:tr2bl w:val="nil"/>
                  </w:tcBorders>
                  <w:noWrap w:val="0"/>
                  <w:vAlign w:val="center"/>
                </w:tcPr>
                <w:p>
                  <w:pPr>
                    <w:jc w:val="center"/>
                    <w:rPr>
                      <w:rFonts w:hint="eastAsia"/>
                      <w:color w:val="auto"/>
                      <w:sz w:val="21"/>
                      <w:szCs w:val="21"/>
                    </w:rPr>
                  </w:pPr>
                  <w:r>
                    <w:rPr>
                      <w:rFonts w:hint="eastAsia"/>
                      <w:color w:val="auto"/>
                      <w:sz w:val="21"/>
                      <w:szCs w:val="21"/>
                      <w:lang w:eastAsia="zh-CN"/>
                    </w:rPr>
                    <w:t>省控</w:t>
                  </w:r>
                </w:p>
              </w:tc>
              <w:tc>
                <w:tcPr>
                  <w:tcW w:w="1226" w:type="dxa"/>
                  <w:tcBorders>
                    <w:tl2br w:val="nil"/>
                    <w:tr2bl w:val="nil"/>
                  </w:tcBorders>
                  <w:noWrap w:val="0"/>
                  <w:vAlign w:val="center"/>
                </w:tcPr>
                <w:p>
                  <w:pPr>
                    <w:jc w:val="center"/>
                    <w:rPr>
                      <w:rFonts w:hint="eastAsia"/>
                      <w:sz w:val="21"/>
                      <w:szCs w:val="21"/>
                    </w:rPr>
                  </w:pPr>
                  <w:r>
                    <w:rPr>
                      <w:rFonts w:hint="eastAsia"/>
                      <w:sz w:val="21"/>
                      <w:szCs w:val="21"/>
                    </w:rPr>
                    <w:t>Ⅲ</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Ⅱ</w:t>
                  </w:r>
                </w:p>
              </w:tc>
              <w:tc>
                <w:tcPr>
                  <w:tcW w:w="984" w:type="dxa"/>
                  <w:tcBorders>
                    <w:tl2br w:val="nil"/>
                    <w:tr2bl w:val="nil"/>
                  </w:tcBorders>
                  <w:noWrap w:val="0"/>
                  <w:vAlign w:val="center"/>
                </w:tcPr>
                <w:p>
                  <w:pPr>
                    <w:jc w:val="center"/>
                    <w:rPr>
                      <w:rFonts w:hint="eastAsia"/>
                      <w:sz w:val="21"/>
                      <w:szCs w:val="21"/>
                    </w:rPr>
                  </w:pPr>
                  <w:r>
                    <w:rPr>
                      <w:rFonts w:hint="eastAsia"/>
                      <w:sz w:val="21"/>
                      <w:szCs w:val="21"/>
                    </w:rPr>
                    <w:t>优</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Ⅱ</w:t>
                  </w:r>
                </w:p>
              </w:tc>
              <w:tc>
                <w:tcPr>
                  <w:tcW w:w="990" w:type="dxa"/>
                  <w:tcBorders>
                    <w:tl2br w:val="nil"/>
                    <w:tr2bl w:val="nil"/>
                  </w:tcBorders>
                  <w:noWrap w:val="0"/>
                  <w:vAlign w:val="center"/>
                </w:tcPr>
                <w:p>
                  <w:pPr>
                    <w:jc w:val="center"/>
                    <w:rPr>
                      <w:rFonts w:hint="eastAsia"/>
                      <w:sz w:val="21"/>
                      <w:szCs w:val="21"/>
                    </w:rPr>
                  </w:pPr>
                  <w:r>
                    <w:rPr>
                      <w:rFonts w:hint="eastAsia"/>
                      <w:sz w:val="21"/>
                      <w:szCs w:val="21"/>
                    </w:rPr>
                    <w:t>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61" w:hRule="atLeast"/>
              </w:trPr>
              <w:tc>
                <w:tcPr>
                  <w:tcW w:w="1056" w:type="dxa"/>
                  <w:vMerge w:val="continue"/>
                  <w:tcBorders>
                    <w:tl2br w:val="nil"/>
                    <w:tr2bl w:val="nil"/>
                  </w:tcBorders>
                  <w:noWrap w:val="0"/>
                  <w:vAlign w:val="center"/>
                </w:tcPr>
                <w:p>
                  <w:pPr>
                    <w:jc w:val="center"/>
                    <w:rPr>
                      <w:rFonts w:hint="eastAsia"/>
                      <w:sz w:val="21"/>
                      <w:szCs w:val="21"/>
                    </w:rPr>
                  </w:pPr>
                </w:p>
              </w:tc>
              <w:tc>
                <w:tcPr>
                  <w:tcW w:w="1398" w:type="dxa"/>
                  <w:tcBorders>
                    <w:tl2br w:val="nil"/>
                    <w:tr2bl w:val="nil"/>
                  </w:tcBorders>
                  <w:noWrap w:val="0"/>
                  <w:vAlign w:val="center"/>
                </w:tcPr>
                <w:p>
                  <w:pPr>
                    <w:jc w:val="center"/>
                    <w:rPr>
                      <w:rFonts w:hint="eastAsia"/>
                      <w:color w:val="auto"/>
                      <w:sz w:val="21"/>
                      <w:szCs w:val="21"/>
                    </w:rPr>
                  </w:pPr>
                  <w:r>
                    <w:rPr>
                      <w:rFonts w:hint="eastAsia"/>
                      <w:color w:val="auto"/>
                      <w:sz w:val="21"/>
                      <w:szCs w:val="21"/>
                      <w:lang w:val="en-US" w:eastAsia="zh-CN"/>
                    </w:rPr>
                    <w:t>清泉乡</w:t>
                  </w:r>
                </w:p>
              </w:tc>
              <w:tc>
                <w:tcPr>
                  <w:tcW w:w="981" w:type="dxa"/>
                  <w:tcBorders>
                    <w:tl2br w:val="nil"/>
                    <w:tr2bl w:val="nil"/>
                  </w:tcBorders>
                  <w:noWrap w:val="0"/>
                  <w:vAlign w:val="center"/>
                </w:tcPr>
                <w:p>
                  <w:pPr>
                    <w:jc w:val="center"/>
                    <w:rPr>
                      <w:rFonts w:hint="eastAsia"/>
                      <w:color w:val="auto"/>
                      <w:sz w:val="21"/>
                      <w:szCs w:val="21"/>
                    </w:rPr>
                  </w:pPr>
                  <w:r>
                    <w:rPr>
                      <w:rFonts w:hint="eastAsia"/>
                      <w:color w:val="auto"/>
                      <w:sz w:val="21"/>
                      <w:szCs w:val="21"/>
                    </w:rPr>
                    <w:t>国控</w:t>
                  </w:r>
                </w:p>
              </w:tc>
              <w:tc>
                <w:tcPr>
                  <w:tcW w:w="1226" w:type="dxa"/>
                  <w:tcBorders>
                    <w:tl2br w:val="nil"/>
                    <w:tr2bl w:val="nil"/>
                  </w:tcBorders>
                  <w:noWrap w:val="0"/>
                  <w:vAlign w:val="center"/>
                </w:tcPr>
                <w:p>
                  <w:pPr>
                    <w:jc w:val="center"/>
                    <w:rPr>
                      <w:rFonts w:hint="eastAsia"/>
                      <w:sz w:val="21"/>
                      <w:szCs w:val="21"/>
                    </w:rPr>
                  </w:pPr>
                  <w:r>
                    <w:rPr>
                      <w:rFonts w:hint="eastAsia"/>
                      <w:sz w:val="21"/>
                      <w:szCs w:val="21"/>
                    </w:rPr>
                    <w:t>Ⅲ</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Ⅰ</w:t>
                  </w:r>
                </w:p>
              </w:tc>
              <w:tc>
                <w:tcPr>
                  <w:tcW w:w="984" w:type="dxa"/>
                  <w:tcBorders>
                    <w:tl2br w:val="nil"/>
                    <w:tr2bl w:val="nil"/>
                  </w:tcBorders>
                  <w:noWrap w:val="0"/>
                  <w:vAlign w:val="center"/>
                </w:tcPr>
                <w:p>
                  <w:pPr>
                    <w:jc w:val="center"/>
                    <w:rPr>
                      <w:rFonts w:hint="eastAsia"/>
                      <w:sz w:val="21"/>
                      <w:szCs w:val="21"/>
                    </w:rPr>
                  </w:pPr>
                  <w:r>
                    <w:rPr>
                      <w:rFonts w:hint="eastAsia"/>
                      <w:sz w:val="21"/>
                      <w:szCs w:val="21"/>
                      <w:lang w:eastAsia="zh-CN"/>
                    </w:rPr>
                    <w:t>优</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Ⅰ</w:t>
                  </w:r>
                </w:p>
              </w:tc>
              <w:tc>
                <w:tcPr>
                  <w:tcW w:w="990" w:type="dxa"/>
                  <w:tcBorders>
                    <w:tl2br w:val="nil"/>
                    <w:tr2bl w:val="nil"/>
                  </w:tcBorders>
                  <w:noWrap w:val="0"/>
                  <w:vAlign w:val="center"/>
                </w:tcPr>
                <w:p>
                  <w:pPr>
                    <w:jc w:val="center"/>
                    <w:rPr>
                      <w:rFonts w:hint="eastAsia"/>
                      <w:sz w:val="21"/>
                      <w:szCs w:val="21"/>
                    </w:rPr>
                  </w:pPr>
                  <w:r>
                    <w:rPr>
                      <w:rFonts w:hint="eastAsia"/>
                      <w:sz w:val="21"/>
                      <w:szCs w:val="21"/>
                    </w:rPr>
                    <w:t>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61" w:hRule="atLeast"/>
              </w:trPr>
              <w:tc>
                <w:tcPr>
                  <w:tcW w:w="1056" w:type="dxa"/>
                  <w:vMerge w:val="continue"/>
                  <w:tcBorders>
                    <w:tl2br w:val="nil"/>
                    <w:tr2bl w:val="nil"/>
                  </w:tcBorders>
                  <w:noWrap w:val="0"/>
                  <w:vAlign w:val="center"/>
                </w:tcPr>
                <w:p>
                  <w:pPr>
                    <w:jc w:val="center"/>
                    <w:rPr>
                      <w:rFonts w:hint="eastAsia"/>
                      <w:sz w:val="21"/>
                      <w:szCs w:val="21"/>
                    </w:rPr>
                  </w:pPr>
                </w:p>
              </w:tc>
              <w:tc>
                <w:tcPr>
                  <w:tcW w:w="1398" w:type="dxa"/>
                  <w:tcBorders>
                    <w:tl2br w:val="nil"/>
                    <w:tr2bl w:val="nil"/>
                  </w:tcBorders>
                  <w:noWrap w:val="0"/>
                  <w:vAlign w:val="center"/>
                </w:tcPr>
                <w:p>
                  <w:pPr>
                    <w:jc w:val="center"/>
                    <w:rPr>
                      <w:rFonts w:hint="eastAsia"/>
                      <w:color w:val="auto"/>
                      <w:sz w:val="21"/>
                      <w:szCs w:val="21"/>
                    </w:rPr>
                  </w:pPr>
                  <w:r>
                    <w:rPr>
                      <w:rFonts w:hint="eastAsia"/>
                      <w:color w:val="auto"/>
                      <w:sz w:val="21"/>
                      <w:szCs w:val="21"/>
                      <w:lang w:val="en-US" w:eastAsia="zh-CN"/>
                    </w:rPr>
                    <w:t>喻家咀</w:t>
                  </w:r>
                </w:p>
              </w:tc>
              <w:tc>
                <w:tcPr>
                  <w:tcW w:w="981" w:type="dxa"/>
                  <w:tcBorders>
                    <w:tl2br w:val="nil"/>
                    <w:tr2bl w:val="nil"/>
                  </w:tcBorders>
                  <w:noWrap w:val="0"/>
                  <w:vAlign w:val="center"/>
                </w:tcPr>
                <w:p>
                  <w:pPr>
                    <w:jc w:val="center"/>
                    <w:rPr>
                      <w:rFonts w:hint="eastAsia"/>
                      <w:color w:val="auto"/>
                      <w:sz w:val="21"/>
                      <w:szCs w:val="21"/>
                    </w:rPr>
                  </w:pPr>
                  <w:r>
                    <w:rPr>
                      <w:rFonts w:hint="eastAsia"/>
                      <w:color w:val="auto"/>
                      <w:sz w:val="21"/>
                      <w:szCs w:val="21"/>
                      <w:lang w:eastAsia="zh-CN"/>
                    </w:rPr>
                    <w:t>省控</w:t>
                  </w:r>
                </w:p>
              </w:tc>
              <w:tc>
                <w:tcPr>
                  <w:tcW w:w="1226" w:type="dxa"/>
                  <w:tcBorders>
                    <w:tl2br w:val="nil"/>
                    <w:tr2bl w:val="nil"/>
                  </w:tcBorders>
                  <w:noWrap w:val="0"/>
                  <w:vAlign w:val="center"/>
                </w:tcPr>
                <w:p>
                  <w:pPr>
                    <w:jc w:val="center"/>
                    <w:rPr>
                      <w:rFonts w:hint="eastAsia"/>
                      <w:sz w:val="21"/>
                      <w:szCs w:val="21"/>
                    </w:rPr>
                  </w:pPr>
                  <w:r>
                    <w:rPr>
                      <w:rFonts w:hint="eastAsia"/>
                      <w:sz w:val="21"/>
                      <w:szCs w:val="21"/>
                    </w:rPr>
                    <w:t>Ⅲ</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Ⅱ</w:t>
                  </w:r>
                </w:p>
              </w:tc>
              <w:tc>
                <w:tcPr>
                  <w:tcW w:w="984" w:type="dxa"/>
                  <w:tcBorders>
                    <w:tl2br w:val="nil"/>
                    <w:tr2bl w:val="nil"/>
                  </w:tcBorders>
                  <w:noWrap w:val="0"/>
                  <w:vAlign w:val="center"/>
                </w:tcPr>
                <w:p>
                  <w:pPr>
                    <w:jc w:val="center"/>
                    <w:rPr>
                      <w:rFonts w:hint="eastAsia"/>
                      <w:sz w:val="21"/>
                      <w:szCs w:val="21"/>
                    </w:rPr>
                  </w:pPr>
                  <w:r>
                    <w:rPr>
                      <w:rFonts w:hint="eastAsia"/>
                      <w:sz w:val="21"/>
                      <w:szCs w:val="21"/>
                    </w:rPr>
                    <w:t>优</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Ⅱ</w:t>
                  </w:r>
                </w:p>
              </w:tc>
              <w:tc>
                <w:tcPr>
                  <w:tcW w:w="990" w:type="dxa"/>
                  <w:tcBorders>
                    <w:tl2br w:val="nil"/>
                    <w:tr2bl w:val="nil"/>
                  </w:tcBorders>
                  <w:noWrap w:val="0"/>
                  <w:vAlign w:val="center"/>
                </w:tcPr>
                <w:p>
                  <w:pPr>
                    <w:jc w:val="center"/>
                    <w:rPr>
                      <w:rFonts w:hint="eastAsia"/>
                      <w:sz w:val="21"/>
                      <w:szCs w:val="21"/>
                    </w:rPr>
                  </w:pPr>
                  <w:r>
                    <w:rPr>
                      <w:rFonts w:hint="eastAsia"/>
                      <w:sz w:val="21"/>
                      <w:szCs w:val="21"/>
                    </w:rPr>
                    <w:t>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61" w:hRule="atLeast"/>
              </w:trPr>
              <w:tc>
                <w:tcPr>
                  <w:tcW w:w="1056" w:type="dxa"/>
                  <w:vMerge w:val="restart"/>
                  <w:tcBorders>
                    <w:tl2br w:val="nil"/>
                    <w:tr2bl w:val="nil"/>
                  </w:tcBorders>
                  <w:noWrap w:val="0"/>
                  <w:vAlign w:val="center"/>
                </w:tcPr>
                <w:p>
                  <w:pPr>
                    <w:jc w:val="center"/>
                    <w:rPr>
                      <w:rFonts w:hint="eastAsia"/>
                      <w:sz w:val="21"/>
                      <w:szCs w:val="21"/>
                    </w:rPr>
                  </w:pPr>
                  <w:r>
                    <w:rPr>
                      <w:rFonts w:hint="eastAsia"/>
                      <w:sz w:val="21"/>
                      <w:szCs w:val="21"/>
                      <w:lang w:val="en-US" w:eastAsia="zh-CN"/>
                    </w:rPr>
                    <w:t>白龙江</w:t>
                  </w:r>
                </w:p>
              </w:tc>
              <w:tc>
                <w:tcPr>
                  <w:tcW w:w="1398" w:type="dxa"/>
                  <w:tcBorders>
                    <w:tl2br w:val="nil"/>
                    <w:tr2bl w:val="nil"/>
                  </w:tcBorders>
                  <w:noWrap w:val="0"/>
                  <w:vAlign w:val="center"/>
                </w:tcPr>
                <w:p>
                  <w:pPr>
                    <w:jc w:val="center"/>
                    <w:rPr>
                      <w:rFonts w:hint="eastAsia"/>
                      <w:color w:val="auto"/>
                      <w:sz w:val="21"/>
                      <w:szCs w:val="21"/>
                    </w:rPr>
                  </w:pPr>
                  <w:r>
                    <w:rPr>
                      <w:rFonts w:hint="eastAsia"/>
                      <w:color w:val="auto"/>
                      <w:sz w:val="21"/>
                      <w:szCs w:val="21"/>
                      <w:lang w:val="en-US" w:eastAsia="zh-CN"/>
                    </w:rPr>
                    <w:t>水磨</w:t>
                  </w:r>
                </w:p>
              </w:tc>
              <w:tc>
                <w:tcPr>
                  <w:tcW w:w="981" w:type="dxa"/>
                  <w:tcBorders>
                    <w:tl2br w:val="nil"/>
                    <w:tr2bl w:val="nil"/>
                  </w:tcBorders>
                  <w:noWrap w:val="0"/>
                  <w:vAlign w:val="center"/>
                </w:tcPr>
                <w:p>
                  <w:pPr>
                    <w:jc w:val="center"/>
                    <w:rPr>
                      <w:rFonts w:hint="eastAsia"/>
                      <w:color w:val="auto"/>
                      <w:sz w:val="21"/>
                      <w:szCs w:val="21"/>
                    </w:rPr>
                  </w:pPr>
                  <w:r>
                    <w:rPr>
                      <w:rFonts w:hint="eastAsia"/>
                      <w:color w:val="auto"/>
                      <w:sz w:val="21"/>
                      <w:szCs w:val="21"/>
                      <w:lang w:eastAsia="zh-CN"/>
                    </w:rPr>
                    <w:t>省控</w:t>
                  </w:r>
                </w:p>
              </w:tc>
              <w:tc>
                <w:tcPr>
                  <w:tcW w:w="1226" w:type="dxa"/>
                  <w:tcBorders>
                    <w:tl2br w:val="nil"/>
                    <w:tr2bl w:val="nil"/>
                  </w:tcBorders>
                  <w:noWrap w:val="0"/>
                  <w:vAlign w:val="center"/>
                </w:tcPr>
                <w:p>
                  <w:pPr>
                    <w:jc w:val="center"/>
                    <w:rPr>
                      <w:rFonts w:hint="eastAsia"/>
                      <w:sz w:val="21"/>
                      <w:szCs w:val="21"/>
                    </w:rPr>
                  </w:pPr>
                  <w:r>
                    <w:rPr>
                      <w:rFonts w:hint="eastAsia"/>
                      <w:sz w:val="21"/>
                      <w:szCs w:val="21"/>
                    </w:rPr>
                    <w:t>Ⅲ</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Ⅰ</w:t>
                  </w:r>
                </w:p>
              </w:tc>
              <w:tc>
                <w:tcPr>
                  <w:tcW w:w="984" w:type="dxa"/>
                  <w:tcBorders>
                    <w:tl2br w:val="nil"/>
                    <w:tr2bl w:val="nil"/>
                  </w:tcBorders>
                  <w:noWrap w:val="0"/>
                  <w:vAlign w:val="center"/>
                </w:tcPr>
                <w:p>
                  <w:pPr>
                    <w:jc w:val="center"/>
                    <w:rPr>
                      <w:rFonts w:hint="eastAsia"/>
                      <w:sz w:val="21"/>
                      <w:szCs w:val="21"/>
                    </w:rPr>
                  </w:pPr>
                  <w:r>
                    <w:rPr>
                      <w:rFonts w:hint="eastAsia"/>
                      <w:sz w:val="21"/>
                      <w:szCs w:val="21"/>
                    </w:rPr>
                    <w:t>优</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Ⅰ</w:t>
                  </w:r>
                </w:p>
              </w:tc>
              <w:tc>
                <w:tcPr>
                  <w:tcW w:w="990" w:type="dxa"/>
                  <w:tcBorders>
                    <w:tl2br w:val="nil"/>
                    <w:tr2bl w:val="nil"/>
                  </w:tcBorders>
                  <w:noWrap w:val="0"/>
                  <w:vAlign w:val="center"/>
                </w:tcPr>
                <w:p>
                  <w:pPr>
                    <w:jc w:val="center"/>
                    <w:rPr>
                      <w:rFonts w:hint="eastAsia"/>
                      <w:sz w:val="21"/>
                      <w:szCs w:val="21"/>
                    </w:rPr>
                  </w:pPr>
                  <w:r>
                    <w:rPr>
                      <w:rFonts w:hint="eastAsia"/>
                      <w:sz w:val="21"/>
                      <w:szCs w:val="21"/>
                    </w:rPr>
                    <w:t>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61" w:hRule="atLeast"/>
              </w:trPr>
              <w:tc>
                <w:tcPr>
                  <w:tcW w:w="1056" w:type="dxa"/>
                  <w:vMerge w:val="continue"/>
                  <w:tcBorders>
                    <w:tl2br w:val="nil"/>
                    <w:tr2bl w:val="nil"/>
                  </w:tcBorders>
                  <w:noWrap w:val="0"/>
                  <w:vAlign w:val="center"/>
                </w:tcPr>
                <w:p>
                  <w:pPr>
                    <w:jc w:val="center"/>
                    <w:rPr>
                      <w:rFonts w:hint="eastAsia"/>
                      <w:sz w:val="21"/>
                      <w:szCs w:val="21"/>
                    </w:rPr>
                  </w:pPr>
                </w:p>
              </w:tc>
              <w:tc>
                <w:tcPr>
                  <w:tcW w:w="1398" w:type="dxa"/>
                  <w:tcBorders>
                    <w:tl2br w:val="nil"/>
                    <w:tr2bl w:val="nil"/>
                  </w:tcBorders>
                  <w:noWrap w:val="0"/>
                  <w:vAlign w:val="center"/>
                </w:tcPr>
                <w:p>
                  <w:pPr>
                    <w:jc w:val="center"/>
                    <w:rPr>
                      <w:rFonts w:hint="eastAsia"/>
                      <w:color w:val="auto"/>
                      <w:sz w:val="21"/>
                      <w:szCs w:val="21"/>
                    </w:rPr>
                  </w:pPr>
                  <w:r>
                    <w:rPr>
                      <w:rFonts w:hint="eastAsia"/>
                      <w:color w:val="auto"/>
                      <w:sz w:val="21"/>
                      <w:szCs w:val="21"/>
                      <w:lang w:val="en-US" w:eastAsia="zh-CN"/>
                    </w:rPr>
                    <w:t>苴国村</w:t>
                  </w:r>
                </w:p>
              </w:tc>
              <w:tc>
                <w:tcPr>
                  <w:tcW w:w="981" w:type="dxa"/>
                  <w:tcBorders>
                    <w:tl2br w:val="nil"/>
                    <w:tr2bl w:val="nil"/>
                  </w:tcBorders>
                  <w:noWrap w:val="0"/>
                  <w:vAlign w:val="center"/>
                </w:tcPr>
                <w:p>
                  <w:pPr>
                    <w:jc w:val="center"/>
                    <w:rPr>
                      <w:rFonts w:hint="eastAsia"/>
                      <w:color w:val="auto"/>
                      <w:sz w:val="21"/>
                      <w:szCs w:val="21"/>
                    </w:rPr>
                  </w:pPr>
                  <w:r>
                    <w:rPr>
                      <w:rFonts w:hint="eastAsia"/>
                      <w:color w:val="auto"/>
                      <w:sz w:val="21"/>
                      <w:szCs w:val="21"/>
                    </w:rPr>
                    <w:t>国控</w:t>
                  </w:r>
                </w:p>
              </w:tc>
              <w:tc>
                <w:tcPr>
                  <w:tcW w:w="1226" w:type="dxa"/>
                  <w:tcBorders>
                    <w:tl2br w:val="nil"/>
                    <w:tr2bl w:val="nil"/>
                  </w:tcBorders>
                  <w:noWrap w:val="0"/>
                  <w:vAlign w:val="center"/>
                </w:tcPr>
                <w:p>
                  <w:pPr>
                    <w:jc w:val="center"/>
                    <w:rPr>
                      <w:rFonts w:hint="eastAsia"/>
                      <w:sz w:val="21"/>
                      <w:szCs w:val="21"/>
                    </w:rPr>
                  </w:pPr>
                  <w:r>
                    <w:rPr>
                      <w:rFonts w:hint="eastAsia"/>
                      <w:sz w:val="21"/>
                      <w:szCs w:val="21"/>
                    </w:rPr>
                    <w:t>Ⅲ</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Ⅰ</w:t>
                  </w:r>
                </w:p>
              </w:tc>
              <w:tc>
                <w:tcPr>
                  <w:tcW w:w="984" w:type="dxa"/>
                  <w:tcBorders>
                    <w:tl2br w:val="nil"/>
                    <w:tr2bl w:val="nil"/>
                  </w:tcBorders>
                  <w:noWrap w:val="0"/>
                  <w:vAlign w:val="center"/>
                </w:tcPr>
                <w:p>
                  <w:pPr>
                    <w:jc w:val="center"/>
                    <w:rPr>
                      <w:rFonts w:hint="eastAsia"/>
                      <w:sz w:val="21"/>
                      <w:szCs w:val="21"/>
                    </w:rPr>
                  </w:pPr>
                  <w:r>
                    <w:rPr>
                      <w:rFonts w:hint="eastAsia"/>
                      <w:sz w:val="21"/>
                      <w:szCs w:val="21"/>
                    </w:rPr>
                    <w:t>优</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Ⅰ</w:t>
                  </w:r>
                </w:p>
              </w:tc>
              <w:tc>
                <w:tcPr>
                  <w:tcW w:w="990" w:type="dxa"/>
                  <w:tcBorders>
                    <w:tl2br w:val="nil"/>
                    <w:tr2bl w:val="nil"/>
                  </w:tcBorders>
                  <w:noWrap w:val="0"/>
                  <w:vAlign w:val="center"/>
                </w:tcPr>
                <w:p>
                  <w:pPr>
                    <w:jc w:val="center"/>
                    <w:rPr>
                      <w:rFonts w:hint="eastAsia"/>
                      <w:sz w:val="21"/>
                      <w:szCs w:val="21"/>
                    </w:rPr>
                  </w:pPr>
                  <w:r>
                    <w:rPr>
                      <w:rFonts w:hint="eastAsia"/>
                      <w:sz w:val="21"/>
                      <w:szCs w:val="21"/>
                    </w:rPr>
                    <w:t>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61" w:hRule="atLeast"/>
              </w:trPr>
              <w:tc>
                <w:tcPr>
                  <w:tcW w:w="1056" w:type="dxa"/>
                  <w:tcBorders>
                    <w:tl2br w:val="nil"/>
                    <w:tr2bl w:val="nil"/>
                  </w:tcBorders>
                  <w:noWrap w:val="0"/>
                  <w:vAlign w:val="center"/>
                </w:tcPr>
                <w:p>
                  <w:pPr>
                    <w:jc w:val="center"/>
                    <w:rPr>
                      <w:rFonts w:hint="eastAsia" w:eastAsia="宋体"/>
                      <w:sz w:val="21"/>
                      <w:szCs w:val="21"/>
                      <w:lang w:val="en-US" w:eastAsia="zh-CN"/>
                    </w:rPr>
                  </w:pPr>
                  <w:r>
                    <w:rPr>
                      <w:rFonts w:hint="eastAsia"/>
                      <w:sz w:val="21"/>
                      <w:szCs w:val="21"/>
                      <w:lang w:val="en-US" w:eastAsia="zh-CN"/>
                    </w:rPr>
                    <w:t>白龙河</w:t>
                  </w:r>
                </w:p>
              </w:tc>
              <w:tc>
                <w:tcPr>
                  <w:tcW w:w="1398" w:type="dxa"/>
                  <w:tcBorders>
                    <w:tl2br w:val="nil"/>
                    <w:tr2bl w:val="nil"/>
                  </w:tcBorders>
                  <w:noWrap w:val="0"/>
                  <w:vAlign w:val="center"/>
                </w:tcPr>
                <w:p>
                  <w:pPr>
                    <w:jc w:val="center"/>
                    <w:rPr>
                      <w:rFonts w:hint="eastAsia"/>
                      <w:color w:val="auto"/>
                      <w:sz w:val="21"/>
                      <w:szCs w:val="21"/>
                    </w:rPr>
                  </w:pPr>
                  <w:r>
                    <w:rPr>
                      <w:rFonts w:hint="eastAsia"/>
                      <w:color w:val="auto"/>
                      <w:sz w:val="21"/>
                      <w:szCs w:val="21"/>
                      <w:lang w:val="en-US" w:eastAsia="zh-CN"/>
                    </w:rPr>
                    <w:t>花石包</w:t>
                  </w:r>
                </w:p>
              </w:tc>
              <w:tc>
                <w:tcPr>
                  <w:tcW w:w="981" w:type="dxa"/>
                  <w:tcBorders>
                    <w:tl2br w:val="nil"/>
                    <w:tr2bl w:val="nil"/>
                  </w:tcBorders>
                  <w:noWrap w:val="0"/>
                  <w:vAlign w:val="center"/>
                </w:tcPr>
                <w:p>
                  <w:pPr>
                    <w:jc w:val="center"/>
                    <w:rPr>
                      <w:rFonts w:hint="eastAsia"/>
                      <w:color w:val="auto"/>
                      <w:sz w:val="21"/>
                      <w:szCs w:val="21"/>
                    </w:rPr>
                  </w:pPr>
                  <w:r>
                    <w:rPr>
                      <w:rFonts w:hint="eastAsia"/>
                      <w:color w:val="auto"/>
                      <w:sz w:val="21"/>
                      <w:szCs w:val="21"/>
                      <w:lang w:eastAsia="zh-CN"/>
                    </w:rPr>
                    <w:t>省控</w:t>
                  </w:r>
                </w:p>
              </w:tc>
              <w:tc>
                <w:tcPr>
                  <w:tcW w:w="1226" w:type="dxa"/>
                  <w:tcBorders>
                    <w:tl2br w:val="nil"/>
                    <w:tr2bl w:val="nil"/>
                  </w:tcBorders>
                  <w:noWrap w:val="0"/>
                  <w:vAlign w:val="center"/>
                </w:tcPr>
                <w:p>
                  <w:pPr>
                    <w:jc w:val="center"/>
                    <w:rPr>
                      <w:rFonts w:hint="eastAsia"/>
                      <w:sz w:val="21"/>
                      <w:szCs w:val="21"/>
                    </w:rPr>
                  </w:pPr>
                  <w:r>
                    <w:rPr>
                      <w:rFonts w:hint="eastAsia"/>
                      <w:sz w:val="21"/>
                      <w:szCs w:val="21"/>
                    </w:rPr>
                    <w:t>Ⅲ</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Ⅲ</w:t>
                  </w:r>
                </w:p>
              </w:tc>
              <w:tc>
                <w:tcPr>
                  <w:tcW w:w="984" w:type="dxa"/>
                  <w:tcBorders>
                    <w:tl2br w:val="nil"/>
                    <w:tr2bl w:val="nil"/>
                  </w:tcBorders>
                  <w:noWrap w:val="0"/>
                  <w:vAlign w:val="center"/>
                </w:tcPr>
                <w:p>
                  <w:pPr>
                    <w:jc w:val="center"/>
                    <w:rPr>
                      <w:rFonts w:hint="eastAsia"/>
                      <w:sz w:val="21"/>
                      <w:szCs w:val="21"/>
                    </w:rPr>
                  </w:pPr>
                  <w:r>
                    <w:rPr>
                      <w:rFonts w:hint="eastAsia"/>
                      <w:sz w:val="21"/>
                      <w:szCs w:val="21"/>
                      <w:lang w:eastAsia="zh-CN"/>
                    </w:rPr>
                    <w:t>良好</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Ⅲ</w:t>
                  </w:r>
                </w:p>
              </w:tc>
              <w:tc>
                <w:tcPr>
                  <w:tcW w:w="990" w:type="dxa"/>
                  <w:tcBorders>
                    <w:tl2br w:val="nil"/>
                    <w:tr2bl w:val="nil"/>
                  </w:tcBorders>
                  <w:noWrap w:val="0"/>
                  <w:vAlign w:val="center"/>
                </w:tcPr>
                <w:p>
                  <w:pPr>
                    <w:jc w:val="center"/>
                    <w:rPr>
                      <w:rFonts w:hint="eastAsia"/>
                      <w:sz w:val="21"/>
                      <w:szCs w:val="21"/>
                    </w:rPr>
                  </w:pPr>
                  <w:r>
                    <w:rPr>
                      <w:rFonts w:hint="eastAsia"/>
                      <w:sz w:val="21"/>
                      <w:szCs w:val="21"/>
                    </w:rPr>
                    <w:t>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61" w:hRule="atLeast"/>
              </w:trPr>
              <w:tc>
                <w:tcPr>
                  <w:tcW w:w="1056" w:type="dxa"/>
                  <w:vMerge w:val="restart"/>
                  <w:tcBorders>
                    <w:tl2br w:val="nil"/>
                    <w:tr2bl w:val="nil"/>
                  </w:tcBorders>
                  <w:noWrap w:val="0"/>
                  <w:vAlign w:val="center"/>
                </w:tcPr>
                <w:p>
                  <w:pPr>
                    <w:jc w:val="center"/>
                    <w:rPr>
                      <w:rFonts w:hint="eastAsia"/>
                      <w:sz w:val="21"/>
                      <w:szCs w:val="21"/>
                    </w:rPr>
                  </w:pPr>
                  <w:r>
                    <w:rPr>
                      <w:rFonts w:hint="eastAsia"/>
                      <w:sz w:val="21"/>
                      <w:szCs w:val="21"/>
                      <w:lang w:val="en-US" w:eastAsia="zh-CN"/>
                    </w:rPr>
                    <w:t>西河</w:t>
                  </w:r>
                </w:p>
              </w:tc>
              <w:tc>
                <w:tcPr>
                  <w:tcW w:w="1398" w:type="dxa"/>
                  <w:tcBorders>
                    <w:tl2br w:val="nil"/>
                    <w:tr2bl w:val="nil"/>
                  </w:tcBorders>
                  <w:noWrap w:val="0"/>
                  <w:vAlign w:val="center"/>
                </w:tcPr>
                <w:p>
                  <w:pPr>
                    <w:jc w:val="center"/>
                    <w:rPr>
                      <w:rFonts w:hint="eastAsia"/>
                      <w:color w:val="auto"/>
                      <w:sz w:val="21"/>
                      <w:szCs w:val="21"/>
                    </w:rPr>
                  </w:pPr>
                  <w:r>
                    <w:rPr>
                      <w:rFonts w:hint="eastAsia"/>
                      <w:color w:val="auto"/>
                      <w:sz w:val="21"/>
                      <w:szCs w:val="21"/>
                      <w:lang w:val="en-US" w:eastAsia="zh-CN"/>
                    </w:rPr>
                    <w:t>金刚渡口</w:t>
                  </w:r>
                </w:p>
              </w:tc>
              <w:tc>
                <w:tcPr>
                  <w:tcW w:w="981" w:type="dxa"/>
                  <w:tcBorders>
                    <w:tl2br w:val="nil"/>
                    <w:tr2bl w:val="nil"/>
                  </w:tcBorders>
                  <w:noWrap w:val="0"/>
                  <w:vAlign w:val="center"/>
                </w:tcPr>
                <w:p>
                  <w:pPr>
                    <w:jc w:val="center"/>
                    <w:rPr>
                      <w:rFonts w:hint="eastAsia"/>
                      <w:color w:val="auto"/>
                      <w:sz w:val="21"/>
                      <w:szCs w:val="21"/>
                    </w:rPr>
                  </w:pPr>
                  <w:r>
                    <w:rPr>
                      <w:rFonts w:hint="eastAsia"/>
                      <w:color w:val="auto"/>
                      <w:sz w:val="21"/>
                      <w:szCs w:val="21"/>
                      <w:lang w:eastAsia="zh-CN"/>
                    </w:rPr>
                    <w:t>省控</w:t>
                  </w:r>
                </w:p>
              </w:tc>
              <w:tc>
                <w:tcPr>
                  <w:tcW w:w="1226" w:type="dxa"/>
                  <w:tcBorders>
                    <w:tl2br w:val="nil"/>
                    <w:tr2bl w:val="nil"/>
                  </w:tcBorders>
                  <w:noWrap w:val="0"/>
                  <w:vAlign w:val="center"/>
                </w:tcPr>
                <w:p>
                  <w:pPr>
                    <w:jc w:val="center"/>
                    <w:rPr>
                      <w:rFonts w:hint="eastAsia"/>
                      <w:sz w:val="21"/>
                      <w:szCs w:val="21"/>
                    </w:rPr>
                  </w:pPr>
                  <w:r>
                    <w:rPr>
                      <w:rFonts w:hint="eastAsia"/>
                      <w:sz w:val="21"/>
                      <w:szCs w:val="21"/>
                    </w:rPr>
                    <w:t>Ⅲ</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Ⅱ</w:t>
                  </w:r>
                </w:p>
              </w:tc>
              <w:tc>
                <w:tcPr>
                  <w:tcW w:w="984" w:type="dxa"/>
                  <w:tcBorders>
                    <w:tl2br w:val="nil"/>
                    <w:tr2bl w:val="nil"/>
                  </w:tcBorders>
                  <w:noWrap w:val="0"/>
                  <w:vAlign w:val="center"/>
                </w:tcPr>
                <w:p>
                  <w:pPr>
                    <w:jc w:val="center"/>
                    <w:rPr>
                      <w:rFonts w:hint="eastAsia"/>
                      <w:sz w:val="21"/>
                      <w:szCs w:val="21"/>
                    </w:rPr>
                  </w:pPr>
                  <w:r>
                    <w:rPr>
                      <w:rFonts w:hint="eastAsia"/>
                      <w:sz w:val="21"/>
                      <w:szCs w:val="21"/>
                    </w:rPr>
                    <w:t>优</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Ⅱ</w:t>
                  </w:r>
                </w:p>
              </w:tc>
              <w:tc>
                <w:tcPr>
                  <w:tcW w:w="990" w:type="dxa"/>
                  <w:tcBorders>
                    <w:tl2br w:val="nil"/>
                    <w:tr2bl w:val="nil"/>
                  </w:tcBorders>
                  <w:noWrap w:val="0"/>
                  <w:vAlign w:val="center"/>
                </w:tcPr>
                <w:p>
                  <w:pPr>
                    <w:jc w:val="center"/>
                    <w:rPr>
                      <w:rFonts w:hint="eastAsia"/>
                      <w:sz w:val="21"/>
                      <w:szCs w:val="21"/>
                    </w:rPr>
                  </w:pPr>
                  <w:r>
                    <w:rPr>
                      <w:rFonts w:hint="eastAsia"/>
                      <w:sz w:val="21"/>
                      <w:szCs w:val="21"/>
                    </w:rPr>
                    <w:t>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13" w:hRule="atLeast"/>
              </w:trPr>
              <w:tc>
                <w:tcPr>
                  <w:tcW w:w="1056" w:type="dxa"/>
                  <w:vMerge w:val="continue"/>
                  <w:tcBorders>
                    <w:tl2br w:val="nil"/>
                    <w:tr2bl w:val="nil"/>
                  </w:tcBorders>
                  <w:noWrap w:val="0"/>
                  <w:vAlign w:val="center"/>
                </w:tcPr>
                <w:p>
                  <w:pPr>
                    <w:jc w:val="center"/>
                    <w:rPr>
                      <w:rFonts w:hint="eastAsia"/>
                      <w:sz w:val="21"/>
                      <w:szCs w:val="21"/>
                    </w:rPr>
                  </w:pPr>
                </w:p>
              </w:tc>
              <w:tc>
                <w:tcPr>
                  <w:tcW w:w="1398" w:type="dxa"/>
                  <w:tcBorders>
                    <w:tl2br w:val="nil"/>
                    <w:tr2bl w:val="nil"/>
                  </w:tcBorders>
                  <w:noWrap w:val="0"/>
                  <w:vAlign w:val="center"/>
                </w:tcPr>
                <w:p>
                  <w:pPr>
                    <w:jc w:val="center"/>
                    <w:rPr>
                      <w:rFonts w:hint="eastAsia"/>
                      <w:color w:val="auto"/>
                      <w:sz w:val="21"/>
                      <w:szCs w:val="21"/>
                    </w:rPr>
                  </w:pPr>
                  <w:r>
                    <w:rPr>
                      <w:rFonts w:hint="eastAsia"/>
                      <w:color w:val="auto"/>
                      <w:sz w:val="21"/>
                      <w:szCs w:val="21"/>
                      <w:lang w:val="en-US" w:eastAsia="zh-CN"/>
                    </w:rPr>
                    <w:t>升钟水库铁炉寺（湖库）</w:t>
                  </w:r>
                </w:p>
              </w:tc>
              <w:tc>
                <w:tcPr>
                  <w:tcW w:w="981" w:type="dxa"/>
                  <w:tcBorders>
                    <w:tl2br w:val="nil"/>
                    <w:tr2bl w:val="nil"/>
                  </w:tcBorders>
                  <w:noWrap w:val="0"/>
                  <w:vAlign w:val="center"/>
                </w:tcPr>
                <w:p>
                  <w:pPr>
                    <w:jc w:val="center"/>
                    <w:rPr>
                      <w:rFonts w:hint="eastAsia"/>
                      <w:color w:val="auto"/>
                      <w:sz w:val="21"/>
                      <w:szCs w:val="21"/>
                    </w:rPr>
                  </w:pPr>
                  <w:r>
                    <w:rPr>
                      <w:rFonts w:hint="eastAsia"/>
                      <w:color w:val="auto"/>
                      <w:sz w:val="21"/>
                      <w:szCs w:val="21"/>
                      <w:lang w:eastAsia="zh-CN"/>
                    </w:rPr>
                    <w:t>国控</w:t>
                  </w:r>
                </w:p>
              </w:tc>
              <w:tc>
                <w:tcPr>
                  <w:tcW w:w="1226" w:type="dxa"/>
                  <w:tcBorders>
                    <w:tl2br w:val="nil"/>
                    <w:tr2bl w:val="nil"/>
                  </w:tcBorders>
                  <w:noWrap w:val="0"/>
                  <w:vAlign w:val="center"/>
                </w:tcPr>
                <w:p>
                  <w:pPr>
                    <w:jc w:val="center"/>
                    <w:rPr>
                      <w:rFonts w:hint="eastAsia"/>
                      <w:sz w:val="21"/>
                      <w:szCs w:val="21"/>
                    </w:rPr>
                  </w:pPr>
                  <w:r>
                    <w:rPr>
                      <w:rFonts w:hint="eastAsia"/>
                      <w:sz w:val="21"/>
                      <w:szCs w:val="21"/>
                    </w:rPr>
                    <w:t>Ⅲ</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Ⅱ</w:t>
                  </w:r>
                </w:p>
              </w:tc>
              <w:tc>
                <w:tcPr>
                  <w:tcW w:w="984" w:type="dxa"/>
                  <w:tcBorders>
                    <w:tl2br w:val="nil"/>
                    <w:tr2bl w:val="nil"/>
                  </w:tcBorders>
                  <w:noWrap w:val="0"/>
                  <w:vAlign w:val="center"/>
                </w:tcPr>
                <w:p>
                  <w:pPr>
                    <w:jc w:val="center"/>
                    <w:rPr>
                      <w:rFonts w:hint="eastAsia" w:eastAsia="宋体"/>
                      <w:sz w:val="21"/>
                      <w:szCs w:val="21"/>
                      <w:lang w:eastAsia="zh-CN"/>
                    </w:rPr>
                  </w:pPr>
                  <w:r>
                    <w:rPr>
                      <w:rFonts w:hint="eastAsia"/>
                      <w:sz w:val="21"/>
                      <w:szCs w:val="21"/>
                      <w:lang w:eastAsia="zh-CN"/>
                    </w:rPr>
                    <w:t>优</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Ⅱ</w:t>
                  </w:r>
                </w:p>
              </w:tc>
              <w:tc>
                <w:tcPr>
                  <w:tcW w:w="990" w:type="dxa"/>
                  <w:tcBorders>
                    <w:tl2br w:val="nil"/>
                    <w:tr2bl w:val="nil"/>
                  </w:tcBorders>
                  <w:noWrap w:val="0"/>
                  <w:vAlign w:val="center"/>
                </w:tcPr>
                <w:p>
                  <w:pPr>
                    <w:jc w:val="center"/>
                    <w:rPr>
                      <w:rFonts w:hint="eastAsia"/>
                      <w:sz w:val="21"/>
                      <w:szCs w:val="21"/>
                    </w:rPr>
                  </w:pPr>
                  <w:r>
                    <w:rPr>
                      <w:rFonts w:hint="eastAsia"/>
                      <w:sz w:val="21"/>
                      <w:szCs w:val="21"/>
                    </w:rPr>
                    <w:t>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61" w:hRule="atLeast"/>
              </w:trPr>
              <w:tc>
                <w:tcPr>
                  <w:tcW w:w="1056" w:type="dxa"/>
                  <w:vMerge w:val="restart"/>
                  <w:tcBorders>
                    <w:tl2br w:val="nil"/>
                    <w:tr2bl w:val="nil"/>
                  </w:tcBorders>
                  <w:noWrap w:val="0"/>
                  <w:vAlign w:val="center"/>
                </w:tcPr>
                <w:p>
                  <w:pPr>
                    <w:jc w:val="center"/>
                    <w:rPr>
                      <w:rFonts w:hint="eastAsia"/>
                      <w:sz w:val="21"/>
                      <w:szCs w:val="21"/>
                    </w:rPr>
                  </w:pPr>
                  <w:r>
                    <w:rPr>
                      <w:rFonts w:hint="eastAsia"/>
                      <w:sz w:val="21"/>
                      <w:szCs w:val="21"/>
                      <w:lang w:val="en-US" w:eastAsia="zh-CN"/>
                    </w:rPr>
                    <w:t>清江河</w:t>
                  </w:r>
                </w:p>
              </w:tc>
              <w:tc>
                <w:tcPr>
                  <w:tcW w:w="1398" w:type="dxa"/>
                  <w:tcBorders>
                    <w:tl2br w:val="nil"/>
                    <w:tr2bl w:val="nil"/>
                  </w:tcBorders>
                  <w:noWrap w:val="0"/>
                  <w:vAlign w:val="center"/>
                </w:tcPr>
                <w:p>
                  <w:pPr>
                    <w:jc w:val="center"/>
                    <w:rPr>
                      <w:rFonts w:hint="eastAsia"/>
                      <w:color w:val="auto"/>
                      <w:sz w:val="21"/>
                      <w:szCs w:val="21"/>
                    </w:rPr>
                  </w:pPr>
                  <w:r>
                    <w:rPr>
                      <w:rFonts w:hint="eastAsia"/>
                      <w:color w:val="auto"/>
                      <w:sz w:val="21"/>
                      <w:szCs w:val="21"/>
                      <w:lang w:val="en-US" w:eastAsia="zh-CN"/>
                    </w:rPr>
                    <w:t>石羊村</w:t>
                  </w:r>
                </w:p>
              </w:tc>
              <w:tc>
                <w:tcPr>
                  <w:tcW w:w="981" w:type="dxa"/>
                  <w:tcBorders>
                    <w:tl2br w:val="nil"/>
                    <w:tr2bl w:val="nil"/>
                  </w:tcBorders>
                  <w:noWrap w:val="0"/>
                  <w:vAlign w:val="center"/>
                </w:tcPr>
                <w:p>
                  <w:pPr>
                    <w:jc w:val="center"/>
                    <w:rPr>
                      <w:rFonts w:hint="eastAsia"/>
                      <w:color w:val="auto"/>
                      <w:sz w:val="21"/>
                      <w:szCs w:val="21"/>
                    </w:rPr>
                  </w:pPr>
                  <w:r>
                    <w:rPr>
                      <w:rFonts w:hint="eastAsia"/>
                      <w:color w:val="auto"/>
                      <w:sz w:val="21"/>
                      <w:szCs w:val="21"/>
                      <w:lang w:eastAsia="zh-CN"/>
                    </w:rPr>
                    <w:t>省控</w:t>
                  </w:r>
                </w:p>
              </w:tc>
              <w:tc>
                <w:tcPr>
                  <w:tcW w:w="1226" w:type="dxa"/>
                  <w:tcBorders>
                    <w:tl2br w:val="nil"/>
                    <w:tr2bl w:val="nil"/>
                  </w:tcBorders>
                  <w:noWrap w:val="0"/>
                  <w:vAlign w:val="center"/>
                </w:tcPr>
                <w:p>
                  <w:pPr>
                    <w:jc w:val="center"/>
                    <w:rPr>
                      <w:rFonts w:hint="eastAsia"/>
                      <w:sz w:val="21"/>
                      <w:szCs w:val="21"/>
                    </w:rPr>
                  </w:pPr>
                  <w:r>
                    <w:rPr>
                      <w:rFonts w:hint="eastAsia"/>
                      <w:sz w:val="21"/>
                      <w:szCs w:val="21"/>
                    </w:rPr>
                    <w:t>Ⅲ</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Ⅱ</w:t>
                  </w:r>
                </w:p>
              </w:tc>
              <w:tc>
                <w:tcPr>
                  <w:tcW w:w="984" w:type="dxa"/>
                  <w:tcBorders>
                    <w:tl2br w:val="nil"/>
                    <w:tr2bl w:val="nil"/>
                  </w:tcBorders>
                  <w:noWrap w:val="0"/>
                  <w:vAlign w:val="center"/>
                </w:tcPr>
                <w:p>
                  <w:pPr>
                    <w:jc w:val="center"/>
                    <w:rPr>
                      <w:rFonts w:hint="eastAsia"/>
                      <w:sz w:val="21"/>
                      <w:szCs w:val="21"/>
                    </w:rPr>
                  </w:pPr>
                  <w:r>
                    <w:rPr>
                      <w:rFonts w:hint="eastAsia"/>
                      <w:sz w:val="21"/>
                      <w:szCs w:val="21"/>
                    </w:rPr>
                    <w:t>优</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Ⅰ</w:t>
                  </w:r>
                </w:p>
              </w:tc>
              <w:tc>
                <w:tcPr>
                  <w:tcW w:w="990" w:type="dxa"/>
                  <w:tcBorders>
                    <w:tl2br w:val="nil"/>
                    <w:tr2bl w:val="nil"/>
                  </w:tcBorders>
                  <w:noWrap w:val="0"/>
                  <w:vAlign w:val="center"/>
                </w:tcPr>
                <w:p>
                  <w:pPr>
                    <w:jc w:val="center"/>
                    <w:rPr>
                      <w:rFonts w:hint="eastAsia"/>
                      <w:sz w:val="21"/>
                      <w:szCs w:val="21"/>
                    </w:rPr>
                  </w:pPr>
                  <w:r>
                    <w:rPr>
                      <w:rFonts w:hint="eastAsia"/>
                      <w:sz w:val="21"/>
                      <w:szCs w:val="21"/>
                    </w:rPr>
                    <w:t>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61" w:hRule="atLeast"/>
              </w:trPr>
              <w:tc>
                <w:tcPr>
                  <w:tcW w:w="1056" w:type="dxa"/>
                  <w:vMerge w:val="continue"/>
                  <w:tcBorders>
                    <w:tl2br w:val="nil"/>
                    <w:tr2bl w:val="nil"/>
                  </w:tcBorders>
                  <w:noWrap w:val="0"/>
                  <w:vAlign w:val="center"/>
                </w:tcPr>
                <w:p>
                  <w:pPr>
                    <w:jc w:val="center"/>
                    <w:rPr>
                      <w:rFonts w:hint="eastAsia"/>
                      <w:sz w:val="21"/>
                      <w:szCs w:val="21"/>
                    </w:rPr>
                  </w:pPr>
                </w:p>
              </w:tc>
              <w:tc>
                <w:tcPr>
                  <w:tcW w:w="1398" w:type="dxa"/>
                  <w:tcBorders>
                    <w:tl2br w:val="nil"/>
                    <w:tr2bl w:val="nil"/>
                  </w:tcBorders>
                  <w:noWrap w:val="0"/>
                  <w:vAlign w:val="center"/>
                </w:tcPr>
                <w:p>
                  <w:pPr>
                    <w:jc w:val="center"/>
                    <w:rPr>
                      <w:rFonts w:hint="eastAsia"/>
                      <w:color w:val="auto"/>
                      <w:sz w:val="21"/>
                      <w:szCs w:val="21"/>
                    </w:rPr>
                  </w:pPr>
                  <w:r>
                    <w:rPr>
                      <w:rFonts w:hint="eastAsia"/>
                      <w:color w:val="auto"/>
                      <w:sz w:val="21"/>
                      <w:szCs w:val="21"/>
                      <w:lang w:val="en-US" w:eastAsia="zh-CN"/>
                    </w:rPr>
                    <w:t>五仙庙</w:t>
                  </w:r>
                </w:p>
              </w:tc>
              <w:tc>
                <w:tcPr>
                  <w:tcW w:w="981" w:type="dxa"/>
                  <w:tcBorders>
                    <w:tl2br w:val="nil"/>
                    <w:tr2bl w:val="nil"/>
                  </w:tcBorders>
                  <w:noWrap w:val="0"/>
                  <w:vAlign w:val="center"/>
                </w:tcPr>
                <w:p>
                  <w:pPr>
                    <w:jc w:val="center"/>
                    <w:rPr>
                      <w:rFonts w:hint="eastAsia"/>
                      <w:color w:val="auto"/>
                      <w:sz w:val="21"/>
                      <w:szCs w:val="21"/>
                    </w:rPr>
                  </w:pPr>
                  <w:r>
                    <w:rPr>
                      <w:rFonts w:hint="eastAsia"/>
                      <w:color w:val="auto"/>
                      <w:sz w:val="21"/>
                      <w:szCs w:val="21"/>
                    </w:rPr>
                    <w:t>国控</w:t>
                  </w:r>
                </w:p>
              </w:tc>
              <w:tc>
                <w:tcPr>
                  <w:tcW w:w="1226" w:type="dxa"/>
                  <w:tcBorders>
                    <w:tl2br w:val="nil"/>
                    <w:tr2bl w:val="nil"/>
                  </w:tcBorders>
                  <w:noWrap w:val="0"/>
                  <w:vAlign w:val="center"/>
                </w:tcPr>
                <w:p>
                  <w:pPr>
                    <w:jc w:val="center"/>
                    <w:rPr>
                      <w:rFonts w:hint="eastAsia"/>
                      <w:sz w:val="21"/>
                      <w:szCs w:val="21"/>
                    </w:rPr>
                  </w:pPr>
                  <w:r>
                    <w:rPr>
                      <w:rFonts w:hint="eastAsia"/>
                      <w:sz w:val="21"/>
                      <w:szCs w:val="21"/>
                    </w:rPr>
                    <w:t>Ⅲ</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Ⅰ</w:t>
                  </w:r>
                </w:p>
              </w:tc>
              <w:tc>
                <w:tcPr>
                  <w:tcW w:w="984" w:type="dxa"/>
                  <w:tcBorders>
                    <w:tl2br w:val="nil"/>
                    <w:tr2bl w:val="nil"/>
                  </w:tcBorders>
                  <w:noWrap w:val="0"/>
                  <w:vAlign w:val="center"/>
                </w:tcPr>
                <w:p>
                  <w:pPr>
                    <w:jc w:val="center"/>
                    <w:rPr>
                      <w:rFonts w:hint="eastAsia"/>
                      <w:sz w:val="21"/>
                      <w:szCs w:val="21"/>
                    </w:rPr>
                  </w:pPr>
                  <w:r>
                    <w:rPr>
                      <w:rFonts w:hint="eastAsia"/>
                      <w:sz w:val="21"/>
                      <w:szCs w:val="21"/>
                      <w:lang w:eastAsia="zh-CN"/>
                    </w:rPr>
                    <w:t>优</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Ⅱ</w:t>
                  </w:r>
                </w:p>
              </w:tc>
              <w:tc>
                <w:tcPr>
                  <w:tcW w:w="990" w:type="dxa"/>
                  <w:tcBorders>
                    <w:tl2br w:val="nil"/>
                    <w:tr2bl w:val="nil"/>
                  </w:tcBorders>
                  <w:noWrap w:val="0"/>
                  <w:vAlign w:val="center"/>
                </w:tcPr>
                <w:p>
                  <w:pPr>
                    <w:jc w:val="center"/>
                    <w:rPr>
                      <w:rFonts w:hint="eastAsia"/>
                      <w:sz w:val="21"/>
                      <w:szCs w:val="21"/>
                    </w:rPr>
                  </w:pPr>
                  <w:r>
                    <w:rPr>
                      <w:rFonts w:hint="eastAsia"/>
                      <w:sz w:val="21"/>
                      <w:szCs w:val="21"/>
                    </w:rPr>
                    <w:t>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61" w:hRule="atLeast"/>
              </w:trPr>
              <w:tc>
                <w:tcPr>
                  <w:tcW w:w="1056" w:type="dxa"/>
                  <w:tcBorders>
                    <w:tl2br w:val="nil"/>
                    <w:tr2bl w:val="nil"/>
                  </w:tcBorders>
                  <w:noWrap w:val="0"/>
                  <w:vAlign w:val="center"/>
                </w:tcPr>
                <w:p>
                  <w:pPr>
                    <w:jc w:val="center"/>
                    <w:rPr>
                      <w:rFonts w:hint="eastAsia"/>
                      <w:sz w:val="21"/>
                      <w:szCs w:val="21"/>
                    </w:rPr>
                  </w:pPr>
                  <w:r>
                    <w:rPr>
                      <w:rFonts w:hint="eastAsia"/>
                      <w:sz w:val="21"/>
                      <w:szCs w:val="21"/>
                      <w:lang w:val="en-US" w:eastAsia="zh-CN"/>
                    </w:rPr>
                    <w:t>插江</w:t>
                  </w:r>
                </w:p>
              </w:tc>
              <w:tc>
                <w:tcPr>
                  <w:tcW w:w="1398" w:type="dxa"/>
                  <w:tcBorders>
                    <w:tl2br w:val="nil"/>
                    <w:tr2bl w:val="nil"/>
                  </w:tcBorders>
                  <w:noWrap w:val="0"/>
                  <w:vAlign w:val="center"/>
                </w:tcPr>
                <w:p>
                  <w:pPr>
                    <w:jc w:val="center"/>
                    <w:rPr>
                      <w:rFonts w:hint="eastAsia"/>
                      <w:color w:val="auto"/>
                      <w:sz w:val="21"/>
                      <w:szCs w:val="21"/>
                    </w:rPr>
                  </w:pPr>
                  <w:r>
                    <w:rPr>
                      <w:rFonts w:hint="eastAsia"/>
                      <w:color w:val="auto"/>
                      <w:sz w:val="21"/>
                      <w:szCs w:val="21"/>
                      <w:lang w:val="en-US" w:eastAsia="zh-CN"/>
                    </w:rPr>
                    <w:t>卫子河</w:t>
                  </w:r>
                </w:p>
              </w:tc>
              <w:tc>
                <w:tcPr>
                  <w:tcW w:w="981" w:type="dxa"/>
                  <w:tcBorders>
                    <w:tl2br w:val="nil"/>
                    <w:tr2bl w:val="nil"/>
                  </w:tcBorders>
                  <w:noWrap w:val="0"/>
                  <w:vAlign w:val="center"/>
                </w:tcPr>
                <w:p>
                  <w:pPr>
                    <w:jc w:val="center"/>
                    <w:rPr>
                      <w:rFonts w:hint="eastAsia"/>
                      <w:color w:val="auto"/>
                      <w:sz w:val="21"/>
                      <w:szCs w:val="21"/>
                    </w:rPr>
                  </w:pPr>
                  <w:r>
                    <w:rPr>
                      <w:rFonts w:hint="eastAsia"/>
                      <w:color w:val="auto"/>
                      <w:sz w:val="21"/>
                      <w:szCs w:val="21"/>
                      <w:lang w:eastAsia="zh-CN"/>
                    </w:rPr>
                    <w:t>省控</w:t>
                  </w:r>
                </w:p>
              </w:tc>
              <w:tc>
                <w:tcPr>
                  <w:tcW w:w="1226" w:type="dxa"/>
                  <w:tcBorders>
                    <w:tl2br w:val="nil"/>
                    <w:tr2bl w:val="nil"/>
                  </w:tcBorders>
                  <w:noWrap w:val="0"/>
                  <w:vAlign w:val="center"/>
                </w:tcPr>
                <w:p>
                  <w:pPr>
                    <w:jc w:val="center"/>
                    <w:rPr>
                      <w:rFonts w:hint="eastAsia"/>
                      <w:sz w:val="21"/>
                      <w:szCs w:val="21"/>
                    </w:rPr>
                  </w:pPr>
                  <w:r>
                    <w:rPr>
                      <w:rFonts w:hint="eastAsia"/>
                      <w:sz w:val="21"/>
                      <w:szCs w:val="21"/>
                    </w:rPr>
                    <w:t>Ⅲ</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Ⅱ</w:t>
                  </w:r>
                </w:p>
              </w:tc>
              <w:tc>
                <w:tcPr>
                  <w:tcW w:w="984" w:type="dxa"/>
                  <w:tcBorders>
                    <w:tl2br w:val="nil"/>
                    <w:tr2bl w:val="nil"/>
                  </w:tcBorders>
                  <w:noWrap w:val="0"/>
                  <w:vAlign w:val="center"/>
                </w:tcPr>
                <w:p>
                  <w:pPr>
                    <w:jc w:val="center"/>
                    <w:rPr>
                      <w:rFonts w:hint="eastAsia"/>
                      <w:sz w:val="21"/>
                      <w:szCs w:val="21"/>
                    </w:rPr>
                  </w:pPr>
                  <w:r>
                    <w:rPr>
                      <w:rFonts w:hint="eastAsia"/>
                      <w:sz w:val="21"/>
                      <w:szCs w:val="21"/>
                    </w:rPr>
                    <w:t>优</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Ⅱ</w:t>
                  </w:r>
                </w:p>
              </w:tc>
              <w:tc>
                <w:tcPr>
                  <w:tcW w:w="990" w:type="dxa"/>
                  <w:tcBorders>
                    <w:tl2br w:val="nil"/>
                    <w:tr2bl w:val="nil"/>
                  </w:tcBorders>
                  <w:noWrap w:val="0"/>
                  <w:vAlign w:val="center"/>
                </w:tcPr>
                <w:p>
                  <w:pPr>
                    <w:jc w:val="center"/>
                    <w:rPr>
                      <w:rFonts w:hint="eastAsia"/>
                      <w:sz w:val="21"/>
                      <w:szCs w:val="21"/>
                    </w:rPr>
                  </w:pPr>
                  <w:r>
                    <w:rPr>
                      <w:rFonts w:hint="eastAsia"/>
                      <w:sz w:val="21"/>
                      <w:szCs w:val="21"/>
                    </w:rPr>
                    <w:t>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61" w:hRule="atLeast"/>
              </w:trPr>
              <w:tc>
                <w:tcPr>
                  <w:tcW w:w="1056" w:type="dxa"/>
                  <w:tcBorders>
                    <w:tl2br w:val="nil"/>
                    <w:tr2bl w:val="nil"/>
                  </w:tcBorders>
                  <w:noWrap w:val="0"/>
                  <w:vAlign w:val="center"/>
                </w:tcPr>
                <w:p>
                  <w:pPr>
                    <w:jc w:val="center"/>
                    <w:rPr>
                      <w:rFonts w:hint="eastAsia"/>
                      <w:sz w:val="21"/>
                      <w:szCs w:val="21"/>
                    </w:rPr>
                  </w:pPr>
                  <w:r>
                    <w:rPr>
                      <w:rFonts w:hint="eastAsia"/>
                      <w:sz w:val="21"/>
                      <w:szCs w:val="21"/>
                      <w:lang w:val="en-US" w:eastAsia="zh-CN"/>
                    </w:rPr>
                    <w:t>恩阳河</w:t>
                  </w:r>
                </w:p>
              </w:tc>
              <w:tc>
                <w:tcPr>
                  <w:tcW w:w="1398" w:type="dxa"/>
                  <w:tcBorders>
                    <w:tl2br w:val="nil"/>
                    <w:tr2bl w:val="nil"/>
                  </w:tcBorders>
                  <w:noWrap w:val="0"/>
                  <w:vAlign w:val="center"/>
                </w:tcPr>
                <w:p>
                  <w:pPr>
                    <w:jc w:val="center"/>
                    <w:rPr>
                      <w:rFonts w:hint="eastAsia"/>
                      <w:color w:val="auto"/>
                      <w:sz w:val="21"/>
                      <w:szCs w:val="21"/>
                    </w:rPr>
                  </w:pPr>
                  <w:r>
                    <w:rPr>
                      <w:rFonts w:hint="eastAsia"/>
                      <w:color w:val="auto"/>
                      <w:sz w:val="21"/>
                      <w:szCs w:val="21"/>
                      <w:lang w:val="en-US" w:eastAsia="zh-CN"/>
                    </w:rPr>
                    <w:t>拱桥河</w:t>
                  </w:r>
                </w:p>
              </w:tc>
              <w:tc>
                <w:tcPr>
                  <w:tcW w:w="981" w:type="dxa"/>
                  <w:tcBorders>
                    <w:tl2br w:val="nil"/>
                    <w:tr2bl w:val="nil"/>
                  </w:tcBorders>
                  <w:noWrap w:val="0"/>
                  <w:vAlign w:val="center"/>
                </w:tcPr>
                <w:p>
                  <w:pPr>
                    <w:jc w:val="center"/>
                    <w:rPr>
                      <w:rFonts w:hint="eastAsia"/>
                      <w:color w:val="auto"/>
                      <w:sz w:val="21"/>
                      <w:szCs w:val="21"/>
                    </w:rPr>
                  </w:pPr>
                  <w:r>
                    <w:rPr>
                      <w:rFonts w:hint="eastAsia"/>
                      <w:color w:val="auto"/>
                      <w:sz w:val="21"/>
                      <w:szCs w:val="21"/>
                    </w:rPr>
                    <w:t>国控</w:t>
                  </w:r>
                </w:p>
              </w:tc>
              <w:tc>
                <w:tcPr>
                  <w:tcW w:w="1226" w:type="dxa"/>
                  <w:tcBorders>
                    <w:tl2br w:val="nil"/>
                    <w:tr2bl w:val="nil"/>
                  </w:tcBorders>
                  <w:noWrap w:val="0"/>
                  <w:vAlign w:val="center"/>
                </w:tcPr>
                <w:p>
                  <w:pPr>
                    <w:jc w:val="center"/>
                    <w:rPr>
                      <w:rFonts w:hint="eastAsia"/>
                      <w:sz w:val="21"/>
                      <w:szCs w:val="21"/>
                    </w:rPr>
                  </w:pPr>
                  <w:r>
                    <w:rPr>
                      <w:rFonts w:hint="eastAsia"/>
                      <w:sz w:val="21"/>
                      <w:szCs w:val="21"/>
                    </w:rPr>
                    <w:t>Ⅲ</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Ⅱ</w:t>
                  </w:r>
                </w:p>
              </w:tc>
              <w:tc>
                <w:tcPr>
                  <w:tcW w:w="984" w:type="dxa"/>
                  <w:tcBorders>
                    <w:tl2br w:val="nil"/>
                    <w:tr2bl w:val="nil"/>
                  </w:tcBorders>
                  <w:noWrap w:val="0"/>
                  <w:vAlign w:val="center"/>
                </w:tcPr>
                <w:p>
                  <w:pPr>
                    <w:jc w:val="center"/>
                    <w:rPr>
                      <w:rFonts w:hint="eastAsia" w:eastAsia="宋体"/>
                      <w:sz w:val="21"/>
                      <w:szCs w:val="21"/>
                      <w:lang w:eastAsia="zh-CN"/>
                    </w:rPr>
                  </w:pPr>
                  <w:r>
                    <w:rPr>
                      <w:rFonts w:hint="eastAsia"/>
                      <w:sz w:val="21"/>
                      <w:szCs w:val="21"/>
                      <w:lang w:eastAsia="zh-CN"/>
                    </w:rPr>
                    <w:t>优</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Ⅱ</w:t>
                  </w:r>
                </w:p>
              </w:tc>
              <w:tc>
                <w:tcPr>
                  <w:tcW w:w="990" w:type="dxa"/>
                  <w:tcBorders>
                    <w:tl2br w:val="nil"/>
                    <w:tr2bl w:val="nil"/>
                  </w:tcBorders>
                  <w:noWrap w:val="0"/>
                  <w:vAlign w:val="center"/>
                </w:tcPr>
                <w:p>
                  <w:pPr>
                    <w:jc w:val="center"/>
                    <w:rPr>
                      <w:rFonts w:hint="eastAsia"/>
                      <w:sz w:val="21"/>
                      <w:szCs w:val="21"/>
                    </w:rPr>
                  </w:pPr>
                  <w:r>
                    <w:rPr>
                      <w:rFonts w:hint="eastAsia"/>
                      <w:sz w:val="21"/>
                      <w:szCs w:val="21"/>
                    </w:rPr>
                    <w:t>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61" w:hRule="atLeast"/>
              </w:trPr>
              <w:tc>
                <w:tcPr>
                  <w:tcW w:w="1056" w:type="dxa"/>
                  <w:tcBorders>
                    <w:tl2br w:val="nil"/>
                    <w:tr2bl w:val="nil"/>
                  </w:tcBorders>
                  <w:noWrap w:val="0"/>
                  <w:vAlign w:val="center"/>
                </w:tcPr>
                <w:p>
                  <w:pPr>
                    <w:jc w:val="center"/>
                    <w:rPr>
                      <w:rFonts w:hint="eastAsia"/>
                      <w:sz w:val="21"/>
                      <w:szCs w:val="21"/>
                    </w:rPr>
                  </w:pPr>
                  <w:r>
                    <w:rPr>
                      <w:rFonts w:hint="eastAsia"/>
                      <w:sz w:val="21"/>
                      <w:szCs w:val="21"/>
                      <w:lang w:val="en-US" w:eastAsia="zh-CN"/>
                    </w:rPr>
                    <w:t>构溪河</w:t>
                  </w:r>
                </w:p>
              </w:tc>
              <w:tc>
                <w:tcPr>
                  <w:tcW w:w="1398" w:type="dxa"/>
                  <w:tcBorders>
                    <w:tl2br w:val="nil"/>
                    <w:tr2bl w:val="nil"/>
                  </w:tcBorders>
                  <w:noWrap w:val="0"/>
                  <w:vAlign w:val="center"/>
                </w:tcPr>
                <w:p>
                  <w:pPr>
                    <w:jc w:val="center"/>
                    <w:rPr>
                      <w:rFonts w:hint="eastAsia"/>
                      <w:color w:val="auto"/>
                      <w:sz w:val="21"/>
                      <w:szCs w:val="21"/>
                    </w:rPr>
                  </w:pPr>
                  <w:r>
                    <w:rPr>
                      <w:rFonts w:hint="eastAsia"/>
                      <w:color w:val="auto"/>
                      <w:sz w:val="21"/>
                      <w:szCs w:val="21"/>
                      <w:lang w:val="en-US" w:eastAsia="zh-CN"/>
                    </w:rPr>
                    <w:t>三合场</w:t>
                  </w:r>
                </w:p>
              </w:tc>
              <w:tc>
                <w:tcPr>
                  <w:tcW w:w="981" w:type="dxa"/>
                  <w:tcBorders>
                    <w:tl2br w:val="nil"/>
                    <w:tr2bl w:val="nil"/>
                  </w:tcBorders>
                  <w:noWrap w:val="0"/>
                  <w:vAlign w:val="center"/>
                </w:tcPr>
                <w:p>
                  <w:pPr>
                    <w:jc w:val="center"/>
                    <w:rPr>
                      <w:rFonts w:hint="eastAsia"/>
                      <w:color w:val="auto"/>
                      <w:sz w:val="21"/>
                      <w:szCs w:val="21"/>
                    </w:rPr>
                  </w:pPr>
                  <w:r>
                    <w:rPr>
                      <w:rFonts w:hint="eastAsia"/>
                      <w:color w:val="auto"/>
                      <w:sz w:val="21"/>
                      <w:szCs w:val="21"/>
                    </w:rPr>
                    <w:t>国控</w:t>
                  </w:r>
                </w:p>
              </w:tc>
              <w:tc>
                <w:tcPr>
                  <w:tcW w:w="1226" w:type="dxa"/>
                  <w:tcBorders>
                    <w:tl2br w:val="nil"/>
                    <w:tr2bl w:val="nil"/>
                  </w:tcBorders>
                  <w:noWrap w:val="0"/>
                  <w:vAlign w:val="center"/>
                </w:tcPr>
                <w:p>
                  <w:pPr>
                    <w:jc w:val="center"/>
                    <w:rPr>
                      <w:rFonts w:hint="eastAsia"/>
                      <w:sz w:val="21"/>
                      <w:szCs w:val="21"/>
                    </w:rPr>
                  </w:pPr>
                  <w:r>
                    <w:rPr>
                      <w:rFonts w:hint="eastAsia"/>
                      <w:sz w:val="21"/>
                      <w:szCs w:val="21"/>
                    </w:rPr>
                    <w:t>Ⅲ</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Ⅱ</w:t>
                  </w:r>
                </w:p>
              </w:tc>
              <w:tc>
                <w:tcPr>
                  <w:tcW w:w="984" w:type="dxa"/>
                  <w:tcBorders>
                    <w:tl2br w:val="nil"/>
                    <w:tr2bl w:val="nil"/>
                  </w:tcBorders>
                  <w:noWrap w:val="0"/>
                  <w:vAlign w:val="center"/>
                </w:tcPr>
                <w:p>
                  <w:pPr>
                    <w:jc w:val="center"/>
                    <w:rPr>
                      <w:rFonts w:hint="eastAsia"/>
                      <w:sz w:val="21"/>
                      <w:szCs w:val="21"/>
                    </w:rPr>
                  </w:pPr>
                  <w:r>
                    <w:rPr>
                      <w:rFonts w:hint="eastAsia"/>
                      <w:sz w:val="21"/>
                      <w:szCs w:val="21"/>
                      <w:lang w:eastAsia="zh-CN"/>
                    </w:rPr>
                    <w:t>优</w:t>
                  </w:r>
                </w:p>
              </w:tc>
              <w:tc>
                <w:tcPr>
                  <w:tcW w:w="981" w:type="dxa"/>
                  <w:tcBorders>
                    <w:tl2br w:val="nil"/>
                    <w:tr2bl w:val="nil"/>
                  </w:tcBorders>
                  <w:noWrap w:val="0"/>
                  <w:vAlign w:val="center"/>
                </w:tcPr>
                <w:p>
                  <w:pPr>
                    <w:jc w:val="center"/>
                    <w:rPr>
                      <w:rFonts w:hint="eastAsia"/>
                      <w:sz w:val="21"/>
                      <w:szCs w:val="21"/>
                    </w:rPr>
                  </w:pPr>
                  <w:r>
                    <w:rPr>
                      <w:rFonts w:hint="eastAsia"/>
                      <w:sz w:val="21"/>
                      <w:szCs w:val="21"/>
                    </w:rPr>
                    <w:t>Ⅱ</w:t>
                  </w:r>
                </w:p>
              </w:tc>
              <w:tc>
                <w:tcPr>
                  <w:tcW w:w="990" w:type="dxa"/>
                  <w:tcBorders>
                    <w:tl2br w:val="nil"/>
                    <w:tr2bl w:val="nil"/>
                  </w:tcBorders>
                  <w:noWrap w:val="0"/>
                  <w:vAlign w:val="center"/>
                </w:tcPr>
                <w:p>
                  <w:pPr>
                    <w:jc w:val="center"/>
                    <w:rPr>
                      <w:rFonts w:hint="eastAsia"/>
                      <w:sz w:val="21"/>
                      <w:szCs w:val="21"/>
                    </w:rPr>
                  </w:pPr>
                  <w:r>
                    <w:rPr>
                      <w:rFonts w:hint="eastAsia"/>
                      <w:sz w:val="21"/>
                      <w:szCs w:val="21"/>
                    </w:rPr>
                    <w:t>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5" w:hRule="atLeast"/>
              </w:trPr>
              <w:tc>
                <w:tcPr>
                  <w:tcW w:w="8597" w:type="dxa"/>
                  <w:gridSpan w:val="8"/>
                  <w:tcBorders>
                    <w:tl2br w:val="nil"/>
                    <w:tr2bl w:val="nil"/>
                  </w:tcBorders>
                  <w:noWrap w:val="0"/>
                  <w:vAlign w:val="center"/>
                </w:tcPr>
                <w:p>
                  <w:pPr>
                    <w:jc w:val="left"/>
                    <w:rPr>
                      <w:rFonts w:hint="eastAsia"/>
                      <w:sz w:val="21"/>
                      <w:szCs w:val="21"/>
                    </w:rPr>
                  </w:pPr>
                  <w:r>
                    <w:rPr>
                      <w:rFonts w:hint="eastAsia" w:ascii="宋体" w:hAnsi="宋体" w:eastAsia="宋体" w:cs="宋体"/>
                      <w:sz w:val="21"/>
                      <w:szCs w:val="21"/>
                    </w:rPr>
                    <w:t>按照《地表水环境质量评价办法(试行)》（环办[2011]22号）规定，依据《地表水环境质量标准》（GB3838-2002）中21项指标评价。</w:t>
                  </w:r>
                </w:p>
              </w:tc>
            </w:tr>
          </w:tbl>
          <w:p>
            <w:pPr>
              <w:spacing w:line="360" w:lineRule="auto"/>
              <w:ind w:firstLine="480" w:firstLineChars="20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全市10个国控地表水断面水质状况为优，均达到Ⅱ类及以上标准，其中Ⅰ类5个，Ⅱ类5个。全市9个省控断面和3个趋势科研断面均达到Ⅲ类及以上标准，红岩、金银渡、荣山、安家湾、喻家咀、卫子河、王渡、金刚渡、水磨、石羊村断面地表水水质为优，其中Ⅰ类4个，Ⅱ类6个。花石包断面地表水水质为良好。湖库断面白龙湖坝前水质为优，达到Ⅰ类标准（总氮单独评价，达到Ⅲ类标准），状态分级为贫营养，定性评价为优</w:t>
            </w:r>
            <w:r>
              <w:rPr>
                <w:rFonts w:hint="eastAsia" w:cs="Times New Roman"/>
                <w:b w:val="0"/>
                <w:bCs w:val="0"/>
                <w:color w:val="auto"/>
                <w:sz w:val="24"/>
                <w:szCs w:val="24"/>
                <w:highlight w:val="none"/>
                <w:lang w:eastAsia="zh-CN"/>
              </w:rPr>
              <w:t>。</w:t>
            </w:r>
          </w:p>
          <w:p>
            <w:pPr>
              <w:spacing w:line="360" w:lineRule="auto"/>
              <w:ind w:firstLine="482" w:firstLineChars="200"/>
              <w:rPr>
                <w:rFonts w:hint="default" w:ascii="Times New Roman" w:hAnsi="Times New Roman" w:cs="Times New Roman"/>
                <w:b/>
                <w:bCs/>
                <w:color w:val="auto"/>
                <w:sz w:val="24"/>
                <w:szCs w:val="24"/>
                <w:highlight w:val="none"/>
                <w:shd w:val="clear" w:color="auto" w:fill="auto"/>
              </w:rPr>
            </w:pP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四）</w:t>
            </w:r>
            <w:r>
              <w:rPr>
                <w:rFonts w:hint="default" w:ascii="Times New Roman" w:hAnsi="Times New Roman" w:cs="Times New Roman"/>
                <w:b/>
                <w:bCs/>
                <w:color w:val="auto"/>
                <w:sz w:val="24"/>
                <w:szCs w:val="24"/>
                <w:highlight w:val="none"/>
                <w:shd w:val="clear" w:color="auto" w:fill="auto"/>
              </w:rPr>
              <w:t>声环境质量现状</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项目所在地噪声执行国家《声环境质量标准》</w:t>
            </w:r>
            <w:r>
              <w:rPr>
                <w:rFonts w:hint="default" w:ascii="Times New Roman" w:hAnsi="Times New Roman" w:eastAsia="宋体" w:cs="Times New Roman"/>
                <w:bCs/>
                <w:color w:val="auto"/>
                <w:sz w:val="24"/>
                <w:szCs w:val="24"/>
              </w:rPr>
              <w:t>GB3096</w:t>
            </w:r>
            <w:r>
              <w:rPr>
                <w:rFonts w:hint="default" w:ascii="Times New Roman" w:hAnsi="Times New Roman" w:eastAsia="宋体" w:cs="Times New Roman"/>
                <w:color w:val="auto"/>
                <w:sz w:val="24"/>
                <w:szCs w:val="24"/>
              </w:rPr>
              <w:t>—2008中的2类标准。</w:t>
            </w:r>
          </w:p>
          <w:p>
            <w:pPr>
              <w:keepNext w:val="0"/>
              <w:keepLines w:val="0"/>
              <w:pageBreakBefore w:val="0"/>
              <w:kinsoku/>
              <w:wordWrap/>
              <w:overflowPunct/>
              <w:topLinePunct w:val="0"/>
              <w:autoSpaceDE/>
              <w:autoSpaceDN/>
              <w:bidi w:val="0"/>
              <w:spacing w:beforeAutospacing="0" w:afterAutospacing="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表3-</w:t>
            </w:r>
            <w:r>
              <w:rPr>
                <w:rFonts w:hint="eastAsia" w:ascii="Times New Roman" w:hAnsi="Times New Roman" w:eastAsia="宋体" w:cs="Times New Roman"/>
                <w:b/>
                <w:color w:val="auto"/>
                <w:sz w:val="21"/>
                <w:szCs w:val="21"/>
                <w:lang w:val="en-US" w:eastAsia="zh-CN"/>
              </w:rPr>
              <w:t>6</w:t>
            </w:r>
            <w:r>
              <w:rPr>
                <w:rFonts w:hint="default" w:ascii="Times New Roman" w:hAnsi="Times New Roman" w:eastAsia="宋体" w:cs="Times New Roman"/>
                <w:b/>
                <w:color w:val="auto"/>
                <w:sz w:val="21"/>
                <w:szCs w:val="21"/>
              </w:rPr>
              <w:t xml:space="preserve">  环境噪声监测统计结果       </w:t>
            </w:r>
            <w:r>
              <w:rPr>
                <w:rFonts w:hint="default" w:ascii="Times New Roman" w:hAnsi="Times New Roman" w:eastAsia="宋体" w:cs="Times New Roman"/>
                <w:color w:val="auto"/>
                <w:sz w:val="21"/>
                <w:szCs w:val="21"/>
              </w:rPr>
              <w:t>单位：dB(A)</w:t>
            </w:r>
          </w:p>
          <w:tbl>
            <w:tblPr>
              <w:tblStyle w:val="30"/>
              <w:tblW w:w="841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96"/>
              <w:gridCol w:w="2848"/>
              <w:gridCol w:w="1399"/>
              <w:gridCol w:w="1061"/>
              <w:gridCol w:w="19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tblHeader/>
              </w:trPr>
              <w:tc>
                <w:tcPr>
                  <w:tcW w:w="1196" w:type="dxa"/>
                  <w:tcBorders>
                    <w:tl2br w:val="nil"/>
                    <w:tr2bl w:val="nil"/>
                  </w:tcBorders>
                  <w:noWrap w:val="0"/>
                  <w:vAlign w:val="center"/>
                </w:tcPr>
                <w:p>
                  <w:pPr>
                    <w:spacing w:line="276" w:lineRule="auto"/>
                    <w:jc w:val="center"/>
                    <w:rPr>
                      <w:b w:val="0"/>
                      <w:bCs w:val="0"/>
                      <w:color w:val="auto"/>
                      <w:sz w:val="21"/>
                      <w:szCs w:val="21"/>
                    </w:rPr>
                  </w:pPr>
                  <w:r>
                    <w:rPr>
                      <w:rFonts w:hint="eastAsia"/>
                      <w:b w:val="0"/>
                      <w:bCs w:val="0"/>
                      <w:color w:val="auto"/>
                      <w:sz w:val="21"/>
                      <w:szCs w:val="21"/>
                      <w:lang w:eastAsia="zh-CN"/>
                    </w:rPr>
                    <w:t>检测</w:t>
                  </w:r>
                  <w:r>
                    <w:rPr>
                      <w:rFonts w:hint="eastAsia"/>
                      <w:b w:val="0"/>
                      <w:bCs w:val="0"/>
                      <w:color w:val="auto"/>
                      <w:sz w:val="21"/>
                      <w:szCs w:val="21"/>
                    </w:rPr>
                    <w:t>时间</w:t>
                  </w:r>
                </w:p>
              </w:tc>
              <w:tc>
                <w:tcPr>
                  <w:tcW w:w="2848" w:type="dxa"/>
                  <w:tcBorders>
                    <w:tl2br w:val="nil"/>
                    <w:tr2bl w:val="nil"/>
                  </w:tcBorders>
                  <w:noWrap w:val="0"/>
                  <w:vAlign w:val="center"/>
                </w:tcPr>
                <w:p>
                  <w:pPr>
                    <w:pStyle w:val="26"/>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lang w:eastAsia="zh-CN"/>
                    </w:rPr>
                    <w:t>检测</w:t>
                  </w:r>
                  <w:r>
                    <w:rPr>
                      <w:rFonts w:hint="eastAsia" w:ascii="Times New Roman" w:hAnsi="Times New Roman" w:cs="Times New Roman"/>
                      <w:b w:val="0"/>
                      <w:bCs w:val="0"/>
                      <w:color w:val="auto"/>
                      <w:sz w:val="21"/>
                      <w:szCs w:val="21"/>
                    </w:rPr>
                    <w:t>点位</w:t>
                  </w:r>
                </w:p>
              </w:tc>
              <w:tc>
                <w:tcPr>
                  <w:tcW w:w="1399" w:type="dxa"/>
                  <w:tcBorders>
                    <w:tl2br w:val="nil"/>
                    <w:tr2bl w:val="nil"/>
                  </w:tcBorders>
                  <w:noWrap w:val="0"/>
                  <w:vAlign w:val="center"/>
                </w:tcPr>
                <w:p>
                  <w:pPr>
                    <w:pStyle w:val="26"/>
                    <w:adjustRightInd w:val="0"/>
                    <w:snapToGrid w:val="0"/>
                    <w:spacing w:before="0" w:beforeAutospacing="0" w:after="0" w:afterAutospacing="0"/>
                    <w:jc w:val="center"/>
                    <w:rPr>
                      <w:rFonts w:hint="eastAsia" w:ascii="Times New Roman" w:hAnsi="Times New Roman" w:cs="Times New Roman"/>
                      <w:b w:val="0"/>
                      <w:bCs w:val="0"/>
                      <w:color w:val="auto"/>
                      <w:sz w:val="21"/>
                      <w:szCs w:val="21"/>
                      <w:lang w:eastAsia="zh-CN"/>
                    </w:rPr>
                  </w:pPr>
                  <w:r>
                    <w:rPr>
                      <w:rFonts w:hint="eastAsia" w:ascii="Times New Roman" w:hAnsi="Times New Roman" w:cs="Times New Roman"/>
                      <w:b w:val="0"/>
                      <w:bCs w:val="0"/>
                      <w:color w:val="auto"/>
                      <w:sz w:val="21"/>
                      <w:szCs w:val="21"/>
                    </w:rPr>
                    <w:t>主要声源</w:t>
                  </w:r>
                </w:p>
              </w:tc>
              <w:tc>
                <w:tcPr>
                  <w:tcW w:w="1061" w:type="dxa"/>
                  <w:tcBorders>
                    <w:tl2br w:val="nil"/>
                    <w:tr2bl w:val="nil"/>
                  </w:tcBorders>
                  <w:noWrap w:val="0"/>
                  <w:vAlign w:val="center"/>
                </w:tcPr>
                <w:p>
                  <w:pPr>
                    <w:pStyle w:val="26"/>
                    <w:adjustRightInd w:val="0"/>
                    <w:snapToGrid w:val="0"/>
                    <w:spacing w:before="0" w:beforeAutospacing="0" w:after="0" w:afterAutospacing="0"/>
                    <w:jc w:val="center"/>
                    <w:rPr>
                      <w:rFonts w:hint="eastAsia" w:ascii="Times New Roman" w:hAnsi="Times New Roman" w:cs="Times New Roman"/>
                      <w:b w:val="0"/>
                      <w:bCs w:val="0"/>
                      <w:color w:val="auto"/>
                      <w:sz w:val="21"/>
                      <w:szCs w:val="21"/>
                      <w:lang w:eastAsia="zh-CN"/>
                    </w:rPr>
                  </w:pPr>
                  <w:r>
                    <w:rPr>
                      <w:rFonts w:hint="eastAsia" w:ascii="Times New Roman" w:hAnsi="Times New Roman" w:cs="Times New Roman"/>
                      <w:b w:val="0"/>
                      <w:bCs w:val="0"/>
                      <w:color w:val="auto"/>
                      <w:sz w:val="21"/>
                      <w:szCs w:val="21"/>
                      <w:lang w:eastAsia="zh-CN"/>
                    </w:rPr>
                    <w:t>检测时段</w:t>
                  </w:r>
                </w:p>
              </w:tc>
              <w:tc>
                <w:tcPr>
                  <w:tcW w:w="1911" w:type="dxa"/>
                  <w:tcBorders>
                    <w:tl2br w:val="nil"/>
                    <w:tr2bl w:val="nil"/>
                  </w:tcBorders>
                  <w:noWrap w:val="0"/>
                  <w:vAlign w:val="center"/>
                </w:tcPr>
                <w:p>
                  <w:pPr>
                    <w:pStyle w:val="26"/>
                    <w:adjustRightInd w:val="0"/>
                    <w:snapToGrid w:val="0"/>
                    <w:jc w:val="center"/>
                    <w:rPr>
                      <w:rFonts w:hint="eastAsia"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lang w:eastAsia="zh-CN"/>
                    </w:rPr>
                    <w:t>检测</w:t>
                  </w:r>
                  <w:r>
                    <w:rPr>
                      <w:rFonts w:hint="eastAsia" w:ascii="Times New Roman" w:hAnsi="Times New Roman" w:cs="Times New Roman"/>
                      <w:b w:val="0"/>
                      <w:bCs w:val="0"/>
                      <w:color w:val="auto"/>
                      <w:sz w:val="21"/>
                      <w:szCs w:val="21"/>
                    </w:rPr>
                    <w:t>结果dB（A）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1196" w:type="dxa"/>
                  <w:vMerge w:val="restart"/>
                  <w:tcBorders>
                    <w:tl2br w:val="nil"/>
                    <w:tr2bl w:val="nil"/>
                  </w:tcBorders>
                  <w:noWrap w:val="0"/>
                  <w:vAlign w:val="center"/>
                </w:tcPr>
                <w:p>
                  <w:pPr>
                    <w:spacing w:line="276" w:lineRule="auto"/>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12月18日</w:t>
                  </w:r>
                </w:p>
              </w:tc>
              <w:tc>
                <w:tcPr>
                  <w:tcW w:w="2848" w:type="dxa"/>
                  <w:tcBorders>
                    <w:tl2br w:val="nil"/>
                    <w:tr2bl w:val="nil"/>
                  </w:tcBorders>
                  <w:noWrap w:val="0"/>
                  <w:vAlign w:val="center"/>
                </w:tcPr>
                <w:p>
                  <w:pPr>
                    <w:rPr>
                      <w:rFonts w:hAnsi="宋体"/>
                      <w:color w:val="auto"/>
                      <w:kern w:val="0"/>
                      <w:sz w:val="21"/>
                      <w:szCs w:val="21"/>
                      <w:highlight w:val="none"/>
                    </w:rPr>
                  </w:pPr>
                  <w:r>
                    <w:rPr>
                      <w:rFonts w:hint="eastAsia"/>
                      <w:bCs/>
                      <w:color w:val="000000"/>
                      <w:kern w:val="2"/>
                      <w:sz w:val="24"/>
                      <w:szCs w:val="24"/>
                      <w:highlight w:val="none"/>
                      <w:lang w:val="en-US" w:eastAsia="zh-CN" w:bidi="ar-SA"/>
                    </w:rPr>
                    <w:t>1#庄子沟起点段居民点</w:t>
                  </w:r>
                </w:p>
              </w:tc>
              <w:tc>
                <w:tcPr>
                  <w:tcW w:w="1399" w:type="dxa"/>
                  <w:tcBorders>
                    <w:tl2br w:val="nil"/>
                    <w:tr2bl w:val="nil"/>
                  </w:tcBorders>
                  <w:noWrap w:val="0"/>
                  <w:vAlign w:val="center"/>
                </w:tcPr>
                <w:p>
                  <w:pPr>
                    <w:jc w:val="center"/>
                    <w:rPr>
                      <w:rFonts w:hint="default" w:ascii="宋体" w:hAnsi="宋体"/>
                      <w:color w:val="auto"/>
                      <w:sz w:val="21"/>
                      <w:szCs w:val="21"/>
                      <w:highlight w:val="none"/>
                      <w:lang w:val="en-US" w:eastAsia="zh-CN"/>
                    </w:rPr>
                  </w:pPr>
                  <w:r>
                    <w:rPr>
                      <w:rFonts w:hint="eastAsia"/>
                      <w:color w:val="auto"/>
                      <w:sz w:val="21"/>
                      <w:szCs w:val="21"/>
                      <w:highlight w:val="none"/>
                      <w:lang w:eastAsia="zh-CN"/>
                    </w:rPr>
                    <w:t>环境噪声</w:t>
                  </w:r>
                </w:p>
              </w:tc>
              <w:tc>
                <w:tcPr>
                  <w:tcW w:w="1061" w:type="dxa"/>
                  <w:tcBorders>
                    <w:tl2br w:val="nil"/>
                    <w:tr2bl w:val="nil"/>
                  </w:tcBorders>
                  <w:noWrap w:val="0"/>
                  <w:vAlign w:val="center"/>
                </w:tcPr>
                <w:p>
                  <w:pPr>
                    <w:jc w:val="center"/>
                    <w:rPr>
                      <w:rFonts w:hint="eastAsia" w:ascii="宋体" w:hAnsi="宋体"/>
                      <w:color w:val="auto"/>
                      <w:sz w:val="21"/>
                      <w:szCs w:val="21"/>
                      <w:highlight w:val="none"/>
                      <w:lang w:eastAsia="zh-CN"/>
                    </w:rPr>
                  </w:pPr>
                  <w:r>
                    <w:rPr>
                      <w:rFonts w:hint="eastAsia" w:ascii="宋体" w:hAnsi="宋体"/>
                      <w:color w:val="auto"/>
                      <w:sz w:val="21"/>
                      <w:szCs w:val="21"/>
                      <w:highlight w:val="none"/>
                      <w:lang w:eastAsia="zh-CN"/>
                    </w:rPr>
                    <w:t>昼间</w:t>
                  </w:r>
                </w:p>
              </w:tc>
              <w:tc>
                <w:tcPr>
                  <w:tcW w:w="191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1196" w:type="dxa"/>
                  <w:vMerge w:val="continue"/>
                  <w:tcBorders>
                    <w:tl2br w:val="nil"/>
                    <w:tr2bl w:val="nil"/>
                  </w:tcBorders>
                  <w:noWrap w:val="0"/>
                  <w:vAlign w:val="center"/>
                </w:tcPr>
                <w:p>
                  <w:pPr>
                    <w:jc w:val="center"/>
                    <w:rPr>
                      <w:color w:val="auto"/>
                      <w:sz w:val="21"/>
                      <w:szCs w:val="21"/>
                      <w:highlight w:val="none"/>
                    </w:rPr>
                  </w:pPr>
                </w:p>
              </w:tc>
              <w:tc>
                <w:tcPr>
                  <w:tcW w:w="2848" w:type="dxa"/>
                  <w:tcBorders>
                    <w:tl2br w:val="nil"/>
                    <w:tr2bl w:val="nil"/>
                  </w:tcBorders>
                  <w:noWrap w:val="0"/>
                  <w:vAlign w:val="center"/>
                </w:tcPr>
                <w:p>
                  <w:pPr>
                    <w:rPr>
                      <w:color w:val="auto"/>
                      <w:sz w:val="21"/>
                      <w:szCs w:val="21"/>
                      <w:highlight w:val="none"/>
                    </w:rPr>
                  </w:pPr>
                  <w:r>
                    <w:rPr>
                      <w:rFonts w:hint="eastAsia"/>
                      <w:bCs/>
                      <w:color w:val="000000"/>
                      <w:kern w:val="2"/>
                      <w:sz w:val="24"/>
                      <w:szCs w:val="24"/>
                      <w:highlight w:val="none"/>
                      <w:lang w:val="en-US" w:eastAsia="zh-CN" w:bidi="ar-SA"/>
                    </w:rPr>
                    <w:t>2#庄子沟右侧居民点</w:t>
                  </w:r>
                </w:p>
              </w:tc>
              <w:tc>
                <w:tcPr>
                  <w:tcW w:w="1399" w:type="dxa"/>
                  <w:tcBorders>
                    <w:tl2br w:val="nil"/>
                    <w:tr2bl w:val="nil"/>
                  </w:tcBorders>
                  <w:noWrap w:val="0"/>
                  <w:vAlign w:val="center"/>
                </w:tcPr>
                <w:p>
                  <w:pPr>
                    <w:jc w:val="center"/>
                    <w:rPr>
                      <w:rFonts w:hint="eastAsia" w:ascii="宋体" w:hAnsi="宋体"/>
                      <w:color w:val="auto"/>
                      <w:sz w:val="21"/>
                      <w:szCs w:val="21"/>
                      <w:highlight w:val="none"/>
                      <w:lang w:eastAsia="zh-CN"/>
                    </w:rPr>
                  </w:pPr>
                  <w:r>
                    <w:rPr>
                      <w:rFonts w:hint="eastAsia"/>
                      <w:color w:val="auto"/>
                      <w:sz w:val="21"/>
                      <w:szCs w:val="21"/>
                      <w:highlight w:val="none"/>
                      <w:lang w:eastAsia="zh-CN"/>
                    </w:rPr>
                    <w:t>环境噪声</w:t>
                  </w:r>
                </w:p>
              </w:tc>
              <w:tc>
                <w:tcPr>
                  <w:tcW w:w="1061" w:type="dxa"/>
                  <w:tcBorders>
                    <w:tl2br w:val="nil"/>
                    <w:tr2bl w:val="nil"/>
                  </w:tcBorders>
                  <w:noWrap w:val="0"/>
                  <w:vAlign w:val="center"/>
                </w:tcPr>
                <w:p>
                  <w:pPr>
                    <w:jc w:val="center"/>
                    <w:rPr>
                      <w:rFonts w:hint="eastAsia"/>
                      <w:color w:val="auto"/>
                      <w:sz w:val="21"/>
                      <w:szCs w:val="21"/>
                      <w:highlight w:val="none"/>
                      <w:lang w:eastAsia="zh-CN"/>
                    </w:rPr>
                  </w:pPr>
                  <w:r>
                    <w:rPr>
                      <w:rFonts w:hint="eastAsia" w:ascii="宋体" w:hAnsi="宋体"/>
                      <w:color w:val="auto"/>
                      <w:sz w:val="21"/>
                      <w:szCs w:val="21"/>
                      <w:highlight w:val="none"/>
                      <w:lang w:eastAsia="zh-CN"/>
                    </w:rPr>
                    <w:t>昼间</w:t>
                  </w:r>
                </w:p>
              </w:tc>
              <w:tc>
                <w:tcPr>
                  <w:tcW w:w="1911" w:type="dxa"/>
                  <w:tcBorders>
                    <w:tl2br w:val="nil"/>
                    <w:tr2bl w:val="nil"/>
                  </w:tcBorders>
                  <w:noWrap w:val="0"/>
                  <w:vAlign w:val="center"/>
                </w:tcPr>
                <w:p>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1196" w:type="dxa"/>
                  <w:vMerge w:val="continue"/>
                  <w:tcBorders>
                    <w:tl2br w:val="nil"/>
                    <w:tr2bl w:val="nil"/>
                  </w:tcBorders>
                  <w:noWrap w:val="0"/>
                  <w:vAlign w:val="center"/>
                </w:tcPr>
                <w:p>
                  <w:pPr>
                    <w:spacing w:line="276" w:lineRule="auto"/>
                    <w:jc w:val="center"/>
                    <w:rPr>
                      <w:rFonts w:cs="宋体"/>
                      <w:color w:val="auto"/>
                      <w:sz w:val="21"/>
                      <w:szCs w:val="21"/>
                      <w:highlight w:val="none"/>
                    </w:rPr>
                  </w:pPr>
                </w:p>
              </w:tc>
              <w:tc>
                <w:tcPr>
                  <w:tcW w:w="2848" w:type="dxa"/>
                  <w:tcBorders>
                    <w:tl2br w:val="nil"/>
                    <w:tr2bl w:val="nil"/>
                  </w:tcBorders>
                  <w:noWrap w:val="0"/>
                  <w:vAlign w:val="center"/>
                </w:tcPr>
                <w:p>
                  <w:pPr>
                    <w:rPr>
                      <w:rFonts w:hAnsi="宋体"/>
                      <w:color w:val="auto"/>
                      <w:kern w:val="0"/>
                      <w:sz w:val="21"/>
                      <w:szCs w:val="21"/>
                      <w:highlight w:val="none"/>
                    </w:rPr>
                  </w:pPr>
                  <w:r>
                    <w:rPr>
                      <w:rFonts w:hint="eastAsia"/>
                      <w:bCs/>
                      <w:color w:val="000000"/>
                      <w:kern w:val="2"/>
                      <w:sz w:val="24"/>
                      <w:szCs w:val="24"/>
                      <w:highlight w:val="none"/>
                      <w:lang w:val="en-US" w:eastAsia="zh-CN" w:bidi="ar-SA"/>
                    </w:rPr>
                    <w:t>3#庄子沟左侧居民点</w:t>
                  </w:r>
                </w:p>
              </w:tc>
              <w:tc>
                <w:tcPr>
                  <w:tcW w:w="1399" w:type="dxa"/>
                  <w:tcBorders>
                    <w:tl2br w:val="nil"/>
                    <w:tr2bl w:val="nil"/>
                  </w:tcBorders>
                  <w:noWrap w:val="0"/>
                  <w:vAlign w:val="center"/>
                </w:tcPr>
                <w:p>
                  <w:pPr>
                    <w:jc w:val="center"/>
                    <w:rPr>
                      <w:rFonts w:hint="default" w:cs="Times New Roman"/>
                      <w:color w:val="auto"/>
                      <w:sz w:val="21"/>
                      <w:szCs w:val="21"/>
                      <w:highlight w:val="none"/>
                      <w:lang w:val="en-US" w:eastAsia="zh-CN"/>
                    </w:rPr>
                  </w:pPr>
                  <w:r>
                    <w:rPr>
                      <w:rFonts w:hint="eastAsia"/>
                      <w:color w:val="auto"/>
                      <w:sz w:val="21"/>
                      <w:szCs w:val="21"/>
                      <w:highlight w:val="none"/>
                      <w:lang w:eastAsia="zh-CN"/>
                    </w:rPr>
                    <w:t>环境噪声</w:t>
                  </w:r>
                </w:p>
              </w:tc>
              <w:tc>
                <w:tcPr>
                  <w:tcW w:w="1061" w:type="dxa"/>
                  <w:tcBorders>
                    <w:tl2br w:val="nil"/>
                    <w:tr2bl w:val="nil"/>
                  </w:tcBorders>
                  <w:noWrap w:val="0"/>
                  <w:vAlign w:val="center"/>
                </w:tcPr>
                <w:p>
                  <w:pPr>
                    <w:jc w:val="center"/>
                    <w:rPr>
                      <w:rFonts w:hint="eastAsia" w:ascii="宋体" w:hAnsi="宋体"/>
                      <w:color w:val="auto"/>
                      <w:sz w:val="21"/>
                      <w:szCs w:val="21"/>
                      <w:highlight w:val="none"/>
                      <w:lang w:eastAsia="zh-CN"/>
                    </w:rPr>
                  </w:pPr>
                  <w:r>
                    <w:rPr>
                      <w:rFonts w:hint="eastAsia" w:ascii="宋体" w:hAnsi="宋体"/>
                      <w:color w:val="auto"/>
                      <w:sz w:val="21"/>
                      <w:szCs w:val="21"/>
                      <w:highlight w:val="none"/>
                      <w:lang w:eastAsia="zh-CN"/>
                    </w:rPr>
                    <w:t>昼间</w:t>
                  </w:r>
                </w:p>
              </w:tc>
              <w:tc>
                <w:tcPr>
                  <w:tcW w:w="1911" w:type="dxa"/>
                  <w:tcBorders>
                    <w:tl2br w:val="nil"/>
                    <w:tr2bl w:val="nil"/>
                  </w:tcBorders>
                  <w:noWrap w:val="0"/>
                  <w:vAlign w:val="center"/>
                </w:tcPr>
                <w:p>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1196" w:type="dxa"/>
                  <w:vMerge w:val="continue"/>
                  <w:tcBorders>
                    <w:tl2br w:val="nil"/>
                    <w:tr2bl w:val="nil"/>
                  </w:tcBorders>
                  <w:noWrap w:val="0"/>
                  <w:vAlign w:val="center"/>
                </w:tcPr>
                <w:p>
                  <w:pPr>
                    <w:jc w:val="center"/>
                    <w:rPr>
                      <w:color w:val="auto"/>
                      <w:sz w:val="21"/>
                      <w:szCs w:val="21"/>
                      <w:highlight w:val="none"/>
                    </w:rPr>
                  </w:pPr>
                </w:p>
              </w:tc>
              <w:tc>
                <w:tcPr>
                  <w:tcW w:w="2848" w:type="dxa"/>
                  <w:tcBorders>
                    <w:tl2br w:val="nil"/>
                    <w:tr2bl w:val="nil"/>
                  </w:tcBorders>
                  <w:noWrap w:val="0"/>
                  <w:vAlign w:val="center"/>
                </w:tcPr>
                <w:p>
                  <w:pPr>
                    <w:rPr>
                      <w:color w:val="auto"/>
                      <w:sz w:val="21"/>
                      <w:szCs w:val="21"/>
                      <w:highlight w:val="none"/>
                    </w:rPr>
                  </w:pPr>
                  <w:r>
                    <w:rPr>
                      <w:rFonts w:hint="eastAsia"/>
                      <w:bCs/>
                      <w:color w:val="000000"/>
                      <w:kern w:val="2"/>
                      <w:sz w:val="24"/>
                      <w:szCs w:val="24"/>
                      <w:highlight w:val="none"/>
                      <w:lang w:val="en-US" w:eastAsia="zh-CN" w:bidi="ar-SA"/>
                    </w:rPr>
                    <w:t>4#长坝社区党群服务中心（项目终点段）</w:t>
                  </w:r>
                </w:p>
              </w:tc>
              <w:tc>
                <w:tcPr>
                  <w:tcW w:w="1399" w:type="dxa"/>
                  <w:tcBorders>
                    <w:tl2br w:val="nil"/>
                    <w:tr2bl w:val="nil"/>
                  </w:tcBorders>
                  <w:noWrap w:val="0"/>
                  <w:vAlign w:val="center"/>
                </w:tcPr>
                <w:p>
                  <w:pPr>
                    <w:jc w:val="center"/>
                    <w:rPr>
                      <w:rFonts w:hint="eastAsia" w:ascii="宋体" w:hAnsi="宋体"/>
                      <w:color w:val="auto"/>
                      <w:sz w:val="21"/>
                      <w:szCs w:val="21"/>
                      <w:highlight w:val="none"/>
                      <w:lang w:eastAsia="zh-CN"/>
                    </w:rPr>
                  </w:pPr>
                  <w:r>
                    <w:rPr>
                      <w:rFonts w:hint="eastAsia"/>
                      <w:color w:val="auto"/>
                      <w:sz w:val="21"/>
                      <w:szCs w:val="21"/>
                      <w:highlight w:val="none"/>
                      <w:lang w:eastAsia="zh-CN"/>
                    </w:rPr>
                    <w:t>环境噪声</w:t>
                  </w:r>
                </w:p>
              </w:tc>
              <w:tc>
                <w:tcPr>
                  <w:tcW w:w="1061" w:type="dxa"/>
                  <w:tcBorders>
                    <w:tl2br w:val="nil"/>
                    <w:tr2bl w:val="nil"/>
                  </w:tcBorders>
                  <w:noWrap w:val="0"/>
                  <w:vAlign w:val="center"/>
                </w:tcPr>
                <w:p>
                  <w:pPr>
                    <w:jc w:val="center"/>
                    <w:rPr>
                      <w:rFonts w:hint="eastAsia"/>
                      <w:color w:val="auto"/>
                      <w:sz w:val="21"/>
                      <w:szCs w:val="21"/>
                      <w:highlight w:val="none"/>
                      <w:lang w:eastAsia="zh-CN"/>
                    </w:rPr>
                  </w:pPr>
                  <w:r>
                    <w:rPr>
                      <w:rFonts w:hint="eastAsia" w:ascii="宋体" w:hAnsi="宋体"/>
                      <w:color w:val="auto"/>
                      <w:sz w:val="21"/>
                      <w:szCs w:val="21"/>
                      <w:highlight w:val="none"/>
                      <w:lang w:eastAsia="zh-CN"/>
                    </w:rPr>
                    <w:t>昼间</w:t>
                  </w:r>
                </w:p>
              </w:tc>
              <w:tc>
                <w:tcPr>
                  <w:tcW w:w="1911" w:type="dxa"/>
                  <w:tcBorders>
                    <w:tl2br w:val="nil"/>
                    <w:tr2bl w:val="nil"/>
                  </w:tcBorders>
                  <w:noWrap w:val="0"/>
                  <w:vAlign w:val="center"/>
                </w:tcPr>
                <w:p>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1196" w:type="dxa"/>
                  <w:vMerge w:val="restart"/>
                  <w:tcBorders>
                    <w:tl2br w:val="nil"/>
                    <w:tr2bl w:val="nil"/>
                  </w:tcBorders>
                  <w:noWrap w:val="0"/>
                  <w:vAlign w:val="center"/>
                </w:tcPr>
                <w:p>
                  <w:pPr>
                    <w:spacing w:line="276" w:lineRule="auto"/>
                    <w:jc w:val="center"/>
                    <w:rPr>
                      <w:rFonts w:hint="default" w:eastAsia="宋体" w:cs="宋体"/>
                      <w:color w:val="auto"/>
                      <w:sz w:val="21"/>
                      <w:szCs w:val="21"/>
                      <w:highlight w:val="none"/>
                      <w:lang w:val="en-US" w:eastAsia="zh-CN"/>
                    </w:rPr>
                  </w:pPr>
                  <w:r>
                    <w:rPr>
                      <w:rFonts w:hint="eastAsia" w:eastAsia="宋体" w:cs="宋体"/>
                      <w:color w:val="auto"/>
                      <w:sz w:val="21"/>
                      <w:szCs w:val="21"/>
                      <w:highlight w:val="none"/>
                      <w:lang w:val="en-US" w:eastAsia="zh-CN"/>
                    </w:rPr>
                    <w:t>12月19日</w:t>
                  </w:r>
                </w:p>
              </w:tc>
              <w:tc>
                <w:tcPr>
                  <w:tcW w:w="2848" w:type="dxa"/>
                  <w:tcBorders>
                    <w:tl2br w:val="nil"/>
                    <w:tr2bl w:val="nil"/>
                  </w:tcBorders>
                  <w:noWrap w:val="0"/>
                  <w:vAlign w:val="center"/>
                </w:tcPr>
                <w:p>
                  <w:pPr>
                    <w:rPr>
                      <w:rFonts w:hint="default" w:ascii="Times New Roman" w:hAnsi="Times New Roman" w:eastAsia="宋体" w:cs="Times New Roman"/>
                      <w:color w:val="auto"/>
                      <w:sz w:val="21"/>
                      <w:szCs w:val="21"/>
                      <w:highlight w:val="none"/>
                      <w:lang w:val="en-US" w:eastAsia="zh-CN"/>
                    </w:rPr>
                  </w:pPr>
                  <w:r>
                    <w:rPr>
                      <w:rFonts w:hint="eastAsia"/>
                      <w:bCs/>
                      <w:color w:val="000000"/>
                      <w:kern w:val="2"/>
                      <w:sz w:val="24"/>
                      <w:szCs w:val="24"/>
                      <w:lang w:val="en-US" w:eastAsia="zh-CN" w:bidi="ar-SA"/>
                    </w:rPr>
                    <w:t>1#庄子沟起点段居民点</w:t>
                  </w:r>
                </w:p>
              </w:tc>
              <w:tc>
                <w:tcPr>
                  <w:tcW w:w="1399" w:type="dxa"/>
                  <w:tcBorders>
                    <w:tl2br w:val="nil"/>
                    <w:tr2bl w:val="nil"/>
                  </w:tcBorders>
                  <w:noWrap w:val="0"/>
                  <w:vAlign w:val="center"/>
                </w:tcPr>
                <w:p>
                  <w:pPr>
                    <w:jc w:val="center"/>
                    <w:rPr>
                      <w:rFonts w:hint="eastAsia"/>
                      <w:color w:val="auto"/>
                      <w:sz w:val="21"/>
                      <w:szCs w:val="21"/>
                      <w:highlight w:val="none"/>
                      <w:lang w:eastAsia="zh-CN"/>
                    </w:rPr>
                  </w:pPr>
                  <w:r>
                    <w:rPr>
                      <w:rFonts w:hint="eastAsia"/>
                      <w:color w:val="auto"/>
                      <w:sz w:val="21"/>
                      <w:szCs w:val="21"/>
                      <w:highlight w:val="none"/>
                      <w:lang w:eastAsia="zh-CN"/>
                    </w:rPr>
                    <w:t>环境噪声</w:t>
                  </w:r>
                </w:p>
              </w:tc>
              <w:tc>
                <w:tcPr>
                  <w:tcW w:w="1061" w:type="dxa"/>
                  <w:tcBorders>
                    <w:tl2br w:val="nil"/>
                    <w:tr2bl w:val="nil"/>
                  </w:tcBorders>
                  <w:noWrap w:val="0"/>
                  <w:vAlign w:val="center"/>
                </w:tcPr>
                <w:p>
                  <w:pPr>
                    <w:jc w:val="center"/>
                    <w:rPr>
                      <w:rFonts w:hint="eastAsia"/>
                      <w:color w:val="auto"/>
                      <w:sz w:val="21"/>
                      <w:szCs w:val="21"/>
                      <w:highlight w:val="none"/>
                      <w:lang w:val="en-US" w:eastAsia="zh-CN"/>
                    </w:rPr>
                  </w:pPr>
                  <w:r>
                    <w:rPr>
                      <w:rFonts w:hint="eastAsia" w:ascii="宋体" w:hAnsi="宋体"/>
                      <w:color w:val="auto"/>
                      <w:sz w:val="21"/>
                      <w:szCs w:val="21"/>
                      <w:highlight w:val="none"/>
                      <w:lang w:eastAsia="zh-CN"/>
                    </w:rPr>
                    <w:t>昼间</w:t>
                  </w:r>
                </w:p>
              </w:tc>
              <w:tc>
                <w:tcPr>
                  <w:tcW w:w="1911" w:type="dxa"/>
                  <w:tcBorders>
                    <w:tl2br w:val="nil"/>
                    <w:tr2bl w:val="nil"/>
                  </w:tcBorders>
                  <w:noWrap w:val="0"/>
                  <w:vAlign w:val="center"/>
                </w:tcPr>
                <w:p>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1196" w:type="dxa"/>
                  <w:vMerge w:val="continue"/>
                  <w:tcBorders>
                    <w:tl2br w:val="nil"/>
                    <w:tr2bl w:val="nil"/>
                  </w:tcBorders>
                  <w:noWrap w:val="0"/>
                  <w:vAlign w:val="center"/>
                </w:tcPr>
                <w:p>
                  <w:pPr>
                    <w:spacing w:line="276" w:lineRule="auto"/>
                    <w:jc w:val="center"/>
                    <w:rPr>
                      <w:rFonts w:cs="宋体"/>
                      <w:color w:val="auto"/>
                      <w:sz w:val="21"/>
                      <w:szCs w:val="21"/>
                      <w:highlight w:val="none"/>
                    </w:rPr>
                  </w:pPr>
                </w:p>
              </w:tc>
              <w:tc>
                <w:tcPr>
                  <w:tcW w:w="2848" w:type="dxa"/>
                  <w:tcBorders>
                    <w:tl2br w:val="nil"/>
                    <w:tr2bl w:val="nil"/>
                  </w:tcBorders>
                  <w:noWrap w:val="0"/>
                  <w:vAlign w:val="center"/>
                </w:tcPr>
                <w:p>
                  <w:pPr>
                    <w:rPr>
                      <w:rFonts w:hint="default" w:ascii="Times New Roman" w:hAnsi="Times New Roman" w:eastAsia="宋体" w:cs="Times New Roman"/>
                      <w:color w:val="auto"/>
                      <w:sz w:val="21"/>
                      <w:szCs w:val="21"/>
                      <w:highlight w:val="none"/>
                      <w:lang w:val="en-US" w:eastAsia="zh-CN"/>
                    </w:rPr>
                  </w:pPr>
                  <w:r>
                    <w:rPr>
                      <w:rFonts w:hint="eastAsia"/>
                      <w:bCs/>
                      <w:color w:val="000000"/>
                      <w:kern w:val="2"/>
                      <w:sz w:val="24"/>
                      <w:szCs w:val="24"/>
                      <w:lang w:val="en-US" w:eastAsia="zh-CN" w:bidi="ar-SA"/>
                    </w:rPr>
                    <w:t>2#庄子沟右侧居民点</w:t>
                  </w:r>
                </w:p>
              </w:tc>
              <w:tc>
                <w:tcPr>
                  <w:tcW w:w="1399" w:type="dxa"/>
                  <w:tcBorders>
                    <w:tl2br w:val="nil"/>
                    <w:tr2bl w:val="nil"/>
                  </w:tcBorders>
                  <w:noWrap w:val="0"/>
                  <w:vAlign w:val="center"/>
                </w:tcPr>
                <w:p>
                  <w:pPr>
                    <w:jc w:val="center"/>
                    <w:rPr>
                      <w:rFonts w:hint="eastAsia"/>
                      <w:color w:val="auto"/>
                      <w:sz w:val="21"/>
                      <w:szCs w:val="21"/>
                      <w:highlight w:val="none"/>
                      <w:lang w:eastAsia="zh-CN"/>
                    </w:rPr>
                  </w:pPr>
                  <w:r>
                    <w:rPr>
                      <w:rFonts w:hint="eastAsia"/>
                      <w:color w:val="auto"/>
                      <w:sz w:val="21"/>
                      <w:szCs w:val="21"/>
                      <w:highlight w:val="none"/>
                      <w:lang w:eastAsia="zh-CN"/>
                    </w:rPr>
                    <w:t>环境噪声</w:t>
                  </w:r>
                </w:p>
              </w:tc>
              <w:tc>
                <w:tcPr>
                  <w:tcW w:w="1061" w:type="dxa"/>
                  <w:tcBorders>
                    <w:tl2br w:val="nil"/>
                    <w:tr2bl w:val="nil"/>
                  </w:tcBorders>
                  <w:noWrap w:val="0"/>
                  <w:vAlign w:val="center"/>
                </w:tcPr>
                <w:p>
                  <w:pPr>
                    <w:jc w:val="center"/>
                    <w:rPr>
                      <w:rFonts w:hint="eastAsia"/>
                      <w:color w:val="auto"/>
                      <w:sz w:val="21"/>
                      <w:szCs w:val="21"/>
                      <w:highlight w:val="none"/>
                      <w:lang w:val="en-US" w:eastAsia="zh-CN"/>
                    </w:rPr>
                  </w:pPr>
                  <w:r>
                    <w:rPr>
                      <w:rFonts w:hint="eastAsia" w:ascii="宋体" w:hAnsi="宋体"/>
                      <w:color w:val="auto"/>
                      <w:sz w:val="21"/>
                      <w:szCs w:val="21"/>
                      <w:highlight w:val="none"/>
                      <w:lang w:eastAsia="zh-CN"/>
                    </w:rPr>
                    <w:t>昼间</w:t>
                  </w:r>
                </w:p>
              </w:tc>
              <w:tc>
                <w:tcPr>
                  <w:tcW w:w="1911" w:type="dxa"/>
                  <w:tcBorders>
                    <w:tl2br w:val="nil"/>
                    <w:tr2bl w:val="nil"/>
                  </w:tcBorders>
                  <w:noWrap w:val="0"/>
                  <w:vAlign w:val="center"/>
                </w:tcPr>
                <w:p>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1196" w:type="dxa"/>
                  <w:vMerge w:val="continue"/>
                  <w:tcBorders>
                    <w:tl2br w:val="nil"/>
                    <w:tr2bl w:val="nil"/>
                  </w:tcBorders>
                  <w:noWrap w:val="0"/>
                  <w:vAlign w:val="center"/>
                </w:tcPr>
                <w:p>
                  <w:pPr>
                    <w:spacing w:line="276" w:lineRule="auto"/>
                    <w:jc w:val="center"/>
                    <w:rPr>
                      <w:rFonts w:cs="宋体"/>
                      <w:color w:val="auto"/>
                      <w:sz w:val="21"/>
                      <w:szCs w:val="21"/>
                      <w:highlight w:val="none"/>
                    </w:rPr>
                  </w:pPr>
                </w:p>
              </w:tc>
              <w:tc>
                <w:tcPr>
                  <w:tcW w:w="2848" w:type="dxa"/>
                  <w:tcBorders>
                    <w:tl2br w:val="nil"/>
                    <w:tr2bl w:val="nil"/>
                  </w:tcBorders>
                  <w:noWrap w:val="0"/>
                  <w:vAlign w:val="center"/>
                </w:tcPr>
                <w:p>
                  <w:pPr>
                    <w:rPr>
                      <w:rFonts w:hint="default" w:ascii="Times New Roman" w:hAnsi="Times New Roman" w:eastAsia="宋体" w:cs="Times New Roman"/>
                      <w:color w:val="auto"/>
                      <w:sz w:val="21"/>
                      <w:szCs w:val="21"/>
                      <w:highlight w:val="none"/>
                      <w:lang w:val="en-US" w:eastAsia="zh-CN"/>
                    </w:rPr>
                  </w:pPr>
                  <w:r>
                    <w:rPr>
                      <w:rFonts w:hint="eastAsia"/>
                      <w:bCs/>
                      <w:color w:val="000000"/>
                      <w:kern w:val="2"/>
                      <w:sz w:val="24"/>
                      <w:szCs w:val="24"/>
                      <w:lang w:val="en-US" w:eastAsia="zh-CN" w:bidi="ar-SA"/>
                    </w:rPr>
                    <w:t>3#庄子沟左侧居民点</w:t>
                  </w:r>
                </w:p>
              </w:tc>
              <w:tc>
                <w:tcPr>
                  <w:tcW w:w="1399" w:type="dxa"/>
                  <w:tcBorders>
                    <w:tl2br w:val="nil"/>
                    <w:tr2bl w:val="nil"/>
                  </w:tcBorders>
                  <w:noWrap w:val="0"/>
                  <w:vAlign w:val="center"/>
                </w:tcPr>
                <w:p>
                  <w:pPr>
                    <w:jc w:val="center"/>
                    <w:rPr>
                      <w:rFonts w:hint="eastAsia"/>
                      <w:color w:val="auto"/>
                      <w:sz w:val="21"/>
                      <w:szCs w:val="21"/>
                      <w:highlight w:val="none"/>
                      <w:lang w:eastAsia="zh-CN"/>
                    </w:rPr>
                  </w:pPr>
                  <w:r>
                    <w:rPr>
                      <w:rFonts w:hint="eastAsia"/>
                      <w:color w:val="auto"/>
                      <w:sz w:val="21"/>
                      <w:szCs w:val="21"/>
                      <w:highlight w:val="none"/>
                      <w:lang w:eastAsia="zh-CN"/>
                    </w:rPr>
                    <w:t>环境噪声</w:t>
                  </w:r>
                </w:p>
              </w:tc>
              <w:tc>
                <w:tcPr>
                  <w:tcW w:w="1061" w:type="dxa"/>
                  <w:tcBorders>
                    <w:tl2br w:val="nil"/>
                    <w:tr2bl w:val="nil"/>
                  </w:tcBorders>
                  <w:noWrap w:val="0"/>
                  <w:vAlign w:val="center"/>
                </w:tcPr>
                <w:p>
                  <w:pPr>
                    <w:jc w:val="center"/>
                    <w:rPr>
                      <w:rFonts w:hint="eastAsia"/>
                      <w:color w:val="auto"/>
                      <w:sz w:val="21"/>
                      <w:szCs w:val="21"/>
                      <w:highlight w:val="none"/>
                      <w:lang w:val="en-US" w:eastAsia="zh-CN"/>
                    </w:rPr>
                  </w:pPr>
                  <w:r>
                    <w:rPr>
                      <w:rFonts w:hint="eastAsia" w:ascii="宋体" w:hAnsi="宋体"/>
                      <w:color w:val="auto"/>
                      <w:sz w:val="21"/>
                      <w:szCs w:val="21"/>
                      <w:highlight w:val="none"/>
                      <w:lang w:eastAsia="zh-CN"/>
                    </w:rPr>
                    <w:t>昼间</w:t>
                  </w:r>
                </w:p>
              </w:tc>
              <w:tc>
                <w:tcPr>
                  <w:tcW w:w="1911" w:type="dxa"/>
                  <w:tcBorders>
                    <w:tl2br w:val="nil"/>
                    <w:tr2bl w:val="nil"/>
                  </w:tcBorders>
                  <w:noWrap w:val="0"/>
                  <w:vAlign w:val="center"/>
                </w:tcPr>
                <w:p>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1196" w:type="dxa"/>
                  <w:vMerge w:val="continue"/>
                  <w:tcBorders>
                    <w:tl2br w:val="nil"/>
                    <w:tr2bl w:val="nil"/>
                  </w:tcBorders>
                  <w:noWrap w:val="0"/>
                  <w:vAlign w:val="center"/>
                </w:tcPr>
                <w:p>
                  <w:pPr>
                    <w:spacing w:line="276" w:lineRule="auto"/>
                    <w:jc w:val="center"/>
                    <w:rPr>
                      <w:rFonts w:cs="宋体"/>
                      <w:color w:val="auto"/>
                      <w:sz w:val="21"/>
                      <w:szCs w:val="21"/>
                      <w:highlight w:val="none"/>
                    </w:rPr>
                  </w:pPr>
                </w:p>
              </w:tc>
              <w:tc>
                <w:tcPr>
                  <w:tcW w:w="2848" w:type="dxa"/>
                  <w:tcBorders>
                    <w:tl2br w:val="nil"/>
                    <w:tr2bl w:val="nil"/>
                  </w:tcBorders>
                  <w:noWrap w:val="0"/>
                  <w:vAlign w:val="center"/>
                </w:tcPr>
                <w:p>
                  <w:pPr>
                    <w:rPr>
                      <w:rFonts w:hint="default" w:ascii="Times New Roman" w:hAnsi="Times New Roman" w:eastAsia="宋体" w:cs="Times New Roman"/>
                      <w:color w:val="auto"/>
                      <w:sz w:val="21"/>
                      <w:szCs w:val="21"/>
                      <w:highlight w:val="none"/>
                      <w:lang w:val="en-US" w:eastAsia="zh-CN"/>
                    </w:rPr>
                  </w:pPr>
                  <w:r>
                    <w:rPr>
                      <w:rFonts w:hint="eastAsia"/>
                      <w:bCs/>
                      <w:color w:val="000000"/>
                      <w:kern w:val="2"/>
                      <w:sz w:val="24"/>
                      <w:szCs w:val="24"/>
                      <w:lang w:val="en-US" w:eastAsia="zh-CN" w:bidi="ar-SA"/>
                    </w:rPr>
                    <w:t>4#长坝社区党群服务中心（项目终点段）</w:t>
                  </w:r>
                </w:p>
              </w:tc>
              <w:tc>
                <w:tcPr>
                  <w:tcW w:w="1399" w:type="dxa"/>
                  <w:tcBorders>
                    <w:tl2br w:val="nil"/>
                    <w:tr2bl w:val="nil"/>
                  </w:tcBorders>
                  <w:noWrap w:val="0"/>
                  <w:vAlign w:val="center"/>
                </w:tcPr>
                <w:p>
                  <w:pPr>
                    <w:jc w:val="center"/>
                    <w:rPr>
                      <w:rFonts w:hint="eastAsia"/>
                      <w:color w:val="auto"/>
                      <w:sz w:val="21"/>
                      <w:szCs w:val="21"/>
                      <w:highlight w:val="none"/>
                      <w:lang w:eastAsia="zh-CN"/>
                    </w:rPr>
                  </w:pPr>
                  <w:r>
                    <w:rPr>
                      <w:rFonts w:hint="eastAsia"/>
                      <w:color w:val="auto"/>
                      <w:sz w:val="21"/>
                      <w:szCs w:val="21"/>
                      <w:highlight w:val="none"/>
                      <w:lang w:eastAsia="zh-CN"/>
                    </w:rPr>
                    <w:t>环境噪声</w:t>
                  </w:r>
                </w:p>
              </w:tc>
              <w:tc>
                <w:tcPr>
                  <w:tcW w:w="1061" w:type="dxa"/>
                  <w:tcBorders>
                    <w:tl2br w:val="nil"/>
                    <w:tr2bl w:val="nil"/>
                  </w:tcBorders>
                  <w:noWrap w:val="0"/>
                  <w:vAlign w:val="center"/>
                </w:tcPr>
                <w:p>
                  <w:pPr>
                    <w:jc w:val="center"/>
                    <w:rPr>
                      <w:rFonts w:hint="eastAsia"/>
                      <w:color w:val="auto"/>
                      <w:sz w:val="21"/>
                      <w:szCs w:val="21"/>
                      <w:highlight w:val="none"/>
                      <w:lang w:val="en-US" w:eastAsia="zh-CN"/>
                    </w:rPr>
                  </w:pPr>
                  <w:r>
                    <w:rPr>
                      <w:rFonts w:hint="eastAsia" w:ascii="宋体" w:hAnsi="宋体"/>
                      <w:color w:val="auto"/>
                      <w:sz w:val="21"/>
                      <w:szCs w:val="21"/>
                      <w:highlight w:val="none"/>
                      <w:lang w:eastAsia="zh-CN"/>
                    </w:rPr>
                    <w:t>昼间</w:t>
                  </w:r>
                </w:p>
              </w:tc>
              <w:tc>
                <w:tcPr>
                  <w:tcW w:w="1911" w:type="dxa"/>
                  <w:tcBorders>
                    <w:tl2br w:val="nil"/>
                    <w:tr2bl w:val="nil"/>
                  </w:tcBorders>
                  <w:noWrap w:val="0"/>
                  <w:vAlign w:val="center"/>
                </w:tcPr>
                <w:p>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8415" w:type="dxa"/>
                  <w:gridSpan w:val="5"/>
                  <w:noWrap w:val="0"/>
                  <w:vAlign w:val="center"/>
                </w:tcPr>
                <w:p>
                  <w:pPr>
                    <w:jc w:val="both"/>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备注：</w:t>
                  </w:r>
                  <w:r>
                    <w:rPr>
                      <w:rFonts w:hint="eastAsia"/>
                      <w:color w:val="0D0D0D" w:themeColor="text1" w:themeTint="F2"/>
                      <w:highlight w:val="none"/>
                      <w:lang w:val="en-US" w:eastAsia="zh-CN"/>
                      <w14:textFill>
                        <w14:solidFill>
                          <w14:schemeClr w14:val="tx1">
                            <w14:lumMod w14:val="95000"/>
                            <w14:lumOff w14:val="5000"/>
                          </w14:schemeClr>
                        </w14:solidFill>
                      </w14:textFill>
                    </w:rPr>
                    <w:t>12月18日天气晴，检测期间风速0.8~1.2m/s；12月19日天气晴，检测期间风速0.9~1.1m/s。</w:t>
                  </w:r>
                </w:p>
              </w:tc>
            </w:tr>
          </w:tbl>
          <w:p>
            <w:pPr>
              <w:pStyle w:val="2"/>
              <w:rPr>
                <w:rFonts w:hint="default" w:ascii="Times New Roman" w:hAnsi="Times New Roman" w:eastAsia="宋体" w:cs="Times New Roman"/>
                <w:color w:val="auto"/>
                <w:sz w:val="24"/>
                <w:szCs w:val="24"/>
              </w:rPr>
            </w:pPr>
          </w:p>
          <w:p>
            <w:pPr>
              <w:spacing w:line="360" w:lineRule="auto"/>
              <w:ind w:firstLine="477" w:firstLineChars="19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由表3-</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可见，本项目评价区域声学环境昼</w:t>
            </w:r>
            <w:r>
              <w:rPr>
                <w:rFonts w:hint="eastAsia" w:ascii="Times New Roman" w:hAnsi="Times New Roman" w:eastAsia="宋体" w:cs="Times New Roman"/>
                <w:color w:val="auto"/>
                <w:sz w:val="24"/>
                <w:szCs w:val="24"/>
                <w:lang w:val="en-US" w:eastAsia="zh-CN"/>
              </w:rPr>
              <w:t>间</w:t>
            </w:r>
            <w:r>
              <w:rPr>
                <w:rFonts w:hint="default" w:ascii="Times New Roman" w:hAnsi="Times New Roman" w:eastAsia="宋体" w:cs="Times New Roman"/>
                <w:color w:val="auto"/>
                <w:sz w:val="24"/>
                <w:szCs w:val="24"/>
              </w:rPr>
              <w:t>监测值均能满足《声环境质量标准》</w:t>
            </w:r>
            <w:r>
              <w:rPr>
                <w:rFonts w:hint="default" w:ascii="Times New Roman" w:hAnsi="Times New Roman" w:eastAsia="宋体" w:cs="Times New Roman"/>
                <w:bCs/>
                <w:color w:val="auto"/>
                <w:sz w:val="24"/>
                <w:szCs w:val="24"/>
              </w:rPr>
              <w:t>GB3096</w:t>
            </w:r>
            <w:r>
              <w:rPr>
                <w:rFonts w:hint="default" w:ascii="Times New Roman" w:hAnsi="Times New Roman" w:eastAsia="宋体" w:cs="Times New Roman"/>
                <w:color w:val="auto"/>
                <w:sz w:val="24"/>
                <w:szCs w:val="24"/>
              </w:rPr>
              <w:t>—2008中的2类标准。</w:t>
            </w:r>
          </w:p>
          <w:p>
            <w:pPr>
              <w:pStyle w:val="8"/>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highlight w:val="none"/>
                <w:shd w:val="clear" w:color="auto" w:fill="auto"/>
                <w:lang w:eastAsia="zh-CN"/>
              </w:rPr>
              <w:t>（</w:t>
            </w:r>
            <w:r>
              <w:rPr>
                <w:rFonts w:hint="eastAsia" w:ascii="Times New Roman" w:hAnsi="Times New Roman" w:eastAsia="宋体" w:cs="Times New Roman"/>
                <w:b/>
                <w:bCs/>
                <w:color w:val="auto"/>
                <w:sz w:val="24"/>
                <w:szCs w:val="24"/>
                <w:highlight w:val="none"/>
                <w:shd w:val="clear" w:color="auto" w:fill="auto"/>
                <w:lang w:val="en-US" w:eastAsia="zh-CN"/>
              </w:rPr>
              <w:t>五</w:t>
            </w:r>
            <w:r>
              <w:rPr>
                <w:rFonts w:hint="eastAsia" w:ascii="Times New Roman" w:hAnsi="Times New Roman" w:eastAsia="宋体" w:cs="Times New Roman"/>
                <w:b/>
                <w:bCs/>
                <w:color w:val="auto"/>
                <w:sz w:val="24"/>
                <w:szCs w:val="24"/>
                <w:highlight w:val="none"/>
                <w:shd w:val="clear" w:color="auto" w:fill="auto"/>
                <w:lang w:eastAsia="zh-CN"/>
              </w:rPr>
              <w:t>）</w:t>
            </w:r>
            <w:r>
              <w:rPr>
                <w:rFonts w:hint="eastAsia" w:ascii="Times New Roman" w:hAnsi="Times New Roman" w:eastAsia="宋体" w:cs="Times New Roman"/>
                <w:b/>
                <w:bCs/>
                <w:color w:val="auto"/>
                <w:sz w:val="24"/>
                <w:szCs w:val="24"/>
                <w:highlight w:val="none"/>
                <w:shd w:val="clear" w:color="auto" w:fill="auto"/>
                <w:lang w:val="en-US" w:eastAsia="zh-CN"/>
              </w:rPr>
              <w:t>土壤</w:t>
            </w:r>
            <w:r>
              <w:rPr>
                <w:rFonts w:hint="default" w:ascii="Times New Roman" w:hAnsi="Times New Roman" w:cs="Times New Roman"/>
                <w:b/>
                <w:bCs/>
                <w:color w:val="auto"/>
                <w:sz w:val="24"/>
                <w:szCs w:val="24"/>
                <w:highlight w:val="none"/>
                <w:shd w:val="clear" w:color="auto" w:fill="auto"/>
              </w:rPr>
              <w:t>环境质量现状</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项目所在地</w:t>
            </w:r>
            <w:r>
              <w:rPr>
                <w:rFonts w:hint="eastAsia" w:ascii="Times New Roman" w:hAnsi="Times New Roman" w:eastAsia="宋体" w:cs="Times New Roman"/>
                <w:color w:val="auto"/>
                <w:sz w:val="24"/>
                <w:szCs w:val="24"/>
                <w:lang w:val="en-US" w:eastAsia="zh-CN"/>
              </w:rPr>
              <w:t>土壤</w:t>
            </w:r>
            <w:r>
              <w:rPr>
                <w:rFonts w:hint="default" w:ascii="Times New Roman" w:hAnsi="Times New Roman" w:eastAsia="宋体" w:cs="Times New Roman"/>
                <w:color w:val="auto"/>
                <w:sz w:val="24"/>
                <w:szCs w:val="24"/>
              </w:rPr>
              <w:t>执行国家</w:t>
            </w:r>
            <w:r>
              <w:rPr>
                <w:rFonts w:hint="default" w:ascii="Times New Roman" w:hAnsi="Times New Roman" w:eastAsia="宋体" w:cs="Times New Roman"/>
                <w:color w:val="auto"/>
                <w:sz w:val="24"/>
                <w:szCs w:val="24"/>
                <w:lang w:eastAsia="zh-CN"/>
              </w:rPr>
              <w:t>《土壤环境质量 农用地土壤污染风险管控标准（试行）》（GB 15618-2018）</w:t>
            </w:r>
            <w:r>
              <w:rPr>
                <w:rFonts w:hint="default" w:ascii="Times New Roman" w:hAnsi="Times New Roman" w:eastAsia="宋体" w:cs="Times New Roman"/>
                <w:color w:val="auto"/>
                <w:sz w:val="24"/>
                <w:szCs w:val="24"/>
              </w:rPr>
              <w:t>中的</w:t>
            </w:r>
            <w:r>
              <w:rPr>
                <w:rFonts w:hint="eastAsia" w:ascii="Times New Roman" w:hAnsi="Times New Roman" w:eastAsia="宋体" w:cs="Times New Roman"/>
                <w:color w:val="auto"/>
                <w:sz w:val="24"/>
                <w:szCs w:val="24"/>
                <w:lang w:val="en-US" w:eastAsia="zh-CN"/>
              </w:rPr>
              <w:t>表1土壤污染风险筛选值</w:t>
            </w:r>
            <w:r>
              <w:rPr>
                <w:rFonts w:hint="default" w:ascii="Times New Roman" w:hAnsi="Times New Roman" w:eastAsia="宋体" w:cs="Times New Roman"/>
                <w:color w:val="auto"/>
                <w:sz w:val="24"/>
                <w:szCs w:val="24"/>
              </w:rPr>
              <w:t>。</w:t>
            </w:r>
          </w:p>
          <w:p>
            <w:pPr>
              <w:autoSpaceDE w:val="0"/>
              <w:autoSpaceDN w:val="0"/>
              <w:spacing w:line="360" w:lineRule="auto"/>
              <w:ind w:firstLine="422" w:firstLineChars="20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1"/>
                <w:szCs w:val="21"/>
              </w:rPr>
              <w:t>表3-</w:t>
            </w:r>
            <w:r>
              <w:rPr>
                <w:rFonts w:hint="eastAsia" w:ascii="Times New Roman" w:hAnsi="Times New Roman" w:eastAsia="宋体" w:cs="Times New Roman"/>
                <w:b/>
                <w:color w:val="auto"/>
                <w:sz w:val="21"/>
                <w:szCs w:val="21"/>
                <w:lang w:val="en-US" w:eastAsia="zh-CN"/>
              </w:rPr>
              <w:t>7</w:t>
            </w:r>
            <w:r>
              <w:rPr>
                <w:rFonts w:hint="default" w:ascii="Times New Roman" w:hAnsi="Times New Roman" w:eastAsia="宋体" w:cs="Times New Roman"/>
                <w:b/>
                <w:color w:val="auto"/>
                <w:sz w:val="21"/>
                <w:szCs w:val="21"/>
              </w:rPr>
              <w:t xml:space="preserve">  </w:t>
            </w:r>
            <w:r>
              <w:rPr>
                <w:rFonts w:hint="default" w:ascii="Times New Roman" w:hAnsi="Times New Roman" w:eastAsia="宋体" w:cs="Times New Roman"/>
                <w:b/>
                <w:color w:val="auto"/>
                <w:sz w:val="21"/>
                <w:szCs w:val="21"/>
                <w:lang w:val="en-US" w:eastAsia="zh-CN"/>
              </w:rPr>
              <w:t>土壤</w:t>
            </w:r>
            <w:r>
              <w:rPr>
                <w:rFonts w:hint="default" w:ascii="Times New Roman" w:hAnsi="Times New Roman" w:eastAsia="宋体" w:cs="Times New Roman"/>
                <w:b/>
                <w:color w:val="auto"/>
                <w:sz w:val="21"/>
                <w:szCs w:val="21"/>
              </w:rPr>
              <w:t>检测结果</w:t>
            </w:r>
          </w:p>
          <w:tbl>
            <w:tblPr>
              <w:tblStyle w:val="31"/>
              <w:tblW w:w="88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2160"/>
              <w:gridCol w:w="2476"/>
              <w:gridCol w:w="2059"/>
              <w:gridCol w:w="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tblHeader/>
                <w:jc w:val="center"/>
              </w:trPr>
              <w:tc>
                <w:tcPr>
                  <w:tcW w:w="2160" w:type="dxa"/>
                  <w:tcBorders>
                    <w:tl2br w:val="nil"/>
                    <w:tr2bl w:val="nil"/>
                  </w:tcBorders>
                  <w:noWrap w:val="0"/>
                  <w:vAlign w:val="center"/>
                </w:tcPr>
                <w:p>
                  <w:pPr>
                    <w:pStyle w:val="26"/>
                    <w:bidi w:val="0"/>
                    <w:jc w:val="center"/>
                    <w:rPr>
                      <w:rFonts w:hint="default"/>
                      <w:color w:val="0C0C0C"/>
                      <w:lang w:val="en-US" w:eastAsia="zh-CN"/>
                    </w:rPr>
                  </w:pPr>
                  <w:r>
                    <w:rPr>
                      <w:rFonts w:hint="eastAsia"/>
                      <w:color w:val="0C0C0C"/>
                      <w:lang w:val="en-US" w:eastAsia="zh-CN"/>
                    </w:rPr>
                    <w:t>检测点位</w:t>
                  </w:r>
                </w:p>
              </w:tc>
              <w:tc>
                <w:tcPr>
                  <w:tcW w:w="2160" w:type="dxa"/>
                  <w:tcBorders>
                    <w:tl2br w:val="nil"/>
                    <w:tr2bl w:val="nil"/>
                  </w:tcBorders>
                  <w:noWrap w:val="0"/>
                  <w:vAlign w:val="center"/>
                </w:tcPr>
                <w:p>
                  <w:pPr>
                    <w:pStyle w:val="26"/>
                    <w:bidi w:val="0"/>
                    <w:jc w:val="center"/>
                    <w:rPr>
                      <w:rFonts w:hint="default"/>
                      <w:color w:val="0C0C0C"/>
                      <w:lang w:val="en-US" w:eastAsia="zh-CN"/>
                    </w:rPr>
                  </w:pPr>
                  <w:r>
                    <w:rPr>
                      <w:rFonts w:hint="default"/>
                      <w:color w:val="0C0C0C"/>
                      <w:lang w:val="en-US" w:eastAsia="zh-CN"/>
                    </w:rPr>
                    <w:t>检测项目</w:t>
                  </w:r>
                </w:p>
              </w:tc>
              <w:tc>
                <w:tcPr>
                  <w:tcW w:w="2476" w:type="dxa"/>
                  <w:tcBorders>
                    <w:tl2br w:val="nil"/>
                    <w:tr2bl w:val="nil"/>
                  </w:tcBorders>
                  <w:noWrap w:val="0"/>
                  <w:vAlign w:val="center"/>
                </w:tcPr>
                <w:p>
                  <w:pPr>
                    <w:pStyle w:val="26"/>
                    <w:bidi w:val="0"/>
                    <w:jc w:val="center"/>
                    <w:rPr>
                      <w:rFonts w:hint="default"/>
                      <w:color w:val="0C0C0C"/>
                      <w:lang w:val="en-US" w:eastAsia="zh-CN"/>
                    </w:rPr>
                  </w:pPr>
                  <w:r>
                    <w:rPr>
                      <w:color w:val="0C0C0C"/>
                      <w:lang w:val="en-US" w:eastAsia="zh-CN"/>
                    </w:rPr>
                    <w:t>检测结果</w:t>
                  </w:r>
                </w:p>
              </w:tc>
              <w:tc>
                <w:tcPr>
                  <w:tcW w:w="2062" w:type="dxa"/>
                  <w:gridSpan w:val="2"/>
                  <w:tcBorders>
                    <w:tl2br w:val="nil"/>
                    <w:tr2bl w:val="nil"/>
                  </w:tcBorders>
                  <w:noWrap w:val="0"/>
                  <w:vAlign w:val="center"/>
                </w:tcPr>
                <w:p>
                  <w:pPr>
                    <w:pStyle w:val="26"/>
                    <w:bidi w:val="0"/>
                    <w:jc w:val="center"/>
                    <w:rPr>
                      <w:rFonts w:hint="default"/>
                      <w:color w:val="0C0C0C"/>
                      <w:lang w:val="en-US" w:eastAsia="zh-CN"/>
                    </w:rPr>
                  </w:pPr>
                  <w:r>
                    <w:rPr>
                      <w:rFonts w:hint="default"/>
                      <w:color w:val="0C0C0C"/>
                      <w:lang w:val="en-US" w:eastAsia="zh-CN"/>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291" w:hRule="atLeast"/>
                <w:jc w:val="center"/>
              </w:trPr>
              <w:tc>
                <w:tcPr>
                  <w:tcW w:w="2160" w:type="dxa"/>
                  <w:vMerge w:val="restart"/>
                  <w:tcBorders>
                    <w:tl2br w:val="nil"/>
                    <w:tr2bl w:val="nil"/>
                  </w:tcBorders>
                  <w:noWrap w:val="0"/>
                  <w:vAlign w:val="center"/>
                </w:tcPr>
                <w:p>
                  <w:pPr>
                    <w:pStyle w:val="26"/>
                    <w:bidi w:val="0"/>
                    <w:jc w:val="center"/>
                    <w:rPr>
                      <w:color w:val="0C0C0C"/>
                    </w:rPr>
                  </w:pPr>
                  <w:r>
                    <w:rPr>
                      <w:rFonts w:hint="eastAsia"/>
                      <w:bCs/>
                      <w:color w:val="000000"/>
                      <w:kern w:val="2"/>
                      <w:sz w:val="24"/>
                      <w:szCs w:val="24"/>
                      <w:lang w:val="en-US" w:eastAsia="zh-CN" w:bidi="ar-SA"/>
                    </w:rPr>
                    <w:t>1#：清淤段河道（K0+200）</w:t>
                  </w:r>
                </w:p>
              </w:tc>
              <w:tc>
                <w:tcPr>
                  <w:tcW w:w="2160" w:type="dxa"/>
                  <w:tcBorders>
                    <w:tl2br w:val="nil"/>
                    <w:tr2bl w:val="nil"/>
                  </w:tcBorders>
                  <w:noWrap w:val="0"/>
                  <w:vAlign w:val="center"/>
                </w:tcPr>
                <w:p>
                  <w:pPr>
                    <w:pStyle w:val="26"/>
                    <w:bidi w:val="0"/>
                    <w:jc w:val="center"/>
                    <w:rPr>
                      <w:rFonts w:hint="default"/>
                      <w:color w:val="0C0C0C"/>
                      <w:lang w:val="en-US" w:eastAsia="zh-CN"/>
                    </w:rPr>
                  </w:pPr>
                  <w:r>
                    <w:rPr>
                      <w:rFonts w:hint="eastAsia"/>
                      <w:color w:val="0C0C0C"/>
                      <w:lang w:val="en-US" w:eastAsia="zh-CN"/>
                    </w:rPr>
                    <w:t>pH</w:t>
                  </w:r>
                </w:p>
              </w:tc>
              <w:tc>
                <w:tcPr>
                  <w:tcW w:w="2476" w:type="dxa"/>
                  <w:tcBorders>
                    <w:tl2br w:val="nil"/>
                    <w:tr2bl w:val="nil"/>
                  </w:tcBorders>
                  <w:noWrap w:val="0"/>
                  <w:vAlign w:val="center"/>
                </w:tcPr>
                <w:p>
                  <w:pPr>
                    <w:pStyle w:val="26"/>
                    <w:bidi w:val="0"/>
                    <w:jc w:val="center"/>
                    <w:rPr>
                      <w:rFonts w:hint="default"/>
                      <w:color w:val="0C0C0C"/>
                      <w:lang w:val="en-US" w:eastAsia="zh-CN"/>
                    </w:rPr>
                  </w:pPr>
                  <w:r>
                    <w:rPr>
                      <w:rFonts w:hint="eastAsia"/>
                      <w:color w:val="0C0C0C"/>
                      <w:lang w:val="en-US" w:eastAsia="zh-CN"/>
                    </w:rPr>
                    <w:t>7.88</w:t>
                  </w:r>
                </w:p>
              </w:tc>
              <w:tc>
                <w:tcPr>
                  <w:tcW w:w="2059" w:type="dxa"/>
                  <w:tcBorders>
                    <w:tl2br w:val="nil"/>
                    <w:tr2bl w:val="nil"/>
                  </w:tcBorders>
                  <w:noWrap w:val="0"/>
                  <w:vAlign w:val="center"/>
                </w:tcPr>
                <w:p>
                  <w:pPr>
                    <w:pStyle w:val="26"/>
                    <w:bidi w:val="0"/>
                    <w:jc w:val="center"/>
                    <w:rPr>
                      <w:rFonts w:hint="default"/>
                      <w:color w:val="0C0C0C"/>
                      <w:lang w:val="en-US" w:eastAsia="zh-CN"/>
                    </w:rPr>
                  </w:pPr>
                  <w:r>
                    <w:rPr>
                      <w:rFonts w:hint="eastAsia"/>
                      <w:color w:val="0C0C0C"/>
                      <w:lang w:val="en-US" w:eastAsia="zh-CN"/>
                    </w:rPr>
                    <w:t>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291" w:hRule="atLeast"/>
                <w:jc w:val="center"/>
              </w:trPr>
              <w:tc>
                <w:tcPr>
                  <w:tcW w:w="2160" w:type="dxa"/>
                  <w:vMerge w:val="continue"/>
                  <w:noWrap w:val="0"/>
                  <w:vAlign w:val="center"/>
                </w:tcPr>
                <w:p>
                  <w:pPr>
                    <w:pStyle w:val="26"/>
                    <w:bidi w:val="0"/>
                    <w:jc w:val="center"/>
                    <w:rPr>
                      <w:color w:val="0C0C0C"/>
                    </w:rPr>
                  </w:pPr>
                </w:p>
              </w:tc>
              <w:tc>
                <w:tcPr>
                  <w:tcW w:w="2160" w:type="dxa"/>
                  <w:noWrap w:val="0"/>
                  <w:vAlign w:val="center"/>
                </w:tcPr>
                <w:p>
                  <w:pPr>
                    <w:pStyle w:val="26"/>
                    <w:bidi w:val="0"/>
                    <w:jc w:val="center"/>
                    <w:rPr>
                      <w:rFonts w:hint="eastAsia"/>
                      <w:color w:val="0C0C0C"/>
                      <w:lang w:val="en-US" w:eastAsia="zh-CN"/>
                    </w:rPr>
                  </w:pPr>
                  <w:r>
                    <w:rPr>
                      <w:color w:val="0C0C0C"/>
                    </w:rPr>
                    <w:t>铅</w:t>
                  </w:r>
                </w:p>
              </w:tc>
              <w:tc>
                <w:tcPr>
                  <w:tcW w:w="2476" w:type="dxa"/>
                  <w:noWrap w:val="0"/>
                  <w:vAlign w:val="center"/>
                </w:tcPr>
                <w:p>
                  <w:pPr>
                    <w:pStyle w:val="26"/>
                    <w:bidi w:val="0"/>
                    <w:jc w:val="center"/>
                    <w:rPr>
                      <w:rFonts w:hint="default"/>
                      <w:color w:val="0C0C0C"/>
                      <w:lang w:val="en-US" w:eastAsia="zh-CN"/>
                    </w:rPr>
                  </w:pPr>
                  <w:r>
                    <w:rPr>
                      <w:rFonts w:hint="eastAsia"/>
                      <w:color w:val="0C0C0C"/>
                      <w:lang w:val="en-US" w:eastAsia="zh-CN"/>
                    </w:rPr>
                    <w:t>19.4</w:t>
                  </w:r>
                </w:p>
              </w:tc>
              <w:tc>
                <w:tcPr>
                  <w:tcW w:w="2059" w:type="dxa"/>
                  <w:noWrap w:val="0"/>
                  <w:vAlign w:val="center"/>
                </w:tcPr>
                <w:p>
                  <w:pPr>
                    <w:pStyle w:val="26"/>
                    <w:bidi w:val="0"/>
                    <w:jc w:val="center"/>
                    <w:rPr>
                      <w:rFonts w:hint="eastAsia"/>
                      <w:color w:val="0C0C0C"/>
                      <w:lang w:val="en-US" w:eastAsia="zh-CN"/>
                    </w:rPr>
                  </w:pPr>
                  <w:r>
                    <w:rPr>
                      <w:rFonts w:hint="eastAsia"/>
                      <w:color w:val="0C0C0C"/>
                      <w:lang w:val="en-US" w:eastAsia="zh-CN"/>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291" w:hRule="atLeast"/>
                <w:jc w:val="center"/>
              </w:trPr>
              <w:tc>
                <w:tcPr>
                  <w:tcW w:w="2160" w:type="dxa"/>
                  <w:vMerge w:val="continue"/>
                  <w:noWrap w:val="0"/>
                  <w:vAlign w:val="center"/>
                </w:tcPr>
                <w:p>
                  <w:pPr>
                    <w:pStyle w:val="26"/>
                    <w:bidi w:val="0"/>
                    <w:jc w:val="center"/>
                    <w:rPr>
                      <w:color w:val="0C0C0C"/>
                    </w:rPr>
                  </w:pPr>
                </w:p>
              </w:tc>
              <w:tc>
                <w:tcPr>
                  <w:tcW w:w="2160" w:type="dxa"/>
                  <w:noWrap w:val="0"/>
                  <w:vAlign w:val="center"/>
                </w:tcPr>
                <w:p>
                  <w:pPr>
                    <w:pStyle w:val="26"/>
                    <w:bidi w:val="0"/>
                    <w:jc w:val="center"/>
                    <w:rPr>
                      <w:rFonts w:hint="eastAsia"/>
                      <w:color w:val="0C0C0C"/>
                      <w:lang w:val="en-US" w:eastAsia="zh-CN"/>
                    </w:rPr>
                  </w:pPr>
                  <w:r>
                    <w:rPr>
                      <w:color w:val="0C0C0C"/>
                    </w:rPr>
                    <w:t>镉</w:t>
                  </w:r>
                </w:p>
              </w:tc>
              <w:tc>
                <w:tcPr>
                  <w:tcW w:w="2476" w:type="dxa"/>
                  <w:noWrap w:val="0"/>
                  <w:vAlign w:val="center"/>
                </w:tcPr>
                <w:p>
                  <w:pPr>
                    <w:pStyle w:val="26"/>
                    <w:bidi w:val="0"/>
                    <w:jc w:val="center"/>
                    <w:rPr>
                      <w:rFonts w:hint="default"/>
                      <w:color w:val="0C0C0C"/>
                      <w:lang w:val="en-US" w:eastAsia="zh-CN"/>
                    </w:rPr>
                  </w:pPr>
                  <w:r>
                    <w:rPr>
                      <w:rFonts w:hint="eastAsia"/>
                      <w:color w:val="0C0C0C"/>
                      <w:lang w:val="en-US" w:eastAsia="zh-CN"/>
                    </w:rPr>
                    <w:t>0.36</w:t>
                  </w:r>
                </w:p>
              </w:tc>
              <w:tc>
                <w:tcPr>
                  <w:tcW w:w="2059" w:type="dxa"/>
                  <w:noWrap w:val="0"/>
                  <w:vAlign w:val="center"/>
                </w:tcPr>
                <w:p>
                  <w:pPr>
                    <w:pStyle w:val="26"/>
                    <w:bidi w:val="0"/>
                    <w:jc w:val="center"/>
                    <w:rPr>
                      <w:rFonts w:hint="eastAsia"/>
                      <w:color w:val="0C0C0C"/>
                      <w:lang w:val="en-US" w:eastAsia="zh-CN"/>
                    </w:rPr>
                  </w:pPr>
                  <w:r>
                    <w:rPr>
                      <w:rFonts w:hint="eastAsia"/>
                      <w:color w:val="0C0C0C"/>
                      <w:lang w:val="en-US" w:eastAsia="zh-CN"/>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291" w:hRule="atLeast"/>
                <w:jc w:val="center"/>
              </w:trPr>
              <w:tc>
                <w:tcPr>
                  <w:tcW w:w="2160" w:type="dxa"/>
                  <w:vMerge w:val="continue"/>
                  <w:noWrap w:val="0"/>
                  <w:vAlign w:val="center"/>
                </w:tcPr>
                <w:p>
                  <w:pPr>
                    <w:pStyle w:val="26"/>
                    <w:bidi w:val="0"/>
                    <w:jc w:val="center"/>
                    <w:rPr>
                      <w:color w:val="0C0C0C"/>
                    </w:rPr>
                  </w:pPr>
                </w:p>
              </w:tc>
              <w:tc>
                <w:tcPr>
                  <w:tcW w:w="2160" w:type="dxa"/>
                  <w:noWrap w:val="0"/>
                  <w:vAlign w:val="center"/>
                </w:tcPr>
                <w:p>
                  <w:pPr>
                    <w:pStyle w:val="26"/>
                    <w:bidi w:val="0"/>
                    <w:jc w:val="center"/>
                    <w:rPr>
                      <w:rFonts w:hint="eastAsia"/>
                      <w:color w:val="0C0C0C"/>
                      <w:lang w:val="en-US" w:eastAsia="zh-CN"/>
                    </w:rPr>
                  </w:pPr>
                  <w:r>
                    <w:rPr>
                      <w:color w:val="0C0C0C"/>
                    </w:rPr>
                    <w:t>砷</w:t>
                  </w:r>
                </w:p>
              </w:tc>
              <w:tc>
                <w:tcPr>
                  <w:tcW w:w="2476" w:type="dxa"/>
                  <w:noWrap w:val="0"/>
                  <w:vAlign w:val="center"/>
                </w:tcPr>
                <w:p>
                  <w:pPr>
                    <w:pStyle w:val="26"/>
                    <w:bidi w:val="0"/>
                    <w:jc w:val="center"/>
                    <w:rPr>
                      <w:rFonts w:hint="default"/>
                      <w:color w:val="0C0C0C"/>
                      <w:lang w:val="en-US" w:eastAsia="zh-CN"/>
                    </w:rPr>
                  </w:pPr>
                  <w:r>
                    <w:rPr>
                      <w:rFonts w:hint="eastAsia"/>
                      <w:color w:val="0C0C0C"/>
                      <w:lang w:val="en-US" w:eastAsia="zh-CN"/>
                    </w:rPr>
                    <w:t>3.4</w:t>
                  </w:r>
                </w:p>
              </w:tc>
              <w:tc>
                <w:tcPr>
                  <w:tcW w:w="2059" w:type="dxa"/>
                  <w:noWrap w:val="0"/>
                  <w:vAlign w:val="center"/>
                </w:tcPr>
                <w:p>
                  <w:pPr>
                    <w:pStyle w:val="26"/>
                    <w:bidi w:val="0"/>
                    <w:jc w:val="center"/>
                    <w:rPr>
                      <w:rFonts w:hint="eastAsia"/>
                      <w:color w:val="0C0C0C"/>
                      <w:lang w:val="en-US" w:eastAsia="zh-CN"/>
                    </w:rPr>
                  </w:pPr>
                  <w:r>
                    <w:rPr>
                      <w:rFonts w:hint="eastAsia"/>
                      <w:color w:val="0C0C0C"/>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291" w:hRule="atLeast"/>
                <w:jc w:val="center"/>
              </w:trPr>
              <w:tc>
                <w:tcPr>
                  <w:tcW w:w="2160" w:type="dxa"/>
                  <w:vMerge w:val="continue"/>
                  <w:noWrap w:val="0"/>
                  <w:vAlign w:val="center"/>
                </w:tcPr>
                <w:p>
                  <w:pPr>
                    <w:pStyle w:val="26"/>
                    <w:bidi w:val="0"/>
                    <w:jc w:val="center"/>
                    <w:rPr>
                      <w:color w:val="0C0C0C"/>
                    </w:rPr>
                  </w:pPr>
                </w:p>
              </w:tc>
              <w:tc>
                <w:tcPr>
                  <w:tcW w:w="2160" w:type="dxa"/>
                  <w:noWrap w:val="0"/>
                  <w:vAlign w:val="center"/>
                </w:tcPr>
                <w:p>
                  <w:pPr>
                    <w:pStyle w:val="26"/>
                    <w:bidi w:val="0"/>
                    <w:jc w:val="center"/>
                    <w:rPr>
                      <w:rFonts w:hint="eastAsia"/>
                      <w:color w:val="0C0C0C"/>
                      <w:lang w:val="en-US" w:eastAsia="zh-CN"/>
                    </w:rPr>
                  </w:pPr>
                  <w:r>
                    <w:rPr>
                      <w:color w:val="0C0C0C"/>
                    </w:rPr>
                    <w:t>汞</w:t>
                  </w:r>
                </w:p>
              </w:tc>
              <w:tc>
                <w:tcPr>
                  <w:tcW w:w="2476" w:type="dxa"/>
                  <w:noWrap w:val="0"/>
                  <w:vAlign w:val="center"/>
                </w:tcPr>
                <w:p>
                  <w:pPr>
                    <w:pStyle w:val="26"/>
                    <w:bidi w:val="0"/>
                    <w:jc w:val="center"/>
                    <w:rPr>
                      <w:rFonts w:hint="default"/>
                      <w:color w:val="0C0C0C"/>
                      <w:lang w:val="en-US" w:eastAsia="zh-CN"/>
                    </w:rPr>
                  </w:pPr>
                  <w:r>
                    <w:rPr>
                      <w:rFonts w:hint="eastAsia"/>
                      <w:color w:val="0C0C0C"/>
                      <w:lang w:val="en-US" w:eastAsia="zh-CN"/>
                    </w:rPr>
                    <w:t>0.075</w:t>
                  </w:r>
                </w:p>
              </w:tc>
              <w:tc>
                <w:tcPr>
                  <w:tcW w:w="2059" w:type="dxa"/>
                  <w:noWrap w:val="0"/>
                  <w:vAlign w:val="center"/>
                </w:tcPr>
                <w:p>
                  <w:pPr>
                    <w:pStyle w:val="26"/>
                    <w:bidi w:val="0"/>
                    <w:jc w:val="center"/>
                    <w:rPr>
                      <w:rFonts w:hint="eastAsia"/>
                      <w:color w:val="0C0C0C"/>
                      <w:lang w:val="en-US" w:eastAsia="zh-CN"/>
                    </w:rPr>
                  </w:pPr>
                  <w:r>
                    <w:rPr>
                      <w:rFonts w:hint="eastAsia"/>
                      <w:color w:val="0C0C0C"/>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291" w:hRule="atLeast"/>
                <w:jc w:val="center"/>
              </w:trPr>
              <w:tc>
                <w:tcPr>
                  <w:tcW w:w="2160" w:type="dxa"/>
                  <w:vMerge w:val="continue"/>
                  <w:noWrap w:val="0"/>
                  <w:vAlign w:val="center"/>
                </w:tcPr>
                <w:p>
                  <w:pPr>
                    <w:pStyle w:val="26"/>
                    <w:bidi w:val="0"/>
                    <w:jc w:val="center"/>
                    <w:rPr>
                      <w:rFonts w:hint="eastAsia"/>
                      <w:color w:val="0C0C0C"/>
                      <w:lang w:val="en-US" w:eastAsia="zh-CN"/>
                    </w:rPr>
                  </w:pPr>
                </w:p>
              </w:tc>
              <w:tc>
                <w:tcPr>
                  <w:tcW w:w="2160" w:type="dxa"/>
                  <w:noWrap w:val="0"/>
                  <w:vAlign w:val="center"/>
                </w:tcPr>
                <w:p>
                  <w:pPr>
                    <w:pStyle w:val="26"/>
                    <w:bidi w:val="0"/>
                    <w:jc w:val="center"/>
                    <w:rPr>
                      <w:rFonts w:hint="eastAsia"/>
                      <w:color w:val="0C0C0C"/>
                      <w:lang w:val="en-US" w:eastAsia="zh-CN"/>
                    </w:rPr>
                  </w:pPr>
                  <w:r>
                    <w:rPr>
                      <w:rFonts w:hint="eastAsia"/>
                      <w:color w:val="0C0C0C"/>
                      <w:lang w:val="en-US" w:eastAsia="zh-CN"/>
                    </w:rPr>
                    <w:t>铬</w:t>
                  </w:r>
                </w:p>
              </w:tc>
              <w:tc>
                <w:tcPr>
                  <w:tcW w:w="2476" w:type="dxa"/>
                  <w:noWrap w:val="0"/>
                  <w:vAlign w:val="center"/>
                </w:tcPr>
                <w:p>
                  <w:pPr>
                    <w:pStyle w:val="26"/>
                    <w:bidi w:val="0"/>
                    <w:jc w:val="center"/>
                    <w:rPr>
                      <w:rFonts w:hint="default"/>
                      <w:color w:val="0C0C0C"/>
                      <w:lang w:val="en-US" w:eastAsia="zh-CN"/>
                    </w:rPr>
                  </w:pPr>
                  <w:r>
                    <w:rPr>
                      <w:rFonts w:hint="eastAsia"/>
                      <w:color w:val="0C0C0C"/>
                      <w:lang w:val="en-US" w:eastAsia="zh-CN"/>
                    </w:rPr>
                    <w:t>22.0</w:t>
                  </w:r>
                </w:p>
              </w:tc>
              <w:tc>
                <w:tcPr>
                  <w:tcW w:w="2059" w:type="dxa"/>
                  <w:noWrap w:val="0"/>
                  <w:vAlign w:val="center"/>
                </w:tcPr>
                <w:p>
                  <w:pPr>
                    <w:pStyle w:val="26"/>
                    <w:bidi w:val="0"/>
                    <w:jc w:val="center"/>
                    <w:rPr>
                      <w:rFonts w:hint="eastAsia"/>
                      <w:color w:val="0C0C0C"/>
                      <w:lang w:val="en-US" w:eastAsia="zh-CN"/>
                    </w:rPr>
                  </w:pPr>
                  <w:r>
                    <w:rPr>
                      <w:color w:val="0C0C0C"/>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291" w:hRule="atLeast"/>
                <w:jc w:val="center"/>
              </w:trPr>
              <w:tc>
                <w:tcPr>
                  <w:tcW w:w="2160" w:type="dxa"/>
                  <w:vMerge w:val="continue"/>
                  <w:noWrap w:val="0"/>
                  <w:vAlign w:val="center"/>
                </w:tcPr>
                <w:p>
                  <w:pPr>
                    <w:pStyle w:val="26"/>
                    <w:bidi w:val="0"/>
                    <w:jc w:val="center"/>
                    <w:rPr>
                      <w:rFonts w:hint="eastAsia"/>
                      <w:color w:val="0C0C0C"/>
                      <w:highlight w:val="none"/>
                      <w:lang w:val="en-US" w:eastAsia="zh-CN"/>
                    </w:rPr>
                  </w:pPr>
                </w:p>
              </w:tc>
              <w:tc>
                <w:tcPr>
                  <w:tcW w:w="2160" w:type="dxa"/>
                  <w:noWrap w:val="0"/>
                  <w:vAlign w:val="center"/>
                </w:tcPr>
                <w:p>
                  <w:pPr>
                    <w:pStyle w:val="26"/>
                    <w:bidi w:val="0"/>
                    <w:jc w:val="center"/>
                    <w:rPr>
                      <w:rFonts w:hint="eastAsia" w:ascii="Times New Roman" w:hAnsi="Times New Roman" w:eastAsia="宋体" w:cs="宋体"/>
                      <w:color w:val="0C0C0C"/>
                      <w:kern w:val="0"/>
                      <w:sz w:val="24"/>
                      <w:szCs w:val="24"/>
                      <w:highlight w:val="none"/>
                      <w:lang w:val="en-US" w:eastAsia="zh-CN" w:bidi="ar-SA"/>
                    </w:rPr>
                  </w:pPr>
                  <w:r>
                    <w:rPr>
                      <w:rFonts w:hint="eastAsia"/>
                      <w:color w:val="0C0C0C"/>
                      <w:highlight w:val="none"/>
                      <w:lang w:val="en-US" w:eastAsia="zh-CN"/>
                    </w:rPr>
                    <w:t>铜</w:t>
                  </w:r>
                </w:p>
              </w:tc>
              <w:tc>
                <w:tcPr>
                  <w:tcW w:w="2476" w:type="dxa"/>
                  <w:noWrap w:val="0"/>
                  <w:vAlign w:val="center"/>
                </w:tcPr>
                <w:p>
                  <w:pPr>
                    <w:pStyle w:val="26"/>
                    <w:bidi w:val="0"/>
                    <w:jc w:val="center"/>
                    <w:rPr>
                      <w:rFonts w:hint="default"/>
                      <w:color w:val="0C0C0C"/>
                      <w:lang w:val="en-US" w:eastAsia="zh-CN"/>
                    </w:rPr>
                  </w:pPr>
                  <w:r>
                    <w:rPr>
                      <w:rFonts w:hint="eastAsia"/>
                      <w:color w:val="0C0C0C"/>
                      <w:lang w:val="en-US" w:eastAsia="zh-CN"/>
                    </w:rPr>
                    <w:t>20.5</w:t>
                  </w:r>
                </w:p>
              </w:tc>
              <w:tc>
                <w:tcPr>
                  <w:tcW w:w="2059" w:type="dxa"/>
                  <w:noWrap w:val="0"/>
                  <w:vAlign w:val="center"/>
                </w:tcPr>
                <w:p>
                  <w:pPr>
                    <w:pStyle w:val="26"/>
                    <w:bidi w:val="0"/>
                    <w:jc w:val="center"/>
                    <w:rPr>
                      <w:rFonts w:hint="eastAsia" w:ascii="Times New Roman" w:hAnsi="Times New Roman" w:eastAsia="宋体" w:cs="宋体"/>
                      <w:color w:val="0C0C0C"/>
                      <w:kern w:val="0"/>
                      <w:sz w:val="24"/>
                      <w:szCs w:val="24"/>
                      <w:lang w:val="en-US" w:eastAsia="zh-CN" w:bidi="ar-SA"/>
                    </w:rPr>
                  </w:pPr>
                  <w:r>
                    <w:rPr>
                      <w:rFonts w:hint="eastAsia"/>
                      <w:color w:val="0C0C0C"/>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291" w:hRule="atLeast"/>
                <w:jc w:val="center"/>
              </w:trPr>
              <w:tc>
                <w:tcPr>
                  <w:tcW w:w="2160" w:type="dxa"/>
                  <w:vMerge w:val="continue"/>
                  <w:noWrap w:val="0"/>
                  <w:vAlign w:val="center"/>
                </w:tcPr>
                <w:p>
                  <w:pPr>
                    <w:pStyle w:val="26"/>
                    <w:bidi w:val="0"/>
                    <w:jc w:val="center"/>
                    <w:rPr>
                      <w:rFonts w:hint="eastAsia"/>
                      <w:color w:val="0C0C0C"/>
                      <w:highlight w:val="none"/>
                      <w:lang w:val="en-US" w:eastAsia="zh-CN"/>
                    </w:rPr>
                  </w:pPr>
                </w:p>
              </w:tc>
              <w:tc>
                <w:tcPr>
                  <w:tcW w:w="2160" w:type="dxa"/>
                  <w:noWrap w:val="0"/>
                  <w:vAlign w:val="center"/>
                </w:tcPr>
                <w:p>
                  <w:pPr>
                    <w:pStyle w:val="26"/>
                    <w:bidi w:val="0"/>
                    <w:jc w:val="center"/>
                    <w:rPr>
                      <w:rFonts w:hint="eastAsia" w:ascii="Times New Roman" w:hAnsi="Times New Roman" w:eastAsia="宋体" w:cs="宋体"/>
                      <w:color w:val="0C0C0C"/>
                      <w:kern w:val="0"/>
                      <w:sz w:val="24"/>
                      <w:szCs w:val="24"/>
                      <w:highlight w:val="none"/>
                      <w:lang w:val="en-US" w:eastAsia="zh-CN" w:bidi="ar-SA"/>
                    </w:rPr>
                  </w:pPr>
                  <w:r>
                    <w:rPr>
                      <w:rFonts w:hint="eastAsia"/>
                      <w:color w:val="0C0C0C"/>
                      <w:highlight w:val="none"/>
                      <w:lang w:val="en-US" w:eastAsia="zh-CN"/>
                    </w:rPr>
                    <w:t>锌</w:t>
                  </w:r>
                </w:p>
              </w:tc>
              <w:tc>
                <w:tcPr>
                  <w:tcW w:w="2476" w:type="dxa"/>
                  <w:noWrap w:val="0"/>
                  <w:vAlign w:val="top"/>
                </w:tcPr>
                <w:p>
                  <w:pPr>
                    <w:pStyle w:val="26"/>
                    <w:bidi w:val="0"/>
                    <w:jc w:val="center"/>
                    <w:rPr>
                      <w:rFonts w:hint="default"/>
                      <w:color w:val="0C0C0C"/>
                      <w:lang w:val="en-US" w:eastAsia="zh-CN"/>
                    </w:rPr>
                  </w:pPr>
                  <w:r>
                    <w:rPr>
                      <w:rFonts w:hint="eastAsia"/>
                      <w:color w:val="0C0C0C"/>
                      <w:lang w:val="en-US" w:eastAsia="zh-CN"/>
                    </w:rPr>
                    <w:t>34.6</w:t>
                  </w:r>
                </w:p>
              </w:tc>
              <w:tc>
                <w:tcPr>
                  <w:tcW w:w="2059" w:type="dxa"/>
                  <w:noWrap w:val="0"/>
                  <w:vAlign w:val="center"/>
                </w:tcPr>
                <w:p>
                  <w:pPr>
                    <w:pStyle w:val="26"/>
                    <w:bidi w:val="0"/>
                    <w:jc w:val="center"/>
                    <w:rPr>
                      <w:rFonts w:hint="eastAsia" w:ascii="Times New Roman" w:hAnsi="Times New Roman" w:eastAsia="宋体" w:cs="宋体"/>
                      <w:color w:val="0C0C0C"/>
                      <w:kern w:val="0"/>
                      <w:sz w:val="24"/>
                      <w:szCs w:val="24"/>
                      <w:lang w:val="en-US" w:eastAsia="zh-CN" w:bidi="ar-SA"/>
                    </w:rPr>
                  </w:pPr>
                  <w:r>
                    <w:rPr>
                      <w:rFonts w:hint="eastAsia"/>
                      <w:color w:val="0C0C0C"/>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318" w:hRule="atLeast"/>
                <w:jc w:val="center"/>
              </w:trPr>
              <w:tc>
                <w:tcPr>
                  <w:tcW w:w="2160" w:type="dxa"/>
                  <w:vMerge w:val="continue"/>
                  <w:noWrap w:val="0"/>
                  <w:vAlign w:val="center"/>
                </w:tcPr>
                <w:p>
                  <w:pPr>
                    <w:pStyle w:val="26"/>
                    <w:bidi w:val="0"/>
                    <w:jc w:val="center"/>
                    <w:rPr>
                      <w:rFonts w:hint="eastAsia"/>
                      <w:color w:val="0C0C0C"/>
                      <w:highlight w:val="none"/>
                      <w:lang w:val="en-US" w:eastAsia="zh-CN"/>
                    </w:rPr>
                  </w:pPr>
                </w:p>
              </w:tc>
              <w:tc>
                <w:tcPr>
                  <w:tcW w:w="2160" w:type="dxa"/>
                  <w:noWrap w:val="0"/>
                  <w:vAlign w:val="center"/>
                </w:tcPr>
                <w:p>
                  <w:pPr>
                    <w:pStyle w:val="26"/>
                    <w:bidi w:val="0"/>
                    <w:jc w:val="center"/>
                    <w:rPr>
                      <w:rFonts w:hint="eastAsia" w:ascii="Times New Roman" w:hAnsi="Times New Roman" w:eastAsia="宋体" w:cs="宋体"/>
                      <w:color w:val="0C0C0C"/>
                      <w:kern w:val="0"/>
                      <w:sz w:val="24"/>
                      <w:szCs w:val="24"/>
                      <w:highlight w:val="none"/>
                      <w:lang w:val="en-US" w:eastAsia="zh-CN" w:bidi="ar-SA"/>
                    </w:rPr>
                  </w:pPr>
                  <w:r>
                    <w:rPr>
                      <w:rFonts w:hint="eastAsia"/>
                      <w:color w:val="0C0C0C"/>
                      <w:highlight w:val="none"/>
                      <w:lang w:val="en-US" w:eastAsia="zh-CN"/>
                    </w:rPr>
                    <w:t>镍</w:t>
                  </w:r>
                </w:p>
              </w:tc>
              <w:tc>
                <w:tcPr>
                  <w:tcW w:w="2476" w:type="dxa"/>
                  <w:noWrap w:val="0"/>
                  <w:vAlign w:val="top"/>
                </w:tcPr>
                <w:p>
                  <w:pPr>
                    <w:pStyle w:val="26"/>
                    <w:bidi w:val="0"/>
                    <w:jc w:val="center"/>
                    <w:rPr>
                      <w:rFonts w:hint="default"/>
                      <w:color w:val="0C0C0C"/>
                      <w:lang w:val="en-US" w:eastAsia="zh-CN"/>
                    </w:rPr>
                  </w:pPr>
                  <w:r>
                    <w:rPr>
                      <w:rFonts w:hint="eastAsia"/>
                      <w:color w:val="0C0C0C"/>
                      <w:lang w:val="en-US" w:eastAsia="zh-CN"/>
                    </w:rPr>
                    <w:t>30.0</w:t>
                  </w:r>
                </w:p>
              </w:tc>
              <w:tc>
                <w:tcPr>
                  <w:tcW w:w="2059" w:type="dxa"/>
                  <w:noWrap w:val="0"/>
                  <w:vAlign w:val="center"/>
                </w:tcPr>
                <w:p>
                  <w:pPr>
                    <w:pStyle w:val="26"/>
                    <w:bidi w:val="0"/>
                    <w:jc w:val="center"/>
                    <w:rPr>
                      <w:rFonts w:hint="eastAsia" w:ascii="Times New Roman" w:hAnsi="Times New Roman" w:eastAsia="宋体" w:cs="宋体"/>
                      <w:color w:val="0C0C0C"/>
                      <w:kern w:val="0"/>
                      <w:sz w:val="24"/>
                      <w:szCs w:val="24"/>
                      <w:lang w:val="en-US" w:eastAsia="zh-CN" w:bidi="ar-SA"/>
                    </w:rPr>
                  </w:pPr>
                  <w:r>
                    <w:rPr>
                      <w:color w:val="0C0C0C"/>
                    </w:rPr>
                    <w:t>mg/kg</w:t>
                  </w:r>
                </w:p>
              </w:tc>
            </w:tr>
          </w:tbl>
          <w:p>
            <w:pPr>
              <w:spacing w:line="360" w:lineRule="auto"/>
              <w:ind w:firstLine="477" w:firstLineChars="19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由表3-</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可见，本项目评价区域</w:t>
            </w:r>
            <w:r>
              <w:rPr>
                <w:rFonts w:hint="eastAsia" w:ascii="Times New Roman" w:hAnsi="Times New Roman" w:eastAsia="宋体" w:cs="Times New Roman"/>
                <w:color w:val="auto"/>
                <w:sz w:val="24"/>
                <w:szCs w:val="24"/>
                <w:lang w:val="en-US" w:eastAsia="zh-CN"/>
              </w:rPr>
              <w:t>土壤</w:t>
            </w:r>
            <w:r>
              <w:rPr>
                <w:rFonts w:hint="default" w:ascii="Times New Roman" w:hAnsi="Times New Roman" w:eastAsia="宋体" w:cs="Times New Roman"/>
                <w:color w:val="auto"/>
                <w:sz w:val="24"/>
                <w:szCs w:val="24"/>
              </w:rPr>
              <w:t>环境</w:t>
            </w:r>
            <w:r>
              <w:rPr>
                <w:rFonts w:hint="eastAsia" w:ascii="Times New Roman" w:hAnsi="Times New Roman" w:eastAsia="宋体" w:cs="Times New Roman"/>
                <w:color w:val="auto"/>
                <w:sz w:val="24"/>
                <w:szCs w:val="24"/>
                <w:lang w:val="en-US" w:eastAsia="zh-CN"/>
              </w:rPr>
              <w:t>质量</w:t>
            </w:r>
            <w:r>
              <w:rPr>
                <w:rFonts w:hint="default" w:ascii="Times New Roman" w:hAnsi="Times New Roman" w:eastAsia="宋体" w:cs="Times New Roman"/>
                <w:color w:val="auto"/>
                <w:sz w:val="24"/>
                <w:szCs w:val="24"/>
              </w:rPr>
              <w:t>能满足</w:t>
            </w:r>
            <w:r>
              <w:rPr>
                <w:rFonts w:hint="default" w:ascii="Times New Roman" w:hAnsi="Times New Roman" w:eastAsia="宋体" w:cs="Times New Roman"/>
                <w:color w:val="auto"/>
                <w:sz w:val="24"/>
                <w:szCs w:val="24"/>
                <w:lang w:eastAsia="zh-CN"/>
              </w:rPr>
              <w:t>土壤环境质量 农用地土壤污染风险管控标准（试行）》（GB 15618-2018）</w:t>
            </w:r>
            <w:r>
              <w:rPr>
                <w:rFonts w:hint="default" w:ascii="Times New Roman" w:hAnsi="Times New Roman" w:eastAsia="宋体" w:cs="Times New Roman"/>
                <w:color w:val="auto"/>
                <w:sz w:val="24"/>
                <w:szCs w:val="24"/>
              </w:rPr>
              <w:t>中的</w:t>
            </w:r>
            <w:r>
              <w:rPr>
                <w:rFonts w:hint="eastAsia" w:ascii="Times New Roman" w:hAnsi="Times New Roman" w:eastAsia="宋体" w:cs="Times New Roman"/>
                <w:color w:val="auto"/>
                <w:sz w:val="24"/>
                <w:szCs w:val="24"/>
                <w:lang w:val="en-US" w:eastAsia="zh-CN"/>
              </w:rPr>
              <w:t>表1土壤污染风险筛选值</w:t>
            </w:r>
            <w:r>
              <w:rPr>
                <w:rFonts w:hint="default" w:ascii="Times New Roman" w:hAnsi="Times New Roman" w:eastAsia="宋体" w:cs="Times New Roman"/>
                <w:color w:val="auto"/>
                <w:sz w:val="24"/>
                <w:szCs w:val="24"/>
              </w:rPr>
              <w:t>。</w:t>
            </w:r>
          </w:p>
          <w:p>
            <w:pPr>
              <w:pStyle w:val="8"/>
              <w:rPr>
                <w:rFonts w:hint="default"/>
              </w:rPr>
            </w:pPr>
          </w:p>
          <w:p>
            <w:pPr>
              <w:rPr>
                <w:rFonts w:hint="eastAsia"/>
                <w:lang w:eastAsia="zh-CN"/>
              </w:rPr>
            </w:pPr>
          </w:p>
          <w:p>
            <w:pPr>
              <w:pStyle w:val="62"/>
              <w:ind w:left="0" w:leftChars="0" w:firstLine="0" w:firstLineChars="0"/>
              <w:jc w:val="center"/>
              <w:rPr>
                <w:rFonts w:hint="default" w:ascii="Times New Roman" w:hAnsi="Times New Roman" w:cs="Times New Roman"/>
                <w:color w:val="auto"/>
                <w:sz w:val="24"/>
                <w:szCs w:val="24"/>
              </w:rPr>
            </w:pPr>
          </w:p>
          <w:p>
            <w:pPr>
              <w:pStyle w:val="28"/>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textAlignment w:val="auto"/>
              <w:rPr>
                <w:rFonts w:hint="default" w:ascii="Times New Roman" w:hAnsi="Times New Roman" w:cs="Times New Roman"/>
                <w:color w:val="auto"/>
                <w:sz w:val="24"/>
                <w:szCs w:val="24"/>
                <w:lang w:val="en-US"/>
              </w:rPr>
            </w:pPr>
          </w:p>
          <w:p>
            <w:pPr>
              <w:pStyle w:val="28"/>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textAlignment w:val="auto"/>
              <w:rPr>
                <w:rFonts w:hint="eastAsia" w:ascii="Times New Roman" w:hAnsi="Times New Roman" w:eastAsia="宋体"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3" w:hRule="atLeast"/>
          <w:jc w:val="center"/>
        </w:trPr>
        <w:tc>
          <w:tcPr>
            <w:tcW w:w="539" w:type="dxa"/>
            <w:noWrap w:val="0"/>
            <w:vAlign w:val="center"/>
          </w:tcPr>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b/>
                <w:bCs w:val="0"/>
                <w:sz w:val="24"/>
                <w:szCs w:val="24"/>
              </w:rPr>
              <w:t>与项目有关的原有环境污染和生态破坏问题</w:t>
            </w:r>
          </w:p>
        </w:tc>
        <w:tc>
          <w:tcPr>
            <w:tcW w:w="8850" w:type="dxa"/>
            <w:noWrap w:val="0"/>
            <w:vAlign w:val="center"/>
          </w:tcPr>
          <w:p>
            <w:pPr>
              <w:pStyle w:val="65"/>
              <w:spacing w:line="360" w:lineRule="auto"/>
              <w:ind w:left="0" w:leftChars="0" w:firstLine="480" w:firstLineChars="200"/>
              <w:rPr>
                <w:rFonts w:hint="eastAsia" w:ascii="Times New Roman" w:hAnsi="Times New Roman" w:eastAsia="宋体" w:cs="Times New Roman"/>
                <w:kern w:val="0"/>
                <w:sz w:val="24"/>
                <w:szCs w:val="24"/>
                <w:lang w:eastAsia="zh-CN"/>
              </w:rPr>
            </w:pPr>
            <w:r>
              <w:rPr>
                <w:rFonts w:hint="eastAsia" w:cs="Times New Roman"/>
                <w:kern w:val="0"/>
                <w:sz w:val="24"/>
                <w:szCs w:val="24"/>
                <w:lang w:val="en-US" w:eastAsia="zh-CN"/>
              </w:rPr>
              <w:t>1、</w:t>
            </w:r>
            <w:r>
              <w:rPr>
                <w:rFonts w:hint="eastAsia" w:ascii="Times New Roman" w:hAnsi="Times New Roman" w:eastAsia="宋体" w:cs="Times New Roman"/>
                <w:kern w:val="0"/>
                <w:sz w:val="24"/>
                <w:szCs w:val="24"/>
                <w:lang w:eastAsia="zh-CN"/>
              </w:rPr>
              <w:t>河道淤积</w:t>
            </w:r>
          </w:p>
          <w:p>
            <w:pPr>
              <w:pStyle w:val="65"/>
              <w:spacing w:line="360" w:lineRule="auto"/>
              <w:ind w:left="0" w:leftChars="0" w:firstLine="480" w:firstLineChars="200"/>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val="en-US" w:eastAsia="zh-CN"/>
              </w:rPr>
              <w:t>庄子沟</w:t>
            </w:r>
            <w:r>
              <w:rPr>
                <w:rFonts w:hint="eastAsia" w:ascii="Times New Roman" w:hAnsi="Times New Roman" w:eastAsia="宋体" w:cs="Times New Roman"/>
                <w:kern w:val="0"/>
                <w:sz w:val="24"/>
                <w:szCs w:val="24"/>
                <w:lang w:eastAsia="zh-CN"/>
              </w:rPr>
              <w:t>为山区河道，河道本身推移质量较大。同时，</w:t>
            </w:r>
            <w:r>
              <w:rPr>
                <w:rFonts w:hint="eastAsia" w:ascii="Times New Roman" w:hAnsi="Times New Roman" w:eastAsia="宋体" w:cs="Times New Roman"/>
                <w:kern w:val="0"/>
                <w:sz w:val="24"/>
                <w:szCs w:val="24"/>
                <w:lang w:val="en-US" w:eastAsia="zh-CN"/>
              </w:rPr>
              <w:t>河道两侧为农田，雨季水土流失严重，</w:t>
            </w:r>
            <w:r>
              <w:rPr>
                <w:rFonts w:hint="eastAsia" w:ascii="Times New Roman" w:hAnsi="Times New Roman" w:eastAsia="宋体" w:cs="Times New Roman"/>
                <w:kern w:val="0"/>
                <w:sz w:val="24"/>
                <w:szCs w:val="24"/>
                <w:lang w:eastAsia="zh-CN"/>
              </w:rPr>
              <w:t>造成河道淤积严重。</w:t>
            </w:r>
          </w:p>
          <w:p>
            <w:pPr>
              <w:pStyle w:val="65"/>
              <w:spacing w:line="360" w:lineRule="auto"/>
              <w:ind w:left="0" w:leftChars="0" w:firstLine="0" w:firstLineChars="0"/>
              <w:jc w:val="center"/>
              <w:rPr>
                <w:rFonts w:hint="eastAsia" w:ascii="Times New Roman" w:hAnsi="Times New Roman" w:eastAsia="宋体" w:cs="Times New Roman"/>
                <w:kern w:val="0"/>
                <w:sz w:val="24"/>
                <w:szCs w:val="24"/>
                <w:lang w:eastAsia="zh-CN"/>
              </w:rPr>
            </w:pPr>
            <w:r>
              <w:rPr>
                <w:rFonts w:hint="eastAsia" w:ascii="宋体" w:hAnsi="宋体" w:eastAsia="宋体" w:cs="宋体"/>
                <w:color w:val="auto"/>
                <w:kern w:val="0"/>
                <w:highlight w:val="none"/>
                <w:lang w:eastAsia="zh-CN"/>
              </w:rPr>
              <w:drawing>
                <wp:inline distT="0" distB="0" distL="114300" distR="114300">
                  <wp:extent cx="3420110" cy="2560955"/>
                  <wp:effectExtent l="0" t="0" r="8890" b="10795"/>
                  <wp:docPr id="76" name="图片 1" descr="1cce7f54b4886497ab9463d0d69b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descr="1cce7f54b4886497ab9463d0d69b442"/>
                          <pic:cNvPicPr>
                            <a:picLocks noChangeAspect="1"/>
                          </pic:cNvPicPr>
                        </pic:nvPicPr>
                        <pic:blipFill>
                          <a:blip r:embed="rId18"/>
                          <a:stretch>
                            <a:fillRect/>
                          </a:stretch>
                        </pic:blipFill>
                        <pic:spPr>
                          <a:xfrm>
                            <a:off x="0" y="0"/>
                            <a:ext cx="3420110" cy="2560955"/>
                          </a:xfrm>
                          <a:prstGeom prst="rect">
                            <a:avLst/>
                          </a:prstGeom>
                          <a:noFill/>
                          <a:ln>
                            <a:noFill/>
                          </a:ln>
                        </pic:spPr>
                      </pic:pic>
                    </a:graphicData>
                  </a:graphic>
                </wp:inline>
              </w:drawing>
            </w:r>
          </w:p>
          <w:p>
            <w:pPr>
              <w:pStyle w:val="65"/>
              <w:spacing w:line="360" w:lineRule="auto"/>
              <w:ind w:left="0" w:leftChars="0" w:firstLine="480" w:firstLineChars="200"/>
              <w:rPr>
                <w:rFonts w:hint="eastAsia" w:ascii="Times New Roman" w:hAnsi="Times New Roman" w:eastAsia="宋体" w:cs="Times New Roman"/>
                <w:kern w:val="0"/>
                <w:sz w:val="24"/>
                <w:szCs w:val="24"/>
                <w:lang w:eastAsia="zh-CN"/>
              </w:rPr>
            </w:pPr>
            <w:r>
              <w:rPr>
                <w:rFonts w:hint="eastAsia" w:cs="Times New Roman"/>
                <w:kern w:val="0"/>
                <w:sz w:val="24"/>
                <w:szCs w:val="24"/>
                <w:lang w:val="en-US" w:eastAsia="zh-CN"/>
              </w:rPr>
              <w:t>2、</w:t>
            </w:r>
            <w:r>
              <w:rPr>
                <w:rFonts w:hint="eastAsia" w:ascii="Times New Roman" w:hAnsi="Times New Roman" w:eastAsia="宋体" w:cs="Times New Roman"/>
                <w:kern w:val="0"/>
                <w:sz w:val="24"/>
                <w:szCs w:val="24"/>
                <w:lang w:eastAsia="zh-CN"/>
              </w:rPr>
              <w:t>上部河道防洪能力满足要求，但后段防洪能力不足</w:t>
            </w:r>
          </w:p>
          <w:p>
            <w:pPr>
              <w:pStyle w:val="65"/>
              <w:spacing w:line="360" w:lineRule="auto"/>
              <w:ind w:left="0" w:leftChars="0" w:firstLine="480" w:firstLineChars="200"/>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本工程</w:t>
            </w:r>
            <w:r>
              <w:rPr>
                <w:rFonts w:hint="eastAsia" w:ascii="Times New Roman" w:hAnsi="Times New Roman" w:eastAsia="宋体" w:cs="Times New Roman"/>
                <w:kern w:val="0"/>
                <w:sz w:val="24"/>
                <w:szCs w:val="24"/>
                <w:lang w:val="en-US" w:eastAsia="zh-CN"/>
              </w:rPr>
              <w:t>庄子沟</w:t>
            </w:r>
            <w:r>
              <w:rPr>
                <w:rFonts w:hint="eastAsia" w:ascii="Times New Roman" w:hAnsi="Times New Roman" w:eastAsia="宋体" w:cs="Times New Roman"/>
                <w:kern w:val="0"/>
                <w:sz w:val="24"/>
                <w:szCs w:val="24"/>
                <w:lang w:eastAsia="zh-CN"/>
              </w:rPr>
              <w:t>上游段河道为V形河谷，沿线</w:t>
            </w:r>
            <w:r>
              <w:rPr>
                <w:rFonts w:hint="eastAsia" w:ascii="Times New Roman" w:hAnsi="Times New Roman" w:eastAsia="宋体" w:cs="Times New Roman"/>
                <w:kern w:val="0"/>
                <w:sz w:val="24"/>
                <w:szCs w:val="24"/>
                <w:lang w:val="en-US" w:eastAsia="zh-CN"/>
              </w:rPr>
              <w:t>为</w:t>
            </w:r>
            <w:r>
              <w:rPr>
                <w:rFonts w:hint="eastAsia" w:ascii="Times New Roman" w:hAnsi="Times New Roman" w:eastAsia="宋体" w:cs="Times New Roman"/>
                <w:kern w:val="0"/>
                <w:sz w:val="24"/>
                <w:szCs w:val="24"/>
                <w:lang w:eastAsia="zh-CN"/>
              </w:rPr>
              <w:t>耕地及居民点较少，</w:t>
            </w:r>
            <w:r>
              <w:rPr>
                <w:rFonts w:hint="eastAsia" w:ascii="Times New Roman" w:hAnsi="Times New Roman" w:eastAsia="宋体" w:cs="Times New Roman"/>
                <w:kern w:val="0"/>
                <w:sz w:val="24"/>
                <w:szCs w:val="24"/>
                <w:lang w:val="en-US" w:eastAsia="zh-CN"/>
              </w:rPr>
              <w:t>下游河段河道断面浅且窄，公路侧有较多居民点，据现场调查了解，雨季时河道河水会漫过下游窄桥</w:t>
            </w:r>
            <w:r>
              <w:rPr>
                <w:rFonts w:hint="eastAsia" w:ascii="Times New Roman" w:hAnsi="Times New Roman" w:eastAsia="宋体" w:cs="Times New Roman"/>
                <w:kern w:val="0"/>
                <w:sz w:val="24"/>
                <w:szCs w:val="24"/>
                <w:lang w:eastAsia="zh-CN"/>
              </w:rPr>
              <w:t>。下游河道两岸分布有较多台地，台地上居民点和农田集中分布。经调查，该段沿线以天然河岸为主，山洪时常漫溢，严重影响周边居民的生命和财产安全。</w:t>
            </w:r>
          </w:p>
          <w:p>
            <w:pPr>
              <w:pStyle w:val="65"/>
              <w:spacing w:line="360" w:lineRule="auto"/>
              <w:ind w:left="0" w:leftChars="0" w:firstLine="0" w:firstLineChars="0"/>
              <w:jc w:val="center"/>
              <w:rPr>
                <w:rFonts w:hint="eastAsia" w:ascii="Times New Roman" w:hAnsi="Times New Roman" w:eastAsia="宋体" w:cs="Times New Roman"/>
                <w:kern w:val="0"/>
                <w:sz w:val="24"/>
                <w:szCs w:val="24"/>
                <w:lang w:eastAsia="zh-CN"/>
              </w:rPr>
            </w:pPr>
            <w:r>
              <w:rPr>
                <w:rFonts w:hint="eastAsia" w:eastAsia="宋体"/>
                <w:color w:val="auto"/>
                <w:highlight w:val="none"/>
                <w:lang w:eastAsia="zh-CN"/>
              </w:rPr>
              <w:drawing>
                <wp:inline distT="0" distB="0" distL="114300" distR="114300">
                  <wp:extent cx="3420110" cy="2661920"/>
                  <wp:effectExtent l="0" t="0" r="8890" b="5080"/>
                  <wp:docPr id="77" name="图片 2" descr="IMG_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descr="IMG_5528"/>
                          <pic:cNvPicPr>
                            <a:picLocks noChangeAspect="1"/>
                          </pic:cNvPicPr>
                        </pic:nvPicPr>
                        <pic:blipFill>
                          <a:blip r:embed="rId19"/>
                          <a:stretch>
                            <a:fillRect/>
                          </a:stretch>
                        </pic:blipFill>
                        <pic:spPr>
                          <a:xfrm>
                            <a:off x="0" y="0"/>
                            <a:ext cx="3420110" cy="2661920"/>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539" w:type="dxa"/>
            <w:noWrap w:val="0"/>
            <w:vAlign w:val="center"/>
          </w:tcPr>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b/>
                <w:bCs/>
                <w:kern w:val="0"/>
                <w:sz w:val="24"/>
                <w:szCs w:val="24"/>
              </w:rPr>
              <w:t>生态环境保护目标</w:t>
            </w:r>
          </w:p>
        </w:tc>
        <w:tc>
          <w:tcPr>
            <w:tcW w:w="8850" w:type="dxa"/>
            <w:noWrap w:val="0"/>
            <w:vAlign w:val="center"/>
          </w:tcPr>
          <w:p>
            <w:pPr>
              <w:spacing w:line="360" w:lineRule="auto"/>
              <w:ind w:firstLine="482" w:firstLineChars="200"/>
              <w:rPr>
                <w:rFonts w:hint="default" w:ascii="Times New Roman" w:hAnsi="Times New Roman" w:cs="Times New Roman"/>
                <w:b/>
                <w:bCs/>
                <w:color w:val="auto"/>
                <w:sz w:val="24"/>
                <w:szCs w:val="24"/>
                <w:lang w:val="en-US" w:eastAsia="zh-CN"/>
              </w:rPr>
            </w:pPr>
            <w:bookmarkStart w:id="58" w:name="_Toc23331"/>
            <w:bookmarkStart w:id="59" w:name="_Toc12882"/>
            <w:r>
              <w:rPr>
                <w:rFonts w:hint="eastAsia" w:ascii="Times New Roman" w:hAnsi="Times New Roman" w:cs="Times New Roman"/>
                <w:b/>
                <w:bCs/>
                <w:color w:val="auto"/>
                <w:sz w:val="24"/>
                <w:szCs w:val="24"/>
                <w:lang w:val="en-US" w:eastAsia="zh-CN"/>
              </w:rPr>
              <w:t>1、外环境关系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shd w:val="clear" w:color="auto" w:fill="auto"/>
                <w:lang w:eastAsia="zh-CN"/>
              </w:rPr>
            </w:pPr>
            <w:r>
              <w:rPr>
                <w:rFonts w:hint="eastAsia" w:ascii="宋体" w:hAnsi="宋体"/>
                <w:sz w:val="24"/>
                <w:szCs w:val="24"/>
                <w:lang w:eastAsia="zh-CN"/>
              </w:rPr>
              <w:t>本工程位于昭化区</w:t>
            </w:r>
            <w:r>
              <w:rPr>
                <w:rFonts w:hint="eastAsia" w:ascii="宋体" w:hAnsi="宋体"/>
                <w:sz w:val="24"/>
                <w:szCs w:val="24"/>
              </w:rPr>
              <w:t>元坝镇</w:t>
            </w:r>
            <w:r>
              <w:rPr>
                <w:rFonts w:hint="eastAsia" w:ascii="Times New Roman" w:hAnsi="Times New Roman" w:eastAsia="宋体" w:cs="Times New Roman"/>
                <w:color w:val="auto"/>
                <w:kern w:val="2"/>
                <w:sz w:val="24"/>
                <w:szCs w:val="24"/>
                <w:highlight w:val="none"/>
                <w:lang w:val="en-US" w:eastAsia="zh-CN" w:bidi="ar-SA"/>
              </w:rPr>
              <w:t>长坝社区</w:t>
            </w:r>
            <w:r>
              <w:rPr>
                <w:rFonts w:hint="eastAsia" w:ascii="Times New Roman" w:hAnsi="Times New Roman" w:eastAsia="宋体" w:cs="Times New Roman"/>
                <w:color w:val="auto"/>
                <w:sz w:val="24"/>
                <w:szCs w:val="24"/>
                <w:shd w:val="clear" w:color="auto" w:fill="auto"/>
                <w:lang w:eastAsia="zh-CN"/>
              </w:rPr>
              <w:t>，</w:t>
            </w:r>
            <w:r>
              <w:rPr>
                <w:rFonts w:hint="eastAsia" w:ascii="Times New Roman" w:hAnsi="Times New Roman" w:eastAsia="宋体" w:cs="Times New Roman"/>
                <w:color w:val="auto"/>
                <w:sz w:val="24"/>
                <w:szCs w:val="24"/>
                <w:shd w:val="clear" w:color="auto" w:fill="auto"/>
              </w:rPr>
              <w:t>工程</w:t>
            </w:r>
            <w:r>
              <w:rPr>
                <w:rFonts w:hint="eastAsia" w:ascii="Times New Roman" w:hAnsi="Times New Roman" w:eastAsia="宋体" w:cs="Times New Roman"/>
                <w:color w:val="auto"/>
                <w:sz w:val="24"/>
                <w:szCs w:val="24"/>
                <w:shd w:val="clear" w:color="auto" w:fill="auto"/>
                <w:lang w:val="en-US" w:eastAsia="zh-CN"/>
              </w:rPr>
              <w:t>涉及</w:t>
            </w:r>
            <w:r>
              <w:rPr>
                <w:rFonts w:hint="eastAsia" w:ascii="Times New Roman" w:hAnsi="Times New Roman" w:eastAsia="宋体" w:cs="Times New Roman"/>
                <w:color w:val="auto"/>
                <w:sz w:val="24"/>
                <w:szCs w:val="24"/>
                <w:shd w:val="clear" w:color="auto" w:fill="auto"/>
              </w:rPr>
              <w:t>河道</w:t>
            </w:r>
            <w:r>
              <w:rPr>
                <w:rFonts w:hint="eastAsia" w:ascii="Times New Roman" w:hAnsi="Times New Roman" w:eastAsia="宋体" w:cs="Times New Roman"/>
                <w:color w:val="auto"/>
                <w:sz w:val="24"/>
                <w:szCs w:val="24"/>
                <w:shd w:val="clear" w:color="auto" w:fill="auto"/>
                <w:lang w:val="en-US" w:eastAsia="zh-CN"/>
              </w:rPr>
              <w:t>位于长滩河支流庄子沟，庄子沟段整治河道起点为上游现状的混凝土平板桥，终点为下游现状混凝土桥。</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shd w:val="clear" w:color="auto" w:fill="auto"/>
                <w:lang w:val="en-US" w:eastAsia="zh-CN"/>
              </w:rPr>
            </w:pPr>
            <w:r>
              <w:rPr>
                <w:rFonts w:hint="eastAsia" w:ascii="Times New Roman" w:hAnsi="Times New Roman" w:eastAsia="宋体" w:cs="Times New Roman"/>
                <w:color w:val="auto"/>
                <w:sz w:val="24"/>
                <w:szCs w:val="24"/>
                <w:shd w:val="clear" w:color="auto" w:fill="auto"/>
                <w:lang w:val="en-US" w:eastAsia="zh-CN"/>
              </w:rPr>
              <w:t>项目</w:t>
            </w:r>
            <w:r>
              <w:rPr>
                <w:rFonts w:hint="eastAsia" w:ascii="Times New Roman" w:hAnsi="Times New Roman" w:eastAsia="宋体" w:cs="Times New Roman"/>
                <w:color w:val="auto"/>
                <w:sz w:val="24"/>
                <w:szCs w:val="24"/>
                <w:shd w:val="clear" w:color="auto" w:fill="auto"/>
                <w:lang w:eastAsia="zh-CN"/>
              </w:rPr>
              <w:t>位于农村地区，</w:t>
            </w:r>
            <w:r>
              <w:rPr>
                <w:rFonts w:hint="eastAsia" w:ascii="Times New Roman" w:hAnsi="Times New Roman" w:eastAsia="宋体" w:cs="Times New Roman"/>
                <w:color w:val="auto"/>
                <w:sz w:val="24"/>
                <w:szCs w:val="24"/>
                <w:shd w:val="clear" w:color="auto" w:fill="auto"/>
                <w:lang w:val="en-US" w:eastAsia="zh-CN"/>
              </w:rPr>
              <w:t>河道两</w:t>
            </w:r>
            <w:r>
              <w:rPr>
                <w:rFonts w:hint="default" w:ascii="Times New Roman" w:hAnsi="Times New Roman" w:eastAsia="宋体" w:cs="Times New Roman"/>
                <w:color w:val="auto"/>
                <w:sz w:val="24"/>
                <w:szCs w:val="24"/>
                <w:shd w:val="clear" w:color="auto" w:fill="auto"/>
              </w:rPr>
              <w:t>侧</w:t>
            </w:r>
            <w:r>
              <w:rPr>
                <w:rFonts w:hint="eastAsia" w:ascii="Times New Roman" w:hAnsi="Times New Roman" w:eastAsia="宋体" w:cs="Times New Roman"/>
                <w:color w:val="auto"/>
                <w:sz w:val="24"/>
                <w:szCs w:val="24"/>
                <w:shd w:val="clear" w:color="auto" w:fill="auto"/>
                <w:lang w:eastAsia="zh-CN"/>
              </w:rPr>
              <w:t>现状</w:t>
            </w:r>
            <w:r>
              <w:rPr>
                <w:rFonts w:hint="default" w:ascii="Times New Roman" w:hAnsi="Times New Roman" w:eastAsia="宋体" w:cs="Times New Roman"/>
                <w:color w:val="auto"/>
                <w:sz w:val="24"/>
                <w:szCs w:val="24"/>
                <w:shd w:val="clear" w:color="auto" w:fill="auto"/>
              </w:rPr>
              <w:t>主要为</w:t>
            </w:r>
            <w:r>
              <w:rPr>
                <w:rFonts w:hint="eastAsia" w:ascii="Times New Roman" w:hAnsi="Times New Roman" w:eastAsia="宋体" w:cs="Times New Roman"/>
                <w:color w:val="auto"/>
                <w:sz w:val="24"/>
                <w:szCs w:val="24"/>
                <w:shd w:val="clear" w:color="auto" w:fill="auto"/>
                <w:lang w:eastAsia="zh-CN"/>
              </w:rPr>
              <w:t>耕地</w:t>
            </w:r>
            <w:r>
              <w:rPr>
                <w:rFonts w:hint="default" w:ascii="Times New Roman" w:hAnsi="Times New Roman" w:eastAsia="宋体" w:cs="Times New Roman"/>
                <w:color w:val="auto"/>
                <w:sz w:val="24"/>
                <w:szCs w:val="24"/>
                <w:shd w:val="clear" w:color="auto" w:fill="auto"/>
              </w:rPr>
              <w:t>、</w:t>
            </w:r>
            <w:r>
              <w:rPr>
                <w:rFonts w:hint="eastAsia" w:ascii="Times New Roman" w:hAnsi="Times New Roman" w:eastAsia="宋体" w:cs="Times New Roman"/>
                <w:color w:val="auto"/>
                <w:sz w:val="24"/>
                <w:szCs w:val="24"/>
                <w:shd w:val="clear" w:color="auto" w:fill="auto"/>
                <w:lang w:eastAsia="zh-CN"/>
              </w:rPr>
              <w:t>荒地、林地、当地</w:t>
            </w:r>
            <w:r>
              <w:rPr>
                <w:rFonts w:hint="default" w:ascii="Times New Roman" w:hAnsi="Times New Roman" w:eastAsia="宋体" w:cs="Times New Roman"/>
                <w:color w:val="auto"/>
                <w:sz w:val="24"/>
                <w:szCs w:val="24"/>
                <w:shd w:val="clear" w:color="auto" w:fill="auto"/>
              </w:rPr>
              <w:t>居民住户</w:t>
            </w:r>
            <w:r>
              <w:rPr>
                <w:rFonts w:hint="eastAsia" w:ascii="Times New Roman" w:hAnsi="Times New Roman" w:eastAsia="宋体" w:cs="Times New Roman"/>
                <w:color w:val="auto"/>
                <w:sz w:val="24"/>
                <w:szCs w:val="24"/>
                <w:shd w:val="clear" w:color="auto" w:fill="auto"/>
                <w:lang w:eastAsia="zh-CN"/>
              </w:rPr>
              <w:t>。</w:t>
            </w:r>
            <w:r>
              <w:rPr>
                <w:rFonts w:hint="eastAsia" w:ascii="Times New Roman" w:hAnsi="Times New Roman" w:eastAsia="宋体" w:cs="Times New Roman"/>
                <w:color w:val="auto"/>
                <w:sz w:val="24"/>
                <w:szCs w:val="24"/>
                <w:shd w:val="clear" w:color="auto" w:fill="auto"/>
                <w:lang w:val="en-US" w:eastAsia="zh-CN"/>
              </w:rPr>
              <w:t>项目河道K0+000.00—K0+452.64段右侧（北侧）10-150m范围内有35户居民，K0+350.00—K0+452.64段左侧（南侧）10-100m处有约5户居民；河道终点K0+452.64处西北侧50-200m范围内有约14户居民，西侧20-200m处为长坝社区党群服务中心（约60户），西南侧230-500m范围内为幸福苑居民小区（约</w:t>
            </w:r>
            <w:r>
              <w:rPr>
                <w:rFonts w:hint="eastAsia" w:cs="Times New Roman"/>
                <w:color w:val="auto"/>
                <w:sz w:val="24"/>
                <w:szCs w:val="24"/>
                <w:shd w:val="clear" w:color="auto" w:fill="auto"/>
                <w:lang w:val="en-US" w:eastAsia="zh-CN"/>
              </w:rPr>
              <w:t>3</w:t>
            </w:r>
            <w:r>
              <w:rPr>
                <w:rFonts w:hint="eastAsia" w:ascii="Times New Roman" w:hAnsi="Times New Roman" w:eastAsia="宋体" w:cs="Times New Roman"/>
                <w:color w:val="auto"/>
                <w:sz w:val="24"/>
                <w:szCs w:val="24"/>
                <w:shd w:val="clear" w:color="auto" w:fill="auto"/>
                <w:lang w:val="en-US" w:eastAsia="zh-CN"/>
              </w:rPr>
              <w:t>00户）；河道起点K0+000.00处东侧、东北侧110-200m处有约10户居民；</w:t>
            </w:r>
            <w:r>
              <w:rPr>
                <w:rFonts w:hint="eastAsia" w:ascii="Times New Roman" w:hAnsi="宋体" w:eastAsia="宋体" w:cs="Times New Roman"/>
                <w:color w:val="000000"/>
                <w:sz w:val="24"/>
                <w:szCs w:val="24"/>
                <w:lang w:val="en-US" w:eastAsia="zh-CN"/>
              </w:rPr>
              <w:t>周边500米范围内无学校、医院等特殊保护目标，敏感点主要为当地住户。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shd w:val="clear" w:color="auto" w:fill="auto"/>
              </w:rPr>
              <w:t>本项目</w:t>
            </w:r>
            <w:r>
              <w:rPr>
                <w:rFonts w:hint="eastAsia" w:ascii="Times New Roman" w:hAnsi="Times New Roman" w:eastAsia="宋体" w:cs="Times New Roman"/>
                <w:color w:val="auto"/>
                <w:sz w:val="24"/>
                <w:szCs w:val="24"/>
                <w:shd w:val="clear" w:color="auto" w:fill="auto"/>
                <w:lang w:eastAsia="zh-CN"/>
              </w:rPr>
              <w:t>堤防</w:t>
            </w:r>
            <w:r>
              <w:rPr>
                <w:rFonts w:hint="default" w:ascii="Times New Roman" w:hAnsi="Times New Roman" w:eastAsia="宋体" w:cs="Times New Roman"/>
                <w:color w:val="auto"/>
                <w:sz w:val="24"/>
                <w:szCs w:val="24"/>
                <w:shd w:val="clear" w:color="auto" w:fill="auto"/>
              </w:rPr>
              <w:t>建设所</w:t>
            </w:r>
            <w:r>
              <w:rPr>
                <w:rFonts w:hint="default" w:ascii="Times New Roman" w:hAnsi="Times New Roman" w:eastAsia="宋体" w:cs="Times New Roman"/>
                <w:color w:val="auto"/>
                <w:sz w:val="24"/>
                <w:szCs w:val="24"/>
                <w:shd w:val="clear" w:color="auto" w:fill="auto"/>
                <w:lang w:eastAsia="zh-CN"/>
              </w:rPr>
              <w:t>在的河流</w:t>
            </w:r>
            <w:r>
              <w:rPr>
                <w:rFonts w:hint="eastAsia" w:ascii="Times New Roman" w:hAnsi="Times New Roman" w:eastAsia="宋体" w:cs="Times New Roman"/>
                <w:color w:val="auto"/>
                <w:sz w:val="24"/>
                <w:szCs w:val="24"/>
                <w:shd w:val="clear" w:color="auto" w:fill="auto"/>
                <w:lang w:eastAsia="zh-CN"/>
              </w:rPr>
              <w:t>水体</w:t>
            </w:r>
            <w:r>
              <w:rPr>
                <w:rFonts w:hint="default" w:ascii="Times New Roman" w:hAnsi="Times New Roman" w:eastAsia="宋体" w:cs="Times New Roman"/>
                <w:color w:val="auto"/>
                <w:sz w:val="24"/>
                <w:szCs w:val="24"/>
                <w:shd w:val="clear" w:color="auto" w:fill="auto"/>
                <w:lang w:eastAsia="zh-CN"/>
              </w:rPr>
              <w:t>为</w:t>
            </w:r>
            <w:r>
              <w:rPr>
                <w:rFonts w:hint="eastAsia" w:ascii="Times New Roman" w:hAnsi="Times New Roman" w:eastAsia="宋体" w:cs="Times New Roman"/>
                <w:color w:val="auto"/>
                <w:sz w:val="24"/>
                <w:szCs w:val="24"/>
                <w:shd w:val="clear" w:color="auto" w:fill="auto"/>
                <w:lang w:eastAsia="zh-CN"/>
              </w:rPr>
              <w:t>长滩河（南河支流）</w:t>
            </w:r>
            <w:r>
              <w:rPr>
                <w:rFonts w:hint="eastAsia" w:ascii="Times New Roman" w:hAnsi="Times New Roman" w:eastAsia="宋体" w:cs="Times New Roman"/>
                <w:color w:val="auto"/>
                <w:sz w:val="24"/>
                <w:szCs w:val="24"/>
                <w:shd w:val="clear" w:color="auto" w:fill="auto"/>
                <w:lang w:val="en-US" w:eastAsia="zh-CN"/>
              </w:rPr>
              <w:t>右</w:t>
            </w:r>
            <w:r>
              <w:rPr>
                <w:rFonts w:hint="eastAsia" w:ascii="Times New Roman" w:hAnsi="Times New Roman" w:eastAsia="宋体" w:cs="Times New Roman"/>
                <w:color w:val="auto"/>
                <w:sz w:val="24"/>
                <w:szCs w:val="24"/>
                <w:shd w:val="clear" w:color="auto" w:fill="auto"/>
                <w:lang w:eastAsia="zh-CN"/>
              </w:rPr>
              <w:t>岸支流</w:t>
            </w:r>
            <w:r>
              <w:rPr>
                <w:rFonts w:hint="eastAsia" w:ascii="Times New Roman" w:hAnsi="Times New Roman" w:eastAsia="宋体" w:cs="Times New Roman"/>
                <w:color w:val="auto"/>
                <w:sz w:val="24"/>
                <w:szCs w:val="24"/>
                <w:shd w:val="clear" w:color="auto" w:fill="auto"/>
                <w:lang w:val="en-US" w:eastAsia="zh-CN"/>
              </w:rPr>
              <w:t>庄子沟</w:t>
            </w:r>
            <w:r>
              <w:rPr>
                <w:rFonts w:hint="default" w:ascii="Times New Roman" w:hAnsi="Times New Roman" w:eastAsia="宋体" w:cs="Times New Roman"/>
                <w:color w:val="auto"/>
                <w:sz w:val="24"/>
                <w:szCs w:val="24"/>
                <w:shd w:val="clear" w:color="auto" w:fill="auto"/>
              </w:rPr>
              <w:t>，</w:t>
            </w:r>
            <w:r>
              <w:rPr>
                <w:rFonts w:hint="eastAsia" w:ascii="Times New Roman" w:hAnsi="Times New Roman" w:eastAsia="宋体" w:cs="Times New Roman"/>
                <w:color w:val="auto"/>
                <w:sz w:val="24"/>
                <w:szCs w:val="24"/>
                <w:shd w:val="clear" w:color="auto" w:fill="auto"/>
                <w:lang w:eastAsia="zh-CN"/>
              </w:rPr>
              <w:t>属于小河道，</w:t>
            </w:r>
            <w:r>
              <w:rPr>
                <w:rFonts w:hint="eastAsia" w:ascii="Times New Roman" w:hAnsi="Times New Roman" w:eastAsia="宋体" w:cs="Times New Roman"/>
                <w:color w:val="auto"/>
                <w:sz w:val="24"/>
                <w:szCs w:val="24"/>
                <w:shd w:val="clear" w:color="auto" w:fill="auto"/>
                <w:lang w:val="en-US" w:eastAsia="zh-CN"/>
              </w:rPr>
              <w:t>工程段河道为季节性溪沟，终点至</w:t>
            </w:r>
            <w:r>
              <w:rPr>
                <w:rFonts w:hint="eastAsia" w:cs="Times New Roman"/>
                <w:color w:val="auto"/>
                <w:sz w:val="24"/>
                <w:szCs w:val="24"/>
                <w:shd w:val="clear" w:color="auto" w:fill="auto"/>
                <w:lang w:val="en-US" w:eastAsia="zh-CN"/>
              </w:rPr>
              <w:t>长滩河</w:t>
            </w:r>
            <w:r>
              <w:rPr>
                <w:rFonts w:hint="eastAsia" w:ascii="Times New Roman" w:hAnsi="Times New Roman" w:eastAsia="宋体" w:cs="Times New Roman"/>
                <w:color w:val="auto"/>
                <w:sz w:val="24"/>
                <w:szCs w:val="24"/>
                <w:shd w:val="clear" w:color="auto" w:fill="auto"/>
                <w:lang w:val="en-US" w:eastAsia="zh-CN"/>
              </w:rPr>
              <w:t>交汇口段已修建提防，项目选择枯水期施工，生产废水不会影响到</w:t>
            </w:r>
            <w:r>
              <w:rPr>
                <w:rFonts w:hint="eastAsia" w:cs="Times New Roman"/>
                <w:color w:val="auto"/>
                <w:sz w:val="24"/>
                <w:szCs w:val="24"/>
                <w:shd w:val="clear" w:color="auto" w:fill="auto"/>
                <w:lang w:val="en-US" w:eastAsia="zh-CN"/>
              </w:rPr>
              <w:t>长滩河</w:t>
            </w:r>
            <w:r>
              <w:rPr>
                <w:rFonts w:hint="eastAsia" w:ascii="Times New Roman" w:hAnsi="Times New Roman" w:eastAsia="宋体" w:cs="Times New Roman"/>
                <w:color w:val="auto"/>
                <w:sz w:val="24"/>
                <w:szCs w:val="24"/>
                <w:shd w:val="clear" w:color="auto" w:fill="auto"/>
                <w:lang w:val="en-US" w:eastAsia="zh-CN"/>
              </w:rPr>
              <w:t>的水质；经调查，</w:t>
            </w:r>
            <w:r>
              <w:rPr>
                <w:rFonts w:hint="default" w:ascii="Times New Roman" w:hAnsi="Times New Roman" w:eastAsia="宋体" w:cs="Times New Roman"/>
                <w:color w:val="auto"/>
                <w:sz w:val="24"/>
                <w:szCs w:val="24"/>
                <w:shd w:val="clear" w:color="auto" w:fill="auto"/>
                <w:lang w:eastAsia="zh-CN"/>
              </w:rPr>
              <w:t>本项目河堤</w:t>
            </w:r>
            <w:r>
              <w:rPr>
                <w:rFonts w:hint="eastAsia" w:ascii="Times New Roman" w:hAnsi="Times New Roman" w:eastAsia="宋体" w:cs="Times New Roman"/>
                <w:color w:val="auto"/>
                <w:sz w:val="24"/>
                <w:szCs w:val="24"/>
                <w:shd w:val="clear" w:color="auto" w:fill="auto"/>
                <w:lang w:eastAsia="zh-CN"/>
              </w:rPr>
              <w:t>工程段</w:t>
            </w:r>
            <w:r>
              <w:rPr>
                <w:rFonts w:hint="default" w:ascii="Times New Roman" w:hAnsi="Times New Roman" w:eastAsia="宋体" w:cs="Times New Roman"/>
                <w:color w:val="auto"/>
                <w:sz w:val="24"/>
                <w:szCs w:val="24"/>
                <w:shd w:val="clear" w:color="auto" w:fill="auto"/>
                <w:lang w:eastAsia="zh-CN"/>
              </w:rPr>
              <w:t>河道</w:t>
            </w:r>
            <w:r>
              <w:rPr>
                <w:rFonts w:hint="eastAsia" w:ascii="Times New Roman" w:hAnsi="Times New Roman" w:eastAsia="宋体" w:cs="Times New Roman"/>
                <w:color w:val="auto"/>
                <w:sz w:val="24"/>
                <w:szCs w:val="24"/>
                <w:shd w:val="clear" w:color="auto" w:fill="auto"/>
                <w:lang w:val="en-US" w:eastAsia="zh-CN"/>
              </w:rPr>
              <w:t>及下游</w:t>
            </w:r>
            <w:r>
              <w:rPr>
                <w:rFonts w:hint="eastAsia" w:cs="Times New Roman"/>
                <w:color w:val="auto"/>
                <w:sz w:val="24"/>
                <w:szCs w:val="24"/>
                <w:shd w:val="clear" w:color="auto" w:fill="auto"/>
                <w:lang w:val="en-US" w:eastAsia="zh-CN"/>
              </w:rPr>
              <w:t>3</w:t>
            </w:r>
            <w:r>
              <w:rPr>
                <w:rFonts w:hint="eastAsia" w:ascii="Times New Roman" w:hAnsi="Times New Roman" w:eastAsia="宋体" w:cs="Times New Roman"/>
                <w:color w:val="auto"/>
                <w:sz w:val="24"/>
                <w:szCs w:val="24"/>
                <w:shd w:val="clear" w:color="auto" w:fill="auto"/>
                <w:lang w:val="en-US" w:eastAsia="zh-CN"/>
              </w:rPr>
              <w:t>km范围内</w:t>
            </w:r>
            <w:r>
              <w:rPr>
                <w:rFonts w:hint="default" w:ascii="Times New Roman" w:hAnsi="Times New Roman" w:eastAsia="宋体" w:cs="Times New Roman"/>
                <w:color w:val="auto"/>
                <w:sz w:val="24"/>
                <w:szCs w:val="24"/>
                <w:shd w:val="clear" w:color="auto" w:fill="auto"/>
                <w:lang w:eastAsia="zh-CN"/>
              </w:rPr>
              <w:t>无珍稀水生生物</w:t>
            </w:r>
            <w:r>
              <w:rPr>
                <w:rFonts w:hint="eastAsia" w:ascii="Times New Roman" w:hAnsi="Times New Roman" w:eastAsia="宋体" w:cs="Times New Roman"/>
                <w:color w:val="auto"/>
                <w:sz w:val="24"/>
                <w:szCs w:val="24"/>
                <w:shd w:val="clear" w:color="auto" w:fill="auto"/>
                <w:lang w:eastAsia="zh-CN"/>
              </w:rPr>
              <w:t>及</w:t>
            </w:r>
            <w:r>
              <w:rPr>
                <w:rFonts w:hint="eastAsia" w:ascii="Times New Roman" w:hAnsi="Times New Roman" w:eastAsia="宋体" w:cs="Times New Roman"/>
                <w:color w:val="auto"/>
                <w:sz w:val="24"/>
                <w:szCs w:val="24"/>
                <w:lang w:val="en-US" w:eastAsia="zh-CN"/>
              </w:rPr>
              <w:t>鱼类“三场”</w:t>
            </w:r>
            <w:r>
              <w:rPr>
                <w:rFonts w:hint="default" w:ascii="Times New Roman" w:hAnsi="Times New Roman" w:eastAsia="宋体" w:cs="Times New Roman"/>
                <w:color w:val="auto"/>
                <w:sz w:val="24"/>
                <w:szCs w:val="24"/>
                <w:shd w:val="clear" w:color="auto" w:fill="auto"/>
                <w:lang w:eastAsia="zh-CN"/>
              </w:rPr>
              <w:t>，不涉及</w:t>
            </w:r>
            <w:r>
              <w:rPr>
                <w:rFonts w:hint="default" w:ascii="Times New Roman" w:hAnsi="Times New Roman" w:eastAsia="宋体" w:cs="Times New Roman"/>
                <w:color w:val="auto"/>
                <w:sz w:val="24"/>
                <w:szCs w:val="24"/>
                <w:lang w:eastAsia="zh-CN"/>
              </w:rPr>
              <w:t>饮用水源保护区</w:t>
            </w:r>
            <w:r>
              <w:rPr>
                <w:rFonts w:hint="eastAsia" w:ascii="Times New Roman" w:hAnsi="Times New Roman" w:eastAsia="宋体" w:cs="Times New Roman"/>
                <w:color w:val="auto"/>
                <w:sz w:val="24"/>
                <w:szCs w:val="24"/>
                <w:lang w:eastAsia="zh-CN"/>
              </w:rPr>
              <w:t>、</w:t>
            </w:r>
            <w:r>
              <w:rPr>
                <w:rFonts w:hint="eastAsia"/>
                <w:sz w:val="24"/>
                <w:lang w:val="en-US" w:eastAsia="zh-CN"/>
              </w:rPr>
              <w:t>控制断面，</w:t>
            </w:r>
            <w:r>
              <w:rPr>
                <w:rFonts w:hint="default" w:ascii="Times New Roman" w:hAnsi="Times New Roman" w:eastAsia="宋体" w:cs="Times New Roman"/>
                <w:color w:val="auto"/>
                <w:sz w:val="24"/>
                <w:szCs w:val="24"/>
                <w:lang w:eastAsia="zh-CN"/>
              </w:rPr>
              <w:t>本项目下游最近国控（省控）监测断面为嘉陵江“</w:t>
            </w:r>
            <w:r>
              <w:rPr>
                <w:rFonts w:hint="eastAsia" w:cs="Times New Roman"/>
                <w:color w:val="auto"/>
                <w:sz w:val="24"/>
                <w:szCs w:val="24"/>
                <w:lang w:val="en-US" w:eastAsia="zh-CN"/>
              </w:rPr>
              <w:t>安家湾</w:t>
            </w:r>
            <w:r>
              <w:rPr>
                <w:rFonts w:hint="default" w:ascii="Times New Roman" w:hAnsi="Times New Roman" w:eastAsia="宋体" w:cs="Times New Roman"/>
                <w:color w:val="auto"/>
                <w:sz w:val="24"/>
                <w:szCs w:val="24"/>
                <w:lang w:eastAsia="zh-CN"/>
              </w:rPr>
              <w:t>”省控断面，位于广元市</w:t>
            </w:r>
            <w:r>
              <w:rPr>
                <w:rFonts w:hint="eastAsia" w:ascii="Times New Roman" w:hAnsi="Times New Roman" w:eastAsia="宋体" w:cs="Times New Roman"/>
                <w:color w:val="auto"/>
                <w:sz w:val="24"/>
                <w:szCs w:val="24"/>
                <w:lang w:val="en-US" w:eastAsia="zh-CN"/>
              </w:rPr>
              <w:t>利州区</w:t>
            </w:r>
            <w:r>
              <w:rPr>
                <w:rFonts w:hint="eastAsia" w:cs="Times New Roman"/>
                <w:color w:val="auto"/>
                <w:sz w:val="24"/>
                <w:szCs w:val="24"/>
                <w:lang w:val="en-US" w:eastAsia="zh-CN"/>
              </w:rPr>
              <w:t>安家湾</w:t>
            </w:r>
            <w:r>
              <w:rPr>
                <w:rFonts w:hint="default" w:ascii="Times New Roman" w:hAnsi="Times New Roman" w:eastAsia="宋体" w:cs="Times New Roman"/>
                <w:color w:val="auto"/>
                <w:sz w:val="24"/>
                <w:szCs w:val="24"/>
                <w:lang w:eastAsia="zh-CN"/>
              </w:rPr>
              <w:t>，位于本项目工程下游约</w:t>
            </w:r>
            <w:r>
              <w:rPr>
                <w:rFonts w:hint="eastAsia" w:ascii="Times New Roman" w:hAnsi="Times New Roman" w:eastAsia="宋体" w:cs="Times New Roman"/>
                <w:color w:val="auto"/>
                <w:sz w:val="24"/>
                <w:szCs w:val="24"/>
                <w:lang w:val="en-US" w:eastAsia="zh-CN"/>
              </w:rPr>
              <w:t>4</w:t>
            </w:r>
            <w:r>
              <w:rPr>
                <w:rFonts w:hint="eastAsia" w:cs="Times New Roman"/>
                <w:color w:val="auto"/>
                <w:sz w:val="24"/>
                <w:szCs w:val="24"/>
                <w:lang w:val="en-US" w:eastAsia="zh-CN"/>
              </w:rPr>
              <w:t>.7</w:t>
            </w:r>
            <w:r>
              <w:rPr>
                <w:rFonts w:hint="default" w:ascii="Times New Roman" w:hAnsi="Times New Roman" w:eastAsia="宋体" w:cs="Times New Roman"/>
                <w:color w:val="auto"/>
                <w:sz w:val="24"/>
                <w:szCs w:val="24"/>
                <w:lang w:eastAsia="zh-CN"/>
              </w:rPr>
              <w:t>km</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。堤防基础施工选择在枯水期进行，</w:t>
            </w:r>
            <w:r>
              <w:rPr>
                <w:rFonts w:hint="eastAsia" w:ascii="Times New Roman" w:hAnsi="Times New Roman" w:eastAsia="宋体" w:cs="Times New Roman"/>
                <w:color w:val="auto"/>
                <w:sz w:val="24"/>
                <w:szCs w:val="24"/>
              </w:rPr>
              <w:t>并尽量缩短施工时间，加强施工管理，</w:t>
            </w:r>
            <w:r>
              <w:rPr>
                <w:rFonts w:hint="default" w:ascii="Times New Roman" w:hAnsi="Times New Roman" w:eastAsia="宋体" w:cs="Times New Roman"/>
                <w:color w:val="auto"/>
                <w:sz w:val="24"/>
                <w:szCs w:val="24"/>
              </w:rPr>
              <w:t>项目涉水施工对河道水质影响小。</w:t>
            </w:r>
            <w:r>
              <w:rPr>
                <w:rStyle w:val="51"/>
                <w:rFonts w:hint="default"/>
                <w:sz w:val="24"/>
                <w:szCs w:val="24"/>
              </w:rPr>
              <w:t>本工程评价范围内不涉及自然保护区、 风景名胜区等环境敏感区，也不占用基本农田，工程所在河段不涉及国家级、省级水产种质资源保护区。</w:t>
            </w:r>
            <w:r>
              <w:rPr>
                <w:rFonts w:hint="eastAsia" w:ascii="Times New Roman" w:hAnsi="Times New Roman" w:eastAsia="宋体" w:cs="Times New Roman"/>
                <w:color w:val="auto"/>
                <w:sz w:val="24"/>
                <w:szCs w:val="24"/>
                <w:lang w:val="en-US" w:eastAsia="zh-CN"/>
              </w:rPr>
              <w:t>工程河道现状及部分外环境照片详见下图。</w:t>
            </w:r>
          </w:p>
          <w:tbl>
            <w:tblPr>
              <w:tblStyle w:val="30"/>
              <w:tblW w:w="90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8"/>
              <w:gridCol w:w="4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508" w:type="dxa"/>
                  <w:noWrap w:val="0"/>
                  <w:vAlign w:val="center"/>
                </w:tcPr>
                <w:p>
                  <w:pPr>
                    <w:jc w:val="center"/>
                    <w:rPr>
                      <w:rFonts w:eastAsia="新宋体"/>
                      <w:b/>
                      <w:bCs/>
                      <w:sz w:val="24"/>
                      <w:szCs w:val="24"/>
                    </w:rPr>
                  </w:pPr>
                  <w:r>
                    <w:rPr>
                      <w:rFonts w:hint="eastAsia" w:eastAsia="黑体"/>
                      <w:lang w:eastAsia="zh-CN"/>
                    </w:rPr>
                    <w:drawing>
                      <wp:inline distT="0" distB="0" distL="114300" distR="114300">
                        <wp:extent cx="2520315" cy="1889760"/>
                        <wp:effectExtent l="0" t="0" r="13335" b="15240"/>
                        <wp:docPr id="79" name="图片 235" descr="IMG_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35" descr="IMG_2664"/>
                                <pic:cNvPicPr>
                                  <a:picLocks noChangeAspect="1"/>
                                </pic:cNvPicPr>
                              </pic:nvPicPr>
                              <pic:blipFill>
                                <a:blip r:embed="rId20"/>
                                <a:stretch>
                                  <a:fillRect/>
                                </a:stretch>
                              </pic:blipFill>
                              <pic:spPr>
                                <a:xfrm>
                                  <a:off x="0" y="0"/>
                                  <a:ext cx="2520315" cy="1889760"/>
                                </a:xfrm>
                                <a:prstGeom prst="rect">
                                  <a:avLst/>
                                </a:prstGeom>
                                <a:noFill/>
                                <a:ln>
                                  <a:noFill/>
                                </a:ln>
                              </pic:spPr>
                            </pic:pic>
                          </a:graphicData>
                        </a:graphic>
                      </wp:inline>
                    </w:drawing>
                  </w:r>
                </w:p>
              </w:tc>
              <w:tc>
                <w:tcPr>
                  <w:tcW w:w="4544" w:type="dxa"/>
                  <w:noWrap w:val="0"/>
                  <w:vAlign w:val="center"/>
                </w:tcPr>
                <w:p>
                  <w:pPr>
                    <w:jc w:val="center"/>
                    <w:rPr>
                      <w:rFonts w:hint="eastAsia" w:eastAsia="宋体"/>
                      <w:b/>
                      <w:bCs/>
                      <w:sz w:val="24"/>
                      <w:szCs w:val="24"/>
                      <w:lang w:eastAsia="zh-CN"/>
                    </w:rPr>
                  </w:pPr>
                  <w:r>
                    <w:rPr>
                      <w:rFonts w:hint="eastAsia" w:eastAsia="黑体"/>
                      <w:vertAlign w:val="baseline"/>
                      <w:lang w:eastAsia="zh-CN"/>
                    </w:rPr>
                    <w:drawing>
                      <wp:inline distT="0" distB="0" distL="114300" distR="114300">
                        <wp:extent cx="2520315" cy="1889760"/>
                        <wp:effectExtent l="0" t="0" r="13335" b="15240"/>
                        <wp:docPr id="80" name="图片 236" descr="IMG_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36" descr="IMG_2675"/>
                                <pic:cNvPicPr>
                                  <a:picLocks noChangeAspect="1"/>
                                </pic:cNvPicPr>
                              </pic:nvPicPr>
                              <pic:blipFill>
                                <a:blip r:embed="rId21"/>
                                <a:stretch>
                                  <a:fillRect/>
                                </a:stretch>
                              </pic:blipFill>
                              <pic:spPr>
                                <a:xfrm>
                                  <a:off x="0" y="0"/>
                                  <a:ext cx="2520315" cy="18897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9052" w:type="dxa"/>
                  <w:gridSpan w:val="2"/>
                  <w:noWrap w:val="0"/>
                  <w:vAlign w:val="center"/>
                </w:tcPr>
                <w:p>
                  <w:pPr>
                    <w:jc w:val="center"/>
                    <w:rPr>
                      <w:rFonts w:hint="eastAsia" w:eastAsia="新宋体"/>
                      <w:color w:val="FF0000"/>
                      <w:sz w:val="24"/>
                      <w:szCs w:val="24"/>
                      <w:lang w:val="en-US" w:eastAsia="zh-CN"/>
                    </w:rPr>
                  </w:pPr>
                  <w:r>
                    <w:rPr>
                      <w:rFonts w:hint="eastAsia" w:ascii="Times New Roman" w:hAnsi="Times New Roman" w:eastAsia="宋体" w:cs="Times New Roman"/>
                      <w:sz w:val="24"/>
                      <w:szCs w:val="24"/>
                      <w:lang w:val="en-US" w:eastAsia="zh-CN"/>
                    </w:rPr>
                    <w:t>庄子沟</w:t>
                  </w:r>
                  <w:r>
                    <w:rPr>
                      <w:rFonts w:hint="eastAsia" w:ascii="Times New Roman" w:hAnsi="Times New Roman" w:eastAsia="宋体" w:cs="Times New Roman"/>
                      <w:sz w:val="24"/>
                      <w:szCs w:val="24"/>
                      <w:lang w:eastAsia="zh-CN"/>
                    </w:rPr>
                    <w:t>沿线</w:t>
                  </w:r>
                  <w:r>
                    <w:rPr>
                      <w:rFonts w:hint="eastAsia" w:ascii="Times New Roman" w:hAnsi="Times New Roman" w:eastAsia="宋体" w:cs="Times New Roman"/>
                      <w:sz w:val="24"/>
                      <w:szCs w:val="24"/>
                      <w:lang w:val="en-US" w:eastAsia="zh-CN"/>
                    </w:rPr>
                    <w:t>外环境</w:t>
                  </w:r>
                  <w:r>
                    <w:rPr>
                      <w:rFonts w:hint="eastAsia" w:ascii="Times New Roman" w:hAnsi="Times New Roman" w:eastAsia="宋体" w:cs="Times New Roman"/>
                      <w:sz w:val="24"/>
                      <w:szCs w:val="24"/>
                      <w:lang w:eastAsia="zh-CN"/>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4" w:hRule="atLeast"/>
                <w:jc w:val="center"/>
              </w:trPr>
              <w:tc>
                <w:tcPr>
                  <w:tcW w:w="4508" w:type="dxa"/>
                  <w:noWrap w:val="0"/>
                  <w:vAlign w:val="center"/>
                </w:tcPr>
                <w:p>
                  <w:pPr>
                    <w:jc w:val="center"/>
                    <w:rPr>
                      <w:rFonts w:hint="eastAsia" w:eastAsia="宋体"/>
                      <w:b/>
                      <w:bCs/>
                      <w:sz w:val="24"/>
                      <w:szCs w:val="24"/>
                      <w:lang w:eastAsia="zh-CN"/>
                    </w:rPr>
                  </w:pPr>
                  <w:r>
                    <w:rPr>
                      <w:rFonts w:hint="eastAsia" w:eastAsia="黑体"/>
                      <w:lang w:eastAsia="zh-CN"/>
                    </w:rPr>
                    <w:drawing>
                      <wp:inline distT="0" distB="0" distL="114300" distR="114300">
                        <wp:extent cx="2520315" cy="1884680"/>
                        <wp:effectExtent l="0" t="0" r="13335" b="1270"/>
                        <wp:docPr id="81" name="图片 237" descr="IMG_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37" descr="IMG_2688"/>
                                <pic:cNvPicPr>
                                  <a:picLocks noChangeAspect="1"/>
                                </pic:cNvPicPr>
                              </pic:nvPicPr>
                              <pic:blipFill>
                                <a:blip r:embed="rId22"/>
                                <a:srcRect t="29982" b="13933"/>
                                <a:stretch>
                                  <a:fillRect/>
                                </a:stretch>
                              </pic:blipFill>
                              <pic:spPr>
                                <a:xfrm>
                                  <a:off x="0" y="0"/>
                                  <a:ext cx="2520315" cy="1884680"/>
                                </a:xfrm>
                                <a:prstGeom prst="rect">
                                  <a:avLst/>
                                </a:prstGeom>
                                <a:noFill/>
                                <a:ln>
                                  <a:noFill/>
                                </a:ln>
                              </pic:spPr>
                            </pic:pic>
                          </a:graphicData>
                        </a:graphic>
                      </wp:inline>
                    </w:drawing>
                  </w:r>
                </w:p>
              </w:tc>
              <w:tc>
                <w:tcPr>
                  <w:tcW w:w="4544" w:type="dxa"/>
                  <w:noWrap w:val="0"/>
                  <w:vAlign w:val="center"/>
                </w:tcPr>
                <w:p>
                  <w:pPr>
                    <w:jc w:val="center"/>
                    <w:rPr>
                      <w:rFonts w:hint="eastAsia" w:eastAsia="宋体"/>
                      <w:color w:val="FF0000"/>
                      <w:sz w:val="24"/>
                      <w:szCs w:val="24"/>
                      <w:lang w:eastAsia="zh-CN"/>
                    </w:rPr>
                  </w:pPr>
                  <w:r>
                    <w:rPr>
                      <w:rFonts w:hint="eastAsia" w:eastAsia="黑体"/>
                      <w:lang w:eastAsia="zh-CN"/>
                    </w:rPr>
                    <w:drawing>
                      <wp:inline distT="0" distB="0" distL="114300" distR="114300">
                        <wp:extent cx="2520315" cy="1871345"/>
                        <wp:effectExtent l="0" t="0" r="13335" b="14605"/>
                        <wp:docPr id="82" name="图片 238" descr="IMG_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38" descr="IMG_2684"/>
                                <pic:cNvPicPr>
                                  <a:picLocks noChangeAspect="1"/>
                                </pic:cNvPicPr>
                              </pic:nvPicPr>
                              <pic:blipFill>
                                <a:blip r:embed="rId23"/>
                                <a:srcRect t="8919" b="35393"/>
                                <a:stretch>
                                  <a:fillRect/>
                                </a:stretch>
                              </pic:blipFill>
                              <pic:spPr>
                                <a:xfrm>
                                  <a:off x="0" y="0"/>
                                  <a:ext cx="2520315" cy="18713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9052" w:type="dxa"/>
                  <w:gridSpan w:val="2"/>
                  <w:noWrap w:val="0"/>
                  <w:vAlign w:val="center"/>
                </w:tcPr>
                <w:p>
                  <w:pPr>
                    <w:jc w:val="center"/>
                    <w:rPr>
                      <w:rFonts w:eastAsia="新宋体"/>
                      <w:color w:val="FF0000"/>
                      <w:sz w:val="24"/>
                      <w:szCs w:val="24"/>
                    </w:rPr>
                  </w:pPr>
                  <w:r>
                    <w:rPr>
                      <w:rFonts w:hint="eastAsia" w:ascii="Times New Roman" w:hAnsi="Times New Roman" w:eastAsia="宋体" w:cs="Times New Roman"/>
                      <w:sz w:val="24"/>
                      <w:szCs w:val="24"/>
                      <w:lang w:val="en-US" w:eastAsia="zh-CN"/>
                    </w:rPr>
                    <w:t>庄子沟</w:t>
                  </w:r>
                  <w:r>
                    <w:rPr>
                      <w:rFonts w:hint="eastAsia" w:ascii="Times New Roman" w:hAnsi="Times New Roman" w:eastAsia="宋体" w:cs="Times New Roman"/>
                      <w:sz w:val="24"/>
                      <w:szCs w:val="24"/>
                      <w:lang w:eastAsia="zh-CN"/>
                    </w:rPr>
                    <w:t>沿线</w:t>
                  </w:r>
                  <w:r>
                    <w:rPr>
                      <w:rFonts w:hint="eastAsia" w:ascii="Times New Roman" w:hAnsi="Times New Roman" w:eastAsia="宋体" w:cs="Times New Roman"/>
                      <w:sz w:val="24"/>
                      <w:szCs w:val="24"/>
                      <w:lang w:val="en-US" w:eastAsia="zh-CN"/>
                    </w:rPr>
                    <w:t>外环境</w:t>
                  </w:r>
                  <w:r>
                    <w:rPr>
                      <w:rFonts w:hint="eastAsia" w:ascii="Times New Roman" w:hAnsi="Times New Roman" w:eastAsia="宋体" w:cs="Times New Roman"/>
                      <w:sz w:val="24"/>
                      <w:szCs w:val="24"/>
                      <w:lang w:eastAsia="zh-CN"/>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508" w:type="dxa"/>
                  <w:noWrap w:val="0"/>
                  <w:vAlign w:val="center"/>
                </w:tcPr>
                <w:p>
                  <w:pPr>
                    <w:jc w:val="center"/>
                    <w:rPr>
                      <w:rFonts w:hint="eastAsia" w:eastAsia="新宋体"/>
                      <w:b/>
                      <w:bCs/>
                      <w:sz w:val="24"/>
                      <w:szCs w:val="24"/>
                      <w:lang w:eastAsia="zh-CN"/>
                    </w:rPr>
                  </w:pPr>
                  <w:r>
                    <w:rPr>
                      <w:rFonts w:hint="eastAsia" w:eastAsia="黑体"/>
                      <w:lang w:eastAsia="zh-CN"/>
                    </w:rPr>
                    <w:drawing>
                      <wp:inline distT="0" distB="0" distL="114300" distR="114300">
                        <wp:extent cx="2520315" cy="1890395"/>
                        <wp:effectExtent l="0" t="0" r="13335" b="14605"/>
                        <wp:docPr id="83" name="图片 239" descr="IMG_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39" descr="IMG_2689"/>
                                <pic:cNvPicPr>
                                  <a:picLocks noChangeAspect="1"/>
                                </pic:cNvPicPr>
                              </pic:nvPicPr>
                              <pic:blipFill>
                                <a:blip r:embed="rId24"/>
                                <a:srcRect t="25137" b="18622"/>
                                <a:stretch>
                                  <a:fillRect/>
                                </a:stretch>
                              </pic:blipFill>
                              <pic:spPr>
                                <a:xfrm>
                                  <a:off x="0" y="0"/>
                                  <a:ext cx="2520315" cy="1890395"/>
                                </a:xfrm>
                                <a:prstGeom prst="rect">
                                  <a:avLst/>
                                </a:prstGeom>
                                <a:noFill/>
                                <a:ln>
                                  <a:noFill/>
                                </a:ln>
                              </pic:spPr>
                            </pic:pic>
                          </a:graphicData>
                        </a:graphic>
                      </wp:inline>
                    </w:drawing>
                  </w:r>
                </w:p>
              </w:tc>
              <w:tc>
                <w:tcPr>
                  <w:tcW w:w="4544" w:type="dxa"/>
                  <w:noWrap w:val="0"/>
                  <w:vAlign w:val="center"/>
                </w:tcPr>
                <w:p>
                  <w:pPr>
                    <w:jc w:val="center"/>
                    <w:rPr>
                      <w:rFonts w:hint="eastAsia" w:eastAsia="新宋体"/>
                      <w:color w:val="FF0000"/>
                      <w:sz w:val="24"/>
                      <w:szCs w:val="24"/>
                      <w:lang w:eastAsia="zh-CN"/>
                    </w:rPr>
                  </w:pPr>
                  <w:r>
                    <w:rPr>
                      <w:rFonts w:hint="eastAsia" w:eastAsia="黑体"/>
                      <w:vertAlign w:val="baseline"/>
                      <w:lang w:eastAsia="zh-CN"/>
                    </w:rPr>
                    <w:drawing>
                      <wp:inline distT="0" distB="0" distL="114300" distR="114300">
                        <wp:extent cx="2573020" cy="1877060"/>
                        <wp:effectExtent l="0" t="0" r="17780" b="8890"/>
                        <wp:docPr id="84" name="图片 240" descr="IMG_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40" descr="IMG_2677"/>
                                <pic:cNvPicPr>
                                  <a:picLocks noChangeAspect="1"/>
                                </pic:cNvPicPr>
                              </pic:nvPicPr>
                              <pic:blipFill>
                                <a:blip r:embed="rId25"/>
                                <a:srcRect t="19804" b="25485"/>
                                <a:stretch>
                                  <a:fillRect/>
                                </a:stretch>
                              </pic:blipFill>
                              <pic:spPr>
                                <a:xfrm>
                                  <a:off x="0" y="0"/>
                                  <a:ext cx="2573020" cy="18770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9052" w:type="dxa"/>
                  <w:gridSpan w:val="2"/>
                  <w:noWrap w:val="0"/>
                  <w:vAlign w:val="center"/>
                </w:tcPr>
                <w:p>
                  <w:pPr>
                    <w:jc w:val="center"/>
                    <w:rPr>
                      <w:rFonts w:eastAsia="新宋体"/>
                      <w:color w:val="FF0000"/>
                      <w:sz w:val="24"/>
                      <w:szCs w:val="24"/>
                    </w:rPr>
                  </w:pPr>
                  <w:r>
                    <w:rPr>
                      <w:rFonts w:hint="eastAsia" w:ascii="Times New Roman" w:hAnsi="Times New Roman" w:eastAsia="宋体" w:cs="Times New Roman"/>
                      <w:sz w:val="24"/>
                      <w:szCs w:val="24"/>
                      <w:lang w:val="en-US" w:eastAsia="zh-CN"/>
                    </w:rPr>
                    <w:t>庄子沟</w:t>
                  </w:r>
                  <w:r>
                    <w:rPr>
                      <w:rFonts w:hint="eastAsia" w:ascii="Times New Roman" w:hAnsi="Times New Roman" w:eastAsia="宋体" w:cs="Times New Roman"/>
                      <w:sz w:val="24"/>
                      <w:szCs w:val="24"/>
                      <w:lang w:eastAsia="zh-CN"/>
                    </w:rPr>
                    <w:t>沿线</w:t>
                  </w:r>
                  <w:r>
                    <w:rPr>
                      <w:rFonts w:hint="eastAsia" w:ascii="Times New Roman" w:hAnsi="Times New Roman" w:eastAsia="宋体" w:cs="Times New Roman"/>
                      <w:sz w:val="24"/>
                      <w:szCs w:val="24"/>
                      <w:lang w:val="en-US" w:eastAsia="zh-CN"/>
                    </w:rPr>
                    <w:t>外环境</w:t>
                  </w:r>
                  <w:r>
                    <w:rPr>
                      <w:rFonts w:hint="eastAsia" w:ascii="Times New Roman" w:hAnsi="Times New Roman" w:eastAsia="宋体" w:cs="Times New Roman"/>
                      <w:sz w:val="24"/>
                      <w:szCs w:val="24"/>
                      <w:lang w:eastAsia="zh-CN"/>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508" w:type="dxa"/>
                  <w:noWrap w:val="0"/>
                  <w:vAlign w:val="center"/>
                </w:tcPr>
                <w:p>
                  <w:pPr>
                    <w:jc w:val="center"/>
                    <w:rPr>
                      <w:rFonts w:hint="eastAsia" w:eastAsia="新宋体"/>
                      <w:b w:val="0"/>
                      <w:bCs w:val="0"/>
                      <w:sz w:val="24"/>
                      <w:szCs w:val="24"/>
                      <w:lang w:eastAsia="zh-CN"/>
                    </w:rPr>
                  </w:pPr>
                  <w:r>
                    <w:rPr>
                      <w:rFonts w:hint="eastAsia" w:eastAsia="新宋体"/>
                      <w:b w:val="0"/>
                      <w:bCs w:val="0"/>
                      <w:sz w:val="24"/>
                      <w:szCs w:val="24"/>
                      <w:lang w:eastAsia="zh-CN"/>
                    </w:rPr>
                    <w:drawing>
                      <wp:inline distT="0" distB="0" distL="114300" distR="114300">
                        <wp:extent cx="2520315" cy="1889760"/>
                        <wp:effectExtent l="0" t="0" r="13335" b="15240"/>
                        <wp:docPr id="85" name="图片 242" descr="IMG_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42" descr="IMG_2674"/>
                                <pic:cNvPicPr>
                                  <a:picLocks noChangeAspect="1"/>
                                </pic:cNvPicPr>
                              </pic:nvPicPr>
                              <pic:blipFill>
                                <a:blip r:embed="rId26"/>
                                <a:stretch>
                                  <a:fillRect/>
                                </a:stretch>
                              </pic:blipFill>
                              <pic:spPr>
                                <a:xfrm>
                                  <a:off x="0" y="0"/>
                                  <a:ext cx="2520315" cy="1889760"/>
                                </a:xfrm>
                                <a:prstGeom prst="rect">
                                  <a:avLst/>
                                </a:prstGeom>
                                <a:noFill/>
                                <a:ln>
                                  <a:noFill/>
                                </a:ln>
                              </pic:spPr>
                            </pic:pic>
                          </a:graphicData>
                        </a:graphic>
                      </wp:inline>
                    </w:drawing>
                  </w:r>
                </w:p>
              </w:tc>
              <w:tc>
                <w:tcPr>
                  <w:tcW w:w="4544" w:type="dxa"/>
                  <w:noWrap w:val="0"/>
                  <w:vAlign w:val="center"/>
                </w:tcPr>
                <w:p>
                  <w:pPr>
                    <w:jc w:val="center"/>
                    <w:rPr>
                      <w:rFonts w:hint="eastAsia" w:eastAsia="宋体"/>
                      <w:b w:val="0"/>
                      <w:bCs w:val="0"/>
                      <w:sz w:val="24"/>
                      <w:szCs w:val="24"/>
                      <w:lang w:eastAsia="zh-CN"/>
                    </w:rPr>
                  </w:pPr>
                  <w:r>
                    <w:rPr>
                      <w:rFonts w:hint="eastAsia" w:eastAsia="宋体"/>
                      <w:b w:val="0"/>
                      <w:bCs w:val="0"/>
                      <w:sz w:val="24"/>
                      <w:szCs w:val="24"/>
                      <w:lang w:eastAsia="zh-CN"/>
                    </w:rPr>
                    <w:drawing>
                      <wp:inline distT="0" distB="0" distL="114300" distR="114300">
                        <wp:extent cx="2520315" cy="1889760"/>
                        <wp:effectExtent l="0" t="0" r="13335" b="15240"/>
                        <wp:docPr id="86" name="图片 243" descr="IMG_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43" descr="IMG_2663"/>
                                <pic:cNvPicPr>
                                  <a:picLocks noChangeAspect="1"/>
                                </pic:cNvPicPr>
                              </pic:nvPicPr>
                              <pic:blipFill>
                                <a:blip r:embed="rId27"/>
                                <a:stretch>
                                  <a:fillRect/>
                                </a:stretch>
                              </pic:blipFill>
                              <pic:spPr>
                                <a:xfrm>
                                  <a:off x="0" y="0"/>
                                  <a:ext cx="2520315" cy="18897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9052" w:type="dxa"/>
                  <w:gridSpan w:val="2"/>
                  <w:noWrap w:val="0"/>
                  <w:vAlign w:val="center"/>
                </w:tcPr>
                <w:p>
                  <w:pPr>
                    <w:jc w:val="center"/>
                    <w:rPr>
                      <w:sz w:val="24"/>
                      <w:szCs w:val="24"/>
                    </w:rPr>
                  </w:pPr>
                  <w:r>
                    <w:rPr>
                      <w:rFonts w:hint="eastAsia" w:ascii="Times New Roman" w:hAnsi="Times New Roman" w:eastAsia="宋体" w:cs="Times New Roman"/>
                      <w:sz w:val="24"/>
                      <w:szCs w:val="24"/>
                      <w:lang w:eastAsia="zh-CN"/>
                    </w:rPr>
                    <w:t>庄子沟拟建堤防沿线现状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508" w:type="dxa"/>
                  <w:noWrap w:val="0"/>
                  <w:vAlign w:val="center"/>
                </w:tcPr>
                <w:p>
                  <w:pPr>
                    <w:jc w:val="center"/>
                    <w:rPr>
                      <w:rFonts w:hint="eastAsia" w:eastAsia="新宋体"/>
                      <w:b w:val="0"/>
                      <w:bCs w:val="0"/>
                      <w:sz w:val="24"/>
                      <w:szCs w:val="24"/>
                      <w:lang w:eastAsia="zh-CN"/>
                    </w:rPr>
                  </w:pPr>
                  <w:r>
                    <w:rPr>
                      <w:rFonts w:hint="eastAsia" w:eastAsia="新宋体"/>
                      <w:b w:val="0"/>
                      <w:bCs w:val="0"/>
                      <w:sz w:val="24"/>
                      <w:szCs w:val="24"/>
                      <w:lang w:eastAsia="zh-CN"/>
                    </w:rPr>
                    <w:drawing>
                      <wp:inline distT="0" distB="0" distL="114300" distR="114300">
                        <wp:extent cx="2520315" cy="1845945"/>
                        <wp:effectExtent l="0" t="0" r="13335" b="1905"/>
                        <wp:docPr id="87" name="图片 246" descr="IMG_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46" descr="IMG_2682"/>
                                <pic:cNvPicPr>
                                  <a:picLocks noChangeAspect="1"/>
                                </pic:cNvPicPr>
                              </pic:nvPicPr>
                              <pic:blipFill>
                                <a:blip r:embed="rId28"/>
                                <a:srcRect t="26279" b="18768"/>
                                <a:stretch>
                                  <a:fillRect/>
                                </a:stretch>
                              </pic:blipFill>
                              <pic:spPr>
                                <a:xfrm>
                                  <a:off x="0" y="0"/>
                                  <a:ext cx="2520315" cy="1845945"/>
                                </a:xfrm>
                                <a:prstGeom prst="rect">
                                  <a:avLst/>
                                </a:prstGeom>
                                <a:noFill/>
                                <a:ln>
                                  <a:noFill/>
                                </a:ln>
                              </pic:spPr>
                            </pic:pic>
                          </a:graphicData>
                        </a:graphic>
                      </wp:inline>
                    </w:drawing>
                  </w:r>
                </w:p>
              </w:tc>
              <w:tc>
                <w:tcPr>
                  <w:tcW w:w="4544" w:type="dxa"/>
                  <w:noWrap w:val="0"/>
                  <w:vAlign w:val="center"/>
                </w:tcPr>
                <w:p>
                  <w:pPr>
                    <w:jc w:val="center"/>
                    <w:rPr>
                      <w:rFonts w:hint="eastAsia" w:eastAsia="新宋体"/>
                      <w:b w:val="0"/>
                      <w:bCs w:val="0"/>
                      <w:sz w:val="24"/>
                      <w:szCs w:val="24"/>
                      <w:lang w:eastAsia="zh-CN"/>
                    </w:rPr>
                  </w:pPr>
                  <w:r>
                    <w:rPr>
                      <w:rFonts w:hint="eastAsia" w:eastAsia="新宋体"/>
                      <w:b w:val="0"/>
                      <w:bCs w:val="0"/>
                      <w:sz w:val="24"/>
                      <w:szCs w:val="24"/>
                      <w:lang w:eastAsia="zh-CN"/>
                    </w:rPr>
                    <w:drawing>
                      <wp:inline distT="0" distB="0" distL="114300" distR="114300">
                        <wp:extent cx="1889760" cy="2520315"/>
                        <wp:effectExtent l="0" t="0" r="13335" b="15240"/>
                        <wp:docPr id="88" name="图片 247" descr="IMG_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47" descr="IMG_2690"/>
                                <pic:cNvPicPr>
                                  <a:picLocks noChangeAspect="1"/>
                                </pic:cNvPicPr>
                              </pic:nvPicPr>
                              <pic:blipFill>
                                <a:blip r:embed="rId29"/>
                                <a:stretch>
                                  <a:fillRect/>
                                </a:stretch>
                              </pic:blipFill>
                              <pic:spPr>
                                <a:xfrm rot="5400000">
                                  <a:off x="0" y="0"/>
                                  <a:ext cx="1889760" cy="25203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9052" w:type="dxa"/>
                  <w:gridSpan w:val="2"/>
                  <w:noWrap w:val="0"/>
                  <w:vAlign w:val="center"/>
                </w:tcPr>
                <w:p>
                  <w:pPr>
                    <w:jc w:val="center"/>
                    <w:rPr>
                      <w:sz w:val="24"/>
                      <w:szCs w:val="24"/>
                    </w:rPr>
                  </w:pPr>
                  <w:r>
                    <w:rPr>
                      <w:rFonts w:hint="eastAsia" w:ascii="Times New Roman" w:hAnsi="Times New Roman" w:eastAsia="宋体" w:cs="Times New Roman"/>
                      <w:sz w:val="24"/>
                      <w:szCs w:val="24"/>
                      <w:lang w:eastAsia="zh-CN"/>
                    </w:rPr>
                    <w:t>庄子沟拟建堤防沿线现状</w:t>
                  </w:r>
                </w:p>
              </w:tc>
            </w:tr>
          </w:tbl>
          <w:p>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val="en-US" w:eastAsia="zh-CN"/>
              </w:rPr>
              <w:t>、生态环境保护目标</w:t>
            </w:r>
          </w:p>
          <w:p>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lang w:val="en-US" w:eastAsia="zh-CN"/>
              </w:rPr>
              <w:t>1</w:t>
            </w:r>
            <w:r>
              <w:rPr>
                <w:rFonts w:hint="default" w:ascii="Times New Roman" w:hAnsi="Times New Roman" w:cs="Times New Roman"/>
                <w:b w:val="0"/>
                <w:bCs w:val="0"/>
                <w:color w:val="auto"/>
                <w:sz w:val="24"/>
                <w:szCs w:val="24"/>
              </w:rPr>
              <w:t>）</w:t>
            </w:r>
            <w:bookmarkEnd w:id="58"/>
            <w:bookmarkEnd w:id="59"/>
            <w:r>
              <w:rPr>
                <w:rFonts w:hint="default" w:ascii="Times New Roman" w:hAnsi="Times New Roman" w:cs="Times New Roman"/>
                <w:b w:val="0"/>
                <w:bCs w:val="0"/>
                <w:color w:val="auto"/>
                <w:sz w:val="24"/>
                <w:szCs w:val="24"/>
                <w:lang w:val="en-US" w:eastAsia="zh-CN"/>
              </w:rPr>
              <w:t>生态保护内容</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rPr>
              <w:t>主要生态保护目标是对</w:t>
            </w:r>
            <w:r>
              <w:rPr>
                <w:rFonts w:hint="eastAsia" w:ascii="Times New Roman" w:hAnsi="Times New Roman" w:cs="Times New Roman"/>
                <w:color w:val="auto"/>
                <w:sz w:val="24"/>
                <w:szCs w:val="24"/>
                <w:lang w:eastAsia="zh-CN"/>
              </w:rPr>
              <w:t>河道综合</w:t>
            </w:r>
            <w:r>
              <w:rPr>
                <w:rFonts w:hint="eastAsia" w:ascii="Times New Roman" w:hAnsi="Times New Roman" w:cs="Times New Roman"/>
                <w:color w:val="auto"/>
                <w:sz w:val="24"/>
                <w:szCs w:val="24"/>
                <w:lang w:val="en-US" w:eastAsia="zh-CN"/>
              </w:rPr>
              <w:t>治理</w:t>
            </w:r>
            <w:r>
              <w:rPr>
                <w:rFonts w:hint="eastAsia" w:ascii="Times New Roman" w:hAnsi="Times New Roman" w:cs="Times New Roman"/>
                <w:color w:val="auto"/>
                <w:sz w:val="24"/>
                <w:szCs w:val="24"/>
                <w:lang w:eastAsia="zh-CN"/>
              </w:rPr>
              <w:t>段沿线</w:t>
            </w:r>
            <w:r>
              <w:rPr>
                <w:rFonts w:hint="default" w:ascii="Times New Roman" w:hAnsi="Times New Roman" w:cs="Times New Roman"/>
                <w:color w:val="auto"/>
                <w:sz w:val="24"/>
                <w:szCs w:val="24"/>
              </w:rPr>
              <w:t>及其</w:t>
            </w:r>
            <w:r>
              <w:rPr>
                <w:rFonts w:hint="eastAsia" w:ascii="Times New Roman" w:hAnsi="Times New Roman" w:cs="Times New Roman"/>
                <w:color w:val="auto"/>
                <w:sz w:val="24"/>
                <w:szCs w:val="24"/>
                <w:lang w:eastAsia="zh-CN"/>
              </w:rPr>
              <w:t>临时</w:t>
            </w:r>
            <w:r>
              <w:rPr>
                <w:rFonts w:hint="default" w:ascii="Times New Roman" w:hAnsi="Times New Roman" w:cs="Times New Roman"/>
                <w:color w:val="auto"/>
                <w:sz w:val="24"/>
                <w:szCs w:val="24"/>
              </w:rPr>
              <w:t>占地设施等范围内陆生</w:t>
            </w:r>
            <w:r>
              <w:rPr>
                <w:rFonts w:hint="eastAsia" w:cs="Times New Roman"/>
                <w:color w:val="auto"/>
                <w:sz w:val="24"/>
                <w:szCs w:val="24"/>
                <w:lang w:val="en-US" w:eastAsia="zh-CN"/>
              </w:rPr>
              <w:t>及水生</w:t>
            </w:r>
            <w:r>
              <w:rPr>
                <w:rFonts w:hint="default" w:ascii="Times New Roman" w:hAnsi="Times New Roman" w:cs="Times New Roman"/>
                <w:color w:val="auto"/>
                <w:sz w:val="24"/>
                <w:szCs w:val="24"/>
              </w:rPr>
              <w:t>生物多样性的保护，以及在施工建设对水土流失的控制和治理。尽可能减少项目在建设和运行期对陆生植物生境的破坏和动物的活动范围的影响，确保项目区域生态系统的完整性和稳定性不受影响；减少水土流失量，控制水土流失量；增加陆生生物保护措施，在保护生态环境不受影响的同时，减少土壤的流失和地表植被的破坏，并通过一定的工程措施加以改善，确保工程区域内陆生动植物的生存环境的破坏最小化。</w:t>
            </w:r>
          </w:p>
          <w:p>
            <w:pPr>
              <w:numPr>
                <w:ilvl w:val="0"/>
                <w:numId w:val="0"/>
              </w:numPr>
              <w:spacing w:line="360" w:lineRule="auto"/>
              <w:ind w:firstLine="480" w:firstLineChars="200"/>
              <w:rPr>
                <w:rFonts w:hint="default" w:ascii="Times New Roman" w:hAnsi="Times New Roman" w:cs="Times New Roman"/>
                <w:b w:val="0"/>
                <w:bCs w:val="0"/>
                <w:color w:val="auto"/>
                <w:sz w:val="24"/>
                <w:szCs w:val="24"/>
              </w:rPr>
            </w:pPr>
            <w:bookmarkStart w:id="60" w:name="_Toc21433"/>
            <w:bookmarkStart w:id="61" w:name="_Toc3245"/>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2）</w:t>
            </w:r>
            <w:r>
              <w:rPr>
                <w:rFonts w:hint="default" w:ascii="Times New Roman" w:hAnsi="Times New Roman" w:cs="Times New Roman"/>
                <w:b w:val="0"/>
                <w:bCs w:val="0"/>
                <w:color w:val="auto"/>
                <w:sz w:val="24"/>
                <w:szCs w:val="24"/>
              </w:rPr>
              <w:t>生态外环境关系与环境敏感对象</w:t>
            </w:r>
          </w:p>
          <w:bookmarkEnd w:id="60"/>
          <w:bookmarkEnd w:id="61"/>
          <w:p>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该项</w:t>
            </w:r>
            <w:r>
              <w:rPr>
                <w:rFonts w:hint="default" w:ascii="Times New Roman" w:hAnsi="Times New Roman" w:eastAsia="宋体" w:cs="Times New Roman"/>
                <w:color w:val="auto"/>
                <w:kern w:val="2"/>
                <w:sz w:val="24"/>
                <w:szCs w:val="24"/>
                <w:lang w:val="en-US" w:eastAsia="zh-CN" w:bidi="ar-SA"/>
              </w:rPr>
              <w:t>目不涉及</w:t>
            </w:r>
            <w:r>
              <w:rPr>
                <w:rFonts w:hint="eastAsia" w:ascii="Times New Roman" w:hAnsi="Times New Roman" w:eastAsia="宋体" w:cs="Times New Roman"/>
                <w:color w:val="auto"/>
                <w:kern w:val="2"/>
                <w:sz w:val="24"/>
                <w:szCs w:val="24"/>
                <w:lang w:val="en-US" w:eastAsia="zh-CN" w:bidi="ar-SA"/>
              </w:rPr>
              <w:t>天曌山国家森林公</w:t>
            </w:r>
            <w:r>
              <w:rPr>
                <w:rFonts w:hint="eastAsia" w:ascii="Times New Roman" w:hAnsi="Times New Roman" w:eastAsia="宋体" w:cs="Times New Roman"/>
                <w:snapToGrid w:val="0"/>
                <w:color w:val="auto"/>
                <w:sz w:val="24"/>
                <w:szCs w:val="24"/>
                <w:lang w:val="en-US" w:eastAsia="zh-CN"/>
              </w:rPr>
              <w:t>园、四川省雪峰森林公园、四川南河国家湿地公园、剑门蜀道风景名胜区、四川翠云廊古柏自然保护区、饮用水源保护区、基本农田保护区等环境敏感区，不涉及生态红线。</w:t>
            </w:r>
            <w:r>
              <w:rPr>
                <w:rFonts w:hint="default" w:ascii="Times New Roman" w:hAnsi="Times New Roman" w:eastAsia="宋体" w:cs="Times New Roman"/>
                <w:snapToGrid w:val="0"/>
                <w:color w:val="auto"/>
                <w:sz w:val="24"/>
                <w:szCs w:val="24"/>
                <w:lang w:val="en-US" w:eastAsia="zh-CN"/>
              </w:rPr>
              <w:t>与文物保护范围无重叠交叉，与现有文物保护规划和旅游发展规划不冲突。</w:t>
            </w:r>
          </w:p>
          <w:p>
            <w:pPr>
              <w:pStyle w:val="65"/>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（3）生态环境保护目标</w:t>
            </w:r>
          </w:p>
          <w:p>
            <w:pPr>
              <w:pStyle w:val="65"/>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1）项目所在区域自然体系的生产能力和稳定状况不因该项目建设而降低体系级别；</w:t>
            </w:r>
          </w:p>
          <w:p>
            <w:pPr>
              <w:pStyle w:val="65"/>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2）保护林地，预防泥石流和滑坡等地址灾害现象产生，减少水土流失，保护区域地表水体；</w:t>
            </w:r>
          </w:p>
          <w:p>
            <w:pPr>
              <w:pStyle w:val="65"/>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3）尽可能减少景观破坏程度，维护生态系统结的稳定性。</w:t>
            </w:r>
          </w:p>
          <w:p>
            <w:pPr>
              <w:spacing w:line="360" w:lineRule="auto"/>
              <w:ind w:firstLine="482" w:firstLineChars="200"/>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val="en-US" w:eastAsia="zh-CN"/>
              </w:rPr>
              <w:t>、其它环境要素主要保护目标及保护等级</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环境空气</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厂界外500m范围，</w:t>
            </w:r>
            <w:r>
              <w:rPr>
                <w:rFonts w:hint="default" w:ascii="Times New Roman" w:hAnsi="Times New Roman" w:cs="Times New Roman"/>
                <w:color w:val="auto"/>
                <w:sz w:val="24"/>
                <w:szCs w:val="24"/>
              </w:rPr>
              <w:t xml:space="preserve">项目所在区域环境空气质量应达到《环境空气质量标准》（GB3095-2012）二级标准。 </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地表水环境</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本项目</w:t>
            </w:r>
            <w:r>
              <w:rPr>
                <w:rFonts w:hint="default" w:ascii="Times New Roman" w:hAnsi="Times New Roman" w:cs="Times New Roman"/>
                <w:color w:val="auto"/>
                <w:sz w:val="24"/>
                <w:szCs w:val="24"/>
                <w:lang w:eastAsia="zh-CN"/>
              </w:rPr>
              <w:t>所在评价河段</w:t>
            </w:r>
            <w:r>
              <w:rPr>
                <w:rFonts w:hint="default" w:ascii="Times New Roman" w:hAnsi="Times New Roman" w:cs="Times New Roman"/>
                <w:color w:val="auto"/>
                <w:sz w:val="24"/>
                <w:szCs w:val="24"/>
              </w:rPr>
              <w:t>水质符合《地表水环境质量标准》（GB3838-2002）</w:t>
            </w:r>
            <w:r>
              <w:rPr>
                <w:rFonts w:hint="eastAsia" w:ascii="宋体" w:hAnsi="宋体" w:eastAsia="宋体" w:cs="宋体"/>
                <w:color w:val="auto"/>
                <w:sz w:val="24"/>
                <w:szCs w:val="24"/>
              </w:rPr>
              <w:t>Ⅲ</w:t>
            </w:r>
            <w:r>
              <w:rPr>
                <w:rFonts w:hint="default" w:ascii="Times New Roman" w:hAnsi="Times New Roman" w:cs="Times New Roman"/>
                <w:color w:val="auto"/>
                <w:sz w:val="24"/>
                <w:szCs w:val="24"/>
              </w:rPr>
              <w:t xml:space="preserve">类水域标准要求。 </w:t>
            </w:r>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地下水环境：厂界外50m范围，</w:t>
            </w:r>
            <w:r>
              <w:rPr>
                <w:rFonts w:hint="default" w:ascii="Times New Roman" w:hAnsi="Times New Roman" w:cs="Times New Roman"/>
                <w:color w:val="auto"/>
                <w:sz w:val="24"/>
                <w:szCs w:val="24"/>
              </w:rPr>
              <w:t>项目所在区域</w:t>
            </w:r>
            <w:r>
              <w:rPr>
                <w:rFonts w:hint="eastAsia" w:ascii="Times New Roman" w:hAnsi="Times New Roman" w:cs="Times New Roman"/>
                <w:color w:val="auto"/>
                <w:sz w:val="24"/>
                <w:szCs w:val="24"/>
                <w:lang w:val="en-US" w:eastAsia="zh-CN"/>
              </w:rPr>
              <w:t>地下水</w:t>
            </w:r>
            <w:r>
              <w:rPr>
                <w:rFonts w:hint="default" w:ascii="Times New Roman" w:hAnsi="Times New Roman" w:cs="Times New Roman"/>
                <w:color w:val="auto"/>
                <w:sz w:val="24"/>
                <w:szCs w:val="24"/>
              </w:rPr>
              <w:t>环境质量应达到</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地下水</w:t>
            </w:r>
            <w:r>
              <w:rPr>
                <w:rFonts w:hint="default" w:ascii="Times New Roman" w:hAnsi="Times New Roman" w:cs="Times New Roman"/>
                <w:color w:val="auto"/>
                <w:sz w:val="24"/>
                <w:szCs w:val="24"/>
                <w:highlight w:val="none"/>
              </w:rPr>
              <w:t>质量标准》（GB/T14848-2017）中的</w:t>
            </w:r>
            <w:r>
              <w:rPr>
                <w:rFonts w:hint="eastAsia" w:ascii="宋体" w:hAnsi="宋体" w:eastAsia="宋体" w:cs="宋体"/>
                <w:color w:val="auto"/>
                <w:sz w:val="24"/>
                <w:szCs w:val="24"/>
                <w:highlight w:val="none"/>
                <w:lang w:eastAsia="zh-CN"/>
              </w:rPr>
              <w:t>Ⅲ</w:t>
            </w:r>
            <w:r>
              <w:rPr>
                <w:rFonts w:hint="default" w:ascii="Times New Roman" w:hAnsi="Times New Roman" w:cs="Times New Roman"/>
                <w:color w:val="auto"/>
                <w:sz w:val="24"/>
                <w:szCs w:val="24"/>
                <w:highlight w:val="none"/>
                <w:lang w:eastAsia="zh-CN"/>
              </w:rPr>
              <w:t>类</w:t>
            </w:r>
            <w:r>
              <w:rPr>
                <w:rFonts w:hint="default" w:ascii="Times New Roman" w:hAnsi="Times New Roman" w:cs="Times New Roman"/>
                <w:color w:val="auto"/>
                <w:sz w:val="24"/>
                <w:szCs w:val="24"/>
                <w:highlight w:val="none"/>
              </w:rPr>
              <w:t>标准</w:t>
            </w:r>
            <w:r>
              <w:rPr>
                <w:rFonts w:hint="eastAsia" w:ascii="Times New Roman" w:hAnsi="Times New Roman" w:cs="Times New Roman"/>
                <w:color w:val="auto"/>
                <w:sz w:val="24"/>
                <w:szCs w:val="24"/>
                <w:highlight w:val="none"/>
                <w:lang w:eastAsia="zh-CN"/>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声环境：</w:t>
            </w:r>
            <w:r>
              <w:rPr>
                <w:rFonts w:hint="eastAsia" w:ascii="Times New Roman" w:hAnsi="Times New Roman" w:cs="Times New Roman"/>
                <w:color w:val="auto"/>
                <w:sz w:val="24"/>
                <w:szCs w:val="24"/>
                <w:lang w:val="en-US" w:eastAsia="zh-CN"/>
              </w:rPr>
              <w:t>厂界外200m范围，</w:t>
            </w:r>
            <w:r>
              <w:rPr>
                <w:rFonts w:hint="default" w:ascii="Times New Roman" w:hAnsi="Times New Roman" w:cs="Times New Roman"/>
                <w:color w:val="auto"/>
                <w:sz w:val="24"/>
                <w:szCs w:val="24"/>
              </w:rPr>
              <w:t>项目所在区域声环境质量应达到《声环境质量标准》（GB3096-2008）规定的</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 xml:space="preserve">类标准。 </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val="en-US" w:eastAsia="zh-CN"/>
              </w:rPr>
              <w:t>土壤</w:t>
            </w:r>
            <w:r>
              <w:rPr>
                <w:rFonts w:hint="default" w:ascii="Times New Roman" w:hAnsi="Times New Roman" w:cs="Times New Roman"/>
                <w:color w:val="auto"/>
                <w:sz w:val="24"/>
                <w:szCs w:val="24"/>
              </w:rPr>
              <w:t>环境</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厂界外50m范围，</w:t>
            </w:r>
            <w:r>
              <w:rPr>
                <w:rFonts w:hint="default" w:ascii="Times New Roman" w:hAnsi="Times New Roman" w:cs="Times New Roman"/>
                <w:color w:val="auto"/>
                <w:sz w:val="24"/>
                <w:szCs w:val="24"/>
              </w:rPr>
              <w:t>本项目所在区域</w:t>
            </w:r>
            <w:r>
              <w:rPr>
                <w:rFonts w:hint="default" w:ascii="Times New Roman" w:hAnsi="Times New Roman" w:cs="Times New Roman"/>
                <w:color w:val="auto"/>
                <w:sz w:val="24"/>
                <w:szCs w:val="24"/>
                <w:lang w:val="en-US" w:eastAsia="zh-CN"/>
              </w:rPr>
              <w:t>土壤</w:t>
            </w:r>
            <w:r>
              <w:rPr>
                <w:rFonts w:hint="default" w:ascii="Times New Roman" w:hAnsi="Times New Roman" w:cs="Times New Roman"/>
                <w:color w:val="auto"/>
                <w:sz w:val="24"/>
                <w:szCs w:val="24"/>
              </w:rPr>
              <w:t>环境质量应达到《土壤环境质量建设用地土壤污染风险管控标准》（试行）（GB36600-2018）第二类用地标准</w:t>
            </w:r>
            <w:r>
              <w:rPr>
                <w:rFonts w:hint="default" w:ascii="Times New Roman" w:hAnsi="Times New Roman" w:cs="Times New Roman"/>
                <w:color w:val="auto"/>
                <w:sz w:val="24"/>
                <w:szCs w:val="24"/>
                <w:lang w:eastAsia="zh-CN"/>
              </w:rPr>
              <w:t>。</w:t>
            </w:r>
          </w:p>
          <w:p>
            <w:pPr>
              <w:pStyle w:val="59"/>
              <w:spacing w:line="240" w:lineRule="auto"/>
              <w:rPr>
                <w:rFonts w:hint="default" w:ascii="Times New Roman" w:hAnsi="Times New Roman" w:cs="Times New Roman"/>
                <w:bCs w:val="0"/>
                <w:color w:val="auto"/>
                <w:sz w:val="24"/>
                <w:szCs w:val="24"/>
              </w:rPr>
            </w:pPr>
            <w:r>
              <w:rPr>
                <w:rFonts w:hint="default" w:ascii="Times New Roman" w:hAnsi="Times New Roman" w:cs="Times New Roman"/>
                <w:bCs w:val="0"/>
                <w:color w:val="auto"/>
                <w:sz w:val="24"/>
                <w:szCs w:val="24"/>
              </w:rPr>
              <w:t>表3</w:t>
            </w:r>
            <w:r>
              <w:rPr>
                <w:rFonts w:hint="eastAsia" w:ascii="Times New Roman" w:hAnsi="Times New Roman" w:cs="Times New Roman"/>
                <w:bCs w:val="0"/>
                <w:color w:val="auto"/>
                <w:sz w:val="24"/>
                <w:szCs w:val="24"/>
                <w:lang w:val="en-US" w:eastAsia="zh-CN"/>
              </w:rPr>
              <w:t>-8</w:t>
            </w:r>
            <w:r>
              <w:rPr>
                <w:rFonts w:hint="default" w:ascii="Times New Roman" w:hAnsi="Times New Roman" w:cs="Times New Roman"/>
                <w:bCs w:val="0"/>
                <w:color w:val="auto"/>
                <w:sz w:val="24"/>
                <w:szCs w:val="24"/>
              </w:rPr>
              <w:t xml:space="preserve"> 环境保护目标一览表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2179"/>
              <w:gridCol w:w="2727"/>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528" w:type="dxa"/>
                  <w:noWrap w:val="0"/>
                  <w:vAlign w:val="center"/>
                </w:tcPr>
                <w:p>
                  <w:pPr>
                    <w:pStyle w:val="127"/>
                    <w:keepNext w:val="0"/>
                    <w:keepLines w:val="0"/>
                    <w:pageBreakBefore w:val="0"/>
                    <w:kinsoku/>
                    <w:wordWrap/>
                    <w:overflowPunct/>
                    <w:topLinePunct w:val="0"/>
                    <w:autoSpaceDE/>
                    <w:autoSpaceDN/>
                    <w:bidi w:val="0"/>
                    <w:ind w:left="0"/>
                    <w:jc w:val="center"/>
                    <w:rPr>
                      <w:rFonts w:hint="default" w:ascii="Times New Roman" w:hAnsi="Times New Roman" w:eastAsia="宋体" w:cs="Times New Roman"/>
                      <w:b w:val="0"/>
                      <w:color w:val="auto"/>
                      <w:sz w:val="21"/>
                      <w:szCs w:val="21"/>
                      <w:lang w:eastAsia="zh-CN"/>
                    </w:rPr>
                  </w:pPr>
                  <w:r>
                    <w:rPr>
                      <w:rFonts w:hint="default" w:ascii="Times New Roman" w:hAnsi="Times New Roman" w:eastAsia="宋体" w:cs="Times New Roman"/>
                      <w:b w:val="0"/>
                      <w:color w:val="auto"/>
                      <w:sz w:val="21"/>
                      <w:szCs w:val="21"/>
                      <w:lang w:eastAsia="zh-CN"/>
                    </w:rPr>
                    <w:t>建设项</w:t>
                  </w:r>
                </w:p>
                <w:p>
                  <w:pPr>
                    <w:pStyle w:val="127"/>
                    <w:keepNext w:val="0"/>
                    <w:keepLines w:val="0"/>
                    <w:pageBreakBefore w:val="0"/>
                    <w:kinsoku/>
                    <w:wordWrap/>
                    <w:overflowPunct/>
                    <w:topLinePunct w:val="0"/>
                    <w:autoSpaceDE/>
                    <w:autoSpaceDN/>
                    <w:bidi w:val="0"/>
                    <w:ind w:left="0"/>
                    <w:jc w:val="center"/>
                    <w:rPr>
                      <w:rFonts w:hint="default" w:ascii="Times New Roman" w:hAnsi="Times New Roman" w:eastAsia="宋体" w:cs="Times New Roman"/>
                      <w:b w:val="0"/>
                      <w:color w:val="auto"/>
                      <w:sz w:val="21"/>
                      <w:szCs w:val="21"/>
                      <w:lang w:eastAsia="zh-CN"/>
                    </w:rPr>
                  </w:pPr>
                  <w:r>
                    <w:rPr>
                      <w:rFonts w:hint="default" w:ascii="Times New Roman" w:hAnsi="Times New Roman" w:eastAsia="宋体" w:cs="Times New Roman"/>
                      <w:b w:val="0"/>
                      <w:color w:val="auto"/>
                      <w:sz w:val="21"/>
                      <w:szCs w:val="21"/>
                      <w:lang w:eastAsia="zh-CN"/>
                    </w:rPr>
                    <w:t>目名称</w:t>
                  </w:r>
                </w:p>
              </w:tc>
              <w:tc>
                <w:tcPr>
                  <w:tcW w:w="2179" w:type="dxa"/>
                  <w:noWrap w:val="0"/>
                  <w:vAlign w:val="center"/>
                </w:tcPr>
                <w:p>
                  <w:pPr>
                    <w:pStyle w:val="127"/>
                    <w:keepNext w:val="0"/>
                    <w:keepLines w:val="0"/>
                    <w:pageBreakBefore w:val="0"/>
                    <w:kinsoku/>
                    <w:wordWrap/>
                    <w:overflowPunct/>
                    <w:topLinePunct w:val="0"/>
                    <w:autoSpaceDE/>
                    <w:autoSpaceDN/>
                    <w:bidi w:val="0"/>
                    <w:ind w:left="0"/>
                    <w:jc w:val="center"/>
                    <w:rPr>
                      <w:rFonts w:hint="default" w:ascii="Times New Roman" w:hAnsi="Times New Roman" w:eastAsia="宋体" w:cs="Times New Roman"/>
                      <w:b w:val="0"/>
                      <w:color w:val="auto"/>
                      <w:sz w:val="21"/>
                      <w:szCs w:val="21"/>
                      <w:lang w:eastAsia="zh-CN"/>
                    </w:rPr>
                  </w:pPr>
                  <w:r>
                    <w:rPr>
                      <w:rFonts w:hint="default" w:ascii="Times New Roman" w:hAnsi="Times New Roman" w:eastAsia="宋体" w:cs="Times New Roman"/>
                      <w:b w:val="0"/>
                      <w:color w:val="auto"/>
                      <w:sz w:val="21"/>
                      <w:szCs w:val="21"/>
                      <w:lang w:eastAsia="zh-CN"/>
                    </w:rPr>
                    <w:t>保护对象</w:t>
                  </w:r>
                </w:p>
              </w:tc>
              <w:tc>
                <w:tcPr>
                  <w:tcW w:w="2727" w:type="dxa"/>
                  <w:noWrap w:val="0"/>
                  <w:vAlign w:val="center"/>
                </w:tcPr>
                <w:p>
                  <w:pPr>
                    <w:pStyle w:val="127"/>
                    <w:keepNext w:val="0"/>
                    <w:keepLines w:val="0"/>
                    <w:pageBreakBefore w:val="0"/>
                    <w:kinsoku/>
                    <w:wordWrap/>
                    <w:overflowPunct/>
                    <w:topLinePunct w:val="0"/>
                    <w:autoSpaceDE/>
                    <w:autoSpaceDN/>
                    <w:bidi w:val="0"/>
                    <w:ind w:left="0"/>
                    <w:jc w:val="center"/>
                    <w:rPr>
                      <w:rFonts w:hint="default" w:ascii="Times New Roman" w:hAnsi="Times New Roman" w:eastAsia="宋体" w:cs="Times New Roman"/>
                      <w:b w:val="0"/>
                      <w:color w:val="auto"/>
                      <w:sz w:val="21"/>
                      <w:szCs w:val="21"/>
                      <w:lang w:eastAsia="zh-CN"/>
                    </w:rPr>
                  </w:pPr>
                  <w:r>
                    <w:rPr>
                      <w:rFonts w:hint="default" w:ascii="Times New Roman" w:hAnsi="Times New Roman" w:eastAsia="宋体" w:cs="Times New Roman"/>
                      <w:b w:val="0"/>
                      <w:color w:val="auto"/>
                      <w:sz w:val="21"/>
                      <w:szCs w:val="21"/>
                      <w:lang w:eastAsia="zh-CN"/>
                    </w:rPr>
                    <w:t>方位、距离</w:t>
                  </w:r>
                </w:p>
              </w:tc>
              <w:tc>
                <w:tcPr>
                  <w:tcW w:w="2129" w:type="dxa"/>
                  <w:noWrap w:val="0"/>
                  <w:vAlign w:val="center"/>
                </w:tcPr>
                <w:p>
                  <w:pPr>
                    <w:pStyle w:val="127"/>
                    <w:keepNext w:val="0"/>
                    <w:keepLines w:val="0"/>
                    <w:pageBreakBefore w:val="0"/>
                    <w:kinsoku/>
                    <w:wordWrap/>
                    <w:overflowPunct/>
                    <w:topLinePunct w:val="0"/>
                    <w:autoSpaceDE/>
                    <w:autoSpaceDN/>
                    <w:bidi w:val="0"/>
                    <w:ind w:left="0"/>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保 护 等 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528" w:type="dxa"/>
                  <w:vMerge w:val="restart"/>
                  <w:noWrap w:val="0"/>
                  <w:vAlign w:val="center"/>
                </w:tcPr>
                <w:p>
                  <w:pPr>
                    <w:pStyle w:val="127"/>
                    <w:keepNext w:val="0"/>
                    <w:keepLines w:val="0"/>
                    <w:pageBreakBefore w:val="0"/>
                    <w:kinsoku/>
                    <w:wordWrap/>
                    <w:overflowPunct/>
                    <w:topLinePunct w:val="0"/>
                    <w:autoSpaceDE/>
                    <w:autoSpaceDN/>
                    <w:bidi w:val="0"/>
                    <w:ind w:left="0"/>
                    <w:jc w:val="center"/>
                    <w:rPr>
                      <w:rFonts w:hint="eastAsia" w:ascii="Times New Roman" w:hAnsi="Times New Roman" w:eastAsia="宋体" w:cs="Times New Roman"/>
                      <w:b w:val="0"/>
                      <w:color w:val="auto"/>
                      <w:sz w:val="21"/>
                      <w:szCs w:val="21"/>
                      <w:lang w:eastAsia="zh-CN"/>
                    </w:rPr>
                  </w:pPr>
                  <w:r>
                    <w:rPr>
                      <w:rFonts w:hint="eastAsia" w:ascii="Times New Roman" w:hAnsi="Times New Roman" w:eastAsia="宋体" w:cs="Times New Roman"/>
                      <w:b w:val="0"/>
                      <w:color w:val="auto"/>
                      <w:sz w:val="21"/>
                      <w:szCs w:val="21"/>
                      <w:lang w:val="en-US" w:eastAsia="zh-CN"/>
                    </w:rPr>
                    <w:t>庄子沟</w:t>
                  </w:r>
                  <w:r>
                    <w:rPr>
                      <w:rFonts w:hint="eastAsia" w:ascii="Times New Roman" w:hAnsi="Times New Roman" w:eastAsia="宋体" w:cs="Times New Roman"/>
                      <w:b w:val="0"/>
                      <w:color w:val="auto"/>
                      <w:sz w:val="21"/>
                      <w:szCs w:val="21"/>
                      <w:lang w:eastAsia="zh-CN"/>
                    </w:rPr>
                    <w:t>堤防</w:t>
                  </w:r>
                </w:p>
              </w:tc>
              <w:tc>
                <w:tcPr>
                  <w:tcW w:w="2179" w:type="dxa"/>
                  <w:noWrap w:val="0"/>
                  <w:vAlign w:val="center"/>
                </w:tcPr>
                <w:p>
                  <w:pPr>
                    <w:pStyle w:val="128"/>
                    <w:keepNext w:val="0"/>
                    <w:keepLines w:val="0"/>
                    <w:pageBreakBefore w:val="0"/>
                    <w:kinsoku/>
                    <w:wordWrap/>
                    <w:overflowPunct/>
                    <w:topLinePunct w:val="0"/>
                    <w:autoSpaceDE/>
                    <w:autoSpaceDN/>
                    <w:bidi w:val="0"/>
                    <w:ind w:firstLine="0" w:firstLineChars="0"/>
                    <w:jc w:val="center"/>
                    <w:rPr>
                      <w:rFonts w:hint="eastAsia" w:ascii="Times New Roman" w:hAnsi="Times New Roman" w:eastAsia="宋体" w:cs="Times New Roman"/>
                      <w:b w:val="0"/>
                      <w:color w:val="auto"/>
                      <w:sz w:val="21"/>
                      <w:szCs w:val="21"/>
                      <w:lang w:eastAsia="zh-CN"/>
                    </w:rPr>
                  </w:pPr>
                  <w:r>
                    <w:rPr>
                      <w:rFonts w:hint="eastAsia" w:ascii="Times New Roman" w:hAnsi="Times New Roman" w:eastAsia="宋体" w:cs="Times New Roman"/>
                      <w:color w:val="auto"/>
                      <w:sz w:val="21"/>
                      <w:szCs w:val="21"/>
                      <w:lang w:val="en-US" w:eastAsia="zh-CN"/>
                    </w:rPr>
                    <w:t>当地住户（约10户）</w:t>
                  </w:r>
                </w:p>
              </w:tc>
              <w:tc>
                <w:tcPr>
                  <w:tcW w:w="2727" w:type="dxa"/>
                  <w:noWrap w:val="0"/>
                  <w:vAlign w:val="center"/>
                </w:tcPr>
                <w:p>
                  <w:pPr>
                    <w:pStyle w:val="128"/>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b w:val="0"/>
                      <w:color w:val="auto"/>
                      <w:sz w:val="21"/>
                      <w:szCs w:val="21"/>
                      <w:lang w:eastAsia="zh-CN"/>
                    </w:rPr>
                  </w:pPr>
                  <w:r>
                    <w:rPr>
                      <w:rFonts w:hint="eastAsia"/>
                      <w:lang w:val="en-US" w:eastAsia="zh-CN"/>
                    </w:rPr>
                    <w:t>庄子沟K</w:t>
                  </w:r>
                  <w:r>
                    <w:t>0+000.00</w:t>
                  </w:r>
                  <w:r>
                    <w:rPr>
                      <w:rFonts w:hint="eastAsia" w:eastAsia="宋体"/>
                      <w:bCs/>
                      <w:lang w:eastAsia="zh-CN"/>
                    </w:rPr>
                    <w:t>起点段</w:t>
                  </w:r>
                  <w:r>
                    <w:rPr>
                      <w:rFonts w:hint="default" w:ascii="Times New Roman" w:hAnsi="Times New Roman" w:eastAsia="宋体" w:cs="Times New Roman"/>
                      <w:color w:val="auto"/>
                      <w:sz w:val="21"/>
                      <w:szCs w:val="21"/>
                    </w:rPr>
                    <w:t>堤防</w:t>
                  </w:r>
                  <w:r>
                    <w:rPr>
                      <w:rFonts w:hint="eastAsia" w:ascii="Times New Roman" w:hAnsi="Times New Roman" w:eastAsia="宋体" w:cs="Times New Roman"/>
                      <w:color w:val="auto"/>
                      <w:sz w:val="21"/>
                      <w:szCs w:val="21"/>
                      <w:lang w:eastAsia="zh-CN"/>
                    </w:rPr>
                    <w:t>后侧（</w:t>
                  </w:r>
                  <w:r>
                    <w:rPr>
                      <w:rFonts w:hint="eastAsia" w:ascii="Times New Roman" w:hAnsi="Times New Roman" w:eastAsia="宋体" w:cs="Times New Roman"/>
                      <w:color w:val="auto"/>
                      <w:sz w:val="21"/>
                      <w:szCs w:val="21"/>
                      <w:lang w:val="en-US" w:eastAsia="zh-CN"/>
                    </w:rPr>
                    <w:t>东</w:t>
                  </w:r>
                  <w:r>
                    <w:rPr>
                      <w:rFonts w:hint="default" w:ascii="Times New Roman" w:hAnsi="Times New Roman" w:eastAsia="宋体" w:cs="Times New Roman"/>
                      <w:color w:val="auto"/>
                      <w:sz w:val="21"/>
                      <w:szCs w:val="21"/>
                    </w:rPr>
                    <w:t>侧</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东北侧</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110-200m范围内</w:t>
                  </w:r>
                </w:p>
              </w:tc>
              <w:tc>
                <w:tcPr>
                  <w:tcW w:w="2129" w:type="dxa"/>
                  <w:vMerge w:val="restart"/>
                  <w:noWrap w:val="0"/>
                  <w:vAlign w:val="center"/>
                </w:tcPr>
                <w:p>
                  <w:pPr>
                    <w:keepNext w:val="0"/>
                    <w:keepLines w:val="0"/>
                    <w:pageBreakBefore w:val="0"/>
                    <w:widowControl/>
                    <w:kinsoku/>
                    <w:wordWrap/>
                    <w:overflowPunct/>
                    <w:topLinePunct w:val="0"/>
                    <w:autoSpaceDE/>
                    <w:autoSpaceDN/>
                    <w:bidi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《环境空气质量标准》</w:t>
                  </w:r>
                </w:p>
                <w:p>
                  <w:pPr>
                    <w:keepNext w:val="0"/>
                    <w:keepLines w:val="0"/>
                    <w:pageBreakBefore w:val="0"/>
                    <w:widowControl/>
                    <w:kinsoku/>
                    <w:wordWrap/>
                    <w:overflowPunct/>
                    <w:topLinePunct w:val="0"/>
                    <w:autoSpaceDE/>
                    <w:autoSpaceDN/>
                    <w:bidi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(GB3095-</w:t>
                  </w:r>
                  <w:r>
                    <w:rPr>
                      <w:rFonts w:hint="default" w:ascii="Times New Roman" w:hAnsi="Times New Roman" w:eastAsia="宋体" w:cs="Times New Roman"/>
                      <w:color w:val="auto"/>
                      <w:sz w:val="21"/>
                      <w:szCs w:val="21"/>
                    </w:rPr>
                    <w:t>2012</w:t>
                  </w:r>
                  <w:r>
                    <w:rPr>
                      <w:rFonts w:hint="default" w:ascii="Times New Roman" w:hAnsi="Times New Roman" w:eastAsia="宋体" w:cs="Times New Roman"/>
                      <w:color w:val="auto"/>
                      <w:kern w:val="0"/>
                      <w:sz w:val="21"/>
                      <w:szCs w:val="21"/>
                    </w:rPr>
                    <w:t>)二级标准</w:t>
                  </w:r>
                </w:p>
                <w:p>
                  <w:pPr>
                    <w:keepNext w:val="0"/>
                    <w:keepLines w:val="0"/>
                    <w:pageBreakBefore w:val="0"/>
                    <w:widowControl/>
                    <w:kinsoku/>
                    <w:wordWrap/>
                    <w:overflowPunct/>
                    <w:topLinePunct w:val="0"/>
                    <w:autoSpaceDE/>
                    <w:autoSpaceDN/>
                    <w:bidi w:val="0"/>
                    <w:jc w:val="center"/>
                    <w:rPr>
                      <w:rFonts w:hint="default" w:ascii="Times New Roman" w:hAnsi="Times New Roman" w:eastAsia="宋体" w:cs="Times New Roman"/>
                      <w:color w:val="auto"/>
                      <w:kern w:val="0"/>
                      <w:sz w:val="21"/>
                      <w:szCs w:val="21"/>
                    </w:rPr>
                  </w:pPr>
                </w:p>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《声环境质量标准》</w:t>
                  </w:r>
                </w:p>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kern w:val="0"/>
                      <w:sz w:val="21"/>
                      <w:szCs w:val="21"/>
                    </w:rPr>
                    <w:t>(GB3096-2008)2类标准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528" w:type="dxa"/>
                  <w:vMerge w:val="continue"/>
                  <w:noWrap w:val="0"/>
                  <w:vAlign w:val="center"/>
                </w:tcPr>
                <w:p>
                  <w:pPr>
                    <w:pStyle w:val="127"/>
                    <w:keepNext w:val="0"/>
                    <w:keepLines w:val="0"/>
                    <w:pageBreakBefore w:val="0"/>
                    <w:kinsoku/>
                    <w:wordWrap/>
                    <w:overflowPunct/>
                    <w:topLinePunct w:val="0"/>
                    <w:autoSpaceDE/>
                    <w:autoSpaceDN/>
                    <w:bidi w:val="0"/>
                    <w:ind w:left="0"/>
                    <w:jc w:val="center"/>
                    <w:rPr>
                      <w:rFonts w:hint="eastAsia" w:ascii="Times New Roman" w:hAnsi="Times New Roman" w:eastAsia="宋体" w:cs="Times New Roman"/>
                      <w:b w:val="0"/>
                      <w:color w:val="auto"/>
                      <w:sz w:val="21"/>
                      <w:szCs w:val="21"/>
                      <w:lang w:eastAsia="zh-CN"/>
                    </w:rPr>
                  </w:pPr>
                </w:p>
              </w:tc>
              <w:tc>
                <w:tcPr>
                  <w:tcW w:w="2179" w:type="dxa"/>
                  <w:noWrap w:val="0"/>
                  <w:vAlign w:val="center"/>
                </w:tcPr>
                <w:p>
                  <w:pPr>
                    <w:pStyle w:val="128"/>
                    <w:keepNext w:val="0"/>
                    <w:keepLines w:val="0"/>
                    <w:pageBreakBefore w:val="0"/>
                    <w:kinsoku/>
                    <w:wordWrap/>
                    <w:overflowPunct/>
                    <w:topLinePunct w:val="0"/>
                    <w:autoSpaceDE/>
                    <w:autoSpaceDN/>
                    <w:bidi w:val="0"/>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当地住户（35户）</w:t>
                  </w:r>
                </w:p>
              </w:tc>
              <w:tc>
                <w:tcPr>
                  <w:tcW w:w="2727" w:type="dxa"/>
                  <w:noWrap w:val="0"/>
                  <w:vAlign w:val="center"/>
                </w:tcPr>
                <w:p>
                  <w:pPr>
                    <w:pStyle w:val="128"/>
                    <w:keepNext w:val="0"/>
                    <w:keepLines w:val="0"/>
                    <w:pageBreakBefore w:val="0"/>
                    <w:kinsoku/>
                    <w:wordWrap/>
                    <w:overflowPunct/>
                    <w:topLinePunct w:val="0"/>
                    <w:autoSpaceDE/>
                    <w:autoSpaceDN/>
                    <w:bidi w:val="0"/>
                    <w:ind w:firstLine="0" w:firstLineChars="0"/>
                    <w:jc w:val="center"/>
                    <w:rPr>
                      <w:rFonts w:hint="eastAsia" w:ascii="Times New Roman" w:hAnsi="Times New Roman" w:eastAsia="宋体" w:cs="Times New Roman"/>
                      <w:bCs/>
                      <w:color w:val="auto"/>
                      <w:sz w:val="21"/>
                      <w:szCs w:val="21"/>
                      <w:lang w:val="en-US" w:eastAsia="zh-CN"/>
                    </w:rPr>
                  </w:pPr>
                  <w:r>
                    <w:rPr>
                      <w:rFonts w:hint="eastAsia"/>
                      <w:lang w:val="en-US" w:eastAsia="zh-CN"/>
                    </w:rPr>
                    <w:t>庄子沟K</w:t>
                  </w:r>
                  <w:r>
                    <w:t>0+</w:t>
                  </w:r>
                  <w:r>
                    <w:rPr>
                      <w:rFonts w:hint="eastAsia"/>
                      <w:lang w:val="en-US" w:eastAsia="zh-CN"/>
                    </w:rPr>
                    <w:t>000.00—K0+452.64段</w:t>
                  </w:r>
                  <w:r>
                    <w:rPr>
                      <w:rFonts w:hint="default" w:ascii="Times New Roman" w:hAnsi="Times New Roman" w:eastAsia="宋体" w:cs="Times New Roman"/>
                      <w:color w:val="auto"/>
                      <w:sz w:val="21"/>
                      <w:szCs w:val="21"/>
                    </w:rPr>
                    <w:t>堤防</w:t>
                  </w:r>
                  <w:r>
                    <w:rPr>
                      <w:rFonts w:hint="eastAsia" w:ascii="Times New Roman" w:hAnsi="Times New Roman" w:eastAsia="宋体" w:cs="Times New Roman"/>
                      <w:color w:val="auto"/>
                      <w:sz w:val="21"/>
                      <w:szCs w:val="21"/>
                      <w:lang w:val="en-US" w:eastAsia="zh-CN"/>
                    </w:rPr>
                    <w:t>右</w:t>
                  </w:r>
                  <w:r>
                    <w:rPr>
                      <w:rFonts w:hint="eastAsia" w:ascii="Times New Roman" w:hAnsi="Times New Roman" w:eastAsia="宋体" w:cs="Times New Roman"/>
                      <w:color w:val="auto"/>
                      <w:sz w:val="21"/>
                      <w:szCs w:val="21"/>
                      <w:lang w:eastAsia="zh-CN"/>
                    </w:rPr>
                    <w:t>侧（北</w:t>
                  </w:r>
                  <w:r>
                    <w:rPr>
                      <w:rFonts w:hint="default" w:ascii="Times New Roman" w:hAnsi="Times New Roman" w:eastAsia="宋体" w:cs="Times New Roman"/>
                      <w:color w:val="auto"/>
                      <w:sz w:val="21"/>
                      <w:szCs w:val="21"/>
                    </w:rPr>
                    <w:t>侧</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10-150m范围内</w:t>
                  </w:r>
                </w:p>
              </w:tc>
              <w:tc>
                <w:tcPr>
                  <w:tcW w:w="2129" w:type="dxa"/>
                  <w:vMerge w:val="continue"/>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528" w:type="dxa"/>
                  <w:vMerge w:val="continue"/>
                  <w:noWrap w:val="0"/>
                  <w:vAlign w:val="center"/>
                </w:tcPr>
                <w:p>
                  <w:pPr>
                    <w:pStyle w:val="127"/>
                    <w:keepNext w:val="0"/>
                    <w:keepLines w:val="0"/>
                    <w:pageBreakBefore w:val="0"/>
                    <w:kinsoku/>
                    <w:wordWrap/>
                    <w:overflowPunct/>
                    <w:topLinePunct w:val="0"/>
                    <w:autoSpaceDE/>
                    <w:autoSpaceDN/>
                    <w:bidi w:val="0"/>
                    <w:ind w:left="0"/>
                    <w:jc w:val="center"/>
                    <w:rPr>
                      <w:rFonts w:hint="eastAsia" w:ascii="Times New Roman" w:hAnsi="Times New Roman" w:eastAsia="宋体" w:cs="Times New Roman"/>
                      <w:b w:val="0"/>
                      <w:color w:val="auto"/>
                      <w:sz w:val="21"/>
                      <w:szCs w:val="21"/>
                      <w:lang w:eastAsia="zh-CN"/>
                    </w:rPr>
                  </w:pPr>
                </w:p>
              </w:tc>
              <w:tc>
                <w:tcPr>
                  <w:tcW w:w="2179" w:type="dxa"/>
                  <w:noWrap w:val="0"/>
                  <w:vAlign w:val="center"/>
                </w:tcPr>
                <w:p>
                  <w:pPr>
                    <w:pStyle w:val="128"/>
                    <w:keepNext w:val="0"/>
                    <w:keepLines w:val="0"/>
                    <w:pageBreakBefore w:val="0"/>
                    <w:kinsoku/>
                    <w:wordWrap/>
                    <w:overflowPunct/>
                    <w:topLinePunct w:val="0"/>
                    <w:autoSpaceDE/>
                    <w:autoSpaceDN/>
                    <w:bidi w:val="0"/>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当地住户（约5户）</w:t>
                  </w:r>
                </w:p>
              </w:tc>
              <w:tc>
                <w:tcPr>
                  <w:tcW w:w="2727" w:type="dxa"/>
                  <w:noWrap w:val="0"/>
                  <w:vAlign w:val="center"/>
                </w:tcPr>
                <w:p>
                  <w:pPr>
                    <w:pStyle w:val="128"/>
                    <w:keepNext w:val="0"/>
                    <w:keepLines w:val="0"/>
                    <w:pageBreakBefore w:val="0"/>
                    <w:kinsoku/>
                    <w:wordWrap/>
                    <w:overflowPunct/>
                    <w:topLinePunct w:val="0"/>
                    <w:autoSpaceDE/>
                    <w:autoSpaceDN/>
                    <w:bidi w:val="0"/>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庄子沟K0+350.00—K0+452.64段左侧（南侧）10-100m范围内</w:t>
                  </w:r>
                </w:p>
              </w:tc>
              <w:tc>
                <w:tcPr>
                  <w:tcW w:w="2129" w:type="dxa"/>
                  <w:vMerge w:val="continue"/>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528" w:type="dxa"/>
                  <w:vMerge w:val="continue"/>
                  <w:noWrap w:val="0"/>
                  <w:vAlign w:val="center"/>
                </w:tcPr>
                <w:p>
                  <w:pPr>
                    <w:pStyle w:val="127"/>
                    <w:keepNext w:val="0"/>
                    <w:keepLines w:val="0"/>
                    <w:pageBreakBefore w:val="0"/>
                    <w:kinsoku/>
                    <w:wordWrap/>
                    <w:overflowPunct/>
                    <w:topLinePunct w:val="0"/>
                    <w:autoSpaceDE/>
                    <w:autoSpaceDN/>
                    <w:bidi w:val="0"/>
                    <w:ind w:left="0"/>
                    <w:jc w:val="center"/>
                    <w:rPr>
                      <w:rFonts w:hint="eastAsia" w:ascii="Times New Roman" w:hAnsi="Times New Roman" w:eastAsia="宋体" w:cs="Times New Roman"/>
                      <w:b w:val="0"/>
                      <w:color w:val="auto"/>
                      <w:sz w:val="21"/>
                      <w:szCs w:val="21"/>
                      <w:lang w:eastAsia="zh-CN"/>
                    </w:rPr>
                  </w:pPr>
                </w:p>
              </w:tc>
              <w:tc>
                <w:tcPr>
                  <w:tcW w:w="2179" w:type="dxa"/>
                  <w:noWrap w:val="0"/>
                  <w:vAlign w:val="center"/>
                </w:tcPr>
                <w:p>
                  <w:pPr>
                    <w:pStyle w:val="128"/>
                    <w:keepNext w:val="0"/>
                    <w:keepLines w:val="0"/>
                    <w:pageBreakBefore w:val="0"/>
                    <w:kinsoku/>
                    <w:wordWrap/>
                    <w:overflowPunct/>
                    <w:topLinePunct w:val="0"/>
                    <w:autoSpaceDE/>
                    <w:autoSpaceDN/>
                    <w:bidi w:val="0"/>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val="0"/>
                      <w:color w:val="auto"/>
                      <w:sz w:val="21"/>
                      <w:szCs w:val="21"/>
                      <w:lang w:val="en-US" w:eastAsia="zh-CN"/>
                    </w:rPr>
                    <w:t>当地住户（14户）</w:t>
                  </w:r>
                </w:p>
              </w:tc>
              <w:tc>
                <w:tcPr>
                  <w:tcW w:w="2727" w:type="dxa"/>
                  <w:noWrap w:val="0"/>
                  <w:vAlign w:val="center"/>
                </w:tcPr>
                <w:p>
                  <w:pPr>
                    <w:pStyle w:val="128"/>
                    <w:keepNext w:val="0"/>
                    <w:keepLines w:val="0"/>
                    <w:pageBreakBefore w:val="0"/>
                    <w:kinsoku/>
                    <w:wordWrap/>
                    <w:overflowPunct/>
                    <w:topLinePunct w:val="0"/>
                    <w:autoSpaceDE/>
                    <w:autoSpaceDN/>
                    <w:bidi w:val="0"/>
                    <w:ind w:firstLine="0" w:firstLineChars="0"/>
                    <w:jc w:val="center"/>
                    <w:rPr>
                      <w:rFonts w:hint="eastAsia"/>
                    </w:rPr>
                  </w:pPr>
                  <w:r>
                    <w:rPr>
                      <w:rFonts w:hint="eastAsia"/>
                      <w:lang w:val="en-US" w:eastAsia="zh-CN"/>
                    </w:rPr>
                    <w:t>庄子沟K0+452.64终点段后侧（西北侧）50-200m范围内</w:t>
                  </w:r>
                </w:p>
              </w:tc>
              <w:tc>
                <w:tcPr>
                  <w:tcW w:w="2129" w:type="dxa"/>
                  <w:vMerge w:val="continue"/>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528" w:type="dxa"/>
                  <w:vMerge w:val="continue"/>
                  <w:noWrap w:val="0"/>
                  <w:vAlign w:val="center"/>
                </w:tcPr>
                <w:p>
                  <w:pPr>
                    <w:pStyle w:val="127"/>
                    <w:keepNext w:val="0"/>
                    <w:keepLines w:val="0"/>
                    <w:pageBreakBefore w:val="0"/>
                    <w:kinsoku/>
                    <w:wordWrap/>
                    <w:overflowPunct/>
                    <w:topLinePunct w:val="0"/>
                    <w:autoSpaceDE/>
                    <w:autoSpaceDN/>
                    <w:bidi w:val="0"/>
                    <w:ind w:left="0"/>
                    <w:jc w:val="center"/>
                    <w:rPr>
                      <w:rFonts w:hint="eastAsia" w:ascii="Times New Roman" w:hAnsi="Times New Roman" w:eastAsia="宋体" w:cs="Times New Roman"/>
                      <w:b w:val="0"/>
                      <w:color w:val="auto"/>
                      <w:sz w:val="21"/>
                      <w:szCs w:val="21"/>
                      <w:lang w:eastAsia="zh-CN"/>
                    </w:rPr>
                  </w:pPr>
                </w:p>
              </w:tc>
              <w:tc>
                <w:tcPr>
                  <w:tcW w:w="2179" w:type="dxa"/>
                  <w:noWrap w:val="0"/>
                  <w:vAlign w:val="center"/>
                </w:tcPr>
                <w:p>
                  <w:pPr>
                    <w:pStyle w:val="128"/>
                    <w:keepNext w:val="0"/>
                    <w:keepLines w:val="0"/>
                    <w:pageBreakBefore w:val="0"/>
                    <w:kinsoku/>
                    <w:wordWrap/>
                    <w:overflowPunct/>
                    <w:topLinePunct w:val="0"/>
                    <w:autoSpaceDE/>
                    <w:autoSpaceDN/>
                    <w:bidi w:val="0"/>
                    <w:ind w:firstLine="0" w:firstLineChars="0"/>
                    <w:jc w:val="center"/>
                    <w:rPr>
                      <w:rFonts w:hint="eastAsia" w:ascii="Times New Roman" w:hAnsi="Times New Roman" w:eastAsia="宋体" w:cs="Times New Roman"/>
                      <w:b w:val="0"/>
                      <w:color w:val="auto"/>
                      <w:sz w:val="21"/>
                      <w:szCs w:val="21"/>
                      <w:lang w:val="en-US" w:eastAsia="zh-CN"/>
                    </w:rPr>
                  </w:pPr>
                  <w:r>
                    <w:rPr>
                      <w:rFonts w:hint="eastAsia" w:ascii="Times New Roman" w:hAnsi="Times New Roman" w:eastAsia="宋体" w:cs="Times New Roman"/>
                      <w:color w:val="auto"/>
                      <w:sz w:val="21"/>
                      <w:szCs w:val="21"/>
                      <w:lang w:val="en-US" w:eastAsia="zh-CN"/>
                    </w:rPr>
                    <w:t>长坝社区党群服务中心（约60户）</w:t>
                  </w:r>
                </w:p>
              </w:tc>
              <w:tc>
                <w:tcPr>
                  <w:tcW w:w="2727" w:type="dxa"/>
                  <w:noWrap w:val="0"/>
                  <w:vAlign w:val="center"/>
                </w:tcPr>
                <w:p>
                  <w:pPr>
                    <w:pStyle w:val="128"/>
                    <w:keepNext w:val="0"/>
                    <w:keepLines w:val="0"/>
                    <w:pageBreakBefore w:val="0"/>
                    <w:kinsoku/>
                    <w:wordWrap/>
                    <w:overflowPunct/>
                    <w:topLinePunct w:val="0"/>
                    <w:autoSpaceDE/>
                    <w:autoSpaceDN/>
                    <w:bidi w:val="0"/>
                    <w:ind w:firstLine="0" w:firstLineChars="0"/>
                    <w:jc w:val="center"/>
                    <w:rPr>
                      <w:rFonts w:hint="default" w:eastAsia="宋体"/>
                      <w:lang w:val="en-US" w:eastAsia="zh-CN"/>
                    </w:rPr>
                  </w:pPr>
                  <w:r>
                    <w:rPr>
                      <w:rFonts w:hint="eastAsia"/>
                      <w:lang w:val="en-US" w:eastAsia="zh-CN"/>
                    </w:rPr>
                    <w:t>庄子沟K0+452.64</w:t>
                  </w:r>
                </w:p>
                <w:p>
                  <w:pPr>
                    <w:pStyle w:val="128"/>
                    <w:keepNext w:val="0"/>
                    <w:keepLines w:val="0"/>
                    <w:pageBreakBefore w:val="0"/>
                    <w:kinsoku/>
                    <w:wordWrap/>
                    <w:overflowPunct/>
                    <w:topLinePunct w:val="0"/>
                    <w:autoSpaceDE/>
                    <w:autoSpaceDN/>
                    <w:bidi w:val="0"/>
                    <w:ind w:firstLine="0" w:firstLineChars="0"/>
                    <w:jc w:val="center"/>
                    <w:rPr>
                      <w:rFonts w:hint="eastAsia"/>
                    </w:rPr>
                  </w:pPr>
                  <w:r>
                    <w:rPr>
                      <w:rFonts w:hint="eastAsia" w:eastAsia="宋体"/>
                      <w:bCs/>
                      <w:lang w:eastAsia="zh-CN"/>
                    </w:rPr>
                    <w:t>终点段</w:t>
                  </w:r>
                  <w:r>
                    <w:rPr>
                      <w:rFonts w:hint="default" w:ascii="Times New Roman" w:hAnsi="Times New Roman" w:eastAsia="宋体" w:cs="Times New Roman"/>
                      <w:color w:val="auto"/>
                      <w:sz w:val="21"/>
                      <w:szCs w:val="21"/>
                    </w:rPr>
                    <w:t>堤防</w:t>
                  </w:r>
                  <w:r>
                    <w:rPr>
                      <w:rFonts w:hint="eastAsia" w:ascii="Times New Roman" w:hAnsi="Times New Roman" w:eastAsia="宋体" w:cs="Times New Roman"/>
                      <w:color w:val="auto"/>
                      <w:sz w:val="21"/>
                      <w:szCs w:val="21"/>
                      <w:lang w:eastAsia="zh-CN"/>
                    </w:rPr>
                    <w:t>后侧（西</w:t>
                  </w:r>
                  <w:r>
                    <w:rPr>
                      <w:rFonts w:hint="default" w:ascii="Times New Roman" w:hAnsi="Times New Roman" w:eastAsia="宋体" w:cs="Times New Roman"/>
                      <w:color w:val="auto"/>
                      <w:sz w:val="21"/>
                      <w:szCs w:val="21"/>
                    </w:rPr>
                    <w:t>侧</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20-200m范围内</w:t>
                  </w:r>
                </w:p>
              </w:tc>
              <w:tc>
                <w:tcPr>
                  <w:tcW w:w="2129" w:type="dxa"/>
                  <w:vMerge w:val="continue"/>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528" w:type="dxa"/>
                  <w:vMerge w:val="continue"/>
                  <w:noWrap w:val="0"/>
                  <w:vAlign w:val="center"/>
                </w:tcPr>
                <w:p>
                  <w:pPr>
                    <w:pStyle w:val="127"/>
                    <w:keepNext w:val="0"/>
                    <w:keepLines w:val="0"/>
                    <w:pageBreakBefore w:val="0"/>
                    <w:kinsoku/>
                    <w:wordWrap/>
                    <w:overflowPunct/>
                    <w:topLinePunct w:val="0"/>
                    <w:autoSpaceDE/>
                    <w:autoSpaceDN/>
                    <w:bidi w:val="0"/>
                    <w:ind w:left="0"/>
                    <w:jc w:val="center"/>
                    <w:rPr>
                      <w:rFonts w:hint="eastAsia" w:ascii="Times New Roman" w:hAnsi="Times New Roman" w:eastAsia="宋体" w:cs="Times New Roman"/>
                      <w:b w:val="0"/>
                      <w:color w:val="auto"/>
                      <w:sz w:val="21"/>
                      <w:szCs w:val="21"/>
                      <w:lang w:eastAsia="zh-CN"/>
                    </w:rPr>
                  </w:pPr>
                </w:p>
              </w:tc>
              <w:tc>
                <w:tcPr>
                  <w:tcW w:w="2179" w:type="dxa"/>
                  <w:noWrap w:val="0"/>
                  <w:vAlign w:val="center"/>
                </w:tcPr>
                <w:p>
                  <w:pPr>
                    <w:pStyle w:val="128"/>
                    <w:keepNext w:val="0"/>
                    <w:keepLines w:val="0"/>
                    <w:pageBreakBefore w:val="0"/>
                    <w:kinsoku/>
                    <w:wordWrap/>
                    <w:overflowPunct/>
                    <w:topLinePunct w:val="0"/>
                    <w:autoSpaceDE/>
                    <w:autoSpaceDN/>
                    <w:bidi w:val="0"/>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幸福苑小区居民（300户）</w:t>
                  </w:r>
                </w:p>
              </w:tc>
              <w:tc>
                <w:tcPr>
                  <w:tcW w:w="2727" w:type="dxa"/>
                  <w:noWrap w:val="0"/>
                  <w:vAlign w:val="center"/>
                </w:tcPr>
                <w:p>
                  <w:pPr>
                    <w:pStyle w:val="128"/>
                    <w:keepNext w:val="0"/>
                    <w:keepLines w:val="0"/>
                    <w:pageBreakBefore w:val="0"/>
                    <w:kinsoku/>
                    <w:wordWrap/>
                    <w:overflowPunct/>
                    <w:topLinePunct w:val="0"/>
                    <w:autoSpaceDE/>
                    <w:autoSpaceDN/>
                    <w:bidi w:val="0"/>
                    <w:ind w:firstLine="0" w:firstLineChars="0"/>
                    <w:jc w:val="center"/>
                    <w:rPr>
                      <w:rFonts w:hint="default" w:eastAsia="宋体"/>
                      <w:lang w:val="en-US" w:eastAsia="zh-CN"/>
                    </w:rPr>
                  </w:pPr>
                  <w:r>
                    <w:rPr>
                      <w:rFonts w:hint="eastAsia"/>
                      <w:lang w:val="en-US" w:eastAsia="zh-CN"/>
                    </w:rPr>
                    <w:t>庄子沟K0+452.64</w:t>
                  </w:r>
                </w:p>
                <w:p>
                  <w:pPr>
                    <w:pStyle w:val="128"/>
                    <w:keepNext w:val="0"/>
                    <w:keepLines w:val="0"/>
                    <w:pageBreakBefore w:val="0"/>
                    <w:kinsoku/>
                    <w:wordWrap/>
                    <w:overflowPunct/>
                    <w:topLinePunct w:val="0"/>
                    <w:autoSpaceDE/>
                    <w:autoSpaceDN/>
                    <w:bidi w:val="0"/>
                    <w:ind w:firstLine="0" w:firstLineChars="0"/>
                    <w:jc w:val="center"/>
                    <w:rPr>
                      <w:rFonts w:hint="eastAsia"/>
                    </w:rPr>
                  </w:pPr>
                  <w:r>
                    <w:rPr>
                      <w:rFonts w:hint="eastAsia" w:eastAsia="宋体"/>
                      <w:bCs/>
                      <w:lang w:eastAsia="zh-CN"/>
                    </w:rPr>
                    <w:t>终点段</w:t>
                  </w:r>
                  <w:r>
                    <w:rPr>
                      <w:rFonts w:hint="default" w:ascii="Times New Roman" w:hAnsi="Times New Roman" w:eastAsia="宋体" w:cs="Times New Roman"/>
                      <w:color w:val="auto"/>
                      <w:sz w:val="21"/>
                      <w:szCs w:val="21"/>
                    </w:rPr>
                    <w:t>堤防</w:t>
                  </w:r>
                  <w:r>
                    <w:rPr>
                      <w:rFonts w:hint="eastAsia" w:ascii="Times New Roman" w:hAnsi="Times New Roman" w:eastAsia="宋体" w:cs="Times New Roman"/>
                      <w:color w:val="auto"/>
                      <w:sz w:val="21"/>
                      <w:szCs w:val="21"/>
                      <w:lang w:eastAsia="zh-CN"/>
                    </w:rPr>
                    <w:t>后侧（西</w:t>
                  </w:r>
                  <w:r>
                    <w:rPr>
                      <w:rFonts w:hint="eastAsia" w:ascii="Times New Roman" w:hAnsi="Times New Roman" w:eastAsia="宋体" w:cs="Times New Roman"/>
                      <w:color w:val="auto"/>
                      <w:sz w:val="21"/>
                      <w:szCs w:val="21"/>
                      <w:lang w:val="en-US" w:eastAsia="zh-CN"/>
                    </w:rPr>
                    <w:t>南</w:t>
                  </w:r>
                  <w:r>
                    <w:rPr>
                      <w:rFonts w:hint="default" w:ascii="Times New Roman" w:hAnsi="Times New Roman" w:eastAsia="宋体" w:cs="Times New Roman"/>
                      <w:color w:val="auto"/>
                      <w:sz w:val="21"/>
                      <w:szCs w:val="21"/>
                    </w:rPr>
                    <w:t>侧</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230-500m范围内</w:t>
                  </w:r>
                </w:p>
              </w:tc>
              <w:tc>
                <w:tcPr>
                  <w:tcW w:w="2129" w:type="dxa"/>
                  <w:vMerge w:val="continue"/>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528" w:type="dxa"/>
                  <w:vMerge w:val="restart"/>
                  <w:noWrap w:val="0"/>
                  <w:vAlign w:val="center"/>
                </w:tcPr>
                <w:p>
                  <w:pPr>
                    <w:pStyle w:val="127"/>
                    <w:keepNext w:val="0"/>
                    <w:keepLines w:val="0"/>
                    <w:pageBreakBefore w:val="0"/>
                    <w:kinsoku/>
                    <w:wordWrap/>
                    <w:overflowPunct/>
                    <w:topLinePunct w:val="0"/>
                    <w:autoSpaceDE/>
                    <w:autoSpaceDN/>
                    <w:bidi w:val="0"/>
                    <w:ind w:left="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庄子沟清淤</w:t>
                  </w:r>
                </w:p>
              </w:tc>
              <w:tc>
                <w:tcPr>
                  <w:tcW w:w="2179" w:type="dxa"/>
                  <w:noWrap w:val="0"/>
                  <w:vAlign w:val="center"/>
                </w:tcPr>
                <w:p>
                  <w:pPr>
                    <w:pStyle w:val="128"/>
                    <w:keepNext w:val="0"/>
                    <w:keepLines w:val="0"/>
                    <w:pageBreakBefore w:val="0"/>
                    <w:kinsoku/>
                    <w:wordWrap/>
                    <w:overflowPunct/>
                    <w:topLinePunct w:val="0"/>
                    <w:autoSpaceDE/>
                    <w:autoSpaceDN/>
                    <w:bidi w:val="0"/>
                    <w:ind w:firstLine="0" w:firstLineChars="0"/>
                    <w:jc w:val="center"/>
                    <w:rPr>
                      <w:rFonts w:hint="eastAsia" w:ascii="Times New Roman" w:hAnsi="Times New Roman" w:eastAsia="宋体" w:cs="Times New Roman"/>
                      <w:b w:val="0"/>
                      <w:color w:val="auto"/>
                      <w:sz w:val="21"/>
                      <w:szCs w:val="21"/>
                      <w:lang w:val="en-US" w:eastAsia="zh-CN"/>
                    </w:rPr>
                  </w:pPr>
                  <w:r>
                    <w:rPr>
                      <w:rFonts w:hint="eastAsia" w:ascii="Times New Roman" w:hAnsi="Times New Roman" w:eastAsia="宋体" w:cs="Times New Roman"/>
                      <w:color w:val="auto"/>
                      <w:sz w:val="21"/>
                      <w:szCs w:val="21"/>
                      <w:lang w:val="en-US" w:eastAsia="zh-CN"/>
                    </w:rPr>
                    <w:t>当地住户（约10户）</w:t>
                  </w:r>
                </w:p>
              </w:tc>
              <w:tc>
                <w:tcPr>
                  <w:tcW w:w="2727" w:type="dxa"/>
                  <w:noWrap w:val="0"/>
                  <w:vAlign w:val="center"/>
                </w:tcPr>
                <w:p>
                  <w:pPr>
                    <w:pStyle w:val="128"/>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b w:val="0"/>
                      <w:color w:val="auto"/>
                      <w:sz w:val="21"/>
                      <w:szCs w:val="21"/>
                      <w:lang w:val="en-US" w:eastAsia="zh-CN"/>
                    </w:rPr>
                  </w:pPr>
                  <w:r>
                    <w:rPr>
                      <w:rFonts w:hint="eastAsia"/>
                      <w:lang w:val="en-US" w:eastAsia="zh-CN"/>
                    </w:rPr>
                    <w:t>庄子沟K</w:t>
                  </w:r>
                  <w:r>
                    <w:t>0+000.00</w:t>
                  </w:r>
                  <w:r>
                    <w:rPr>
                      <w:rFonts w:hint="eastAsia"/>
                      <w:lang w:val="en-US" w:eastAsia="zh-CN"/>
                    </w:rPr>
                    <w:t>清淤</w:t>
                  </w:r>
                  <w:r>
                    <w:rPr>
                      <w:rFonts w:hint="eastAsia" w:eastAsia="宋体"/>
                      <w:bCs/>
                      <w:lang w:eastAsia="zh-CN"/>
                    </w:rPr>
                    <w:t>起点段</w:t>
                  </w:r>
                  <w:r>
                    <w:rPr>
                      <w:rFonts w:hint="eastAsia" w:ascii="Times New Roman" w:hAnsi="Times New Roman" w:eastAsia="宋体" w:cs="Times New Roman"/>
                      <w:color w:val="auto"/>
                      <w:sz w:val="21"/>
                      <w:szCs w:val="21"/>
                      <w:lang w:val="en-US" w:eastAsia="zh-CN"/>
                    </w:rPr>
                    <w:t>东</w:t>
                  </w:r>
                  <w:r>
                    <w:rPr>
                      <w:rFonts w:hint="default" w:ascii="Times New Roman" w:hAnsi="Times New Roman" w:eastAsia="宋体" w:cs="Times New Roman"/>
                      <w:color w:val="auto"/>
                      <w:sz w:val="21"/>
                      <w:szCs w:val="21"/>
                    </w:rPr>
                    <w:t>侧</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东北侧110-200m范围内</w:t>
                  </w:r>
                </w:p>
              </w:tc>
              <w:tc>
                <w:tcPr>
                  <w:tcW w:w="2129" w:type="dxa"/>
                  <w:vMerge w:val="continue"/>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528" w:type="dxa"/>
                  <w:vMerge w:val="continue"/>
                  <w:noWrap w:val="0"/>
                  <w:vAlign w:val="center"/>
                </w:tcPr>
                <w:p>
                  <w:pPr>
                    <w:pStyle w:val="127"/>
                    <w:keepNext w:val="0"/>
                    <w:keepLines w:val="0"/>
                    <w:pageBreakBefore w:val="0"/>
                    <w:kinsoku/>
                    <w:wordWrap/>
                    <w:overflowPunct/>
                    <w:topLinePunct w:val="0"/>
                    <w:autoSpaceDE/>
                    <w:autoSpaceDN/>
                    <w:bidi w:val="0"/>
                    <w:ind w:left="0"/>
                    <w:jc w:val="center"/>
                    <w:rPr>
                      <w:rFonts w:hint="eastAsia" w:ascii="Times New Roman" w:hAnsi="Times New Roman" w:eastAsia="宋体" w:cs="Times New Roman"/>
                      <w:b w:val="0"/>
                      <w:color w:val="auto"/>
                      <w:sz w:val="21"/>
                      <w:szCs w:val="21"/>
                      <w:lang w:eastAsia="zh-CN"/>
                    </w:rPr>
                  </w:pPr>
                </w:p>
              </w:tc>
              <w:tc>
                <w:tcPr>
                  <w:tcW w:w="2179" w:type="dxa"/>
                  <w:noWrap w:val="0"/>
                  <w:vAlign w:val="center"/>
                </w:tcPr>
                <w:p>
                  <w:pPr>
                    <w:pStyle w:val="128"/>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color w:val="auto"/>
                      <w:sz w:val="21"/>
                      <w:szCs w:val="21"/>
                      <w:lang w:val="en-US" w:eastAsia="zh-CN"/>
                    </w:rPr>
                    <w:t>当地住户（</w:t>
                  </w:r>
                  <w:r>
                    <w:rPr>
                      <w:rFonts w:hint="eastAsia"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5户）</w:t>
                  </w:r>
                </w:p>
              </w:tc>
              <w:tc>
                <w:tcPr>
                  <w:tcW w:w="2727" w:type="dxa"/>
                  <w:noWrap w:val="0"/>
                  <w:vAlign w:val="center"/>
                </w:tcPr>
                <w:p>
                  <w:pPr>
                    <w:pStyle w:val="128"/>
                    <w:keepNext w:val="0"/>
                    <w:keepLines w:val="0"/>
                    <w:pageBreakBefore w:val="0"/>
                    <w:kinsoku/>
                    <w:wordWrap/>
                    <w:overflowPunct/>
                    <w:topLinePunct w:val="0"/>
                    <w:autoSpaceDE/>
                    <w:autoSpaceDN/>
                    <w:bidi w:val="0"/>
                    <w:ind w:firstLine="0" w:firstLineChars="0"/>
                    <w:jc w:val="center"/>
                    <w:rPr>
                      <w:rFonts w:hint="default"/>
                      <w:bCs/>
                      <w:lang w:val="en-US" w:eastAsia="zh-CN"/>
                    </w:rPr>
                  </w:pPr>
                  <w:r>
                    <w:rPr>
                      <w:rFonts w:hint="eastAsia" w:ascii="Times New Roman" w:hAnsi="Times New Roman" w:eastAsia="宋体" w:cs="Times New Roman"/>
                      <w:b w:val="0"/>
                      <w:color w:val="auto"/>
                      <w:sz w:val="21"/>
                      <w:szCs w:val="21"/>
                      <w:lang w:val="en-US" w:eastAsia="zh-CN"/>
                    </w:rPr>
                    <w:t>庄子沟K0+00.000—K0+250.00清淤段北侧</w:t>
                  </w:r>
                  <w:r>
                    <w:rPr>
                      <w:rFonts w:hint="eastAsia"/>
                      <w:bCs/>
                      <w:lang w:val="en-US" w:eastAsia="zh-CN"/>
                    </w:rPr>
                    <w:t>40-120m范围内</w:t>
                  </w:r>
                </w:p>
              </w:tc>
              <w:tc>
                <w:tcPr>
                  <w:tcW w:w="2129" w:type="dxa"/>
                  <w:vMerge w:val="continue"/>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528" w:type="dxa"/>
                  <w:vMerge w:val="continue"/>
                  <w:noWrap w:val="0"/>
                  <w:vAlign w:val="center"/>
                </w:tcPr>
                <w:p>
                  <w:pPr>
                    <w:pStyle w:val="127"/>
                    <w:keepNext w:val="0"/>
                    <w:keepLines w:val="0"/>
                    <w:pageBreakBefore w:val="0"/>
                    <w:kinsoku/>
                    <w:wordWrap/>
                    <w:overflowPunct/>
                    <w:topLinePunct w:val="0"/>
                    <w:autoSpaceDE/>
                    <w:autoSpaceDN/>
                    <w:bidi w:val="0"/>
                    <w:ind w:left="0"/>
                    <w:jc w:val="center"/>
                    <w:rPr>
                      <w:rFonts w:hint="eastAsia" w:ascii="Times New Roman" w:hAnsi="Times New Roman" w:eastAsia="宋体" w:cs="Times New Roman"/>
                      <w:b w:val="0"/>
                      <w:color w:val="auto"/>
                      <w:sz w:val="21"/>
                      <w:szCs w:val="21"/>
                      <w:lang w:eastAsia="zh-CN"/>
                    </w:rPr>
                  </w:pPr>
                </w:p>
              </w:tc>
              <w:tc>
                <w:tcPr>
                  <w:tcW w:w="2179" w:type="dxa"/>
                  <w:noWrap w:val="0"/>
                  <w:vAlign w:val="center"/>
                </w:tcPr>
                <w:p>
                  <w:pPr>
                    <w:pStyle w:val="128"/>
                    <w:keepNext w:val="0"/>
                    <w:keepLines w:val="0"/>
                    <w:pageBreakBefore w:val="0"/>
                    <w:kinsoku/>
                    <w:wordWrap/>
                    <w:overflowPunct/>
                    <w:topLinePunct w:val="0"/>
                    <w:autoSpaceDE/>
                    <w:autoSpaceDN/>
                    <w:bidi w:val="0"/>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当地住户（1</w:t>
                  </w:r>
                  <w:r>
                    <w:rPr>
                      <w:rFonts w:hint="eastAsia"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户）</w:t>
                  </w:r>
                </w:p>
              </w:tc>
              <w:tc>
                <w:tcPr>
                  <w:tcW w:w="2727" w:type="dxa"/>
                  <w:noWrap w:val="0"/>
                  <w:vAlign w:val="center"/>
                </w:tcPr>
                <w:p>
                  <w:pPr>
                    <w:pStyle w:val="128"/>
                    <w:keepNext w:val="0"/>
                    <w:keepLines w:val="0"/>
                    <w:pageBreakBefore w:val="0"/>
                    <w:kinsoku/>
                    <w:wordWrap/>
                    <w:overflowPunct/>
                    <w:topLinePunct w:val="0"/>
                    <w:autoSpaceDE/>
                    <w:autoSpaceDN/>
                    <w:bidi w:val="0"/>
                    <w:ind w:firstLine="0" w:firstLineChars="0"/>
                    <w:jc w:val="center"/>
                    <w:rPr>
                      <w:rFonts w:hint="eastAsia"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庄子沟K0+250.00清淤终点段西北侧3</w:t>
                  </w:r>
                  <w:r>
                    <w:rPr>
                      <w:rFonts w:hint="eastAsia"/>
                      <w:bCs/>
                      <w:lang w:val="en-US" w:eastAsia="zh-CN"/>
                    </w:rPr>
                    <w:t>0-220m范围内</w:t>
                  </w:r>
                </w:p>
              </w:tc>
              <w:tc>
                <w:tcPr>
                  <w:tcW w:w="2129" w:type="dxa"/>
                  <w:vMerge w:val="continue"/>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528" w:type="dxa"/>
                  <w:vMerge w:val="continue"/>
                  <w:noWrap w:val="0"/>
                  <w:vAlign w:val="center"/>
                </w:tcPr>
                <w:p>
                  <w:pPr>
                    <w:pStyle w:val="127"/>
                    <w:keepNext w:val="0"/>
                    <w:keepLines w:val="0"/>
                    <w:pageBreakBefore w:val="0"/>
                    <w:kinsoku/>
                    <w:wordWrap/>
                    <w:overflowPunct/>
                    <w:topLinePunct w:val="0"/>
                    <w:autoSpaceDE/>
                    <w:autoSpaceDN/>
                    <w:bidi w:val="0"/>
                    <w:ind w:left="0"/>
                    <w:jc w:val="center"/>
                    <w:rPr>
                      <w:rFonts w:hint="eastAsia" w:ascii="Times New Roman" w:hAnsi="Times New Roman" w:eastAsia="宋体" w:cs="Times New Roman"/>
                      <w:b w:val="0"/>
                      <w:color w:val="auto"/>
                      <w:sz w:val="21"/>
                      <w:szCs w:val="21"/>
                      <w:lang w:eastAsia="zh-CN"/>
                    </w:rPr>
                  </w:pPr>
                </w:p>
              </w:tc>
              <w:tc>
                <w:tcPr>
                  <w:tcW w:w="2179" w:type="dxa"/>
                  <w:noWrap w:val="0"/>
                  <w:vAlign w:val="center"/>
                </w:tcPr>
                <w:p>
                  <w:pPr>
                    <w:pStyle w:val="128"/>
                    <w:keepNext w:val="0"/>
                    <w:keepLines w:val="0"/>
                    <w:pageBreakBefore w:val="0"/>
                    <w:kinsoku/>
                    <w:wordWrap/>
                    <w:overflowPunct/>
                    <w:topLinePunct w:val="0"/>
                    <w:autoSpaceDE/>
                    <w:autoSpaceDN/>
                    <w:bidi w:val="0"/>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当地住户（5户）</w:t>
                  </w:r>
                </w:p>
              </w:tc>
              <w:tc>
                <w:tcPr>
                  <w:tcW w:w="2727" w:type="dxa"/>
                  <w:noWrap w:val="0"/>
                  <w:vAlign w:val="center"/>
                </w:tcPr>
                <w:p>
                  <w:pPr>
                    <w:pStyle w:val="128"/>
                    <w:keepNext w:val="0"/>
                    <w:keepLines w:val="0"/>
                    <w:pageBreakBefore w:val="0"/>
                    <w:kinsoku/>
                    <w:wordWrap/>
                    <w:overflowPunct/>
                    <w:topLinePunct w:val="0"/>
                    <w:autoSpaceDE/>
                    <w:autoSpaceDN/>
                    <w:bidi w:val="0"/>
                    <w:ind w:firstLine="0" w:firstLineChars="0"/>
                    <w:jc w:val="center"/>
                    <w:rPr>
                      <w:rFonts w:hint="eastAsia" w:ascii="Times New Roman" w:hAnsi="Times New Roman" w:eastAsia="宋体" w:cs="Times New Roman"/>
                      <w:b w:val="0"/>
                      <w:color w:val="auto"/>
                      <w:sz w:val="21"/>
                      <w:szCs w:val="21"/>
                      <w:lang w:val="en-US" w:eastAsia="zh-CN"/>
                    </w:rPr>
                  </w:pPr>
                  <w:r>
                    <w:rPr>
                      <w:rFonts w:hint="eastAsia" w:ascii="Times New Roman" w:hAnsi="Times New Roman" w:eastAsia="宋体" w:cs="Times New Roman"/>
                      <w:bCs/>
                      <w:color w:val="auto"/>
                      <w:sz w:val="21"/>
                      <w:szCs w:val="21"/>
                      <w:lang w:val="en-US" w:eastAsia="zh-CN"/>
                    </w:rPr>
                    <w:t>庄子沟</w:t>
                  </w:r>
                  <w:r>
                    <w:rPr>
                      <w:rFonts w:hint="eastAsia" w:ascii="Times New Roman" w:hAnsi="Times New Roman" w:eastAsia="宋体" w:cs="Times New Roman"/>
                      <w:b w:val="0"/>
                      <w:color w:val="auto"/>
                      <w:sz w:val="21"/>
                      <w:szCs w:val="21"/>
                      <w:lang w:val="en-US" w:eastAsia="zh-CN"/>
                    </w:rPr>
                    <w:t>K0+250.00清淤终点</w:t>
                  </w:r>
                  <w:r>
                    <w:rPr>
                      <w:rFonts w:hint="eastAsia" w:ascii="Times New Roman" w:hAnsi="Times New Roman" w:eastAsia="宋体" w:cs="Times New Roman"/>
                      <w:bCs/>
                      <w:color w:val="auto"/>
                      <w:sz w:val="21"/>
                      <w:szCs w:val="21"/>
                      <w:lang w:val="en-US" w:eastAsia="zh-CN"/>
                    </w:rPr>
                    <w:t>段西南侧120-180m范围内</w:t>
                  </w:r>
                </w:p>
              </w:tc>
              <w:tc>
                <w:tcPr>
                  <w:tcW w:w="2129" w:type="dxa"/>
                  <w:vMerge w:val="continue"/>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528" w:type="dxa"/>
                  <w:vMerge w:val="continue"/>
                  <w:noWrap w:val="0"/>
                  <w:vAlign w:val="center"/>
                </w:tcPr>
                <w:p>
                  <w:pPr>
                    <w:pStyle w:val="127"/>
                    <w:keepNext w:val="0"/>
                    <w:keepLines w:val="0"/>
                    <w:pageBreakBefore w:val="0"/>
                    <w:kinsoku/>
                    <w:wordWrap/>
                    <w:overflowPunct/>
                    <w:topLinePunct w:val="0"/>
                    <w:autoSpaceDE/>
                    <w:autoSpaceDN/>
                    <w:bidi w:val="0"/>
                    <w:ind w:left="0"/>
                    <w:jc w:val="center"/>
                    <w:rPr>
                      <w:rFonts w:hint="eastAsia" w:ascii="Times New Roman" w:hAnsi="Times New Roman" w:eastAsia="宋体" w:cs="Times New Roman"/>
                      <w:b w:val="0"/>
                      <w:color w:val="auto"/>
                      <w:sz w:val="21"/>
                      <w:szCs w:val="21"/>
                      <w:lang w:eastAsia="zh-CN"/>
                    </w:rPr>
                  </w:pPr>
                </w:p>
              </w:tc>
              <w:tc>
                <w:tcPr>
                  <w:tcW w:w="2179" w:type="dxa"/>
                  <w:noWrap w:val="0"/>
                  <w:vAlign w:val="center"/>
                </w:tcPr>
                <w:p>
                  <w:pPr>
                    <w:pStyle w:val="128"/>
                    <w:keepNext w:val="0"/>
                    <w:keepLines w:val="0"/>
                    <w:pageBreakBefore w:val="0"/>
                    <w:kinsoku/>
                    <w:wordWrap/>
                    <w:overflowPunct/>
                    <w:topLinePunct w:val="0"/>
                    <w:autoSpaceDE/>
                    <w:autoSpaceDN/>
                    <w:bidi w:val="0"/>
                    <w:ind w:firstLine="0" w:firstLineChars="0"/>
                    <w:jc w:val="center"/>
                    <w:rPr>
                      <w:rFonts w:hint="eastAsia" w:ascii="Times New Roman" w:hAnsi="Times New Roman" w:eastAsia="宋体" w:cs="Times New Roman"/>
                      <w:b w:val="0"/>
                      <w:color w:val="auto"/>
                      <w:sz w:val="21"/>
                      <w:szCs w:val="21"/>
                      <w:lang w:val="en-US" w:eastAsia="zh-CN"/>
                    </w:rPr>
                  </w:pPr>
                  <w:r>
                    <w:rPr>
                      <w:rFonts w:hint="eastAsia" w:ascii="Times New Roman" w:hAnsi="Times New Roman" w:eastAsia="宋体" w:cs="Times New Roman"/>
                      <w:color w:val="auto"/>
                      <w:sz w:val="21"/>
                      <w:szCs w:val="21"/>
                      <w:lang w:val="en-US" w:eastAsia="zh-CN"/>
                    </w:rPr>
                    <w:t>长坝社区党群服务中心（约60户）</w:t>
                  </w:r>
                </w:p>
              </w:tc>
              <w:tc>
                <w:tcPr>
                  <w:tcW w:w="2727" w:type="dxa"/>
                  <w:noWrap w:val="0"/>
                  <w:vAlign w:val="center"/>
                </w:tcPr>
                <w:p>
                  <w:pPr>
                    <w:pStyle w:val="128"/>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Cs/>
                      <w:color w:val="auto"/>
                      <w:sz w:val="21"/>
                      <w:szCs w:val="21"/>
                      <w:lang w:val="en-US" w:eastAsia="zh-CN"/>
                    </w:rPr>
                    <w:t>庄子沟</w:t>
                  </w:r>
                  <w:r>
                    <w:rPr>
                      <w:rFonts w:hint="eastAsia" w:ascii="Times New Roman" w:hAnsi="Times New Roman" w:eastAsia="宋体" w:cs="Times New Roman"/>
                      <w:b w:val="0"/>
                      <w:color w:val="auto"/>
                      <w:sz w:val="21"/>
                      <w:szCs w:val="21"/>
                      <w:lang w:val="en-US" w:eastAsia="zh-CN"/>
                    </w:rPr>
                    <w:t>K0+250.00清淤终点</w:t>
                  </w:r>
                  <w:r>
                    <w:rPr>
                      <w:rFonts w:hint="eastAsia" w:ascii="Times New Roman" w:hAnsi="Times New Roman" w:eastAsia="宋体" w:cs="Times New Roman"/>
                      <w:bCs/>
                      <w:color w:val="auto"/>
                      <w:sz w:val="21"/>
                      <w:szCs w:val="21"/>
                      <w:lang w:val="en-US" w:eastAsia="zh-CN"/>
                    </w:rPr>
                    <w:t>段西侧200-480m范围内</w:t>
                  </w:r>
                </w:p>
              </w:tc>
              <w:tc>
                <w:tcPr>
                  <w:tcW w:w="2129" w:type="dxa"/>
                  <w:vMerge w:val="continue"/>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3707" w:type="dxa"/>
                  <w:gridSpan w:val="2"/>
                  <w:noWrap w:val="0"/>
                  <w:vAlign w:val="center"/>
                </w:tcPr>
                <w:p>
                  <w:pPr>
                    <w:pStyle w:val="127"/>
                    <w:keepNext w:val="0"/>
                    <w:keepLines w:val="0"/>
                    <w:pageBreakBefore w:val="0"/>
                    <w:kinsoku/>
                    <w:wordWrap/>
                    <w:overflowPunct/>
                    <w:topLinePunct w:val="0"/>
                    <w:autoSpaceDE/>
                    <w:autoSpaceDN/>
                    <w:bidi w:val="0"/>
                    <w:ind w:left="0"/>
                    <w:jc w:val="center"/>
                    <w:rPr>
                      <w:rFonts w:hint="default" w:ascii="Times New Roman" w:hAnsi="Times New Roman" w:eastAsia="宋体" w:cs="Times New Roman"/>
                      <w:b w:val="0"/>
                      <w:color w:val="auto"/>
                      <w:sz w:val="21"/>
                      <w:szCs w:val="21"/>
                      <w:lang w:eastAsia="zh-CN"/>
                    </w:rPr>
                  </w:pPr>
                  <w:r>
                    <w:rPr>
                      <w:rFonts w:hint="eastAsia" w:ascii="Times New Roman" w:hAnsi="Times New Roman" w:eastAsia="宋体" w:cs="Times New Roman"/>
                      <w:b w:val="0"/>
                      <w:color w:val="auto"/>
                      <w:sz w:val="21"/>
                      <w:szCs w:val="21"/>
                      <w:lang w:val="en-US" w:eastAsia="zh-CN"/>
                    </w:rPr>
                    <w:t>庄子沟</w:t>
                  </w:r>
                </w:p>
              </w:tc>
              <w:tc>
                <w:tcPr>
                  <w:tcW w:w="2727" w:type="dxa"/>
                  <w:noWrap w:val="0"/>
                  <w:vAlign w:val="center"/>
                </w:tcPr>
                <w:p>
                  <w:pPr>
                    <w:pStyle w:val="127"/>
                    <w:keepNext w:val="0"/>
                    <w:keepLines w:val="0"/>
                    <w:pageBreakBefore w:val="0"/>
                    <w:kinsoku/>
                    <w:wordWrap/>
                    <w:overflowPunct/>
                    <w:topLinePunct w:val="0"/>
                    <w:autoSpaceDE/>
                    <w:autoSpaceDN/>
                    <w:bidi w:val="0"/>
                    <w:ind w:left="4" w:leftChars="2"/>
                    <w:jc w:val="center"/>
                    <w:rPr>
                      <w:rFonts w:hint="default" w:ascii="Times New Roman" w:hAnsi="Times New Roman" w:eastAsia="宋体" w:cs="Times New Roman"/>
                      <w:b w:val="0"/>
                      <w:color w:val="auto"/>
                      <w:sz w:val="21"/>
                      <w:szCs w:val="21"/>
                      <w:lang w:eastAsia="zh-CN"/>
                    </w:rPr>
                  </w:pPr>
                  <w:r>
                    <w:rPr>
                      <w:rFonts w:hint="eastAsia" w:ascii="Times New Roman" w:hAnsi="Times New Roman" w:eastAsia="宋体" w:cs="Times New Roman"/>
                      <w:b w:val="0"/>
                      <w:color w:val="auto"/>
                      <w:sz w:val="21"/>
                      <w:szCs w:val="21"/>
                      <w:lang w:eastAsia="zh-CN"/>
                    </w:rPr>
                    <w:t>工程河段</w:t>
                  </w:r>
                </w:p>
              </w:tc>
              <w:tc>
                <w:tcPr>
                  <w:tcW w:w="2129" w:type="dxa"/>
                  <w:noWrap w:val="0"/>
                  <w:vAlign w:val="center"/>
                </w:tcPr>
                <w:p>
                  <w:pPr>
                    <w:pStyle w:val="127"/>
                    <w:keepNext w:val="0"/>
                    <w:keepLines w:val="0"/>
                    <w:pageBreakBefore w:val="0"/>
                    <w:kinsoku/>
                    <w:wordWrap/>
                    <w:overflowPunct/>
                    <w:topLinePunct w:val="0"/>
                    <w:autoSpaceDE/>
                    <w:autoSpaceDN/>
                    <w:bidi w:val="0"/>
                    <w:ind w:left="0"/>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 xml:space="preserve">《地表水环境质量标准》(GB3838-2002) </w:t>
                  </w:r>
                  <w:r>
                    <w:rPr>
                      <w:rFonts w:hint="eastAsia" w:ascii="宋体" w:hAnsi="宋体" w:eastAsia="宋体" w:cs="宋体"/>
                      <w:b w:val="0"/>
                      <w:color w:val="auto"/>
                      <w:sz w:val="21"/>
                      <w:szCs w:val="21"/>
                    </w:rPr>
                    <w:t>Ⅲ</w:t>
                  </w:r>
                  <w:r>
                    <w:rPr>
                      <w:rFonts w:hint="default" w:ascii="Times New Roman" w:hAnsi="Times New Roman" w:eastAsia="宋体" w:cs="Times New Roman"/>
                      <w:b w:val="0"/>
                      <w:color w:val="auto"/>
                      <w:sz w:val="21"/>
                      <w:szCs w:val="21"/>
                    </w:rPr>
                    <w:t xml:space="preserve"> 类</w:t>
                  </w:r>
                </w:p>
              </w:tc>
            </w:tr>
          </w:tbl>
          <w:p>
            <w:pPr>
              <w:pStyle w:val="59"/>
              <w:spacing w:line="240" w:lineRule="auto"/>
              <w:jc w:val="both"/>
              <w:rPr>
                <w:rFonts w:hint="default" w:ascii="Times New Roman" w:hAnsi="Times New Roman" w:cs="Times New Roman"/>
                <w:bCs w:val="0"/>
                <w:color w:val="000000"/>
                <w:sz w:val="24"/>
                <w:szCs w:val="24"/>
              </w:rPr>
            </w:pPr>
          </w:p>
          <w:p>
            <w:pPr>
              <w:adjustRightInd w:val="0"/>
              <w:snapToGrid w:val="0"/>
              <w:rPr>
                <w:rFonts w:hint="default" w:ascii="Times New Roman" w:hAnsi="Times New Roman" w:eastAsia="宋体" w:cs="Times New Roman"/>
                <w:kern w:val="0"/>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539" w:type="dxa"/>
            <w:noWrap w:val="0"/>
            <w:vAlign w:val="center"/>
          </w:tcPr>
          <w:p>
            <w:pPr>
              <w:adjustRightInd w:val="0"/>
              <w:snapToGrid w:val="0"/>
              <w:jc w:val="center"/>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评价</w:t>
            </w:r>
          </w:p>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b/>
                <w:bCs/>
                <w:kern w:val="0"/>
                <w:sz w:val="24"/>
                <w:szCs w:val="24"/>
              </w:rPr>
              <w:t>标准</w:t>
            </w:r>
          </w:p>
        </w:tc>
        <w:tc>
          <w:tcPr>
            <w:tcW w:w="8850" w:type="dxa"/>
            <w:noWrap w:val="0"/>
            <w:vAlign w:val="center"/>
          </w:tcPr>
          <w:p>
            <w:pPr>
              <w:numPr>
                <w:ilvl w:val="0"/>
                <w:numId w:val="0"/>
              </w:numPr>
              <w:adjustRightInd w:val="0"/>
              <w:snapToGrid w:val="0"/>
              <w:spacing w:line="360" w:lineRule="auto"/>
              <w:ind w:firstLine="482" w:firstLineChars="200"/>
              <w:jc w:val="both"/>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1、环境质量标准</w:t>
            </w:r>
          </w:p>
          <w:p>
            <w:pPr>
              <w:spacing w:line="360" w:lineRule="auto"/>
              <w:ind w:right="84" w:rightChars="40"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mc:AlternateContent>
                <mc:Choice Requires="wps">
                  <w:drawing>
                    <wp:anchor distT="0" distB="0" distL="114300" distR="114300" simplePos="0" relativeHeight="251661312" behindDoc="0" locked="0" layoutInCell="0" allowOverlap="1">
                      <wp:simplePos x="0" y="0"/>
                      <wp:positionH relativeFrom="column">
                        <wp:posOffset>2000250</wp:posOffset>
                      </wp:positionH>
                      <wp:positionV relativeFrom="paragraph">
                        <wp:posOffset>891540</wp:posOffset>
                      </wp:positionV>
                      <wp:extent cx="635" cy="0"/>
                      <wp:effectExtent l="0" t="4445" r="0" b="5080"/>
                      <wp:wrapNone/>
                      <wp:docPr id="31" name="直接连接符 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3" o:spid="_x0000_s1026" o:spt="20" style="position:absolute;left:0pt;margin-left:157.5pt;margin-top:70.2pt;height:0pt;width:0.05pt;z-index:251661312;mso-width-relative:page;mso-height-relative:page;" filled="f" stroked="t" coordsize="21600,21600" o:allowincell="f" o:gfxdata="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KkCr11gAAAAsBAAAPAAAAAAAAAAEAIAAAACIAAABkcnMvZG93bnJldi54bWxQSwEC&#10;FAAUAAAACACHTuJAZzPNi/YBAADvAwAADgAAAAAAAAABACAAAAAlAQAAZHJzL2Uyb0RvYy54bWxQ&#10;SwUGAAAAAAYABgBZAQAAjQUAAAAA&#10;">
                      <v:fill on="f" focussize="0,0"/>
                      <v:stroke color="#000000" joinstyle="round"/>
                      <v:imagedata o:title=""/>
                      <o:lock v:ext="edit" aspectratio="f"/>
                    </v:line>
                  </w:pict>
                </mc:Fallback>
              </mc:AlternateConten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rPr>
              <w:t>环境空气质量</w:t>
            </w:r>
          </w:p>
          <w:p>
            <w:pPr>
              <w:spacing w:line="360" w:lineRule="auto"/>
              <w:ind w:right="84" w:rightChars="4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根据环境空气功能区划，本项目位于二类区，执行《环境空气质量标准》（GB3095–2012）二级标准，标准限</w:t>
            </w:r>
            <w:r>
              <w:rPr>
                <w:rFonts w:hint="default" w:ascii="Times New Roman" w:hAnsi="Times New Roman" w:cs="Times New Roman"/>
                <w:color w:val="auto"/>
                <w:sz w:val="24"/>
                <w:szCs w:val="24"/>
              </w:rPr>
              <w:t>值</w:t>
            </w:r>
            <w:r>
              <w:rPr>
                <w:rFonts w:hint="default" w:ascii="Times New Roman" w:hAnsi="Times New Roman" w:cs="Times New Roman"/>
                <w:color w:val="auto"/>
                <w:sz w:val="24"/>
                <w:szCs w:val="24"/>
                <w:lang w:eastAsia="zh-CN"/>
              </w:rPr>
              <w:t>详</w:t>
            </w:r>
            <w:r>
              <w:rPr>
                <w:rFonts w:hint="default" w:ascii="Times New Roman" w:hAnsi="Times New Roman" w:cs="Times New Roman"/>
                <w:color w:val="auto"/>
                <w:sz w:val="24"/>
                <w:szCs w:val="24"/>
              </w:rPr>
              <w:t>见下表</w:t>
            </w:r>
            <w:r>
              <w:rPr>
                <w:rFonts w:hint="default" w:ascii="Times New Roman" w:hAnsi="Times New Roman" w:cs="Times New Roman"/>
                <w:color w:val="auto"/>
                <w:sz w:val="24"/>
                <w:szCs w:val="24"/>
                <w:lang w:eastAsia="zh-CN"/>
              </w:rPr>
              <w:t>。</w:t>
            </w:r>
          </w:p>
          <w:p>
            <w:pPr>
              <w:pStyle w:val="11"/>
              <w:keepNext/>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Times New Roman" w:cs="Times New Roman"/>
                <w:b/>
                <w:color w:val="auto"/>
                <w:sz w:val="24"/>
                <w:szCs w:val="24"/>
                <w:vertAlign w:val="superscript"/>
              </w:rPr>
            </w:pPr>
            <w:r>
              <w:rPr>
                <w:rFonts w:hint="default" w:ascii="Times New Roman" w:hAnsi="Times New Roman" w:eastAsia="宋体" w:cs="Times New Roman"/>
                <w:b/>
                <w:bCs/>
                <w:color w:val="auto"/>
                <w:kern w:val="2"/>
                <w:sz w:val="24"/>
                <w:szCs w:val="24"/>
                <w:lang w:val="en-US" w:eastAsia="zh-CN" w:bidi="ar-SA"/>
              </w:rPr>
              <w:t>表</w:t>
            </w:r>
            <w:r>
              <w:rPr>
                <w:rFonts w:hint="default" w:ascii="Times New Roman" w:hAnsi="Times New Roman" w:cs="Times New Roman"/>
                <w:bCs w:val="0"/>
                <w:color w:val="000000"/>
                <w:sz w:val="24"/>
                <w:szCs w:val="24"/>
              </w:rPr>
              <w:t>3-</w:t>
            </w:r>
            <w:r>
              <w:rPr>
                <w:rFonts w:hint="eastAsia" w:ascii="Times New Roman" w:hAnsi="Times New Roman" w:cs="Times New Roman"/>
                <w:bCs w:val="0"/>
                <w:color w:val="000000"/>
                <w:sz w:val="24"/>
                <w:szCs w:val="24"/>
                <w:lang w:val="en-US" w:eastAsia="zh-CN"/>
              </w:rPr>
              <w:t>14</w:t>
            </w:r>
            <w:r>
              <w:rPr>
                <w:rFonts w:hint="default" w:ascii="Times New Roman" w:hAnsi="Times New Roman" w:eastAsia="宋体" w:cs="Times New Roman"/>
                <w:b/>
                <w:bCs/>
                <w:color w:val="auto"/>
                <w:kern w:val="2"/>
                <w:sz w:val="24"/>
                <w:szCs w:val="24"/>
                <w:lang w:val="en-US" w:eastAsia="zh-CN" w:bidi="ar-SA"/>
              </w:rPr>
              <w:t xml:space="preserve"> </w:t>
            </w:r>
            <w:r>
              <w:rPr>
                <w:rFonts w:hint="default" w:ascii="Times New Roman" w:hAnsi="Times New Roman" w:cs="Times New Roman"/>
                <w:b/>
                <w:color w:val="auto"/>
                <w:sz w:val="24"/>
                <w:szCs w:val="24"/>
                <w:lang w:val="zh-CN"/>
              </w:rPr>
              <w:t>环境空气质量标准限值</w:t>
            </w: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kern w:val="2"/>
                <w:sz w:val="24"/>
                <w:szCs w:val="24"/>
                <w:lang w:val="en-US" w:eastAsia="zh-CN" w:bidi="ar-SA"/>
              </w:rPr>
              <w:t xml:space="preserve">   单位：</w:t>
            </w:r>
            <w:r>
              <w:rPr>
                <w:rFonts w:hint="default" w:ascii="Times New Roman" w:hAnsi="Times New Roman" w:eastAsia="宋体" w:cs="Times New Roman"/>
                <w:b/>
                <w:color w:val="auto"/>
                <w:sz w:val="24"/>
                <w:szCs w:val="24"/>
                <w:lang w:val="en-US" w:eastAsia="zh-CN"/>
              </w:rPr>
              <w:t>m</w:t>
            </w:r>
            <w:r>
              <w:rPr>
                <w:rFonts w:hint="default" w:ascii="Times New Roman" w:hAnsi="Times New Roman" w:eastAsia="Times New Roman" w:cs="Times New Roman"/>
                <w:b/>
                <w:color w:val="auto"/>
                <w:sz w:val="24"/>
                <w:szCs w:val="24"/>
              </w:rPr>
              <w:t>g/m</w:t>
            </w:r>
            <w:r>
              <w:rPr>
                <w:rFonts w:hint="default" w:ascii="Times New Roman" w:hAnsi="Times New Roman" w:eastAsia="Times New Roman" w:cs="Times New Roman"/>
                <w:b/>
                <w:color w:val="auto"/>
                <w:sz w:val="24"/>
                <w:szCs w:val="24"/>
                <w:vertAlign w:val="superscript"/>
              </w:rPr>
              <w:t>3</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1436"/>
              <w:gridCol w:w="1817"/>
              <w:gridCol w:w="1061"/>
              <w:gridCol w:w="2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832" w:type="pct"/>
                  <w:vMerge w:val="restart"/>
                  <w:noWrap w:val="0"/>
                  <w:vAlign w:val="center"/>
                </w:tcPr>
                <w:p>
                  <w:pPr>
                    <w:adjustRightInd w:val="0"/>
                    <w:snapToGrid w:val="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污染物</w:t>
                  </w:r>
                </w:p>
              </w:tc>
              <w:tc>
                <w:tcPr>
                  <w:tcW w:w="2500" w:type="pct"/>
                  <w:gridSpan w:val="3"/>
                  <w:noWrap w:val="0"/>
                  <w:vAlign w:val="center"/>
                </w:tcPr>
                <w:p>
                  <w:pPr>
                    <w:adjustRightInd w:val="0"/>
                    <w:snapToGrid w:val="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浓度限值mg/Nm</w:t>
                  </w:r>
                  <w:r>
                    <w:rPr>
                      <w:rFonts w:hint="default" w:ascii="Times New Roman" w:hAnsi="Times New Roman" w:cs="Times New Roman"/>
                      <w:b/>
                      <w:color w:val="auto"/>
                      <w:sz w:val="24"/>
                      <w:szCs w:val="24"/>
                      <w:vertAlign w:val="superscript"/>
                    </w:rPr>
                    <w:t>3</w:t>
                  </w:r>
                </w:p>
              </w:tc>
              <w:tc>
                <w:tcPr>
                  <w:tcW w:w="1667" w:type="pct"/>
                  <w:vMerge w:val="restart"/>
                  <w:noWrap w:val="0"/>
                  <w:vAlign w:val="center"/>
                </w:tcPr>
                <w:p>
                  <w:pPr>
                    <w:adjustRightInd w:val="0"/>
                    <w:snapToGrid w:val="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832" w:type="pct"/>
                  <w:vMerge w:val="continue"/>
                  <w:noWrap w:val="0"/>
                  <w:vAlign w:val="center"/>
                </w:tcPr>
                <w:p>
                  <w:pPr>
                    <w:adjustRightInd w:val="0"/>
                    <w:snapToGrid w:val="0"/>
                    <w:jc w:val="center"/>
                    <w:rPr>
                      <w:rFonts w:hint="default" w:ascii="Times New Roman" w:hAnsi="Times New Roman" w:cs="Times New Roman"/>
                      <w:b/>
                      <w:color w:val="auto"/>
                      <w:sz w:val="24"/>
                      <w:szCs w:val="24"/>
                    </w:rPr>
                  </w:pPr>
                </w:p>
              </w:tc>
              <w:tc>
                <w:tcPr>
                  <w:tcW w:w="832" w:type="pct"/>
                  <w:noWrap w:val="0"/>
                  <w:vAlign w:val="center"/>
                </w:tcPr>
                <w:p>
                  <w:pPr>
                    <w:adjustRightInd w:val="0"/>
                    <w:snapToGrid w:val="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小时平均</w:t>
                  </w:r>
                </w:p>
              </w:tc>
              <w:tc>
                <w:tcPr>
                  <w:tcW w:w="1053" w:type="pct"/>
                  <w:noWrap w:val="0"/>
                  <w:vAlign w:val="center"/>
                </w:tcPr>
                <w:p>
                  <w:pPr>
                    <w:adjustRightInd w:val="0"/>
                    <w:snapToGrid w:val="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24小时平均</w:t>
                  </w:r>
                </w:p>
              </w:tc>
              <w:tc>
                <w:tcPr>
                  <w:tcW w:w="614" w:type="pct"/>
                  <w:noWrap w:val="0"/>
                  <w:vAlign w:val="center"/>
                </w:tcPr>
                <w:p>
                  <w:pPr>
                    <w:adjustRightInd w:val="0"/>
                    <w:snapToGrid w:val="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年平均</w:t>
                  </w:r>
                </w:p>
              </w:tc>
              <w:tc>
                <w:tcPr>
                  <w:tcW w:w="1667" w:type="pct"/>
                  <w:vMerge w:val="continue"/>
                  <w:noWrap w:val="0"/>
                  <w:vAlign w:val="center"/>
                </w:tcPr>
                <w:p>
                  <w:pPr>
                    <w:adjustRightInd w:val="0"/>
                    <w:snapToGrid w:val="0"/>
                    <w:jc w:val="center"/>
                    <w:rPr>
                      <w:rFonts w:hint="default" w:ascii="Times New Roman" w:hAnsi="Times New Roman" w:cs="Times New Roman"/>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832" w:type="pc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SO</w:t>
                  </w:r>
                  <w:r>
                    <w:rPr>
                      <w:rFonts w:hint="default" w:ascii="Times New Roman" w:hAnsi="Times New Roman" w:cs="Times New Roman"/>
                      <w:color w:val="auto"/>
                      <w:sz w:val="24"/>
                      <w:szCs w:val="24"/>
                      <w:vertAlign w:val="subscript"/>
                    </w:rPr>
                    <w:t>2</w:t>
                  </w:r>
                </w:p>
              </w:tc>
              <w:tc>
                <w:tcPr>
                  <w:tcW w:w="832" w:type="pc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0.50</w:t>
                  </w:r>
                </w:p>
              </w:tc>
              <w:tc>
                <w:tcPr>
                  <w:tcW w:w="1053" w:type="pc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0.15</w:t>
                  </w:r>
                </w:p>
              </w:tc>
              <w:tc>
                <w:tcPr>
                  <w:tcW w:w="614" w:type="pc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0.06</w:t>
                  </w:r>
                </w:p>
              </w:tc>
              <w:tc>
                <w:tcPr>
                  <w:tcW w:w="1667" w:type="pct"/>
                  <w:vMerge w:val="restar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《环境空气质量标准》（GB3095-2012）中二类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832" w:type="pc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NO</w:t>
                  </w:r>
                  <w:r>
                    <w:rPr>
                      <w:rFonts w:hint="default" w:ascii="Times New Roman" w:hAnsi="Times New Roman" w:cs="Times New Roman"/>
                      <w:color w:val="auto"/>
                      <w:sz w:val="24"/>
                      <w:szCs w:val="24"/>
                      <w:vertAlign w:val="subscript"/>
                    </w:rPr>
                    <w:t>2</w:t>
                  </w:r>
                </w:p>
              </w:tc>
              <w:tc>
                <w:tcPr>
                  <w:tcW w:w="832" w:type="pc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0.20</w:t>
                  </w:r>
                </w:p>
              </w:tc>
              <w:tc>
                <w:tcPr>
                  <w:tcW w:w="1053" w:type="pc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0.0</w:t>
                  </w:r>
                </w:p>
              </w:tc>
              <w:tc>
                <w:tcPr>
                  <w:tcW w:w="614" w:type="pc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0.04</w:t>
                  </w:r>
                </w:p>
              </w:tc>
              <w:tc>
                <w:tcPr>
                  <w:tcW w:w="1667" w:type="pct"/>
                  <w:vMerge w:val="continue"/>
                  <w:noWrap w:val="0"/>
                  <w:vAlign w:val="center"/>
                </w:tcPr>
                <w:p>
                  <w:pPr>
                    <w:adjustRightInd w:val="0"/>
                    <w:snapToGrid w:val="0"/>
                    <w:jc w:val="center"/>
                    <w:rPr>
                      <w:rFonts w:hint="default" w:ascii="Times New Roman" w:hAnsi="Times New Roman"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832" w:type="pc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10</w:t>
                  </w:r>
                </w:p>
              </w:tc>
              <w:tc>
                <w:tcPr>
                  <w:tcW w:w="832" w:type="pc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w:t>
                  </w:r>
                </w:p>
              </w:tc>
              <w:tc>
                <w:tcPr>
                  <w:tcW w:w="1053" w:type="pc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0.15</w:t>
                  </w:r>
                </w:p>
              </w:tc>
              <w:tc>
                <w:tcPr>
                  <w:tcW w:w="614" w:type="pc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0.07</w:t>
                  </w:r>
                </w:p>
              </w:tc>
              <w:tc>
                <w:tcPr>
                  <w:tcW w:w="1667" w:type="pct"/>
                  <w:vMerge w:val="continue"/>
                  <w:noWrap w:val="0"/>
                  <w:vAlign w:val="center"/>
                </w:tcPr>
                <w:p>
                  <w:pPr>
                    <w:adjustRightInd w:val="0"/>
                    <w:snapToGrid w:val="0"/>
                    <w:jc w:val="center"/>
                    <w:rPr>
                      <w:rFonts w:hint="default" w:ascii="Times New Roman" w:hAnsi="Times New Roman"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832" w:type="pc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2.5</w:t>
                  </w:r>
                </w:p>
              </w:tc>
              <w:tc>
                <w:tcPr>
                  <w:tcW w:w="832" w:type="pc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w:t>
                  </w:r>
                </w:p>
              </w:tc>
              <w:tc>
                <w:tcPr>
                  <w:tcW w:w="1053" w:type="pc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0.075</w:t>
                  </w:r>
                </w:p>
              </w:tc>
              <w:tc>
                <w:tcPr>
                  <w:tcW w:w="614" w:type="pc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0.035</w:t>
                  </w:r>
                </w:p>
              </w:tc>
              <w:tc>
                <w:tcPr>
                  <w:tcW w:w="1667" w:type="pct"/>
                  <w:vMerge w:val="continue"/>
                  <w:noWrap w:val="0"/>
                  <w:vAlign w:val="center"/>
                </w:tcPr>
                <w:p>
                  <w:pPr>
                    <w:adjustRightInd w:val="0"/>
                    <w:snapToGrid w:val="0"/>
                    <w:jc w:val="center"/>
                    <w:rPr>
                      <w:rFonts w:hint="default" w:ascii="Times New Roman" w:hAnsi="Times New Roman"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832" w:type="pc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CO</w:t>
                  </w:r>
                </w:p>
              </w:tc>
              <w:tc>
                <w:tcPr>
                  <w:tcW w:w="832" w:type="pc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w:t>
                  </w:r>
                </w:p>
              </w:tc>
              <w:tc>
                <w:tcPr>
                  <w:tcW w:w="1053" w:type="pc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w:t>
                  </w:r>
                </w:p>
              </w:tc>
              <w:tc>
                <w:tcPr>
                  <w:tcW w:w="614" w:type="pc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w:t>
                  </w:r>
                </w:p>
              </w:tc>
              <w:tc>
                <w:tcPr>
                  <w:tcW w:w="1667" w:type="pct"/>
                  <w:vMerge w:val="continue"/>
                  <w:noWrap w:val="0"/>
                  <w:vAlign w:val="center"/>
                </w:tcPr>
                <w:p>
                  <w:pPr>
                    <w:adjustRightInd w:val="0"/>
                    <w:snapToGrid w:val="0"/>
                    <w:jc w:val="center"/>
                    <w:rPr>
                      <w:rFonts w:hint="default" w:ascii="Times New Roman" w:hAnsi="Times New Roman"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O</w:t>
                  </w:r>
                  <w:r>
                    <w:rPr>
                      <w:rFonts w:hint="default" w:ascii="Times New Roman" w:hAnsi="Times New Roman" w:cs="Times New Roman"/>
                      <w:color w:val="auto"/>
                      <w:sz w:val="24"/>
                      <w:szCs w:val="24"/>
                      <w:vertAlign w:val="subscript"/>
                    </w:rPr>
                    <w:t>3</w:t>
                  </w:r>
                </w:p>
              </w:tc>
              <w:tc>
                <w:tcPr>
                  <w:tcW w:w="832" w:type="pc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0.2</w:t>
                  </w:r>
                </w:p>
              </w:tc>
              <w:tc>
                <w:tcPr>
                  <w:tcW w:w="1053" w:type="pc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0.16（日最大8h平均浓度）</w:t>
                  </w:r>
                </w:p>
              </w:tc>
              <w:tc>
                <w:tcPr>
                  <w:tcW w:w="614" w:type="pc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w:t>
                  </w:r>
                </w:p>
              </w:tc>
              <w:tc>
                <w:tcPr>
                  <w:tcW w:w="1667" w:type="pct"/>
                  <w:vMerge w:val="continue"/>
                  <w:noWrap w:val="0"/>
                  <w:vAlign w:val="center"/>
                </w:tcPr>
                <w:p>
                  <w:pPr>
                    <w:adjustRightInd w:val="0"/>
                    <w:snapToGrid w:val="0"/>
                    <w:jc w:val="center"/>
                    <w:rPr>
                      <w:rFonts w:hint="default" w:ascii="Times New Roman" w:hAnsi="Times New Roman"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832"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TSP</w:t>
                  </w:r>
                </w:p>
              </w:tc>
              <w:tc>
                <w:tcPr>
                  <w:tcW w:w="832" w:type="pc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w:t>
                  </w:r>
                </w:p>
              </w:tc>
              <w:tc>
                <w:tcPr>
                  <w:tcW w:w="1053"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0.3</w:t>
                  </w:r>
                </w:p>
              </w:tc>
              <w:tc>
                <w:tcPr>
                  <w:tcW w:w="614"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0.2</w:t>
                  </w:r>
                </w:p>
              </w:tc>
              <w:tc>
                <w:tcPr>
                  <w:tcW w:w="1667" w:type="pct"/>
                  <w:vMerge w:val="continue"/>
                  <w:noWrap w:val="0"/>
                  <w:vAlign w:val="center"/>
                </w:tcPr>
                <w:p>
                  <w:pPr>
                    <w:adjustRightInd w:val="0"/>
                    <w:snapToGrid w:val="0"/>
                    <w:jc w:val="center"/>
                    <w:rPr>
                      <w:rFonts w:hint="default" w:ascii="Times New Roman" w:hAnsi="Times New Roman" w:cs="Times New Roman"/>
                      <w:color w:val="auto"/>
                      <w:sz w:val="24"/>
                      <w:szCs w:val="24"/>
                    </w:rPr>
                  </w:pPr>
                </w:p>
              </w:tc>
            </w:tr>
          </w:tbl>
          <w:p>
            <w:pPr>
              <w:keepNext w:val="0"/>
              <w:keepLines w:val="0"/>
              <w:pageBreakBefore w:val="0"/>
              <w:widowControl w:val="0"/>
              <w:kinsoku/>
              <w:wordWrap/>
              <w:overflowPunct/>
              <w:topLinePunct w:val="0"/>
              <w:autoSpaceDE/>
              <w:autoSpaceDN/>
              <w:bidi w:val="0"/>
              <w:adjustRightInd/>
              <w:snapToGrid/>
              <w:spacing w:line="360" w:lineRule="auto"/>
              <w:ind w:right="84" w:rightChars="40"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rPr>
              <w:t>地表水环境质量</w:t>
            </w:r>
          </w:p>
          <w:p>
            <w:pPr>
              <w:keepNext w:val="0"/>
              <w:keepLines w:val="0"/>
              <w:pageBreakBefore w:val="0"/>
              <w:widowControl w:val="0"/>
              <w:kinsoku/>
              <w:wordWrap/>
              <w:overflowPunct/>
              <w:topLinePunct w:val="0"/>
              <w:autoSpaceDE/>
              <w:autoSpaceDN/>
              <w:bidi w:val="0"/>
              <w:adjustRightInd/>
              <w:snapToGrid/>
              <w:spacing w:line="360" w:lineRule="auto"/>
              <w:ind w:right="84" w:rightChars="40" w:firstLine="480"/>
              <w:textAlignment w:val="auto"/>
              <w:rPr>
                <w:rFonts w:hint="default" w:ascii="Times New Roman" w:hAnsi="Times New Roman" w:cs="Times New Roman"/>
                <w:b/>
                <w:bCs/>
                <w:color w:val="auto"/>
                <w:sz w:val="24"/>
                <w:szCs w:val="24"/>
                <w:highlight w:val="none"/>
              </w:rPr>
            </w:pPr>
            <w:r>
              <w:rPr>
                <w:rFonts w:hint="eastAsia" w:ascii="Times New Roman" w:hAnsi="Times New Roman" w:cs="Times New Roman"/>
                <w:color w:val="auto"/>
                <w:sz w:val="24"/>
                <w:szCs w:val="24"/>
                <w:highlight w:val="none"/>
                <w:lang w:val="en-US" w:eastAsia="zh-CN" w:bidi="ar-SA"/>
              </w:rPr>
              <w:t>地表水</w:t>
            </w:r>
            <w:r>
              <w:rPr>
                <w:rFonts w:hint="default" w:ascii="Times New Roman" w:hAnsi="Times New Roman" w:cs="Times New Roman"/>
                <w:color w:val="auto"/>
                <w:sz w:val="24"/>
                <w:szCs w:val="24"/>
              </w:rPr>
              <w:t>执行《地表水环境质量标准》（GB3838-2002）中</w:t>
            </w:r>
            <w:r>
              <w:rPr>
                <w:rFonts w:hint="eastAsia" w:ascii="宋体" w:hAnsi="宋体" w:eastAsia="宋体" w:cs="宋体"/>
                <w:color w:val="auto"/>
                <w:sz w:val="24"/>
                <w:szCs w:val="24"/>
                <w:highlight w:val="none"/>
                <w:lang w:eastAsia="zh-CN"/>
              </w:rPr>
              <w:t>Ⅲ</w:t>
            </w:r>
            <w:r>
              <w:rPr>
                <w:rFonts w:hint="default" w:ascii="Times New Roman" w:hAnsi="Times New Roman" w:cs="Times New Roman"/>
                <w:color w:val="auto"/>
                <w:sz w:val="24"/>
                <w:szCs w:val="24"/>
              </w:rPr>
              <w:t>类水域标准</w:t>
            </w:r>
            <w:r>
              <w:rPr>
                <w:rFonts w:hint="default" w:ascii="Times New Roman" w:hAnsi="Times New Roman" w:cs="Times New Roman"/>
                <w:color w:val="auto"/>
                <w:sz w:val="24"/>
                <w:szCs w:val="24"/>
                <w:lang w:val="en-US" w:eastAsia="zh-CN"/>
              </w:rPr>
              <w:t>。</w:t>
            </w:r>
          </w:p>
          <w:p>
            <w:pPr>
              <w:pStyle w:val="65"/>
              <w:spacing w:line="240" w:lineRule="auto"/>
              <w:jc w:val="center"/>
              <w:rPr>
                <w:rFonts w:hint="default" w:ascii="Times New Roman" w:hAnsi="Times New Roman" w:eastAsia="宋体" w:cs="Times New Roman"/>
                <w:b/>
                <w:bCs/>
                <w:color w:val="auto"/>
                <w:sz w:val="24"/>
                <w:szCs w:val="24"/>
                <w:highlight w:val="none"/>
                <w:lang w:val="en-US" w:eastAsia="zh-CN" w:bidi="ar-SA"/>
              </w:rPr>
            </w:pPr>
            <w:r>
              <w:rPr>
                <w:rFonts w:hint="default" w:ascii="Times New Roman" w:hAnsi="Times New Roman" w:cs="Times New Roman"/>
                <w:b/>
                <w:bCs/>
                <w:color w:val="auto"/>
                <w:sz w:val="24"/>
                <w:szCs w:val="24"/>
                <w:highlight w:val="none"/>
              </w:rPr>
              <w:t>表</w:t>
            </w:r>
            <w:r>
              <w:rPr>
                <w:rFonts w:hint="default" w:ascii="Times New Roman" w:hAnsi="Times New Roman" w:cs="Times New Roman"/>
                <w:b/>
                <w:bCs/>
                <w:color w:val="000000"/>
                <w:sz w:val="24"/>
                <w:szCs w:val="24"/>
              </w:rPr>
              <w:t>3-</w:t>
            </w:r>
            <w:r>
              <w:rPr>
                <w:rFonts w:hint="eastAsia" w:ascii="Times New Roman" w:hAnsi="Times New Roman" w:cs="Times New Roman"/>
                <w:b/>
                <w:bCs/>
                <w:color w:val="000000"/>
                <w:sz w:val="24"/>
                <w:szCs w:val="24"/>
                <w:lang w:val="en-US" w:eastAsia="zh-CN"/>
              </w:rPr>
              <w:t>15</w:t>
            </w:r>
            <w:r>
              <w:rPr>
                <w:rFonts w:hint="default" w:ascii="Times New Roman" w:hAnsi="Times New Roman" w:cs="Times New Roman"/>
                <w:b/>
                <w:bCs/>
                <w:color w:val="auto"/>
                <w:sz w:val="24"/>
                <w:szCs w:val="24"/>
                <w:highlight w:val="none"/>
                <w:lang w:val="en-US" w:eastAsia="zh-CN"/>
              </w:rPr>
              <w:t xml:space="preserve"> 地表水环境质量标准</w:t>
            </w:r>
            <w:r>
              <w:rPr>
                <w:rFonts w:hint="default" w:ascii="Times New Roman" w:hAnsi="Times New Roman" w:cs="Times New Roman"/>
                <w:b/>
                <w:bCs/>
                <w:color w:val="auto"/>
                <w:sz w:val="24"/>
                <w:szCs w:val="24"/>
                <w:highlight w:val="none"/>
              </w:rPr>
              <w:t xml:space="preserve"> </w:t>
            </w:r>
            <w:r>
              <w:rPr>
                <w:rFonts w:hint="default" w:ascii="Times New Roman" w:hAnsi="Times New Roman" w:cs="Times New Roman"/>
                <w:b/>
                <w:bCs/>
                <w:color w:val="auto"/>
                <w:sz w:val="24"/>
                <w:szCs w:val="24"/>
                <w:highlight w:val="none"/>
                <w:lang w:val="en-US" w:eastAsia="zh-CN"/>
              </w:rPr>
              <w:t xml:space="preserve">       </w:t>
            </w:r>
            <w:r>
              <w:rPr>
                <w:rFonts w:hint="default" w:ascii="Times New Roman" w:hAnsi="Times New Roman" w:cs="Times New Roman"/>
                <w:b/>
                <w:bCs/>
                <w:color w:val="auto"/>
                <w:sz w:val="24"/>
                <w:szCs w:val="24"/>
                <w:highlight w:val="none"/>
              </w:rPr>
              <w:t>单位：</w:t>
            </w:r>
            <w:r>
              <w:rPr>
                <w:rFonts w:hint="default" w:ascii="Times New Roman" w:hAnsi="Times New Roman" w:eastAsia="Times New Roman" w:cs="Times New Roman"/>
                <w:b/>
                <w:bCs/>
                <w:color w:val="auto"/>
                <w:sz w:val="24"/>
                <w:szCs w:val="24"/>
                <w:highlight w:val="none"/>
                <w:lang w:val="en-US" w:eastAsia="zh-CN"/>
              </w:rPr>
              <w:t>mg/L（pH除外）</w:t>
            </w:r>
          </w:p>
          <w:tbl>
            <w:tblPr>
              <w:tblStyle w:val="30"/>
              <w:tblW w:w="797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01"/>
              <w:gridCol w:w="2981"/>
              <w:gridCol w:w="28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 w:hRule="atLeast"/>
                <w:jc w:val="center"/>
              </w:trPr>
              <w:tc>
                <w:tcPr>
                  <w:tcW w:w="2101" w:type="dxa"/>
                  <w:tcBorders>
                    <w:tl2br w:val="nil"/>
                    <w:tr2bl w:val="nil"/>
                  </w:tcBorders>
                  <w:noWrap w:val="0"/>
                  <w:vAlign w:val="center"/>
                </w:tcPr>
                <w:p>
                  <w:pPr>
                    <w:widowControl/>
                    <w:adjustRightInd w:val="0"/>
                    <w:snapToGrid w:val="0"/>
                    <w:jc w:val="center"/>
                    <w:rPr>
                      <w:rFonts w:hint="default" w:ascii="Times New Roman" w:hAnsi="Times New Roman" w:cs="Times New Roman"/>
                      <w:b/>
                      <w:bCs/>
                      <w:color w:val="000000"/>
                      <w:kern w:val="0"/>
                      <w:sz w:val="24"/>
                      <w:szCs w:val="24"/>
                    </w:rPr>
                  </w:pPr>
                  <w:r>
                    <w:rPr>
                      <w:rFonts w:hint="default" w:ascii="Times New Roman" w:hAnsi="Times New Roman" w:cs="Times New Roman"/>
                      <w:b/>
                      <w:bCs/>
                      <w:color w:val="000000"/>
                      <w:kern w:val="0"/>
                      <w:sz w:val="24"/>
                      <w:szCs w:val="24"/>
                    </w:rPr>
                    <w:t>序号</w:t>
                  </w:r>
                </w:p>
              </w:tc>
              <w:tc>
                <w:tcPr>
                  <w:tcW w:w="2981" w:type="dxa"/>
                  <w:tcBorders>
                    <w:tl2br w:val="nil"/>
                    <w:tr2bl w:val="nil"/>
                  </w:tcBorders>
                  <w:noWrap w:val="0"/>
                  <w:vAlign w:val="center"/>
                </w:tcPr>
                <w:p>
                  <w:pPr>
                    <w:widowControl/>
                    <w:adjustRightInd w:val="0"/>
                    <w:snapToGrid w:val="0"/>
                    <w:jc w:val="center"/>
                    <w:rPr>
                      <w:rFonts w:hint="default" w:ascii="Times New Roman" w:hAnsi="Times New Roman" w:cs="Times New Roman"/>
                      <w:b/>
                      <w:bCs/>
                      <w:color w:val="000000"/>
                      <w:kern w:val="0"/>
                      <w:sz w:val="24"/>
                      <w:szCs w:val="24"/>
                    </w:rPr>
                  </w:pPr>
                  <w:r>
                    <w:rPr>
                      <w:rFonts w:hint="default" w:ascii="Times New Roman" w:hAnsi="Times New Roman" w:cs="Times New Roman"/>
                      <w:b/>
                      <w:bCs/>
                      <w:color w:val="000000"/>
                      <w:kern w:val="0"/>
                      <w:sz w:val="24"/>
                      <w:szCs w:val="24"/>
                      <w:lang w:eastAsia="zh-CN"/>
                    </w:rPr>
                    <w:t>指标</w:t>
                  </w:r>
                </w:p>
              </w:tc>
              <w:tc>
                <w:tcPr>
                  <w:tcW w:w="2892" w:type="dxa"/>
                  <w:tcBorders>
                    <w:tl2br w:val="nil"/>
                    <w:tr2bl w:val="nil"/>
                  </w:tcBorders>
                  <w:noWrap w:val="0"/>
                  <w:vAlign w:val="center"/>
                </w:tcPr>
                <w:p>
                  <w:pPr>
                    <w:widowControl/>
                    <w:adjustRightInd w:val="0"/>
                    <w:snapToGrid w:val="0"/>
                    <w:jc w:val="center"/>
                    <w:rPr>
                      <w:rFonts w:hint="default" w:ascii="Times New Roman" w:hAnsi="Times New Roman" w:cs="Times New Roman"/>
                      <w:b/>
                      <w:bCs/>
                      <w:color w:val="000000"/>
                      <w:kern w:val="0"/>
                      <w:sz w:val="24"/>
                      <w:szCs w:val="24"/>
                    </w:rPr>
                  </w:pPr>
                  <w:r>
                    <w:rPr>
                      <w:rFonts w:hint="default" w:ascii="Times New Roman" w:hAnsi="Times New Roman" w:cs="Times New Roman"/>
                      <w:b/>
                      <w:bCs/>
                      <w:color w:val="000000"/>
                      <w:kern w:val="0"/>
                      <w:sz w:val="24"/>
                      <w:szCs w:val="24"/>
                    </w:rPr>
                    <w:t>标准值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 w:hRule="atLeast"/>
                <w:jc w:val="center"/>
              </w:trPr>
              <w:tc>
                <w:tcPr>
                  <w:tcW w:w="2101" w:type="dxa"/>
                  <w:tcBorders>
                    <w:tl2br w:val="nil"/>
                    <w:tr2bl w:val="nil"/>
                  </w:tcBorders>
                  <w:noWrap w:val="0"/>
                  <w:vAlign w:val="center"/>
                </w:tcPr>
                <w:p>
                  <w:pPr>
                    <w:widowControl/>
                    <w:adjustRightInd w:val="0"/>
                    <w:snapToGrid w:val="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w:t>
                  </w:r>
                </w:p>
              </w:tc>
              <w:tc>
                <w:tcPr>
                  <w:tcW w:w="2981" w:type="dxa"/>
                  <w:tcBorders>
                    <w:tl2br w:val="nil"/>
                    <w:tr2bl w:val="nil"/>
                  </w:tcBorders>
                  <w:noWrap w:val="0"/>
                  <w:vAlign w:val="center"/>
                </w:tcPr>
                <w:p>
                  <w:pPr>
                    <w:widowControl/>
                    <w:adjustRightInd w:val="0"/>
                    <w:snapToGrid w:val="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pH（无量纲）</w:t>
                  </w:r>
                </w:p>
              </w:tc>
              <w:tc>
                <w:tcPr>
                  <w:tcW w:w="2892" w:type="dxa"/>
                  <w:tcBorders>
                    <w:tl2br w:val="nil"/>
                    <w:tr2bl w:val="nil"/>
                  </w:tcBorders>
                  <w:noWrap w:val="0"/>
                  <w:vAlign w:val="center"/>
                </w:tcPr>
                <w:p>
                  <w:pPr>
                    <w:widowControl/>
                    <w:adjustRightInd w:val="0"/>
                    <w:snapToGrid w:val="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 w:hRule="atLeast"/>
                <w:jc w:val="center"/>
              </w:trPr>
              <w:tc>
                <w:tcPr>
                  <w:tcW w:w="2101" w:type="dxa"/>
                  <w:tcBorders>
                    <w:tl2br w:val="nil"/>
                    <w:tr2bl w:val="nil"/>
                  </w:tcBorders>
                  <w:noWrap w:val="0"/>
                  <w:vAlign w:val="center"/>
                </w:tcPr>
                <w:p>
                  <w:pPr>
                    <w:widowControl/>
                    <w:adjustRightInd w:val="0"/>
                    <w:snapToGrid w:val="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w:t>
                  </w:r>
                </w:p>
              </w:tc>
              <w:tc>
                <w:tcPr>
                  <w:tcW w:w="2981" w:type="dxa"/>
                  <w:tcBorders>
                    <w:tl2br w:val="nil"/>
                    <w:tr2bl w:val="nil"/>
                  </w:tcBorders>
                  <w:noWrap w:val="0"/>
                  <w:vAlign w:val="center"/>
                </w:tcPr>
                <w:p>
                  <w:pPr>
                    <w:widowControl/>
                    <w:adjustRightInd w:val="0"/>
                    <w:snapToGrid w:val="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COD</w:t>
                  </w:r>
                  <w:r>
                    <w:rPr>
                      <w:rFonts w:hint="default" w:ascii="Times New Roman" w:hAnsi="Times New Roman" w:cs="Times New Roman"/>
                      <w:color w:val="000000"/>
                      <w:kern w:val="0"/>
                      <w:sz w:val="24"/>
                      <w:szCs w:val="24"/>
                      <w:vertAlign w:val="subscript"/>
                    </w:rPr>
                    <w:t>Cr</w:t>
                  </w:r>
                </w:p>
              </w:tc>
              <w:tc>
                <w:tcPr>
                  <w:tcW w:w="2892" w:type="dxa"/>
                  <w:tcBorders>
                    <w:tl2br w:val="nil"/>
                    <w:tr2bl w:val="nil"/>
                  </w:tcBorders>
                  <w:noWrap w:val="0"/>
                  <w:vAlign w:val="center"/>
                </w:tcPr>
                <w:p>
                  <w:pPr>
                    <w:widowControl/>
                    <w:adjustRightInd w:val="0"/>
                    <w:snapToGrid w:val="0"/>
                    <w:jc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rPr>
                    <w:t>≤</w:t>
                  </w:r>
                  <w:r>
                    <w:rPr>
                      <w:rFonts w:hint="eastAsia" w:ascii="Times New Roman" w:hAnsi="Times New Roman" w:cs="Times New Roman"/>
                      <w:color w:val="000000"/>
                      <w:kern w:val="0"/>
                      <w:sz w:val="24"/>
                      <w:szCs w:val="24"/>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 w:hRule="atLeast"/>
                <w:jc w:val="center"/>
              </w:trPr>
              <w:tc>
                <w:tcPr>
                  <w:tcW w:w="2101" w:type="dxa"/>
                  <w:tcBorders>
                    <w:tl2br w:val="nil"/>
                    <w:tr2bl w:val="nil"/>
                  </w:tcBorders>
                  <w:noWrap w:val="0"/>
                  <w:vAlign w:val="center"/>
                </w:tcPr>
                <w:p>
                  <w:pPr>
                    <w:widowControl/>
                    <w:adjustRightInd w:val="0"/>
                    <w:snapToGrid w:val="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w:t>
                  </w:r>
                </w:p>
              </w:tc>
              <w:tc>
                <w:tcPr>
                  <w:tcW w:w="2981" w:type="dxa"/>
                  <w:tcBorders>
                    <w:tl2br w:val="nil"/>
                    <w:tr2bl w:val="nil"/>
                  </w:tcBorders>
                  <w:noWrap w:val="0"/>
                  <w:vAlign w:val="center"/>
                </w:tcPr>
                <w:p>
                  <w:pPr>
                    <w:widowControl/>
                    <w:adjustRightInd w:val="0"/>
                    <w:snapToGrid w:val="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BOD</w:t>
                  </w:r>
                  <w:r>
                    <w:rPr>
                      <w:rFonts w:hint="default" w:ascii="Times New Roman" w:hAnsi="Times New Roman" w:cs="Times New Roman"/>
                      <w:color w:val="000000"/>
                      <w:kern w:val="0"/>
                      <w:sz w:val="24"/>
                      <w:szCs w:val="24"/>
                      <w:vertAlign w:val="subscript"/>
                    </w:rPr>
                    <w:t>5</w:t>
                  </w:r>
                </w:p>
              </w:tc>
              <w:tc>
                <w:tcPr>
                  <w:tcW w:w="2892" w:type="dxa"/>
                  <w:tcBorders>
                    <w:tl2br w:val="nil"/>
                    <w:tr2bl w:val="nil"/>
                  </w:tcBorders>
                  <w:noWrap w:val="0"/>
                  <w:vAlign w:val="center"/>
                </w:tcPr>
                <w:p>
                  <w:pPr>
                    <w:widowControl/>
                    <w:adjustRightInd w:val="0"/>
                    <w:snapToGrid w:val="0"/>
                    <w:jc w:val="center"/>
                    <w:rPr>
                      <w:rFonts w:hint="default" w:ascii="Times New Roman" w:hAnsi="Times New Roman" w:cs="Times New Roman"/>
                      <w:color w:val="000000"/>
                      <w:kern w:val="0"/>
                      <w:sz w:val="24"/>
                      <w:szCs w:val="24"/>
                      <w:lang w:eastAsia="zh-CN"/>
                    </w:rPr>
                  </w:pPr>
                  <w:r>
                    <w:rPr>
                      <w:rFonts w:hint="default" w:ascii="Times New Roman" w:hAnsi="Times New Roman" w:cs="Times New Roman"/>
                      <w:color w:val="000000"/>
                      <w:kern w:val="0"/>
                      <w:sz w:val="24"/>
                      <w:szCs w:val="24"/>
                    </w:rPr>
                    <w:t>≤</w:t>
                  </w:r>
                  <w:r>
                    <w:rPr>
                      <w:rFonts w:hint="eastAsia" w:ascii="Times New Roman" w:hAnsi="Times New Roman" w:cs="Times New Roman"/>
                      <w:color w:val="000000"/>
                      <w:kern w:val="0"/>
                      <w:sz w:val="24"/>
                      <w:szCs w:val="24"/>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2101" w:type="dxa"/>
                  <w:tcBorders>
                    <w:tl2br w:val="nil"/>
                    <w:tr2bl w:val="nil"/>
                  </w:tcBorders>
                  <w:noWrap w:val="0"/>
                  <w:vAlign w:val="center"/>
                </w:tcPr>
                <w:p>
                  <w:pPr>
                    <w:widowControl/>
                    <w:adjustRightInd w:val="0"/>
                    <w:snapToGrid w:val="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w:t>
                  </w:r>
                </w:p>
              </w:tc>
              <w:tc>
                <w:tcPr>
                  <w:tcW w:w="2981" w:type="dxa"/>
                  <w:tcBorders>
                    <w:tl2br w:val="nil"/>
                    <w:tr2bl w:val="nil"/>
                  </w:tcBorders>
                  <w:noWrap w:val="0"/>
                  <w:vAlign w:val="center"/>
                </w:tcPr>
                <w:p>
                  <w:pPr>
                    <w:widowControl/>
                    <w:adjustRightInd w:val="0"/>
                    <w:snapToGrid w:val="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NH</w:t>
                  </w:r>
                  <w:r>
                    <w:rPr>
                      <w:rFonts w:hint="default" w:ascii="Times New Roman" w:hAnsi="Times New Roman" w:cs="Times New Roman"/>
                      <w:color w:val="000000"/>
                      <w:kern w:val="0"/>
                      <w:sz w:val="24"/>
                      <w:szCs w:val="24"/>
                      <w:vertAlign w:val="subscript"/>
                    </w:rPr>
                    <w:t>3</w:t>
                  </w:r>
                  <w:r>
                    <w:rPr>
                      <w:rFonts w:hint="default" w:ascii="Times New Roman" w:hAnsi="Times New Roman" w:cs="Times New Roman"/>
                      <w:color w:val="000000"/>
                      <w:kern w:val="0"/>
                      <w:sz w:val="24"/>
                      <w:szCs w:val="24"/>
                    </w:rPr>
                    <w:t>-N</w:t>
                  </w:r>
                </w:p>
              </w:tc>
              <w:tc>
                <w:tcPr>
                  <w:tcW w:w="2892" w:type="dxa"/>
                  <w:tcBorders>
                    <w:tl2br w:val="nil"/>
                    <w:tr2bl w:val="nil"/>
                  </w:tcBorders>
                  <w:noWrap w:val="0"/>
                  <w:vAlign w:val="center"/>
                </w:tcPr>
                <w:p>
                  <w:pPr>
                    <w:widowControl/>
                    <w:adjustRightInd w:val="0"/>
                    <w:snapToGrid w:val="0"/>
                    <w:jc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rPr>
                    <w:t>≤</w:t>
                  </w:r>
                  <w:r>
                    <w:rPr>
                      <w:rFonts w:hint="eastAsia" w:ascii="Times New Roman" w:hAnsi="Times New Roman" w:cs="Times New Roman"/>
                      <w:color w:val="000000"/>
                      <w:kern w:val="0"/>
                      <w:sz w:val="24"/>
                      <w:szCs w:val="24"/>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101" w:type="dxa"/>
                  <w:tcBorders>
                    <w:tl2br w:val="nil"/>
                    <w:tr2bl w:val="nil"/>
                  </w:tcBorders>
                  <w:noWrap w:val="0"/>
                  <w:vAlign w:val="center"/>
                </w:tcPr>
                <w:p>
                  <w:pPr>
                    <w:widowControl/>
                    <w:adjustRightInd w:val="0"/>
                    <w:snapToGrid w:val="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w:t>
                  </w:r>
                </w:p>
              </w:tc>
              <w:tc>
                <w:tcPr>
                  <w:tcW w:w="2981" w:type="dxa"/>
                  <w:tcBorders>
                    <w:tl2br w:val="nil"/>
                    <w:tr2bl w:val="nil"/>
                  </w:tcBorders>
                  <w:noWrap w:val="0"/>
                  <w:vAlign w:val="center"/>
                </w:tcPr>
                <w:p>
                  <w:pPr>
                    <w:widowControl/>
                    <w:adjustRightInd w:val="0"/>
                    <w:snapToGrid w:val="0"/>
                    <w:jc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SS</w:t>
                  </w:r>
                </w:p>
              </w:tc>
              <w:tc>
                <w:tcPr>
                  <w:tcW w:w="2892" w:type="dxa"/>
                  <w:tcBorders>
                    <w:tl2br w:val="nil"/>
                    <w:tr2bl w:val="nil"/>
                  </w:tcBorders>
                  <w:noWrap w:val="0"/>
                  <w:vAlign w:val="center"/>
                </w:tcPr>
                <w:p>
                  <w:pPr>
                    <w:widowControl/>
                    <w:adjustRightInd w:val="0"/>
                    <w:snapToGrid w:val="0"/>
                    <w:jc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rPr>
                    <w:t>≤</w:t>
                  </w:r>
                  <w:r>
                    <w:rPr>
                      <w:rFonts w:hint="default" w:ascii="Times New Roman" w:hAnsi="Times New Roman" w:cs="Times New Roman"/>
                      <w:color w:val="000000"/>
                      <w:kern w:val="0"/>
                      <w:sz w:val="24"/>
                      <w:szCs w:val="24"/>
                      <w:lang w:val="en-US" w:eastAsia="zh-CN"/>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2101" w:type="dxa"/>
                  <w:tcBorders>
                    <w:tl2br w:val="nil"/>
                    <w:tr2bl w:val="nil"/>
                  </w:tcBorders>
                  <w:noWrap w:val="0"/>
                  <w:vAlign w:val="center"/>
                </w:tcPr>
                <w:p>
                  <w:pPr>
                    <w:widowControl/>
                    <w:adjustRightInd w:val="0"/>
                    <w:snapToGrid w:val="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6</w:t>
                  </w:r>
                </w:p>
              </w:tc>
              <w:tc>
                <w:tcPr>
                  <w:tcW w:w="2981" w:type="dxa"/>
                  <w:tcBorders>
                    <w:tl2br w:val="nil"/>
                    <w:tr2bl w:val="nil"/>
                  </w:tcBorders>
                  <w:noWrap w:val="0"/>
                  <w:vAlign w:val="center"/>
                </w:tcPr>
                <w:p>
                  <w:pPr>
                    <w:widowControl/>
                    <w:adjustRightInd w:val="0"/>
                    <w:snapToGrid w:val="0"/>
                    <w:jc w:val="center"/>
                    <w:rPr>
                      <w:rFonts w:hint="default"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石油类</w:t>
                  </w:r>
                </w:p>
              </w:tc>
              <w:tc>
                <w:tcPr>
                  <w:tcW w:w="2892" w:type="dxa"/>
                  <w:tcBorders>
                    <w:tl2br w:val="nil"/>
                    <w:tr2bl w:val="nil"/>
                  </w:tcBorders>
                  <w:noWrap w:val="0"/>
                  <w:vAlign w:val="center"/>
                </w:tcPr>
                <w:p>
                  <w:pPr>
                    <w:widowControl/>
                    <w:adjustRightInd w:val="0"/>
                    <w:snapToGrid w:val="0"/>
                    <w:jc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rPr>
                    <w:t>≤</w:t>
                  </w:r>
                  <w:r>
                    <w:rPr>
                      <w:rFonts w:hint="default" w:ascii="Times New Roman" w:hAnsi="Times New Roman" w:cs="Times New Roman"/>
                      <w:color w:val="000000"/>
                      <w:kern w:val="0"/>
                      <w:sz w:val="24"/>
                      <w:szCs w:val="24"/>
                      <w:lang w:val="en-US" w:eastAsia="zh-CN"/>
                    </w:rPr>
                    <w:t>0.</w:t>
                  </w:r>
                  <w:r>
                    <w:rPr>
                      <w:rFonts w:hint="eastAsia" w:ascii="Times New Roman" w:hAnsi="Times New Roman" w:cs="Times New Roman"/>
                      <w:color w:val="000000"/>
                      <w:kern w:val="0"/>
                      <w:sz w:val="24"/>
                      <w:szCs w:val="24"/>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 w:hRule="atLeast"/>
                <w:jc w:val="center"/>
              </w:trPr>
              <w:tc>
                <w:tcPr>
                  <w:tcW w:w="2101" w:type="dxa"/>
                  <w:tcBorders>
                    <w:tl2br w:val="nil"/>
                    <w:tr2bl w:val="nil"/>
                  </w:tcBorders>
                  <w:noWrap w:val="0"/>
                  <w:vAlign w:val="center"/>
                </w:tcPr>
                <w:p>
                  <w:pPr>
                    <w:widowControl/>
                    <w:adjustRightInd w:val="0"/>
                    <w:snapToGrid w:val="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7</w:t>
                  </w:r>
                </w:p>
              </w:tc>
              <w:tc>
                <w:tcPr>
                  <w:tcW w:w="2981" w:type="dxa"/>
                  <w:tcBorders>
                    <w:tl2br w:val="nil"/>
                    <w:tr2bl w:val="nil"/>
                  </w:tcBorders>
                  <w:noWrap w:val="0"/>
                  <w:vAlign w:val="center"/>
                </w:tcPr>
                <w:p>
                  <w:pPr>
                    <w:widowControl/>
                    <w:adjustRightInd w:val="0"/>
                    <w:snapToGrid w:val="0"/>
                    <w:jc w:val="center"/>
                    <w:rPr>
                      <w:rFonts w:hint="default" w:ascii="Times New Roman" w:hAnsi="Times New Roman" w:cs="Times New Roman"/>
                      <w:color w:val="000000"/>
                      <w:kern w:val="0"/>
                      <w:sz w:val="24"/>
                      <w:szCs w:val="24"/>
                    </w:rPr>
                  </w:pPr>
                  <w:r>
                    <w:rPr>
                      <w:rFonts w:hint="eastAsia" w:ascii="Times New Roman" w:hAnsi="Times New Roman" w:cs="Times New Roman"/>
                      <w:color w:val="000000"/>
                      <w:kern w:val="0"/>
                      <w:sz w:val="24"/>
                      <w:szCs w:val="24"/>
                      <w:lang w:val="en-US" w:eastAsia="zh-CN"/>
                    </w:rPr>
                    <w:t>总磷</w:t>
                  </w:r>
                </w:p>
              </w:tc>
              <w:tc>
                <w:tcPr>
                  <w:tcW w:w="2892" w:type="dxa"/>
                  <w:tcBorders>
                    <w:tl2br w:val="nil"/>
                    <w:tr2bl w:val="nil"/>
                  </w:tcBorders>
                  <w:noWrap w:val="0"/>
                  <w:vAlign w:val="center"/>
                </w:tcPr>
                <w:p>
                  <w:pPr>
                    <w:widowControl/>
                    <w:adjustRightInd w:val="0"/>
                    <w:snapToGrid w:val="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≤0.</w:t>
                  </w:r>
                  <w:r>
                    <w:rPr>
                      <w:rFonts w:hint="eastAsia" w:ascii="Times New Roman" w:hAnsi="Times New Roman" w:cs="Times New Roman"/>
                      <w:color w:val="000000"/>
                      <w:kern w:val="0"/>
                      <w:sz w:val="24"/>
                      <w:szCs w:val="24"/>
                      <w:lang w:val="en-US" w:eastAsia="zh-CN"/>
                    </w:rPr>
                    <w:t>2</w:t>
                  </w:r>
                </w:p>
              </w:tc>
            </w:tr>
          </w:tbl>
          <w:p>
            <w:pPr>
              <w:pStyle w:val="62"/>
              <w:ind w:left="0" w:leftChars="0" w:firstLine="0" w:firstLineChars="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注：表中“悬浮物”参照执行《地表水资源质量标准标准值》（SL63-94）。</w:t>
            </w:r>
          </w:p>
          <w:p>
            <w:pPr>
              <w:keepNext w:val="0"/>
              <w:keepLines w:val="0"/>
              <w:pageBreakBefore w:val="0"/>
              <w:widowControl w:val="0"/>
              <w:kinsoku/>
              <w:wordWrap/>
              <w:overflowPunct/>
              <w:topLinePunct w:val="0"/>
              <w:autoSpaceDE/>
              <w:autoSpaceDN/>
              <w:bidi w:val="0"/>
              <w:adjustRightInd/>
              <w:snapToGrid/>
              <w:spacing w:line="360" w:lineRule="auto"/>
              <w:ind w:right="84" w:rightChars="40"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声环境质量</w:t>
            </w:r>
          </w:p>
          <w:p>
            <w:pPr>
              <w:keepNext w:val="0"/>
              <w:keepLines w:val="0"/>
              <w:pageBreakBefore w:val="0"/>
              <w:widowControl w:val="0"/>
              <w:kinsoku/>
              <w:wordWrap/>
              <w:overflowPunct/>
              <w:topLinePunct w:val="0"/>
              <w:autoSpaceDE/>
              <w:autoSpaceDN/>
              <w:bidi w:val="0"/>
              <w:adjustRightInd/>
              <w:snapToGrid/>
              <w:spacing w:line="360" w:lineRule="auto"/>
              <w:ind w:right="84" w:rightChars="4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t>本</w:t>
            </w:r>
            <w:r>
              <w:rPr>
                <w:rFonts w:hint="default" w:ascii="Times New Roman" w:hAnsi="Times New Roman" w:cs="Times New Roman"/>
                <w:color w:val="auto"/>
                <w:sz w:val="24"/>
                <w:szCs w:val="24"/>
                <w:lang w:eastAsia="zh-CN"/>
              </w:rPr>
              <w:t>项目区域</w:t>
            </w:r>
            <w:r>
              <w:rPr>
                <w:rFonts w:hint="default" w:ascii="Times New Roman" w:hAnsi="Times New Roman" w:cs="Times New Roman"/>
                <w:color w:val="auto"/>
                <w:sz w:val="24"/>
                <w:szCs w:val="24"/>
                <w:lang w:val="en-US" w:eastAsia="zh-CN"/>
              </w:rPr>
              <w:t>环境</w:t>
            </w:r>
            <w:r>
              <w:rPr>
                <w:rFonts w:hint="default" w:ascii="Times New Roman" w:hAnsi="Times New Roman" w:cs="Times New Roman"/>
                <w:color w:val="auto"/>
                <w:sz w:val="24"/>
                <w:szCs w:val="24"/>
              </w:rPr>
              <w:t>噪声执行《声环境质量标准》（GB3096</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2008）</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类标准，标准限值</w:t>
            </w:r>
            <w:r>
              <w:rPr>
                <w:rFonts w:hint="default" w:ascii="Times New Roman" w:hAnsi="Times New Roman" w:cs="Times New Roman"/>
                <w:color w:val="auto"/>
                <w:sz w:val="24"/>
                <w:szCs w:val="24"/>
                <w:lang w:eastAsia="zh-CN"/>
              </w:rPr>
              <w:t>详</w:t>
            </w:r>
            <w:r>
              <w:rPr>
                <w:rFonts w:hint="default" w:ascii="Times New Roman" w:hAnsi="Times New Roman" w:cs="Times New Roman"/>
                <w:color w:val="auto"/>
                <w:sz w:val="24"/>
                <w:szCs w:val="24"/>
              </w:rPr>
              <w:t>见下表</w:t>
            </w:r>
            <w:r>
              <w:rPr>
                <w:rFonts w:hint="default" w:ascii="Times New Roman" w:hAnsi="Times New Roman" w:cs="Times New Roman"/>
                <w:color w:val="auto"/>
                <w:sz w:val="24"/>
                <w:szCs w:val="24"/>
                <w:lang w:val="en-US" w:eastAsia="zh-CN"/>
              </w:rPr>
              <w:t>。</w:t>
            </w:r>
          </w:p>
          <w:p>
            <w:pPr>
              <w:pStyle w:val="76"/>
              <w:spacing w:before="0" w:beforeLines="0" w:after="0" w:afterLines="0" w:line="24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3-</w:t>
            </w:r>
            <w:r>
              <w:rPr>
                <w:rFonts w:hint="eastAsia" w:ascii="Times New Roman" w:hAnsi="Times New Roman" w:eastAsia="宋体" w:cs="Times New Roman"/>
                <w:b/>
                <w:bCs/>
                <w:color w:val="auto"/>
                <w:sz w:val="24"/>
                <w:szCs w:val="24"/>
                <w:lang w:val="en-US" w:eastAsia="zh-CN"/>
              </w:rPr>
              <w:t>16</w:t>
            </w:r>
            <w:r>
              <w:rPr>
                <w:rFonts w:hint="default" w:ascii="Times New Roman" w:hAnsi="Times New Roman" w:eastAsia="宋体" w:cs="Times New Roman"/>
                <w:b/>
                <w:bCs/>
                <w:color w:val="auto"/>
                <w:sz w:val="24"/>
                <w:szCs w:val="24"/>
              </w:rPr>
              <w:t xml:space="preserve"> 环境噪声标准值表     </w:t>
            </w:r>
            <w:r>
              <w:rPr>
                <w:rFonts w:hint="default" w:ascii="Times New Roman" w:hAnsi="Times New Roman" w:cs="Times New Roman"/>
                <w:b/>
                <w:bCs/>
                <w:color w:val="auto"/>
                <w:sz w:val="24"/>
                <w:szCs w:val="24"/>
                <w:lang w:eastAsia="zh-CN"/>
              </w:rPr>
              <w:t>单位：</w:t>
            </w:r>
            <w:r>
              <w:rPr>
                <w:rFonts w:hint="default" w:ascii="Times New Roman" w:hAnsi="Times New Roman" w:eastAsia="宋体" w:cs="Times New Roman"/>
                <w:b/>
                <w:bCs/>
                <w:color w:val="auto"/>
                <w:sz w:val="24"/>
                <w:szCs w:val="24"/>
              </w:rPr>
              <w:t>dB（A）</w:t>
            </w:r>
          </w:p>
          <w:tbl>
            <w:tblPr>
              <w:tblStyle w:val="3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4"/>
              <w:gridCol w:w="3422"/>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 w:hRule="atLeast"/>
              </w:trPr>
              <w:tc>
                <w:tcPr>
                  <w:tcW w:w="1255" w:type="pct"/>
                  <w:vMerge w:val="restart"/>
                  <w:tcBorders>
                    <w:left w:val="single" w:color="auto" w:sz="4" w:space="0"/>
                  </w:tcBorders>
                  <w:noWrap w:val="0"/>
                  <w:vAlign w:val="center"/>
                </w:tcPr>
                <w:p>
                  <w:pPr>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标准类别</w:t>
                  </w:r>
                </w:p>
              </w:tc>
              <w:tc>
                <w:tcPr>
                  <w:tcW w:w="3744" w:type="pct"/>
                  <w:gridSpan w:val="2"/>
                  <w:tcBorders>
                    <w:right w:val="single" w:color="auto" w:sz="4" w:space="0"/>
                  </w:tcBorders>
                  <w:noWrap w:val="0"/>
                  <w:vAlign w:val="center"/>
                </w:tcPr>
                <w:p>
                  <w:pPr>
                    <w:ind w:firstLine="1205" w:firstLineChars="5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等效声级    Leq[dB（A）]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255" w:type="pct"/>
                  <w:vMerge w:val="continue"/>
                  <w:tcBorders>
                    <w:left w:val="single" w:color="auto" w:sz="4" w:space="0"/>
                  </w:tcBorders>
                  <w:noWrap w:val="0"/>
                  <w:vAlign w:val="center"/>
                </w:tcPr>
                <w:p>
                  <w:pPr>
                    <w:jc w:val="center"/>
                    <w:rPr>
                      <w:rFonts w:hint="default" w:ascii="Times New Roman" w:hAnsi="Times New Roman" w:cs="Times New Roman"/>
                      <w:b/>
                      <w:bCs/>
                      <w:color w:val="auto"/>
                      <w:sz w:val="24"/>
                      <w:szCs w:val="24"/>
                      <w:highlight w:val="none"/>
                    </w:rPr>
                  </w:pPr>
                </w:p>
              </w:tc>
              <w:tc>
                <w:tcPr>
                  <w:tcW w:w="1984" w:type="pct"/>
                  <w:noWrap w:val="0"/>
                  <w:vAlign w:val="center"/>
                </w:tcPr>
                <w:p>
                  <w:pPr>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昼间</w:t>
                  </w:r>
                </w:p>
              </w:tc>
              <w:tc>
                <w:tcPr>
                  <w:tcW w:w="1760" w:type="pct"/>
                  <w:tcBorders>
                    <w:right w:val="single" w:color="auto" w:sz="4" w:space="0"/>
                  </w:tcBorders>
                  <w:noWrap w:val="0"/>
                  <w:vAlign w:val="center"/>
                </w:tcPr>
                <w:p>
                  <w:pPr>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4" w:hRule="atLeast"/>
              </w:trPr>
              <w:tc>
                <w:tcPr>
                  <w:tcW w:w="2014" w:type="dxa"/>
                  <w:tcBorders>
                    <w:left w:val="single" w:color="auto" w:sz="4" w:space="0"/>
                  </w:tcBorders>
                  <w:noWrap w:val="0"/>
                  <w:vAlign w:val="center"/>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2类</w:t>
                  </w:r>
                </w:p>
              </w:tc>
              <w:tc>
                <w:tcPr>
                  <w:tcW w:w="3185" w:type="dxa"/>
                  <w:noWrap w:val="0"/>
                  <w:vAlign w:val="center"/>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60</w:t>
                  </w:r>
                </w:p>
              </w:tc>
              <w:tc>
                <w:tcPr>
                  <w:tcW w:w="2826" w:type="dxa"/>
                  <w:tcBorders>
                    <w:right w:val="single" w:color="auto" w:sz="4" w:space="0"/>
                  </w:tcBorders>
                  <w:noWrap w:val="0"/>
                  <w:vAlign w:val="center"/>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lang w:val="en-US" w:eastAsia="zh-CN"/>
                    </w:rPr>
                    <w:t>50</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2、污染物排放标准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（1）废气</w:t>
            </w:r>
          </w:p>
          <w:p>
            <w:pPr>
              <w:spacing w:line="360" w:lineRule="auto"/>
              <w:ind w:firstLine="440" w:firstLineChars="200"/>
              <w:rPr>
                <w:rFonts w:hint="default" w:ascii="Times New Roman" w:hAnsi="Times New Roman" w:cs="Times New Roman"/>
                <w:b w:val="0"/>
                <w:bCs w:val="0"/>
                <w:color w:val="auto"/>
                <w:kern w:val="2"/>
                <w:sz w:val="24"/>
                <w:szCs w:val="24"/>
                <w:shd w:val="clear" w:color="auto" w:fill="FFFFFF"/>
                <w:lang w:val="en-US" w:eastAsia="zh-CN" w:bidi="ar-SA"/>
              </w:rPr>
            </w:pPr>
            <w:r>
              <w:rPr>
                <w:rFonts w:hint="default" w:ascii="Times New Roman" w:hAnsi="Times New Roman" w:cs="Times New Roman"/>
                <w:color w:val="auto"/>
                <w:spacing w:val="-10"/>
                <w:sz w:val="24"/>
                <w:szCs w:val="24"/>
                <w:lang w:eastAsia="zh-CN"/>
              </w:rPr>
              <w:t>施工期</w:t>
            </w:r>
            <w:r>
              <w:rPr>
                <w:rFonts w:hint="default" w:ascii="Times New Roman" w:hAnsi="Times New Roman" w:cs="Times New Roman"/>
                <w:sz w:val="24"/>
                <w:szCs w:val="24"/>
                <w:lang w:eastAsia="zh-CN"/>
              </w:rPr>
              <w:t>扬尘执</w:t>
            </w:r>
            <w:r>
              <w:rPr>
                <w:rFonts w:hint="default" w:ascii="Times New Roman" w:hAnsi="Times New Roman" w:cs="Times New Roman"/>
                <w:color w:val="auto"/>
                <w:sz w:val="24"/>
                <w:szCs w:val="24"/>
                <w:lang w:eastAsia="zh-CN"/>
              </w:rPr>
              <w:t>行《四川省施工场地扬尘排放标准》（DB51</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2682-2020）；</w:t>
            </w:r>
            <w:r>
              <w:rPr>
                <w:rFonts w:hint="eastAsia" w:ascii="Times New Roman" w:hAnsi="Times New Roman" w:cs="Times New Roman"/>
                <w:sz w:val="24"/>
                <w:szCs w:val="24"/>
                <w:lang w:eastAsia="zh-CN"/>
              </w:rPr>
              <w:t>运营期</w:t>
            </w:r>
            <w:r>
              <w:rPr>
                <w:rFonts w:hint="default" w:ascii="Times New Roman" w:hAnsi="Times New Roman" w:cs="Times New Roman"/>
                <w:color w:val="auto"/>
                <w:spacing w:val="-10"/>
                <w:sz w:val="24"/>
                <w:szCs w:val="24"/>
              </w:rPr>
              <w:t>废气执行《大气</w:t>
            </w:r>
            <w:r>
              <w:rPr>
                <w:rFonts w:hint="default" w:ascii="Times New Roman" w:hAnsi="Times New Roman" w:cs="Times New Roman"/>
                <w:b w:val="0"/>
                <w:bCs w:val="0"/>
                <w:color w:val="auto"/>
                <w:spacing w:val="-10"/>
                <w:sz w:val="24"/>
                <w:szCs w:val="24"/>
              </w:rPr>
              <w:t>污</w:t>
            </w:r>
            <w:r>
              <w:rPr>
                <w:rFonts w:hint="default" w:ascii="Times New Roman" w:hAnsi="Times New Roman" w:cs="Times New Roman"/>
                <w:b w:val="0"/>
                <w:bCs w:val="0"/>
                <w:color w:val="auto"/>
                <w:kern w:val="2"/>
                <w:sz w:val="24"/>
                <w:szCs w:val="24"/>
                <w:shd w:val="clear" w:color="auto" w:fill="FFFFFF"/>
                <w:lang w:val="en-US" w:eastAsia="zh-CN" w:bidi="ar-SA"/>
              </w:rPr>
              <w:t>染物综合排放标准》（GB16297-1996）中的二级标准。</w:t>
            </w:r>
          </w:p>
          <w:p>
            <w:pPr>
              <w:spacing w:line="240" w:lineRule="auto"/>
              <w:jc w:val="center"/>
              <w:rPr>
                <w:rFonts w:hint="default" w:ascii="Times New Roman" w:hAnsi="Times New Roman" w:eastAsia="宋体" w:cs="Times New Roman"/>
                <w:b/>
                <w:color w:val="auto"/>
                <w:spacing w:val="-10"/>
                <w:sz w:val="24"/>
                <w:szCs w:val="24"/>
                <w:lang w:val="en-US" w:eastAsia="zh-CN"/>
              </w:rPr>
            </w:pPr>
            <w:r>
              <w:rPr>
                <w:rFonts w:hint="default" w:ascii="Times New Roman" w:hAnsi="Times New Roman" w:eastAsia="宋体" w:cs="Times New Roman"/>
                <w:b/>
                <w:color w:val="auto"/>
                <w:spacing w:val="-10"/>
                <w:sz w:val="24"/>
                <w:szCs w:val="24"/>
              </w:rPr>
              <w:t>表</w:t>
            </w:r>
            <w:r>
              <w:rPr>
                <w:rFonts w:hint="default" w:ascii="Times New Roman" w:hAnsi="Times New Roman" w:eastAsia="宋体" w:cs="Times New Roman"/>
                <w:b/>
                <w:color w:val="auto"/>
                <w:spacing w:val="-10"/>
                <w:sz w:val="24"/>
                <w:szCs w:val="24"/>
                <w:lang w:val="en-US" w:eastAsia="zh-CN"/>
              </w:rPr>
              <w:t>3-</w:t>
            </w:r>
            <w:r>
              <w:rPr>
                <w:rFonts w:hint="eastAsia" w:ascii="Times New Roman" w:hAnsi="Times New Roman" w:eastAsia="宋体" w:cs="Times New Roman"/>
                <w:b/>
                <w:color w:val="auto"/>
                <w:spacing w:val="-10"/>
                <w:sz w:val="24"/>
                <w:szCs w:val="24"/>
                <w:lang w:val="en-US" w:eastAsia="zh-CN"/>
              </w:rPr>
              <w:t>17</w:t>
            </w:r>
            <w:r>
              <w:rPr>
                <w:rFonts w:hint="default" w:ascii="Times New Roman" w:hAnsi="Times New Roman" w:eastAsia="宋体" w:cs="Times New Roman"/>
                <w:b/>
                <w:color w:val="auto"/>
                <w:spacing w:val="-10"/>
                <w:sz w:val="24"/>
                <w:szCs w:val="24"/>
                <w:lang w:val="en-US" w:eastAsia="zh-CN"/>
              </w:rPr>
              <w:t>施工期扬尘排放标准</w:t>
            </w:r>
          </w:p>
          <w:tbl>
            <w:tblPr>
              <w:tblStyle w:val="31"/>
              <w:tblW w:w="80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3165"/>
              <w:gridCol w:w="1515"/>
              <w:gridCol w:w="1515"/>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noWrap w:val="0"/>
                  <w:vAlign w:val="center"/>
                </w:tcPr>
                <w:p>
                  <w:pPr>
                    <w:pStyle w:val="73"/>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b/>
                      <w:bCs/>
                      <w:sz w:val="24"/>
                      <w:szCs w:val="24"/>
                      <w:vertAlign w:val="baseline"/>
                      <w:lang w:eastAsia="zh-CN"/>
                    </w:rPr>
                    <w:t>监测项目</w:t>
                  </w:r>
                </w:p>
              </w:tc>
              <w:tc>
                <w:tcPr>
                  <w:tcW w:w="3165" w:type="dxa"/>
                  <w:noWrap w:val="0"/>
                  <w:vAlign w:val="center"/>
                </w:tcPr>
                <w:p>
                  <w:pPr>
                    <w:pStyle w:val="73"/>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b/>
                      <w:bCs/>
                      <w:sz w:val="24"/>
                      <w:szCs w:val="24"/>
                      <w:vertAlign w:val="baseline"/>
                      <w:lang w:eastAsia="zh-CN"/>
                    </w:rPr>
                    <w:t>区域</w:t>
                  </w:r>
                </w:p>
              </w:tc>
              <w:tc>
                <w:tcPr>
                  <w:tcW w:w="1515" w:type="dxa"/>
                  <w:noWrap w:val="0"/>
                  <w:vAlign w:val="center"/>
                </w:tcPr>
                <w:p>
                  <w:pPr>
                    <w:pStyle w:val="73"/>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b/>
                      <w:bCs/>
                      <w:sz w:val="24"/>
                      <w:szCs w:val="24"/>
                      <w:vertAlign w:val="baseline"/>
                      <w:lang w:eastAsia="zh-CN"/>
                    </w:rPr>
                    <w:t>施工阶段</w:t>
                  </w:r>
                </w:p>
              </w:tc>
              <w:tc>
                <w:tcPr>
                  <w:tcW w:w="1515" w:type="dxa"/>
                  <w:noWrap w:val="0"/>
                  <w:vAlign w:val="center"/>
                </w:tcPr>
                <w:p>
                  <w:pPr>
                    <w:pStyle w:val="73"/>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b/>
                      <w:bCs/>
                      <w:sz w:val="24"/>
                      <w:szCs w:val="24"/>
                      <w:vertAlign w:val="baseline"/>
                      <w:lang w:eastAsia="zh-CN"/>
                    </w:rPr>
                    <w:t>监测点排放限值（</w:t>
                  </w:r>
                  <w:r>
                    <w:rPr>
                      <w:rFonts w:hint="default" w:ascii="Times New Roman" w:hAnsi="Times New Roman" w:eastAsia="宋体" w:cs="Times New Roman"/>
                      <w:b/>
                      <w:bCs/>
                      <w:sz w:val="24"/>
                      <w:szCs w:val="24"/>
                      <w:vertAlign w:val="baseline"/>
                      <w:lang w:eastAsia="zh-CN"/>
                    </w:rPr>
                    <w:t>μ</w:t>
                  </w:r>
                  <w:r>
                    <w:rPr>
                      <w:rFonts w:hint="default" w:ascii="Times New Roman" w:hAnsi="Times New Roman" w:cs="Times New Roman"/>
                      <w:b/>
                      <w:bCs/>
                      <w:sz w:val="24"/>
                      <w:szCs w:val="24"/>
                      <w:vertAlign w:val="baseline"/>
                      <w:lang w:val="en-US" w:eastAsia="zh-CN"/>
                    </w:rPr>
                    <w:t>g/m</w:t>
                  </w:r>
                  <w:r>
                    <w:rPr>
                      <w:rFonts w:hint="default" w:ascii="Times New Roman" w:hAnsi="Times New Roman" w:cs="Times New Roman"/>
                      <w:b/>
                      <w:bCs/>
                      <w:sz w:val="24"/>
                      <w:szCs w:val="24"/>
                      <w:vertAlign w:val="superscript"/>
                      <w:lang w:val="en-US" w:eastAsia="zh-CN"/>
                    </w:rPr>
                    <w:t>3</w:t>
                  </w:r>
                  <w:r>
                    <w:rPr>
                      <w:rFonts w:hint="default" w:ascii="Times New Roman" w:hAnsi="Times New Roman" w:cs="Times New Roman"/>
                      <w:b/>
                      <w:bCs/>
                      <w:sz w:val="24"/>
                      <w:szCs w:val="24"/>
                      <w:vertAlign w:val="baseline"/>
                      <w:lang w:val="en-US" w:eastAsia="zh-CN"/>
                    </w:rPr>
                    <w:t>）</w:t>
                  </w:r>
                </w:p>
              </w:tc>
              <w:tc>
                <w:tcPr>
                  <w:tcW w:w="737" w:type="dxa"/>
                  <w:noWrap w:val="0"/>
                  <w:vAlign w:val="center"/>
                </w:tcPr>
                <w:p>
                  <w:pPr>
                    <w:pStyle w:val="73"/>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b/>
                      <w:bCs/>
                      <w:sz w:val="24"/>
                      <w:szCs w:val="24"/>
                      <w:vertAlign w:val="baseline"/>
                      <w:lang w:eastAsia="zh-CN"/>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vMerge w:val="restart"/>
                  <w:noWrap w:val="0"/>
                  <w:vAlign w:val="center"/>
                </w:tcPr>
                <w:p>
                  <w:pPr>
                    <w:pStyle w:val="73"/>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eastAsia="zh-CN"/>
                    </w:rPr>
                    <w:t>总悬浮颗粒物（</w:t>
                  </w:r>
                  <w:r>
                    <w:rPr>
                      <w:rFonts w:hint="default" w:ascii="Times New Roman" w:hAnsi="Times New Roman" w:cs="Times New Roman"/>
                      <w:sz w:val="24"/>
                      <w:szCs w:val="24"/>
                      <w:vertAlign w:val="baseline"/>
                      <w:lang w:val="en-US" w:eastAsia="zh-CN"/>
                    </w:rPr>
                    <w:t>TSP）</w:t>
                  </w:r>
                </w:p>
              </w:tc>
              <w:tc>
                <w:tcPr>
                  <w:tcW w:w="3165" w:type="dxa"/>
                  <w:vMerge w:val="restart"/>
                  <w:noWrap w:val="0"/>
                  <w:vAlign w:val="center"/>
                </w:tcPr>
                <w:p>
                  <w:pPr>
                    <w:pStyle w:val="73"/>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eastAsia="zh-CN"/>
                    </w:rPr>
                    <w:t>成都市、自贡市、泸州市、德阳市、绵阳市、广元市、遂宁市、内江市、乐山市、南充市、宜宾市、广安市、达州市、巴中市、</w:t>
                  </w:r>
                  <w:r>
                    <w:rPr>
                      <w:rFonts w:hint="default" w:ascii="Times New Roman" w:hAnsi="Times New Roman" w:cs="Times New Roman"/>
                      <w:b/>
                      <w:bCs/>
                      <w:sz w:val="24"/>
                      <w:szCs w:val="24"/>
                      <w:vertAlign w:val="baseline"/>
                      <w:lang w:eastAsia="zh-CN"/>
                    </w:rPr>
                    <w:t>雅安市</w:t>
                  </w:r>
                  <w:r>
                    <w:rPr>
                      <w:rFonts w:hint="default" w:ascii="Times New Roman" w:hAnsi="Times New Roman" w:cs="Times New Roman"/>
                      <w:sz w:val="24"/>
                      <w:szCs w:val="24"/>
                      <w:vertAlign w:val="baseline"/>
                      <w:lang w:eastAsia="zh-CN"/>
                    </w:rPr>
                    <w:t>、</w:t>
                  </w:r>
                  <w:r>
                    <w:rPr>
                      <w:rFonts w:hint="default" w:ascii="Times New Roman" w:hAnsi="Times New Roman" w:cs="Times New Roman"/>
                      <w:b w:val="0"/>
                      <w:bCs w:val="0"/>
                      <w:sz w:val="24"/>
                      <w:szCs w:val="24"/>
                      <w:vertAlign w:val="baseline"/>
                      <w:lang w:eastAsia="zh-CN"/>
                    </w:rPr>
                    <w:t>眉山市</w:t>
                  </w:r>
                  <w:r>
                    <w:rPr>
                      <w:rFonts w:hint="default" w:ascii="Times New Roman" w:hAnsi="Times New Roman" w:cs="Times New Roman"/>
                      <w:sz w:val="24"/>
                      <w:szCs w:val="24"/>
                      <w:vertAlign w:val="baseline"/>
                      <w:lang w:eastAsia="zh-CN"/>
                    </w:rPr>
                    <w:t>、资阳市</w:t>
                  </w:r>
                </w:p>
              </w:tc>
              <w:tc>
                <w:tcPr>
                  <w:tcW w:w="1515" w:type="dxa"/>
                  <w:noWrap w:val="0"/>
                  <w:vAlign w:val="center"/>
                </w:tcPr>
                <w:p>
                  <w:pPr>
                    <w:pStyle w:val="73"/>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eastAsia="zh-CN"/>
                    </w:rPr>
                    <w:t>拆除工程</w:t>
                  </w:r>
                  <w:r>
                    <w:rPr>
                      <w:rFonts w:hint="default" w:ascii="Times New Roman" w:hAnsi="Times New Roman" w:cs="Times New Roman"/>
                      <w:sz w:val="24"/>
                      <w:szCs w:val="24"/>
                      <w:vertAlign w:val="baseline"/>
                      <w:lang w:val="en-US" w:eastAsia="zh-CN"/>
                    </w:rPr>
                    <w:t>/土方开挖/土方回填阶段</w:t>
                  </w:r>
                </w:p>
              </w:tc>
              <w:tc>
                <w:tcPr>
                  <w:tcW w:w="1515" w:type="dxa"/>
                  <w:noWrap w:val="0"/>
                  <w:vAlign w:val="center"/>
                </w:tcPr>
                <w:p>
                  <w:pPr>
                    <w:pStyle w:val="73"/>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600</w:t>
                  </w:r>
                </w:p>
              </w:tc>
              <w:tc>
                <w:tcPr>
                  <w:tcW w:w="737" w:type="dxa"/>
                  <w:vMerge w:val="restart"/>
                  <w:noWrap w:val="0"/>
                  <w:vAlign w:val="center"/>
                </w:tcPr>
                <w:p>
                  <w:pPr>
                    <w:pStyle w:val="73"/>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eastAsia="zh-CN"/>
                    </w:rPr>
                    <w:t>自监测起持续</w:t>
                  </w:r>
                  <w:r>
                    <w:rPr>
                      <w:rFonts w:hint="default" w:ascii="Times New Roman" w:hAnsi="Times New Roman" w:cs="Times New Roman"/>
                      <w:sz w:val="24"/>
                      <w:szCs w:val="24"/>
                      <w:vertAlign w:val="baseline"/>
                      <w:lang w:val="en-US" w:eastAsia="zh-CN"/>
                    </w:rPr>
                    <w:t>15分钟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vMerge w:val="continue"/>
                  <w:noWrap w:val="0"/>
                  <w:vAlign w:val="center"/>
                </w:tcPr>
                <w:p>
                  <w:pPr>
                    <w:pStyle w:val="73"/>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sz w:val="24"/>
                      <w:szCs w:val="24"/>
                      <w:vertAlign w:val="baseline"/>
                      <w:lang w:val="en-US" w:eastAsia="zh-CN"/>
                    </w:rPr>
                  </w:pPr>
                </w:p>
              </w:tc>
              <w:tc>
                <w:tcPr>
                  <w:tcW w:w="3165" w:type="dxa"/>
                  <w:vMerge w:val="continue"/>
                  <w:noWrap w:val="0"/>
                  <w:vAlign w:val="center"/>
                </w:tcPr>
                <w:p>
                  <w:pPr>
                    <w:pStyle w:val="73"/>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sz w:val="24"/>
                      <w:szCs w:val="24"/>
                      <w:vertAlign w:val="baseline"/>
                      <w:lang w:val="en-US" w:eastAsia="zh-CN"/>
                    </w:rPr>
                  </w:pPr>
                </w:p>
              </w:tc>
              <w:tc>
                <w:tcPr>
                  <w:tcW w:w="1515" w:type="dxa"/>
                  <w:noWrap w:val="0"/>
                  <w:vAlign w:val="center"/>
                </w:tcPr>
                <w:p>
                  <w:pPr>
                    <w:pStyle w:val="73"/>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eastAsia="zh-CN"/>
                    </w:rPr>
                    <w:t>其他工程阶段</w:t>
                  </w:r>
                </w:p>
              </w:tc>
              <w:tc>
                <w:tcPr>
                  <w:tcW w:w="1515" w:type="dxa"/>
                  <w:noWrap w:val="0"/>
                  <w:vAlign w:val="center"/>
                </w:tcPr>
                <w:p>
                  <w:pPr>
                    <w:pStyle w:val="73"/>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250</w:t>
                  </w:r>
                </w:p>
              </w:tc>
              <w:tc>
                <w:tcPr>
                  <w:tcW w:w="737" w:type="dxa"/>
                  <w:vMerge w:val="continue"/>
                  <w:noWrap w:val="0"/>
                  <w:vAlign w:val="top"/>
                </w:tcPr>
                <w:p>
                  <w:pPr>
                    <w:pStyle w:val="28"/>
                    <w:rPr>
                      <w:rFonts w:hint="default" w:ascii="Times New Roman" w:hAnsi="Times New Roman" w:cs="Times New Roman"/>
                      <w:sz w:val="24"/>
                      <w:szCs w:val="24"/>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kern w:val="2"/>
                <w:sz w:val="24"/>
                <w:szCs w:val="24"/>
                <w:shd w:val="clear" w:color="auto" w:fill="FFFFFF"/>
                <w:lang w:val="en-US" w:eastAsia="zh-CN" w:bidi="ar-SA"/>
              </w:rPr>
            </w:pPr>
            <w:r>
              <w:rPr>
                <w:rFonts w:hint="default" w:ascii="Times New Roman" w:hAnsi="Times New Roman" w:eastAsia="宋体" w:cs="Times New Roman"/>
                <w:b/>
                <w:color w:val="auto"/>
                <w:spacing w:val="-10"/>
                <w:sz w:val="24"/>
                <w:szCs w:val="24"/>
              </w:rPr>
              <w:t>表</w:t>
            </w:r>
            <w:r>
              <w:rPr>
                <w:rFonts w:hint="default" w:ascii="Times New Roman" w:hAnsi="Times New Roman" w:eastAsia="宋体" w:cs="Times New Roman"/>
                <w:b/>
                <w:color w:val="auto"/>
                <w:spacing w:val="-10"/>
                <w:sz w:val="24"/>
                <w:szCs w:val="24"/>
                <w:lang w:val="en-US" w:eastAsia="zh-CN"/>
              </w:rPr>
              <w:t>3-</w:t>
            </w:r>
            <w:r>
              <w:rPr>
                <w:rFonts w:hint="eastAsia" w:ascii="Times New Roman" w:hAnsi="Times New Roman" w:eastAsia="宋体" w:cs="Times New Roman"/>
                <w:b/>
                <w:color w:val="auto"/>
                <w:spacing w:val="-10"/>
                <w:sz w:val="24"/>
                <w:szCs w:val="24"/>
                <w:lang w:val="en-US" w:eastAsia="zh-CN"/>
              </w:rPr>
              <w:t>18</w:t>
            </w:r>
            <w:r>
              <w:rPr>
                <w:rFonts w:hint="default" w:ascii="Times New Roman" w:hAnsi="Times New Roman" w:eastAsia="宋体" w:cs="Times New Roman"/>
                <w:b/>
                <w:color w:val="auto"/>
                <w:spacing w:val="-10"/>
                <w:sz w:val="24"/>
                <w:szCs w:val="24"/>
              </w:rPr>
              <w:t xml:space="preserve"> </w:t>
            </w:r>
            <w:r>
              <w:rPr>
                <w:rFonts w:hint="default" w:ascii="Times New Roman" w:hAnsi="Times New Roman" w:eastAsia="宋体" w:cs="Times New Roman"/>
                <w:b/>
                <w:bCs/>
                <w:color w:val="auto"/>
                <w:sz w:val="24"/>
                <w:szCs w:val="24"/>
                <w:lang w:eastAsia="zh-CN"/>
              </w:rPr>
              <w:t>大气污染物</w:t>
            </w:r>
            <w:r>
              <w:rPr>
                <w:rFonts w:hint="default" w:ascii="Times New Roman" w:hAnsi="Times New Roman" w:cs="Times New Roman"/>
                <w:b/>
                <w:bCs/>
                <w:color w:val="auto"/>
                <w:sz w:val="24"/>
                <w:szCs w:val="24"/>
                <w:lang w:eastAsia="zh-CN"/>
              </w:rPr>
              <w:t>综合</w:t>
            </w:r>
            <w:r>
              <w:rPr>
                <w:rFonts w:hint="default" w:ascii="Times New Roman" w:hAnsi="Times New Roman" w:eastAsia="宋体" w:cs="Times New Roman"/>
                <w:b/>
                <w:bCs/>
                <w:color w:val="auto"/>
                <w:sz w:val="24"/>
                <w:szCs w:val="24"/>
                <w:lang w:eastAsia="zh-CN"/>
              </w:rPr>
              <w:t>排放标准</w:t>
            </w:r>
            <w:r>
              <w:rPr>
                <w:rFonts w:hint="default" w:ascii="Times New Roman" w:hAnsi="Times New Roman" w:cs="Times New Roman"/>
                <w:b/>
                <w:bCs/>
                <w:color w:val="auto"/>
                <w:sz w:val="24"/>
                <w:szCs w:val="24"/>
                <w:lang w:val="en-US" w:eastAsia="zh-CN"/>
              </w:rPr>
              <w:t xml:space="preserve">  </w:t>
            </w:r>
            <w:r>
              <w:rPr>
                <w:rFonts w:hint="default" w:ascii="Times New Roman" w:hAnsi="Times New Roman" w:cs="Times New Roman"/>
                <w:b/>
                <w:bCs/>
                <w:color w:val="auto"/>
                <w:kern w:val="2"/>
                <w:sz w:val="24"/>
                <w:szCs w:val="24"/>
                <w:shd w:val="clear" w:color="auto" w:fill="FFFFFF"/>
                <w:lang w:val="en-US" w:eastAsia="zh-CN" w:bidi="ar-SA"/>
              </w:rPr>
              <w:t>单位：mg/m</w:t>
            </w:r>
            <w:r>
              <w:rPr>
                <w:rFonts w:hint="default" w:ascii="Times New Roman" w:hAnsi="Times New Roman" w:cs="Times New Roman"/>
                <w:b/>
                <w:bCs/>
                <w:color w:val="auto"/>
                <w:kern w:val="2"/>
                <w:sz w:val="24"/>
                <w:szCs w:val="24"/>
                <w:shd w:val="clear" w:color="auto" w:fill="FFFFFF"/>
                <w:vertAlign w:val="superscript"/>
                <w:lang w:val="en-US" w:eastAsia="zh-CN" w:bidi="ar-SA"/>
              </w:rPr>
              <w:t>3</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2544"/>
              <w:gridCol w:w="2542"/>
              <w:gridCol w:w="2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41" w:type="pct"/>
                  <w:vMerge w:val="restart"/>
                  <w:noWrap w:val="0"/>
                  <w:vAlign w:val="center"/>
                </w:tcPr>
                <w:p>
                  <w:pPr>
                    <w:pStyle w:val="65"/>
                    <w:spacing w:line="240" w:lineRule="auto"/>
                    <w:ind w:left="0" w:leftChars="0" w:firstLine="0" w:firstLineChars="0"/>
                    <w:jc w:val="center"/>
                    <w:rPr>
                      <w:rFonts w:hint="default" w:ascii="Times New Roman" w:hAnsi="Times New Roman" w:cs="Times New Roman"/>
                      <w:b/>
                      <w:bCs/>
                      <w:color w:val="auto"/>
                      <w:sz w:val="24"/>
                      <w:szCs w:val="24"/>
                      <w:highlight w:val="none"/>
                      <w:vertAlign w:val="baseline"/>
                      <w:lang w:val="en-US" w:eastAsia="zh-CN"/>
                    </w:rPr>
                  </w:pPr>
                  <w:r>
                    <w:rPr>
                      <w:rFonts w:hint="default" w:ascii="Times New Roman" w:hAnsi="Times New Roman" w:cs="Times New Roman"/>
                      <w:b/>
                      <w:bCs/>
                      <w:color w:val="auto"/>
                      <w:sz w:val="24"/>
                      <w:szCs w:val="24"/>
                      <w:highlight w:val="none"/>
                      <w:vertAlign w:val="baseline"/>
                      <w:lang w:val="en-US" w:eastAsia="zh-CN"/>
                    </w:rPr>
                    <w:t>污染物</w:t>
                  </w:r>
                </w:p>
              </w:tc>
              <w:tc>
                <w:tcPr>
                  <w:tcW w:w="1475" w:type="pct"/>
                  <w:vMerge w:val="restart"/>
                  <w:noWrap w:val="0"/>
                  <w:vAlign w:val="center"/>
                </w:tcPr>
                <w:p>
                  <w:pPr>
                    <w:pStyle w:val="65"/>
                    <w:spacing w:line="240" w:lineRule="auto"/>
                    <w:ind w:left="0" w:leftChars="0" w:firstLine="0" w:firstLineChars="0"/>
                    <w:jc w:val="center"/>
                    <w:rPr>
                      <w:rFonts w:hint="default" w:ascii="Times New Roman" w:hAnsi="Times New Roman" w:cs="Times New Roman"/>
                      <w:b/>
                      <w:bCs/>
                      <w:color w:val="auto"/>
                      <w:sz w:val="24"/>
                      <w:szCs w:val="24"/>
                      <w:highlight w:val="none"/>
                      <w:vertAlign w:val="baseline"/>
                      <w:lang w:val="en-US" w:eastAsia="zh-CN"/>
                    </w:rPr>
                  </w:pPr>
                  <w:r>
                    <w:rPr>
                      <w:rFonts w:hint="default" w:ascii="Times New Roman" w:hAnsi="Times New Roman" w:cs="Times New Roman"/>
                      <w:b/>
                      <w:bCs/>
                      <w:color w:val="auto"/>
                      <w:sz w:val="24"/>
                      <w:szCs w:val="24"/>
                      <w:highlight w:val="none"/>
                      <w:vertAlign w:val="baseline"/>
                      <w:lang w:val="en-US" w:eastAsia="zh-CN"/>
                    </w:rPr>
                    <w:t>最高允许排放浓度</w:t>
                  </w:r>
                </w:p>
              </w:tc>
              <w:tc>
                <w:tcPr>
                  <w:tcW w:w="2683" w:type="pct"/>
                  <w:gridSpan w:val="2"/>
                  <w:noWrap w:val="0"/>
                  <w:vAlign w:val="center"/>
                </w:tcPr>
                <w:p>
                  <w:pPr>
                    <w:pStyle w:val="65"/>
                    <w:spacing w:line="240" w:lineRule="auto"/>
                    <w:ind w:left="0" w:leftChars="0" w:firstLine="241" w:firstLineChars="100"/>
                    <w:jc w:val="center"/>
                    <w:rPr>
                      <w:rFonts w:hint="default" w:ascii="Times New Roman" w:hAnsi="Times New Roman" w:cs="Times New Roman"/>
                      <w:b/>
                      <w:bCs/>
                      <w:color w:val="auto"/>
                      <w:sz w:val="24"/>
                      <w:szCs w:val="24"/>
                      <w:highlight w:val="none"/>
                      <w:vertAlign w:val="baseline"/>
                      <w:lang w:val="en-US" w:eastAsia="zh-CN"/>
                    </w:rPr>
                  </w:pPr>
                  <w:r>
                    <w:rPr>
                      <w:rFonts w:hint="default" w:ascii="Times New Roman" w:hAnsi="Times New Roman" w:cs="Times New Roman"/>
                      <w:b/>
                      <w:bCs/>
                      <w:color w:val="auto"/>
                      <w:sz w:val="24"/>
                      <w:szCs w:val="24"/>
                      <w:highlight w:val="none"/>
                      <w:vertAlign w:val="baseline"/>
                      <w:lang w:val="en-US" w:eastAsia="zh-CN"/>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pct"/>
                  <w:vMerge w:val="continue"/>
                  <w:noWrap w:val="0"/>
                  <w:vAlign w:val="center"/>
                </w:tcPr>
                <w:p>
                  <w:pPr>
                    <w:pStyle w:val="65"/>
                    <w:spacing w:line="240" w:lineRule="auto"/>
                    <w:ind w:left="0" w:leftChars="0" w:firstLine="0" w:firstLineChars="0"/>
                    <w:jc w:val="center"/>
                    <w:rPr>
                      <w:rFonts w:hint="default" w:ascii="Times New Roman" w:hAnsi="Times New Roman" w:cs="Times New Roman"/>
                      <w:b/>
                      <w:bCs/>
                      <w:color w:val="auto"/>
                      <w:sz w:val="24"/>
                      <w:szCs w:val="24"/>
                      <w:highlight w:val="none"/>
                      <w:vertAlign w:val="baseline"/>
                      <w:lang w:val="en-US" w:eastAsia="zh-CN"/>
                    </w:rPr>
                  </w:pPr>
                </w:p>
              </w:tc>
              <w:tc>
                <w:tcPr>
                  <w:tcW w:w="1475" w:type="pct"/>
                  <w:vMerge w:val="continue"/>
                  <w:noWrap w:val="0"/>
                  <w:vAlign w:val="center"/>
                </w:tcPr>
                <w:p>
                  <w:pPr>
                    <w:pStyle w:val="65"/>
                    <w:spacing w:line="240" w:lineRule="auto"/>
                    <w:ind w:left="0" w:leftChars="0" w:firstLine="0" w:firstLineChars="0"/>
                    <w:jc w:val="center"/>
                    <w:rPr>
                      <w:rFonts w:hint="default" w:ascii="Times New Roman" w:hAnsi="Times New Roman" w:cs="Times New Roman"/>
                      <w:b/>
                      <w:bCs/>
                      <w:color w:val="auto"/>
                      <w:sz w:val="24"/>
                      <w:szCs w:val="24"/>
                      <w:highlight w:val="none"/>
                      <w:vertAlign w:val="baseline"/>
                      <w:lang w:val="en-US" w:eastAsia="zh-CN"/>
                    </w:rPr>
                  </w:pPr>
                </w:p>
              </w:tc>
              <w:tc>
                <w:tcPr>
                  <w:tcW w:w="1474" w:type="pct"/>
                  <w:noWrap w:val="0"/>
                  <w:vAlign w:val="center"/>
                </w:tcPr>
                <w:p>
                  <w:pPr>
                    <w:pStyle w:val="65"/>
                    <w:spacing w:line="240" w:lineRule="auto"/>
                    <w:ind w:left="0" w:leftChars="0" w:firstLine="0" w:firstLineChars="0"/>
                    <w:jc w:val="center"/>
                    <w:rPr>
                      <w:rFonts w:hint="default" w:ascii="Times New Roman" w:hAnsi="Times New Roman" w:cs="Times New Roman"/>
                      <w:b/>
                      <w:bCs/>
                      <w:color w:val="auto"/>
                      <w:sz w:val="24"/>
                      <w:szCs w:val="24"/>
                      <w:highlight w:val="none"/>
                      <w:vertAlign w:val="baseline"/>
                      <w:lang w:val="en-US" w:eastAsia="zh-CN"/>
                    </w:rPr>
                  </w:pPr>
                  <w:r>
                    <w:rPr>
                      <w:rFonts w:hint="default" w:ascii="Times New Roman" w:hAnsi="Times New Roman" w:cs="Times New Roman"/>
                      <w:b/>
                      <w:bCs/>
                      <w:color w:val="auto"/>
                      <w:sz w:val="24"/>
                      <w:szCs w:val="24"/>
                      <w:highlight w:val="none"/>
                      <w:vertAlign w:val="baseline"/>
                      <w:lang w:val="en-US" w:eastAsia="zh-CN"/>
                    </w:rPr>
                    <w:t>监控点</w:t>
                  </w:r>
                </w:p>
              </w:tc>
              <w:tc>
                <w:tcPr>
                  <w:tcW w:w="1208" w:type="pct"/>
                  <w:noWrap w:val="0"/>
                  <w:vAlign w:val="center"/>
                </w:tcPr>
                <w:p>
                  <w:pPr>
                    <w:pStyle w:val="65"/>
                    <w:spacing w:line="240" w:lineRule="auto"/>
                    <w:ind w:left="0" w:leftChars="0" w:firstLine="0" w:firstLineChars="0"/>
                    <w:jc w:val="center"/>
                    <w:rPr>
                      <w:rFonts w:hint="default" w:ascii="Times New Roman" w:hAnsi="Times New Roman" w:cs="Times New Roman"/>
                      <w:b/>
                      <w:bCs/>
                      <w:color w:val="auto"/>
                      <w:sz w:val="24"/>
                      <w:szCs w:val="24"/>
                      <w:highlight w:val="none"/>
                      <w:vertAlign w:val="baseline"/>
                      <w:lang w:val="en-US" w:eastAsia="zh-CN"/>
                    </w:rPr>
                  </w:pPr>
                  <w:r>
                    <w:rPr>
                      <w:rFonts w:hint="default" w:ascii="Times New Roman" w:hAnsi="Times New Roman" w:cs="Times New Roman"/>
                      <w:b/>
                      <w:bCs/>
                      <w:color w:val="auto"/>
                      <w:sz w:val="24"/>
                      <w:szCs w:val="24"/>
                      <w:highlight w:val="none"/>
                      <w:vertAlign w:val="baseline"/>
                      <w:lang w:val="en-US" w:eastAsia="zh-CN"/>
                    </w:rPr>
                    <w:t>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841" w:type="pct"/>
                  <w:noWrap w:val="0"/>
                  <w:vAlign w:val="center"/>
                </w:tcPr>
                <w:p>
                  <w:pPr>
                    <w:pStyle w:val="65"/>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颗粒物</w:t>
                  </w:r>
                </w:p>
              </w:tc>
              <w:tc>
                <w:tcPr>
                  <w:tcW w:w="1475" w:type="pct"/>
                  <w:noWrap w:val="0"/>
                  <w:vAlign w:val="center"/>
                </w:tcPr>
                <w:p>
                  <w:pPr>
                    <w:pStyle w:val="65"/>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120</w:t>
                  </w:r>
                </w:p>
              </w:tc>
              <w:tc>
                <w:tcPr>
                  <w:tcW w:w="1474" w:type="pct"/>
                  <w:noWrap w:val="0"/>
                  <w:vAlign w:val="center"/>
                </w:tcPr>
                <w:p>
                  <w:pPr>
                    <w:pStyle w:val="65"/>
                    <w:spacing w:line="240" w:lineRule="auto"/>
                    <w:ind w:left="0" w:leftChars="0" w:firstLine="0" w:firstLineChars="0"/>
                    <w:jc w:val="center"/>
                    <w:rPr>
                      <w:rFonts w:hint="default" w:ascii="Times New Roman" w:hAnsi="Times New Roman" w:cs="Times New Roman"/>
                      <w:b w:val="0"/>
                      <w:bCs/>
                      <w:color w:val="auto"/>
                      <w:sz w:val="24"/>
                      <w:szCs w:val="24"/>
                      <w:highlight w:val="none"/>
                      <w:vertAlign w:val="baseline"/>
                      <w:lang w:val="en-US" w:eastAsia="zh-CN"/>
                    </w:rPr>
                  </w:pPr>
                  <w:r>
                    <w:rPr>
                      <w:rFonts w:hint="default" w:ascii="Times New Roman" w:hAnsi="Times New Roman" w:cs="Times New Roman"/>
                      <w:b w:val="0"/>
                      <w:bCs/>
                      <w:color w:val="auto"/>
                      <w:sz w:val="24"/>
                      <w:szCs w:val="24"/>
                      <w:highlight w:val="none"/>
                      <w:vertAlign w:val="baseline"/>
                      <w:lang w:val="en-US" w:eastAsia="zh-CN"/>
                    </w:rPr>
                    <w:t>周界外浓度最高点</w:t>
                  </w:r>
                </w:p>
              </w:tc>
              <w:tc>
                <w:tcPr>
                  <w:tcW w:w="1208" w:type="pct"/>
                  <w:noWrap w:val="0"/>
                  <w:vAlign w:val="center"/>
                </w:tcPr>
                <w:p>
                  <w:pPr>
                    <w:pStyle w:val="65"/>
                    <w:spacing w:line="240" w:lineRule="auto"/>
                    <w:ind w:firstLine="960" w:firstLineChars="400"/>
                    <w:jc w:val="left"/>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1.0</w:t>
                  </w:r>
                </w:p>
              </w:tc>
            </w:tr>
          </w:tbl>
          <w:p>
            <w:pPr>
              <w:spacing w:line="360" w:lineRule="auto"/>
              <w:ind w:firstLine="480" w:firstLineChars="200"/>
              <w:rPr>
                <w:rFonts w:hint="default" w:ascii="Times New Roman" w:hAnsi="Times New Roman" w:cs="Times New Roman"/>
                <w:b w:val="0"/>
                <w:bCs w:val="0"/>
                <w:color w:val="auto"/>
                <w:spacing w:val="-10"/>
                <w:sz w:val="24"/>
                <w:szCs w:val="24"/>
                <w:lang w:val="en-US" w:eastAsia="zh-CN"/>
              </w:rPr>
            </w:pPr>
            <w:r>
              <w:rPr>
                <w:rFonts w:hint="default" w:ascii="Times New Roman" w:hAnsi="Times New Roman" w:eastAsia="宋体" w:cs="Times New Roman"/>
                <w:color w:val="auto"/>
                <w:sz w:val="24"/>
                <w:szCs w:val="24"/>
                <w:lang w:val="en-US" w:eastAsia="zh-CN"/>
              </w:rPr>
              <w:t>项目不设置淤泥临时堆放场地，清淤工程区域臭气浓度执行《恶臭污染物排放标准》（GB14554-93）表 1，具体详见下表。</w:t>
            </w:r>
            <w:r>
              <w:rPr>
                <w:rFonts w:hint="default" w:ascii="Times New Roman" w:hAnsi="Times New Roman" w:cs="Times New Roman"/>
                <w:b w:val="0"/>
                <w:bCs w:val="0"/>
                <w:color w:val="auto"/>
                <w:spacing w:val="-1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pacing w:val="-10"/>
                <w:sz w:val="24"/>
                <w:szCs w:val="24"/>
                <w:lang w:val="en-US" w:eastAsia="zh-CN"/>
              </w:rPr>
            </w:pPr>
            <w:r>
              <w:rPr>
                <w:rFonts w:hint="default" w:ascii="Times New Roman" w:hAnsi="Times New Roman" w:eastAsia="宋体" w:cs="Times New Roman"/>
                <w:b/>
                <w:color w:val="auto"/>
                <w:spacing w:val="-10"/>
                <w:sz w:val="24"/>
                <w:szCs w:val="24"/>
                <w:lang w:val="en-US" w:eastAsia="zh-CN"/>
              </w:rPr>
              <w:t>表 3-1</w:t>
            </w:r>
            <w:r>
              <w:rPr>
                <w:rFonts w:hint="eastAsia" w:ascii="Times New Roman" w:hAnsi="Times New Roman" w:eastAsia="宋体" w:cs="Times New Roman"/>
                <w:b/>
                <w:color w:val="auto"/>
                <w:spacing w:val="-10"/>
                <w:sz w:val="24"/>
                <w:szCs w:val="24"/>
                <w:lang w:val="en-US" w:eastAsia="zh-CN"/>
              </w:rPr>
              <w:t>9</w:t>
            </w:r>
            <w:r>
              <w:rPr>
                <w:rFonts w:hint="default" w:ascii="Times New Roman" w:hAnsi="Times New Roman" w:eastAsia="宋体" w:cs="Times New Roman"/>
                <w:b/>
                <w:color w:val="auto"/>
                <w:spacing w:val="-10"/>
                <w:sz w:val="24"/>
                <w:szCs w:val="24"/>
                <w:lang w:val="en-US" w:eastAsia="zh-CN"/>
              </w:rPr>
              <w:t xml:space="preserve"> 臭气浓度周界环境空气浓度限值 </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2158"/>
              <w:gridCol w:w="2159"/>
              <w:gridCol w:w="2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1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4"/>
                      <w:szCs w:val="24"/>
                      <w:highlight w:val="none"/>
                      <w:vertAlign w:val="baseline"/>
                      <w:lang w:val="en-US" w:eastAsia="zh-CN" w:bidi="ar-SA"/>
                    </w:rPr>
                  </w:pPr>
                  <w:r>
                    <w:rPr>
                      <w:rFonts w:hint="eastAsia" w:ascii="Times New Roman" w:hAnsi="Times New Roman" w:eastAsia="宋体" w:cs="Times New Roman"/>
                      <w:b/>
                      <w:bCs/>
                      <w:color w:val="auto"/>
                      <w:kern w:val="2"/>
                      <w:sz w:val="24"/>
                      <w:szCs w:val="24"/>
                      <w:highlight w:val="none"/>
                      <w:vertAlign w:val="baseline"/>
                      <w:lang w:val="en-US" w:eastAsia="zh-CN" w:bidi="ar-SA"/>
                    </w:rPr>
                    <w:t>控制项目</w:t>
                  </w:r>
                </w:p>
              </w:tc>
              <w:tc>
                <w:tcPr>
                  <w:tcW w:w="21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4"/>
                      <w:szCs w:val="24"/>
                      <w:highlight w:val="none"/>
                      <w:vertAlign w:val="baseline"/>
                      <w:lang w:val="en-US" w:eastAsia="zh-CN" w:bidi="ar-SA"/>
                    </w:rPr>
                  </w:pPr>
                  <w:r>
                    <w:rPr>
                      <w:rFonts w:hint="eastAsia" w:ascii="Times New Roman" w:hAnsi="Times New Roman" w:eastAsia="宋体" w:cs="Times New Roman"/>
                      <w:b/>
                      <w:bCs/>
                      <w:color w:val="auto"/>
                      <w:kern w:val="2"/>
                      <w:sz w:val="24"/>
                      <w:szCs w:val="24"/>
                      <w:highlight w:val="none"/>
                      <w:vertAlign w:val="baseline"/>
                      <w:lang w:val="en-US" w:eastAsia="zh-CN" w:bidi="ar-SA"/>
                    </w:rPr>
                    <w:t>标准值</w:t>
                  </w:r>
                </w:p>
              </w:tc>
              <w:tc>
                <w:tcPr>
                  <w:tcW w:w="21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4"/>
                      <w:szCs w:val="24"/>
                      <w:highlight w:val="none"/>
                      <w:vertAlign w:val="baseline"/>
                      <w:lang w:val="en-US" w:eastAsia="zh-CN" w:bidi="ar-SA"/>
                    </w:rPr>
                  </w:pPr>
                  <w:r>
                    <w:rPr>
                      <w:rFonts w:hint="eastAsia" w:ascii="Times New Roman" w:hAnsi="Times New Roman" w:eastAsia="宋体" w:cs="Times New Roman"/>
                      <w:b/>
                      <w:bCs/>
                      <w:color w:val="auto"/>
                      <w:kern w:val="2"/>
                      <w:sz w:val="24"/>
                      <w:szCs w:val="24"/>
                      <w:highlight w:val="none"/>
                      <w:vertAlign w:val="baseline"/>
                      <w:lang w:val="en-US" w:eastAsia="zh-CN" w:bidi="ar-SA"/>
                    </w:rPr>
                    <w:t>单位</w:t>
                  </w:r>
                </w:p>
              </w:tc>
              <w:tc>
                <w:tcPr>
                  <w:tcW w:w="21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4"/>
                      <w:szCs w:val="24"/>
                      <w:highlight w:val="none"/>
                      <w:vertAlign w:val="baseline"/>
                      <w:lang w:val="en-US" w:eastAsia="zh-CN" w:bidi="ar-SA"/>
                    </w:rPr>
                  </w:pPr>
                  <w:r>
                    <w:rPr>
                      <w:rFonts w:hint="eastAsia" w:ascii="Times New Roman" w:hAnsi="Times New Roman" w:eastAsia="宋体" w:cs="Times New Roman"/>
                      <w:b/>
                      <w:bCs/>
                      <w:color w:val="auto"/>
                      <w:kern w:val="2"/>
                      <w:sz w:val="24"/>
                      <w:szCs w:val="24"/>
                      <w:highlight w:val="none"/>
                      <w:vertAlign w:val="baseline"/>
                      <w:lang w:val="en-US" w:eastAsia="zh-CN" w:bidi="ar-SA"/>
                    </w:rPr>
                    <w:t>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1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s="Times New Roman"/>
                      <w:color w:val="auto"/>
                      <w:kern w:val="2"/>
                      <w:sz w:val="24"/>
                      <w:szCs w:val="24"/>
                      <w:highlight w:val="none"/>
                      <w:vertAlign w:val="baseline"/>
                      <w:lang w:val="en-US" w:eastAsia="zh-CN" w:bidi="ar-SA"/>
                    </w:rPr>
                    <w:t>臭气浓度</w:t>
                  </w:r>
                </w:p>
              </w:tc>
              <w:tc>
                <w:tcPr>
                  <w:tcW w:w="21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s="Times New Roman"/>
                      <w:color w:val="auto"/>
                      <w:kern w:val="2"/>
                      <w:sz w:val="24"/>
                      <w:szCs w:val="24"/>
                      <w:highlight w:val="none"/>
                      <w:vertAlign w:val="baseline"/>
                      <w:lang w:val="en-US" w:eastAsia="zh-CN" w:bidi="ar-SA"/>
                    </w:rPr>
                    <w:t>20</w:t>
                  </w:r>
                </w:p>
              </w:tc>
              <w:tc>
                <w:tcPr>
                  <w:tcW w:w="21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s="Times New Roman"/>
                      <w:color w:val="auto"/>
                      <w:kern w:val="2"/>
                      <w:sz w:val="24"/>
                      <w:szCs w:val="24"/>
                      <w:highlight w:val="none"/>
                      <w:vertAlign w:val="baseline"/>
                      <w:lang w:val="en-US" w:eastAsia="zh-CN" w:bidi="ar-SA"/>
                    </w:rPr>
                    <w:t>无量纲</w:t>
                  </w:r>
                </w:p>
              </w:tc>
              <w:tc>
                <w:tcPr>
                  <w:tcW w:w="21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s="Times New Roman"/>
                      <w:color w:val="auto"/>
                      <w:kern w:val="2"/>
                      <w:sz w:val="24"/>
                      <w:szCs w:val="24"/>
                      <w:highlight w:val="none"/>
                      <w:vertAlign w:val="baseline"/>
                      <w:lang w:val="en-US" w:eastAsia="zh-CN" w:bidi="ar-SA"/>
                    </w:rPr>
                    <w:t>清淤河道周边</w:t>
                  </w:r>
                </w:p>
              </w:tc>
            </w:tr>
          </w:tbl>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default" w:ascii="Times New Roman" w:hAnsi="Times New Roman" w:cs="Times New Roman"/>
                <w:b w:val="0"/>
                <w:bCs w:val="0"/>
                <w:color w:val="auto"/>
                <w:spacing w:val="-10"/>
                <w:sz w:val="24"/>
                <w:szCs w:val="24"/>
                <w:lang w:eastAsia="zh-CN"/>
              </w:rPr>
            </w:pPr>
            <w:r>
              <w:rPr>
                <w:rFonts w:hint="default" w:ascii="Times New Roman" w:hAnsi="Times New Roman" w:cs="Times New Roman"/>
                <w:b w:val="0"/>
                <w:bCs w:val="0"/>
                <w:color w:val="auto"/>
                <w:spacing w:val="-10"/>
                <w:sz w:val="24"/>
                <w:szCs w:val="24"/>
                <w:lang w:val="en-US" w:eastAsia="zh-CN"/>
              </w:rPr>
              <w:t>（2）</w:t>
            </w:r>
            <w:r>
              <w:rPr>
                <w:rFonts w:hint="default" w:ascii="Times New Roman" w:hAnsi="Times New Roman" w:cs="Times New Roman"/>
                <w:b w:val="0"/>
                <w:bCs w:val="0"/>
                <w:color w:val="auto"/>
                <w:spacing w:val="-10"/>
                <w:sz w:val="24"/>
                <w:szCs w:val="24"/>
                <w:lang w:eastAsia="zh-CN"/>
              </w:rPr>
              <w:t>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施工废水循环利用，不外排</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不设废水排放标准。</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b w:val="0"/>
                <w:bCs w:val="0"/>
                <w:color w:val="auto"/>
                <w:spacing w:val="-10"/>
                <w:sz w:val="24"/>
                <w:szCs w:val="24"/>
                <w:lang w:val="en-US" w:eastAsia="zh-CN"/>
              </w:rPr>
              <w:t>（3）</w:t>
            </w:r>
            <w:r>
              <w:rPr>
                <w:rFonts w:hint="default" w:ascii="Times New Roman" w:hAnsi="Times New Roman" w:cs="Times New Roman"/>
                <w:b w:val="0"/>
                <w:bCs w:val="0"/>
                <w:color w:val="auto"/>
                <w:sz w:val="24"/>
                <w:szCs w:val="24"/>
                <w:lang w:eastAsia="zh-CN"/>
              </w:rPr>
              <w:t>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color w:val="auto"/>
                <w:sz w:val="24"/>
                <w:szCs w:val="24"/>
              </w:rPr>
              <w:t>施工期噪声执行《建筑施工场界环境噪声排放标准》（GB12523-2011）标准；</w:t>
            </w:r>
            <w:r>
              <w:rPr>
                <w:rFonts w:hint="eastAsia" w:ascii="Times New Roman" w:hAnsi="Times New Roman" w:eastAsia="宋体" w:cs="Times New Roman"/>
                <w:color w:val="auto"/>
                <w:sz w:val="24"/>
                <w:szCs w:val="24"/>
                <w:lang w:eastAsia="zh-CN"/>
              </w:rPr>
              <w:t>运营期</w:t>
            </w:r>
            <w:r>
              <w:rPr>
                <w:rFonts w:hint="default" w:ascii="Times New Roman" w:hAnsi="Times New Roman" w:eastAsia="宋体" w:cs="Times New Roman"/>
                <w:color w:val="auto"/>
                <w:sz w:val="24"/>
                <w:szCs w:val="24"/>
              </w:rPr>
              <w:t>噪声执行《工业企业厂界环境噪声排放标准》（GB12348-2008）</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类。</w:t>
            </w:r>
            <w:r>
              <w:rPr>
                <w:rFonts w:hint="default" w:ascii="Times New Roman" w:hAnsi="Times New Roman" w:eastAsia="宋体" w:cs="Times New Roman"/>
                <w:color w:val="auto"/>
                <w:sz w:val="24"/>
                <w:szCs w:val="24"/>
                <w:lang w:eastAsia="zh-CN"/>
              </w:rPr>
              <w:t>其标准限值见</w:t>
            </w:r>
            <w:r>
              <w:rPr>
                <w:rFonts w:hint="default" w:ascii="Times New Roman" w:hAnsi="Times New Roman" w:eastAsia="宋体" w:cs="Times New Roman"/>
                <w:color w:val="auto"/>
                <w:sz w:val="24"/>
                <w:szCs w:val="24"/>
                <w:lang w:val="en-US" w:eastAsia="zh-CN"/>
              </w:rPr>
              <w:t>下表</w:t>
            </w:r>
            <w:r>
              <w:rPr>
                <w:rFonts w:hint="default" w:ascii="Times New Roman" w:hAnsi="Times New Roman" w:eastAsia="宋体" w:cs="Times New Roman"/>
                <w:color w:val="auto"/>
                <w:sz w:val="24"/>
                <w:szCs w:val="24"/>
                <w:lang w:eastAsia="zh-CN"/>
              </w:rPr>
              <w:t>。</w:t>
            </w:r>
          </w:p>
          <w:p>
            <w:pPr>
              <w:ind w:firstLine="3253" w:firstLineChars="1350"/>
              <w:rPr>
                <w:rFonts w:hint="default" w:ascii="Times New Roman" w:hAnsi="Times New Roman" w:cs="Times New Roman"/>
                <w:b/>
                <w:bCs/>
                <w:color w:val="auto"/>
                <w:spacing w:val="-4"/>
                <w:sz w:val="24"/>
                <w:szCs w:val="24"/>
                <w:highlight w:val="none"/>
              </w:rPr>
            </w:pPr>
            <w:r>
              <w:rPr>
                <w:rFonts w:hint="default" w:ascii="Times New Roman" w:hAnsi="Times New Roman" w:cs="Times New Roman"/>
                <w:b/>
                <w:color w:val="auto"/>
                <w:sz w:val="24"/>
                <w:szCs w:val="24"/>
                <w:highlight w:val="none"/>
              </w:rPr>
              <w:t>表</w:t>
            </w:r>
            <w:r>
              <w:rPr>
                <w:rFonts w:hint="default" w:ascii="Times New Roman" w:hAnsi="Times New Roman" w:cs="Times New Roman"/>
                <w:b/>
                <w:color w:val="auto"/>
                <w:sz w:val="24"/>
                <w:szCs w:val="24"/>
                <w:highlight w:val="none"/>
                <w:lang w:val="en-US" w:eastAsia="zh-CN"/>
              </w:rPr>
              <w:t>3-</w:t>
            </w:r>
            <w:r>
              <w:rPr>
                <w:rFonts w:hint="eastAsia" w:ascii="Times New Roman" w:hAnsi="Times New Roman" w:cs="Times New Roman"/>
                <w:b/>
                <w:color w:val="auto"/>
                <w:sz w:val="24"/>
                <w:szCs w:val="24"/>
                <w:highlight w:val="none"/>
                <w:lang w:val="en-US" w:eastAsia="zh-CN"/>
              </w:rPr>
              <w:t>20</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eastAsia="zh-CN"/>
              </w:rPr>
              <w:t>施工期噪声</w:t>
            </w:r>
            <w:r>
              <w:rPr>
                <w:rFonts w:hint="default" w:ascii="Times New Roman" w:hAnsi="Times New Roman" w:cs="Times New Roman"/>
                <w:b/>
                <w:bCs/>
                <w:color w:val="auto"/>
                <w:sz w:val="24"/>
                <w:szCs w:val="24"/>
                <w:highlight w:val="none"/>
                <w:lang w:eastAsia="zh-CN"/>
              </w:rPr>
              <w:t>标准限值</w:t>
            </w:r>
          </w:p>
          <w:tbl>
            <w:tblPr>
              <w:tblStyle w:val="3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4"/>
              <w:gridCol w:w="3422"/>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 w:hRule="atLeast"/>
              </w:trPr>
              <w:tc>
                <w:tcPr>
                  <w:tcW w:w="1255" w:type="pct"/>
                  <w:vMerge w:val="restart"/>
                  <w:tcBorders>
                    <w:left w:val="single" w:color="auto" w:sz="4" w:space="0"/>
                  </w:tcBorders>
                  <w:noWrap w:val="0"/>
                  <w:vAlign w:val="center"/>
                </w:tcPr>
                <w:p>
                  <w:pPr>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标准类别</w:t>
                  </w:r>
                </w:p>
              </w:tc>
              <w:tc>
                <w:tcPr>
                  <w:tcW w:w="3744" w:type="pct"/>
                  <w:gridSpan w:val="2"/>
                  <w:tcBorders>
                    <w:right w:val="single" w:color="auto" w:sz="4" w:space="0"/>
                  </w:tcBorders>
                  <w:noWrap w:val="0"/>
                  <w:vAlign w:val="center"/>
                </w:tcPr>
                <w:p>
                  <w:pPr>
                    <w:ind w:firstLine="1205" w:firstLineChars="5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等效声级    Leq[dB（A）]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255" w:type="pct"/>
                  <w:vMerge w:val="continue"/>
                  <w:tcBorders>
                    <w:left w:val="single" w:color="auto" w:sz="4" w:space="0"/>
                  </w:tcBorders>
                  <w:noWrap w:val="0"/>
                  <w:vAlign w:val="center"/>
                </w:tcPr>
                <w:p>
                  <w:pPr>
                    <w:jc w:val="center"/>
                    <w:rPr>
                      <w:rFonts w:hint="default" w:ascii="Times New Roman" w:hAnsi="Times New Roman" w:cs="Times New Roman"/>
                      <w:b/>
                      <w:bCs/>
                      <w:color w:val="auto"/>
                      <w:sz w:val="24"/>
                      <w:szCs w:val="24"/>
                      <w:highlight w:val="none"/>
                    </w:rPr>
                  </w:pPr>
                </w:p>
              </w:tc>
              <w:tc>
                <w:tcPr>
                  <w:tcW w:w="1984" w:type="pct"/>
                  <w:noWrap w:val="0"/>
                  <w:vAlign w:val="center"/>
                </w:tcPr>
                <w:p>
                  <w:pPr>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昼间</w:t>
                  </w:r>
                </w:p>
              </w:tc>
              <w:tc>
                <w:tcPr>
                  <w:tcW w:w="1760" w:type="pct"/>
                  <w:tcBorders>
                    <w:right w:val="single" w:color="auto" w:sz="4" w:space="0"/>
                  </w:tcBorders>
                  <w:noWrap w:val="0"/>
                  <w:vAlign w:val="center"/>
                </w:tcPr>
                <w:p>
                  <w:pPr>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4" w:hRule="atLeast"/>
              </w:trPr>
              <w:tc>
                <w:tcPr>
                  <w:tcW w:w="1255" w:type="pct"/>
                  <w:tcBorders>
                    <w:left w:val="single" w:color="auto" w:sz="4" w:space="0"/>
                  </w:tcBorders>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w:t>
                  </w:r>
                </w:p>
              </w:tc>
              <w:tc>
                <w:tcPr>
                  <w:tcW w:w="1984" w:type="pct"/>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70</w:t>
                  </w:r>
                </w:p>
              </w:tc>
              <w:tc>
                <w:tcPr>
                  <w:tcW w:w="1760" w:type="pct"/>
                  <w:tcBorders>
                    <w:right w:val="single" w:color="auto" w:sz="4" w:space="0"/>
                  </w:tcBorders>
                  <w:noWrap w:val="0"/>
                  <w:vAlign w:val="center"/>
                </w:tcPr>
                <w:p>
                  <w:pPr>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5</w:t>
                  </w:r>
                  <w:r>
                    <w:rPr>
                      <w:rFonts w:hint="default" w:ascii="Times New Roman" w:hAnsi="Times New Roman" w:cs="Times New Roman"/>
                      <w:color w:val="auto"/>
                      <w:sz w:val="24"/>
                      <w:szCs w:val="24"/>
                      <w:highlight w:val="none"/>
                      <w:lang w:val="en-US" w:eastAsia="zh-CN"/>
                    </w:rPr>
                    <w:t>5</w:t>
                  </w:r>
                </w:p>
              </w:tc>
            </w:tr>
          </w:tbl>
          <w:p>
            <w:pPr>
              <w:jc w:val="center"/>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color w:val="auto"/>
                <w:sz w:val="24"/>
                <w:szCs w:val="24"/>
                <w:highlight w:val="none"/>
              </w:rPr>
              <w:t>表</w:t>
            </w:r>
            <w:r>
              <w:rPr>
                <w:rFonts w:hint="default" w:ascii="Times New Roman" w:hAnsi="Times New Roman" w:cs="Times New Roman"/>
                <w:b/>
                <w:color w:val="auto"/>
                <w:sz w:val="24"/>
                <w:szCs w:val="24"/>
                <w:highlight w:val="none"/>
                <w:lang w:val="en-US" w:eastAsia="zh-CN"/>
              </w:rPr>
              <w:t>3-</w:t>
            </w:r>
            <w:r>
              <w:rPr>
                <w:rFonts w:hint="eastAsia" w:ascii="Times New Roman" w:hAnsi="Times New Roman" w:cs="Times New Roman"/>
                <w:b/>
                <w:color w:val="auto"/>
                <w:sz w:val="24"/>
                <w:szCs w:val="24"/>
                <w:highlight w:val="none"/>
                <w:lang w:val="en-US" w:eastAsia="zh-CN"/>
              </w:rPr>
              <w:t>21</w:t>
            </w:r>
            <w:r>
              <w:rPr>
                <w:rFonts w:hint="default" w:ascii="Times New Roman" w:hAnsi="Times New Roman" w:cs="Times New Roman"/>
                <w:b/>
                <w:bCs/>
                <w:color w:val="auto"/>
                <w:sz w:val="24"/>
                <w:szCs w:val="24"/>
                <w:highlight w:val="none"/>
              </w:rPr>
              <w:t>工业企业厂界环境噪声</w:t>
            </w:r>
            <w:r>
              <w:rPr>
                <w:rFonts w:hint="default" w:ascii="Times New Roman" w:hAnsi="Times New Roman" w:cs="Times New Roman"/>
                <w:b/>
                <w:bCs/>
                <w:color w:val="auto"/>
                <w:sz w:val="24"/>
                <w:szCs w:val="24"/>
                <w:highlight w:val="none"/>
                <w:lang w:eastAsia="zh-CN"/>
              </w:rPr>
              <w:t>标准限值</w:t>
            </w:r>
          </w:p>
          <w:tbl>
            <w:tblPr>
              <w:tblStyle w:val="3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4"/>
              <w:gridCol w:w="3422"/>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 w:hRule="atLeast"/>
              </w:trPr>
              <w:tc>
                <w:tcPr>
                  <w:tcW w:w="1255" w:type="pct"/>
                  <w:vMerge w:val="restart"/>
                  <w:tcBorders>
                    <w:left w:val="single" w:color="auto" w:sz="4" w:space="0"/>
                  </w:tcBorders>
                  <w:noWrap w:val="0"/>
                  <w:vAlign w:val="center"/>
                </w:tcPr>
                <w:p>
                  <w:pPr>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标准类别</w:t>
                  </w:r>
                </w:p>
              </w:tc>
              <w:tc>
                <w:tcPr>
                  <w:tcW w:w="3744" w:type="pct"/>
                  <w:gridSpan w:val="2"/>
                  <w:tcBorders>
                    <w:right w:val="single" w:color="auto" w:sz="4" w:space="0"/>
                  </w:tcBorders>
                  <w:noWrap w:val="0"/>
                  <w:vAlign w:val="center"/>
                </w:tcPr>
                <w:p>
                  <w:pPr>
                    <w:ind w:firstLine="1205" w:firstLineChars="5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等效声级    Leq[dB（A）]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255" w:type="pct"/>
                  <w:vMerge w:val="continue"/>
                  <w:tcBorders>
                    <w:left w:val="single" w:color="auto" w:sz="4" w:space="0"/>
                  </w:tcBorders>
                  <w:noWrap w:val="0"/>
                  <w:vAlign w:val="center"/>
                </w:tcPr>
                <w:p>
                  <w:pPr>
                    <w:jc w:val="center"/>
                    <w:rPr>
                      <w:rFonts w:hint="default" w:ascii="Times New Roman" w:hAnsi="Times New Roman" w:cs="Times New Roman"/>
                      <w:b/>
                      <w:bCs/>
                      <w:color w:val="auto"/>
                      <w:sz w:val="24"/>
                      <w:szCs w:val="24"/>
                      <w:highlight w:val="none"/>
                    </w:rPr>
                  </w:pPr>
                </w:p>
              </w:tc>
              <w:tc>
                <w:tcPr>
                  <w:tcW w:w="1984" w:type="pct"/>
                  <w:noWrap w:val="0"/>
                  <w:vAlign w:val="center"/>
                </w:tcPr>
                <w:p>
                  <w:pPr>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昼间</w:t>
                  </w:r>
                </w:p>
              </w:tc>
              <w:tc>
                <w:tcPr>
                  <w:tcW w:w="1760" w:type="pct"/>
                  <w:tcBorders>
                    <w:right w:val="single" w:color="auto" w:sz="4" w:space="0"/>
                  </w:tcBorders>
                  <w:noWrap w:val="0"/>
                  <w:vAlign w:val="center"/>
                </w:tcPr>
                <w:p>
                  <w:pPr>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4" w:hRule="atLeast"/>
              </w:trPr>
              <w:tc>
                <w:tcPr>
                  <w:tcW w:w="2014" w:type="dxa"/>
                  <w:tcBorders>
                    <w:left w:val="single" w:color="auto" w:sz="4" w:space="0"/>
                  </w:tcBorders>
                  <w:noWrap w:val="0"/>
                  <w:vAlign w:val="center"/>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2类</w:t>
                  </w:r>
                </w:p>
              </w:tc>
              <w:tc>
                <w:tcPr>
                  <w:tcW w:w="3185" w:type="dxa"/>
                  <w:noWrap w:val="0"/>
                  <w:vAlign w:val="center"/>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60</w:t>
                  </w:r>
                </w:p>
              </w:tc>
              <w:tc>
                <w:tcPr>
                  <w:tcW w:w="2826" w:type="dxa"/>
                  <w:tcBorders>
                    <w:right w:val="single" w:color="auto" w:sz="4" w:space="0"/>
                  </w:tcBorders>
                  <w:noWrap w:val="0"/>
                  <w:vAlign w:val="center"/>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lang w:val="en-US" w:eastAsia="zh-CN"/>
                    </w:rPr>
                    <w:t>50</w:t>
                  </w:r>
                </w:p>
              </w:tc>
            </w:tr>
          </w:tbl>
          <w:p>
            <w:pPr>
              <w:keepNext w:val="0"/>
              <w:keepLines w:val="0"/>
              <w:widowControl/>
              <w:suppressLineNumbers w:val="0"/>
              <w:spacing w:line="360" w:lineRule="auto"/>
              <w:ind w:firstLine="440" w:firstLineChars="200"/>
              <w:jc w:val="left"/>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cs="Times New Roman"/>
                <w:b w:val="0"/>
                <w:bCs w:val="0"/>
                <w:color w:val="auto"/>
                <w:spacing w:val="-10"/>
                <w:sz w:val="24"/>
                <w:szCs w:val="24"/>
                <w:lang w:val="en-US" w:eastAsia="zh-CN"/>
              </w:rPr>
              <w:t>（4）</w:t>
            </w:r>
            <w:r>
              <w:rPr>
                <w:rFonts w:hint="default" w:ascii="Times New Roman" w:hAnsi="Times New Roman" w:eastAsia="宋体" w:cs="Times New Roman"/>
                <w:b w:val="0"/>
                <w:bCs w:val="0"/>
                <w:color w:val="auto"/>
                <w:kern w:val="2"/>
                <w:sz w:val="24"/>
                <w:szCs w:val="24"/>
                <w:lang w:val="en-US" w:eastAsia="zh-CN" w:bidi="ar-SA"/>
              </w:rPr>
              <w:t>固体废物</w:t>
            </w:r>
            <w:r>
              <w:rPr>
                <w:rFonts w:hint="default" w:ascii="Times New Roman" w:hAnsi="Times New Roman" w:eastAsia="宋体" w:cs="Times New Roman"/>
                <w:b/>
                <w:bCs/>
                <w:color w:val="auto"/>
                <w:kern w:val="2"/>
                <w:sz w:val="24"/>
                <w:szCs w:val="24"/>
                <w:lang w:val="en-US" w:eastAsia="zh-CN" w:bidi="ar-SA"/>
              </w:rPr>
              <w:t xml:space="preserve"> </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一般工业</w:t>
            </w:r>
            <w:r>
              <w:rPr>
                <w:rFonts w:hint="default" w:ascii="Times New Roman" w:hAnsi="Times New Roman" w:eastAsia="宋体" w:cs="Times New Roman"/>
                <w:color w:val="auto"/>
                <w:sz w:val="24"/>
                <w:szCs w:val="24"/>
              </w:rPr>
              <w:t>固体物的处理处置执行《一般工业</w:t>
            </w:r>
            <w:r>
              <w:rPr>
                <w:rFonts w:hint="eastAsia" w:ascii="Times New Roman" w:hAnsi="Times New Roman" w:eastAsia="宋体" w:cs="Times New Roman"/>
                <w:color w:val="auto"/>
                <w:sz w:val="24"/>
                <w:szCs w:val="24"/>
              </w:rPr>
              <w:fldChar w:fldCharType="begin"/>
            </w:r>
            <w:r>
              <w:rPr>
                <w:rFonts w:hint="eastAsia" w:ascii="Times New Roman" w:hAnsi="Times New Roman" w:eastAsia="宋体" w:cs="Times New Roman"/>
                <w:color w:val="auto"/>
                <w:sz w:val="24"/>
                <w:szCs w:val="24"/>
              </w:rPr>
              <w:instrText xml:space="preserve"> HYPERLINK "https://huanbao.bjx.com.cn/hot/hot_233297.shtml" \o "固体废物贮存新闻专题" \t "https://huanbao.bjx.com.cn/news/20201219/_blank" </w:instrText>
            </w:r>
            <w:r>
              <w:rPr>
                <w:rFonts w:hint="eastAsia" w:ascii="Times New Roman" w:hAnsi="Times New Roman" w:eastAsia="宋体" w:cs="Times New Roman"/>
                <w:color w:val="auto"/>
                <w:sz w:val="24"/>
                <w:szCs w:val="24"/>
              </w:rPr>
              <w:fldChar w:fldCharType="separate"/>
            </w:r>
            <w:r>
              <w:rPr>
                <w:rFonts w:hint="eastAsia" w:ascii="Times New Roman" w:hAnsi="Times New Roman" w:eastAsia="宋体" w:cs="Times New Roman"/>
                <w:color w:val="auto"/>
                <w:sz w:val="24"/>
                <w:szCs w:val="24"/>
              </w:rPr>
              <w:t>固体废物贮存</w:t>
            </w:r>
            <w:r>
              <w:rPr>
                <w:rFonts w:hint="eastAsia" w:ascii="Times New Roman" w:hAnsi="Times New Roman" w:eastAsia="宋体" w:cs="Times New Roman"/>
                <w:color w:val="auto"/>
                <w:sz w:val="24"/>
                <w:szCs w:val="24"/>
              </w:rPr>
              <w:fldChar w:fldCharType="end"/>
            </w:r>
            <w:r>
              <w:rPr>
                <w:rFonts w:hint="eastAsia" w:ascii="Times New Roman" w:hAnsi="Times New Roman" w:eastAsia="宋体" w:cs="Times New Roman"/>
                <w:color w:val="auto"/>
                <w:sz w:val="24"/>
                <w:szCs w:val="24"/>
              </w:rPr>
              <w:t>和填埋污染控制标准》(GB 18599-2020)</w:t>
            </w:r>
            <w:r>
              <w:rPr>
                <w:rFonts w:hint="default" w:ascii="Times New Roman" w:hAnsi="Times New Roman" w:eastAsia="宋体" w:cs="Times New Roman"/>
                <w:color w:val="auto"/>
                <w:sz w:val="24"/>
                <w:szCs w:val="24"/>
              </w:rPr>
              <w:t>相应</w:t>
            </w:r>
            <w:r>
              <w:rPr>
                <w:rFonts w:hint="default" w:ascii="Times New Roman" w:hAnsi="Times New Roman" w:cs="Times New Roman"/>
                <w:color w:val="auto"/>
                <w:sz w:val="24"/>
                <w:szCs w:val="24"/>
              </w:rPr>
              <w:t>要求；危险固废执行《危险废物贮存污染控制标准》（GB18597-20</w:t>
            </w:r>
            <w:r>
              <w:rPr>
                <w:rFonts w:hint="eastAsia" w:ascii="Times New Roman" w:hAnsi="Times New Roman" w:cs="Times New Roman"/>
                <w:color w:val="auto"/>
                <w:sz w:val="24"/>
                <w:szCs w:val="24"/>
                <w:lang w:val="en-US" w:eastAsia="zh-CN"/>
              </w:rPr>
              <w:t>23</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w:t>
            </w:r>
          </w:p>
          <w:p>
            <w:pPr>
              <w:keepNext w:val="0"/>
              <w:keepLines w:val="0"/>
              <w:widowControl/>
              <w:suppressLineNumbers w:val="0"/>
              <w:spacing w:line="360" w:lineRule="auto"/>
              <w:ind w:firstLine="440" w:firstLineChars="200"/>
              <w:jc w:val="left"/>
              <w:rPr>
                <w:rFonts w:hint="eastAsia" w:ascii="Times New Roman" w:hAnsi="Times New Roman" w:eastAsia="宋体" w:cs="Times New Roman"/>
                <w:b w:val="0"/>
                <w:bCs w:val="0"/>
                <w:color w:val="auto"/>
                <w:spacing w:val="-10"/>
                <w:sz w:val="24"/>
                <w:szCs w:val="24"/>
                <w:lang w:val="en-US" w:eastAsia="zh-CN"/>
              </w:rPr>
            </w:pPr>
            <w:r>
              <w:rPr>
                <w:rFonts w:hint="eastAsia" w:ascii="Times New Roman" w:hAnsi="Times New Roman" w:eastAsia="宋体" w:cs="Times New Roman"/>
                <w:b w:val="0"/>
                <w:bCs w:val="0"/>
                <w:color w:val="auto"/>
                <w:spacing w:val="-10"/>
                <w:sz w:val="24"/>
                <w:szCs w:val="24"/>
                <w:lang w:val="en-US" w:eastAsia="zh-CN"/>
              </w:rPr>
              <w:t>（5）土壤</w:t>
            </w:r>
            <w:r>
              <w:rPr>
                <w:rFonts w:hint="eastAsia" w:ascii="Times New Roman" w:hAnsi="Times New Roman" w:eastAsia="宋体" w:cs="Times New Roman"/>
                <w:b w:val="0"/>
                <w:bCs w:val="0"/>
                <w:color w:val="auto"/>
                <w:spacing w:val="-10"/>
                <w:sz w:val="24"/>
                <w:szCs w:val="24"/>
                <w:lang w:val="en-US" w:eastAsia="zh-CN"/>
              </w:rPr>
              <w:tab/>
            </w:r>
          </w:p>
          <w:p>
            <w:pPr>
              <w:keepNext w:val="0"/>
              <w:keepLines w:val="0"/>
              <w:widowControl/>
              <w:suppressLineNumbers w:val="0"/>
              <w:spacing w:line="360" w:lineRule="auto"/>
              <w:ind w:firstLine="440" w:firstLineChars="200"/>
              <w:jc w:val="left"/>
              <w:rPr>
                <w:rFonts w:hint="eastAsia" w:ascii="Times New Roman" w:hAnsi="Times New Roman" w:eastAsia="宋体" w:cs="Times New Roman"/>
                <w:b w:val="0"/>
                <w:bCs w:val="0"/>
                <w:color w:val="auto"/>
                <w:spacing w:val="-10"/>
                <w:sz w:val="24"/>
                <w:szCs w:val="24"/>
                <w:lang w:val="en-US" w:eastAsia="zh-CN"/>
              </w:rPr>
            </w:pPr>
            <w:r>
              <w:rPr>
                <w:rFonts w:hint="eastAsia" w:ascii="Times New Roman" w:hAnsi="Times New Roman" w:eastAsia="宋体" w:cs="Times New Roman"/>
                <w:b w:val="0"/>
                <w:bCs w:val="0"/>
                <w:color w:val="auto"/>
                <w:spacing w:val="-10"/>
                <w:sz w:val="24"/>
                <w:szCs w:val="24"/>
                <w:lang w:val="en-US" w:eastAsia="zh-CN"/>
              </w:rPr>
              <w:t>本项目庄子沟河道底泥参照执行《土壤环境质量 农用地土壤污染风险管控标准（试行）》（</w:t>
            </w:r>
            <w:r>
              <w:rPr>
                <w:rFonts w:hint="default" w:ascii="Times New Roman" w:hAnsi="Times New Roman" w:eastAsia="宋体" w:cs="Times New Roman"/>
                <w:b w:val="0"/>
                <w:bCs w:val="0"/>
                <w:color w:val="auto"/>
                <w:spacing w:val="-10"/>
                <w:sz w:val="24"/>
                <w:szCs w:val="24"/>
                <w:lang w:val="en-US" w:eastAsia="zh-CN"/>
              </w:rPr>
              <w:t>GB15618-2018</w:t>
            </w:r>
            <w:r>
              <w:rPr>
                <w:rFonts w:hint="eastAsia" w:ascii="Times New Roman" w:hAnsi="Times New Roman" w:eastAsia="宋体" w:cs="Times New Roman"/>
                <w:b w:val="0"/>
                <w:bCs w:val="0"/>
                <w:color w:val="auto"/>
                <w:spacing w:val="-10"/>
                <w:sz w:val="24"/>
                <w:szCs w:val="24"/>
                <w:lang w:val="en-US" w:eastAsia="zh-CN"/>
              </w:rPr>
              <w:t>）风险筛选值要求。</w:t>
            </w:r>
          </w:p>
          <w:p>
            <w:pPr>
              <w:ind w:firstLine="0" w:firstLineChars="0"/>
              <w:jc w:val="center"/>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表3-22  农用地土壤风险筛选值和管制值 单位：mg/kg</w:t>
            </w:r>
          </w:p>
          <w:tbl>
            <w:tblPr>
              <w:tblStyle w:val="133"/>
              <w:tblW w:w="853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8"/>
              <w:gridCol w:w="368"/>
              <w:gridCol w:w="385"/>
              <w:gridCol w:w="761"/>
              <w:gridCol w:w="1080"/>
              <w:gridCol w:w="1080"/>
              <w:gridCol w:w="768"/>
              <w:gridCol w:w="761"/>
              <w:gridCol w:w="1006"/>
              <w:gridCol w:w="1161"/>
              <w:gridCol w:w="7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2" w:hRule="atLeast"/>
                <w:jc w:val="center"/>
              </w:trPr>
              <w:tc>
                <w:tcPr>
                  <w:tcW w:w="398" w:type="dxa"/>
                  <w:vMerge w:val="restart"/>
                  <w:tcBorders>
                    <w:bottom w:val="nil"/>
                  </w:tcBorders>
                  <w:noWrap w:val="0"/>
                  <w:textDirection w:val="tbRlV"/>
                  <w:vAlign w:val="top"/>
                </w:tcPr>
                <w:p>
                  <w:pPr>
                    <w:spacing w:before="87" w:line="218" w:lineRule="auto"/>
                    <w:ind w:left="35"/>
                    <w:rPr>
                      <w:rFonts w:ascii="宋体" w:hAnsi="宋体" w:eastAsia="宋体" w:cs="宋体"/>
                      <w:sz w:val="20"/>
                      <w:szCs w:val="20"/>
                    </w:rPr>
                  </w:pPr>
                  <w:r>
                    <w:rPr>
                      <w:rFonts w:ascii="宋体" w:hAnsi="宋体" w:eastAsia="宋体" w:cs="宋体"/>
                      <w:spacing w:val="8"/>
                      <w:sz w:val="20"/>
                      <w:szCs w:val="20"/>
                    </w:rPr>
                    <w:t>序</w:t>
                  </w:r>
                  <w:r>
                    <w:rPr>
                      <w:rFonts w:ascii="宋体" w:hAnsi="宋体" w:eastAsia="宋体" w:cs="宋体"/>
                      <w:spacing w:val="-35"/>
                      <w:sz w:val="20"/>
                      <w:szCs w:val="20"/>
                    </w:rPr>
                    <w:t xml:space="preserve"> </w:t>
                  </w:r>
                  <w:r>
                    <w:rPr>
                      <w:rFonts w:ascii="宋体" w:hAnsi="宋体" w:eastAsia="宋体" w:cs="宋体"/>
                      <w:spacing w:val="8"/>
                      <w:sz w:val="20"/>
                      <w:szCs w:val="20"/>
                    </w:rPr>
                    <w:t>号</w:t>
                  </w:r>
                </w:p>
              </w:tc>
              <w:tc>
                <w:tcPr>
                  <w:tcW w:w="753" w:type="dxa"/>
                  <w:gridSpan w:val="2"/>
                  <w:vMerge w:val="restart"/>
                  <w:tcBorders>
                    <w:bottom w:val="nil"/>
                  </w:tcBorders>
                  <w:noWrap w:val="0"/>
                  <w:vAlign w:val="top"/>
                </w:tcPr>
                <w:p>
                  <w:pPr>
                    <w:spacing w:before="35" w:line="237" w:lineRule="auto"/>
                    <w:ind w:left="212" w:right="99" w:hanging="97"/>
                    <w:rPr>
                      <w:rFonts w:ascii="宋体" w:hAnsi="宋体" w:eastAsia="宋体" w:cs="宋体"/>
                      <w:sz w:val="20"/>
                      <w:szCs w:val="20"/>
                    </w:rPr>
                  </w:pPr>
                  <w:r>
                    <w:rPr>
                      <w:rFonts w:ascii="宋体" w:hAnsi="宋体" w:eastAsia="宋体" w:cs="宋体"/>
                      <w:spacing w:val="-9"/>
                      <w:sz w:val="20"/>
                      <w:szCs w:val="20"/>
                    </w:rPr>
                    <w:t>污染物</w:t>
                  </w:r>
                  <w:r>
                    <w:rPr>
                      <w:rFonts w:ascii="宋体" w:hAnsi="宋体" w:eastAsia="宋体" w:cs="宋体"/>
                      <w:spacing w:val="1"/>
                      <w:sz w:val="20"/>
                      <w:szCs w:val="20"/>
                    </w:rPr>
                    <w:t xml:space="preserve"> </w:t>
                  </w:r>
                  <w:r>
                    <w:rPr>
                      <w:rFonts w:ascii="宋体" w:hAnsi="宋体" w:eastAsia="宋体" w:cs="宋体"/>
                      <w:spacing w:val="-2"/>
                      <w:sz w:val="20"/>
                      <w:szCs w:val="20"/>
                    </w:rPr>
                    <w:t>项目</w:t>
                  </w:r>
                </w:p>
              </w:tc>
              <w:tc>
                <w:tcPr>
                  <w:tcW w:w="3689" w:type="dxa"/>
                  <w:gridSpan w:val="4"/>
                  <w:noWrap w:val="0"/>
                  <w:vAlign w:val="top"/>
                </w:tcPr>
                <w:p>
                  <w:pPr>
                    <w:spacing w:before="35" w:line="222" w:lineRule="auto"/>
                    <w:ind w:left="1480"/>
                    <w:rPr>
                      <w:rFonts w:ascii="宋体" w:hAnsi="宋体" w:eastAsia="宋体" w:cs="宋体"/>
                      <w:sz w:val="20"/>
                      <w:szCs w:val="20"/>
                    </w:rPr>
                  </w:pPr>
                  <w:r>
                    <w:rPr>
                      <w:rFonts w:ascii="宋体" w:hAnsi="宋体" w:eastAsia="宋体" w:cs="宋体"/>
                      <w:spacing w:val="-7"/>
                      <w:sz w:val="20"/>
                      <w:szCs w:val="20"/>
                    </w:rPr>
                    <w:t>风险筛选值</w:t>
                  </w:r>
                </w:p>
              </w:tc>
              <w:tc>
                <w:tcPr>
                  <w:tcW w:w="3698" w:type="dxa"/>
                  <w:gridSpan w:val="4"/>
                  <w:noWrap w:val="0"/>
                  <w:vAlign w:val="top"/>
                </w:tcPr>
                <w:p>
                  <w:pPr>
                    <w:spacing w:before="35" w:line="222" w:lineRule="auto"/>
                    <w:ind w:left="1488"/>
                    <w:rPr>
                      <w:rFonts w:ascii="宋体" w:hAnsi="宋体" w:eastAsia="宋体" w:cs="宋体"/>
                      <w:sz w:val="20"/>
                      <w:szCs w:val="20"/>
                    </w:rPr>
                  </w:pPr>
                  <w:r>
                    <w:rPr>
                      <w:rFonts w:ascii="宋体" w:hAnsi="宋体" w:eastAsia="宋体" w:cs="宋体"/>
                      <w:spacing w:val="-7"/>
                      <w:sz w:val="20"/>
                      <w:szCs w:val="20"/>
                    </w:rPr>
                    <w:t>风险管制值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6" w:hRule="atLeast"/>
                <w:jc w:val="center"/>
              </w:trPr>
              <w:tc>
                <w:tcPr>
                  <w:tcW w:w="398" w:type="dxa"/>
                  <w:vMerge w:val="continue"/>
                  <w:tcBorders>
                    <w:top w:val="nil"/>
                  </w:tcBorders>
                  <w:noWrap w:val="0"/>
                  <w:textDirection w:val="tbRlV"/>
                  <w:vAlign w:val="top"/>
                </w:tcPr>
                <w:p>
                  <w:pPr>
                    <w:rPr>
                      <w:rFonts w:ascii="Arial"/>
                      <w:sz w:val="21"/>
                    </w:rPr>
                  </w:pPr>
                </w:p>
              </w:tc>
              <w:tc>
                <w:tcPr>
                  <w:tcW w:w="753" w:type="dxa"/>
                  <w:gridSpan w:val="2"/>
                  <w:vMerge w:val="continue"/>
                  <w:tcBorders>
                    <w:top w:val="nil"/>
                  </w:tcBorders>
                  <w:noWrap w:val="0"/>
                  <w:vAlign w:val="top"/>
                </w:tcPr>
                <w:p>
                  <w:pPr>
                    <w:rPr>
                      <w:rFonts w:ascii="Arial"/>
                      <w:sz w:val="21"/>
                    </w:rPr>
                  </w:pPr>
                </w:p>
              </w:tc>
              <w:tc>
                <w:tcPr>
                  <w:tcW w:w="761" w:type="dxa"/>
                  <w:noWrap w:val="0"/>
                  <w:vAlign w:val="top"/>
                </w:tcPr>
                <w:p>
                  <w:pPr>
                    <w:pStyle w:val="138"/>
                    <w:spacing w:before="56" w:line="194" w:lineRule="auto"/>
                    <w:ind w:left="100"/>
                  </w:pPr>
                  <w:r>
                    <w:rPr>
                      <w:b/>
                      <w:bCs/>
                      <w:spacing w:val="-4"/>
                    </w:rPr>
                    <w:t>pH≤5.5</w:t>
                  </w:r>
                </w:p>
              </w:tc>
              <w:tc>
                <w:tcPr>
                  <w:tcW w:w="1080" w:type="dxa"/>
                  <w:noWrap w:val="0"/>
                  <w:vAlign w:val="top"/>
                </w:tcPr>
                <w:p>
                  <w:pPr>
                    <w:pStyle w:val="138"/>
                    <w:spacing w:before="53" w:line="197" w:lineRule="auto"/>
                    <w:ind w:left="102"/>
                  </w:pPr>
                  <w:r>
                    <w:rPr>
                      <w:b/>
                      <w:bCs/>
                      <w:spacing w:val="-5"/>
                    </w:rPr>
                    <w:t>5.5&lt;pH≤6.5</w:t>
                  </w:r>
                </w:p>
              </w:tc>
              <w:tc>
                <w:tcPr>
                  <w:tcW w:w="1080" w:type="dxa"/>
                  <w:noWrap w:val="0"/>
                  <w:vAlign w:val="top"/>
                </w:tcPr>
                <w:p>
                  <w:pPr>
                    <w:pStyle w:val="138"/>
                    <w:spacing w:before="53" w:line="197" w:lineRule="auto"/>
                    <w:ind w:left="105"/>
                  </w:pPr>
                  <w:r>
                    <w:rPr>
                      <w:b/>
                      <w:bCs/>
                      <w:spacing w:val="-5"/>
                    </w:rPr>
                    <w:t>6.5&lt;pH≤7.5</w:t>
                  </w:r>
                </w:p>
              </w:tc>
              <w:tc>
                <w:tcPr>
                  <w:tcW w:w="768" w:type="dxa"/>
                  <w:noWrap w:val="0"/>
                  <w:vAlign w:val="top"/>
                </w:tcPr>
                <w:p>
                  <w:pPr>
                    <w:pStyle w:val="138"/>
                    <w:spacing w:before="56" w:line="194" w:lineRule="auto"/>
                    <w:ind w:left="104"/>
                  </w:pPr>
                  <w:r>
                    <w:rPr>
                      <w:b/>
                      <w:bCs/>
                      <w:spacing w:val="-4"/>
                    </w:rPr>
                    <w:t>pH&gt;7.5</w:t>
                  </w:r>
                </w:p>
              </w:tc>
              <w:tc>
                <w:tcPr>
                  <w:tcW w:w="761" w:type="dxa"/>
                  <w:noWrap w:val="0"/>
                  <w:vAlign w:val="top"/>
                </w:tcPr>
                <w:p>
                  <w:pPr>
                    <w:pStyle w:val="138"/>
                    <w:spacing w:before="56" w:line="194" w:lineRule="auto"/>
                    <w:ind w:left="105"/>
                  </w:pPr>
                  <w:r>
                    <w:rPr>
                      <w:b/>
                      <w:bCs/>
                      <w:spacing w:val="-4"/>
                    </w:rPr>
                    <w:t>pH≤5.5</w:t>
                  </w:r>
                </w:p>
              </w:tc>
              <w:tc>
                <w:tcPr>
                  <w:tcW w:w="1006" w:type="dxa"/>
                  <w:noWrap w:val="0"/>
                  <w:vAlign w:val="top"/>
                </w:tcPr>
                <w:p>
                  <w:pPr>
                    <w:pStyle w:val="138"/>
                    <w:spacing w:before="53" w:line="197" w:lineRule="auto"/>
                    <w:ind w:left="110"/>
                  </w:pPr>
                  <w:r>
                    <w:rPr>
                      <w:b/>
                      <w:bCs/>
                      <w:spacing w:val="-5"/>
                    </w:rPr>
                    <w:t>5.5&lt;pH≤6.5</w:t>
                  </w:r>
                </w:p>
              </w:tc>
              <w:tc>
                <w:tcPr>
                  <w:tcW w:w="1161" w:type="dxa"/>
                  <w:noWrap w:val="0"/>
                  <w:vAlign w:val="top"/>
                </w:tcPr>
                <w:p>
                  <w:pPr>
                    <w:pStyle w:val="138"/>
                    <w:spacing w:before="53" w:line="197" w:lineRule="auto"/>
                    <w:ind w:left="111"/>
                  </w:pPr>
                  <w:r>
                    <w:rPr>
                      <w:b/>
                      <w:bCs/>
                      <w:spacing w:val="-5"/>
                    </w:rPr>
                    <w:t>6.5&lt;pH≤7.5</w:t>
                  </w:r>
                </w:p>
              </w:tc>
              <w:tc>
                <w:tcPr>
                  <w:tcW w:w="770" w:type="dxa"/>
                  <w:noWrap w:val="0"/>
                  <w:vAlign w:val="top"/>
                </w:tcPr>
                <w:p>
                  <w:pPr>
                    <w:pStyle w:val="138"/>
                    <w:spacing w:before="56" w:line="194" w:lineRule="auto"/>
                    <w:ind w:left="109"/>
                  </w:pPr>
                  <w:r>
                    <w:rPr>
                      <w:b/>
                      <w:bCs/>
                      <w:spacing w:val="-4"/>
                    </w:rPr>
                    <w:t>pH&gt;7.5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jc w:val="center"/>
              </w:trPr>
              <w:tc>
                <w:tcPr>
                  <w:tcW w:w="398" w:type="dxa"/>
                  <w:vMerge w:val="restart"/>
                  <w:tcBorders>
                    <w:bottom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174"/>
                    <w:jc w:val="both"/>
                    <w:textAlignment w:val="baseline"/>
                  </w:pPr>
                  <w:r>
                    <w:t>1</w:t>
                  </w:r>
                </w:p>
              </w:tc>
              <w:tc>
                <w:tcPr>
                  <w:tcW w:w="368" w:type="dxa"/>
                  <w:vMerge w:val="restart"/>
                  <w:tcBorders>
                    <w:bottom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100"/>
                    <w:jc w:val="center"/>
                    <w:textAlignment w:val="baseline"/>
                    <w:rPr>
                      <w:rFonts w:ascii="宋体" w:hAnsi="宋体" w:eastAsia="宋体" w:cs="宋体"/>
                      <w:sz w:val="20"/>
                      <w:szCs w:val="20"/>
                    </w:rPr>
                  </w:pPr>
                  <w:r>
                    <w:rPr>
                      <w:rFonts w:ascii="宋体" w:hAnsi="宋体" w:eastAsia="宋体" w:cs="宋体"/>
                      <w:spacing w:val="1"/>
                      <w:sz w:val="20"/>
                      <w:szCs w:val="20"/>
                    </w:rPr>
                    <w:t>砷</w:t>
                  </w:r>
                </w:p>
              </w:tc>
              <w:tc>
                <w:tcPr>
                  <w:tcW w:w="385" w:type="dxa"/>
                  <w:noWrap w:val="0"/>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5"/>
                    <w:jc w:val="center"/>
                    <w:textAlignment w:val="baseline"/>
                    <w:rPr>
                      <w:rFonts w:ascii="宋体" w:hAnsi="宋体" w:eastAsia="宋体" w:cs="宋体"/>
                      <w:sz w:val="20"/>
                      <w:szCs w:val="20"/>
                    </w:rPr>
                  </w:pPr>
                  <w:r>
                    <w:rPr>
                      <w:rFonts w:ascii="宋体" w:hAnsi="宋体" w:eastAsia="宋体" w:cs="宋体"/>
                      <w:spacing w:val="8"/>
                      <w:sz w:val="20"/>
                      <w:szCs w:val="20"/>
                    </w:rPr>
                    <w:t>水</w:t>
                  </w:r>
                  <w:r>
                    <w:rPr>
                      <w:rFonts w:ascii="宋体" w:hAnsi="宋体" w:eastAsia="宋体" w:cs="宋体"/>
                      <w:spacing w:val="-35"/>
                      <w:sz w:val="20"/>
                      <w:szCs w:val="20"/>
                    </w:rPr>
                    <w:t xml:space="preserve"> </w:t>
                  </w:r>
                  <w:r>
                    <w:rPr>
                      <w:rFonts w:ascii="宋体" w:hAnsi="宋体" w:eastAsia="宋体" w:cs="宋体"/>
                      <w:spacing w:val="8"/>
                      <w:sz w:val="20"/>
                      <w:szCs w:val="20"/>
                    </w:rPr>
                    <w:t>田</w:t>
                  </w:r>
                </w:p>
              </w:tc>
              <w:tc>
                <w:tcPr>
                  <w:tcW w:w="761" w:type="dxa"/>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306"/>
                    <w:jc w:val="center"/>
                    <w:textAlignment w:val="baseline"/>
                  </w:pPr>
                  <w:r>
                    <w:rPr>
                      <w:spacing w:val="-3"/>
                    </w:rPr>
                    <w:t>30</w:t>
                  </w:r>
                </w:p>
              </w:tc>
              <w:tc>
                <w:tcPr>
                  <w:tcW w:w="1080" w:type="dxa"/>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76"/>
                    <w:jc w:val="center"/>
                    <w:textAlignment w:val="baseline"/>
                  </w:pPr>
                  <w:r>
                    <w:rPr>
                      <w:spacing w:val="-3"/>
                    </w:rPr>
                    <w:t>30</w:t>
                  </w:r>
                </w:p>
              </w:tc>
              <w:tc>
                <w:tcPr>
                  <w:tcW w:w="1080" w:type="dxa"/>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74"/>
                    <w:jc w:val="center"/>
                    <w:textAlignment w:val="baseline"/>
                  </w:pPr>
                  <w:r>
                    <w:t>25</w:t>
                  </w:r>
                </w:p>
              </w:tc>
              <w:tc>
                <w:tcPr>
                  <w:tcW w:w="768" w:type="dxa"/>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308"/>
                    <w:jc w:val="center"/>
                    <w:textAlignment w:val="baseline"/>
                  </w:pPr>
                  <w:r>
                    <w:t>20</w:t>
                  </w:r>
                </w:p>
              </w:tc>
              <w:tc>
                <w:tcPr>
                  <w:tcW w:w="761" w:type="dxa"/>
                  <w:vMerge w:val="restart"/>
                  <w:tcBorders>
                    <w:bottom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259"/>
                    <w:jc w:val="center"/>
                    <w:textAlignment w:val="baseline"/>
                  </w:pPr>
                  <w:r>
                    <w:rPr>
                      <w:spacing w:val="-1"/>
                    </w:rPr>
                    <w:t>200</w:t>
                  </w:r>
                </w:p>
              </w:tc>
              <w:tc>
                <w:tcPr>
                  <w:tcW w:w="1006" w:type="dxa"/>
                  <w:vMerge w:val="restart"/>
                  <w:tcBorders>
                    <w:bottom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52"/>
                    <w:jc w:val="center"/>
                    <w:textAlignment w:val="baseline"/>
                  </w:pPr>
                  <w:r>
                    <w:rPr>
                      <w:spacing w:val="-8"/>
                    </w:rPr>
                    <w:t>150</w:t>
                  </w:r>
                </w:p>
              </w:tc>
              <w:tc>
                <w:tcPr>
                  <w:tcW w:w="1161" w:type="dxa"/>
                  <w:vMerge w:val="restart"/>
                  <w:tcBorders>
                    <w:bottom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51"/>
                    <w:jc w:val="center"/>
                    <w:textAlignment w:val="baseline"/>
                  </w:pPr>
                  <w:r>
                    <w:rPr>
                      <w:spacing w:val="-8"/>
                    </w:rPr>
                    <w:t>120</w:t>
                  </w:r>
                </w:p>
              </w:tc>
              <w:tc>
                <w:tcPr>
                  <w:tcW w:w="770" w:type="dxa"/>
                  <w:vMerge w:val="restart"/>
                  <w:tcBorders>
                    <w:bottom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288"/>
                    <w:jc w:val="center"/>
                    <w:textAlignment w:val="baseline"/>
                  </w:pPr>
                  <w:r>
                    <w:rPr>
                      <w:spacing w:val="-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jc w:val="center"/>
              </w:trPr>
              <w:tc>
                <w:tcPr>
                  <w:tcW w:w="398" w:type="dxa"/>
                  <w:vMerge w:val="continue"/>
                  <w:tcBorders>
                    <w:top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tc>
              <w:tc>
                <w:tcPr>
                  <w:tcW w:w="368" w:type="dxa"/>
                  <w:vMerge w:val="continue"/>
                  <w:tcBorders>
                    <w:top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tc>
              <w:tc>
                <w:tcPr>
                  <w:tcW w:w="385" w:type="dxa"/>
                  <w:noWrap w:val="0"/>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7"/>
                    <w:jc w:val="center"/>
                    <w:textAlignment w:val="baseline"/>
                    <w:rPr>
                      <w:rFonts w:ascii="宋体" w:hAnsi="宋体" w:eastAsia="宋体" w:cs="宋体"/>
                      <w:sz w:val="20"/>
                      <w:szCs w:val="20"/>
                    </w:rPr>
                  </w:pPr>
                  <w:r>
                    <w:rPr>
                      <w:rFonts w:ascii="宋体" w:hAnsi="宋体" w:eastAsia="宋体" w:cs="宋体"/>
                      <w:spacing w:val="8"/>
                      <w:sz w:val="20"/>
                      <w:szCs w:val="20"/>
                    </w:rPr>
                    <w:t>其</w:t>
                  </w:r>
                  <w:r>
                    <w:rPr>
                      <w:rFonts w:ascii="宋体" w:hAnsi="宋体" w:eastAsia="宋体" w:cs="宋体"/>
                      <w:spacing w:val="-37"/>
                      <w:sz w:val="20"/>
                      <w:szCs w:val="20"/>
                    </w:rPr>
                    <w:t xml:space="preserve"> </w:t>
                  </w:r>
                  <w:r>
                    <w:rPr>
                      <w:rFonts w:ascii="宋体" w:hAnsi="宋体" w:eastAsia="宋体" w:cs="宋体"/>
                      <w:spacing w:val="8"/>
                      <w:sz w:val="20"/>
                      <w:szCs w:val="20"/>
                    </w:rPr>
                    <w:t>他</w:t>
                  </w:r>
                </w:p>
              </w:tc>
              <w:tc>
                <w:tcPr>
                  <w:tcW w:w="761" w:type="dxa"/>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301"/>
                    <w:jc w:val="center"/>
                    <w:textAlignment w:val="baseline"/>
                  </w:pPr>
                  <w:r>
                    <w:t>40</w:t>
                  </w:r>
                </w:p>
              </w:tc>
              <w:tc>
                <w:tcPr>
                  <w:tcW w:w="1080" w:type="dxa"/>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71"/>
                    <w:jc w:val="center"/>
                    <w:textAlignment w:val="baseline"/>
                  </w:pPr>
                  <w:r>
                    <w:t>40</w:t>
                  </w:r>
                </w:p>
              </w:tc>
              <w:tc>
                <w:tcPr>
                  <w:tcW w:w="1080" w:type="dxa"/>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78"/>
                    <w:jc w:val="center"/>
                    <w:textAlignment w:val="baseline"/>
                  </w:pPr>
                  <w:r>
                    <w:rPr>
                      <w:spacing w:val="-3"/>
                    </w:rPr>
                    <w:t>30</w:t>
                  </w:r>
                </w:p>
              </w:tc>
              <w:tc>
                <w:tcPr>
                  <w:tcW w:w="768" w:type="dxa"/>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308"/>
                    <w:jc w:val="center"/>
                    <w:textAlignment w:val="baseline"/>
                  </w:pPr>
                  <w:r>
                    <w:t>25</w:t>
                  </w:r>
                </w:p>
              </w:tc>
              <w:tc>
                <w:tcPr>
                  <w:tcW w:w="761" w:type="dxa"/>
                  <w:vMerge w:val="continue"/>
                  <w:tcBorders>
                    <w:top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tc>
              <w:tc>
                <w:tcPr>
                  <w:tcW w:w="1006" w:type="dxa"/>
                  <w:vMerge w:val="continue"/>
                  <w:tcBorders>
                    <w:top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tc>
              <w:tc>
                <w:tcPr>
                  <w:tcW w:w="1161" w:type="dxa"/>
                  <w:vMerge w:val="continue"/>
                  <w:tcBorders>
                    <w:top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tc>
              <w:tc>
                <w:tcPr>
                  <w:tcW w:w="770" w:type="dxa"/>
                  <w:vMerge w:val="continue"/>
                  <w:tcBorders>
                    <w:top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jc w:val="center"/>
              </w:trPr>
              <w:tc>
                <w:tcPr>
                  <w:tcW w:w="398" w:type="dxa"/>
                  <w:vMerge w:val="restart"/>
                  <w:tcBorders>
                    <w:bottom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154"/>
                    <w:jc w:val="both"/>
                    <w:textAlignment w:val="baseline"/>
                  </w:pPr>
                  <w:r>
                    <w:t>2</w:t>
                  </w:r>
                </w:p>
              </w:tc>
              <w:tc>
                <w:tcPr>
                  <w:tcW w:w="368" w:type="dxa"/>
                  <w:vMerge w:val="restart"/>
                  <w:tcBorders>
                    <w:bottom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100"/>
                    <w:jc w:val="center"/>
                    <w:textAlignment w:val="baseline"/>
                    <w:rPr>
                      <w:rFonts w:ascii="宋体" w:hAnsi="宋体" w:eastAsia="宋体" w:cs="宋体"/>
                      <w:sz w:val="20"/>
                      <w:szCs w:val="20"/>
                    </w:rPr>
                  </w:pPr>
                  <w:r>
                    <w:rPr>
                      <w:rFonts w:ascii="宋体" w:hAnsi="宋体" w:eastAsia="宋体" w:cs="宋体"/>
                      <w:spacing w:val="2"/>
                      <w:sz w:val="20"/>
                      <w:szCs w:val="20"/>
                    </w:rPr>
                    <w:t>镉</w:t>
                  </w:r>
                </w:p>
              </w:tc>
              <w:tc>
                <w:tcPr>
                  <w:tcW w:w="385" w:type="dxa"/>
                  <w:noWrap w:val="0"/>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7"/>
                    <w:jc w:val="center"/>
                    <w:textAlignment w:val="baseline"/>
                    <w:rPr>
                      <w:rFonts w:ascii="宋体" w:hAnsi="宋体" w:eastAsia="宋体" w:cs="宋体"/>
                      <w:sz w:val="20"/>
                      <w:szCs w:val="20"/>
                    </w:rPr>
                  </w:pPr>
                  <w:r>
                    <w:rPr>
                      <w:rFonts w:ascii="宋体" w:hAnsi="宋体" w:eastAsia="宋体" w:cs="宋体"/>
                      <w:spacing w:val="8"/>
                      <w:sz w:val="20"/>
                      <w:szCs w:val="20"/>
                    </w:rPr>
                    <w:t>水</w:t>
                  </w:r>
                  <w:r>
                    <w:rPr>
                      <w:rFonts w:ascii="宋体" w:hAnsi="宋体" w:eastAsia="宋体" w:cs="宋体"/>
                      <w:spacing w:val="-35"/>
                      <w:sz w:val="20"/>
                      <w:szCs w:val="20"/>
                    </w:rPr>
                    <w:t xml:space="preserve"> </w:t>
                  </w:r>
                  <w:r>
                    <w:rPr>
                      <w:rFonts w:ascii="宋体" w:hAnsi="宋体" w:eastAsia="宋体" w:cs="宋体"/>
                      <w:spacing w:val="8"/>
                      <w:sz w:val="20"/>
                      <w:szCs w:val="20"/>
                    </w:rPr>
                    <w:t>田</w:t>
                  </w:r>
                </w:p>
              </w:tc>
              <w:tc>
                <w:tcPr>
                  <w:tcW w:w="761" w:type="dxa"/>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283"/>
                    <w:jc w:val="center"/>
                    <w:textAlignment w:val="baseline"/>
                  </w:pPr>
                  <w:r>
                    <w:rPr>
                      <w:spacing w:val="-3"/>
                    </w:rPr>
                    <w:t>0.3</w:t>
                  </w:r>
                </w:p>
              </w:tc>
              <w:tc>
                <w:tcPr>
                  <w:tcW w:w="1080" w:type="dxa"/>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53"/>
                    <w:jc w:val="center"/>
                    <w:textAlignment w:val="baseline"/>
                  </w:pPr>
                  <w:r>
                    <w:rPr>
                      <w:spacing w:val="-3"/>
                    </w:rPr>
                    <w:t>0.4</w:t>
                  </w:r>
                </w:p>
              </w:tc>
              <w:tc>
                <w:tcPr>
                  <w:tcW w:w="1080" w:type="dxa"/>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55"/>
                    <w:jc w:val="center"/>
                    <w:textAlignment w:val="baseline"/>
                  </w:pPr>
                  <w:r>
                    <w:rPr>
                      <w:spacing w:val="-3"/>
                    </w:rPr>
                    <w:t>0.6</w:t>
                  </w:r>
                </w:p>
              </w:tc>
              <w:tc>
                <w:tcPr>
                  <w:tcW w:w="768" w:type="dxa"/>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290"/>
                    <w:jc w:val="center"/>
                    <w:textAlignment w:val="baseline"/>
                  </w:pPr>
                  <w:r>
                    <w:rPr>
                      <w:spacing w:val="-3"/>
                    </w:rPr>
                    <w:t>0.8</w:t>
                  </w:r>
                </w:p>
              </w:tc>
              <w:tc>
                <w:tcPr>
                  <w:tcW w:w="761" w:type="dxa"/>
                  <w:vMerge w:val="restart"/>
                  <w:tcBorders>
                    <w:bottom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306"/>
                    <w:jc w:val="center"/>
                    <w:textAlignment w:val="baseline"/>
                  </w:pPr>
                  <w:r>
                    <w:rPr>
                      <w:spacing w:val="-8"/>
                    </w:rPr>
                    <w:t>1.5</w:t>
                  </w:r>
                </w:p>
              </w:tc>
              <w:tc>
                <w:tcPr>
                  <w:tcW w:w="1006" w:type="dxa"/>
                  <w:vMerge w:val="restart"/>
                  <w:tcBorders>
                    <w:bottom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55"/>
                    <w:jc w:val="center"/>
                    <w:textAlignment w:val="baseline"/>
                  </w:pPr>
                  <w:r>
                    <w:rPr>
                      <w:spacing w:val="-2"/>
                    </w:rPr>
                    <w:t>2.0</w:t>
                  </w:r>
                </w:p>
              </w:tc>
              <w:tc>
                <w:tcPr>
                  <w:tcW w:w="1161" w:type="dxa"/>
                  <w:vMerge w:val="restart"/>
                  <w:tcBorders>
                    <w:bottom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62"/>
                    <w:jc w:val="center"/>
                    <w:textAlignment w:val="baseline"/>
                  </w:pPr>
                  <w:r>
                    <w:rPr>
                      <w:spacing w:val="-3"/>
                    </w:rPr>
                    <w:t>3.0</w:t>
                  </w:r>
                </w:p>
              </w:tc>
              <w:tc>
                <w:tcPr>
                  <w:tcW w:w="770" w:type="dxa"/>
                  <w:vMerge w:val="restart"/>
                  <w:tcBorders>
                    <w:bottom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293"/>
                    <w:jc w:val="center"/>
                    <w:textAlignment w:val="baseline"/>
                  </w:pPr>
                  <w:r>
                    <w:rPr>
                      <w:spacing w:val="-2"/>
                    </w:rPr>
                    <w:t>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jc w:val="center"/>
              </w:trPr>
              <w:tc>
                <w:tcPr>
                  <w:tcW w:w="398" w:type="dxa"/>
                  <w:vMerge w:val="continue"/>
                  <w:tcBorders>
                    <w:top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tc>
              <w:tc>
                <w:tcPr>
                  <w:tcW w:w="368" w:type="dxa"/>
                  <w:vMerge w:val="continue"/>
                  <w:tcBorders>
                    <w:top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tc>
              <w:tc>
                <w:tcPr>
                  <w:tcW w:w="385" w:type="dxa"/>
                  <w:noWrap w:val="0"/>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7"/>
                    <w:jc w:val="center"/>
                    <w:textAlignment w:val="baseline"/>
                    <w:rPr>
                      <w:rFonts w:ascii="宋体" w:hAnsi="宋体" w:eastAsia="宋体" w:cs="宋体"/>
                      <w:sz w:val="20"/>
                      <w:szCs w:val="20"/>
                    </w:rPr>
                  </w:pPr>
                  <w:r>
                    <w:rPr>
                      <w:rFonts w:ascii="宋体" w:hAnsi="宋体" w:eastAsia="宋体" w:cs="宋体"/>
                      <w:spacing w:val="8"/>
                      <w:sz w:val="20"/>
                      <w:szCs w:val="20"/>
                    </w:rPr>
                    <w:t>其</w:t>
                  </w:r>
                  <w:r>
                    <w:rPr>
                      <w:rFonts w:ascii="宋体" w:hAnsi="宋体" w:eastAsia="宋体" w:cs="宋体"/>
                      <w:spacing w:val="-35"/>
                      <w:sz w:val="20"/>
                      <w:szCs w:val="20"/>
                    </w:rPr>
                    <w:t xml:space="preserve"> </w:t>
                  </w:r>
                  <w:r>
                    <w:rPr>
                      <w:rFonts w:ascii="宋体" w:hAnsi="宋体" w:eastAsia="宋体" w:cs="宋体"/>
                      <w:spacing w:val="8"/>
                      <w:sz w:val="20"/>
                      <w:szCs w:val="20"/>
                    </w:rPr>
                    <w:t>他</w:t>
                  </w:r>
                </w:p>
              </w:tc>
              <w:tc>
                <w:tcPr>
                  <w:tcW w:w="761" w:type="dxa"/>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283"/>
                    <w:jc w:val="center"/>
                    <w:textAlignment w:val="baseline"/>
                  </w:pPr>
                  <w:r>
                    <w:rPr>
                      <w:spacing w:val="-3"/>
                    </w:rPr>
                    <w:t>0.3</w:t>
                  </w:r>
                </w:p>
              </w:tc>
              <w:tc>
                <w:tcPr>
                  <w:tcW w:w="1080" w:type="dxa"/>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53"/>
                    <w:jc w:val="center"/>
                    <w:textAlignment w:val="baseline"/>
                  </w:pPr>
                  <w:r>
                    <w:rPr>
                      <w:spacing w:val="-3"/>
                    </w:rPr>
                    <w:t>0.3</w:t>
                  </w:r>
                </w:p>
              </w:tc>
              <w:tc>
                <w:tcPr>
                  <w:tcW w:w="1080" w:type="dxa"/>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55"/>
                    <w:jc w:val="center"/>
                    <w:textAlignment w:val="baseline"/>
                  </w:pPr>
                  <w:r>
                    <w:rPr>
                      <w:spacing w:val="-3"/>
                    </w:rPr>
                    <w:t>0.3</w:t>
                  </w:r>
                </w:p>
              </w:tc>
              <w:tc>
                <w:tcPr>
                  <w:tcW w:w="768" w:type="dxa"/>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290"/>
                    <w:jc w:val="center"/>
                    <w:textAlignment w:val="baseline"/>
                  </w:pPr>
                  <w:r>
                    <w:rPr>
                      <w:spacing w:val="-3"/>
                    </w:rPr>
                    <w:t>0.6</w:t>
                  </w:r>
                </w:p>
              </w:tc>
              <w:tc>
                <w:tcPr>
                  <w:tcW w:w="761" w:type="dxa"/>
                  <w:vMerge w:val="continue"/>
                  <w:tcBorders>
                    <w:top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tc>
              <w:tc>
                <w:tcPr>
                  <w:tcW w:w="1006" w:type="dxa"/>
                  <w:vMerge w:val="continue"/>
                  <w:tcBorders>
                    <w:top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tc>
              <w:tc>
                <w:tcPr>
                  <w:tcW w:w="1161" w:type="dxa"/>
                  <w:vMerge w:val="continue"/>
                  <w:tcBorders>
                    <w:top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tc>
              <w:tc>
                <w:tcPr>
                  <w:tcW w:w="770" w:type="dxa"/>
                  <w:vMerge w:val="continue"/>
                  <w:tcBorders>
                    <w:top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jc w:val="center"/>
              </w:trPr>
              <w:tc>
                <w:tcPr>
                  <w:tcW w:w="398" w:type="dxa"/>
                  <w:vMerge w:val="restart"/>
                  <w:tcBorders>
                    <w:bottom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158"/>
                    <w:jc w:val="both"/>
                    <w:textAlignment w:val="baseline"/>
                  </w:pPr>
                  <w:r>
                    <w:t>3</w:t>
                  </w:r>
                </w:p>
              </w:tc>
              <w:tc>
                <w:tcPr>
                  <w:tcW w:w="368" w:type="dxa"/>
                  <w:vMerge w:val="restart"/>
                  <w:tcBorders>
                    <w:bottom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100"/>
                    <w:jc w:val="center"/>
                    <w:textAlignment w:val="baseline"/>
                    <w:rPr>
                      <w:rFonts w:ascii="宋体" w:hAnsi="宋体" w:eastAsia="宋体" w:cs="宋体"/>
                      <w:sz w:val="20"/>
                      <w:szCs w:val="20"/>
                    </w:rPr>
                  </w:pPr>
                  <w:r>
                    <w:rPr>
                      <w:rFonts w:ascii="宋体" w:hAnsi="宋体" w:eastAsia="宋体" w:cs="宋体"/>
                      <w:spacing w:val="1"/>
                      <w:sz w:val="20"/>
                      <w:szCs w:val="20"/>
                    </w:rPr>
                    <w:t>铬</w:t>
                  </w:r>
                </w:p>
              </w:tc>
              <w:tc>
                <w:tcPr>
                  <w:tcW w:w="385" w:type="dxa"/>
                  <w:noWrap w:val="0"/>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30"/>
                    <w:jc w:val="center"/>
                    <w:textAlignment w:val="baseline"/>
                    <w:rPr>
                      <w:rFonts w:ascii="宋体" w:hAnsi="宋体" w:eastAsia="宋体" w:cs="宋体"/>
                      <w:sz w:val="20"/>
                      <w:szCs w:val="20"/>
                    </w:rPr>
                  </w:pPr>
                  <w:r>
                    <w:rPr>
                      <w:rFonts w:ascii="宋体" w:hAnsi="宋体" w:eastAsia="宋体" w:cs="宋体"/>
                      <w:spacing w:val="8"/>
                      <w:sz w:val="20"/>
                      <w:szCs w:val="20"/>
                    </w:rPr>
                    <w:t>水</w:t>
                  </w:r>
                  <w:r>
                    <w:rPr>
                      <w:rFonts w:ascii="宋体" w:hAnsi="宋体" w:eastAsia="宋体" w:cs="宋体"/>
                      <w:spacing w:val="-38"/>
                      <w:sz w:val="20"/>
                      <w:szCs w:val="20"/>
                    </w:rPr>
                    <w:t xml:space="preserve"> </w:t>
                  </w:r>
                  <w:r>
                    <w:rPr>
                      <w:rFonts w:ascii="宋体" w:hAnsi="宋体" w:eastAsia="宋体" w:cs="宋体"/>
                      <w:spacing w:val="8"/>
                      <w:sz w:val="20"/>
                      <w:szCs w:val="20"/>
                    </w:rPr>
                    <w:t>田</w:t>
                  </w:r>
                </w:p>
              </w:tc>
              <w:tc>
                <w:tcPr>
                  <w:tcW w:w="761" w:type="dxa"/>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254"/>
                    <w:jc w:val="center"/>
                    <w:textAlignment w:val="baseline"/>
                  </w:pPr>
                  <w:r>
                    <w:rPr>
                      <w:spacing w:val="-1"/>
                    </w:rPr>
                    <w:t>250</w:t>
                  </w:r>
                </w:p>
              </w:tc>
              <w:tc>
                <w:tcPr>
                  <w:tcW w:w="1080" w:type="dxa"/>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24"/>
                    <w:jc w:val="center"/>
                    <w:textAlignment w:val="baseline"/>
                  </w:pPr>
                  <w:r>
                    <w:rPr>
                      <w:spacing w:val="-1"/>
                    </w:rPr>
                    <w:t>250</w:t>
                  </w:r>
                </w:p>
              </w:tc>
              <w:tc>
                <w:tcPr>
                  <w:tcW w:w="1080" w:type="dxa"/>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30"/>
                    <w:jc w:val="center"/>
                    <w:textAlignment w:val="baseline"/>
                  </w:pPr>
                  <w:r>
                    <w:rPr>
                      <w:spacing w:val="-2"/>
                    </w:rPr>
                    <w:t>300</w:t>
                  </w:r>
                </w:p>
              </w:tc>
              <w:tc>
                <w:tcPr>
                  <w:tcW w:w="768" w:type="dxa"/>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267"/>
                    <w:jc w:val="center"/>
                    <w:textAlignment w:val="baseline"/>
                  </w:pPr>
                  <w:r>
                    <w:rPr>
                      <w:spacing w:val="-3"/>
                    </w:rPr>
                    <w:t>350</w:t>
                  </w:r>
                </w:p>
              </w:tc>
              <w:tc>
                <w:tcPr>
                  <w:tcW w:w="761" w:type="dxa"/>
                  <w:vMerge w:val="restart"/>
                  <w:tcBorders>
                    <w:bottom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268"/>
                    <w:jc w:val="center"/>
                    <w:textAlignment w:val="baseline"/>
                  </w:pPr>
                  <w:r>
                    <w:rPr>
                      <w:spacing w:val="-4"/>
                    </w:rPr>
                    <w:t>800</w:t>
                  </w:r>
                </w:p>
              </w:tc>
              <w:tc>
                <w:tcPr>
                  <w:tcW w:w="1006" w:type="dxa"/>
                  <w:vMerge w:val="restart"/>
                  <w:tcBorders>
                    <w:bottom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40"/>
                    <w:jc w:val="center"/>
                    <w:textAlignment w:val="baseline"/>
                  </w:pPr>
                  <w:r>
                    <w:rPr>
                      <w:spacing w:val="-5"/>
                    </w:rPr>
                    <w:t>850</w:t>
                  </w:r>
                </w:p>
              </w:tc>
              <w:tc>
                <w:tcPr>
                  <w:tcW w:w="1161" w:type="dxa"/>
                  <w:vMerge w:val="restart"/>
                  <w:tcBorders>
                    <w:bottom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06"/>
                    <w:jc w:val="center"/>
                    <w:textAlignment w:val="baseline"/>
                  </w:pPr>
                  <w:r>
                    <w:rPr>
                      <w:spacing w:val="-7"/>
                    </w:rPr>
                    <w:t>1000</w:t>
                  </w:r>
                </w:p>
              </w:tc>
              <w:tc>
                <w:tcPr>
                  <w:tcW w:w="770" w:type="dxa"/>
                  <w:vMerge w:val="restart"/>
                  <w:tcBorders>
                    <w:bottom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240"/>
                    <w:jc w:val="center"/>
                    <w:textAlignment w:val="baseline"/>
                  </w:pPr>
                  <w:r>
                    <w:rPr>
                      <w:spacing w:val="-7"/>
                    </w:rPr>
                    <w:t>1300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jc w:val="center"/>
              </w:trPr>
              <w:tc>
                <w:tcPr>
                  <w:tcW w:w="398" w:type="dxa"/>
                  <w:vMerge w:val="continue"/>
                  <w:tcBorders>
                    <w:top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tc>
              <w:tc>
                <w:tcPr>
                  <w:tcW w:w="368" w:type="dxa"/>
                  <w:vMerge w:val="continue"/>
                  <w:tcBorders>
                    <w:top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tc>
              <w:tc>
                <w:tcPr>
                  <w:tcW w:w="385" w:type="dxa"/>
                  <w:noWrap w:val="0"/>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30"/>
                    <w:jc w:val="center"/>
                    <w:textAlignment w:val="baseline"/>
                    <w:rPr>
                      <w:rFonts w:ascii="宋体" w:hAnsi="宋体" w:eastAsia="宋体" w:cs="宋体"/>
                      <w:sz w:val="20"/>
                      <w:szCs w:val="20"/>
                    </w:rPr>
                  </w:pPr>
                  <w:r>
                    <w:rPr>
                      <w:rFonts w:ascii="宋体" w:hAnsi="宋体" w:eastAsia="宋体" w:cs="宋体"/>
                      <w:spacing w:val="8"/>
                      <w:sz w:val="20"/>
                      <w:szCs w:val="20"/>
                    </w:rPr>
                    <w:t>其</w:t>
                  </w:r>
                  <w:r>
                    <w:rPr>
                      <w:rFonts w:ascii="宋体" w:hAnsi="宋体" w:eastAsia="宋体" w:cs="宋体"/>
                      <w:spacing w:val="-38"/>
                      <w:sz w:val="20"/>
                      <w:szCs w:val="20"/>
                    </w:rPr>
                    <w:t xml:space="preserve"> </w:t>
                  </w:r>
                  <w:r>
                    <w:rPr>
                      <w:rFonts w:ascii="宋体" w:hAnsi="宋体" w:eastAsia="宋体" w:cs="宋体"/>
                      <w:spacing w:val="8"/>
                      <w:sz w:val="20"/>
                      <w:szCs w:val="20"/>
                    </w:rPr>
                    <w:t>他</w:t>
                  </w:r>
                </w:p>
              </w:tc>
              <w:tc>
                <w:tcPr>
                  <w:tcW w:w="761" w:type="dxa"/>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274"/>
                    <w:jc w:val="center"/>
                    <w:textAlignment w:val="baseline"/>
                  </w:pPr>
                  <w:r>
                    <w:rPr>
                      <w:spacing w:val="-8"/>
                    </w:rPr>
                    <w:t>150</w:t>
                  </w:r>
                </w:p>
              </w:tc>
              <w:tc>
                <w:tcPr>
                  <w:tcW w:w="1080" w:type="dxa"/>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44"/>
                    <w:jc w:val="center"/>
                    <w:textAlignment w:val="baseline"/>
                  </w:pPr>
                  <w:r>
                    <w:rPr>
                      <w:spacing w:val="-8"/>
                    </w:rPr>
                    <w:t>150</w:t>
                  </w:r>
                </w:p>
              </w:tc>
              <w:tc>
                <w:tcPr>
                  <w:tcW w:w="1080" w:type="dxa"/>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26"/>
                    <w:jc w:val="center"/>
                    <w:textAlignment w:val="baseline"/>
                  </w:pPr>
                  <w:r>
                    <w:rPr>
                      <w:spacing w:val="-1"/>
                    </w:rPr>
                    <w:t>200</w:t>
                  </w:r>
                </w:p>
              </w:tc>
              <w:tc>
                <w:tcPr>
                  <w:tcW w:w="768" w:type="dxa"/>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262"/>
                    <w:jc w:val="center"/>
                    <w:textAlignment w:val="baseline"/>
                  </w:pPr>
                  <w:r>
                    <w:rPr>
                      <w:spacing w:val="-2"/>
                    </w:rPr>
                    <w:t>250</w:t>
                  </w:r>
                </w:p>
              </w:tc>
              <w:tc>
                <w:tcPr>
                  <w:tcW w:w="761" w:type="dxa"/>
                  <w:vMerge w:val="continue"/>
                  <w:tcBorders>
                    <w:top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tc>
              <w:tc>
                <w:tcPr>
                  <w:tcW w:w="1006" w:type="dxa"/>
                  <w:vMerge w:val="continue"/>
                  <w:tcBorders>
                    <w:top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tc>
              <w:tc>
                <w:tcPr>
                  <w:tcW w:w="1161" w:type="dxa"/>
                  <w:vMerge w:val="continue"/>
                  <w:tcBorders>
                    <w:top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tc>
              <w:tc>
                <w:tcPr>
                  <w:tcW w:w="770" w:type="dxa"/>
                  <w:vMerge w:val="continue"/>
                  <w:tcBorders>
                    <w:top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0" w:hRule="atLeast"/>
                <w:jc w:val="center"/>
              </w:trPr>
              <w:tc>
                <w:tcPr>
                  <w:tcW w:w="398" w:type="dxa"/>
                  <w:vMerge w:val="restart"/>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153"/>
                    <w:jc w:val="both"/>
                    <w:textAlignment w:val="baseline"/>
                  </w:pPr>
                  <w:r>
                    <w:rPr>
                      <w:spacing w:val="1"/>
                    </w:rPr>
                    <w:t>4</w:t>
                  </w:r>
                </w:p>
                <w:p>
                  <w:pPr>
                    <w:keepNext w:val="0"/>
                    <w:keepLines w:val="0"/>
                    <w:pageBreakBefore w:val="0"/>
                    <w:widowControl/>
                    <w:kinsoku w:val="0"/>
                    <w:wordWrap/>
                    <w:overflowPunct/>
                    <w:topLinePunct w:val="0"/>
                    <w:autoSpaceDE w:val="0"/>
                    <w:autoSpaceDN w:val="0"/>
                    <w:bidi w:val="0"/>
                    <w:adjustRightInd w:val="0"/>
                    <w:snapToGrid w:val="0"/>
                    <w:spacing w:line="240" w:lineRule="auto"/>
                    <w:ind w:left="101"/>
                    <w:jc w:val="center"/>
                    <w:textAlignment w:val="baseline"/>
                    <w:rPr>
                      <w:rFonts w:ascii="宋体" w:hAnsi="宋体" w:eastAsia="宋体" w:cs="宋体"/>
                      <w:sz w:val="20"/>
                      <w:szCs w:val="20"/>
                    </w:rPr>
                  </w:pPr>
                </w:p>
              </w:tc>
              <w:tc>
                <w:tcPr>
                  <w:tcW w:w="368" w:type="dxa"/>
                  <w:vMerge w:val="restar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101"/>
                    <w:jc w:val="center"/>
                    <w:textAlignment w:val="baseline"/>
                    <w:rPr>
                      <w:rFonts w:ascii="宋体" w:hAnsi="宋体" w:eastAsia="宋体" w:cs="宋体"/>
                      <w:sz w:val="20"/>
                      <w:szCs w:val="20"/>
                    </w:rPr>
                  </w:pPr>
                  <w:r>
                    <w:rPr>
                      <w:rFonts w:ascii="宋体" w:hAnsi="宋体" w:eastAsia="宋体" w:cs="宋体"/>
                      <w:sz w:val="20"/>
                      <w:szCs w:val="20"/>
                    </w:rPr>
                    <w:t>铜</w:t>
                  </w:r>
                </w:p>
              </w:tc>
              <w:tc>
                <w:tcPr>
                  <w:tcW w:w="385" w:type="dxa"/>
                  <w:noWrap w:val="0"/>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30"/>
                    <w:jc w:val="center"/>
                    <w:textAlignment w:val="baseline"/>
                    <w:rPr>
                      <w:rFonts w:ascii="宋体" w:hAnsi="宋体" w:eastAsia="宋体" w:cs="宋体"/>
                      <w:sz w:val="20"/>
                      <w:szCs w:val="20"/>
                    </w:rPr>
                  </w:pPr>
                  <w:r>
                    <w:rPr>
                      <w:rFonts w:ascii="宋体" w:hAnsi="宋体" w:eastAsia="宋体" w:cs="宋体"/>
                      <w:spacing w:val="8"/>
                      <w:sz w:val="20"/>
                      <w:szCs w:val="20"/>
                    </w:rPr>
                    <w:t>水</w:t>
                  </w:r>
                  <w:r>
                    <w:rPr>
                      <w:rFonts w:ascii="宋体" w:hAnsi="宋体" w:eastAsia="宋体" w:cs="宋体"/>
                      <w:spacing w:val="-38"/>
                      <w:sz w:val="20"/>
                      <w:szCs w:val="20"/>
                    </w:rPr>
                    <w:t xml:space="preserve"> </w:t>
                  </w:r>
                  <w:r>
                    <w:rPr>
                      <w:rFonts w:ascii="宋体" w:hAnsi="宋体" w:eastAsia="宋体" w:cs="宋体"/>
                      <w:spacing w:val="8"/>
                      <w:sz w:val="20"/>
                      <w:szCs w:val="20"/>
                    </w:rPr>
                    <w:t>田</w:t>
                  </w:r>
                </w:p>
              </w:tc>
              <w:tc>
                <w:tcPr>
                  <w:tcW w:w="761" w:type="dxa"/>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274"/>
                    <w:jc w:val="center"/>
                    <w:textAlignment w:val="baseline"/>
                  </w:pPr>
                  <w:r>
                    <w:rPr>
                      <w:spacing w:val="-8"/>
                    </w:rPr>
                    <w:t>150</w:t>
                  </w:r>
                </w:p>
              </w:tc>
              <w:tc>
                <w:tcPr>
                  <w:tcW w:w="1080" w:type="dxa"/>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44"/>
                    <w:jc w:val="center"/>
                    <w:textAlignment w:val="baseline"/>
                  </w:pPr>
                  <w:r>
                    <w:rPr>
                      <w:spacing w:val="-8"/>
                    </w:rPr>
                    <w:t>150</w:t>
                  </w:r>
                </w:p>
              </w:tc>
              <w:tc>
                <w:tcPr>
                  <w:tcW w:w="1080" w:type="dxa"/>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26"/>
                    <w:jc w:val="center"/>
                    <w:textAlignment w:val="baseline"/>
                  </w:pPr>
                  <w:r>
                    <w:rPr>
                      <w:spacing w:val="-1"/>
                    </w:rPr>
                    <w:t>200</w:t>
                  </w:r>
                </w:p>
              </w:tc>
              <w:tc>
                <w:tcPr>
                  <w:tcW w:w="768" w:type="dxa"/>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262"/>
                    <w:jc w:val="center"/>
                    <w:textAlignment w:val="baseline"/>
                  </w:pPr>
                  <w:r>
                    <w:rPr>
                      <w:spacing w:val="-2"/>
                    </w:rPr>
                    <w:t>200</w:t>
                  </w:r>
                </w:p>
              </w:tc>
              <w:tc>
                <w:tcPr>
                  <w:tcW w:w="3698" w:type="dxa"/>
                  <w:gridSpan w:val="4"/>
                  <w:vMerge w:val="restart"/>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1928"/>
                    <w:jc w:val="center"/>
                    <w:textAlignment w:val="baseline"/>
                  </w:pPr>
                  <w:r>
                    <w:rPr>
                      <w:spacing w:val="2"/>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8" w:hRule="atLeast"/>
                <w:jc w:val="center"/>
              </w:trPr>
              <w:tc>
                <w:tcPr>
                  <w:tcW w:w="398" w:type="dxa"/>
                  <w:vMerge w:val="continue"/>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1928"/>
                    <w:jc w:val="center"/>
                    <w:textAlignment w:val="baseline"/>
                    <w:rPr>
                      <w:spacing w:val="1"/>
                    </w:rPr>
                  </w:pPr>
                </w:p>
              </w:tc>
              <w:tc>
                <w:tcPr>
                  <w:tcW w:w="368" w:type="dxa"/>
                  <w:vMerge w:val="continue"/>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1928"/>
                    <w:jc w:val="center"/>
                    <w:textAlignment w:val="baseline"/>
                    <w:rPr>
                      <w:spacing w:val="1"/>
                    </w:rPr>
                  </w:pPr>
                </w:p>
              </w:tc>
              <w:tc>
                <w:tcPr>
                  <w:tcW w:w="385" w:type="dxa"/>
                  <w:tcBorders>
                    <w:bottom w:val="nil"/>
                  </w:tcBorders>
                  <w:noWrap w:val="0"/>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46" w:leftChars="0"/>
                    <w:jc w:val="center"/>
                    <w:textAlignment w:val="baseline"/>
                    <w:rPr>
                      <w:rFonts w:ascii="宋体" w:hAnsi="宋体" w:eastAsia="宋体" w:cs="宋体"/>
                      <w:sz w:val="20"/>
                      <w:szCs w:val="20"/>
                    </w:rPr>
                  </w:pPr>
                  <w:r>
                    <w:rPr>
                      <w:rFonts w:ascii="宋体" w:hAnsi="宋体" w:eastAsia="宋体" w:cs="宋体"/>
                      <w:spacing w:val="8"/>
                      <w:sz w:val="20"/>
                      <w:szCs w:val="20"/>
                    </w:rPr>
                    <w:t>其</w:t>
                  </w:r>
                  <w:r>
                    <w:rPr>
                      <w:rFonts w:ascii="宋体" w:hAnsi="宋体" w:eastAsia="宋体" w:cs="宋体"/>
                      <w:spacing w:val="-38"/>
                      <w:sz w:val="20"/>
                      <w:szCs w:val="20"/>
                    </w:rPr>
                    <w:t xml:space="preserve"> </w:t>
                  </w:r>
                  <w:r>
                    <w:rPr>
                      <w:rFonts w:ascii="宋体" w:hAnsi="宋体" w:eastAsia="宋体" w:cs="宋体"/>
                      <w:spacing w:val="8"/>
                      <w:sz w:val="20"/>
                      <w:szCs w:val="20"/>
                    </w:rPr>
                    <w:t>他</w:t>
                  </w:r>
                </w:p>
              </w:tc>
              <w:tc>
                <w:tcPr>
                  <w:tcW w:w="761" w:type="dxa"/>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308" w:leftChars="0"/>
                    <w:jc w:val="center"/>
                    <w:textAlignment w:val="baseline"/>
                    <w:rPr>
                      <w:rFonts w:ascii="宋体" w:hAnsi="宋体" w:eastAsia="宋体" w:cs="宋体"/>
                      <w:spacing w:val="8"/>
                      <w:sz w:val="20"/>
                      <w:szCs w:val="20"/>
                    </w:rPr>
                  </w:pPr>
                  <w:r>
                    <w:rPr>
                      <w:spacing w:val="-3"/>
                    </w:rPr>
                    <w:t>50</w:t>
                  </w:r>
                </w:p>
              </w:tc>
              <w:tc>
                <w:tcPr>
                  <w:tcW w:w="1080" w:type="dxa"/>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77" w:leftChars="0"/>
                    <w:jc w:val="center"/>
                    <w:textAlignment w:val="baseline"/>
                    <w:rPr>
                      <w:spacing w:val="-8"/>
                    </w:rPr>
                  </w:pPr>
                  <w:r>
                    <w:rPr>
                      <w:spacing w:val="-3"/>
                    </w:rPr>
                    <w:t>50</w:t>
                  </w:r>
                </w:p>
              </w:tc>
              <w:tc>
                <w:tcPr>
                  <w:tcW w:w="1080" w:type="dxa"/>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46" w:leftChars="0"/>
                    <w:jc w:val="center"/>
                    <w:textAlignment w:val="baseline"/>
                    <w:rPr>
                      <w:spacing w:val="-1"/>
                    </w:rPr>
                  </w:pPr>
                  <w:r>
                    <w:rPr>
                      <w:spacing w:val="-8"/>
                    </w:rPr>
                    <w:t>100</w:t>
                  </w:r>
                </w:p>
              </w:tc>
              <w:tc>
                <w:tcPr>
                  <w:tcW w:w="768" w:type="dxa"/>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283" w:leftChars="0"/>
                    <w:jc w:val="center"/>
                    <w:textAlignment w:val="baseline"/>
                    <w:rPr>
                      <w:spacing w:val="-2"/>
                    </w:rPr>
                  </w:pPr>
                  <w:r>
                    <w:rPr>
                      <w:spacing w:val="-8"/>
                    </w:rPr>
                    <w:t>100</w:t>
                  </w:r>
                </w:p>
              </w:tc>
              <w:tc>
                <w:tcPr>
                  <w:tcW w:w="3698" w:type="dxa"/>
                  <w:gridSpan w:val="4"/>
                  <w:vMerge w:val="continue"/>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1928"/>
                    <w:jc w:val="center"/>
                    <w:textAlignment w:val="baseline"/>
                    <w:rPr>
                      <w:spacing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7" w:hRule="atLeast"/>
                <w:jc w:val="center"/>
              </w:trPr>
              <w:tc>
                <w:tcPr>
                  <w:tcW w:w="398" w:type="dxa"/>
                  <w:vMerge w:val="restar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160" w:leftChars="0"/>
                    <w:jc w:val="both"/>
                    <w:textAlignment w:val="baseline"/>
                    <w:rPr>
                      <w:spacing w:val="1"/>
                    </w:rPr>
                  </w:pPr>
                  <w:r>
                    <w:t>5</w:t>
                  </w:r>
                </w:p>
              </w:tc>
              <w:tc>
                <w:tcPr>
                  <w:tcW w:w="368" w:type="dxa"/>
                  <w:vMerge w:val="restar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101" w:leftChars="0"/>
                    <w:jc w:val="center"/>
                    <w:textAlignment w:val="baseline"/>
                    <w:rPr>
                      <w:spacing w:val="1"/>
                    </w:rPr>
                  </w:pPr>
                  <w:r>
                    <w:rPr>
                      <w:rFonts w:ascii="宋体" w:hAnsi="宋体" w:eastAsia="宋体" w:cs="宋体"/>
                      <w:sz w:val="20"/>
                      <w:szCs w:val="20"/>
                    </w:rPr>
                    <w:t>铅</w:t>
                  </w:r>
                </w:p>
              </w:tc>
              <w:tc>
                <w:tcPr>
                  <w:tcW w:w="385" w:type="dxa"/>
                  <w:tcBorders>
                    <w:bottom w:val="nil"/>
                  </w:tcBorders>
                  <w:noWrap w:val="0"/>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3" w:leftChars="0"/>
                    <w:jc w:val="center"/>
                    <w:textAlignment w:val="baseline"/>
                    <w:rPr>
                      <w:spacing w:val="1"/>
                    </w:rPr>
                  </w:pPr>
                  <w:r>
                    <w:rPr>
                      <w:rFonts w:ascii="宋体" w:hAnsi="宋体" w:eastAsia="宋体" w:cs="宋体"/>
                      <w:spacing w:val="8"/>
                      <w:sz w:val="20"/>
                      <w:szCs w:val="20"/>
                    </w:rPr>
                    <w:t>水</w:t>
                  </w:r>
                  <w:r>
                    <w:rPr>
                      <w:rFonts w:ascii="宋体" w:hAnsi="宋体" w:eastAsia="宋体" w:cs="宋体"/>
                      <w:spacing w:val="-38"/>
                      <w:sz w:val="20"/>
                      <w:szCs w:val="20"/>
                    </w:rPr>
                    <w:t xml:space="preserve"> </w:t>
                  </w:r>
                  <w:r>
                    <w:rPr>
                      <w:rFonts w:ascii="宋体" w:hAnsi="宋体" w:eastAsia="宋体" w:cs="宋体"/>
                      <w:spacing w:val="8"/>
                      <w:sz w:val="20"/>
                      <w:szCs w:val="20"/>
                    </w:rPr>
                    <w:t>田</w:t>
                  </w:r>
                </w:p>
              </w:tc>
              <w:tc>
                <w:tcPr>
                  <w:tcW w:w="761" w:type="dxa"/>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310" w:leftChars="0"/>
                    <w:jc w:val="center"/>
                    <w:textAlignment w:val="baseline"/>
                    <w:rPr>
                      <w:spacing w:val="1"/>
                    </w:rPr>
                  </w:pPr>
                  <w:r>
                    <w:rPr>
                      <w:spacing w:val="-5"/>
                    </w:rPr>
                    <w:t>80</w:t>
                  </w:r>
                </w:p>
              </w:tc>
              <w:tc>
                <w:tcPr>
                  <w:tcW w:w="1080" w:type="dxa"/>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44" w:leftChars="0"/>
                    <w:jc w:val="center"/>
                    <w:textAlignment w:val="baseline"/>
                    <w:rPr>
                      <w:spacing w:val="1"/>
                    </w:rPr>
                  </w:pPr>
                  <w:r>
                    <w:rPr>
                      <w:spacing w:val="-8"/>
                    </w:rPr>
                    <w:t>100</w:t>
                  </w:r>
                </w:p>
              </w:tc>
              <w:tc>
                <w:tcPr>
                  <w:tcW w:w="1080" w:type="dxa"/>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46" w:leftChars="0"/>
                    <w:jc w:val="center"/>
                    <w:textAlignment w:val="baseline"/>
                    <w:rPr>
                      <w:spacing w:val="1"/>
                    </w:rPr>
                  </w:pPr>
                  <w:r>
                    <w:rPr>
                      <w:spacing w:val="-8"/>
                    </w:rPr>
                    <w:t>140</w:t>
                  </w:r>
                </w:p>
              </w:tc>
              <w:tc>
                <w:tcPr>
                  <w:tcW w:w="768" w:type="dxa"/>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262" w:leftChars="0"/>
                    <w:jc w:val="center"/>
                    <w:textAlignment w:val="baseline"/>
                    <w:rPr>
                      <w:spacing w:val="1"/>
                    </w:rPr>
                  </w:pPr>
                  <w:r>
                    <w:rPr>
                      <w:spacing w:val="-2"/>
                    </w:rPr>
                    <w:t>240</w:t>
                  </w:r>
                </w:p>
              </w:tc>
              <w:tc>
                <w:tcPr>
                  <w:tcW w:w="761" w:type="dxa"/>
                  <w:vMerge w:val="restar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258" w:leftChars="0"/>
                    <w:jc w:val="center"/>
                    <w:textAlignment w:val="baseline"/>
                    <w:rPr>
                      <w:spacing w:val="1"/>
                    </w:rPr>
                  </w:pPr>
                  <w:r>
                    <w:rPr>
                      <w:spacing w:val="-1"/>
                    </w:rPr>
                    <w:t>400</w:t>
                  </w:r>
                </w:p>
              </w:tc>
              <w:tc>
                <w:tcPr>
                  <w:tcW w:w="1006" w:type="dxa"/>
                  <w:vMerge w:val="restar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37" w:leftChars="0"/>
                    <w:jc w:val="center"/>
                    <w:textAlignment w:val="baseline"/>
                    <w:rPr>
                      <w:spacing w:val="1"/>
                    </w:rPr>
                  </w:pPr>
                  <w:r>
                    <w:rPr>
                      <w:spacing w:val="-4"/>
                    </w:rPr>
                    <w:t>500</w:t>
                  </w:r>
                </w:p>
              </w:tc>
              <w:tc>
                <w:tcPr>
                  <w:tcW w:w="1161" w:type="dxa"/>
                  <w:vMerge w:val="restar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35" w:leftChars="0"/>
                    <w:jc w:val="center"/>
                    <w:textAlignment w:val="baseline"/>
                    <w:rPr>
                      <w:spacing w:val="1"/>
                    </w:rPr>
                  </w:pPr>
                  <w:r>
                    <w:rPr>
                      <w:spacing w:val="-2"/>
                    </w:rPr>
                    <w:t>700</w:t>
                  </w:r>
                </w:p>
              </w:tc>
              <w:tc>
                <w:tcPr>
                  <w:tcW w:w="770" w:type="dxa"/>
                  <w:vMerge w:val="restar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240" w:leftChars="0"/>
                    <w:jc w:val="center"/>
                    <w:textAlignment w:val="baseline"/>
                    <w:rPr>
                      <w:spacing w:val="1"/>
                    </w:rPr>
                  </w:pPr>
                  <w:r>
                    <w:rPr>
                      <w:spacing w:val="-7"/>
                    </w:rP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6" w:hRule="atLeast"/>
                <w:jc w:val="center"/>
              </w:trPr>
              <w:tc>
                <w:tcPr>
                  <w:tcW w:w="398" w:type="dxa"/>
                  <w:vMerge w:val="continue"/>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1928"/>
                    <w:jc w:val="center"/>
                    <w:textAlignment w:val="baseline"/>
                    <w:rPr>
                      <w:spacing w:val="1"/>
                    </w:rPr>
                  </w:pPr>
                </w:p>
              </w:tc>
              <w:tc>
                <w:tcPr>
                  <w:tcW w:w="368" w:type="dxa"/>
                  <w:vMerge w:val="continue"/>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1928"/>
                    <w:jc w:val="center"/>
                    <w:textAlignment w:val="baseline"/>
                    <w:rPr>
                      <w:spacing w:val="1"/>
                    </w:rPr>
                  </w:pPr>
                </w:p>
              </w:tc>
              <w:tc>
                <w:tcPr>
                  <w:tcW w:w="385" w:type="dxa"/>
                  <w:tcBorders>
                    <w:bottom w:val="nil"/>
                  </w:tcBorders>
                  <w:noWrap w:val="0"/>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6" w:leftChars="0"/>
                    <w:jc w:val="center"/>
                    <w:textAlignment w:val="baseline"/>
                    <w:rPr>
                      <w:spacing w:val="1"/>
                    </w:rPr>
                  </w:pPr>
                  <w:r>
                    <w:rPr>
                      <w:rFonts w:ascii="宋体" w:hAnsi="宋体" w:eastAsia="宋体" w:cs="宋体"/>
                      <w:spacing w:val="8"/>
                      <w:sz w:val="20"/>
                      <w:szCs w:val="20"/>
                    </w:rPr>
                    <w:t>其</w:t>
                  </w:r>
                  <w:r>
                    <w:rPr>
                      <w:rFonts w:ascii="宋体" w:hAnsi="宋体" w:eastAsia="宋体" w:cs="宋体"/>
                      <w:spacing w:val="-35"/>
                      <w:sz w:val="20"/>
                      <w:szCs w:val="20"/>
                    </w:rPr>
                    <w:t xml:space="preserve"> </w:t>
                  </w:r>
                  <w:r>
                    <w:rPr>
                      <w:rFonts w:ascii="宋体" w:hAnsi="宋体" w:eastAsia="宋体" w:cs="宋体"/>
                      <w:spacing w:val="8"/>
                      <w:sz w:val="20"/>
                      <w:szCs w:val="20"/>
                    </w:rPr>
                    <w:t>他</w:t>
                  </w:r>
                </w:p>
              </w:tc>
              <w:tc>
                <w:tcPr>
                  <w:tcW w:w="761" w:type="dxa"/>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305" w:leftChars="0"/>
                    <w:jc w:val="center"/>
                    <w:textAlignment w:val="baseline"/>
                    <w:rPr>
                      <w:spacing w:val="1"/>
                    </w:rPr>
                  </w:pPr>
                  <w:r>
                    <w:rPr>
                      <w:spacing w:val="-2"/>
                    </w:rPr>
                    <w:t>70</w:t>
                  </w:r>
                </w:p>
              </w:tc>
              <w:tc>
                <w:tcPr>
                  <w:tcW w:w="1080" w:type="dxa"/>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76" w:leftChars="0"/>
                    <w:jc w:val="center"/>
                    <w:textAlignment w:val="baseline"/>
                    <w:rPr>
                      <w:spacing w:val="1"/>
                    </w:rPr>
                  </w:pPr>
                  <w:r>
                    <w:rPr>
                      <w:spacing w:val="-2"/>
                    </w:rPr>
                    <w:t>90</w:t>
                  </w:r>
                </w:p>
              </w:tc>
              <w:tc>
                <w:tcPr>
                  <w:tcW w:w="1080" w:type="dxa"/>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46" w:leftChars="0"/>
                    <w:jc w:val="center"/>
                    <w:textAlignment w:val="baseline"/>
                    <w:rPr>
                      <w:spacing w:val="1"/>
                    </w:rPr>
                  </w:pPr>
                  <w:r>
                    <w:rPr>
                      <w:spacing w:val="-8"/>
                    </w:rPr>
                    <w:t>120</w:t>
                  </w:r>
                </w:p>
              </w:tc>
              <w:tc>
                <w:tcPr>
                  <w:tcW w:w="768" w:type="dxa"/>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283" w:leftChars="0"/>
                    <w:jc w:val="center"/>
                    <w:textAlignment w:val="baseline"/>
                    <w:rPr>
                      <w:spacing w:val="1"/>
                    </w:rPr>
                  </w:pPr>
                  <w:r>
                    <w:rPr>
                      <w:spacing w:val="-8"/>
                    </w:rPr>
                    <w:t>170</w:t>
                  </w:r>
                </w:p>
              </w:tc>
              <w:tc>
                <w:tcPr>
                  <w:tcW w:w="761" w:type="dxa"/>
                  <w:vMerge w:val="continue"/>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1928"/>
                    <w:jc w:val="center"/>
                    <w:textAlignment w:val="baseline"/>
                    <w:rPr>
                      <w:spacing w:val="1"/>
                    </w:rPr>
                  </w:pPr>
                </w:p>
              </w:tc>
              <w:tc>
                <w:tcPr>
                  <w:tcW w:w="1006" w:type="dxa"/>
                  <w:vMerge w:val="continue"/>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1928"/>
                    <w:jc w:val="center"/>
                    <w:textAlignment w:val="baseline"/>
                    <w:rPr>
                      <w:spacing w:val="1"/>
                    </w:rPr>
                  </w:pPr>
                </w:p>
              </w:tc>
              <w:tc>
                <w:tcPr>
                  <w:tcW w:w="1161" w:type="dxa"/>
                  <w:vMerge w:val="continue"/>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1928"/>
                    <w:jc w:val="center"/>
                    <w:textAlignment w:val="baseline"/>
                    <w:rPr>
                      <w:spacing w:val="1"/>
                    </w:rPr>
                  </w:pPr>
                </w:p>
              </w:tc>
              <w:tc>
                <w:tcPr>
                  <w:tcW w:w="770" w:type="dxa"/>
                  <w:vMerge w:val="continue"/>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1928"/>
                    <w:jc w:val="center"/>
                    <w:textAlignment w:val="baseline"/>
                    <w:rPr>
                      <w:spacing w:val="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2" w:hRule="atLeast"/>
                <w:jc w:val="center"/>
              </w:trPr>
              <w:tc>
                <w:tcPr>
                  <w:tcW w:w="398" w:type="dxa"/>
                  <w:vMerge w:val="restar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158" w:leftChars="0"/>
                    <w:jc w:val="both"/>
                    <w:textAlignment w:val="baseline"/>
                    <w:rPr>
                      <w:spacing w:val="1"/>
                    </w:rPr>
                  </w:pPr>
                  <w:r>
                    <w:t>6</w:t>
                  </w:r>
                </w:p>
              </w:tc>
              <w:tc>
                <w:tcPr>
                  <w:tcW w:w="368" w:type="dxa"/>
                  <w:vMerge w:val="restar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102" w:leftChars="0"/>
                    <w:jc w:val="center"/>
                    <w:textAlignment w:val="baseline"/>
                    <w:rPr>
                      <w:spacing w:val="1"/>
                    </w:rPr>
                  </w:pPr>
                  <w:r>
                    <w:rPr>
                      <w:rFonts w:ascii="宋体" w:hAnsi="宋体" w:eastAsia="宋体" w:cs="宋体"/>
                      <w:sz w:val="20"/>
                      <w:szCs w:val="20"/>
                    </w:rPr>
                    <w:t>汞</w:t>
                  </w:r>
                </w:p>
              </w:tc>
              <w:tc>
                <w:tcPr>
                  <w:tcW w:w="385" w:type="dxa"/>
                  <w:tcBorders>
                    <w:bottom w:val="nil"/>
                  </w:tcBorders>
                  <w:noWrap w:val="0"/>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30" w:leftChars="0"/>
                    <w:jc w:val="center"/>
                    <w:textAlignment w:val="baseline"/>
                    <w:rPr>
                      <w:spacing w:val="1"/>
                    </w:rPr>
                  </w:pPr>
                  <w:r>
                    <w:rPr>
                      <w:rFonts w:ascii="宋体" w:hAnsi="宋体" w:eastAsia="宋体" w:cs="宋体"/>
                      <w:spacing w:val="8"/>
                      <w:sz w:val="20"/>
                      <w:szCs w:val="20"/>
                    </w:rPr>
                    <w:t>水</w:t>
                  </w:r>
                  <w:r>
                    <w:rPr>
                      <w:rFonts w:ascii="宋体" w:hAnsi="宋体" w:eastAsia="宋体" w:cs="宋体"/>
                      <w:spacing w:val="-38"/>
                      <w:sz w:val="20"/>
                      <w:szCs w:val="20"/>
                    </w:rPr>
                    <w:t xml:space="preserve"> </w:t>
                  </w:r>
                  <w:r>
                    <w:rPr>
                      <w:rFonts w:ascii="宋体" w:hAnsi="宋体" w:eastAsia="宋体" w:cs="宋体"/>
                      <w:spacing w:val="8"/>
                      <w:sz w:val="20"/>
                      <w:szCs w:val="20"/>
                    </w:rPr>
                    <w:t>田</w:t>
                  </w:r>
                </w:p>
              </w:tc>
              <w:tc>
                <w:tcPr>
                  <w:tcW w:w="761" w:type="dxa"/>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283" w:leftChars="0"/>
                    <w:jc w:val="center"/>
                    <w:textAlignment w:val="baseline"/>
                    <w:rPr>
                      <w:spacing w:val="1"/>
                    </w:rPr>
                  </w:pPr>
                  <w:r>
                    <w:rPr>
                      <w:spacing w:val="-3"/>
                    </w:rPr>
                    <w:t>0.5</w:t>
                  </w:r>
                </w:p>
              </w:tc>
              <w:tc>
                <w:tcPr>
                  <w:tcW w:w="1080" w:type="dxa"/>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53" w:leftChars="0"/>
                    <w:jc w:val="center"/>
                    <w:textAlignment w:val="baseline"/>
                    <w:rPr>
                      <w:spacing w:val="1"/>
                    </w:rPr>
                  </w:pPr>
                  <w:r>
                    <w:rPr>
                      <w:spacing w:val="-3"/>
                    </w:rPr>
                    <w:t>0.5</w:t>
                  </w:r>
                </w:p>
              </w:tc>
              <w:tc>
                <w:tcPr>
                  <w:tcW w:w="1080" w:type="dxa"/>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55" w:leftChars="0"/>
                    <w:jc w:val="center"/>
                    <w:textAlignment w:val="baseline"/>
                    <w:rPr>
                      <w:spacing w:val="1"/>
                    </w:rPr>
                  </w:pPr>
                  <w:r>
                    <w:rPr>
                      <w:spacing w:val="-3"/>
                    </w:rPr>
                    <w:t>0.6</w:t>
                  </w:r>
                </w:p>
              </w:tc>
              <w:tc>
                <w:tcPr>
                  <w:tcW w:w="768" w:type="dxa"/>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307" w:leftChars="0"/>
                    <w:jc w:val="center"/>
                    <w:textAlignment w:val="baseline"/>
                    <w:rPr>
                      <w:spacing w:val="1"/>
                    </w:rPr>
                  </w:pPr>
                  <w:r>
                    <w:rPr>
                      <w:spacing w:val="-8"/>
                    </w:rPr>
                    <w:t>1.0</w:t>
                  </w:r>
                </w:p>
              </w:tc>
              <w:tc>
                <w:tcPr>
                  <w:tcW w:w="761" w:type="dxa"/>
                  <w:vMerge w:val="restar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286" w:leftChars="0"/>
                    <w:jc w:val="center"/>
                    <w:textAlignment w:val="baseline"/>
                    <w:rPr>
                      <w:spacing w:val="1"/>
                    </w:rPr>
                  </w:pPr>
                  <w:r>
                    <w:rPr>
                      <w:spacing w:val="-2"/>
                    </w:rPr>
                    <w:t>2.0</w:t>
                  </w:r>
                </w:p>
              </w:tc>
              <w:tc>
                <w:tcPr>
                  <w:tcW w:w="1006" w:type="dxa"/>
                  <w:vMerge w:val="restar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55" w:leftChars="0"/>
                    <w:jc w:val="center"/>
                    <w:textAlignment w:val="baseline"/>
                    <w:rPr>
                      <w:spacing w:val="1"/>
                    </w:rPr>
                  </w:pPr>
                  <w:r>
                    <w:rPr>
                      <w:spacing w:val="-2"/>
                    </w:rPr>
                    <w:t>2.5</w:t>
                  </w:r>
                </w:p>
              </w:tc>
              <w:tc>
                <w:tcPr>
                  <w:tcW w:w="1161" w:type="dxa"/>
                  <w:vMerge w:val="restar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57" w:leftChars="0"/>
                    <w:jc w:val="center"/>
                    <w:textAlignment w:val="baseline"/>
                    <w:rPr>
                      <w:spacing w:val="1"/>
                    </w:rPr>
                  </w:pPr>
                  <w:r>
                    <w:rPr>
                      <w:spacing w:val="-1"/>
                    </w:rPr>
                    <w:t>4.0</w:t>
                  </w:r>
                </w:p>
              </w:tc>
              <w:tc>
                <w:tcPr>
                  <w:tcW w:w="770" w:type="dxa"/>
                  <w:vMerge w:val="restar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sz w:val="21"/>
                    </w:rPr>
                  </w:pPr>
                </w:p>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299" w:leftChars="0"/>
                    <w:jc w:val="center"/>
                    <w:textAlignment w:val="baseline"/>
                    <w:rPr>
                      <w:spacing w:val="1"/>
                    </w:rPr>
                  </w:pPr>
                  <w:r>
                    <w:rPr>
                      <w:spacing w:val="-4"/>
                    </w:rPr>
                    <w:t>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4" w:hRule="atLeast"/>
                <w:jc w:val="center"/>
              </w:trPr>
              <w:tc>
                <w:tcPr>
                  <w:tcW w:w="398" w:type="dxa"/>
                  <w:vMerge w:val="continue"/>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1928"/>
                    <w:jc w:val="center"/>
                    <w:textAlignment w:val="baseline"/>
                    <w:rPr>
                      <w:spacing w:val="1"/>
                    </w:rPr>
                  </w:pPr>
                </w:p>
              </w:tc>
              <w:tc>
                <w:tcPr>
                  <w:tcW w:w="368" w:type="dxa"/>
                  <w:vMerge w:val="continue"/>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1928"/>
                    <w:jc w:val="center"/>
                    <w:textAlignment w:val="baseline"/>
                    <w:rPr>
                      <w:spacing w:val="1"/>
                    </w:rPr>
                  </w:pPr>
                </w:p>
              </w:tc>
              <w:tc>
                <w:tcPr>
                  <w:tcW w:w="385" w:type="dxa"/>
                  <w:tcBorders>
                    <w:bottom w:val="nil"/>
                  </w:tcBorders>
                  <w:noWrap w:val="0"/>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32" w:leftChars="0"/>
                    <w:jc w:val="center"/>
                    <w:textAlignment w:val="baseline"/>
                    <w:rPr>
                      <w:spacing w:val="1"/>
                    </w:rPr>
                  </w:pPr>
                  <w:r>
                    <w:rPr>
                      <w:rFonts w:ascii="宋体" w:hAnsi="宋体" w:eastAsia="宋体" w:cs="宋体"/>
                      <w:spacing w:val="8"/>
                      <w:sz w:val="20"/>
                      <w:szCs w:val="20"/>
                    </w:rPr>
                    <w:t>其</w:t>
                  </w:r>
                  <w:r>
                    <w:rPr>
                      <w:rFonts w:ascii="宋体" w:hAnsi="宋体" w:eastAsia="宋体" w:cs="宋体"/>
                      <w:spacing w:val="-38"/>
                      <w:sz w:val="20"/>
                      <w:szCs w:val="20"/>
                    </w:rPr>
                    <w:t xml:space="preserve"> </w:t>
                  </w:r>
                  <w:r>
                    <w:rPr>
                      <w:rFonts w:ascii="宋体" w:hAnsi="宋体" w:eastAsia="宋体" w:cs="宋体"/>
                      <w:spacing w:val="8"/>
                      <w:sz w:val="20"/>
                      <w:szCs w:val="20"/>
                    </w:rPr>
                    <w:t>他</w:t>
                  </w:r>
                </w:p>
              </w:tc>
              <w:tc>
                <w:tcPr>
                  <w:tcW w:w="761" w:type="dxa"/>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300" w:leftChars="0"/>
                    <w:jc w:val="center"/>
                    <w:textAlignment w:val="baseline"/>
                    <w:rPr>
                      <w:spacing w:val="1"/>
                    </w:rPr>
                  </w:pPr>
                  <w:r>
                    <w:rPr>
                      <w:spacing w:val="-8"/>
                    </w:rPr>
                    <w:t>1.3</w:t>
                  </w:r>
                </w:p>
              </w:tc>
              <w:tc>
                <w:tcPr>
                  <w:tcW w:w="1080" w:type="dxa"/>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70" w:leftChars="0"/>
                    <w:jc w:val="center"/>
                    <w:textAlignment w:val="baseline"/>
                    <w:rPr>
                      <w:spacing w:val="1"/>
                    </w:rPr>
                  </w:pPr>
                  <w:r>
                    <w:rPr>
                      <w:spacing w:val="-8"/>
                    </w:rPr>
                    <w:t>1.8</w:t>
                  </w:r>
                </w:p>
              </w:tc>
              <w:tc>
                <w:tcPr>
                  <w:tcW w:w="1080" w:type="dxa"/>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52" w:leftChars="0"/>
                    <w:jc w:val="center"/>
                    <w:textAlignment w:val="baseline"/>
                    <w:rPr>
                      <w:spacing w:val="1"/>
                    </w:rPr>
                  </w:pPr>
                  <w:r>
                    <w:rPr>
                      <w:spacing w:val="-2"/>
                    </w:rPr>
                    <w:t>2.4</w:t>
                  </w:r>
                </w:p>
              </w:tc>
              <w:tc>
                <w:tcPr>
                  <w:tcW w:w="768" w:type="dxa"/>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291" w:leftChars="0"/>
                    <w:jc w:val="center"/>
                    <w:textAlignment w:val="baseline"/>
                    <w:rPr>
                      <w:spacing w:val="1"/>
                    </w:rPr>
                  </w:pPr>
                  <w:r>
                    <w:rPr>
                      <w:spacing w:val="-3"/>
                    </w:rPr>
                    <w:t>3.4</w:t>
                  </w:r>
                </w:p>
              </w:tc>
              <w:tc>
                <w:tcPr>
                  <w:tcW w:w="761" w:type="dxa"/>
                  <w:vMerge w:val="continue"/>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1928"/>
                    <w:jc w:val="center"/>
                    <w:textAlignment w:val="baseline"/>
                    <w:rPr>
                      <w:spacing w:val="1"/>
                    </w:rPr>
                  </w:pPr>
                </w:p>
              </w:tc>
              <w:tc>
                <w:tcPr>
                  <w:tcW w:w="1006" w:type="dxa"/>
                  <w:vMerge w:val="continue"/>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1928"/>
                    <w:jc w:val="center"/>
                    <w:textAlignment w:val="baseline"/>
                    <w:rPr>
                      <w:spacing w:val="1"/>
                    </w:rPr>
                  </w:pPr>
                </w:p>
              </w:tc>
              <w:tc>
                <w:tcPr>
                  <w:tcW w:w="1161" w:type="dxa"/>
                  <w:vMerge w:val="continue"/>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1928"/>
                    <w:jc w:val="center"/>
                    <w:textAlignment w:val="baseline"/>
                    <w:rPr>
                      <w:spacing w:val="1"/>
                    </w:rPr>
                  </w:pPr>
                </w:p>
              </w:tc>
              <w:tc>
                <w:tcPr>
                  <w:tcW w:w="770" w:type="dxa"/>
                  <w:vMerge w:val="continue"/>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1928"/>
                    <w:jc w:val="center"/>
                    <w:textAlignment w:val="baseline"/>
                    <w:rPr>
                      <w:spacing w:val="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jc w:val="center"/>
              </w:trPr>
              <w:tc>
                <w:tcPr>
                  <w:tcW w:w="398" w:type="dxa"/>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eastAsia="宋体"/>
                      <w:spacing w:val="1"/>
                      <w:lang w:val="en-US" w:eastAsia="zh-CN"/>
                    </w:rPr>
                  </w:pPr>
                  <w:r>
                    <w:rPr>
                      <w:rFonts w:hint="eastAsia" w:eastAsia="宋体"/>
                      <w:spacing w:val="1"/>
                      <w:lang w:val="en-US" w:eastAsia="zh-CN"/>
                    </w:rPr>
                    <w:t>7</w:t>
                  </w:r>
                </w:p>
              </w:tc>
              <w:tc>
                <w:tcPr>
                  <w:tcW w:w="368" w:type="dxa"/>
                  <w:tcBorders>
                    <w:bottom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100" w:leftChars="0"/>
                    <w:jc w:val="center"/>
                    <w:textAlignment w:val="baseline"/>
                    <w:rPr>
                      <w:spacing w:val="1"/>
                    </w:rPr>
                  </w:pPr>
                  <w:r>
                    <w:rPr>
                      <w:rFonts w:ascii="宋体" w:hAnsi="宋体" w:eastAsia="宋体" w:cs="宋体"/>
                      <w:spacing w:val="1"/>
                      <w:sz w:val="20"/>
                      <w:szCs w:val="20"/>
                    </w:rPr>
                    <w:t>镍</w:t>
                  </w:r>
                </w:p>
              </w:tc>
              <w:tc>
                <w:tcPr>
                  <w:tcW w:w="385" w:type="dxa"/>
                  <w:vMerge w:val="restart"/>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163" w:leftChars="0"/>
                    <w:jc w:val="center"/>
                    <w:textAlignment w:val="baseline"/>
                    <w:rPr>
                      <w:spacing w:val="1"/>
                    </w:rPr>
                  </w:pPr>
                  <w:r>
                    <w:rPr>
                      <w:spacing w:val="2"/>
                    </w:rPr>
                    <w:t>/</w:t>
                  </w:r>
                </w:p>
              </w:tc>
              <w:tc>
                <w:tcPr>
                  <w:tcW w:w="761" w:type="dxa"/>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306" w:leftChars="0"/>
                    <w:jc w:val="center"/>
                    <w:textAlignment w:val="baseline"/>
                    <w:rPr>
                      <w:spacing w:val="1"/>
                    </w:rPr>
                  </w:pPr>
                  <w:r>
                    <w:rPr>
                      <w:spacing w:val="-3"/>
                    </w:rPr>
                    <w:t>60</w:t>
                  </w:r>
                </w:p>
              </w:tc>
              <w:tc>
                <w:tcPr>
                  <w:tcW w:w="1080" w:type="dxa"/>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75" w:leftChars="0"/>
                    <w:jc w:val="center"/>
                    <w:textAlignment w:val="baseline"/>
                    <w:rPr>
                      <w:spacing w:val="1"/>
                    </w:rPr>
                  </w:pPr>
                  <w:r>
                    <w:rPr>
                      <w:spacing w:val="-2"/>
                    </w:rPr>
                    <w:t>70</w:t>
                  </w:r>
                </w:p>
              </w:tc>
              <w:tc>
                <w:tcPr>
                  <w:tcW w:w="1080" w:type="dxa"/>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46" w:leftChars="0"/>
                    <w:jc w:val="center"/>
                    <w:textAlignment w:val="baseline"/>
                    <w:rPr>
                      <w:spacing w:val="1"/>
                    </w:rPr>
                  </w:pPr>
                  <w:r>
                    <w:rPr>
                      <w:spacing w:val="-8"/>
                    </w:rPr>
                    <w:t>100</w:t>
                  </w:r>
                </w:p>
              </w:tc>
              <w:tc>
                <w:tcPr>
                  <w:tcW w:w="768" w:type="dxa"/>
                  <w:tcBorders>
                    <w:bottom w:val="nil"/>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283" w:leftChars="0"/>
                    <w:jc w:val="center"/>
                    <w:textAlignment w:val="baseline"/>
                    <w:rPr>
                      <w:spacing w:val="1"/>
                    </w:rPr>
                  </w:pPr>
                  <w:r>
                    <w:rPr>
                      <w:spacing w:val="-8"/>
                    </w:rPr>
                    <w:t>190</w:t>
                  </w:r>
                </w:p>
              </w:tc>
              <w:tc>
                <w:tcPr>
                  <w:tcW w:w="3698" w:type="dxa"/>
                  <w:gridSpan w:val="4"/>
                  <w:vMerge w:val="restart"/>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1928"/>
                    <w:jc w:val="center"/>
                    <w:textAlignment w:val="baseline"/>
                    <w:rPr>
                      <w:rFonts w:hint="eastAsia" w:eastAsia="宋体"/>
                      <w:spacing w:val="1"/>
                      <w:lang w:val="en-US" w:eastAsia="zh-CN"/>
                    </w:rPr>
                  </w:pPr>
                  <w:r>
                    <w:rPr>
                      <w:rFonts w:hint="eastAsia" w:eastAsia="宋体"/>
                      <w:spacing w:val="1"/>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jc w:val="center"/>
              </w:trPr>
              <w:tc>
                <w:tcPr>
                  <w:tcW w:w="398" w:type="dxa"/>
                  <w:tcBorders>
                    <w:bottom w:val="single" w:color="auto" w:sz="4" w:space="0"/>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eastAsia="宋体"/>
                      <w:spacing w:val="1"/>
                      <w:lang w:val="en-US" w:eastAsia="zh-CN"/>
                    </w:rPr>
                  </w:pPr>
                  <w:r>
                    <w:rPr>
                      <w:rFonts w:hint="eastAsia" w:eastAsia="宋体"/>
                      <w:spacing w:val="1"/>
                      <w:lang w:val="en-US" w:eastAsia="zh-CN"/>
                    </w:rPr>
                    <w:t>8</w:t>
                  </w:r>
                </w:p>
              </w:tc>
              <w:tc>
                <w:tcPr>
                  <w:tcW w:w="368" w:type="dxa"/>
                  <w:tcBorders>
                    <w:bottom w:val="single" w:color="auto"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100" w:leftChars="0"/>
                    <w:jc w:val="center"/>
                    <w:textAlignment w:val="baseline"/>
                    <w:rPr>
                      <w:spacing w:val="1"/>
                    </w:rPr>
                  </w:pPr>
                  <w:r>
                    <w:rPr>
                      <w:rFonts w:ascii="宋体" w:hAnsi="宋体" w:eastAsia="宋体" w:cs="宋体"/>
                      <w:spacing w:val="1"/>
                      <w:sz w:val="20"/>
                      <w:szCs w:val="20"/>
                    </w:rPr>
                    <w:t>锌</w:t>
                  </w:r>
                </w:p>
              </w:tc>
              <w:tc>
                <w:tcPr>
                  <w:tcW w:w="385" w:type="dxa"/>
                  <w:vMerge w:val="continue"/>
                  <w:tcBorders>
                    <w:bottom w:val="single" w:color="auto"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spacing w:val="1"/>
                    </w:rPr>
                  </w:pPr>
                </w:p>
              </w:tc>
              <w:tc>
                <w:tcPr>
                  <w:tcW w:w="761" w:type="dxa"/>
                  <w:tcBorders>
                    <w:bottom w:val="single" w:color="auto" w:sz="4" w:space="0"/>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254" w:leftChars="0"/>
                    <w:jc w:val="center"/>
                    <w:textAlignment w:val="baseline"/>
                    <w:rPr>
                      <w:spacing w:val="1"/>
                    </w:rPr>
                  </w:pPr>
                  <w:r>
                    <w:rPr>
                      <w:spacing w:val="-1"/>
                    </w:rPr>
                    <w:t>200</w:t>
                  </w:r>
                </w:p>
              </w:tc>
              <w:tc>
                <w:tcPr>
                  <w:tcW w:w="1080" w:type="dxa"/>
                  <w:tcBorders>
                    <w:bottom w:val="single" w:color="auto" w:sz="4" w:space="0"/>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24" w:leftChars="0"/>
                    <w:jc w:val="center"/>
                    <w:textAlignment w:val="baseline"/>
                    <w:rPr>
                      <w:spacing w:val="1"/>
                    </w:rPr>
                  </w:pPr>
                  <w:r>
                    <w:rPr>
                      <w:spacing w:val="-1"/>
                    </w:rPr>
                    <w:t>200</w:t>
                  </w:r>
                </w:p>
              </w:tc>
              <w:tc>
                <w:tcPr>
                  <w:tcW w:w="1080" w:type="dxa"/>
                  <w:tcBorders>
                    <w:bottom w:val="single" w:color="auto" w:sz="4" w:space="0"/>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426" w:leftChars="0"/>
                    <w:jc w:val="center"/>
                    <w:textAlignment w:val="baseline"/>
                    <w:rPr>
                      <w:spacing w:val="1"/>
                    </w:rPr>
                  </w:pPr>
                  <w:r>
                    <w:rPr>
                      <w:spacing w:val="-1"/>
                    </w:rPr>
                    <w:t>250</w:t>
                  </w:r>
                </w:p>
              </w:tc>
              <w:tc>
                <w:tcPr>
                  <w:tcW w:w="768" w:type="dxa"/>
                  <w:tcBorders>
                    <w:bottom w:val="single" w:color="auto" w:sz="4" w:space="0"/>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267" w:leftChars="0"/>
                    <w:jc w:val="center"/>
                    <w:textAlignment w:val="baseline"/>
                    <w:rPr>
                      <w:spacing w:val="1"/>
                    </w:rPr>
                  </w:pPr>
                  <w:r>
                    <w:rPr>
                      <w:spacing w:val="-3"/>
                    </w:rPr>
                    <w:t>300</w:t>
                  </w:r>
                </w:p>
              </w:tc>
              <w:tc>
                <w:tcPr>
                  <w:tcW w:w="3698" w:type="dxa"/>
                  <w:gridSpan w:val="4"/>
                  <w:vMerge w:val="continue"/>
                  <w:tcBorders>
                    <w:bottom w:val="single" w:color="auto" w:sz="4" w:space="0"/>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ind w:left="1928"/>
                    <w:jc w:val="center"/>
                    <w:textAlignment w:val="baseline"/>
                    <w:rPr>
                      <w:spacing w:val="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1" w:hRule="atLeast"/>
                <w:jc w:val="center"/>
              </w:trPr>
              <w:tc>
                <w:tcPr>
                  <w:tcW w:w="8538" w:type="dxa"/>
                  <w:gridSpan w:val="11"/>
                  <w:tcBorders>
                    <w:top w:val="single" w:color="auto" w:sz="4" w:space="0"/>
                    <w:left w:val="single" w:color="auto" w:sz="4" w:space="0"/>
                    <w:bottom w:val="single" w:color="auto" w:sz="4" w:space="0"/>
                    <w:right w:val="single" w:color="auto" w:sz="4" w:space="0"/>
                  </w:tcBorders>
                  <w:noWrap w:val="0"/>
                  <w:vAlign w:val="center"/>
                </w:tcPr>
                <w:p>
                  <w:pPr>
                    <w:pStyle w:val="138"/>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spacing w:val="1"/>
                    </w:rPr>
                  </w:pPr>
                  <w:r>
                    <w:rPr>
                      <w:rFonts w:ascii="宋体" w:hAnsi="宋体" w:eastAsia="宋体" w:cs="宋体"/>
                      <w:spacing w:val="-11"/>
                      <w:sz w:val="20"/>
                      <w:szCs w:val="20"/>
                    </w:rPr>
                    <w:t>注：重金属和类金属砷均按元素总量计；对于水旱轮作</w:t>
                  </w:r>
                  <w:r>
                    <w:rPr>
                      <w:rFonts w:ascii="宋体" w:hAnsi="宋体" w:eastAsia="宋体" w:cs="宋体"/>
                      <w:spacing w:val="-12"/>
                      <w:sz w:val="20"/>
                      <w:szCs w:val="20"/>
                    </w:rPr>
                    <w:t>地，采用其中较严格的风险筛选值。</w:t>
                  </w:r>
                </w:p>
              </w:tc>
            </w:tr>
          </w:tbl>
          <w:p>
            <w:pPr>
              <w:pStyle w:val="4"/>
              <w:rPr>
                <w:rFonts w:hint="default"/>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539" w:type="dxa"/>
            <w:noWrap w:val="0"/>
            <w:vAlign w:val="center"/>
          </w:tcPr>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b/>
                <w:bCs/>
                <w:kern w:val="0"/>
                <w:sz w:val="24"/>
                <w:szCs w:val="24"/>
              </w:rPr>
              <w:t>其他</w:t>
            </w:r>
          </w:p>
        </w:tc>
        <w:tc>
          <w:tcPr>
            <w:tcW w:w="8850"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480" w:firstLineChars="200"/>
              <w:contextualSpacing/>
              <w:jc w:val="left"/>
              <w:textAlignment w:val="auto"/>
              <w:rPr>
                <w:rFonts w:hint="eastAsia"/>
                <w:sz w:val="24"/>
                <w:szCs w:val="24"/>
                <w:lang w:val="en-US" w:eastAsia="zh-CN"/>
              </w:rPr>
            </w:pPr>
            <w:r>
              <w:rPr>
                <w:rFonts w:hint="eastAsia"/>
                <w:sz w:val="24"/>
                <w:szCs w:val="24"/>
                <w:lang w:val="en-US" w:eastAsia="zh-CN"/>
              </w:rPr>
              <w:t>根据国务院关于印发《“十三五”生态环境保护规划的通知》（国发〔</w:t>
            </w:r>
            <w:r>
              <w:rPr>
                <w:rFonts w:hint="default"/>
                <w:sz w:val="24"/>
                <w:szCs w:val="24"/>
                <w:lang w:val="en-US" w:eastAsia="zh-CN"/>
              </w:rPr>
              <w:t>2016</w:t>
            </w:r>
            <w:r>
              <w:rPr>
                <w:rFonts w:hint="eastAsia"/>
                <w:sz w:val="24"/>
                <w:szCs w:val="24"/>
                <w:lang w:val="en-US" w:eastAsia="zh-CN"/>
              </w:rPr>
              <w:t>〕</w:t>
            </w:r>
            <w:r>
              <w:rPr>
                <w:rFonts w:hint="default"/>
                <w:sz w:val="24"/>
                <w:szCs w:val="24"/>
                <w:lang w:val="en-US" w:eastAsia="zh-CN"/>
              </w:rPr>
              <w:t>65</w:t>
            </w:r>
            <w:r>
              <w:rPr>
                <w:rFonts w:hint="eastAsia"/>
                <w:sz w:val="24"/>
                <w:szCs w:val="24"/>
                <w:lang w:val="en-US" w:eastAsia="zh-CN"/>
              </w:rPr>
              <w:t>号）污染物总量控制指标体系包括COD、NH</w:t>
            </w:r>
            <w:r>
              <w:rPr>
                <w:rFonts w:hint="eastAsia"/>
                <w:sz w:val="24"/>
                <w:szCs w:val="24"/>
                <w:vertAlign w:val="subscript"/>
                <w:lang w:val="en-US" w:eastAsia="zh-CN"/>
              </w:rPr>
              <w:t>3</w:t>
            </w:r>
            <w:r>
              <w:rPr>
                <w:rFonts w:hint="eastAsia"/>
                <w:sz w:val="24"/>
                <w:szCs w:val="24"/>
                <w:lang w:val="en-US" w:eastAsia="zh-CN"/>
              </w:rPr>
              <w:t>-N、SO</w:t>
            </w:r>
            <w:r>
              <w:rPr>
                <w:rFonts w:hint="eastAsia"/>
                <w:sz w:val="24"/>
                <w:szCs w:val="24"/>
                <w:vertAlign w:val="subscript"/>
                <w:lang w:val="en-US" w:eastAsia="zh-CN"/>
              </w:rPr>
              <w:t>2</w:t>
            </w:r>
            <w:r>
              <w:rPr>
                <w:rFonts w:hint="eastAsia"/>
                <w:sz w:val="24"/>
                <w:szCs w:val="24"/>
                <w:lang w:val="en-US" w:eastAsia="zh-CN"/>
              </w:rPr>
              <w:t>和NO</w:t>
            </w:r>
            <w:r>
              <w:rPr>
                <w:rFonts w:hint="eastAsia"/>
                <w:sz w:val="24"/>
                <w:szCs w:val="24"/>
                <w:vertAlign w:val="subscript"/>
                <w:lang w:val="en-US" w:eastAsia="zh-CN"/>
              </w:rPr>
              <w:t>X</w:t>
            </w:r>
            <w:r>
              <w:rPr>
                <w:rFonts w:hint="eastAsia"/>
                <w:sz w:val="24"/>
                <w:szCs w:val="24"/>
                <w:lang w:val="en-US" w:eastAsia="zh-CN"/>
              </w:rPr>
              <w:t>等。</w:t>
            </w:r>
          </w:p>
          <w:p>
            <w:pPr>
              <w:keepNext w:val="0"/>
              <w:keepLines w:val="0"/>
              <w:pageBreakBefore w:val="0"/>
              <w:widowControl/>
              <w:kinsoku/>
              <w:wordWrap/>
              <w:overflowPunct/>
              <w:topLinePunct w:val="0"/>
              <w:autoSpaceDE/>
              <w:autoSpaceDN/>
              <w:bidi w:val="0"/>
              <w:adjustRightInd/>
              <w:snapToGrid/>
              <w:spacing w:line="360" w:lineRule="auto"/>
              <w:ind w:firstLine="480" w:firstLineChars="200"/>
              <w:contextualSpacing/>
              <w:jc w:val="left"/>
              <w:textAlignment w:val="auto"/>
              <w:rPr>
                <w:rFonts w:hint="eastAsia" w:ascii="Times New Roman" w:hAnsi="Times New Roman" w:eastAsia="宋体" w:cs="Times New Roman"/>
                <w:kern w:val="0"/>
                <w:sz w:val="24"/>
                <w:szCs w:val="24"/>
                <w:lang w:val="en-US" w:eastAsia="zh-CN"/>
              </w:rPr>
            </w:pPr>
            <w:r>
              <w:rPr>
                <w:rFonts w:hint="eastAsia"/>
                <w:sz w:val="24"/>
                <w:szCs w:val="24"/>
                <w:lang w:val="en-US" w:eastAsia="zh-CN"/>
              </w:rPr>
              <w:t>本项目运营期不产生废气总量控制污染物，运营期无废水产生，因此项目不涉及总量控制指标。</w:t>
            </w:r>
          </w:p>
        </w:tc>
      </w:tr>
    </w:tbl>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黑体" w:hAnsi="黑体" w:eastAsia="黑体"/>
          <w:snapToGrid w:val="0"/>
          <w:sz w:val="30"/>
          <w:szCs w:val="30"/>
        </w:rPr>
      </w:pPr>
      <w:r>
        <w:rPr>
          <w:rFonts w:hint="eastAsia" w:ascii="黑体" w:hAnsi="黑体" w:eastAsia="黑体"/>
          <w:snapToGrid w:val="0"/>
          <w:sz w:val="30"/>
          <w:szCs w:val="30"/>
          <w:lang w:val="en-US" w:eastAsia="zh-CN"/>
        </w:rPr>
        <w:br w:type="page"/>
      </w:r>
      <w:bookmarkStart w:id="62" w:name="_Toc27804"/>
      <w:r>
        <w:rPr>
          <w:rFonts w:hint="eastAsia" w:ascii="黑体" w:hAnsi="黑体" w:eastAsia="黑体"/>
          <w:snapToGrid w:val="0"/>
          <w:sz w:val="30"/>
          <w:szCs w:val="30"/>
          <w:lang w:val="en-US" w:eastAsia="zh-CN"/>
        </w:rPr>
        <w:t>四、生态环境影响分析</w:t>
      </w:r>
      <w:bookmarkEnd w:id="62"/>
    </w:p>
    <w:tbl>
      <w:tblPr>
        <w:tblStyle w:val="30"/>
        <w:tblW w:w="951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7"/>
        <w:gridCol w:w="90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6" w:hRule="atLeast"/>
          <w:jc w:val="center"/>
        </w:trPr>
        <w:tc>
          <w:tcPr>
            <w:tcW w:w="427" w:type="dxa"/>
            <w:noWrap w:val="0"/>
            <w:tcMar>
              <w:left w:w="28" w:type="dxa"/>
              <w:right w:w="28" w:type="dxa"/>
            </w:tcMar>
            <w:vAlign w:val="center"/>
          </w:tcPr>
          <w:p>
            <w:pPr>
              <w:pStyle w:val="26"/>
              <w:adjustRightInd w:val="0"/>
              <w:snapToGrid w:val="0"/>
              <w:spacing w:before="0" w:beforeAutospacing="0" w:after="0" w:afterAutospacing="0"/>
              <w:jc w:val="center"/>
              <w:rPr>
                <w:rFonts w:cs="宋体"/>
                <w:bCs/>
                <w:kern w:val="2"/>
                <w:sz w:val="24"/>
                <w:szCs w:val="24"/>
              </w:rPr>
            </w:pPr>
            <w:bookmarkStart w:id="63" w:name="_Hlk49796138"/>
            <w:r>
              <w:rPr>
                <w:rFonts w:hint="eastAsia" w:cs="宋体"/>
                <w:b/>
                <w:bCs w:val="0"/>
                <w:spacing w:val="10"/>
                <w:kern w:val="2"/>
                <w:sz w:val="24"/>
                <w:szCs w:val="24"/>
              </w:rPr>
              <w:t>施工期生态环境影响分析</w:t>
            </w:r>
            <w:bookmarkEnd w:id="63"/>
          </w:p>
        </w:tc>
        <w:tc>
          <w:tcPr>
            <w:tcW w:w="9092" w:type="dxa"/>
            <w:noWrap w:val="0"/>
            <w:vAlign w:val="top"/>
          </w:tcPr>
          <w:p>
            <w:pPr>
              <w:adjustRightInd w:val="0"/>
              <w:snapToGrid w:val="0"/>
              <w:spacing w:line="360" w:lineRule="auto"/>
              <w:ind w:firstLine="480" w:firstLineChars="200"/>
              <w:jc w:val="both"/>
              <w:rPr>
                <w:rFonts w:hint="default" w:ascii="Times New Roman" w:hAnsi="Times New Roman"/>
                <w:color w:val="auto"/>
                <w:kern w:val="2"/>
                <w:sz w:val="24"/>
                <w:szCs w:val="24"/>
                <w:lang w:val="en-US" w:eastAsia="zh-CN" w:bidi="ar-SA"/>
              </w:rPr>
            </w:pPr>
            <w:r>
              <w:rPr>
                <w:rFonts w:hint="eastAsia" w:ascii="Times New Roman" w:hAnsi="Times New Roman"/>
                <w:color w:val="auto"/>
                <w:kern w:val="2"/>
                <w:sz w:val="24"/>
                <w:szCs w:val="24"/>
                <w:lang w:val="en-US" w:eastAsia="zh-CN" w:bidi="ar-SA"/>
              </w:rPr>
              <w:t>根据本项目的建设内容、工艺特点以及所在区域生态现状和环境特点，对项目施工期的生态影响因子进行识别和筛选，见下表。</w:t>
            </w:r>
          </w:p>
          <w:p>
            <w:pPr>
              <w:adjustRightInd w:val="0"/>
              <w:snapToGrid w:val="0"/>
              <w:jc w:val="center"/>
              <w:rPr>
                <w:rFonts w:hint="eastAsia"/>
                <w:b/>
                <w:bCs/>
                <w:sz w:val="21"/>
                <w:szCs w:val="21"/>
                <w:highlight w:val="none"/>
                <w:lang w:val="en-US" w:eastAsia="zh-CN"/>
              </w:rPr>
            </w:pPr>
            <w:r>
              <w:rPr>
                <w:rFonts w:hint="eastAsia"/>
                <w:b/>
                <w:bCs/>
                <w:sz w:val="21"/>
                <w:szCs w:val="21"/>
                <w:highlight w:val="none"/>
                <w:lang w:val="en-US" w:eastAsia="zh-CN"/>
              </w:rPr>
              <w:t>表4-1 环境生态影响识别与因子筛选矩阵</w:t>
            </w:r>
          </w:p>
          <w:tbl>
            <w:tblPr>
              <w:tblStyle w:val="31"/>
              <w:tblW w:w="81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770"/>
              <w:gridCol w:w="1643"/>
              <w:gridCol w:w="1358"/>
              <w:gridCol w:w="1358"/>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序号</w:t>
                  </w:r>
                </w:p>
              </w:tc>
              <w:tc>
                <w:tcPr>
                  <w:tcW w:w="1770"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影响因子/对象</w:t>
                  </w:r>
                </w:p>
              </w:tc>
              <w:tc>
                <w:tcPr>
                  <w:tcW w:w="1643"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影响途径</w:t>
                  </w:r>
                </w:p>
              </w:tc>
              <w:tc>
                <w:tcPr>
                  <w:tcW w:w="1358"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影响性质</w:t>
                  </w:r>
                </w:p>
              </w:tc>
              <w:tc>
                <w:tcPr>
                  <w:tcW w:w="1358"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影响范围</w:t>
                  </w:r>
                </w:p>
              </w:tc>
              <w:tc>
                <w:tcPr>
                  <w:tcW w:w="1358"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影响程度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660"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770"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土地利用</w:t>
                  </w:r>
                </w:p>
              </w:tc>
              <w:tc>
                <w:tcPr>
                  <w:tcW w:w="1643"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施工、临时占地</w:t>
                  </w:r>
                </w:p>
              </w:tc>
              <w:tc>
                <w:tcPr>
                  <w:tcW w:w="1358"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短期</w:t>
                  </w:r>
                </w:p>
              </w:tc>
              <w:tc>
                <w:tcPr>
                  <w:tcW w:w="1358"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评价区</w:t>
                  </w:r>
                </w:p>
              </w:tc>
              <w:tc>
                <w:tcPr>
                  <w:tcW w:w="1358"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770"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地貌变化</w:t>
                  </w:r>
                </w:p>
              </w:tc>
              <w:tc>
                <w:tcPr>
                  <w:tcW w:w="1643"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施工、临时占地</w:t>
                  </w:r>
                </w:p>
              </w:tc>
              <w:tc>
                <w:tcPr>
                  <w:tcW w:w="1358"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短期</w:t>
                  </w:r>
                </w:p>
              </w:tc>
              <w:tc>
                <w:tcPr>
                  <w:tcW w:w="1358"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评价区</w:t>
                  </w:r>
                </w:p>
              </w:tc>
              <w:tc>
                <w:tcPr>
                  <w:tcW w:w="1358"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1770"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生物量</w:t>
                  </w:r>
                </w:p>
              </w:tc>
              <w:tc>
                <w:tcPr>
                  <w:tcW w:w="1643"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施工、临时占地</w:t>
                  </w:r>
                </w:p>
              </w:tc>
              <w:tc>
                <w:tcPr>
                  <w:tcW w:w="1358"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短期</w:t>
                  </w:r>
                </w:p>
              </w:tc>
              <w:tc>
                <w:tcPr>
                  <w:tcW w:w="1358"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评价区</w:t>
                  </w:r>
                </w:p>
              </w:tc>
              <w:tc>
                <w:tcPr>
                  <w:tcW w:w="1358"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1770"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植被类型</w:t>
                  </w:r>
                </w:p>
              </w:tc>
              <w:tc>
                <w:tcPr>
                  <w:tcW w:w="1643"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施工、临时占地</w:t>
                  </w:r>
                </w:p>
              </w:tc>
              <w:tc>
                <w:tcPr>
                  <w:tcW w:w="1358"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短期</w:t>
                  </w:r>
                </w:p>
              </w:tc>
              <w:tc>
                <w:tcPr>
                  <w:tcW w:w="1358"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评价区</w:t>
                  </w:r>
                </w:p>
              </w:tc>
              <w:tc>
                <w:tcPr>
                  <w:tcW w:w="1358"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1770"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动物栖息</w:t>
                  </w:r>
                </w:p>
              </w:tc>
              <w:tc>
                <w:tcPr>
                  <w:tcW w:w="1643"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施工、临时占地</w:t>
                  </w:r>
                </w:p>
              </w:tc>
              <w:tc>
                <w:tcPr>
                  <w:tcW w:w="1358"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短期</w:t>
                  </w:r>
                </w:p>
              </w:tc>
              <w:tc>
                <w:tcPr>
                  <w:tcW w:w="1358"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评价区</w:t>
                  </w:r>
                </w:p>
              </w:tc>
              <w:tc>
                <w:tcPr>
                  <w:tcW w:w="1358"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1770"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景观</w:t>
                  </w:r>
                </w:p>
              </w:tc>
              <w:tc>
                <w:tcPr>
                  <w:tcW w:w="1643"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施工、临时占地</w:t>
                  </w:r>
                </w:p>
              </w:tc>
              <w:tc>
                <w:tcPr>
                  <w:tcW w:w="1358"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短期</w:t>
                  </w:r>
                </w:p>
              </w:tc>
              <w:tc>
                <w:tcPr>
                  <w:tcW w:w="1358"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评价区</w:t>
                  </w:r>
                </w:p>
              </w:tc>
              <w:tc>
                <w:tcPr>
                  <w:tcW w:w="1358"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60"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1770"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水土流失</w:t>
                  </w:r>
                </w:p>
              </w:tc>
              <w:tc>
                <w:tcPr>
                  <w:tcW w:w="1643"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施工、临时占地</w:t>
                  </w:r>
                </w:p>
              </w:tc>
              <w:tc>
                <w:tcPr>
                  <w:tcW w:w="1358"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短期</w:t>
                  </w:r>
                </w:p>
              </w:tc>
              <w:tc>
                <w:tcPr>
                  <w:tcW w:w="1358"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评价区</w:t>
                  </w:r>
                </w:p>
              </w:tc>
              <w:tc>
                <w:tcPr>
                  <w:tcW w:w="1358"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1770"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农林业</w:t>
                  </w:r>
                </w:p>
              </w:tc>
              <w:tc>
                <w:tcPr>
                  <w:tcW w:w="1643"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施工、临时占地</w:t>
                  </w:r>
                </w:p>
              </w:tc>
              <w:tc>
                <w:tcPr>
                  <w:tcW w:w="1358"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短期</w:t>
                  </w:r>
                </w:p>
              </w:tc>
              <w:tc>
                <w:tcPr>
                  <w:tcW w:w="1358"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评价区</w:t>
                  </w:r>
                </w:p>
              </w:tc>
              <w:tc>
                <w:tcPr>
                  <w:tcW w:w="1358" w:type="dxa"/>
                  <w:noWrap w:val="0"/>
                  <w:vAlign w:val="top"/>
                </w:tcPr>
                <w:p>
                  <w:pPr>
                    <w:keepNext w:val="0"/>
                    <w:keepLines w:val="0"/>
                    <w:pageBreakBefore w:val="0"/>
                    <w:kinsoku/>
                    <w:wordWrap/>
                    <w:overflowPunct/>
                    <w:topLinePunct w:val="0"/>
                    <w:bidi w:val="0"/>
                    <w:ind w:left="0" w:leftChars="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较小</w:t>
                  </w:r>
                </w:p>
              </w:tc>
            </w:tr>
          </w:tbl>
          <w:p>
            <w:pPr>
              <w:pStyle w:val="28"/>
              <w:keepNext w:val="0"/>
              <w:keepLines w:val="0"/>
              <w:pageBreakBefore w:val="0"/>
              <w:widowControl/>
              <w:kinsoku/>
              <w:wordWrap/>
              <w:overflowPunct/>
              <w:topLinePunct w:val="0"/>
              <w:autoSpaceDE/>
              <w:autoSpaceDN/>
              <w:bidi w:val="0"/>
              <w:adjustRightInd/>
              <w:snapToGrid w:val="0"/>
              <w:spacing w:before="0" w:after="0" w:line="360" w:lineRule="auto"/>
              <w:ind w:left="0" w:leftChars="0" w:right="113" w:firstLine="420" w:firstLineChars="0"/>
              <w:textAlignment w:val="auto"/>
              <w:rPr>
                <w:rFonts w:hint="eastAsia"/>
                <w:sz w:val="24"/>
                <w:szCs w:val="24"/>
                <w:lang w:val="en-US" w:eastAsia="zh-CN"/>
              </w:rPr>
            </w:pPr>
            <w:r>
              <w:rPr>
                <w:rFonts w:hint="eastAsia"/>
                <w:sz w:val="24"/>
                <w:szCs w:val="24"/>
                <w:lang w:val="en-US" w:eastAsia="zh-CN"/>
              </w:rPr>
              <w:t>本项目施工期的影响主要是通过施工扰动产生的，属于直接影响，而且影响属于负面的。根据识别，项目开展对地貌变化、植被类型、景观、水土流失的影响较大，即工程建设将会降低植被覆盖率、加剧水土流失、改变土地利用方式，景观破坏。</w:t>
            </w:r>
          </w:p>
          <w:p>
            <w:pPr>
              <w:adjustRightInd w:val="0"/>
              <w:snapToGrid w:val="0"/>
              <w:spacing w:line="360" w:lineRule="auto"/>
              <w:ind w:firstLine="482" w:firstLineChars="200"/>
              <w:jc w:val="both"/>
              <w:rPr>
                <w:rFonts w:hint="default" w:ascii="Times New Roman" w:hAnsi="Times New Roman"/>
                <w:b/>
                <w:bCs/>
                <w:color w:val="auto"/>
                <w:kern w:val="2"/>
                <w:sz w:val="24"/>
                <w:szCs w:val="24"/>
                <w:lang w:val="en-US" w:eastAsia="zh-CN" w:bidi="ar-SA"/>
              </w:rPr>
            </w:pPr>
            <w:r>
              <w:rPr>
                <w:rFonts w:hint="eastAsia" w:ascii="Times New Roman" w:hAnsi="Times New Roman"/>
                <w:b/>
                <w:bCs/>
                <w:color w:val="auto"/>
                <w:kern w:val="2"/>
                <w:sz w:val="24"/>
                <w:szCs w:val="24"/>
                <w:lang w:val="en-US" w:eastAsia="zh-CN" w:bidi="ar-SA"/>
              </w:rPr>
              <w:t>（一）施工期生态环境影响分析</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本工程的生态环境影响主要体现在陆生生态、水生生态两个方面：</w:t>
            </w:r>
          </w:p>
          <w:p>
            <w:pPr>
              <w:spacing w:line="360" w:lineRule="auto"/>
              <w:ind w:firstLine="482" w:firstLineChars="200"/>
              <w:rPr>
                <w:rFonts w:hint="default" w:ascii="Times New Roman" w:hAnsi="Times New Roman" w:eastAsia="宋体" w:cs="Times New Roman"/>
                <w:b/>
                <w:bCs/>
                <w:color w:val="000000"/>
                <w:sz w:val="24"/>
              </w:rPr>
            </w:pPr>
            <w:r>
              <w:rPr>
                <w:rFonts w:hint="eastAsia" w:ascii="Times New Roman" w:hAnsi="Times New Roman" w:eastAsia="宋体" w:cs="Times New Roman"/>
                <w:b/>
                <w:bCs/>
                <w:color w:val="000000"/>
                <w:sz w:val="24"/>
                <w:lang w:val="en-US" w:eastAsia="zh-CN"/>
              </w:rPr>
              <w:t>1、</w:t>
            </w:r>
            <w:r>
              <w:rPr>
                <w:rFonts w:hint="default" w:ascii="Times New Roman" w:hAnsi="Times New Roman" w:eastAsia="宋体" w:cs="Times New Roman"/>
                <w:b/>
                <w:bCs/>
                <w:color w:val="000000"/>
                <w:sz w:val="24"/>
              </w:rPr>
              <w:t>陆生生态环境影响</w:t>
            </w:r>
          </w:p>
          <w:p>
            <w:pPr>
              <w:tabs>
                <w:tab w:val="left" w:pos="2580"/>
                <w:tab w:val="left" w:pos="7560"/>
              </w:tabs>
              <w:spacing w:line="360" w:lineRule="auto"/>
              <w:ind w:firstLine="477" w:firstLineChars="199"/>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lang w:val="en-US" w:eastAsia="zh-CN"/>
              </w:rPr>
              <w:t>1</w:t>
            </w:r>
            <w:r>
              <w:rPr>
                <w:rFonts w:hint="eastAsia"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土地利用形式的改变</w:t>
            </w:r>
          </w:p>
          <w:p>
            <w:pPr>
              <w:pStyle w:val="123"/>
              <w:keepNext w:val="0"/>
              <w:keepLines w:val="0"/>
              <w:pageBreakBefore w:val="0"/>
              <w:widowControl/>
              <w:kinsoku/>
              <w:wordWrap/>
              <w:overflowPunct/>
              <w:topLinePunct w:val="0"/>
              <w:autoSpaceDE/>
              <w:autoSpaceDN/>
              <w:bidi w:val="0"/>
              <w:adjustRightInd/>
              <w:snapToGrid w:val="0"/>
              <w:spacing w:before="0" w:after="0"/>
              <w:ind w:right="113"/>
              <w:textAlignment w:val="auto"/>
              <w:rPr>
                <w:rFonts w:hint="default" w:ascii="Times New Roman" w:hAnsi="Times New Roman" w:eastAsia="宋体" w:cs="Times New Roman"/>
                <w:color w:val="auto"/>
                <w:sz w:val="24"/>
                <w:szCs w:val="24"/>
                <w:lang w:val="en-GB" w:eastAsia="zh-CN"/>
              </w:rPr>
            </w:pPr>
            <w:r>
              <w:rPr>
                <w:rFonts w:hint="eastAsia" w:ascii="Times New Roman" w:eastAsia="宋体" w:cs="Times New Roman"/>
                <w:sz w:val="24"/>
                <w:szCs w:val="24"/>
                <w:lang w:val="en-US" w:eastAsia="zh-CN"/>
              </w:rPr>
              <w:t>本工程占地13.93</w:t>
            </w:r>
            <w:r>
              <w:rPr>
                <w:rFonts w:hint="eastAsia" w:ascii="Times New Roman" w:eastAsia="宋体" w:cs="Times New Roman"/>
                <w:sz w:val="24"/>
                <w:szCs w:val="24"/>
              </w:rPr>
              <w:t>亩</w:t>
            </w:r>
            <w:r>
              <w:rPr>
                <w:rFonts w:hint="eastAsia" w:ascii="宋体" w:hAnsi="宋体" w:eastAsia="宋体" w:cs="Times New Roman"/>
                <w:sz w:val="24"/>
                <w:szCs w:val="24"/>
                <w:lang w:val="en-US" w:eastAsia="zh-CN"/>
              </w:rPr>
              <w:t>，</w:t>
            </w:r>
            <w:r>
              <w:rPr>
                <w:rFonts w:hint="eastAsia" w:ascii="Times New Roman" w:eastAsia="宋体" w:cs="Times New Roman"/>
                <w:sz w:val="24"/>
                <w:szCs w:val="24"/>
                <w:lang w:val="en-US" w:eastAsia="zh-CN"/>
              </w:rPr>
              <w:t>其中：永久占地8.98亩</w:t>
            </w:r>
            <w:r>
              <w:rPr>
                <w:rFonts w:hint="eastAsia" w:ascii="Times New Roman" w:eastAsia="宋体" w:cs="Times New Roman"/>
                <w:sz w:val="24"/>
                <w:szCs w:val="24"/>
                <w:lang w:eastAsia="zh-CN"/>
              </w:rPr>
              <w:t>、</w:t>
            </w:r>
            <w:r>
              <w:rPr>
                <w:rFonts w:hint="eastAsia" w:ascii="Times New Roman" w:eastAsia="宋体" w:cs="Times New Roman"/>
                <w:sz w:val="24"/>
                <w:szCs w:val="24"/>
                <w:lang w:val="en-US" w:eastAsia="zh-CN"/>
              </w:rPr>
              <w:t>临时占地4.95亩。</w:t>
            </w:r>
            <w:r>
              <w:rPr>
                <w:rFonts w:hint="default" w:ascii="Times New Roman" w:hAnsi="Times New Roman" w:eastAsia="宋体" w:cs="Times New Roman"/>
                <w:color w:val="auto"/>
                <w:sz w:val="24"/>
                <w:szCs w:val="24"/>
                <w:lang w:val="en-GB" w:eastAsia="zh-CN"/>
              </w:rPr>
              <w:t>项目占地类型为耕地、</w:t>
            </w:r>
            <w:r>
              <w:rPr>
                <w:rFonts w:hint="eastAsia" w:ascii="Times New Roman" w:hAnsi="Times New Roman" w:eastAsia="宋体" w:cs="Times New Roman"/>
                <w:color w:val="auto"/>
                <w:sz w:val="24"/>
                <w:szCs w:val="24"/>
                <w:lang w:val="en-US" w:eastAsia="zh-CN"/>
              </w:rPr>
              <w:t>水域涂滩</w:t>
            </w:r>
            <w:r>
              <w:rPr>
                <w:rFonts w:hint="default" w:ascii="Times New Roman" w:hAnsi="Times New Roman" w:eastAsia="宋体" w:cs="Times New Roman"/>
                <w:color w:val="auto"/>
                <w:sz w:val="24"/>
                <w:szCs w:val="24"/>
                <w:lang w:val="en-GB" w:eastAsia="zh-CN"/>
              </w:rPr>
              <w:t>，</w:t>
            </w:r>
            <w:r>
              <w:rPr>
                <w:rFonts w:hint="eastAsia" w:ascii="Times New Roman" w:hAnsi="Times New Roman" w:eastAsia="宋体" w:cs="Times New Roman"/>
                <w:color w:val="auto"/>
                <w:sz w:val="24"/>
                <w:szCs w:val="24"/>
                <w:lang w:val="en-GB" w:eastAsia="zh-CN"/>
              </w:rPr>
              <w:t>永久性占地将改变土地利用形式</w:t>
            </w:r>
            <w:r>
              <w:rPr>
                <w:rFonts w:hint="default" w:ascii="Times New Roman" w:hAnsi="Times New Roman" w:eastAsia="宋体" w:cs="Times New Roman"/>
                <w:color w:val="auto"/>
                <w:sz w:val="24"/>
                <w:szCs w:val="24"/>
                <w:lang w:val="en-GB" w:eastAsia="zh-CN"/>
              </w:rPr>
              <w:t>。</w:t>
            </w:r>
          </w:p>
          <w:p>
            <w:pPr>
              <w:tabs>
                <w:tab w:val="left" w:pos="2580"/>
                <w:tab w:val="left" w:pos="7560"/>
              </w:tabs>
              <w:spacing w:line="360" w:lineRule="auto"/>
              <w:ind w:firstLine="477" w:firstLineChars="199"/>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堤防工程途经沿线多为河滩地，河边有农田耕地</w:t>
            </w:r>
            <w:r>
              <w:rPr>
                <w:rFonts w:hint="eastAsia" w:ascii="Times New Roman" w:hAnsi="Times New Roman" w:eastAsia="宋体" w:cs="Times New Roman"/>
                <w:color w:val="000000"/>
                <w:sz w:val="24"/>
                <w:lang w:eastAsia="zh-CN"/>
              </w:rPr>
              <w:t>等</w:t>
            </w:r>
            <w:r>
              <w:rPr>
                <w:rFonts w:hint="default" w:ascii="Times New Roman" w:hAnsi="Times New Roman" w:eastAsia="宋体" w:cs="Times New Roman"/>
                <w:color w:val="000000"/>
                <w:sz w:val="24"/>
              </w:rPr>
              <w:t>，堤防施工将破坏局部地带的土地使用功能。在开挖过程中可能会造成植被破坏、地面裸露，场内开挖土因结构松散，易被雨水冲刷造成水土流失。工程结束后，通过对其</w:t>
            </w:r>
            <w:r>
              <w:rPr>
                <w:rFonts w:hint="eastAsia" w:ascii="Times New Roman" w:hAnsi="Times New Roman" w:eastAsia="宋体" w:cs="Times New Roman"/>
                <w:color w:val="000000"/>
                <w:sz w:val="24"/>
                <w:lang w:eastAsia="zh-CN"/>
              </w:rPr>
              <w:t>复垦、复耕、绿化</w:t>
            </w:r>
            <w:r>
              <w:rPr>
                <w:rFonts w:hint="default" w:ascii="Times New Roman" w:hAnsi="Times New Roman" w:eastAsia="宋体" w:cs="Times New Roman"/>
                <w:color w:val="000000"/>
                <w:sz w:val="24"/>
              </w:rPr>
              <w:t>，恢复土地使用功能，可有效缓解对土地的影响。</w:t>
            </w:r>
          </w:p>
          <w:p>
            <w:pPr>
              <w:tabs>
                <w:tab w:val="left" w:pos="2580"/>
                <w:tab w:val="left" w:pos="7560"/>
              </w:tabs>
              <w:spacing w:line="360" w:lineRule="auto"/>
              <w:ind w:firstLine="477" w:firstLineChars="199"/>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工程对土地利用形式变化的影响包括永久占地和临时占地两方面。</w:t>
            </w:r>
          </w:p>
          <w:p>
            <w:pPr>
              <w:tabs>
                <w:tab w:val="left" w:pos="2580"/>
                <w:tab w:val="left" w:pos="7560"/>
              </w:tabs>
              <w:spacing w:line="360" w:lineRule="auto"/>
              <w:ind w:firstLine="477" w:firstLineChars="19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rPr>
              <w:t>①</w:t>
            </w:r>
            <w:r>
              <w:rPr>
                <w:rFonts w:hint="default" w:ascii="Times New Roman" w:hAnsi="Times New Roman" w:eastAsia="宋体" w:cs="Times New Roman"/>
                <w:color w:val="000000"/>
                <w:sz w:val="24"/>
                <w:szCs w:val="24"/>
              </w:rPr>
              <w:t xml:space="preserve"> 永久占地的影响</w:t>
            </w:r>
          </w:p>
          <w:p>
            <w:pPr>
              <w:tabs>
                <w:tab w:val="left" w:pos="2580"/>
                <w:tab w:val="left" w:pos="7560"/>
              </w:tabs>
              <w:spacing w:line="360" w:lineRule="auto"/>
              <w:ind w:firstLine="477" w:firstLineChars="199"/>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szCs w:val="24"/>
              </w:rPr>
              <w:t>本工程永久占地面积为</w:t>
            </w:r>
            <w:r>
              <w:rPr>
                <w:rFonts w:hint="eastAsia" w:ascii="Times New Roman" w:eastAsia="宋体" w:cs="Times New Roman"/>
                <w:sz w:val="24"/>
                <w:szCs w:val="24"/>
                <w:lang w:val="en-US" w:eastAsia="zh-CN"/>
              </w:rPr>
              <w:t>8.98亩（5986.67m</w:t>
            </w:r>
            <w:r>
              <w:rPr>
                <w:rFonts w:hint="eastAsia" w:ascii="Times New Roman" w:eastAsia="宋体" w:cs="Times New Roman"/>
                <w:sz w:val="24"/>
                <w:szCs w:val="24"/>
                <w:vertAlign w:val="superscript"/>
                <w:lang w:val="en-US" w:eastAsia="zh-CN"/>
              </w:rPr>
              <w:t>2</w:t>
            </w:r>
            <w:r>
              <w:rPr>
                <w:rFonts w:hint="eastAsia" w:ascii="Times New Roman" w:eastAsia="宋体" w:cs="Times New Roman"/>
                <w:sz w:val="24"/>
                <w:szCs w:val="24"/>
                <w:lang w:val="en-US" w:eastAsia="zh-CN"/>
              </w:rPr>
              <w:t>）</w:t>
            </w:r>
            <w:r>
              <w:rPr>
                <w:rFonts w:hint="default" w:ascii="Times New Roman" w:hAnsi="Times New Roman" w:eastAsia="宋体" w:cs="Times New Roman"/>
                <w:color w:val="000000"/>
                <w:sz w:val="24"/>
                <w:szCs w:val="24"/>
              </w:rPr>
              <w:t>，占地类型为</w:t>
            </w:r>
            <w:r>
              <w:rPr>
                <w:rFonts w:hint="default" w:ascii="Times New Roman" w:hAnsi="Times New Roman" w:eastAsia="宋体" w:cs="Times New Roman"/>
                <w:sz w:val="24"/>
                <w:szCs w:val="24"/>
                <w:lang w:val="en-US" w:eastAsia="zh-CN"/>
              </w:rPr>
              <w:t>耕地</w:t>
            </w:r>
            <w:r>
              <w:rPr>
                <w:rFonts w:hint="eastAsia" w:ascii="Times New Roman" w:hAnsi="Times New Roman" w:eastAsia="宋体" w:cs="Times New Roman"/>
                <w:sz w:val="24"/>
                <w:szCs w:val="24"/>
                <w:lang w:val="en-US" w:eastAsia="zh-CN"/>
              </w:rPr>
              <w:t>、水域涂滩</w:t>
            </w:r>
            <w:r>
              <w:rPr>
                <w:rFonts w:hint="default" w:ascii="Times New Roman" w:hAnsi="Times New Roman" w:eastAsia="宋体" w:cs="Times New Roman"/>
                <w:color w:val="000000"/>
                <w:sz w:val="24"/>
                <w:szCs w:val="24"/>
              </w:rPr>
              <w:t>。永久占地将改变土地的利用性质，改变地形地貌以及自然景观，造成占地区少量植被的丧失和土地功能的改变，但不会对占地区域内土地利用结构造成影响。在短期内，由于施工</w:t>
            </w:r>
            <w:r>
              <w:rPr>
                <w:rFonts w:hint="default" w:ascii="Times New Roman" w:hAnsi="Times New Roman" w:eastAsia="宋体" w:cs="Times New Roman"/>
                <w:color w:val="000000"/>
                <w:sz w:val="24"/>
              </w:rPr>
              <w:t>活动破坏地表结构将加剧水土流失，并对周边植被和土壤造成不利影响。项目建成后，将形成完美的防洪闭合圈，对保护居民的生命财产安全有重大作用，在满足防洪排涝要求的前提下，河岸占地形式的改变对景观生态系统也会起到明显的改善作用。</w:t>
            </w:r>
          </w:p>
          <w:p>
            <w:pPr>
              <w:tabs>
                <w:tab w:val="left" w:pos="2580"/>
                <w:tab w:val="left" w:pos="7560"/>
              </w:tabs>
              <w:spacing w:line="360" w:lineRule="auto"/>
              <w:rPr>
                <w:rFonts w:hint="eastAsia" w:ascii="Times New Roman" w:hAnsi="Times New Roman" w:eastAsia="宋体" w:cs="Times New Roman"/>
                <w:color w:val="000000"/>
                <w:sz w:val="24"/>
                <w:lang w:eastAsia="zh-CN"/>
              </w:rPr>
            </w:pPr>
            <w:r>
              <w:rPr>
                <w:sz w:val="24"/>
              </w:rPr>
              <mc:AlternateContent>
                <mc:Choice Requires="wps">
                  <w:drawing>
                    <wp:anchor distT="0" distB="0" distL="114300" distR="114300" simplePos="0" relativeHeight="251666432" behindDoc="0" locked="0" layoutInCell="1" allowOverlap="1">
                      <wp:simplePos x="0" y="0"/>
                      <wp:positionH relativeFrom="column">
                        <wp:posOffset>3467735</wp:posOffset>
                      </wp:positionH>
                      <wp:positionV relativeFrom="paragraph">
                        <wp:posOffset>1123315</wp:posOffset>
                      </wp:positionV>
                      <wp:extent cx="1355090" cy="1574800"/>
                      <wp:effectExtent l="14605" t="12700" r="20955" b="12700"/>
                      <wp:wrapNone/>
                      <wp:docPr id="41" name="直线 71"/>
                      <wp:cNvGraphicFramePr/>
                      <a:graphic xmlns:a="http://schemas.openxmlformats.org/drawingml/2006/main">
                        <a:graphicData uri="http://schemas.microsoft.com/office/word/2010/wordprocessingShape">
                          <wps:wsp>
                            <wps:cNvCnPr/>
                            <wps:spPr>
                              <a:xfrm flipV="1">
                                <a:off x="0" y="0"/>
                                <a:ext cx="1355090" cy="1574800"/>
                              </a:xfrm>
                              <a:prstGeom prst="line">
                                <a:avLst/>
                              </a:prstGeom>
                              <a:ln w="38100" cap="flat" cmpd="sng">
                                <a:solidFill>
                                  <a:srgbClr val="00B0F0"/>
                                </a:solidFill>
                                <a:prstDash val="solid"/>
                                <a:headEnd type="none" w="med" len="med"/>
                                <a:tailEnd type="none" w="med" len="med"/>
                              </a:ln>
                            </wps:spPr>
                            <wps:bodyPr upright="1"/>
                          </wps:wsp>
                        </a:graphicData>
                      </a:graphic>
                    </wp:anchor>
                  </w:drawing>
                </mc:Choice>
                <mc:Fallback>
                  <w:pict>
                    <v:line id="直线 71" o:spid="_x0000_s1026" o:spt="20" style="position:absolute;left:0pt;flip:y;margin-left:273.05pt;margin-top:88.45pt;height:124pt;width:106.7pt;z-index:251666432;mso-width-relative:page;mso-height-relative:page;" filled="f" stroked="t" coordsize="21600,21600" o:gfxdata="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dAcMnZAAAACwEAAA8AAAAAAAAAAQAgAAAAIgAAAGRycy9kb3ducmV2Lnht&#10;bFBLAQIUABQAAAAIAIdO4kADHcVQ+AEAAO4DAAAOAAAAAAAAAAEAIAAAACgBAABkcnMvZTJvRG9j&#10;LnhtbFBLBQYAAAAABgAGAFkBAACSBQAAAAA=&#10;">
                      <v:fill on="f" focussize="0,0"/>
                      <v:stroke weight="3pt" color="#00B0F0" joinstyle="round"/>
                      <v:imagedata o:title=""/>
                      <o:lock v:ext="edit" aspectratio="f"/>
                    </v:lin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3978275</wp:posOffset>
                      </wp:positionH>
                      <wp:positionV relativeFrom="paragraph">
                        <wp:posOffset>1226185</wp:posOffset>
                      </wp:positionV>
                      <wp:extent cx="543560" cy="608330"/>
                      <wp:effectExtent l="6985" t="0" r="1905" b="20320"/>
                      <wp:wrapNone/>
                      <wp:docPr id="43" name="直线 74"/>
                      <wp:cNvGraphicFramePr/>
                      <a:graphic xmlns:a="http://schemas.openxmlformats.org/drawingml/2006/main">
                        <a:graphicData uri="http://schemas.microsoft.com/office/word/2010/wordprocessingShape">
                          <wps:wsp>
                            <wps:cNvCnPr/>
                            <wps:spPr>
                              <a:xfrm flipV="1">
                                <a:off x="0" y="0"/>
                                <a:ext cx="543560" cy="608330"/>
                              </a:xfrm>
                              <a:prstGeom prst="line">
                                <a:avLst/>
                              </a:prstGeom>
                              <a:ln w="19050" cap="flat" cmpd="sng">
                                <a:solidFill>
                                  <a:srgbClr val="00B0F0"/>
                                </a:solidFill>
                                <a:prstDash val="solid"/>
                                <a:headEnd type="none" w="med" len="med"/>
                                <a:tailEnd type="arrow" w="med" len="med"/>
                              </a:ln>
                            </wps:spPr>
                            <wps:bodyPr upright="1"/>
                          </wps:wsp>
                        </a:graphicData>
                      </a:graphic>
                    </wp:anchor>
                  </w:drawing>
                </mc:Choice>
                <mc:Fallback>
                  <w:pict>
                    <v:line id="直线 74" o:spid="_x0000_s1026" o:spt="20" style="position:absolute;left:0pt;flip:y;margin-left:313.25pt;margin-top:96.55pt;height:47.9pt;width:42.8pt;z-index:251668480;mso-width-relative:page;mso-height-relative:page;" filled="f" stroked="t" coordsize="21600,21600" o:gfxdata="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niR8doAAAALAQAADwAAAAAAAAABACAAAAAiAAAAZHJzL2Rvd25y&#10;ZXYueG1sUEsBAhQAFAAAAAgAh07iQDgLdUf8AQAA7QMAAA4AAAAAAAAAAQAgAAAAKQEAAGRycy9l&#10;Mm9Eb2MueG1sUEsFBgAAAAAGAAYAWQEAAJcFAAAAAA==&#10;">
                      <v:fill on="f" focussize="0,0"/>
                      <v:stroke weight="1.5pt" color="#00B0F0" joinstyle="round" endarrow="open"/>
                      <v:imagedata o:title=""/>
                      <o:lock v:ext="edit" aspectratio="f"/>
                    </v:lin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4306570</wp:posOffset>
                      </wp:positionH>
                      <wp:positionV relativeFrom="paragraph">
                        <wp:posOffset>1781810</wp:posOffset>
                      </wp:positionV>
                      <wp:extent cx="681990" cy="622935"/>
                      <wp:effectExtent l="0" t="0" r="0" b="0"/>
                      <wp:wrapNone/>
                      <wp:docPr id="45" name="文本框 76"/>
                      <wp:cNvGraphicFramePr/>
                      <a:graphic xmlns:a="http://schemas.openxmlformats.org/drawingml/2006/main">
                        <a:graphicData uri="http://schemas.microsoft.com/office/word/2010/wordprocessingShape">
                          <wps:wsp>
                            <wps:cNvSpPr txBox="1"/>
                            <wps:spPr>
                              <a:xfrm>
                                <a:off x="0" y="0"/>
                                <a:ext cx="681990" cy="622935"/>
                              </a:xfrm>
                              <a:prstGeom prst="rect">
                                <a:avLst/>
                              </a:prstGeom>
                              <a:noFill/>
                              <a:ln>
                                <a:noFill/>
                              </a:ln>
                            </wps:spPr>
                            <wps:txbx>
                              <w:txbxContent>
                                <w:p>
                                  <w:pPr>
                                    <w:rPr>
                                      <w:rFonts w:hint="default" w:eastAsia="宋体"/>
                                      <w:b/>
                                      <w:bCs/>
                                      <w:color w:val="FF0000"/>
                                      <w:lang w:val="en-US" w:eastAsia="zh-CN"/>
                                    </w:rPr>
                                  </w:pPr>
                                  <w:r>
                                    <w:rPr>
                                      <w:rFonts w:hint="eastAsia"/>
                                      <w:b/>
                                      <w:bCs/>
                                      <w:color w:val="FF0000"/>
                                      <w:lang w:val="en-US" w:eastAsia="zh-CN"/>
                                    </w:rPr>
                                    <w:t>提防永久占地</w:t>
                                  </w:r>
                                </w:p>
                              </w:txbxContent>
                            </wps:txbx>
                            <wps:bodyPr wrap="square" upright="1"/>
                          </wps:wsp>
                        </a:graphicData>
                      </a:graphic>
                    </wp:anchor>
                  </w:drawing>
                </mc:Choice>
                <mc:Fallback>
                  <w:pict>
                    <v:shape id="文本框 76" o:spid="_x0000_s1026" o:spt="202" type="#_x0000_t202" style="position:absolute;left:0pt;margin-left:339.1pt;margin-top:140.3pt;height:49.05pt;width:53.7pt;z-index:251670528;mso-width-relative:page;mso-height-relative:page;" filled="f" stroked="f" coordsize="21600,21600" o:gfxdata="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umLae2AAAAAsBAAAPAAAAAAAAAAEAIAAAACIAAABkcnMvZG93bnJldi54bWxQSwECFAAU&#10;AAAACACHTuJAeaNNrrgBAABdAwAADgAAAAAAAAABACAAAAAnAQAAZHJzL2Uyb0RvYy54bWxQSwUG&#10;AAAAAAYABgBZAQAAUQUAAAAA&#10;">
                      <v:fill on="f" focussize="0,0"/>
                      <v:stroke on="f"/>
                      <v:imagedata o:title=""/>
                      <o:lock v:ext="edit" aspectratio="f"/>
                      <v:textbox>
                        <w:txbxContent>
                          <w:p>
                            <w:pPr>
                              <w:rPr>
                                <w:rFonts w:hint="default" w:eastAsia="宋体"/>
                                <w:b/>
                                <w:bCs/>
                                <w:color w:val="FF0000"/>
                                <w:lang w:val="en-US" w:eastAsia="zh-CN"/>
                              </w:rPr>
                            </w:pPr>
                            <w:r>
                              <w:rPr>
                                <w:rFonts w:hint="eastAsia"/>
                                <w:b/>
                                <w:bCs/>
                                <w:color w:val="FF0000"/>
                                <w:lang w:val="en-US" w:eastAsia="zh-CN"/>
                              </w:rPr>
                              <w:t>提防永久占地</w:t>
                            </w:r>
                          </w:p>
                        </w:txbxContent>
                      </v:textbox>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422275</wp:posOffset>
                      </wp:positionH>
                      <wp:positionV relativeFrom="paragraph">
                        <wp:posOffset>1464310</wp:posOffset>
                      </wp:positionV>
                      <wp:extent cx="681990" cy="622935"/>
                      <wp:effectExtent l="0" t="0" r="0" b="0"/>
                      <wp:wrapNone/>
                      <wp:docPr id="44" name="文本框 75"/>
                      <wp:cNvGraphicFramePr/>
                      <a:graphic xmlns:a="http://schemas.openxmlformats.org/drawingml/2006/main">
                        <a:graphicData uri="http://schemas.microsoft.com/office/word/2010/wordprocessingShape">
                          <wps:wsp>
                            <wps:cNvSpPr txBox="1"/>
                            <wps:spPr>
                              <a:xfrm>
                                <a:off x="0" y="0"/>
                                <a:ext cx="681990" cy="622935"/>
                              </a:xfrm>
                              <a:prstGeom prst="rect">
                                <a:avLst/>
                              </a:prstGeom>
                              <a:noFill/>
                              <a:ln>
                                <a:noFill/>
                              </a:ln>
                            </wps:spPr>
                            <wps:txbx>
                              <w:txbxContent>
                                <w:p>
                                  <w:pPr>
                                    <w:rPr>
                                      <w:rFonts w:hint="default" w:eastAsia="宋体"/>
                                      <w:b/>
                                      <w:bCs/>
                                      <w:color w:val="FF0000"/>
                                      <w:lang w:val="en-US" w:eastAsia="zh-CN"/>
                                    </w:rPr>
                                  </w:pPr>
                                  <w:r>
                                    <w:rPr>
                                      <w:rFonts w:hint="eastAsia"/>
                                      <w:b/>
                                      <w:bCs/>
                                      <w:color w:val="FF0000"/>
                                      <w:lang w:val="en-US" w:eastAsia="zh-CN"/>
                                    </w:rPr>
                                    <w:t>提防永久占地</w:t>
                                  </w:r>
                                </w:p>
                              </w:txbxContent>
                            </wps:txbx>
                            <wps:bodyPr vert="horz" wrap="square" anchor="t" anchorCtr="0" upright="1"/>
                          </wps:wsp>
                        </a:graphicData>
                      </a:graphic>
                    </wp:anchor>
                  </w:drawing>
                </mc:Choice>
                <mc:Fallback>
                  <w:pict>
                    <v:shape id="文本框 75" o:spid="_x0000_s1026" o:spt="202" type="#_x0000_t202" style="position:absolute;left:0pt;margin-left:33.25pt;margin-top:115.3pt;height:49.05pt;width:53.7pt;z-index:251669504;mso-width-relative:page;mso-height-relative:page;" filled="f" stroked="f" coordsize="21600,21600" o:gfxdata="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uXW4jYAAAACgEAAA8AAAAAAAAAAQAgAAAAIgAAAGRy&#10;cy9kb3ducmV2LnhtbFBLAQIUABQAAAAIAIdO4kBNgqvgzAEAAIIDAAAOAAAAAAAAAAEAIAAAACcB&#10;AABkcnMvZTJvRG9jLnhtbFBLBQYAAAAABgAGAFkBAABlBQAAAAA=&#10;">
                      <v:fill on="f" focussize="0,0"/>
                      <v:stroke on="f"/>
                      <v:imagedata o:title=""/>
                      <o:lock v:ext="edit" aspectratio="f"/>
                      <v:textbox>
                        <w:txbxContent>
                          <w:p>
                            <w:pPr>
                              <w:rPr>
                                <w:rFonts w:hint="default" w:eastAsia="宋体"/>
                                <w:b/>
                                <w:bCs/>
                                <w:color w:val="FF0000"/>
                                <w:lang w:val="en-US" w:eastAsia="zh-CN"/>
                              </w:rPr>
                            </w:pPr>
                            <w:r>
                              <w:rPr>
                                <w:rFonts w:hint="eastAsia"/>
                                <w:b/>
                                <w:bCs/>
                                <w:color w:val="FF0000"/>
                                <w:lang w:val="en-US" w:eastAsia="zh-CN"/>
                              </w:rPr>
                              <w:t>提防永久占地</w:t>
                            </w:r>
                          </w:p>
                        </w:txbxContent>
                      </v:textbox>
                    </v:shape>
                  </w:pict>
                </mc:Fallback>
              </mc:AlternateContent>
            </w:r>
            <w:r>
              <w:rPr>
                <w:rFonts w:hint="eastAsia" w:ascii="Times New Roman" w:hAnsi="Times New Roman" w:eastAsia="宋体" w:cs="Times New Roman"/>
                <w:color w:val="000000"/>
                <w:sz w:val="24"/>
                <w:lang w:val="en-US" w:eastAsia="zh-CN"/>
              </w:rPr>
              <w:t xml:space="preserve">  </w:t>
            </w:r>
            <w:r>
              <w:rPr>
                <w:rFonts w:hint="eastAsia" w:ascii="Times New Roman" w:hAnsi="Times New Roman" w:eastAsia="宋体" w:cs="Times New Roman"/>
                <w:color w:val="000000"/>
                <w:sz w:val="24"/>
                <w:lang w:eastAsia="zh-CN"/>
              </w:rPr>
              <w:drawing>
                <wp:inline distT="0" distB="0" distL="114300" distR="114300">
                  <wp:extent cx="2520315" cy="3359785"/>
                  <wp:effectExtent l="12700" t="12700" r="19685" b="18415"/>
                  <wp:docPr id="57" name="图片 209" descr="IMG_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09" descr="IMG_2693"/>
                          <pic:cNvPicPr>
                            <a:picLocks noChangeAspect="1"/>
                          </pic:cNvPicPr>
                        </pic:nvPicPr>
                        <pic:blipFill>
                          <a:blip r:embed="rId30"/>
                          <a:stretch>
                            <a:fillRect/>
                          </a:stretch>
                        </pic:blipFill>
                        <pic:spPr>
                          <a:xfrm>
                            <a:off x="0" y="0"/>
                            <a:ext cx="2520315" cy="3359785"/>
                          </a:xfrm>
                          <a:prstGeom prst="rect">
                            <a:avLst/>
                          </a:prstGeom>
                          <a:noFill/>
                          <a:ln w="12700" cap="flat" cmpd="sng">
                            <a:solidFill>
                              <a:srgbClr val="000000"/>
                            </a:solidFill>
                            <a:prstDash val="solid"/>
                            <a:miter/>
                            <a:headEnd type="none" w="med" len="med"/>
                            <a:tailEnd type="none" w="med" len="med"/>
                          </a:ln>
                        </pic:spPr>
                      </pic:pic>
                    </a:graphicData>
                  </a:graphic>
                </wp:inline>
              </w:drawing>
            </w:r>
            <w:r>
              <w:rPr>
                <w:sz w:val="24"/>
              </w:rPr>
              <mc:AlternateContent>
                <mc:Choice Requires="wps">
                  <w:drawing>
                    <wp:anchor distT="0" distB="0" distL="114300" distR="114300" simplePos="0" relativeHeight="251667456" behindDoc="0" locked="0" layoutInCell="1" allowOverlap="1">
                      <wp:simplePos x="0" y="0"/>
                      <wp:positionH relativeFrom="column">
                        <wp:posOffset>1301115</wp:posOffset>
                      </wp:positionH>
                      <wp:positionV relativeFrom="paragraph">
                        <wp:posOffset>1485900</wp:posOffset>
                      </wp:positionV>
                      <wp:extent cx="154305" cy="1002665"/>
                      <wp:effectExtent l="9525" t="1270" r="45720" b="5715"/>
                      <wp:wrapNone/>
                      <wp:docPr id="42" name="直线 73"/>
                      <wp:cNvGraphicFramePr/>
                      <a:graphic xmlns:a="http://schemas.openxmlformats.org/drawingml/2006/main">
                        <a:graphicData uri="http://schemas.microsoft.com/office/word/2010/wordprocessingShape">
                          <wps:wsp>
                            <wps:cNvCnPr/>
                            <wps:spPr>
                              <a:xfrm>
                                <a:off x="0" y="0"/>
                                <a:ext cx="154305" cy="1002665"/>
                              </a:xfrm>
                              <a:prstGeom prst="line">
                                <a:avLst/>
                              </a:prstGeom>
                              <a:ln w="19050" cap="flat" cmpd="sng">
                                <a:solidFill>
                                  <a:srgbClr val="00B0F0"/>
                                </a:solidFill>
                                <a:prstDash val="solid"/>
                                <a:headEnd type="none" w="med" len="med"/>
                                <a:tailEnd type="arrow" w="med" len="med"/>
                              </a:ln>
                            </wps:spPr>
                            <wps:bodyPr upright="1"/>
                          </wps:wsp>
                        </a:graphicData>
                      </a:graphic>
                    </wp:anchor>
                  </w:drawing>
                </mc:Choice>
                <mc:Fallback>
                  <w:pict>
                    <v:line id="直线 73" o:spid="_x0000_s1026" o:spt="20" style="position:absolute;left:0pt;margin-left:102.45pt;margin-top:117pt;height:78.95pt;width:12.15pt;z-index:251667456;mso-width-relative:page;mso-height-relative:page;" filled="f" stroked="t" coordsize="21600,21600" o:gfxdata="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R5gA3cAAAACwEAAA8AAAAAAAAAAQAgAAAAIgAAAGRycy9kb3ducmV2&#10;LnhtbFBLAQIUABQAAAAIAIdO4kDzWy6h+AEAAOQDAAAOAAAAAAAAAAEAIAAAACsBAABkcnMvZTJv&#10;RG9jLnhtbFBLBQYAAAAABgAGAFkBAACVBQAAAAA=&#10;">
                      <v:fill on="f" focussize="0,0"/>
                      <v:stroke weight="1.5pt" color="#00B0F0" joinstyle="round" endarrow="open"/>
                      <v:imagedata o:title=""/>
                      <o:lock v:ext="edit" aspectratio="f"/>
                    </v:lin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1126490</wp:posOffset>
                      </wp:positionH>
                      <wp:positionV relativeFrom="paragraph">
                        <wp:posOffset>1119505</wp:posOffset>
                      </wp:positionV>
                      <wp:extent cx="248285" cy="2233930"/>
                      <wp:effectExtent l="19050" t="1905" r="37465" b="12065"/>
                      <wp:wrapNone/>
                      <wp:docPr id="40" name="直线 70"/>
                      <wp:cNvGraphicFramePr/>
                      <a:graphic xmlns:a="http://schemas.openxmlformats.org/drawingml/2006/main">
                        <a:graphicData uri="http://schemas.microsoft.com/office/word/2010/wordprocessingShape">
                          <wps:wsp>
                            <wps:cNvCnPr/>
                            <wps:spPr>
                              <a:xfrm flipH="1" flipV="1">
                                <a:off x="0" y="0"/>
                                <a:ext cx="248285" cy="2233930"/>
                              </a:xfrm>
                              <a:prstGeom prst="line">
                                <a:avLst/>
                              </a:prstGeom>
                              <a:ln w="38100" cap="flat" cmpd="sng">
                                <a:solidFill>
                                  <a:srgbClr val="00B0F0"/>
                                </a:solidFill>
                                <a:prstDash val="solid"/>
                                <a:headEnd type="none" w="med" len="med"/>
                                <a:tailEnd type="none" w="med" len="med"/>
                              </a:ln>
                            </wps:spPr>
                            <wps:bodyPr upright="1"/>
                          </wps:wsp>
                        </a:graphicData>
                      </a:graphic>
                    </wp:anchor>
                  </w:drawing>
                </mc:Choice>
                <mc:Fallback>
                  <w:pict>
                    <v:line id="直线 70" o:spid="_x0000_s1026" o:spt="20" style="position:absolute;left:0pt;flip:x y;margin-left:88.7pt;margin-top:88.15pt;height:175.9pt;width:19.55pt;z-index:251665408;mso-width-relative:page;mso-height-relative:page;" filled="f" stroked="t" coordsize="21600,21600" o:gfxdata="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rZ03t3AAAAAsBAAAPAAAAAAAAAAEAIAAAACIAAABkcnMvZG93&#10;bnJldi54bWxQSwECFAAUAAAACACHTuJAU/AjNfwBAAD3AwAADgAAAAAAAAABACAAAAArAQAAZHJz&#10;L2Uyb0RvYy54bWxQSwUGAAAAAAYABgBZAQAAmQUAAAAA&#10;">
                      <v:fill on="f" focussize="0,0"/>
                      <v:stroke weight="3pt" color="#00B0F0" joinstyle="round"/>
                      <v:imagedata o:title=""/>
                      <o:lock v:ext="edit" aspectratio="f"/>
                    </v:line>
                  </w:pict>
                </mc:Fallback>
              </mc:AlternateContent>
            </w:r>
            <w:r>
              <w:rPr>
                <w:rFonts w:hint="eastAsia" w:ascii="Times New Roman" w:hAnsi="Times New Roman" w:eastAsia="宋体" w:cs="Times New Roman"/>
                <w:color w:val="000000"/>
                <w:sz w:val="24"/>
                <w:lang w:val="en-US" w:eastAsia="zh-CN"/>
              </w:rPr>
              <w:t xml:space="preserve">  </w:t>
            </w:r>
            <w:r>
              <w:rPr>
                <w:rFonts w:hint="eastAsia" w:ascii="Times New Roman" w:hAnsi="Times New Roman" w:eastAsia="宋体" w:cs="Times New Roman"/>
                <w:color w:val="000000"/>
                <w:sz w:val="24"/>
                <w:lang w:eastAsia="zh-CN"/>
              </w:rPr>
              <w:drawing>
                <wp:inline distT="0" distB="0" distL="114300" distR="114300">
                  <wp:extent cx="2520315" cy="3359785"/>
                  <wp:effectExtent l="12700" t="12700" r="19685" b="18415"/>
                  <wp:docPr id="58" name="图片 205" descr="IMG_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05" descr="IMG_2679"/>
                          <pic:cNvPicPr>
                            <a:picLocks noChangeAspect="1"/>
                          </pic:cNvPicPr>
                        </pic:nvPicPr>
                        <pic:blipFill>
                          <a:blip r:embed="rId31"/>
                          <a:stretch>
                            <a:fillRect/>
                          </a:stretch>
                        </pic:blipFill>
                        <pic:spPr>
                          <a:xfrm>
                            <a:off x="0" y="0"/>
                            <a:ext cx="2520315" cy="3359785"/>
                          </a:xfrm>
                          <a:prstGeom prst="rect">
                            <a:avLst/>
                          </a:prstGeom>
                          <a:noFill/>
                          <a:ln w="12700" cap="flat" cmpd="sng">
                            <a:solidFill>
                              <a:srgbClr val="000000"/>
                            </a:solidFill>
                            <a:prstDash val="solid"/>
                            <a:miter/>
                            <a:headEnd type="none" w="med" len="med"/>
                            <a:tailEnd type="none" w="med" len="med"/>
                          </a:ln>
                        </pic:spPr>
                      </pic:pic>
                    </a:graphicData>
                  </a:graphic>
                </wp:inline>
              </w:drawing>
            </w:r>
          </w:p>
          <w:p>
            <w:pPr>
              <w:tabs>
                <w:tab w:val="left" w:pos="2580"/>
                <w:tab w:val="left" w:pos="7560"/>
              </w:tabs>
              <w:spacing w:line="360" w:lineRule="auto"/>
              <w:ind w:firstLine="477" w:firstLineChars="199"/>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②临时占地的影响</w:t>
            </w:r>
          </w:p>
          <w:p>
            <w:pPr>
              <w:tabs>
                <w:tab w:val="left" w:pos="2580"/>
                <w:tab w:val="left" w:pos="7560"/>
              </w:tabs>
              <w:spacing w:line="360" w:lineRule="auto"/>
              <w:ind w:firstLine="477" w:firstLineChars="199"/>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临时占地指施工期间临时占用的土地，包括施工</w:t>
            </w:r>
            <w:r>
              <w:rPr>
                <w:rFonts w:hint="eastAsia" w:ascii="Times New Roman" w:hAnsi="Times New Roman" w:eastAsia="宋体" w:cs="Times New Roman"/>
                <w:color w:val="000000"/>
                <w:sz w:val="24"/>
                <w:lang w:val="en-US" w:eastAsia="zh-CN"/>
              </w:rPr>
              <w:t>道路</w:t>
            </w:r>
            <w:r>
              <w:rPr>
                <w:rFonts w:hint="default" w:ascii="Times New Roman" w:hAnsi="Times New Roman" w:eastAsia="宋体" w:cs="Times New Roman"/>
                <w:color w:val="000000"/>
                <w:sz w:val="24"/>
              </w:rPr>
              <w:t>、</w:t>
            </w:r>
            <w:r>
              <w:rPr>
                <w:rFonts w:hint="eastAsia" w:ascii="Times New Roman" w:hAnsi="Times New Roman" w:eastAsia="宋体" w:cs="Times New Roman"/>
                <w:color w:val="000000"/>
                <w:sz w:val="24"/>
                <w:lang w:eastAsia="zh-CN"/>
              </w:rPr>
              <w:t>临时</w:t>
            </w:r>
            <w:r>
              <w:rPr>
                <w:rFonts w:hint="eastAsia" w:ascii="Times New Roman" w:hAnsi="Times New Roman" w:eastAsia="宋体" w:cs="Times New Roman"/>
                <w:color w:val="000000"/>
                <w:sz w:val="24"/>
                <w:lang w:val="en-US" w:eastAsia="zh-CN"/>
              </w:rPr>
              <w:t>堆</w:t>
            </w:r>
            <w:r>
              <w:rPr>
                <w:rFonts w:hint="eastAsia" w:cs="Times New Roman"/>
                <w:color w:val="000000"/>
                <w:sz w:val="24"/>
                <w:lang w:val="en-US" w:eastAsia="zh-CN"/>
              </w:rPr>
              <w:t>土</w:t>
            </w:r>
            <w:r>
              <w:rPr>
                <w:rFonts w:hint="eastAsia" w:ascii="Times New Roman" w:hAnsi="Times New Roman" w:eastAsia="宋体" w:cs="Times New Roman"/>
                <w:color w:val="000000"/>
                <w:sz w:val="24"/>
                <w:lang w:eastAsia="zh-CN"/>
              </w:rPr>
              <w:t>场</w:t>
            </w:r>
            <w:r>
              <w:rPr>
                <w:rFonts w:hint="default" w:ascii="Times New Roman" w:hAnsi="Times New Roman" w:eastAsia="宋体" w:cs="Times New Roman"/>
                <w:color w:val="000000"/>
                <w:sz w:val="24"/>
              </w:rPr>
              <w:t>。</w:t>
            </w:r>
            <w:r>
              <w:rPr>
                <w:rFonts w:hint="default" w:ascii="Times New Roman" w:hAnsi="Times New Roman" w:eastAsia="宋体" w:cs="Times New Roman"/>
                <w:color w:val="000000"/>
                <w:sz w:val="24"/>
                <w:szCs w:val="24"/>
              </w:rPr>
              <w:t>本工程</w:t>
            </w:r>
            <w:r>
              <w:rPr>
                <w:rFonts w:hint="eastAsia" w:ascii="Times New Roman" w:hAnsi="Times New Roman" w:eastAsia="宋体" w:cs="Times New Roman"/>
                <w:color w:val="000000"/>
                <w:sz w:val="24"/>
                <w:szCs w:val="24"/>
                <w:lang w:eastAsia="zh-CN"/>
              </w:rPr>
              <w:t>临时</w:t>
            </w:r>
            <w:r>
              <w:rPr>
                <w:rFonts w:hint="default" w:ascii="Times New Roman" w:hAnsi="Times New Roman" w:eastAsia="宋体" w:cs="Times New Roman"/>
                <w:color w:val="000000"/>
                <w:sz w:val="24"/>
                <w:szCs w:val="24"/>
              </w:rPr>
              <w:t>占地面积为</w:t>
            </w:r>
            <w:r>
              <w:rPr>
                <w:rFonts w:hint="eastAsia" w:ascii="Times New Roman" w:eastAsia="宋体" w:cs="Times New Roman"/>
                <w:sz w:val="24"/>
                <w:szCs w:val="24"/>
                <w:lang w:val="en-US" w:eastAsia="zh-CN"/>
              </w:rPr>
              <w:t>4.95亩（3300m</w:t>
            </w:r>
            <w:r>
              <w:rPr>
                <w:rFonts w:hint="eastAsia" w:ascii="Times New Roman" w:eastAsia="宋体" w:cs="Times New Roman"/>
                <w:sz w:val="24"/>
                <w:szCs w:val="24"/>
                <w:vertAlign w:val="superscript"/>
                <w:lang w:val="en-US" w:eastAsia="zh-CN"/>
              </w:rPr>
              <w:t>2</w:t>
            </w:r>
            <w:r>
              <w:rPr>
                <w:rFonts w:hint="eastAsia" w:ascii="Times New Roman" w:eastAsia="宋体" w:cs="Times New Roman"/>
                <w:sz w:val="24"/>
                <w:szCs w:val="24"/>
                <w:lang w:val="en-US" w:eastAsia="zh-CN"/>
              </w:rPr>
              <w:t>）</w:t>
            </w:r>
            <w:r>
              <w:rPr>
                <w:rFonts w:hint="default" w:ascii="Times New Roman" w:hAnsi="Times New Roman" w:eastAsia="宋体" w:cs="Times New Roman"/>
                <w:color w:val="000000"/>
                <w:sz w:val="24"/>
                <w:szCs w:val="24"/>
              </w:rPr>
              <w:t>，占地类型为</w:t>
            </w:r>
            <w:r>
              <w:rPr>
                <w:rFonts w:hint="default" w:ascii="Times New Roman" w:hAnsi="Times New Roman" w:eastAsia="宋体" w:cs="Times New Roman"/>
                <w:sz w:val="24"/>
                <w:szCs w:val="24"/>
                <w:lang w:val="en-US" w:eastAsia="zh-CN"/>
              </w:rPr>
              <w:t>耕地</w:t>
            </w:r>
            <w:r>
              <w:rPr>
                <w:rFonts w:hint="eastAsia" w:ascii="Times New Roman" w:hAnsi="Times New Roman" w:eastAsia="宋体" w:cs="Times New Roman"/>
                <w:sz w:val="24"/>
                <w:szCs w:val="24"/>
                <w:lang w:val="en-US" w:eastAsia="zh-CN"/>
              </w:rPr>
              <w:t>、水域涂滩</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rPr>
              <w:t>施工临时占地破坏了地表植被，导致土壤侵蚀模数相应增大，</w:t>
            </w:r>
            <w:r>
              <w:rPr>
                <w:rFonts w:hint="eastAsia" w:ascii="Times New Roman" w:hAnsi="Times New Roman" w:eastAsia="宋体" w:cs="Times New Roman"/>
                <w:color w:val="000000"/>
                <w:sz w:val="24"/>
                <w:lang w:val="en-US" w:eastAsia="zh-CN"/>
              </w:rPr>
              <w:t>临时</w:t>
            </w:r>
            <w:r>
              <w:rPr>
                <w:rFonts w:hint="default" w:ascii="Times New Roman" w:hAnsi="Times New Roman" w:eastAsia="宋体" w:cs="Times New Roman"/>
                <w:color w:val="000000"/>
                <w:sz w:val="24"/>
              </w:rPr>
              <w:t>堆置的</w:t>
            </w:r>
            <w:r>
              <w:rPr>
                <w:rFonts w:hint="eastAsia" w:ascii="Times New Roman" w:hAnsi="Times New Roman" w:eastAsia="宋体" w:cs="Times New Roman"/>
                <w:color w:val="000000"/>
                <w:sz w:val="24"/>
                <w:lang w:val="en-US" w:eastAsia="zh-CN"/>
              </w:rPr>
              <w:t>表土</w:t>
            </w:r>
            <w:r>
              <w:rPr>
                <w:rFonts w:hint="default" w:ascii="Times New Roman" w:hAnsi="Times New Roman" w:eastAsia="宋体" w:cs="Times New Roman"/>
                <w:color w:val="000000"/>
                <w:sz w:val="24"/>
              </w:rPr>
              <w:t>形成新的水土流失区，遇到雨季则会引起较大规模的水土流失。但本项目临时占地场地较为平整，植被量少，通过修建临时排水设施，做好临时堆</w:t>
            </w:r>
            <w:r>
              <w:rPr>
                <w:rFonts w:hint="eastAsia" w:cs="Times New Roman"/>
                <w:color w:val="000000"/>
                <w:sz w:val="24"/>
                <w:lang w:val="en-US" w:eastAsia="zh-CN"/>
              </w:rPr>
              <w:t>土场</w:t>
            </w:r>
            <w:r>
              <w:rPr>
                <w:rFonts w:hint="default" w:ascii="Times New Roman" w:hAnsi="Times New Roman" w:eastAsia="宋体" w:cs="Times New Roman"/>
                <w:color w:val="000000"/>
                <w:sz w:val="24"/>
              </w:rPr>
              <w:t>的的水土保持等措施可以降低其影响。项目建成后，拆除临时建筑物，对临时占地区及时恢复原状，并做好占地区内的植被恢复工作。由于本项目工程量不大，在做好相应的水土保持措施后，临时占地的影响很小。</w:t>
            </w:r>
          </w:p>
          <w:p>
            <w:pPr>
              <w:tabs>
                <w:tab w:val="left" w:pos="2580"/>
                <w:tab w:val="left" w:pos="7560"/>
              </w:tabs>
              <w:spacing w:line="360" w:lineRule="auto"/>
              <w:ind w:firstLine="477" w:firstLineChars="199"/>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2）对地表植被的影响</w:t>
            </w:r>
          </w:p>
          <w:p>
            <w:pPr>
              <w:tabs>
                <w:tab w:val="left" w:pos="2580"/>
                <w:tab w:val="left" w:pos="7560"/>
              </w:tabs>
              <w:spacing w:line="360" w:lineRule="auto"/>
              <w:ind w:firstLine="477" w:firstLineChars="199"/>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土石方开挖及堤岸修筑过程中，施工范围中的现有植被将受到破坏。本项目</w:t>
            </w:r>
            <w:r>
              <w:rPr>
                <w:rFonts w:hint="eastAsia" w:ascii="Times New Roman" w:hAnsi="Times New Roman" w:eastAsia="宋体" w:cs="Times New Roman"/>
                <w:color w:val="000000"/>
                <w:sz w:val="24"/>
                <w:lang w:val="en-US" w:eastAsia="zh-CN"/>
              </w:rPr>
              <w:t>位于农村</w:t>
            </w:r>
            <w:r>
              <w:rPr>
                <w:rFonts w:hint="default" w:ascii="Times New Roman" w:hAnsi="Times New Roman" w:eastAsia="宋体" w:cs="Times New Roman"/>
                <w:color w:val="000000"/>
                <w:sz w:val="24"/>
              </w:rPr>
              <w:t>，项目影响区域内植被量少，种类不多，且容易恢复。工程建设不会对占地区域沿线植被产生长远的破坏性影响。</w:t>
            </w:r>
          </w:p>
          <w:p>
            <w:pPr>
              <w:tabs>
                <w:tab w:val="left" w:pos="2580"/>
                <w:tab w:val="left" w:pos="7560"/>
              </w:tabs>
              <w:spacing w:line="360" w:lineRule="auto"/>
              <w:ind w:firstLine="477" w:firstLineChars="199"/>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另外，项目不涉及森林公园</w:t>
            </w:r>
            <w:r>
              <w:rPr>
                <w:rFonts w:hint="eastAsia"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自然保护区</w:t>
            </w:r>
            <w:r>
              <w:rPr>
                <w:rFonts w:hint="eastAsia" w:ascii="Times New Roman" w:hAnsi="Times New Roman" w:eastAsia="宋体" w:cs="Times New Roman"/>
                <w:color w:val="000000"/>
                <w:sz w:val="24"/>
                <w:lang w:eastAsia="zh-CN"/>
              </w:rPr>
              <w:t>、风景名胜区等生态敏感区</w:t>
            </w:r>
            <w:r>
              <w:rPr>
                <w:rFonts w:hint="default" w:ascii="Times New Roman" w:hAnsi="Times New Roman" w:eastAsia="宋体" w:cs="Times New Roman"/>
                <w:color w:val="000000"/>
                <w:sz w:val="24"/>
              </w:rPr>
              <w:t>，建设区内无珍稀濒危植物种类，无国家重点保护野生植物种类以及无名木古树。项目完工后，对临时占地区域进行植被恢复工作，选用当地常见草种播撒，本项目的建设对当地植被造成的影响会逐步恢复。</w:t>
            </w:r>
          </w:p>
          <w:p>
            <w:pPr>
              <w:tabs>
                <w:tab w:val="left" w:pos="2580"/>
                <w:tab w:val="left" w:pos="7560"/>
              </w:tabs>
              <w:spacing w:line="360" w:lineRule="auto"/>
              <w:ind w:firstLine="477" w:firstLineChars="199"/>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3）对陆生动物生活环境的影响</w:t>
            </w:r>
          </w:p>
          <w:p>
            <w:pPr>
              <w:tabs>
                <w:tab w:val="left" w:pos="2580"/>
                <w:tab w:val="left" w:pos="7560"/>
              </w:tabs>
              <w:spacing w:line="360" w:lineRule="auto"/>
              <w:ind w:firstLine="477" w:firstLineChars="199"/>
              <w:rPr>
                <w:rFonts w:hint="eastAsia" w:ascii="Times New Roman" w:hAnsi="Times New Roman" w:eastAsia="宋体" w:cs="Times New Roman"/>
                <w:color w:val="000000"/>
                <w:sz w:val="24"/>
                <w:lang w:eastAsia="zh-CN"/>
              </w:rPr>
            </w:pPr>
            <w:r>
              <w:rPr>
                <w:rFonts w:hint="default" w:ascii="Times New Roman" w:hAnsi="Times New Roman" w:eastAsia="宋体" w:cs="Times New Roman"/>
                <w:color w:val="000000"/>
                <w:sz w:val="24"/>
              </w:rPr>
              <w:t>本工程区域内人类活动较为频繁，工程评价范围内主要分布为小型脊椎动物，种类较少。经调查访问和沿途观察，附近的野生动物主要是适合栖息于旱地、居民点周边的种类，如农田常见的啮齿类、爬行类和麻雀等常见鸟类，家禽家畜有鸡、鸭、牛、羊、猪等。工程直接影响区域内无国家级保护物种出现，也无省级重点保护动物。施工机械的噪声会对陆生动物产生惊扰，施工机械、原材料的堆放可能杀伤两栖、爬行动物，但是不会对动物物种的数量和种类产生影响</w:t>
            </w:r>
            <w:r>
              <w:rPr>
                <w:rFonts w:hint="eastAsia" w:ascii="Times New Roman" w:hAnsi="Times New Roman" w:eastAsia="宋体" w:cs="Times New Roman"/>
                <w:color w:val="000000"/>
                <w:sz w:val="24"/>
                <w:lang w:eastAsia="zh-CN"/>
              </w:rPr>
              <w:t>。</w:t>
            </w:r>
          </w:p>
          <w:p>
            <w:pPr>
              <w:tabs>
                <w:tab w:val="left" w:pos="2580"/>
                <w:tab w:val="left" w:pos="7560"/>
              </w:tabs>
              <w:spacing w:line="360" w:lineRule="auto"/>
              <w:ind w:firstLine="477" w:firstLineChars="199"/>
              <w:rPr>
                <w:rFonts w:hint="default" w:ascii="Times New Roman" w:hAnsi="Times New Roman" w:eastAsia="宋体" w:cs="Times New Roman"/>
                <w:color w:val="000000"/>
                <w:sz w:val="24"/>
              </w:rPr>
            </w:pPr>
            <w:r>
              <w:rPr>
                <w:rFonts w:hint="eastAsia" w:ascii="宋体" w:hAnsi="宋体" w:eastAsia="宋体" w:cs="宋体"/>
                <w:color w:val="000000"/>
                <w:kern w:val="0"/>
                <w:sz w:val="24"/>
                <w:szCs w:val="24"/>
                <w:lang w:val="en-US" w:eastAsia="zh-CN" w:bidi="ar"/>
              </w:rPr>
              <w:t>施</w:t>
            </w:r>
            <w:r>
              <w:rPr>
                <w:rFonts w:hint="eastAsia" w:ascii="Times New Roman" w:hAnsi="Times New Roman" w:eastAsia="宋体" w:cs="Times New Roman"/>
                <w:color w:val="000000"/>
                <w:sz w:val="24"/>
                <w:lang w:val="en-US" w:eastAsia="zh-CN"/>
              </w:rPr>
              <w:t>工期间应加强对施工人员的管理，提高环境保护意识，保护野生动植物资源。</w:t>
            </w:r>
          </w:p>
          <w:p>
            <w:pPr>
              <w:tabs>
                <w:tab w:val="left" w:pos="2580"/>
                <w:tab w:val="left" w:pos="7560"/>
              </w:tabs>
              <w:spacing w:line="360" w:lineRule="auto"/>
              <w:ind w:firstLine="477" w:firstLineChars="199"/>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总之，施工期对野生动物的影响是不可避免的，工程永久占地和临时占地缩小了野生动物的生存空间，可能对动物的生境产生影响。但工程施工范围小，工程建设对野生动物的影响范围和影响时间较短，因此不会对区域内野生动物造成明显影响。同时随着施工结束，绿化恢复后，受影响动物将迁回原处或重新构建新的生境。施工期间要对施工人员提出野生动物的保护要求，最大限度地减少对野生动物的影响。</w:t>
            </w:r>
          </w:p>
          <w:p>
            <w:pPr>
              <w:spacing w:line="360" w:lineRule="auto"/>
              <w:ind w:firstLine="480" w:firstLineChars="200"/>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（4）水土流失</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施工期间的挖填土石方、施工场地、临时</w:t>
            </w:r>
            <w:r>
              <w:rPr>
                <w:rFonts w:hint="eastAsia" w:ascii="Times New Roman" w:hAnsi="Times New Roman" w:eastAsia="宋体" w:cs="Times New Roman"/>
                <w:color w:val="000000"/>
                <w:sz w:val="24"/>
                <w:lang w:val="en-US" w:eastAsia="zh-CN"/>
              </w:rPr>
              <w:t>堆</w:t>
            </w:r>
            <w:r>
              <w:rPr>
                <w:rFonts w:hint="eastAsia" w:cs="Times New Roman"/>
                <w:color w:val="000000"/>
                <w:sz w:val="24"/>
                <w:lang w:val="en-US" w:eastAsia="zh-CN"/>
              </w:rPr>
              <w:t>土</w:t>
            </w:r>
            <w:r>
              <w:rPr>
                <w:rFonts w:hint="default" w:ascii="Times New Roman" w:hAnsi="Times New Roman" w:eastAsia="宋体" w:cs="Times New Roman"/>
                <w:color w:val="000000"/>
                <w:sz w:val="24"/>
              </w:rPr>
              <w:t>场使区域的生态结构发生一定变化。施工期在一定程度上破坏了施工区原有地表，使其表层松散，抗水力侵蚀能力减弱，使土壤失去了原有的固土防风能力，从而增加了一定量的水土流失。</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项目施工过程中，</w:t>
            </w:r>
            <w:r>
              <w:rPr>
                <w:rFonts w:hint="eastAsia" w:ascii="Times New Roman" w:hAnsi="Times New Roman" w:eastAsia="宋体" w:cs="Times New Roman"/>
                <w:color w:val="000000"/>
                <w:sz w:val="24"/>
                <w:lang w:val="en-US" w:eastAsia="zh-CN"/>
              </w:rPr>
              <w:t>挖掘的表土</w:t>
            </w:r>
            <w:r>
              <w:rPr>
                <w:rFonts w:hint="default" w:ascii="Times New Roman" w:hAnsi="Times New Roman" w:eastAsia="宋体" w:cs="Times New Roman"/>
                <w:color w:val="000000"/>
                <w:sz w:val="24"/>
              </w:rPr>
              <w:t>在临时堆放、回填、复垦、工程完工前的堆放过程中，因结构松散，容易被雨水冲刷造成水土流失。通过采取动土前在项目周围修建临时围墙、及时夯实回填土、及时绿化、施工道路采用硬化路面；在施工现场建排水沟，防止雨水冲刷场地，并在排水沟出口处建沉淀池，使雨水经沉淀池澄清后用于降尘喷水，达到废水循环利用。尽量减少施工期水土流失。</w:t>
            </w:r>
          </w:p>
          <w:p>
            <w:pPr>
              <w:keepNext w:val="0"/>
              <w:keepLines w:val="0"/>
              <w:widowControl/>
              <w:suppressLineNumbers w:val="0"/>
              <w:spacing w:line="360" w:lineRule="auto"/>
              <w:ind w:firstLine="480" w:firstLineChars="200"/>
              <w:jc w:val="left"/>
            </w:pPr>
            <w:r>
              <w:rPr>
                <w:rFonts w:hint="eastAsia" w:ascii="Times New Roman" w:hAnsi="Times New Roman" w:eastAsia="Times New Roman"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 xml:space="preserve">施工期粉尘对生态环境的影响 </w:t>
            </w:r>
          </w:p>
          <w:p>
            <w:pPr>
              <w:spacing w:line="360" w:lineRule="auto"/>
              <w:ind w:firstLine="480" w:firstLineChars="200"/>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工程施工期间，由于机械操作和土石方的运输等，将会产生扬尘，特别是在干旱和大风季节，粉尘污染会比较严重，粉尘对生态影响一方面表现在影响施工人员的健康和企业、居民的生产生活活动上，另一方面影响表现在对区域内的花草树木和周边地区的农作物和果树的危害，过多的粉尘吸附在叶子表面，会堵塞植物叶表面气孔，妨碍植物光合作业的正常进行，造成呼吸代谢紊乱、植物和果树的开花受粉会受到影响，从而影响植物正常生长，引起产量下降。</w:t>
            </w:r>
          </w:p>
          <w:p>
            <w:pPr>
              <w:spacing w:line="360" w:lineRule="auto"/>
              <w:ind w:firstLine="570"/>
              <w:rPr>
                <w:rFonts w:hint="default" w:ascii="Times New Roman" w:hAnsi="Times New Roman" w:eastAsia="宋体" w:cs="Times New Roman"/>
                <w:b/>
                <w:bCs/>
                <w:color w:val="000000"/>
                <w:sz w:val="24"/>
              </w:rPr>
            </w:pPr>
            <w:r>
              <w:rPr>
                <w:rFonts w:hint="eastAsia" w:ascii="Times New Roman" w:hAnsi="Times New Roman" w:eastAsia="宋体" w:cs="Times New Roman"/>
                <w:b/>
                <w:bCs/>
                <w:color w:val="000000"/>
                <w:sz w:val="24"/>
                <w:lang w:val="en-US" w:eastAsia="zh-CN"/>
              </w:rPr>
              <w:t>2、</w:t>
            </w:r>
            <w:r>
              <w:rPr>
                <w:rFonts w:hint="default" w:ascii="Times New Roman" w:hAnsi="Times New Roman" w:eastAsia="宋体" w:cs="Times New Roman"/>
                <w:b/>
                <w:bCs/>
                <w:color w:val="000000"/>
                <w:sz w:val="24"/>
              </w:rPr>
              <w:t>水生生态环境影响</w:t>
            </w:r>
          </w:p>
          <w:p>
            <w:pPr>
              <w:spacing w:line="360" w:lineRule="auto"/>
              <w:ind w:firstLine="57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a 水生生物影响分析</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bCs/>
                <w:color w:val="000000"/>
                <w:sz w:val="24"/>
              </w:rPr>
              <w:t>项目</w:t>
            </w:r>
            <w:r>
              <w:rPr>
                <w:rFonts w:hint="default" w:ascii="Times New Roman" w:hAnsi="Times New Roman" w:eastAsia="宋体" w:cs="Times New Roman"/>
                <w:color w:val="000000"/>
                <w:sz w:val="24"/>
              </w:rPr>
              <w:t>不存在生境阻隔问题，因此不影响原来河道水生生境。据调查，</w:t>
            </w:r>
            <w:r>
              <w:rPr>
                <w:rFonts w:hint="eastAsia" w:ascii="Times New Roman" w:hAnsi="Times New Roman" w:eastAsia="宋体" w:cs="Times New Roman"/>
                <w:color w:val="000000"/>
                <w:sz w:val="24"/>
                <w:lang w:val="en-US" w:eastAsia="zh-CN"/>
              </w:rPr>
              <w:t>河道内水流量较小，鱼类数量较少</w:t>
            </w:r>
            <w:r>
              <w:rPr>
                <w:rFonts w:hint="default" w:ascii="Times New Roman" w:hAnsi="Times New Roman" w:eastAsia="宋体" w:cs="Times New Roman"/>
                <w:color w:val="000000"/>
                <w:sz w:val="24"/>
              </w:rPr>
              <w:t>，工程建设不在鱼类的回游、产卵、繁殖的区域范围内</w:t>
            </w:r>
            <w:r>
              <w:rPr>
                <w:rFonts w:hint="default" w:ascii="Times New Roman" w:hAnsi="Times New Roman" w:eastAsia="宋体" w:cs="Times New Roman"/>
                <w:color w:val="000000"/>
                <w:sz w:val="24"/>
                <w:lang w:eastAsia="zh-CN"/>
              </w:rPr>
              <w:t>，工程河段无珍稀水生生物</w:t>
            </w:r>
            <w:r>
              <w:rPr>
                <w:rFonts w:hint="default" w:ascii="Times New Roman" w:hAnsi="Times New Roman" w:eastAsia="宋体" w:cs="Times New Roman"/>
                <w:color w:val="000000"/>
                <w:sz w:val="24"/>
              </w:rPr>
              <w:t>。工程建设对水生生物和鱼类影响较小。</w:t>
            </w:r>
          </w:p>
          <w:p>
            <w:pPr>
              <w:spacing w:line="360" w:lineRule="auto"/>
              <w:ind w:firstLine="57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b 对鱼类的影响</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项目拟建地区域内鱼类资源</w:t>
            </w:r>
            <w:r>
              <w:rPr>
                <w:rFonts w:hint="eastAsia" w:ascii="Times New Roman" w:hAnsi="Times New Roman" w:eastAsia="宋体" w:cs="Times New Roman"/>
                <w:color w:val="000000"/>
                <w:sz w:val="24"/>
                <w:lang w:val="en-US" w:eastAsia="zh-CN"/>
              </w:rPr>
              <w:t>较少，仅有少量</w:t>
            </w:r>
            <w:r>
              <w:rPr>
                <w:rFonts w:hint="default" w:ascii="Times New Roman" w:hAnsi="Times New Roman" w:eastAsia="宋体" w:cs="Times New Roman"/>
                <w:color w:val="000000"/>
                <w:sz w:val="24"/>
              </w:rPr>
              <w:t>草鱼、鲫等经济鱼类，</w:t>
            </w:r>
            <w:r>
              <w:rPr>
                <w:rFonts w:hint="eastAsia" w:ascii="Times New Roman" w:hAnsi="Times New Roman" w:eastAsia="宋体" w:cs="Times New Roman"/>
                <w:color w:val="000000"/>
                <w:sz w:val="24"/>
                <w:lang w:val="en-US" w:eastAsia="zh-CN"/>
              </w:rPr>
              <w:t>同时，</w:t>
            </w:r>
            <w:r>
              <w:rPr>
                <w:rFonts w:hint="default" w:ascii="Times New Roman" w:hAnsi="Times New Roman" w:eastAsia="宋体" w:cs="Times New Roman"/>
                <w:color w:val="000000"/>
                <w:sz w:val="24"/>
              </w:rPr>
              <w:t>工程建设不在鱼类的回游、产卵、繁殖的区域范围内。本项目施工主要利用枯水季节</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lang w:val="en-US" w:eastAsia="zh-CN"/>
              </w:rPr>
              <w:t>1</w:t>
            </w:r>
            <w:r>
              <w:rPr>
                <w:rFonts w:hint="eastAsia" w:cs="Times New Roman"/>
                <w:color w:val="000000"/>
                <w:sz w:val="24"/>
                <w:lang w:val="en-US" w:eastAsia="zh-CN"/>
              </w:rPr>
              <w:t>2</w:t>
            </w:r>
            <w:r>
              <w:rPr>
                <w:rFonts w:hint="eastAsia" w:ascii="Times New Roman" w:hAnsi="Times New Roman" w:eastAsia="宋体" w:cs="Times New Roman"/>
                <w:color w:val="000000"/>
                <w:sz w:val="24"/>
                <w:lang w:val="en-US" w:eastAsia="zh-CN"/>
              </w:rPr>
              <w:t>月至次年的</w:t>
            </w:r>
            <w:r>
              <w:rPr>
                <w:rFonts w:hint="eastAsia" w:cs="Times New Roman"/>
                <w:color w:val="000000"/>
                <w:sz w:val="24"/>
                <w:lang w:val="en-US" w:eastAsia="zh-CN"/>
              </w:rPr>
              <w:t>3</w:t>
            </w:r>
            <w:r>
              <w:rPr>
                <w:rFonts w:hint="eastAsia" w:ascii="Times New Roman" w:hAnsi="Times New Roman" w:eastAsia="宋体" w:cs="Times New Roman"/>
                <w:color w:val="000000"/>
                <w:sz w:val="24"/>
                <w:lang w:val="en-US" w:eastAsia="zh-CN"/>
              </w:rPr>
              <w:t>月</w:t>
            </w:r>
            <w:r>
              <w:rPr>
                <w:rFonts w:hint="eastAsia"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完成施工，不会对鱼的产卵构成直接影响。</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由于施工带来的水质的污染，造成浮游生物、底栖动物等饵料生物量的减少，改变了原有鱼类的生存、生长和繁衍条件，鱼类将择水而栖迁到其它地方，局部施工区域鱼类密度降低。施工期如施工废水直接排入河道，将使局部范围内破坏了鱼类的生存环境，对鱼类有驱赶作用，也会使鱼类远离施工现场，但不影响鱼类物种资源。由于鱼类择水而栖迁到其它地方，而工程对鱼类的影响只局限于施工区域，所以不影响鱼类物种资源的保护。由于项目段受人类活动影响较大，河水中无珍稀特有水生生物。施工时对水生生物生存有一定影响，项目完工后应采取一些补偿措施。</w:t>
            </w:r>
          </w:p>
          <w:p>
            <w:pPr>
              <w:spacing w:line="360" w:lineRule="auto"/>
              <w:ind w:firstLine="480" w:firstLineChars="200"/>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 xml:space="preserve">工程完成后，能保证区域内水量充沛，水质清洁，且基本不缩窄河面，原有的鱼类及其生息环境不会有太大的变化，提防建设对长滩河流域及支流庄子沟的鱼类种类和数量影响不大。 </w:t>
            </w:r>
          </w:p>
          <w:p>
            <w:pPr>
              <w:spacing w:line="360" w:lineRule="auto"/>
              <w:ind w:firstLine="480" w:firstLineChars="200"/>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总之，项目施工期会对鱼类产生一定的驱赶，但对生境影响不大，待施工期结束后，该影响也将消失。施工活动安排在枯水季节，以减少对水生生物和鱼类造成的直接影响。</w:t>
            </w:r>
          </w:p>
          <w:p>
            <w:pPr>
              <w:spacing w:line="360" w:lineRule="auto"/>
              <w:ind w:firstLine="57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c 对浮游动物的影响</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由于施工营地生活污水和生活垃圾、施工机械检修及工作时油污跑冒滴漏产生的含油污水等的排放必然会对水质产生一定程度的污染，造成浮游生物种类组成和优势度的变化。</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bCs/>
                <w:color w:val="000000"/>
                <w:sz w:val="24"/>
              </w:rPr>
              <w:t>项目</w:t>
            </w:r>
            <w:r>
              <w:rPr>
                <w:rFonts w:hint="default" w:ascii="Times New Roman" w:hAnsi="Times New Roman" w:eastAsia="宋体" w:cs="Times New Roman"/>
                <w:color w:val="000000"/>
                <w:sz w:val="24"/>
              </w:rPr>
              <w:t>作业场邻近水体，施工材料若堆放在</w:t>
            </w:r>
            <w:r>
              <w:rPr>
                <w:rFonts w:hint="eastAsia" w:ascii="Times New Roman" w:hAnsi="Times New Roman" w:eastAsia="宋体" w:cs="Times New Roman"/>
                <w:color w:val="000000"/>
                <w:sz w:val="24"/>
                <w:lang w:eastAsia="zh-CN"/>
              </w:rPr>
              <w:t>河流</w:t>
            </w:r>
            <w:r>
              <w:rPr>
                <w:rFonts w:hint="default" w:ascii="Times New Roman" w:hAnsi="Times New Roman" w:eastAsia="宋体" w:cs="Times New Roman"/>
                <w:color w:val="000000"/>
                <w:sz w:val="24"/>
              </w:rPr>
              <w:t>附近，由于保管不善或受暴雨冲刷将会进入水体，这些施工材料将会导致水体浑浊，改变水的酸碱度，破坏浮游生物的生长环境。</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由于施工区域相对整个水域而言面积很小，加之浮游生物具有普生性和水体具有自净能力，因此只要采取必要的环保措施，加强施工期的管理，对浮游生物多样性的影响不会很大。</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d 对底栖生物的影响</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施工期间由于各种原因造成了对项目地</w:t>
            </w:r>
            <w:r>
              <w:rPr>
                <w:rFonts w:hint="eastAsia" w:ascii="Times New Roman" w:hAnsi="Times New Roman" w:eastAsia="宋体" w:cs="Times New Roman"/>
                <w:color w:val="000000"/>
                <w:sz w:val="24"/>
                <w:lang w:eastAsia="zh-CN"/>
              </w:rPr>
              <w:t>河流</w:t>
            </w:r>
            <w:r>
              <w:rPr>
                <w:rFonts w:hint="default" w:ascii="Times New Roman" w:hAnsi="Times New Roman" w:eastAsia="宋体" w:cs="Times New Roman"/>
                <w:color w:val="000000"/>
                <w:sz w:val="24"/>
              </w:rPr>
              <w:t>水质的破坏，施工期堤防工程沿线的水底泥土被取走或搬运，使底栖动物也将随底泥的取走而死亡或迁移它地。</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但由于施工区域相对整个</w:t>
            </w:r>
            <w:r>
              <w:rPr>
                <w:rFonts w:hint="eastAsia" w:ascii="Times New Roman" w:hAnsi="Times New Roman" w:eastAsia="宋体" w:cs="Times New Roman"/>
                <w:color w:val="000000"/>
                <w:sz w:val="24"/>
                <w:lang w:eastAsia="zh-CN"/>
              </w:rPr>
              <w:t>河流</w:t>
            </w:r>
            <w:r>
              <w:rPr>
                <w:rFonts w:hint="default" w:ascii="Times New Roman" w:hAnsi="Times New Roman" w:eastAsia="宋体" w:cs="Times New Roman"/>
                <w:color w:val="000000"/>
                <w:sz w:val="24"/>
              </w:rPr>
              <w:t>水域而言面积很小，沿线水生底栖动物在附近其它地区相似的环境中亦有分布，并非是本项目评价范围区域的特有种，因此从物种保护的角度看，工程的建设不会导致这些物种的消亡。</w:t>
            </w:r>
          </w:p>
          <w:p>
            <w:pPr>
              <w:pStyle w:val="17"/>
              <w:spacing w:line="360" w:lineRule="auto"/>
              <w:ind w:firstLine="480" w:firstLineChars="200"/>
              <w:rPr>
                <w:rFonts w:hint="eastAsia" w:ascii="Times New Roman" w:hAnsi="Times New Roman"/>
                <w:b/>
                <w:bCs/>
                <w:color w:val="auto"/>
                <w:kern w:val="2"/>
                <w:sz w:val="24"/>
                <w:szCs w:val="24"/>
                <w:lang w:val="en-US" w:eastAsia="zh-CN" w:bidi="ar-SA"/>
              </w:rPr>
            </w:pPr>
            <w:r>
              <w:rPr>
                <w:rFonts w:hint="default" w:ascii="Times New Roman" w:hAnsi="Times New Roman" w:eastAsia="宋体" w:cs="Times New Roman"/>
                <w:color w:val="000000"/>
                <w:sz w:val="24"/>
                <w:szCs w:val="24"/>
              </w:rPr>
              <w:t>综合以上分析，采取相应的生态破坏的防止和恢复措施，尤其是通过施工管理和强化施工期的保护和恢复，则本项目建设对生态环境影响是可接受的。</w:t>
            </w:r>
          </w:p>
          <w:p>
            <w:pPr>
              <w:adjustRightInd w:val="0"/>
              <w:snapToGrid w:val="0"/>
              <w:spacing w:line="360" w:lineRule="auto"/>
              <w:ind w:firstLine="482" w:firstLineChars="200"/>
              <w:jc w:val="both"/>
              <w:rPr>
                <w:rFonts w:hint="eastAsia"/>
                <w:color w:val="auto"/>
                <w:sz w:val="24"/>
                <w:szCs w:val="24"/>
              </w:rPr>
            </w:pPr>
            <w:r>
              <w:rPr>
                <w:rFonts w:hint="eastAsia" w:ascii="Times New Roman" w:hAnsi="Times New Roman"/>
                <w:b/>
                <w:bCs/>
                <w:color w:val="auto"/>
                <w:kern w:val="2"/>
                <w:sz w:val="24"/>
                <w:szCs w:val="24"/>
                <w:lang w:val="en-US" w:eastAsia="zh-CN" w:bidi="ar-SA"/>
              </w:rPr>
              <w:t>（二）施工期地表水环境影响分析</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（1）废水排放对水环境影响分析</w:t>
            </w:r>
          </w:p>
          <w:p>
            <w:pPr>
              <w:pStyle w:val="124"/>
              <w:spacing w:before="0" w:line="360" w:lineRule="auto"/>
              <w:ind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根据本评价分析，项目施工期废水主要来自于生产废水和生活废水，此外，</w:t>
            </w:r>
            <w:r>
              <w:rPr>
                <w:rFonts w:hint="default" w:ascii="Times New Roman" w:hAnsi="Times New Roman" w:eastAsia="宋体" w:cs="Times New Roman"/>
                <w:color w:val="000000"/>
                <w:kern w:val="0"/>
                <w:sz w:val="24"/>
                <w:szCs w:val="24"/>
              </w:rPr>
              <w:t>基坑开挖过程中会产生较大量的基坑降水</w:t>
            </w:r>
            <w:r>
              <w:rPr>
                <w:rFonts w:hint="default" w:ascii="Times New Roman" w:hAnsi="Times New Roman" w:eastAsia="宋体" w:cs="Times New Roman"/>
                <w:color w:val="000000"/>
                <w:sz w:val="24"/>
                <w:szCs w:val="24"/>
              </w:rPr>
              <w:t>。</w:t>
            </w:r>
          </w:p>
          <w:p>
            <w:pPr>
              <w:pStyle w:val="8"/>
              <w:keepNext w:val="0"/>
              <w:keepLines w:val="0"/>
              <w:pageBreakBefore w:val="0"/>
              <w:kinsoku/>
              <w:wordWrap/>
              <w:overflowPunct/>
              <w:topLinePunct w:val="0"/>
              <w:autoSpaceDE/>
              <w:autoSpaceDN/>
              <w:bidi w:val="0"/>
              <w:spacing w:before="0" w:after="0" w:line="360" w:lineRule="auto"/>
              <w:ind w:firstLine="480" w:firstLineChars="200"/>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 xml:space="preserve"> 施工废水</w:t>
            </w:r>
          </w:p>
          <w:p>
            <w:pPr>
              <w:pStyle w:val="8"/>
              <w:keepNext w:val="0"/>
              <w:keepLines w:val="0"/>
              <w:pageBreakBefore w:val="0"/>
              <w:kinsoku/>
              <w:wordWrap/>
              <w:overflowPunct/>
              <w:topLinePunct w:val="0"/>
              <w:autoSpaceDE/>
              <w:autoSpaceDN/>
              <w:bidi w:val="0"/>
              <w:spacing w:before="0" w:after="0"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项目施工废水主要来自混凝土</w:t>
            </w:r>
            <w:r>
              <w:rPr>
                <w:rFonts w:hint="eastAsia" w:ascii="Times New Roman" w:hAnsi="Times New Roman" w:eastAsia="宋体" w:cs="Times New Roman"/>
                <w:color w:val="000000"/>
                <w:sz w:val="24"/>
                <w:szCs w:val="24"/>
                <w:lang w:eastAsia="zh-CN"/>
              </w:rPr>
              <w:t>养护</w:t>
            </w:r>
            <w:r>
              <w:rPr>
                <w:rFonts w:hint="default" w:ascii="Times New Roman" w:hAnsi="Times New Roman" w:eastAsia="宋体" w:cs="Times New Roman"/>
                <w:color w:val="000000"/>
                <w:sz w:val="24"/>
                <w:szCs w:val="24"/>
              </w:rPr>
              <w:t>等施工过程中产生的废水</w:t>
            </w:r>
            <w:r>
              <w:rPr>
                <w:rFonts w:hint="eastAsia" w:ascii="Times New Roman" w:hAnsi="Times New Roman" w:eastAsia="宋体" w:cs="Times New Roman"/>
                <w:color w:val="000000"/>
                <w:sz w:val="24"/>
                <w:szCs w:val="24"/>
                <w:lang w:eastAsia="zh-CN"/>
              </w:rPr>
              <w:t>以及施工车辆车辆机械冲洗废水</w:t>
            </w:r>
            <w:r>
              <w:rPr>
                <w:rFonts w:hint="default" w:ascii="Times New Roman" w:hAnsi="Times New Roman" w:eastAsia="宋体" w:cs="Times New Roman"/>
                <w:color w:val="000000"/>
                <w:sz w:val="24"/>
                <w:szCs w:val="24"/>
              </w:rPr>
              <w:t>，评价根据类比其产生量按</w:t>
            </w:r>
            <w:r>
              <w:rPr>
                <w:rFonts w:hint="eastAsia" w:ascii="Times New Roman" w:hAnsi="Times New Roman" w:eastAsia="宋体" w:cs="Times New Roman"/>
                <w:color w:val="000000"/>
                <w:sz w:val="24"/>
                <w:szCs w:val="24"/>
                <w:lang w:val="en-US" w:eastAsia="zh-CN"/>
              </w:rPr>
              <w:t>5</w:t>
            </w:r>
            <w:r>
              <w:rPr>
                <w:rFonts w:hint="default" w:ascii="Times New Roman" w:hAnsi="Times New Roman" w:eastAsia="宋体" w:cs="Times New Roman"/>
                <w:color w:val="000000"/>
                <w:sz w:val="24"/>
                <w:szCs w:val="24"/>
              </w:rPr>
              <w:t>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rPr>
              <w:t>/d估算，该类废水属无毒废水，但pH值、悬浮物（主要成分是泥沙）含量较高，</w:t>
            </w:r>
            <w:r>
              <w:rPr>
                <w:rFonts w:hint="eastAsia" w:ascii="Times New Roman" w:hAnsi="Times New Roman" w:eastAsia="宋体" w:cs="Times New Roman"/>
                <w:color w:val="000000"/>
                <w:sz w:val="24"/>
                <w:szCs w:val="24"/>
                <w:lang w:val="en-US" w:eastAsia="zh-CN"/>
              </w:rPr>
              <w:t>项目</w:t>
            </w:r>
            <w:r>
              <w:rPr>
                <w:rFonts w:hint="eastAsia" w:ascii="Times New Roman" w:hAnsi="Times New Roman" w:eastAsia="宋体" w:cs="Times New Roman"/>
                <w:color w:val="000000"/>
                <w:sz w:val="24"/>
                <w:szCs w:val="24"/>
                <w:lang w:eastAsia="zh-CN"/>
              </w:rPr>
              <w:t>设置</w:t>
            </w:r>
            <w:r>
              <w:rPr>
                <w:rFonts w:hint="eastAsia" w:ascii="Times New Roman" w:hAnsi="Times New Roman" w:eastAsia="宋体" w:cs="Times New Roman"/>
                <w:color w:val="000000"/>
                <w:sz w:val="24"/>
                <w:szCs w:val="24"/>
                <w:lang w:val="en-US" w:eastAsia="zh-CN"/>
              </w:rPr>
              <w:t>一座隔油池和</w:t>
            </w:r>
            <w:r>
              <w:rPr>
                <w:rFonts w:hint="eastAsia" w:ascii="Times New Roman" w:hAnsi="Times New Roman" w:eastAsia="宋体" w:cs="Times New Roman"/>
                <w:color w:val="000000"/>
                <w:sz w:val="24"/>
                <w:szCs w:val="24"/>
                <w:lang w:eastAsia="zh-CN"/>
              </w:rPr>
              <w:t>沉淀池收集处理</w:t>
            </w:r>
            <w:r>
              <w:rPr>
                <w:rFonts w:hint="default" w:ascii="Times New Roman" w:hAnsi="Times New Roman" w:eastAsia="宋体" w:cs="Times New Roman"/>
                <w:color w:val="000000"/>
                <w:sz w:val="24"/>
                <w:szCs w:val="24"/>
              </w:rPr>
              <w:t>，经沉淀处理后用于工地洒水降尘和施工回用水，施工过程中严禁施工废水排入</w:t>
            </w:r>
            <w:r>
              <w:rPr>
                <w:rFonts w:hint="eastAsia" w:ascii="Times New Roman" w:hAnsi="Times New Roman" w:eastAsia="宋体" w:cs="Times New Roman"/>
                <w:color w:val="000000"/>
                <w:sz w:val="24"/>
                <w:szCs w:val="24"/>
                <w:lang w:eastAsia="zh-CN"/>
              </w:rPr>
              <w:t>水体</w:t>
            </w:r>
            <w:r>
              <w:rPr>
                <w:rFonts w:hint="default" w:ascii="Times New Roman" w:hAnsi="Times New Roman" w:eastAsia="宋体" w:cs="Times New Roman"/>
                <w:color w:val="000000"/>
                <w:sz w:val="24"/>
                <w:szCs w:val="24"/>
              </w:rPr>
              <w:t>内。</w:t>
            </w:r>
          </w:p>
          <w:p>
            <w:pPr>
              <w:pStyle w:val="8"/>
              <w:keepNext w:val="0"/>
              <w:keepLines w:val="0"/>
              <w:pageBreakBefore w:val="0"/>
              <w:kinsoku/>
              <w:wordWrap/>
              <w:overflowPunct/>
              <w:topLinePunct w:val="0"/>
              <w:autoSpaceDE/>
              <w:autoSpaceDN/>
              <w:bidi w:val="0"/>
              <w:spacing w:before="0" w:after="0" w:line="360" w:lineRule="auto"/>
              <w:ind w:firstLine="480" w:firstLineChars="200"/>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生活污水</w:t>
            </w:r>
          </w:p>
          <w:p>
            <w:pPr>
              <w:keepNext w:val="0"/>
              <w:keepLines w:val="0"/>
              <w:pageBreakBefore w:val="0"/>
              <w:kinsoku/>
              <w:wordWrap/>
              <w:overflowPunct/>
              <w:topLinePunct w:val="0"/>
              <w:autoSpaceDE/>
              <w:autoSpaceDN/>
              <w:bidi w:val="0"/>
              <w:spacing w:line="360" w:lineRule="auto"/>
              <w:ind w:firstLine="523" w:firstLineChars="218"/>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按施工组织，项目方不设置施工营地，食堂、住宿均</w:t>
            </w:r>
            <w:r>
              <w:rPr>
                <w:rFonts w:hint="eastAsia" w:ascii="Times New Roman" w:hAnsi="Times New Roman" w:eastAsia="宋体" w:cs="Times New Roman"/>
                <w:color w:val="000000"/>
                <w:sz w:val="24"/>
                <w:szCs w:val="24"/>
                <w:lang w:eastAsia="zh-CN"/>
              </w:rPr>
              <w:t>利用周边</w:t>
            </w:r>
            <w:r>
              <w:rPr>
                <w:rFonts w:hint="default" w:ascii="Times New Roman" w:hAnsi="Times New Roman" w:eastAsia="宋体" w:cs="Times New Roman"/>
                <w:color w:val="000000"/>
                <w:sz w:val="24"/>
                <w:szCs w:val="24"/>
              </w:rPr>
              <w:t>现有</w:t>
            </w:r>
            <w:r>
              <w:rPr>
                <w:rFonts w:hint="eastAsia" w:ascii="Times New Roman" w:hAnsi="Times New Roman" w:eastAsia="宋体" w:cs="Times New Roman"/>
                <w:color w:val="000000"/>
                <w:sz w:val="24"/>
                <w:szCs w:val="24"/>
                <w:lang w:eastAsia="zh-CN"/>
              </w:rPr>
              <w:t>设施</w:t>
            </w:r>
            <w:r>
              <w:rPr>
                <w:rFonts w:hint="default" w:ascii="Times New Roman" w:hAnsi="Times New Roman" w:eastAsia="宋体" w:cs="Times New Roman"/>
                <w:color w:val="000000"/>
                <w:sz w:val="24"/>
                <w:szCs w:val="24"/>
              </w:rPr>
              <w:t>，高峰期施工人员按</w:t>
            </w:r>
            <w:r>
              <w:rPr>
                <w:rFonts w:hint="eastAsia" w:ascii="Times New Roman" w:hAnsi="Times New Roman" w:eastAsia="宋体" w:cs="Times New Roman"/>
                <w:color w:val="000000"/>
                <w:sz w:val="24"/>
                <w:szCs w:val="24"/>
                <w:lang w:val="en-US" w:eastAsia="zh-CN"/>
              </w:rPr>
              <w:t>60</w:t>
            </w:r>
            <w:r>
              <w:rPr>
                <w:rFonts w:hint="default" w:ascii="Times New Roman" w:hAnsi="Times New Roman" w:eastAsia="宋体" w:cs="Times New Roman"/>
                <w:color w:val="000000"/>
                <w:sz w:val="24"/>
                <w:szCs w:val="24"/>
              </w:rPr>
              <w:t>人计算</w:t>
            </w:r>
            <w:r>
              <w:rPr>
                <w:rFonts w:hint="eastAsia" w:ascii="Times New Roman" w:hAnsi="Times New Roman" w:eastAsia="宋体" w:cs="Times New Roman"/>
                <w:color w:val="000000"/>
                <w:sz w:val="24"/>
                <w:szCs w:val="24"/>
                <w:lang w:eastAsia="zh-CN"/>
              </w:rPr>
              <w:t>，施工人员生活废水产生量按</w:t>
            </w:r>
            <w:r>
              <w:rPr>
                <w:rFonts w:hint="eastAsia" w:ascii="Times New Roman" w:hAnsi="Times New Roman" w:eastAsia="宋体" w:cs="Times New Roman"/>
                <w:color w:val="000000"/>
                <w:sz w:val="24"/>
                <w:szCs w:val="24"/>
                <w:lang w:val="en-US" w:eastAsia="zh-CN"/>
              </w:rPr>
              <w:t>40L/d.人计算，则施工生活废水量为2.4m</w:t>
            </w:r>
            <w:r>
              <w:rPr>
                <w:rFonts w:hint="eastAsia" w:ascii="Times New Roman" w:hAnsi="Times New Roman" w:eastAsia="宋体" w:cs="Times New Roman"/>
                <w:color w:val="000000"/>
                <w:sz w:val="24"/>
                <w:szCs w:val="24"/>
                <w:vertAlign w:val="superscript"/>
                <w:lang w:val="en-US" w:eastAsia="zh-CN"/>
              </w:rPr>
              <w:t>3</w:t>
            </w:r>
            <w:r>
              <w:rPr>
                <w:rFonts w:hint="eastAsia" w:ascii="Times New Roman" w:hAnsi="Times New Roman" w:eastAsia="宋体" w:cs="Times New Roman"/>
                <w:color w:val="000000"/>
                <w:sz w:val="24"/>
                <w:szCs w:val="24"/>
                <w:lang w:val="en-US" w:eastAsia="zh-CN"/>
              </w:rPr>
              <w:t>/d</w:t>
            </w:r>
            <w:r>
              <w:rPr>
                <w:rFonts w:hint="default" w:ascii="Times New Roman" w:hAnsi="Times New Roman" w:eastAsia="宋体" w:cs="Times New Roman"/>
                <w:color w:val="000000"/>
                <w:sz w:val="24"/>
                <w:szCs w:val="24"/>
              </w:rPr>
              <w:t>。施工人员的生活污水中主要污染物为COD、BOD</w:t>
            </w:r>
            <w:r>
              <w:rPr>
                <w:rFonts w:hint="default" w:ascii="Times New Roman" w:hAnsi="Times New Roman" w:eastAsia="宋体" w:cs="Times New Roman"/>
                <w:color w:val="000000"/>
                <w:sz w:val="24"/>
                <w:szCs w:val="24"/>
                <w:vertAlign w:val="subscript"/>
              </w:rPr>
              <w:t>5</w:t>
            </w:r>
            <w:r>
              <w:rPr>
                <w:rFonts w:hint="default" w:ascii="Times New Roman" w:hAnsi="Times New Roman" w:eastAsia="宋体" w:cs="Times New Roman"/>
                <w:color w:val="000000"/>
                <w:sz w:val="24"/>
                <w:szCs w:val="24"/>
              </w:rPr>
              <w:t>、NH</w:t>
            </w:r>
            <w:r>
              <w:rPr>
                <w:rFonts w:hint="default" w:ascii="Times New Roman" w:hAnsi="Times New Roman" w:eastAsia="宋体" w:cs="Times New Roman"/>
                <w:color w:val="000000"/>
                <w:sz w:val="24"/>
                <w:szCs w:val="24"/>
                <w:vertAlign w:val="subscript"/>
              </w:rPr>
              <w:t>3</w:t>
            </w:r>
            <w:r>
              <w:rPr>
                <w:rFonts w:hint="default" w:ascii="Times New Roman" w:hAnsi="Times New Roman" w:eastAsia="宋体" w:cs="Times New Roman"/>
                <w:color w:val="000000"/>
                <w:sz w:val="24"/>
                <w:szCs w:val="24"/>
              </w:rPr>
              <w:t>-N和SS等，本工程施工人员施工过程中产生的生活污水经已建的污水管道流入污水处理厂处理</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严禁未经处理直接外排。</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基坑排水</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rPr>
              <w:t>基坑开挖过程中会产生一定的基坑降水，此类水是由地下渗透而来水质较好，只是含有一定的泥沙，根据项目设计，防洪堤在枯期施工，根据广元气象站资料，枯期降水量小；根据地质资料，河堤整治段基础</w:t>
            </w:r>
            <w:r>
              <w:rPr>
                <w:rFonts w:hint="default" w:ascii="Times New Roman" w:hAnsi="Times New Roman" w:eastAsia="宋体" w:cs="Times New Roman"/>
                <w:color w:val="000000"/>
                <w:sz w:val="24"/>
                <w:szCs w:val="24"/>
                <w:lang w:val="en-US" w:eastAsia="zh-CN"/>
              </w:rPr>
              <w:t>土夹</w:t>
            </w:r>
            <w:r>
              <w:rPr>
                <w:rFonts w:hint="default" w:ascii="Times New Roman" w:hAnsi="Times New Roman" w:eastAsia="宋体" w:cs="Times New Roman"/>
                <w:color w:val="000000"/>
                <w:sz w:val="24"/>
                <w:szCs w:val="24"/>
              </w:rPr>
              <w:t>石，渗透性强，渗水量大；故排水只考虑基础渗水和施工弃水。</w:t>
            </w:r>
            <w:r>
              <w:rPr>
                <w:rFonts w:hint="default" w:ascii="Times New Roman" w:hAnsi="Times New Roman" w:eastAsia="宋体" w:cs="Times New Roman"/>
                <w:color w:val="000000"/>
                <w:sz w:val="24"/>
                <w:szCs w:val="24"/>
                <w:lang w:val="en-US" w:eastAsia="zh-CN"/>
              </w:rPr>
              <w:t>设置两台水泵抽水，一台备用，水泵型号为80WQ65-25-7.5。</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Cs/>
                <w:color w:val="000000"/>
                <w:sz w:val="24"/>
                <w:szCs w:val="24"/>
              </w:rPr>
              <w:t>对此，评价要求施工过程中产生的基坑排水</w:t>
            </w:r>
            <w:r>
              <w:rPr>
                <w:rFonts w:hint="default" w:ascii="Times New Roman" w:hAnsi="Times New Roman" w:eastAsia="宋体" w:cs="Times New Roman"/>
                <w:color w:val="000000"/>
                <w:sz w:val="24"/>
                <w:szCs w:val="24"/>
              </w:rPr>
              <w:t>利用水泵将基坑</w:t>
            </w:r>
            <w:r>
              <w:rPr>
                <w:rFonts w:hint="eastAsia" w:ascii="Times New Roman" w:hAnsi="Times New Roman" w:eastAsia="宋体" w:cs="Times New Roman"/>
                <w:color w:val="000000"/>
                <w:sz w:val="24"/>
                <w:szCs w:val="24"/>
                <w:lang w:eastAsia="zh-CN"/>
              </w:rPr>
              <w:t>、围堰</w:t>
            </w:r>
            <w:r>
              <w:rPr>
                <w:rFonts w:hint="default" w:ascii="Times New Roman" w:hAnsi="Times New Roman" w:eastAsia="宋体" w:cs="Times New Roman"/>
                <w:color w:val="000000"/>
                <w:sz w:val="24"/>
                <w:szCs w:val="24"/>
              </w:rPr>
              <w:t>中的水抽至沉淀池，经沉淀后部分用于工地洒水降尘和工程回用水，多余的可排入河道。</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sz w:val="24"/>
                <w:szCs w:val="24"/>
              </w:rPr>
            </w:pPr>
            <w:r>
              <w:rPr>
                <w:rFonts w:hint="eastAsia" w:ascii="宋体" w:hAnsi="宋体" w:eastAsia="宋体" w:cs="宋体"/>
                <w:color w:val="000000"/>
                <w:sz w:val="24"/>
                <w:szCs w:val="24"/>
                <w:lang w:val="en-US" w:eastAsia="zh-CN"/>
              </w:rPr>
              <w:t>（2）</w:t>
            </w:r>
            <w:r>
              <w:rPr>
                <w:rFonts w:hint="eastAsia" w:ascii="Times New Roman" w:hAnsi="Times New Roman" w:eastAsia="宋体" w:cs="Times New Roman"/>
                <w:color w:val="000000"/>
                <w:sz w:val="24"/>
                <w:szCs w:val="24"/>
                <w:lang w:val="en-US" w:eastAsia="zh-CN"/>
              </w:rPr>
              <w:t>河道清淤疏浚悬浮泥沙影响分析</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项目清淤起点桩号 K0+000.00，清淤终点K0+250.00，清淤长度250m，清淤量700m³，清淤料用于</w:t>
            </w:r>
            <w:r>
              <w:rPr>
                <w:rFonts w:hint="eastAsia" w:cs="Times New Roman"/>
                <w:color w:val="000000"/>
                <w:sz w:val="24"/>
                <w:szCs w:val="24"/>
                <w:lang w:val="en-US" w:eastAsia="zh-CN"/>
              </w:rPr>
              <w:t>工程</w:t>
            </w:r>
            <w:r>
              <w:rPr>
                <w:rFonts w:hint="eastAsia" w:ascii="Times New Roman" w:hAnsi="Times New Roman" w:eastAsia="宋体" w:cs="Times New Roman"/>
                <w:color w:val="000000"/>
                <w:sz w:val="24"/>
                <w:szCs w:val="24"/>
                <w:lang w:val="en-US" w:eastAsia="zh-CN"/>
              </w:rPr>
              <w:t>河道回填。本次河道清淤疏浚整治通过机械结合人工将河道内阻水的杂草、黏土、砂石等清理出河道，河道整治工程建议在护岸砌筑之前进行，按设计的河道中心线两侧分别进行河道疏浚和开挖，河道整治靠近堤脚位置适当提高疏浚底高程，保留一点宽度的滩地，待护岸砌筑完成后，再进行堤前河道的清理。</w:t>
            </w:r>
          </w:p>
          <w:p>
            <w:pPr>
              <w:keepNext w:val="0"/>
              <w:keepLines w:val="0"/>
              <w:pageBreakBefore w:val="0"/>
              <w:kinsoku/>
              <w:wordWrap/>
              <w:overflowPunct/>
              <w:topLinePunct w:val="0"/>
              <w:autoSpaceDE/>
              <w:autoSpaceDN/>
              <w:bidi w:val="0"/>
              <w:spacing w:line="360" w:lineRule="auto"/>
              <w:ind w:firstLine="600" w:firstLineChars="250"/>
              <w:textAlignment w:val="auto"/>
              <w:rPr>
                <w:rFonts w:hint="eastAsia" w:ascii="宋体" w:hAnsi="宋体"/>
                <w:color w:val="000000"/>
                <w:sz w:val="24"/>
                <w:szCs w:val="24"/>
              </w:rPr>
            </w:pPr>
            <w:r>
              <w:rPr>
                <w:rFonts w:hint="eastAsia" w:ascii="宋体" w:hAnsi="宋体"/>
                <w:color w:val="000000"/>
                <w:sz w:val="24"/>
                <w:szCs w:val="24"/>
              </w:rPr>
              <w:t>本项目</w:t>
            </w:r>
            <w:r>
              <w:rPr>
                <w:rFonts w:hint="eastAsia" w:ascii="宋体" w:hAnsi="宋体"/>
                <w:color w:val="000000"/>
                <w:sz w:val="24"/>
                <w:szCs w:val="24"/>
                <w:lang w:eastAsia="zh-CN"/>
              </w:rPr>
              <w:t>疏浚</w:t>
            </w:r>
            <w:r>
              <w:rPr>
                <w:rFonts w:hint="eastAsia" w:ascii="宋体" w:hAnsi="宋体"/>
                <w:color w:val="000000"/>
                <w:sz w:val="24"/>
                <w:szCs w:val="24"/>
              </w:rPr>
              <w:t>工程中对河道沟渠底泥的开挖会对河道底泥进行扰动，使得原本紧实的底泥变得松散，在河水冲刷下进入河道，河水中悬浮物会增多，河水水质会临时性的变差，影响河水水质和水生生态环境。同时扰动底泥，使其中的污染物散发，对水质产生影响。根据类似疏浚工程监测资料，在作业点附近，底层水体中悬浮物含量在300—400mg/l，表层水体中悬浮物含量在100-180 mg/l之间，悬浮物含量升高，对河道水质影响较明显。但悬浮物为颗粒态，随着河水运动同时在河道中沉降，</w:t>
            </w:r>
            <w:r>
              <w:rPr>
                <w:rFonts w:hint="eastAsia" w:ascii="宋体" w:hAnsi="宋体"/>
                <w:color w:val="000000"/>
                <w:sz w:val="24"/>
                <w:szCs w:val="24"/>
                <w:lang w:eastAsia="zh-CN"/>
              </w:rPr>
              <w:t>疏浚</w:t>
            </w:r>
            <w:r>
              <w:rPr>
                <w:rFonts w:hint="eastAsia" w:ascii="宋体" w:hAnsi="宋体"/>
                <w:color w:val="000000"/>
                <w:sz w:val="24"/>
                <w:szCs w:val="24"/>
              </w:rPr>
              <w:t>引起的悬浮物扩散影响将随着施工结束而消失。</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机械清淤主要采用挖掘机。河道清淤挖泥活动导致水域的污染河泥底的失衡与不稳定，使河底表层淤泥翻动和翻起，悬浮细小的微粒会随河水的运动迁移，对河水水质造成一定的影响。</w:t>
            </w:r>
          </w:p>
          <w:p>
            <w:pPr>
              <w:pStyle w:val="117"/>
              <w:keepNext w:val="0"/>
              <w:keepLines w:val="0"/>
              <w:pageBreakBefore w:val="0"/>
              <w:kinsoku/>
              <w:wordWrap/>
              <w:overflowPunct/>
              <w:topLinePunct w:val="0"/>
              <w:autoSpaceDE/>
              <w:autoSpaceDN/>
              <w:bidi w:val="0"/>
              <w:adjustRightInd w:val="0"/>
              <w:snapToGrid w:val="0"/>
              <w:spacing w:before="0" w:after="0" w:line="360" w:lineRule="auto"/>
              <w:jc w:val="left"/>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根据项目初步设计，本项目河道疏浚施工选在枯水期进行，工程河段属于小河道，</w:t>
            </w:r>
            <w:r>
              <w:rPr>
                <w:rFonts w:hint="eastAsia"/>
                <w:sz w:val="24"/>
                <w:szCs w:val="24"/>
              </w:rPr>
              <w:t>枯水期流量较小，</w:t>
            </w:r>
            <w:r>
              <w:rPr>
                <w:rFonts w:hint="eastAsia"/>
                <w:sz w:val="24"/>
                <w:szCs w:val="24"/>
                <w:lang w:eastAsia="zh-CN"/>
              </w:rPr>
              <w:t>经过围堰导流后，</w:t>
            </w:r>
            <w:r>
              <w:rPr>
                <w:rFonts w:hint="eastAsia" w:ascii="Times New Roman" w:hAnsi="Times New Roman" w:cs="Times New Roman"/>
                <w:color w:val="auto"/>
                <w:kern w:val="0"/>
                <w:sz w:val="24"/>
                <w:szCs w:val="24"/>
                <w:highlight w:val="none"/>
                <w:lang w:val="en-US" w:eastAsia="zh-CN"/>
              </w:rPr>
              <w:t>施工段可基本实现干槽施工，</w:t>
            </w:r>
            <w:r>
              <w:rPr>
                <w:rFonts w:hint="eastAsia" w:ascii="Times New Roman" w:hAnsi="Times New Roman" w:eastAsia="宋体" w:cs="Times New Roman"/>
                <w:color w:val="000000"/>
                <w:sz w:val="24"/>
                <w:szCs w:val="24"/>
                <w:lang w:val="en-US" w:eastAsia="zh-CN"/>
              </w:rPr>
              <w:t>减少河道疏浚悬浮泥沙对河道水体水质的影响。施工过程中开挖的疏浚物及时运到岸上堤后处理，严禁倒入河水中或堆在岸边。</w:t>
            </w:r>
          </w:p>
          <w:p>
            <w:pPr>
              <w:keepNext w:val="0"/>
              <w:keepLines w:val="0"/>
              <w:pageBreakBefore w:val="0"/>
              <w:kinsoku/>
              <w:wordWrap/>
              <w:overflowPunct/>
              <w:topLinePunct w:val="0"/>
              <w:autoSpaceDE/>
              <w:autoSpaceDN/>
              <w:bidi w:val="0"/>
              <w:spacing w:line="360" w:lineRule="auto"/>
              <w:ind w:firstLine="600" w:firstLineChars="250"/>
              <w:textAlignment w:val="auto"/>
              <w:rPr>
                <w:rFonts w:hint="eastAsia" w:ascii="宋体" w:hAnsi="宋体"/>
                <w:color w:val="000000"/>
                <w:sz w:val="24"/>
                <w:szCs w:val="24"/>
              </w:rPr>
            </w:pPr>
            <w:r>
              <w:rPr>
                <w:rFonts w:hint="eastAsia" w:ascii="宋体" w:hAnsi="宋体"/>
                <w:color w:val="000000"/>
                <w:sz w:val="24"/>
                <w:szCs w:val="24"/>
              </w:rPr>
              <w:t>另外，</w:t>
            </w:r>
            <w:r>
              <w:rPr>
                <w:rFonts w:hint="eastAsia" w:ascii="宋体" w:hAnsi="宋体"/>
                <w:color w:val="000000"/>
                <w:sz w:val="24"/>
                <w:szCs w:val="24"/>
                <w:lang w:val="en-US" w:eastAsia="zh-CN"/>
              </w:rPr>
              <w:t>河道</w:t>
            </w:r>
            <w:r>
              <w:rPr>
                <w:rFonts w:hint="eastAsia" w:ascii="宋体" w:hAnsi="宋体"/>
                <w:color w:val="000000"/>
                <w:sz w:val="24"/>
                <w:szCs w:val="24"/>
                <w:lang w:eastAsia="zh-CN"/>
              </w:rPr>
              <w:t>疏浚</w:t>
            </w:r>
            <w:r>
              <w:rPr>
                <w:rFonts w:hint="eastAsia" w:ascii="宋体" w:hAnsi="宋体"/>
                <w:color w:val="000000"/>
                <w:sz w:val="24"/>
                <w:szCs w:val="24"/>
              </w:rPr>
              <w:t>时，因降水、渗水、施工用水汇集将产生基坑废水，主要污染物为SS，沉淀后</w:t>
            </w:r>
            <w:r>
              <w:rPr>
                <w:rFonts w:hint="eastAsia" w:ascii="宋体" w:hAnsi="宋体"/>
                <w:color w:val="000000"/>
                <w:sz w:val="24"/>
                <w:szCs w:val="24"/>
                <w:lang w:eastAsia="zh-CN"/>
              </w:rPr>
              <w:t>用于工程回用水、洒水降尘</w:t>
            </w:r>
            <w:r>
              <w:rPr>
                <w:rFonts w:hint="eastAsia" w:ascii="宋体" w:hAnsi="宋体"/>
                <w:color w:val="000000"/>
                <w:sz w:val="24"/>
                <w:szCs w:val="24"/>
              </w:rPr>
              <w:t>。</w:t>
            </w:r>
          </w:p>
          <w:p>
            <w:pPr>
              <w:keepNext w:val="0"/>
              <w:keepLines w:val="0"/>
              <w:pageBreakBefore w:val="0"/>
              <w:kinsoku/>
              <w:wordWrap/>
              <w:overflowPunct/>
              <w:topLinePunct w:val="0"/>
              <w:autoSpaceDE/>
              <w:autoSpaceDN/>
              <w:bidi w:val="0"/>
              <w:spacing w:line="360" w:lineRule="auto"/>
              <w:ind w:firstLine="510"/>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sz w:val="24"/>
                <w:szCs w:val="24"/>
              </w:rPr>
              <w:t>涉水施工对</w:t>
            </w:r>
            <w:r>
              <w:rPr>
                <w:rFonts w:hint="eastAsia" w:cs="Times New Roman"/>
                <w:sz w:val="24"/>
                <w:szCs w:val="24"/>
                <w:lang w:val="en-US" w:eastAsia="zh-CN"/>
              </w:rPr>
              <w:t>长滩河</w:t>
            </w:r>
            <w:r>
              <w:rPr>
                <w:rFonts w:hint="default" w:ascii="Times New Roman" w:hAnsi="Times New Roman" w:eastAsia="宋体" w:cs="Times New Roman"/>
                <w:sz w:val="24"/>
                <w:szCs w:val="24"/>
              </w:rPr>
              <w:t>水质影响</w:t>
            </w:r>
          </w:p>
          <w:p>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eastAsia"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本项目施工期涉水施工主要是在河道围堰施工阶段，可能会使沟道中悬浮物含量增加。</w:t>
            </w:r>
            <w:r>
              <w:rPr>
                <w:rFonts w:hint="eastAsia" w:ascii="Times New Roman" w:hAnsi="Times New Roman" w:eastAsia="宋体" w:cs="Times New Roman"/>
                <w:color w:val="auto"/>
                <w:sz w:val="24"/>
                <w:szCs w:val="24"/>
                <w:shd w:val="clear" w:color="auto" w:fill="auto"/>
                <w:lang w:val="en-US" w:eastAsia="zh-CN"/>
              </w:rPr>
              <w:t>工程段河道为季节性溪沟，终点至</w:t>
            </w:r>
            <w:r>
              <w:rPr>
                <w:rFonts w:hint="eastAsia" w:cs="Times New Roman"/>
                <w:color w:val="auto"/>
                <w:sz w:val="24"/>
                <w:szCs w:val="24"/>
                <w:shd w:val="clear" w:color="auto" w:fill="auto"/>
                <w:lang w:val="en-US" w:eastAsia="zh-CN"/>
              </w:rPr>
              <w:t>长滩河</w:t>
            </w:r>
            <w:r>
              <w:rPr>
                <w:rFonts w:hint="eastAsia" w:ascii="Times New Roman" w:hAnsi="Times New Roman" w:eastAsia="宋体" w:cs="Times New Roman"/>
                <w:color w:val="auto"/>
                <w:sz w:val="24"/>
                <w:szCs w:val="24"/>
                <w:shd w:val="clear" w:color="auto" w:fill="auto"/>
                <w:lang w:val="en-US" w:eastAsia="zh-CN"/>
              </w:rPr>
              <w:t>交汇口段已修建提防，项目选择枯水期施工，生产废水不会影响到</w:t>
            </w:r>
            <w:r>
              <w:rPr>
                <w:rFonts w:hint="eastAsia" w:cs="Times New Roman"/>
                <w:color w:val="auto"/>
                <w:sz w:val="24"/>
                <w:szCs w:val="24"/>
                <w:shd w:val="clear" w:color="auto" w:fill="auto"/>
                <w:lang w:val="en-US" w:eastAsia="zh-CN"/>
              </w:rPr>
              <w:t>长滩河</w:t>
            </w:r>
            <w:r>
              <w:rPr>
                <w:rFonts w:hint="eastAsia" w:ascii="Times New Roman" w:hAnsi="Times New Roman" w:eastAsia="宋体" w:cs="Times New Roman"/>
                <w:color w:val="auto"/>
                <w:sz w:val="24"/>
                <w:szCs w:val="24"/>
                <w:shd w:val="clear" w:color="auto" w:fill="auto"/>
                <w:lang w:val="en-US" w:eastAsia="zh-CN"/>
              </w:rPr>
              <w:t>的水质；经调查，</w:t>
            </w:r>
            <w:r>
              <w:rPr>
                <w:rFonts w:hint="default" w:ascii="Times New Roman" w:hAnsi="Times New Roman" w:eastAsia="宋体" w:cs="Times New Roman"/>
                <w:color w:val="auto"/>
                <w:sz w:val="24"/>
                <w:szCs w:val="24"/>
                <w:shd w:val="clear" w:color="auto" w:fill="auto"/>
                <w:lang w:eastAsia="zh-CN"/>
              </w:rPr>
              <w:t>本项目河堤</w:t>
            </w:r>
            <w:r>
              <w:rPr>
                <w:rFonts w:hint="eastAsia" w:ascii="Times New Roman" w:hAnsi="Times New Roman" w:eastAsia="宋体" w:cs="Times New Roman"/>
                <w:color w:val="auto"/>
                <w:sz w:val="24"/>
                <w:szCs w:val="24"/>
                <w:shd w:val="clear" w:color="auto" w:fill="auto"/>
                <w:lang w:eastAsia="zh-CN"/>
              </w:rPr>
              <w:t>工程段</w:t>
            </w:r>
            <w:r>
              <w:rPr>
                <w:rFonts w:hint="default" w:ascii="Times New Roman" w:hAnsi="Times New Roman" w:eastAsia="宋体" w:cs="Times New Roman"/>
                <w:color w:val="auto"/>
                <w:sz w:val="24"/>
                <w:szCs w:val="24"/>
                <w:shd w:val="clear" w:color="auto" w:fill="auto"/>
                <w:lang w:eastAsia="zh-CN"/>
              </w:rPr>
              <w:t>河道</w:t>
            </w:r>
            <w:r>
              <w:rPr>
                <w:rFonts w:hint="eastAsia" w:ascii="Times New Roman" w:hAnsi="Times New Roman" w:eastAsia="宋体" w:cs="Times New Roman"/>
                <w:color w:val="auto"/>
                <w:sz w:val="24"/>
                <w:szCs w:val="24"/>
                <w:shd w:val="clear" w:color="auto" w:fill="auto"/>
                <w:lang w:val="en-US" w:eastAsia="zh-CN"/>
              </w:rPr>
              <w:t>及下游</w:t>
            </w:r>
            <w:r>
              <w:rPr>
                <w:rFonts w:hint="eastAsia" w:cs="Times New Roman"/>
                <w:color w:val="auto"/>
                <w:sz w:val="24"/>
                <w:szCs w:val="24"/>
                <w:shd w:val="clear" w:color="auto" w:fill="auto"/>
                <w:lang w:val="en-US" w:eastAsia="zh-CN"/>
              </w:rPr>
              <w:t>3</w:t>
            </w:r>
            <w:r>
              <w:rPr>
                <w:rFonts w:hint="eastAsia" w:ascii="Times New Roman" w:hAnsi="Times New Roman" w:eastAsia="宋体" w:cs="Times New Roman"/>
                <w:color w:val="auto"/>
                <w:sz w:val="24"/>
                <w:szCs w:val="24"/>
                <w:shd w:val="clear" w:color="auto" w:fill="auto"/>
                <w:lang w:val="en-US" w:eastAsia="zh-CN"/>
              </w:rPr>
              <w:t>km范围内</w:t>
            </w:r>
            <w:r>
              <w:rPr>
                <w:rFonts w:hint="default" w:ascii="Times New Roman" w:hAnsi="Times New Roman" w:eastAsia="宋体" w:cs="Times New Roman"/>
                <w:color w:val="auto"/>
                <w:sz w:val="24"/>
                <w:szCs w:val="24"/>
                <w:shd w:val="clear" w:color="auto" w:fill="auto"/>
                <w:lang w:eastAsia="zh-CN"/>
              </w:rPr>
              <w:t>无珍稀水生生物</w:t>
            </w:r>
            <w:r>
              <w:rPr>
                <w:rFonts w:hint="eastAsia" w:ascii="Times New Roman" w:hAnsi="Times New Roman" w:eastAsia="宋体" w:cs="Times New Roman"/>
                <w:color w:val="auto"/>
                <w:sz w:val="24"/>
                <w:szCs w:val="24"/>
                <w:shd w:val="clear" w:color="auto" w:fill="auto"/>
                <w:lang w:eastAsia="zh-CN"/>
              </w:rPr>
              <w:t>及</w:t>
            </w:r>
            <w:r>
              <w:rPr>
                <w:rFonts w:hint="eastAsia" w:ascii="Times New Roman" w:hAnsi="Times New Roman" w:eastAsia="宋体" w:cs="Times New Roman"/>
                <w:color w:val="auto"/>
                <w:sz w:val="24"/>
                <w:szCs w:val="24"/>
                <w:lang w:val="en-US" w:eastAsia="zh-CN"/>
              </w:rPr>
              <w:t>鱼类“三场”</w:t>
            </w:r>
            <w:r>
              <w:rPr>
                <w:rFonts w:hint="default" w:ascii="Times New Roman" w:hAnsi="Times New Roman" w:eastAsia="宋体" w:cs="Times New Roman"/>
                <w:color w:val="auto"/>
                <w:sz w:val="24"/>
                <w:szCs w:val="24"/>
                <w:shd w:val="clear" w:color="auto" w:fill="auto"/>
                <w:lang w:eastAsia="zh-CN"/>
              </w:rPr>
              <w:t>，不涉及</w:t>
            </w:r>
            <w:r>
              <w:rPr>
                <w:rFonts w:hint="default" w:ascii="Times New Roman" w:hAnsi="Times New Roman" w:eastAsia="宋体" w:cs="Times New Roman"/>
                <w:color w:val="auto"/>
                <w:sz w:val="24"/>
                <w:szCs w:val="24"/>
                <w:lang w:eastAsia="zh-CN"/>
              </w:rPr>
              <w:t>饮用水源保护区</w:t>
            </w:r>
            <w:r>
              <w:rPr>
                <w:rFonts w:hint="eastAsia" w:ascii="Times New Roman" w:hAnsi="Times New Roman" w:eastAsia="宋体" w:cs="Times New Roman"/>
                <w:color w:val="auto"/>
                <w:sz w:val="24"/>
                <w:szCs w:val="24"/>
                <w:lang w:eastAsia="zh-CN"/>
              </w:rPr>
              <w:t>、</w:t>
            </w:r>
            <w:r>
              <w:rPr>
                <w:rFonts w:hint="eastAsia"/>
                <w:sz w:val="24"/>
                <w:lang w:val="en-US" w:eastAsia="zh-CN"/>
              </w:rPr>
              <w:t>控制断面</w:t>
            </w:r>
            <w:r>
              <w:rPr>
                <w:rFonts w:hint="default" w:ascii="Times New Roman" w:hAnsi="Times New Roman" w:eastAsia="宋体" w:cs="Times New Roman"/>
                <w:color w:val="auto"/>
                <w:sz w:val="24"/>
                <w:szCs w:val="24"/>
              </w:rPr>
              <w:t>。堤防基础施工选择在枯水期进行，</w:t>
            </w:r>
            <w:r>
              <w:rPr>
                <w:rFonts w:hint="eastAsia" w:ascii="Times New Roman" w:hAnsi="Times New Roman" w:eastAsia="宋体" w:cs="Times New Roman"/>
                <w:color w:val="auto"/>
                <w:sz w:val="24"/>
                <w:szCs w:val="24"/>
              </w:rPr>
              <w:t>并尽量缩短施工时间，加强施工管理，</w:t>
            </w:r>
            <w:r>
              <w:rPr>
                <w:rFonts w:hint="default" w:ascii="Times New Roman" w:hAnsi="Times New Roman" w:eastAsia="宋体" w:cs="Times New Roman"/>
                <w:color w:val="auto"/>
                <w:sz w:val="24"/>
                <w:szCs w:val="24"/>
              </w:rPr>
              <w:t>项目涉水施工对河道水质影响小。</w:t>
            </w:r>
            <w:r>
              <w:rPr>
                <w:rFonts w:hint="eastAsia" w:ascii="Times New Roman" w:hAnsi="Times New Roman" w:eastAsia="宋体" w:cs="Times New Roman"/>
                <w:color w:val="auto"/>
                <w:sz w:val="24"/>
                <w:szCs w:val="24"/>
              </w:rPr>
              <w:t>另外，项目涉水施工须做好施工机械油污的收集措施，防治油污进入水体，污染水体水质；采取有效措施减少跑、冒、滴和漏现象，对于不可避免的跑、冒、滴和漏的油污应全部用固态吸油材料(如绵纱、木屑等)吸收，并且浸油废物不得随意丢弃；严禁施工产生的废水、垃圾、废弃土石和废油污进入河流水体；施工中应不得在河流中清洗机械和车辆；施工结束后清除围堰等临时建筑，保证水流畅通。总体而言，项目涉水施工工程量较小，且</w:t>
            </w:r>
            <w:r>
              <w:rPr>
                <w:rFonts w:hint="eastAsia" w:ascii="Times New Roman" w:hAnsi="Times New Roman" w:eastAsia="宋体" w:cs="Times New Roman"/>
                <w:color w:val="auto"/>
                <w:sz w:val="24"/>
                <w:szCs w:val="24"/>
                <w:lang w:eastAsia="zh-CN"/>
              </w:rPr>
              <w:t>选择枯水季节施工</w:t>
            </w:r>
            <w:r>
              <w:rPr>
                <w:rFonts w:hint="eastAsia" w:ascii="Times New Roman" w:hAnsi="Times New Roman" w:eastAsia="宋体" w:cs="Times New Roman"/>
                <w:color w:val="auto"/>
                <w:sz w:val="24"/>
                <w:szCs w:val="24"/>
              </w:rPr>
              <w:t>，采取一定的水环境保护措施后，</w:t>
            </w:r>
            <w:r>
              <w:rPr>
                <w:rFonts w:hint="eastAsia" w:ascii="Times New Roman" w:hAnsi="Times New Roman" w:eastAsia="宋体" w:cs="Times New Roman"/>
                <w:color w:val="auto"/>
                <w:sz w:val="24"/>
                <w:szCs w:val="24"/>
                <w:lang w:eastAsia="zh-CN"/>
              </w:rPr>
              <w:t>涉水</w:t>
            </w:r>
            <w:r>
              <w:rPr>
                <w:rFonts w:hint="eastAsia" w:ascii="Times New Roman" w:hAnsi="Times New Roman" w:eastAsia="宋体" w:cs="Times New Roman"/>
                <w:color w:val="auto"/>
                <w:sz w:val="24"/>
                <w:szCs w:val="24"/>
              </w:rPr>
              <w:t>施工对河道水质影响小。</w:t>
            </w:r>
          </w:p>
          <w:p>
            <w:pPr>
              <w:pStyle w:val="5"/>
              <w:pageBreakBefore w:val="0"/>
              <w:numPr>
                <w:ilvl w:val="2"/>
                <w:numId w:val="0"/>
              </w:numPr>
              <w:kinsoku/>
              <w:wordWrap/>
              <w:overflowPunct/>
              <w:topLinePunct w:val="0"/>
              <w:bidi w:val="0"/>
              <w:adjustRightInd w:val="0"/>
              <w:snapToGrid w:val="0"/>
              <w:spacing w:before="0" w:after="0" w:line="360" w:lineRule="auto"/>
              <w:ind w:right="0" w:firstLine="482" w:firstLineChars="200"/>
              <w:textAlignment w:val="auto"/>
              <w:rPr>
                <w:rFonts w:hint="eastAsia"/>
                <w:color w:val="auto"/>
                <w:sz w:val="24"/>
                <w:szCs w:val="24"/>
              </w:rPr>
            </w:pPr>
            <w:bookmarkStart w:id="64" w:name="_Toc9389"/>
            <w:bookmarkStart w:id="65" w:name="_Toc9930"/>
            <w:r>
              <w:rPr>
                <w:rFonts w:hint="eastAsia"/>
                <w:color w:val="auto"/>
                <w:sz w:val="24"/>
                <w:szCs w:val="24"/>
                <w:lang w:val="en-US" w:eastAsia="zh-CN"/>
              </w:rPr>
              <w:t>（三）</w:t>
            </w:r>
            <w:r>
              <w:rPr>
                <w:rFonts w:hint="eastAsia" w:ascii="宋体" w:eastAsia="宋体"/>
                <w:color w:val="auto"/>
                <w:sz w:val="24"/>
                <w:szCs w:val="24"/>
                <w:lang w:val="en-US" w:eastAsia="zh-CN"/>
              </w:rPr>
              <w:t>施工期环境空气</w:t>
            </w:r>
            <w:r>
              <w:rPr>
                <w:rFonts w:hint="default" w:ascii="宋体" w:eastAsia="宋体"/>
                <w:color w:val="auto"/>
                <w:sz w:val="24"/>
                <w:szCs w:val="24"/>
              </w:rPr>
              <w:t>影响分析</w:t>
            </w:r>
            <w:bookmarkEnd w:id="64"/>
            <w:bookmarkEnd w:id="65"/>
          </w:p>
          <w:p>
            <w:pPr>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本项目施工期主要防洪堤土石方开挖施工、材料堆放以及上述土石方</w:t>
            </w:r>
            <w:r>
              <w:rPr>
                <w:rFonts w:hint="eastAsia" w:ascii="Times New Roman" w:hAnsi="Times New Roman" w:eastAsia="宋体" w:cs="Times New Roman"/>
                <w:color w:val="000000"/>
                <w:sz w:val="24"/>
                <w:szCs w:val="24"/>
                <w:lang w:eastAsia="zh-CN"/>
              </w:rPr>
              <w:t>、施工材料</w:t>
            </w:r>
            <w:r>
              <w:rPr>
                <w:rFonts w:hint="default" w:ascii="Times New Roman" w:hAnsi="Times New Roman" w:eastAsia="宋体" w:cs="Times New Roman"/>
                <w:color w:val="000000"/>
                <w:sz w:val="24"/>
                <w:szCs w:val="24"/>
              </w:rPr>
              <w:t>的运输过程中将会产生扬尘和运输车辆等产生的机械废气。</w:t>
            </w:r>
          </w:p>
          <w:p>
            <w:pPr>
              <w:pageBreakBefore w:val="0"/>
              <w:kinsoku/>
              <w:wordWrap/>
              <w:overflowPunct/>
              <w:topLinePunct w:val="0"/>
              <w:bidi w:val="0"/>
              <w:spacing w:line="360" w:lineRule="auto"/>
              <w:ind w:firstLine="482" w:firstLineChars="200"/>
              <w:textAlignment w:val="auto"/>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⑴ 施工扬尘</w:t>
            </w:r>
          </w:p>
          <w:p>
            <w:pPr>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项目在施工过程中其扬尘产生环节如下：</w:t>
            </w:r>
          </w:p>
          <w:p>
            <w:pPr>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施工过程中由于挖土、填土、推土及搬运、装卸土石方、运输过程中产生的尘埃散逸到空气中；</w:t>
            </w:r>
          </w:p>
          <w:p>
            <w:pPr>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 </w:t>
            </w:r>
            <w:r>
              <w:rPr>
                <w:rFonts w:hint="eastAsia" w:ascii="Times New Roman" w:hAnsi="Times New Roman" w:eastAsia="宋体" w:cs="Times New Roman"/>
                <w:color w:val="000000"/>
                <w:sz w:val="24"/>
                <w:szCs w:val="24"/>
                <w:lang w:val="en-US" w:eastAsia="zh-CN"/>
              </w:rPr>
              <w:t>建筑材料（砂石料、 水泥等）的现场装卸产生的扬尘</w:t>
            </w:r>
            <w:r>
              <w:rPr>
                <w:rFonts w:hint="default" w:ascii="Times New Roman" w:hAnsi="Times New Roman" w:eastAsia="宋体" w:cs="Times New Roman"/>
                <w:color w:val="000000"/>
                <w:sz w:val="24"/>
                <w:szCs w:val="24"/>
              </w:rPr>
              <w:t>；</w:t>
            </w:r>
          </w:p>
          <w:p>
            <w:pPr>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土石方</w:t>
            </w:r>
            <w:r>
              <w:rPr>
                <w:rFonts w:hint="eastAsia" w:ascii="Times New Roman" w:hAnsi="Times New Roman" w:eastAsia="宋体" w:cs="Times New Roman"/>
                <w:color w:val="000000"/>
                <w:sz w:val="24"/>
                <w:szCs w:val="24"/>
                <w:lang w:eastAsia="zh-CN"/>
              </w:rPr>
              <w:t>临时</w:t>
            </w:r>
            <w:r>
              <w:rPr>
                <w:rFonts w:hint="default" w:ascii="Times New Roman" w:hAnsi="Times New Roman" w:eastAsia="宋体" w:cs="Times New Roman"/>
                <w:color w:val="000000"/>
                <w:sz w:val="24"/>
                <w:szCs w:val="24"/>
              </w:rPr>
              <w:t>堆放期间由于风吹引起的扬尘。</w:t>
            </w:r>
          </w:p>
          <w:p>
            <w:pPr>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fldChar w:fldCharType="begin"/>
            </w:r>
            <w:r>
              <w:rPr>
                <w:rFonts w:hint="default" w:ascii="Times New Roman" w:hAnsi="Times New Roman" w:eastAsia="宋体" w:cs="Times New Roman"/>
                <w:color w:val="000000"/>
                <w:sz w:val="24"/>
                <w:szCs w:val="24"/>
              </w:rPr>
              <w:instrText xml:space="preserve"> = 1 \* GB3 </w:instrText>
            </w:r>
            <w:r>
              <w:rPr>
                <w:rFonts w:hint="default" w:ascii="Times New Roman" w:hAnsi="Times New Roman" w:eastAsia="宋体" w:cs="Times New Roman"/>
                <w:color w:val="000000"/>
                <w:sz w:val="24"/>
                <w:szCs w:val="24"/>
              </w:rPr>
              <w:fldChar w:fldCharType="separate"/>
            </w:r>
            <w:r>
              <w:rPr>
                <w:rFonts w:hint="default" w:ascii="Times New Roman" w:hAnsi="Times New Roman" w:eastAsia="宋体" w:cs="Times New Roman"/>
                <w:color w:val="000000"/>
                <w:sz w:val="24"/>
                <w:szCs w:val="24"/>
              </w:rPr>
              <w:t>①</w:t>
            </w:r>
            <w:r>
              <w:rPr>
                <w:rFonts w:hint="default" w:ascii="Times New Roman" w:hAnsi="Times New Roman" w:eastAsia="宋体" w:cs="Times New Roman"/>
                <w:color w:val="000000"/>
                <w:sz w:val="24"/>
                <w:szCs w:val="24"/>
              </w:rPr>
              <w:fldChar w:fldCharType="end"/>
            </w:r>
            <w:r>
              <w:rPr>
                <w:rFonts w:hint="default" w:ascii="Times New Roman" w:hAnsi="Times New Roman" w:eastAsia="宋体" w:cs="Times New Roman"/>
                <w:color w:val="000000"/>
                <w:sz w:val="24"/>
                <w:szCs w:val="24"/>
              </w:rPr>
              <w:t xml:space="preserve"> 道路运输扬尘：在施工期，施工材料的运输和装卸将给道路沿线带来扬尘污染，特别是在风速较大，运输车辆行驶较快时，扬尘污染将尤为严重。</w:t>
            </w:r>
            <w:r>
              <w:rPr>
                <w:rFonts w:hint="default" w:ascii="Times New Roman" w:hAnsi="Times New Roman" w:eastAsia="宋体" w:cs="Times New Roman"/>
                <w:color w:val="000000"/>
                <w:kern w:val="28"/>
                <w:sz w:val="24"/>
                <w:szCs w:val="24"/>
              </w:rPr>
              <w:t>因此，工程在施工期间须采取切实可行的防扬尘措施，如</w:t>
            </w:r>
            <w:r>
              <w:rPr>
                <w:rFonts w:hint="default" w:ascii="Times New Roman" w:hAnsi="Times New Roman" w:eastAsia="宋体" w:cs="Times New Roman"/>
                <w:color w:val="000000"/>
                <w:sz w:val="24"/>
                <w:szCs w:val="24"/>
              </w:rPr>
              <w:t>洒水降尘，尤其是施工道路的洒水降尘，开挖土方应集中堆放，缩小粉尘影响范围，并且及时回填或外运，减少粉尘影响时间，此外，施工场地的施工车辆必须实施限速行驶，且风速大于3m/s时禁止进行渣土作业等，通过采取上述措施后可将施工扬尘减至最低。</w:t>
            </w:r>
          </w:p>
          <w:p>
            <w:pPr>
              <w:pStyle w:val="123"/>
              <w:pageBreakBefore w:val="0"/>
              <w:kinsoku/>
              <w:wordWrap/>
              <w:overflowPunct/>
              <w:topLinePunct w:val="0"/>
              <w:bidi w:val="0"/>
              <w:spacing w:before="0" w:after="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fldChar w:fldCharType="begin"/>
            </w:r>
            <w:r>
              <w:rPr>
                <w:rFonts w:hint="default" w:ascii="Times New Roman" w:hAnsi="Times New Roman" w:eastAsia="宋体" w:cs="Times New Roman"/>
                <w:color w:val="000000"/>
                <w:sz w:val="24"/>
                <w:szCs w:val="24"/>
                <w:lang w:val="en-US" w:eastAsia="zh-CN"/>
              </w:rPr>
              <w:instrText xml:space="preserve"> = 2 \* GB3 </w:instrText>
            </w:r>
            <w:r>
              <w:rPr>
                <w:rFonts w:hint="default" w:ascii="Times New Roman" w:hAnsi="Times New Roman" w:eastAsia="宋体" w:cs="Times New Roman"/>
                <w:color w:val="000000"/>
                <w:sz w:val="24"/>
                <w:szCs w:val="24"/>
                <w:lang w:val="en-US" w:eastAsia="zh-CN"/>
              </w:rPr>
              <w:fldChar w:fldCharType="separate"/>
            </w:r>
            <w:r>
              <w:rPr>
                <w:rFonts w:hint="default" w:ascii="Times New Roman" w:hAnsi="Times New Roman" w:eastAsia="宋体" w:cs="Times New Roman"/>
                <w:color w:val="000000"/>
                <w:sz w:val="24"/>
                <w:szCs w:val="24"/>
                <w:lang w:val="en-US" w:eastAsia="zh-CN"/>
              </w:rPr>
              <w:t>②</w:t>
            </w:r>
            <w:r>
              <w:rPr>
                <w:rFonts w:hint="default" w:ascii="Times New Roman" w:hAnsi="Times New Roman" w:eastAsia="宋体" w:cs="Times New Roman"/>
                <w:color w:val="000000"/>
                <w:sz w:val="24"/>
                <w:szCs w:val="24"/>
                <w:lang w:val="en-US" w:eastAsia="zh-CN"/>
              </w:rPr>
              <w:fldChar w:fldCharType="end"/>
            </w:r>
            <w:r>
              <w:rPr>
                <w:rFonts w:hint="default" w:ascii="Times New Roman" w:hAnsi="Times New Roman" w:eastAsia="宋体" w:cs="Times New Roman"/>
                <w:color w:val="000000"/>
                <w:sz w:val="24"/>
              </w:rPr>
              <w:t>临时堆</w:t>
            </w:r>
            <w:r>
              <w:rPr>
                <w:rFonts w:hint="eastAsia" w:ascii="Times New Roman" w:hAnsi="Times New Roman" w:cs="Times New Roman"/>
                <w:color w:val="000000"/>
                <w:sz w:val="24"/>
                <w:lang w:val="en-US" w:eastAsia="zh-CN"/>
              </w:rPr>
              <w:t>土</w:t>
            </w:r>
            <w:r>
              <w:rPr>
                <w:rFonts w:hint="eastAsia" w:cs="Times New Roman"/>
                <w:color w:val="000000"/>
                <w:sz w:val="24"/>
                <w:lang w:val="en-US" w:eastAsia="zh-CN"/>
              </w:rPr>
              <w:t>场</w:t>
            </w:r>
            <w:r>
              <w:rPr>
                <w:rFonts w:hint="default" w:ascii="Times New Roman" w:hAnsi="Times New Roman" w:eastAsia="宋体" w:cs="Times New Roman"/>
                <w:color w:val="000000"/>
                <w:sz w:val="24"/>
                <w:szCs w:val="24"/>
                <w:lang w:val="en-US" w:eastAsia="zh-CN"/>
              </w:rPr>
              <w:t>扬尘：堆放场地的风吹扬尘影响范围一般在</w:t>
            </w:r>
            <w:r>
              <w:rPr>
                <w:rFonts w:hint="eastAsia" w:ascii="Times New Roman" w:hAnsi="Times New Roman" w:eastAsia="宋体" w:cs="Times New Roman"/>
                <w:color w:val="000000"/>
                <w:sz w:val="24"/>
                <w:szCs w:val="24"/>
                <w:lang w:val="en-US" w:eastAsia="zh-CN"/>
              </w:rPr>
              <w:t>5</w:t>
            </w:r>
            <w:r>
              <w:rPr>
                <w:rFonts w:hint="default" w:ascii="Times New Roman" w:hAnsi="Times New Roman" w:eastAsia="宋体" w:cs="Times New Roman"/>
                <w:color w:val="000000"/>
                <w:sz w:val="24"/>
                <w:szCs w:val="24"/>
                <w:lang w:val="en-US" w:eastAsia="zh-CN"/>
              </w:rPr>
              <w:t>0m以内。因此，在施工阶段，在选择堆放场地时应避开</w:t>
            </w:r>
            <w:r>
              <w:rPr>
                <w:rFonts w:hint="eastAsia" w:ascii="Times New Roman" w:hAnsi="Times New Roman" w:eastAsia="宋体" w:cs="Times New Roman"/>
                <w:color w:val="000000"/>
                <w:sz w:val="24"/>
                <w:szCs w:val="24"/>
                <w:lang w:val="en-US" w:eastAsia="zh-CN"/>
              </w:rPr>
              <w:t>居民区、学校</w:t>
            </w:r>
            <w:r>
              <w:rPr>
                <w:rFonts w:hint="default" w:ascii="Times New Roman" w:hAnsi="Times New Roman" w:eastAsia="宋体" w:cs="Times New Roman"/>
                <w:color w:val="000000"/>
                <w:sz w:val="24"/>
                <w:szCs w:val="24"/>
                <w:lang w:val="en-US" w:eastAsia="zh-CN"/>
              </w:rPr>
              <w:t>等敏感区，</w:t>
            </w:r>
            <w:r>
              <w:rPr>
                <w:rFonts w:hint="eastAsia" w:ascii="Times New Roman" w:hAnsi="Times New Roman" w:eastAsia="宋体" w:cs="Times New Roman"/>
                <w:color w:val="000000"/>
                <w:sz w:val="24"/>
                <w:szCs w:val="24"/>
                <w:lang w:val="en-US" w:eastAsia="zh-CN"/>
              </w:rPr>
              <w:t>开挖土石方及时回填，临时堆放时</w:t>
            </w:r>
            <w:r>
              <w:rPr>
                <w:rFonts w:hint="default" w:ascii="Times New Roman" w:hAnsi="Times New Roman" w:eastAsia="宋体" w:cs="Times New Roman"/>
                <w:color w:val="000000"/>
                <w:sz w:val="24"/>
                <w:szCs w:val="24"/>
                <w:lang w:val="en-US" w:eastAsia="zh-CN"/>
              </w:rPr>
              <w:t>必须进行遮盖防护</w:t>
            </w:r>
            <w:r>
              <w:rPr>
                <w:rFonts w:hint="eastAsia" w:ascii="Times New Roman" w:hAnsi="Times New Roman" w:eastAsia="宋体" w:cs="Times New Roman"/>
                <w:color w:val="000000"/>
                <w:sz w:val="24"/>
                <w:szCs w:val="24"/>
                <w:lang w:val="en-US" w:eastAsia="zh-CN"/>
              </w:rPr>
              <w:t>，干燥大风天气进行洒水抑尘</w:t>
            </w:r>
            <w:r>
              <w:rPr>
                <w:rFonts w:hint="default" w:ascii="Times New Roman" w:hAnsi="Times New Roman" w:eastAsia="宋体" w:cs="Times New Roman"/>
                <w:color w:val="000000"/>
                <w:sz w:val="24"/>
                <w:szCs w:val="24"/>
                <w:lang w:val="en-US" w:eastAsia="zh-CN"/>
              </w:rPr>
              <w:t>。</w:t>
            </w:r>
          </w:p>
          <w:p>
            <w:pPr>
              <w:pStyle w:val="123"/>
              <w:pageBreakBefore w:val="0"/>
              <w:kinsoku/>
              <w:wordWrap/>
              <w:overflowPunct/>
              <w:topLinePunct w:val="0"/>
              <w:bidi w:val="0"/>
              <w:spacing w:before="0" w:after="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fldChar w:fldCharType="begin"/>
            </w:r>
            <w:r>
              <w:rPr>
                <w:rFonts w:hint="default" w:ascii="Times New Roman" w:hAnsi="Times New Roman" w:eastAsia="宋体" w:cs="Times New Roman"/>
                <w:color w:val="000000"/>
                <w:sz w:val="24"/>
                <w:szCs w:val="24"/>
                <w:lang w:val="en-US" w:eastAsia="zh-CN"/>
              </w:rPr>
              <w:instrText xml:space="preserve"> = 3 \* GB3 </w:instrText>
            </w:r>
            <w:r>
              <w:rPr>
                <w:rFonts w:hint="default" w:ascii="Times New Roman" w:hAnsi="Times New Roman" w:eastAsia="宋体" w:cs="Times New Roman"/>
                <w:color w:val="000000"/>
                <w:sz w:val="24"/>
                <w:szCs w:val="24"/>
                <w:lang w:val="en-US" w:eastAsia="zh-CN"/>
              </w:rPr>
              <w:fldChar w:fldCharType="separate"/>
            </w:r>
            <w:r>
              <w:rPr>
                <w:rFonts w:hint="default" w:ascii="Times New Roman" w:hAnsi="Times New Roman" w:eastAsia="宋体" w:cs="Times New Roman"/>
                <w:color w:val="000000"/>
                <w:sz w:val="24"/>
                <w:szCs w:val="24"/>
              </w:rPr>
              <w:t>③</w:t>
            </w:r>
            <w:r>
              <w:rPr>
                <w:rFonts w:hint="default" w:ascii="Times New Roman" w:hAnsi="Times New Roman" w:eastAsia="宋体" w:cs="Times New Roman"/>
                <w:color w:val="000000"/>
                <w:sz w:val="24"/>
                <w:szCs w:val="24"/>
                <w:lang w:val="en-US" w:eastAsia="zh-CN"/>
              </w:rPr>
              <w:fldChar w:fldCharType="end"/>
            </w:r>
            <w:r>
              <w:rPr>
                <w:rFonts w:hint="default" w:ascii="Times New Roman" w:hAnsi="Times New Roman" w:eastAsia="宋体" w:cs="Times New Roman"/>
                <w:color w:val="000000"/>
                <w:sz w:val="24"/>
                <w:szCs w:val="24"/>
                <w:lang w:val="en-US" w:eastAsia="zh-CN"/>
              </w:rPr>
              <w:t xml:space="preserve"> 土方的开挖、回填产生的尘污染：土方的开挖和回填作业产生的TSP污染严重程度与气候条件有关，大风时对下风向的污染影响较大。一般在距施工现场100～150m范围以外TSP浓度可符合国标要求。</w:t>
            </w:r>
          </w:p>
          <w:p>
            <w:pPr>
              <w:pStyle w:val="123"/>
              <w:pageBreakBefore w:val="0"/>
              <w:kinsoku/>
              <w:wordWrap/>
              <w:overflowPunct/>
              <w:topLinePunct w:val="0"/>
              <w:bidi w:val="0"/>
              <w:spacing w:before="0" w:after="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④施工场地在非雨天时适时洒水，包括正在施工的</w:t>
            </w:r>
            <w:r>
              <w:rPr>
                <w:rFonts w:hint="eastAsia" w:ascii="Times New Roman" w:hAnsi="Times New Roman" w:eastAsia="宋体" w:cs="Times New Roman"/>
                <w:color w:val="000000"/>
                <w:sz w:val="24"/>
                <w:szCs w:val="24"/>
                <w:lang w:val="en-US" w:eastAsia="zh-CN"/>
              </w:rPr>
              <w:t>工段、</w:t>
            </w:r>
            <w:r>
              <w:rPr>
                <w:rFonts w:hint="default" w:ascii="Times New Roman" w:hAnsi="Times New Roman" w:eastAsia="宋体" w:cs="Times New Roman"/>
                <w:color w:val="000000"/>
                <w:sz w:val="24"/>
              </w:rPr>
              <w:t>临时堆</w:t>
            </w:r>
            <w:r>
              <w:rPr>
                <w:rFonts w:hint="eastAsia" w:ascii="Times New Roman" w:hAnsi="Times New Roman" w:cs="Times New Roman"/>
                <w:color w:val="000000"/>
                <w:sz w:val="24"/>
                <w:lang w:val="en-US" w:eastAsia="zh-CN"/>
              </w:rPr>
              <w:t>土</w:t>
            </w:r>
            <w:r>
              <w:rPr>
                <w:rFonts w:hint="eastAsia" w:cs="Times New Roman"/>
                <w:color w:val="000000"/>
                <w:sz w:val="24"/>
                <w:lang w:val="en-US" w:eastAsia="zh-CN"/>
              </w:rPr>
              <w:t>场</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主要运输道路等。洒水频次由现场监理人员据实际情况而定；</w:t>
            </w:r>
          </w:p>
          <w:p>
            <w:pPr>
              <w:pStyle w:val="123"/>
              <w:pageBreakBefore w:val="0"/>
              <w:kinsoku/>
              <w:wordWrap/>
              <w:overflowPunct/>
              <w:topLinePunct w:val="0"/>
              <w:bidi w:val="0"/>
              <w:spacing w:before="0" w:after="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⑤土、砂、石料运输禁止超载，装高不得超过车厢板，并盖篷布，严禁沿途撒落。</w:t>
            </w:r>
          </w:p>
          <w:p>
            <w:pPr>
              <w:pStyle w:val="123"/>
              <w:pageBreakBefore w:val="0"/>
              <w:kinsoku/>
              <w:wordWrap/>
              <w:overflowPunct/>
              <w:topLinePunct w:val="0"/>
              <w:bidi w:val="0"/>
              <w:spacing w:before="0" w:after="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⑥及时清运施工废弃物，暂时不能清运的应采取覆盖等措施，运输沙、石、水泥、土方等易产尘物质的车辆必须封盖严密，严禁洒漏。</w:t>
            </w:r>
          </w:p>
          <w:p>
            <w:pPr>
              <w:pStyle w:val="123"/>
              <w:pageBreakBefore w:val="0"/>
              <w:kinsoku/>
              <w:wordWrap/>
              <w:overflowPunct/>
              <w:topLinePunct w:val="0"/>
              <w:bidi w:val="0"/>
              <w:spacing w:before="0" w:after="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从以上分析中可看出，</w:t>
            </w:r>
            <w:r>
              <w:rPr>
                <w:rFonts w:hint="default" w:ascii="Times New Roman" w:hAnsi="Times New Roman" w:eastAsia="宋体" w:cs="Times New Roman"/>
                <w:color w:val="000000"/>
                <w:kern w:val="28"/>
                <w:sz w:val="24"/>
                <w:szCs w:val="24"/>
                <w:lang w:val="en-US" w:eastAsia="zh-CN"/>
              </w:rPr>
              <w:t>通常扬尘集中发生在基础施工阶段，</w:t>
            </w:r>
            <w:r>
              <w:rPr>
                <w:rFonts w:hint="default" w:ascii="Times New Roman" w:hAnsi="Times New Roman" w:eastAsia="宋体" w:cs="Times New Roman"/>
                <w:color w:val="000000"/>
                <w:sz w:val="24"/>
                <w:szCs w:val="24"/>
                <w:lang w:val="en-US" w:eastAsia="zh-CN"/>
              </w:rPr>
              <w:t>TSP污染严重。但随着施工的完成，TSP的污染即消失，影响周期较短。对此，评价要求项目在施工期需对扬尘采取切实可行的防治措施，如洒水抑尘、限制车速、保持施工场地的洁净、避免大风天气进行渣土作业、建材堆放严格管理以及加强施工管理等，从而使其扬尘对外界环境的影响减至最小。</w:t>
            </w:r>
          </w:p>
          <w:p>
            <w:pPr>
              <w:pStyle w:val="73"/>
              <w:pageBreakBefore w:val="0"/>
              <w:kinsoku/>
              <w:wordWrap/>
              <w:overflowPunct/>
              <w:topLinePunct w:val="0"/>
              <w:bidi w:val="0"/>
              <w:adjustRightInd/>
              <w:spacing w:line="360" w:lineRule="auto"/>
              <w:ind w:firstLine="482" w:firstLineChars="200"/>
              <w:textAlignment w:val="auto"/>
              <w:rPr>
                <w:rFonts w:hint="default" w:ascii="Times New Roman" w:hAnsi="Times New Roman" w:eastAsia="宋体" w:cs="Times New Roman"/>
                <w:b/>
                <w:sz w:val="24"/>
                <w:szCs w:val="24"/>
              </w:rPr>
            </w:pPr>
            <w:r>
              <w:rPr>
                <w:rFonts w:hint="default" w:ascii="Times New Roman" w:hAnsi="Times New Roman" w:eastAsia="宋体" w:cs="Times New Roman"/>
                <w:b/>
                <w:kern w:val="28"/>
                <w:sz w:val="24"/>
                <w:szCs w:val="24"/>
              </w:rPr>
              <w:t>⑵</w:t>
            </w:r>
            <w:r>
              <w:rPr>
                <w:rFonts w:hint="default" w:ascii="Times New Roman" w:hAnsi="Times New Roman" w:eastAsia="宋体" w:cs="Times New Roman"/>
                <w:b/>
                <w:sz w:val="24"/>
                <w:szCs w:val="24"/>
              </w:rPr>
              <w:t>燃油废气</w:t>
            </w:r>
          </w:p>
          <w:p>
            <w:pPr>
              <w:pageBreakBefore w:val="0"/>
              <w:kinsoku/>
              <w:wordWrap/>
              <w:overflowPunct/>
              <w:topLinePunct w:val="0"/>
              <w:bidi w:val="0"/>
              <w:adjustRightInd w:val="0"/>
              <w:snapToGrid w:val="0"/>
              <w:spacing w:line="360" w:lineRule="auto"/>
              <w:ind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z w:val="24"/>
                <w:szCs w:val="24"/>
              </w:rPr>
              <w:t>项目在施工时人员、机械、建筑材料、土方的运输汽车以及一些动力设备会排放少量NO</w:t>
            </w:r>
            <w:r>
              <w:rPr>
                <w:rFonts w:hint="default" w:ascii="Times New Roman" w:hAnsi="Times New Roman" w:eastAsia="宋体" w:cs="Times New Roman"/>
                <w:sz w:val="24"/>
                <w:szCs w:val="24"/>
                <w:vertAlign w:val="subscript"/>
              </w:rPr>
              <w:t>X</w:t>
            </w:r>
            <w:r>
              <w:rPr>
                <w:rFonts w:hint="default" w:ascii="Times New Roman" w:hAnsi="Times New Roman" w:eastAsia="宋体" w:cs="Times New Roman"/>
                <w:sz w:val="24"/>
                <w:szCs w:val="24"/>
              </w:rPr>
              <w:t>、CO和THC，对大气环境也有一定影响。</w:t>
            </w:r>
            <w:r>
              <w:rPr>
                <w:rFonts w:hint="default" w:ascii="Times New Roman" w:hAnsi="Times New Roman" w:eastAsia="宋体" w:cs="Times New Roman"/>
                <w:color w:val="auto"/>
                <w:sz w:val="24"/>
                <w:szCs w:val="24"/>
              </w:rPr>
              <w:t>由于废气量较小，且施工现场均在野外，有利于废气的扩散。同时废气污染源具有间断和流动性，因此对局部地区周围环境影响较小。</w:t>
            </w:r>
          </w:p>
          <w:p>
            <w:pPr>
              <w:pStyle w:val="73"/>
              <w:pageBreakBefore w:val="0"/>
              <w:kinsoku/>
              <w:wordWrap/>
              <w:overflowPunct/>
              <w:topLinePunct w:val="0"/>
              <w:bidi w:val="0"/>
              <w:adjustRightInd/>
              <w:spacing w:line="360" w:lineRule="auto"/>
              <w:ind w:firstLine="482" w:firstLineChars="200"/>
              <w:textAlignment w:val="auto"/>
              <w:rPr>
                <w:rFonts w:hint="default" w:ascii="Times New Roman" w:hAnsi="Times New Roman" w:eastAsia="宋体" w:cs="Times New Roman"/>
                <w:b/>
                <w:bCs w:val="0"/>
                <w:kern w:val="28"/>
                <w:sz w:val="24"/>
                <w:szCs w:val="24"/>
                <w:lang w:val="en-US" w:eastAsia="zh-CN"/>
              </w:rPr>
            </w:pPr>
            <w:r>
              <w:rPr>
                <w:rFonts w:hint="eastAsia" w:ascii="宋体" w:hAnsi="宋体" w:eastAsia="宋体" w:cs="宋体"/>
                <w:b/>
                <w:bCs w:val="0"/>
                <w:kern w:val="28"/>
                <w:sz w:val="24"/>
                <w:szCs w:val="24"/>
                <w:lang w:val="en-US" w:eastAsia="zh-CN"/>
              </w:rPr>
              <w:t>⑶</w:t>
            </w:r>
            <w:r>
              <w:rPr>
                <w:rFonts w:hint="default" w:ascii="Times New Roman" w:hAnsi="Times New Roman" w:eastAsia="宋体" w:cs="Times New Roman"/>
                <w:b/>
                <w:bCs w:val="0"/>
                <w:kern w:val="28"/>
                <w:sz w:val="24"/>
                <w:szCs w:val="24"/>
                <w:lang w:val="en-US" w:eastAsia="zh-CN"/>
              </w:rPr>
              <w:t>底泥臭气</w:t>
            </w:r>
          </w:p>
          <w:p>
            <w:pPr>
              <w:pageBreakBefore w:val="0"/>
              <w:tabs>
                <w:tab w:val="left" w:pos="840"/>
                <w:tab w:val="left" w:pos="945"/>
              </w:tabs>
              <w:kinsoku/>
              <w:wordWrap/>
              <w:overflowPunct/>
              <w:topLinePunct w:val="0"/>
              <w:bidi w:val="0"/>
              <w:spacing w:line="360" w:lineRule="auto"/>
              <w:ind w:firstLine="480"/>
              <w:textAlignment w:val="auto"/>
              <w:rPr>
                <w:sz w:val="24"/>
                <w:szCs w:val="24"/>
              </w:rPr>
            </w:pPr>
            <w:r>
              <w:rPr>
                <w:rFonts w:hint="eastAsia" w:hAnsi="宋体"/>
                <w:sz w:val="24"/>
                <w:szCs w:val="24"/>
              </w:rPr>
              <w:t>本项目涉及</w:t>
            </w:r>
            <w:r>
              <w:rPr>
                <w:rFonts w:hint="eastAsia"/>
                <w:sz w:val="24"/>
                <w:szCs w:val="24"/>
                <w:lang w:val="en-US" w:eastAsia="zh-CN"/>
              </w:rPr>
              <w:t>长滩河</w:t>
            </w:r>
            <w:r>
              <w:rPr>
                <w:rFonts w:hint="eastAsia" w:hAnsi="宋体"/>
                <w:sz w:val="24"/>
                <w:szCs w:val="24"/>
                <w:lang w:eastAsia="zh-CN"/>
              </w:rPr>
              <w:t>支沟</w:t>
            </w:r>
            <w:r>
              <w:rPr>
                <w:rFonts w:hint="eastAsia" w:hAnsi="宋体"/>
                <w:sz w:val="24"/>
                <w:szCs w:val="24"/>
                <w:lang w:val="en-US" w:eastAsia="zh-CN"/>
              </w:rPr>
              <w:t>庄子沟</w:t>
            </w:r>
            <w:r>
              <w:rPr>
                <w:rFonts w:hint="eastAsia" w:hAnsi="宋体"/>
                <w:sz w:val="24"/>
                <w:szCs w:val="24"/>
              </w:rPr>
              <w:t>河道</w:t>
            </w:r>
            <w:r>
              <w:rPr>
                <w:rFonts w:hint="eastAsia" w:hAnsi="宋体"/>
                <w:sz w:val="24"/>
                <w:szCs w:val="24"/>
                <w:lang w:val="en-US" w:eastAsia="zh-CN"/>
              </w:rPr>
              <w:t>清淤、</w:t>
            </w:r>
            <w:r>
              <w:rPr>
                <w:rFonts w:hint="eastAsia" w:hAnsi="宋体"/>
                <w:sz w:val="24"/>
                <w:szCs w:val="24"/>
                <w:lang w:eastAsia="zh-CN"/>
              </w:rPr>
              <w:t>疏浚工程，根据现场调查，河道水质较好</w:t>
            </w:r>
            <w:r>
              <w:rPr>
                <w:rFonts w:hAnsi="宋体"/>
                <w:sz w:val="24"/>
                <w:szCs w:val="24"/>
              </w:rPr>
              <w:t>，</w:t>
            </w:r>
            <w:r>
              <w:rPr>
                <w:rFonts w:hint="eastAsia" w:hAnsi="宋体"/>
                <w:sz w:val="24"/>
                <w:szCs w:val="24"/>
                <w:lang w:eastAsia="zh-CN"/>
              </w:rPr>
              <w:t>河道淤积物主要为</w:t>
            </w:r>
            <w:r>
              <w:rPr>
                <w:rFonts w:hint="eastAsia"/>
                <w:sz w:val="24"/>
                <w:szCs w:val="24"/>
              </w:rPr>
              <w:t>饱和粉质粘土、淤泥质土</w:t>
            </w:r>
            <w:r>
              <w:rPr>
                <w:rFonts w:hint="eastAsia"/>
                <w:sz w:val="24"/>
                <w:szCs w:val="24"/>
                <w:lang w:eastAsia="zh-CN"/>
              </w:rPr>
              <w:t>、砂石</w:t>
            </w:r>
            <w:r>
              <w:rPr>
                <w:rFonts w:hint="eastAsia"/>
                <w:sz w:val="24"/>
                <w:szCs w:val="24"/>
              </w:rPr>
              <w:t>及含大量植物根系土等</w:t>
            </w:r>
            <w:r>
              <w:rPr>
                <w:rFonts w:hint="eastAsia"/>
                <w:sz w:val="24"/>
                <w:szCs w:val="24"/>
                <w:lang w:eastAsia="zh-CN"/>
              </w:rPr>
              <w:t>，</w:t>
            </w:r>
            <w:r>
              <w:rPr>
                <w:rFonts w:hAnsi="宋体"/>
                <w:sz w:val="24"/>
                <w:szCs w:val="24"/>
              </w:rPr>
              <w:t>表层底泥中有机质、氮、磷的含量</w:t>
            </w:r>
            <w:r>
              <w:rPr>
                <w:rFonts w:hint="eastAsia" w:hAnsi="宋体"/>
                <w:sz w:val="24"/>
                <w:szCs w:val="24"/>
                <w:lang w:eastAsia="zh-CN"/>
              </w:rPr>
              <w:t>很低</w:t>
            </w:r>
            <w:r>
              <w:rPr>
                <w:rFonts w:hAnsi="宋体"/>
                <w:sz w:val="24"/>
                <w:szCs w:val="24"/>
              </w:rPr>
              <w:t>，在厌氧条件下形成硫化氢、氨气等恶臭气体</w:t>
            </w:r>
            <w:r>
              <w:rPr>
                <w:rFonts w:hint="eastAsia" w:hAnsi="宋体"/>
                <w:sz w:val="24"/>
                <w:szCs w:val="24"/>
                <w:lang w:eastAsia="zh-CN"/>
              </w:rPr>
              <w:t>量很小</w:t>
            </w:r>
            <w:r>
              <w:rPr>
                <w:rFonts w:hAnsi="宋体"/>
                <w:sz w:val="24"/>
                <w:szCs w:val="24"/>
              </w:rPr>
              <w:t>。因此</w:t>
            </w:r>
            <w:r>
              <w:rPr>
                <w:rFonts w:hint="eastAsia" w:hAnsi="宋体"/>
                <w:sz w:val="24"/>
                <w:szCs w:val="24"/>
                <w:lang w:eastAsia="zh-CN"/>
              </w:rPr>
              <w:t>疏浚工程产生的恶臭气体很小</w:t>
            </w:r>
            <w:r>
              <w:rPr>
                <w:rFonts w:hAnsi="宋体"/>
                <w:sz w:val="24"/>
                <w:szCs w:val="24"/>
              </w:rPr>
              <w:t>。</w:t>
            </w:r>
          </w:p>
          <w:p>
            <w:pPr>
              <w:pageBreakBefore w:val="0"/>
              <w:tabs>
                <w:tab w:val="left" w:pos="840"/>
                <w:tab w:val="left" w:pos="945"/>
              </w:tabs>
              <w:kinsoku/>
              <w:wordWrap/>
              <w:overflowPunct/>
              <w:topLinePunct w:val="0"/>
              <w:bidi w:val="0"/>
              <w:spacing w:line="360" w:lineRule="auto"/>
              <w:ind w:firstLine="480"/>
              <w:textAlignment w:val="auto"/>
              <w:rPr>
                <w:sz w:val="24"/>
                <w:szCs w:val="24"/>
              </w:rPr>
            </w:pPr>
            <w:r>
              <w:rPr>
                <w:rFonts w:hAnsi="宋体"/>
                <w:sz w:val="24"/>
                <w:szCs w:val="24"/>
              </w:rPr>
              <w:t>本次</w:t>
            </w:r>
            <w:r>
              <w:rPr>
                <w:rFonts w:hint="eastAsia" w:hAnsi="宋体"/>
                <w:sz w:val="24"/>
                <w:szCs w:val="24"/>
                <w:lang w:eastAsia="zh-CN"/>
              </w:rPr>
              <w:t>河道疏浚</w:t>
            </w:r>
            <w:r>
              <w:rPr>
                <w:rFonts w:hint="eastAsia" w:hAnsi="宋体"/>
                <w:sz w:val="24"/>
                <w:szCs w:val="24"/>
              </w:rPr>
              <w:t>主要</w:t>
            </w:r>
            <w:r>
              <w:rPr>
                <w:rFonts w:hAnsi="宋体"/>
                <w:sz w:val="24"/>
                <w:szCs w:val="24"/>
              </w:rPr>
              <w:t>采用干法疏挖，在枯水期实施，先将水排干，待底泥干化后在进行疏挖，</w:t>
            </w:r>
            <w:r>
              <w:rPr>
                <w:rFonts w:hint="eastAsia" w:hAnsi="宋体"/>
                <w:sz w:val="24"/>
                <w:szCs w:val="24"/>
                <w:lang w:eastAsia="zh-CN"/>
              </w:rPr>
              <w:t>基本无废气散发</w:t>
            </w:r>
            <w:r>
              <w:rPr>
                <w:rFonts w:hAnsi="宋体"/>
                <w:sz w:val="24"/>
                <w:szCs w:val="24"/>
              </w:rPr>
              <w:t>。通过强化疏浚作业管理，保证疏浚设备运行稳定</w:t>
            </w:r>
            <w:r>
              <w:rPr>
                <w:rFonts w:hint="eastAsia" w:hAnsi="宋体"/>
                <w:sz w:val="24"/>
                <w:szCs w:val="24"/>
                <w:lang w:eastAsia="zh-CN"/>
              </w:rPr>
              <w:t>，</w:t>
            </w:r>
            <w:r>
              <w:rPr>
                <w:rFonts w:hAnsi="宋体"/>
                <w:sz w:val="24"/>
                <w:szCs w:val="24"/>
              </w:rPr>
              <w:t>如发现部分</w:t>
            </w:r>
            <w:r>
              <w:rPr>
                <w:rFonts w:hint="eastAsia" w:hAnsi="宋体"/>
                <w:sz w:val="24"/>
                <w:szCs w:val="24"/>
                <w:lang w:eastAsia="zh-CN"/>
              </w:rPr>
              <w:t>疏浚</w:t>
            </w:r>
            <w:r>
              <w:rPr>
                <w:rFonts w:hAnsi="宋体"/>
                <w:sz w:val="24"/>
                <w:szCs w:val="24"/>
              </w:rPr>
              <w:t>点有明显臭气产生时，采取两岸设置围挡、加强对施工工人的保护、把受影响人群降至最少。</w:t>
            </w:r>
          </w:p>
          <w:p>
            <w:pPr>
              <w:pStyle w:val="5"/>
              <w:pageBreakBefore w:val="0"/>
              <w:numPr>
                <w:ilvl w:val="2"/>
                <w:numId w:val="0"/>
              </w:numPr>
              <w:kinsoku/>
              <w:wordWrap/>
              <w:overflowPunct/>
              <w:topLinePunct w:val="0"/>
              <w:bidi w:val="0"/>
              <w:adjustRightInd w:val="0"/>
              <w:snapToGrid w:val="0"/>
              <w:spacing w:before="0" w:after="0" w:line="360" w:lineRule="auto"/>
              <w:ind w:right="0" w:firstLine="482" w:firstLineChars="200"/>
              <w:textAlignment w:val="auto"/>
              <w:rPr>
                <w:rFonts w:hint="eastAsia"/>
                <w:color w:val="auto"/>
                <w:sz w:val="24"/>
                <w:szCs w:val="24"/>
              </w:rPr>
            </w:pPr>
            <w:bookmarkStart w:id="66" w:name="_Toc5538"/>
            <w:bookmarkStart w:id="67" w:name="_Toc5480"/>
            <w:r>
              <w:rPr>
                <w:rFonts w:hint="eastAsia"/>
                <w:color w:val="auto"/>
                <w:sz w:val="24"/>
                <w:szCs w:val="24"/>
                <w:lang w:val="en-US" w:eastAsia="zh-CN"/>
              </w:rPr>
              <w:t>（四）施工期</w:t>
            </w:r>
            <w:r>
              <w:rPr>
                <w:rFonts w:hint="default" w:ascii="宋体" w:eastAsia="宋体"/>
                <w:color w:val="auto"/>
                <w:sz w:val="24"/>
                <w:szCs w:val="24"/>
              </w:rPr>
              <w:t>声环境影响分析</w:t>
            </w:r>
            <w:bookmarkEnd w:id="66"/>
            <w:bookmarkEnd w:id="67"/>
          </w:p>
          <w:p>
            <w:pPr>
              <w:pStyle w:val="8"/>
              <w:pageBreakBefore w:val="0"/>
              <w:kinsoku/>
              <w:wordWrap/>
              <w:overflowPunct/>
              <w:topLinePunct w:val="0"/>
              <w:bidi w:val="0"/>
              <w:spacing w:before="0" w:after="0" w:line="360" w:lineRule="auto"/>
              <w:ind w:firstLine="480" w:firstLineChars="200"/>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1、噪声影响源</w:t>
            </w:r>
          </w:p>
          <w:p>
            <w:pPr>
              <w:pStyle w:val="8"/>
              <w:pageBreakBefore w:val="0"/>
              <w:kinsoku/>
              <w:wordWrap/>
              <w:overflowPunct/>
              <w:topLinePunct w:val="0"/>
              <w:bidi w:val="0"/>
              <w:spacing w:before="0" w:after="0"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本项目施工期噪声主要来自于施工机械噪声和运输车辆噪声，其影响范围主要为施工沿线的敏感点。</w:t>
            </w:r>
          </w:p>
          <w:p>
            <w:pPr>
              <w:pStyle w:val="8"/>
              <w:pageBreakBefore w:val="0"/>
              <w:kinsoku/>
              <w:wordWrap/>
              <w:overflowPunct/>
              <w:topLinePunct w:val="0"/>
              <w:bidi w:val="0"/>
              <w:spacing w:before="0" w:after="0"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⑴ 施工机械噪声</w:t>
            </w:r>
          </w:p>
          <w:p>
            <w:pPr>
              <w:pStyle w:val="8"/>
              <w:pageBreakBefore w:val="0"/>
              <w:kinsoku/>
              <w:wordWrap/>
              <w:overflowPunct/>
              <w:topLinePunct w:val="0"/>
              <w:bidi w:val="0"/>
              <w:spacing w:before="0" w:after="0"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施工机械噪声主要来自于施工现场使用的各类机械设备产生的噪声。这些施工机械包括</w:t>
            </w:r>
            <w:r>
              <w:rPr>
                <w:rFonts w:hint="eastAsia" w:ascii="Times New Roman" w:hAnsi="Times New Roman" w:eastAsia="宋体" w:cs="Times New Roman"/>
                <w:color w:val="000000"/>
                <w:sz w:val="24"/>
                <w:szCs w:val="24"/>
                <w:lang w:eastAsia="zh-CN"/>
              </w:rPr>
              <w:t>挖掘机</w:t>
            </w:r>
            <w:r>
              <w:rPr>
                <w:rFonts w:hint="default" w:ascii="Times New Roman" w:hAnsi="Times New Roman" w:eastAsia="宋体" w:cs="Times New Roman"/>
                <w:color w:val="000000"/>
                <w:sz w:val="24"/>
                <w:szCs w:val="24"/>
              </w:rPr>
              <w:t>、振捣棒、推土机等。在施工过程中，上述施工机械是最主要的施工噪声源。由于本项目具有施工点多、线长的特点，因而一般情况下施工机械分布比较分散，多数情况下只有1-2台施工设备在同一作业点同时使用。</w:t>
            </w:r>
          </w:p>
          <w:p>
            <w:pPr>
              <w:pStyle w:val="8"/>
              <w:pageBreakBefore w:val="0"/>
              <w:kinsoku/>
              <w:wordWrap/>
              <w:overflowPunct/>
              <w:topLinePunct w:val="0"/>
              <w:bidi w:val="0"/>
              <w:spacing w:before="0" w:after="0"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⑵ 运输车辆噪声</w:t>
            </w:r>
          </w:p>
          <w:p>
            <w:pPr>
              <w:pStyle w:val="8"/>
              <w:pageBreakBefore w:val="0"/>
              <w:kinsoku/>
              <w:wordWrap/>
              <w:overflowPunct/>
              <w:topLinePunct w:val="0"/>
              <w:bidi w:val="0"/>
              <w:spacing w:before="0" w:after="0" w:line="360" w:lineRule="auto"/>
              <w:ind w:firstLine="480" w:firstLineChars="200"/>
              <w:textAlignment w:val="auto"/>
              <w:rPr>
                <w:rFonts w:hint="default"/>
              </w:rPr>
            </w:pPr>
            <w:r>
              <w:rPr>
                <w:rFonts w:hint="default" w:ascii="Times New Roman" w:hAnsi="Times New Roman" w:eastAsia="宋体" w:cs="Times New Roman"/>
                <w:color w:val="000000"/>
                <w:sz w:val="24"/>
                <w:szCs w:val="24"/>
              </w:rPr>
              <w:t>在施工过程中，运输车辆在行驶过程中会产生交通噪声，特别是重型汽车运行中产生的噪声辐射强度较高。因各类运输车辆频繁行驶在施工工地和附近路上，其会对周围环境产生交通噪声影响。根据类比同类型工程监测资料，施工机械噪声值在79－95dB(A)之间，噪声最大值约为100dB(A)。常见施工机械设备和运输车辆噪声声源强度见表</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w:t>
            </w:r>
          </w:p>
          <w:p>
            <w:pPr>
              <w:spacing w:line="360" w:lineRule="auto"/>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表</w:t>
            </w:r>
            <w:r>
              <w:rPr>
                <w:rFonts w:hint="eastAsia" w:ascii="Times New Roman" w:hAnsi="Times New Roman" w:eastAsia="宋体" w:cs="Times New Roman"/>
                <w:b/>
                <w:color w:val="000000"/>
                <w:sz w:val="21"/>
                <w:szCs w:val="21"/>
                <w:lang w:val="en-US" w:eastAsia="zh-CN"/>
              </w:rPr>
              <w:t>4</w:t>
            </w:r>
            <w:r>
              <w:rPr>
                <w:rFonts w:hint="default" w:ascii="Times New Roman" w:hAnsi="Times New Roman" w:eastAsia="宋体" w:cs="Times New Roman"/>
                <w:b/>
                <w:color w:val="000000"/>
                <w:sz w:val="21"/>
                <w:szCs w:val="21"/>
              </w:rPr>
              <w:t>-</w:t>
            </w:r>
            <w:r>
              <w:rPr>
                <w:rFonts w:hint="eastAsia" w:ascii="Times New Roman" w:hAnsi="Times New Roman" w:eastAsia="宋体" w:cs="Times New Roman"/>
                <w:b/>
                <w:color w:val="000000"/>
                <w:sz w:val="21"/>
                <w:szCs w:val="21"/>
                <w:lang w:val="en-US" w:eastAsia="zh-CN"/>
              </w:rPr>
              <w:t>3</w:t>
            </w:r>
            <w:r>
              <w:rPr>
                <w:rFonts w:hint="default" w:ascii="Times New Roman" w:hAnsi="Times New Roman" w:eastAsia="宋体" w:cs="Times New Roman"/>
                <w:b/>
                <w:color w:val="000000"/>
                <w:sz w:val="21"/>
                <w:szCs w:val="21"/>
              </w:rPr>
              <w:t xml:space="preserve">  施工期主要噪声源声级值范围</w:t>
            </w:r>
          </w:p>
          <w:tbl>
            <w:tblPr>
              <w:tblStyle w:val="3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1"/>
              <w:gridCol w:w="1689"/>
              <w:gridCol w:w="1582"/>
              <w:gridCol w:w="941"/>
              <w:gridCol w:w="1692"/>
              <w:gridCol w:w="17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74" w:hRule="atLeast"/>
                <w:jc w:val="center"/>
              </w:trPr>
              <w:tc>
                <w:tcPr>
                  <w:tcW w:w="8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序号</w:t>
                  </w:r>
                </w:p>
              </w:tc>
              <w:tc>
                <w:tcPr>
                  <w:tcW w:w="168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设备名称</w:t>
                  </w:r>
                </w:p>
              </w:tc>
              <w:tc>
                <w:tcPr>
                  <w:tcW w:w="158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规格型号</w:t>
                  </w:r>
                </w:p>
              </w:tc>
              <w:tc>
                <w:tcPr>
                  <w:tcW w:w="941" w:type="dxa"/>
                  <w:tcBorders>
                    <w:top w:val="single" w:color="auto" w:sz="4" w:space="0"/>
                    <w:left w:val="single" w:color="auto" w:sz="4" w:space="0"/>
                    <w:bottom w:val="single" w:color="auto" w:sz="4" w:space="0"/>
                    <w:right w:val="single" w:color="auto" w:sz="4" w:space="0"/>
                  </w:tcBorders>
                  <w:noWrap w:val="0"/>
                  <w:vAlign w:val="center"/>
                </w:tcPr>
                <w:p>
                  <w:pPr>
                    <w:pStyle w:val="23"/>
                    <w:pBdr>
                      <w:bottom w:val="none" w:color="auto" w:sz="0" w:space="0"/>
                    </w:pBdr>
                    <w:tabs>
                      <w:tab w:val="clear" w:pos="4153"/>
                      <w:tab w:val="clear" w:pos="8306"/>
                    </w:tabs>
                    <w:snapToGrid/>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数量</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Style w:val="17"/>
                    <w:snapToGrid w:val="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测点距施工</w:t>
                  </w:r>
                </w:p>
                <w:p>
                  <w:pPr>
                    <w:pStyle w:val="17"/>
                    <w:snapToGrid w:val="0"/>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机械距离（m）</w:t>
                  </w:r>
                </w:p>
              </w:tc>
              <w:tc>
                <w:tcPr>
                  <w:tcW w:w="1726" w:type="dxa"/>
                  <w:tcBorders>
                    <w:top w:val="single" w:color="auto" w:sz="4" w:space="0"/>
                    <w:left w:val="single" w:color="auto" w:sz="4" w:space="0"/>
                    <w:bottom w:val="single" w:color="auto" w:sz="4" w:space="0"/>
                    <w:right w:val="single" w:color="auto" w:sz="4" w:space="0"/>
                  </w:tcBorders>
                  <w:noWrap w:val="0"/>
                  <w:vAlign w:val="center"/>
                </w:tcPr>
                <w:p>
                  <w:pPr>
                    <w:pStyle w:val="17"/>
                    <w:snapToGrid w:val="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最大声级</w:t>
                  </w:r>
                </w:p>
                <w:p>
                  <w:pPr>
                    <w:pStyle w:val="17"/>
                    <w:snapToGrid w:val="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L</w:t>
                  </w:r>
                  <w:r>
                    <w:rPr>
                      <w:rFonts w:hint="default" w:ascii="Times New Roman" w:hAnsi="Times New Roman" w:eastAsia="宋体" w:cs="Times New Roman"/>
                      <w:b/>
                      <w:color w:val="000000"/>
                      <w:sz w:val="21"/>
                      <w:szCs w:val="21"/>
                      <w:vertAlign w:val="subscript"/>
                    </w:rPr>
                    <w:t>Aleq</w:t>
                  </w:r>
                  <w:r>
                    <w:rPr>
                      <w:rFonts w:hint="default" w:ascii="Times New Roman" w:hAnsi="Times New Roman" w:eastAsia="宋体" w:cs="Times New Roman"/>
                      <w:b/>
                      <w:color w:val="000000"/>
                      <w:sz w:val="21"/>
                      <w:szCs w:val="21"/>
                      <w:vertAlign w:val="subscript"/>
                    </w:rPr>
                    <w:softHyphen/>
                  </w:r>
                  <w:r>
                    <w:rPr>
                      <w:rFonts w:hint="default" w:ascii="Times New Roman" w:hAnsi="Times New Roman" w:eastAsia="宋体" w:cs="Times New Roman"/>
                      <w:b/>
                      <w:color w:val="000000"/>
                      <w:sz w:val="21"/>
                      <w:szCs w:val="21"/>
                    </w:rPr>
                    <w:t>（dB(A)）</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 w:hRule="atLeast"/>
                <w:jc w:val="center"/>
              </w:trPr>
              <w:tc>
                <w:tcPr>
                  <w:tcW w:w="8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68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挖掘机</w:t>
                  </w:r>
                </w:p>
              </w:tc>
              <w:tc>
                <w:tcPr>
                  <w:tcW w:w="158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3</w:t>
                  </w:r>
                </w:p>
              </w:tc>
              <w:tc>
                <w:tcPr>
                  <w:tcW w:w="9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rPr>
                    <w:t>台</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w:t>
                  </w:r>
                </w:p>
              </w:tc>
              <w:tc>
                <w:tcPr>
                  <w:tcW w:w="172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78~96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2" w:hRule="atLeast"/>
                <w:jc w:val="center"/>
              </w:trPr>
              <w:tc>
                <w:tcPr>
                  <w:tcW w:w="8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168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推土机</w:t>
                  </w:r>
                </w:p>
              </w:tc>
              <w:tc>
                <w:tcPr>
                  <w:tcW w:w="158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103KW</w:t>
                  </w:r>
                </w:p>
              </w:tc>
              <w:tc>
                <w:tcPr>
                  <w:tcW w:w="9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rPr>
                    <w:t>台</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w:t>
                  </w:r>
                </w:p>
              </w:tc>
              <w:tc>
                <w:tcPr>
                  <w:tcW w:w="172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86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2" w:hRule="atLeast"/>
                <w:jc w:val="center"/>
              </w:trPr>
              <w:tc>
                <w:tcPr>
                  <w:tcW w:w="8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168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eastAsia" w:ascii="宋体" w:hAnsi="宋体" w:cs="宋体"/>
                      <w:color w:val="auto"/>
                      <w:kern w:val="0"/>
                      <w:sz w:val="21"/>
                      <w:szCs w:val="21"/>
                      <w:highlight w:val="none"/>
                    </w:rPr>
                    <w:t>蛙式夯实机</w:t>
                  </w:r>
                </w:p>
              </w:tc>
              <w:tc>
                <w:tcPr>
                  <w:tcW w:w="158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2.8kW</w:t>
                  </w:r>
                </w:p>
              </w:tc>
              <w:tc>
                <w:tcPr>
                  <w:tcW w:w="9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eastAsia" w:cs="Times New Roman"/>
                      <w:color w:val="000000"/>
                      <w:sz w:val="21"/>
                      <w:szCs w:val="21"/>
                      <w:lang w:val="en-US" w:eastAsia="zh-CN"/>
                    </w:rPr>
                    <w:t>3</w:t>
                  </w:r>
                  <w:r>
                    <w:rPr>
                      <w:rFonts w:hint="default" w:ascii="Times New Roman" w:hAnsi="Times New Roman" w:eastAsia="宋体" w:cs="Times New Roman"/>
                      <w:color w:val="000000"/>
                      <w:sz w:val="21"/>
                      <w:szCs w:val="21"/>
                    </w:rPr>
                    <w:t>台</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w:t>
                  </w:r>
                </w:p>
              </w:tc>
              <w:tc>
                <w:tcPr>
                  <w:tcW w:w="172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8" w:hRule="atLeast"/>
                <w:jc w:val="center"/>
              </w:trPr>
              <w:tc>
                <w:tcPr>
                  <w:tcW w:w="8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w:t>
                  </w:r>
                </w:p>
              </w:tc>
              <w:tc>
                <w:tcPr>
                  <w:tcW w:w="168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自卸汽车</w:t>
                  </w:r>
                </w:p>
              </w:tc>
              <w:tc>
                <w:tcPr>
                  <w:tcW w:w="158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10t</w:t>
                  </w:r>
                </w:p>
              </w:tc>
              <w:tc>
                <w:tcPr>
                  <w:tcW w:w="9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eastAsia" w:cs="Times New Roman"/>
                      <w:color w:val="000000"/>
                      <w:sz w:val="21"/>
                      <w:szCs w:val="21"/>
                      <w:lang w:val="en-US" w:eastAsia="zh-CN"/>
                    </w:rPr>
                    <w:t>3</w:t>
                  </w:r>
                  <w:r>
                    <w:rPr>
                      <w:rFonts w:hint="default" w:ascii="Times New Roman" w:hAnsi="Times New Roman" w:eastAsia="宋体" w:cs="Times New Roman"/>
                      <w:color w:val="000000"/>
                      <w:sz w:val="21"/>
                      <w:szCs w:val="21"/>
                    </w:rPr>
                    <w:t>辆</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w:t>
                  </w:r>
                </w:p>
              </w:tc>
              <w:tc>
                <w:tcPr>
                  <w:tcW w:w="172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90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 w:hRule="atLeast"/>
                <w:jc w:val="center"/>
              </w:trPr>
              <w:tc>
                <w:tcPr>
                  <w:tcW w:w="8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w:t>
                  </w:r>
                </w:p>
              </w:tc>
              <w:tc>
                <w:tcPr>
                  <w:tcW w:w="168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载重汽车</w:t>
                  </w:r>
                </w:p>
              </w:tc>
              <w:tc>
                <w:tcPr>
                  <w:tcW w:w="158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5t</w:t>
                  </w:r>
                </w:p>
              </w:tc>
              <w:tc>
                <w:tcPr>
                  <w:tcW w:w="9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eastAsia" w:cs="Times New Roman"/>
                      <w:color w:val="000000"/>
                      <w:sz w:val="21"/>
                      <w:szCs w:val="21"/>
                      <w:lang w:val="en-US" w:eastAsia="zh-CN"/>
                    </w:rPr>
                    <w:t>3</w:t>
                  </w:r>
                  <w:r>
                    <w:rPr>
                      <w:rFonts w:hint="default" w:ascii="Times New Roman" w:hAnsi="Times New Roman" w:eastAsia="宋体" w:cs="Times New Roman"/>
                      <w:color w:val="000000"/>
                      <w:sz w:val="21"/>
                      <w:szCs w:val="21"/>
                    </w:rPr>
                    <w:t>辆</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w:t>
                  </w:r>
                </w:p>
              </w:tc>
              <w:tc>
                <w:tcPr>
                  <w:tcW w:w="172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90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8" w:hRule="atLeast"/>
                <w:jc w:val="center"/>
              </w:trPr>
              <w:tc>
                <w:tcPr>
                  <w:tcW w:w="8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w:t>
                  </w:r>
                </w:p>
              </w:tc>
              <w:tc>
                <w:tcPr>
                  <w:tcW w:w="168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胶轮车</w:t>
                  </w:r>
                </w:p>
              </w:tc>
              <w:tc>
                <w:tcPr>
                  <w:tcW w:w="158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p>
              </w:tc>
              <w:tc>
                <w:tcPr>
                  <w:tcW w:w="9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eastAsia" w:cs="Times New Roman"/>
                      <w:color w:val="000000"/>
                      <w:sz w:val="21"/>
                      <w:szCs w:val="21"/>
                      <w:lang w:val="en-US" w:eastAsia="zh-CN"/>
                    </w:rPr>
                    <w:t>4</w:t>
                  </w:r>
                  <w:r>
                    <w:rPr>
                      <w:rFonts w:hint="default" w:ascii="Times New Roman" w:hAnsi="Times New Roman" w:eastAsia="宋体" w:cs="Times New Roman"/>
                      <w:color w:val="000000"/>
                      <w:sz w:val="21"/>
                      <w:szCs w:val="21"/>
                    </w:rPr>
                    <w:t>辆</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w:t>
                  </w:r>
                </w:p>
              </w:tc>
              <w:tc>
                <w:tcPr>
                  <w:tcW w:w="172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90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8" w:hRule="atLeast"/>
                <w:jc w:val="center"/>
              </w:trPr>
              <w:tc>
                <w:tcPr>
                  <w:tcW w:w="8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7</w:t>
                  </w:r>
                </w:p>
              </w:tc>
              <w:tc>
                <w:tcPr>
                  <w:tcW w:w="168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卷扬机</w:t>
                  </w:r>
                </w:p>
              </w:tc>
              <w:tc>
                <w:tcPr>
                  <w:tcW w:w="158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3</w:t>
                  </w:r>
                  <w:r>
                    <w:rPr>
                      <w:rFonts w:hint="default" w:ascii="Times New Roman" w:hAnsi="Times New Roman" w:eastAsia="宋体" w:cs="Times New Roman"/>
                      <w:color w:val="000000"/>
                      <w:sz w:val="21"/>
                      <w:szCs w:val="21"/>
                    </w:rPr>
                    <w:t>t</w:t>
                  </w:r>
                </w:p>
              </w:tc>
              <w:tc>
                <w:tcPr>
                  <w:tcW w:w="9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rPr>
                    <w:t>台</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w:t>
                  </w:r>
                </w:p>
              </w:tc>
              <w:tc>
                <w:tcPr>
                  <w:tcW w:w="172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90~100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 w:hRule="atLeast"/>
                <w:jc w:val="center"/>
              </w:trPr>
              <w:tc>
                <w:tcPr>
                  <w:tcW w:w="8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8</w:t>
                  </w:r>
                </w:p>
              </w:tc>
              <w:tc>
                <w:tcPr>
                  <w:tcW w:w="168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振捣器</w:t>
                  </w:r>
                </w:p>
              </w:tc>
              <w:tc>
                <w:tcPr>
                  <w:tcW w:w="158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1.1-</w:t>
                  </w:r>
                  <w:r>
                    <w:rPr>
                      <w:rFonts w:hint="default" w:ascii="Times New Roman" w:hAnsi="Times New Roman" w:eastAsia="宋体" w:cs="Times New Roman"/>
                      <w:color w:val="000000"/>
                      <w:sz w:val="21"/>
                      <w:szCs w:val="21"/>
                    </w:rPr>
                    <w:t>2.2kW</w:t>
                  </w:r>
                </w:p>
              </w:tc>
              <w:tc>
                <w:tcPr>
                  <w:tcW w:w="9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6</w:t>
                  </w:r>
                  <w:r>
                    <w:rPr>
                      <w:rFonts w:hint="default" w:ascii="Times New Roman" w:hAnsi="Times New Roman" w:eastAsia="宋体" w:cs="Times New Roman"/>
                      <w:color w:val="000000"/>
                      <w:sz w:val="21"/>
                      <w:szCs w:val="21"/>
                    </w:rPr>
                    <w:t>台</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Style w:val="17"/>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w:t>
                  </w:r>
                </w:p>
              </w:tc>
              <w:tc>
                <w:tcPr>
                  <w:tcW w:w="1726" w:type="dxa"/>
                  <w:tcBorders>
                    <w:top w:val="single" w:color="auto" w:sz="4" w:space="0"/>
                    <w:left w:val="single" w:color="auto" w:sz="4" w:space="0"/>
                    <w:bottom w:val="single" w:color="auto" w:sz="4" w:space="0"/>
                    <w:right w:val="single" w:color="auto" w:sz="4" w:space="0"/>
                  </w:tcBorders>
                  <w:noWrap w:val="0"/>
                  <w:vAlign w:val="center"/>
                </w:tcPr>
                <w:p>
                  <w:pPr>
                    <w:pStyle w:val="17"/>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87</w:t>
                  </w:r>
                </w:p>
              </w:tc>
            </w:tr>
          </w:tbl>
          <w:p>
            <w:pPr>
              <w:spacing w:line="360" w:lineRule="auto"/>
              <w:ind w:firstLine="480" w:firstLineChars="200"/>
              <w:rPr>
                <w:rFonts w:hint="default" w:ascii="Times New Roman" w:hAnsi="Times New Roman" w:eastAsia="宋体" w:cs="Times New Roman"/>
                <w:color w:val="000000"/>
                <w:kern w:val="28"/>
                <w:sz w:val="24"/>
                <w:szCs w:val="24"/>
              </w:rPr>
            </w:pPr>
            <w:r>
              <w:rPr>
                <w:rFonts w:hint="default" w:ascii="Times New Roman" w:hAnsi="Times New Roman" w:eastAsia="宋体" w:cs="Times New Roman"/>
                <w:color w:val="000000"/>
                <w:kern w:val="28"/>
                <w:sz w:val="24"/>
                <w:szCs w:val="24"/>
              </w:rPr>
              <w:t>由上表可知，施工阶段施工机械和运输车辆的噪声源强均较高，且在多台机械设备同时作业时，各台设备产生的噪声会产生叠加，其叠加后的噪声增值约为3～8dB</w:t>
            </w:r>
            <w:r>
              <w:rPr>
                <w:rFonts w:hint="default" w:ascii="Times New Roman" w:hAnsi="Times New Roman" w:eastAsia="宋体" w:cs="Times New Roman"/>
                <w:color w:val="000000"/>
                <w:sz w:val="24"/>
                <w:szCs w:val="24"/>
              </w:rPr>
              <w:t>(A)</w:t>
            </w:r>
            <w:r>
              <w:rPr>
                <w:rFonts w:hint="default" w:ascii="Times New Roman" w:hAnsi="Times New Roman" w:eastAsia="宋体" w:cs="Times New Roman"/>
                <w:color w:val="000000"/>
                <w:kern w:val="28"/>
                <w:sz w:val="24"/>
                <w:szCs w:val="24"/>
              </w:rPr>
              <w:t>。另外，工程中使用的施工机械大部分为移动声源，噪声源具有一定的移动性，非连续性，其中运输车辆移动范围较大，而推土机、挖掘机等移动区域较小，移动范围较小，其特点与流动车辆声源有一定不同。所以，影响有明显的时限性。</w:t>
            </w:r>
          </w:p>
          <w:p>
            <w:pPr>
              <w:pStyle w:val="124"/>
              <w:spacing w:before="0" w:line="360" w:lineRule="auto"/>
              <w:ind w:firstLine="480"/>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 xml:space="preserve"> </w:t>
            </w:r>
            <w:r>
              <w:rPr>
                <w:rFonts w:hint="default" w:ascii="Times New Roman" w:hAnsi="Times New Roman" w:eastAsia="宋体" w:cs="Times New Roman"/>
                <w:color w:val="000000"/>
                <w:kern w:val="0"/>
                <w:sz w:val="24"/>
                <w:szCs w:val="24"/>
              </w:rPr>
              <w:t>施工噪声</w:t>
            </w:r>
            <w:r>
              <w:rPr>
                <w:rFonts w:hint="eastAsia" w:ascii="Times New Roman" w:hAnsi="Times New Roman" w:eastAsia="宋体" w:cs="Times New Roman"/>
                <w:color w:val="000000"/>
                <w:kern w:val="0"/>
                <w:sz w:val="24"/>
                <w:szCs w:val="24"/>
                <w:lang w:eastAsia="zh-CN"/>
              </w:rPr>
              <w:t>影响分析</w:t>
            </w:r>
          </w:p>
          <w:p>
            <w:pPr>
              <w:pStyle w:val="124"/>
              <w:spacing w:before="0" w:line="360" w:lineRule="auto"/>
              <w:ind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rPr>
              <w:t>本项目建设期不同施工阶段的机械设备噪声对环境的影响参照</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eastAsia="zh-CN"/>
              </w:rPr>
              <w:t>建设施工场界环境噪声排放标准</w:t>
            </w:r>
            <w:r>
              <w:rPr>
                <w:rFonts w:hint="default" w:ascii="Times New Roman" w:hAnsi="Times New Roman" w:eastAsia="宋体" w:cs="Times New Roman"/>
                <w:color w:val="000000"/>
                <w:sz w:val="24"/>
                <w:szCs w:val="24"/>
              </w:rPr>
              <w:t>》(GB12523-2011)标准执行。本次环评将施工机械噪声作为点声源处理，在不考虑其它因素情况下，施工机械噪声预测模式如下：</w:t>
            </w:r>
          </w:p>
          <w:p>
            <w:pPr>
              <w:pStyle w:val="18"/>
              <w:numPr>
                <w:ilvl w:val="0"/>
                <w:numId w:val="0"/>
              </w:numPr>
              <w:ind w:left="2860" w:leftChars="0" w:right="0" w:rightChars="0"/>
            </w:pPr>
            <w:r>
              <w:drawing>
                <wp:inline distT="0" distB="0" distL="114300" distR="114300">
                  <wp:extent cx="1510030" cy="462915"/>
                  <wp:effectExtent l="0" t="0" r="13970" b="13335"/>
                  <wp:docPr id="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
                          <pic:cNvPicPr>
                            <a:picLocks noChangeAspect="1"/>
                          </pic:cNvPicPr>
                        </pic:nvPicPr>
                        <pic:blipFill>
                          <a:blip r:embed="rId32"/>
                          <a:stretch>
                            <a:fillRect/>
                          </a:stretch>
                        </pic:blipFill>
                        <pic:spPr>
                          <a:xfrm>
                            <a:off x="0" y="0"/>
                            <a:ext cx="1510030" cy="462915"/>
                          </a:xfrm>
                          <a:prstGeom prst="rect">
                            <a:avLst/>
                          </a:prstGeom>
                          <a:noFill/>
                          <a:ln>
                            <a:noFill/>
                          </a:ln>
                        </pic:spPr>
                      </pic:pic>
                    </a:graphicData>
                  </a:graphic>
                </wp:inline>
              </w:drawing>
            </w:r>
          </w:p>
          <w:p>
            <w:pPr>
              <w:pStyle w:val="124"/>
              <w:spacing w:before="0" w:line="360" w:lineRule="auto"/>
              <w:ind w:firstLine="480"/>
              <w:jc w:val="left"/>
              <w:rPr>
                <w:rFonts w:hint="default"/>
                <w:spacing w:val="0"/>
                <w:vertAlign w:val="baseline"/>
              </w:rPr>
            </w:pPr>
            <w:r>
              <w:rPr>
                <w:spacing w:val="0"/>
                <w:position w:val="2"/>
              </w:rPr>
              <w:t>式中：</w:t>
            </w:r>
            <w:r>
              <w:rPr>
                <w:rFonts w:ascii="Times New Roman" w:hAnsi="Times New Roman" w:eastAsia="Times New Roman"/>
                <w:spacing w:val="0"/>
                <w:position w:val="2"/>
              </w:rPr>
              <w:t>L</w:t>
            </w:r>
            <w:r>
              <w:rPr>
                <w:rFonts w:ascii="Times New Roman" w:hAnsi="Times New Roman" w:eastAsia="Times New Roman"/>
                <w:spacing w:val="0"/>
                <w:position w:val="2"/>
                <w:vertAlign w:val="subscript"/>
              </w:rPr>
              <w:t>i</w:t>
            </w:r>
            <w:r>
              <w:rPr>
                <w:rFonts w:ascii="Times New Roman" w:hAnsi="Times New Roman" w:eastAsia="Times New Roman"/>
                <w:spacing w:val="0"/>
                <w:position w:val="2"/>
                <w:vertAlign w:val="baseline"/>
              </w:rPr>
              <w:t xml:space="preserve"> </w:t>
            </w:r>
            <w:r>
              <w:rPr>
                <w:spacing w:val="0"/>
                <w:position w:val="2"/>
                <w:vertAlign w:val="baseline"/>
              </w:rPr>
              <w:t xml:space="preserve">和 </w:t>
            </w:r>
            <w:r>
              <w:rPr>
                <w:rFonts w:ascii="Times New Roman" w:hAnsi="Times New Roman" w:eastAsia="Times New Roman"/>
                <w:spacing w:val="0"/>
                <w:position w:val="2"/>
                <w:vertAlign w:val="baseline"/>
              </w:rPr>
              <w:t>L</w:t>
            </w:r>
            <w:r>
              <w:rPr>
                <w:rFonts w:ascii="Times New Roman" w:hAnsi="Times New Roman" w:eastAsia="Times New Roman"/>
                <w:spacing w:val="0"/>
                <w:position w:val="2"/>
                <w:vertAlign w:val="subscript"/>
              </w:rPr>
              <w:t>0</w:t>
            </w:r>
            <w:r>
              <w:rPr>
                <w:rFonts w:ascii="Times New Roman" w:hAnsi="Times New Roman" w:eastAsia="Times New Roman"/>
                <w:spacing w:val="0"/>
                <w:position w:val="2"/>
                <w:vertAlign w:val="baseline"/>
              </w:rPr>
              <w:t xml:space="preserve"> </w:t>
            </w:r>
            <w:r>
              <w:rPr>
                <w:spacing w:val="0"/>
                <w:position w:val="2"/>
                <w:vertAlign w:val="baseline"/>
              </w:rPr>
              <w:t xml:space="preserve">分别为距离设备 </w:t>
            </w:r>
            <w:r>
              <w:rPr>
                <w:rFonts w:ascii="Times New Roman" w:hAnsi="Times New Roman" w:eastAsia="Times New Roman"/>
                <w:spacing w:val="0"/>
                <w:position w:val="2"/>
                <w:vertAlign w:val="baseline"/>
              </w:rPr>
              <w:t>R</w:t>
            </w:r>
            <w:r>
              <w:rPr>
                <w:rFonts w:ascii="Times New Roman" w:hAnsi="Times New Roman" w:eastAsia="Times New Roman"/>
                <w:spacing w:val="0"/>
                <w:position w:val="2"/>
                <w:vertAlign w:val="subscript"/>
              </w:rPr>
              <w:t>i</w:t>
            </w:r>
            <w:r>
              <w:rPr>
                <w:rFonts w:ascii="Times New Roman" w:hAnsi="Times New Roman" w:eastAsia="Times New Roman"/>
                <w:spacing w:val="0"/>
                <w:position w:val="2"/>
                <w:vertAlign w:val="baseline"/>
              </w:rPr>
              <w:t xml:space="preserve"> </w:t>
            </w:r>
            <w:r>
              <w:rPr>
                <w:spacing w:val="0"/>
                <w:position w:val="2"/>
                <w:vertAlign w:val="baseline"/>
              </w:rPr>
              <w:t xml:space="preserve">和 </w:t>
            </w:r>
            <w:r>
              <w:rPr>
                <w:rFonts w:ascii="Times New Roman" w:hAnsi="Times New Roman" w:eastAsia="Times New Roman"/>
                <w:spacing w:val="0"/>
                <w:position w:val="2"/>
                <w:vertAlign w:val="baseline"/>
              </w:rPr>
              <w:t>R</w:t>
            </w:r>
            <w:r>
              <w:rPr>
                <w:rFonts w:ascii="Times New Roman" w:hAnsi="Times New Roman" w:eastAsia="Times New Roman"/>
                <w:spacing w:val="0"/>
                <w:position w:val="2"/>
                <w:vertAlign w:val="subscript"/>
              </w:rPr>
              <w:t>0</w:t>
            </w:r>
            <w:r>
              <w:rPr>
                <w:rFonts w:ascii="Times New Roman" w:hAnsi="Times New Roman" w:eastAsia="Times New Roman"/>
                <w:spacing w:val="0"/>
                <w:position w:val="2"/>
                <w:vertAlign w:val="baseline"/>
              </w:rPr>
              <w:t xml:space="preserve"> </w:t>
            </w:r>
            <w:r>
              <w:rPr>
                <w:spacing w:val="0"/>
                <w:position w:val="2"/>
                <w:vertAlign w:val="baseline"/>
              </w:rPr>
              <w:t>处的设备噪声级；</w:t>
            </w:r>
            <w:r>
              <w:rPr>
                <w:rFonts w:ascii="Times New Roman" w:hAnsi="Times New Roman" w:eastAsia="Times New Roman"/>
                <w:spacing w:val="0"/>
                <w:position w:val="2"/>
                <w:vertAlign w:val="baseline"/>
              </w:rPr>
              <w:t xml:space="preserve">ΔL </w:t>
            </w:r>
            <w:r>
              <w:rPr>
                <w:spacing w:val="0"/>
                <w:position w:val="2"/>
                <w:vertAlign w:val="baseline"/>
              </w:rPr>
              <w:t>为障碍物、植被、空</w:t>
            </w:r>
            <w:r>
              <w:rPr>
                <w:spacing w:val="0"/>
                <w:vertAlign w:val="baseline"/>
              </w:rPr>
              <w:t>气等产生的附加衰减量。</w:t>
            </w:r>
          </w:p>
          <w:p>
            <w:pPr>
              <w:pStyle w:val="124"/>
              <w:spacing w:before="0" w:line="360" w:lineRule="auto"/>
              <w:ind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本评价采用反推法，</w:t>
            </w:r>
            <w:r>
              <w:rPr>
                <w:rFonts w:hint="default" w:ascii="Times New Roman" w:hAnsi="Times New Roman" w:eastAsia="宋体" w:cs="Times New Roman"/>
                <w:color w:val="000000"/>
                <w:kern w:val="0"/>
                <w:sz w:val="24"/>
                <w:szCs w:val="24"/>
              </w:rPr>
              <w:t>根据</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eastAsia="zh-CN"/>
              </w:rPr>
              <w:t>建设施工场界环境噪声排放标准</w:t>
            </w:r>
            <w:r>
              <w:rPr>
                <w:rFonts w:hint="default" w:ascii="Times New Roman" w:hAnsi="Times New Roman" w:eastAsia="宋体" w:cs="Times New Roman"/>
                <w:color w:val="000000"/>
                <w:sz w:val="24"/>
                <w:szCs w:val="24"/>
              </w:rPr>
              <w:t>》(GB12523-2011)，以各施工机械的声功率级为基础，依据噪声预测公式，通过计算得出常用施工机械噪声源强及距离衰减见表</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所示。</w:t>
            </w:r>
          </w:p>
          <w:p>
            <w:pPr>
              <w:adjustRightInd w:val="0"/>
              <w:snapToGrid w:val="0"/>
              <w:spacing w:before="156" w:beforeLines="50" w:line="360" w:lineRule="auto"/>
              <w:ind w:firstLine="422" w:firstLineChars="20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表</w:t>
            </w:r>
            <w:r>
              <w:rPr>
                <w:rFonts w:hint="eastAsia" w:ascii="Times New Roman" w:hAnsi="Times New Roman" w:eastAsia="宋体" w:cs="Times New Roman"/>
                <w:b/>
                <w:color w:val="000000"/>
                <w:sz w:val="21"/>
                <w:szCs w:val="21"/>
                <w:lang w:val="en-US" w:eastAsia="zh-CN"/>
              </w:rPr>
              <w:t>4-4</w:t>
            </w:r>
            <w:r>
              <w:rPr>
                <w:rFonts w:hint="default" w:ascii="Times New Roman" w:hAnsi="Times New Roman" w:eastAsia="宋体" w:cs="Times New Roman"/>
                <w:b/>
                <w:color w:val="000000"/>
                <w:sz w:val="21"/>
                <w:szCs w:val="21"/>
              </w:rPr>
              <w:t xml:space="preserve">    工程施工机械噪声距离衰减表</w:t>
            </w:r>
          </w:p>
          <w:tbl>
            <w:tblPr>
              <w:tblStyle w:val="30"/>
              <w:tblW w:w="77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29"/>
              <w:gridCol w:w="457"/>
              <w:gridCol w:w="457"/>
              <w:gridCol w:w="457"/>
              <w:gridCol w:w="456"/>
              <w:gridCol w:w="456"/>
              <w:gridCol w:w="584"/>
              <w:gridCol w:w="584"/>
              <w:gridCol w:w="584"/>
              <w:gridCol w:w="584"/>
              <w:gridCol w:w="584"/>
              <w:gridCol w:w="584"/>
              <w:gridCol w:w="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tblHeader/>
                <w:jc w:val="center"/>
              </w:trPr>
              <w:tc>
                <w:tcPr>
                  <w:tcW w:w="1329" w:type="dxa"/>
                  <w:vMerge w:val="restart"/>
                  <w:noWrap w:val="0"/>
                  <w:vAlign w:val="center"/>
                </w:tcPr>
                <w:p>
                  <w:pPr>
                    <w:widowControl/>
                    <w:adjustRightInd w:val="0"/>
                    <w:snapToGrid w:val="0"/>
                    <w:jc w:val="center"/>
                    <w:rPr>
                      <w:rFonts w:hint="default" w:ascii="Times New Roman" w:hAnsi="Times New Roman" w:eastAsia="宋体" w:cs="Times New Roman"/>
                      <w:b/>
                      <w:color w:val="000000"/>
                      <w:kern w:val="0"/>
                      <w:sz w:val="21"/>
                      <w:szCs w:val="21"/>
                    </w:rPr>
                  </w:pPr>
                  <w:r>
                    <w:rPr>
                      <w:rFonts w:hint="default" w:ascii="Times New Roman" w:hAnsi="Times New Roman" w:eastAsia="宋体" w:cs="Times New Roman"/>
                      <w:b/>
                      <w:color w:val="000000"/>
                      <w:kern w:val="0"/>
                      <w:sz w:val="21"/>
                      <w:szCs w:val="21"/>
                    </w:rPr>
                    <w:t>机械类型</w:t>
                  </w:r>
                </w:p>
              </w:tc>
              <w:tc>
                <w:tcPr>
                  <w:tcW w:w="6378" w:type="dxa"/>
                  <w:gridSpan w:val="12"/>
                  <w:noWrap w:val="0"/>
                  <w:vAlign w:val="center"/>
                </w:tcPr>
                <w:p>
                  <w:pPr>
                    <w:widowControl/>
                    <w:adjustRightInd w:val="0"/>
                    <w:snapToGrid w:val="0"/>
                    <w:jc w:val="center"/>
                    <w:rPr>
                      <w:rFonts w:hint="default" w:ascii="Times New Roman" w:hAnsi="Times New Roman" w:eastAsia="宋体" w:cs="Times New Roman"/>
                      <w:b/>
                      <w:color w:val="000000"/>
                      <w:kern w:val="0"/>
                      <w:sz w:val="21"/>
                      <w:szCs w:val="21"/>
                    </w:rPr>
                  </w:pPr>
                  <w:r>
                    <w:rPr>
                      <w:rFonts w:hint="default" w:ascii="Times New Roman" w:hAnsi="Times New Roman" w:eastAsia="宋体" w:cs="Times New Roman"/>
                      <w:b/>
                      <w:color w:val="000000"/>
                      <w:kern w:val="0"/>
                      <w:sz w:val="21"/>
                      <w:szCs w:val="21"/>
                    </w:rPr>
                    <w:t>噪声值Leq（dB）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tblHeader/>
                <w:jc w:val="center"/>
              </w:trPr>
              <w:tc>
                <w:tcPr>
                  <w:tcW w:w="1329" w:type="dxa"/>
                  <w:vMerge w:val="continue"/>
                  <w:noWrap w:val="0"/>
                  <w:vAlign w:val="center"/>
                </w:tcPr>
                <w:p>
                  <w:pPr>
                    <w:widowControl/>
                    <w:snapToGrid w:val="0"/>
                    <w:jc w:val="left"/>
                    <w:rPr>
                      <w:rFonts w:hint="default" w:ascii="Times New Roman" w:hAnsi="Times New Roman" w:eastAsia="宋体" w:cs="Times New Roman"/>
                      <w:b/>
                      <w:color w:val="000000"/>
                      <w:kern w:val="0"/>
                      <w:sz w:val="21"/>
                      <w:szCs w:val="21"/>
                    </w:rPr>
                  </w:pPr>
                </w:p>
              </w:tc>
              <w:tc>
                <w:tcPr>
                  <w:tcW w:w="457"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10m</w:t>
                  </w:r>
                </w:p>
              </w:tc>
              <w:tc>
                <w:tcPr>
                  <w:tcW w:w="457"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20m</w:t>
                  </w:r>
                </w:p>
              </w:tc>
              <w:tc>
                <w:tcPr>
                  <w:tcW w:w="457"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30m</w:t>
                  </w:r>
                </w:p>
              </w:tc>
              <w:tc>
                <w:tcPr>
                  <w:tcW w:w="456"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60m</w:t>
                  </w:r>
                </w:p>
              </w:tc>
              <w:tc>
                <w:tcPr>
                  <w:tcW w:w="456"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90m</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120m</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150m</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180m</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210m</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240m</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270m</w:t>
                  </w:r>
                </w:p>
              </w:tc>
              <w:tc>
                <w:tcPr>
                  <w:tcW w:w="591"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 w:hRule="atLeast"/>
                <w:tblHeader/>
                <w:jc w:val="center"/>
              </w:trPr>
              <w:tc>
                <w:tcPr>
                  <w:tcW w:w="1329"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挖掘机</w:t>
                  </w:r>
                </w:p>
              </w:tc>
              <w:tc>
                <w:tcPr>
                  <w:tcW w:w="457"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70</w:t>
                  </w:r>
                </w:p>
              </w:tc>
              <w:tc>
                <w:tcPr>
                  <w:tcW w:w="457"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64</w:t>
                  </w:r>
                </w:p>
              </w:tc>
              <w:tc>
                <w:tcPr>
                  <w:tcW w:w="457"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60</w:t>
                  </w:r>
                </w:p>
              </w:tc>
              <w:tc>
                <w:tcPr>
                  <w:tcW w:w="456"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54</w:t>
                  </w:r>
                </w:p>
              </w:tc>
              <w:tc>
                <w:tcPr>
                  <w:tcW w:w="456"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50</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48</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46</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44</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43</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42</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40</w:t>
                  </w:r>
                </w:p>
              </w:tc>
              <w:tc>
                <w:tcPr>
                  <w:tcW w:w="591"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blHeader/>
                <w:jc w:val="center"/>
              </w:trPr>
              <w:tc>
                <w:tcPr>
                  <w:tcW w:w="1329"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推土机</w:t>
                  </w:r>
                </w:p>
              </w:tc>
              <w:tc>
                <w:tcPr>
                  <w:tcW w:w="457"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80</w:t>
                  </w:r>
                </w:p>
              </w:tc>
              <w:tc>
                <w:tcPr>
                  <w:tcW w:w="457"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74</w:t>
                  </w:r>
                </w:p>
              </w:tc>
              <w:tc>
                <w:tcPr>
                  <w:tcW w:w="457"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70</w:t>
                  </w:r>
                </w:p>
              </w:tc>
              <w:tc>
                <w:tcPr>
                  <w:tcW w:w="456"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64</w:t>
                  </w:r>
                </w:p>
              </w:tc>
              <w:tc>
                <w:tcPr>
                  <w:tcW w:w="456"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61</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57</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54</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52</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51</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50</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46</w:t>
                  </w:r>
                </w:p>
              </w:tc>
              <w:tc>
                <w:tcPr>
                  <w:tcW w:w="591"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blHeader/>
                <w:jc w:val="center"/>
              </w:trPr>
              <w:tc>
                <w:tcPr>
                  <w:tcW w:w="1329"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sz w:val="21"/>
                      <w:szCs w:val="21"/>
                    </w:rPr>
                    <w:t>振捣器</w:t>
                  </w:r>
                </w:p>
              </w:tc>
              <w:tc>
                <w:tcPr>
                  <w:tcW w:w="457"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81</w:t>
                  </w:r>
                </w:p>
              </w:tc>
              <w:tc>
                <w:tcPr>
                  <w:tcW w:w="457"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85</w:t>
                  </w:r>
                </w:p>
              </w:tc>
              <w:tc>
                <w:tcPr>
                  <w:tcW w:w="457"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71</w:t>
                  </w:r>
                </w:p>
              </w:tc>
              <w:tc>
                <w:tcPr>
                  <w:tcW w:w="456"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65</w:t>
                  </w:r>
                </w:p>
              </w:tc>
              <w:tc>
                <w:tcPr>
                  <w:tcW w:w="456"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62</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58</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55</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53</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52</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51</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50</w:t>
                  </w:r>
                </w:p>
              </w:tc>
              <w:tc>
                <w:tcPr>
                  <w:tcW w:w="591"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1329"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eastAsia" w:ascii="宋体" w:hAnsi="宋体" w:cs="宋体"/>
                      <w:color w:val="auto"/>
                      <w:kern w:val="0"/>
                      <w:sz w:val="21"/>
                      <w:szCs w:val="21"/>
                      <w:highlight w:val="none"/>
                    </w:rPr>
                    <w:t>蛙式夯实机</w:t>
                  </w:r>
                </w:p>
              </w:tc>
              <w:tc>
                <w:tcPr>
                  <w:tcW w:w="457"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79</w:t>
                  </w:r>
                </w:p>
              </w:tc>
              <w:tc>
                <w:tcPr>
                  <w:tcW w:w="457"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73</w:t>
                  </w:r>
                </w:p>
              </w:tc>
              <w:tc>
                <w:tcPr>
                  <w:tcW w:w="457"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69</w:t>
                  </w:r>
                </w:p>
              </w:tc>
              <w:tc>
                <w:tcPr>
                  <w:tcW w:w="456"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63</w:t>
                  </w:r>
                </w:p>
              </w:tc>
              <w:tc>
                <w:tcPr>
                  <w:tcW w:w="456"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60</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56</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53</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51</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50</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49</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48</w:t>
                  </w:r>
                </w:p>
              </w:tc>
              <w:tc>
                <w:tcPr>
                  <w:tcW w:w="591"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 w:hRule="atLeast"/>
                <w:jc w:val="center"/>
              </w:trPr>
              <w:tc>
                <w:tcPr>
                  <w:tcW w:w="1329"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sz w:val="21"/>
                      <w:szCs w:val="21"/>
                    </w:rPr>
                    <w:t>自卸</w:t>
                  </w:r>
                  <w:r>
                    <w:rPr>
                      <w:rFonts w:hint="eastAsia" w:ascii="Times New Roman" w:hAnsi="Times New Roman" w:eastAsia="宋体" w:cs="Times New Roman"/>
                      <w:color w:val="000000"/>
                      <w:sz w:val="21"/>
                      <w:szCs w:val="21"/>
                      <w:lang w:val="en-US" w:eastAsia="zh-CN"/>
                    </w:rPr>
                    <w:t>汽</w:t>
                  </w:r>
                  <w:r>
                    <w:rPr>
                      <w:rFonts w:hint="default" w:ascii="Times New Roman" w:hAnsi="Times New Roman" w:eastAsia="宋体" w:cs="Times New Roman"/>
                      <w:color w:val="000000"/>
                      <w:sz w:val="21"/>
                      <w:szCs w:val="21"/>
                    </w:rPr>
                    <w:t>车</w:t>
                  </w:r>
                </w:p>
              </w:tc>
              <w:tc>
                <w:tcPr>
                  <w:tcW w:w="457"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84</w:t>
                  </w:r>
                </w:p>
              </w:tc>
              <w:tc>
                <w:tcPr>
                  <w:tcW w:w="457"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78</w:t>
                  </w:r>
                </w:p>
              </w:tc>
              <w:tc>
                <w:tcPr>
                  <w:tcW w:w="457"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74</w:t>
                  </w:r>
                </w:p>
              </w:tc>
              <w:tc>
                <w:tcPr>
                  <w:tcW w:w="456"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66</w:t>
                  </w:r>
                </w:p>
              </w:tc>
              <w:tc>
                <w:tcPr>
                  <w:tcW w:w="456"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64</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60</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58</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56</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55</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54</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50</w:t>
                  </w:r>
                </w:p>
              </w:tc>
              <w:tc>
                <w:tcPr>
                  <w:tcW w:w="591"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1329"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载重汽车</w:t>
                  </w:r>
                </w:p>
              </w:tc>
              <w:tc>
                <w:tcPr>
                  <w:tcW w:w="457"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84</w:t>
                  </w:r>
                </w:p>
              </w:tc>
              <w:tc>
                <w:tcPr>
                  <w:tcW w:w="457"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78</w:t>
                  </w:r>
                </w:p>
              </w:tc>
              <w:tc>
                <w:tcPr>
                  <w:tcW w:w="457"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74</w:t>
                  </w:r>
                </w:p>
              </w:tc>
              <w:tc>
                <w:tcPr>
                  <w:tcW w:w="456"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66</w:t>
                  </w:r>
                </w:p>
              </w:tc>
              <w:tc>
                <w:tcPr>
                  <w:tcW w:w="456"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64</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60</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58</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56</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55</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54</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50</w:t>
                  </w:r>
                </w:p>
              </w:tc>
              <w:tc>
                <w:tcPr>
                  <w:tcW w:w="591"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1329"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胶轮斗车</w:t>
                  </w:r>
                </w:p>
              </w:tc>
              <w:tc>
                <w:tcPr>
                  <w:tcW w:w="457"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84</w:t>
                  </w:r>
                </w:p>
              </w:tc>
              <w:tc>
                <w:tcPr>
                  <w:tcW w:w="457"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78</w:t>
                  </w:r>
                </w:p>
              </w:tc>
              <w:tc>
                <w:tcPr>
                  <w:tcW w:w="457"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74</w:t>
                  </w:r>
                </w:p>
              </w:tc>
              <w:tc>
                <w:tcPr>
                  <w:tcW w:w="456"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66</w:t>
                  </w:r>
                </w:p>
              </w:tc>
              <w:tc>
                <w:tcPr>
                  <w:tcW w:w="456"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64</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60</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58</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56</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55</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54</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50</w:t>
                  </w:r>
                </w:p>
              </w:tc>
              <w:tc>
                <w:tcPr>
                  <w:tcW w:w="591"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1329" w:type="dxa"/>
                  <w:noWrap w:val="0"/>
                  <w:vAlign w:val="center"/>
                </w:tcPr>
                <w:p>
                  <w:pPr>
                    <w:spacing w:line="320" w:lineRule="exact"/>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卷扬机</w:t>
                  </w:r>
                </w:p>
              </w:tc>
              <w:tc>
                <w:tcPr>
                  <w:tcW w:w="457"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84</w:t>
                  </w:r>
                </w:p>
              </w:tc>
              <w:tc>
                <w:tcPr>
                  <w:tcW w:w="457"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78</w:t>
                  </w:r>
                </w:p>
              </w:tc>
              <w:tc>
                <w:tcPr>
                  <w:tcW w:w="457"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74</w:t>
                  </w:r>
                </w:p>
              </w:tc>
              <w:tc>
                <w:tcPr>
                  <w:tcW w:w="456"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66</w:t>
                  </w:r>
                </w:p>
              </w:tc>
              <w:tc>
                <w:tcPr>
                  <w:tcW w:w="456"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64</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60</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58</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56</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55</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54</w:t>
                  </w:r>
                </w:p>
              </w:tc>
              <w:tc>
                <w:tcPr>
                  <w:tcW w:w="584"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50</w:t>
                  </w:r>
                </w:p>
              </w:tc>
              <w:tc>
                <w:tcPr>
                  <w:tcW w:w="591"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48</w:t>
                  </w:r>
                </w:p>
              </w:tc>
            </w:tr>
          </w:tbl>
          <w:p>
            <w:pPr>
              <w:spacing w:before="156" w:beforeLines="50" w:line="360" w:lineRule="auto"/>
              <w:ind w:firstLine="422" w:firstLineChars="20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表</w:t>
            </w:r>
            <w:r>
              <w:rPr>
                <w:rFonts w:hint="eastAsia" w:ascii="Times New Roman" w:hAnsi="Times New Roman" w:eastAsia="宋体" w:cs="Times New Roman"/>
                <w:b/>
                <w:color w:val="000000"/>
                <w:sz w:val="21"/>
                <w:szCs w:val="21"/>
                <w:lang w:val="en-US" w:eastAsia="zh-CN"/>
              </w:rPr>
              <w:t>4-5</w:t>
            </w:r>
            <w:r>
              <w:rPr>
                <w:rFonts w:hint="default" w:ascii="Times New Roman" w:hAnsi="Times New Roman" w:eastAsia="宋体" w:cs="Times New Roman"/>
                <w:b/>
                <w:color w:val="000000"/>
                <w:sz w:val="21"/>
                <w:szCs w:val="21"/>
              </w:rPr>
              <w:t xml:space="preserve">  主要施工机械噪声影响范围</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871"/>
              <w:gridCol w:w="1310"/>
              <w:gridCol w:w="1042"/>
              <w:gridCol w:w="1051"/>
              <w:gridCol w:w="1258"/>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blHeader/>
                <w:jc w:val="center"/>
              </w:trPr>
              <w:tc>
                <w:tcPr>
                  <w:tcW w:w="1145" w:type="dxa"/>
                  <w:vMerge w:val="restart"/>
                  <w:noWrap w:val="0"/>
                  <w:vAlign w:val="center"/>
                </w:tcPr>
                <w:p>
                  <w:pPr>
                    <w:widowControl/>
                    <w:adjustRightInd w:val="0"/>
                    <w:snapToGrid w:val="0"/>
                    <w:jc w:val="center"/>
                    <w:rPr>
                      <w:rFonts w:hint="default" w:ascii="Times New Roman" w:hAnsi="Times New Roman" w:eastAsia="宋体" w:cs="Times New Roman"/>
                      <w:b/>
                      <w:color w:val="000000"/>
                      <w:kern w:val="0"/>
                      <w:sz w:val="21"/>
                      <w:szCs w:val="21"/>
                    </w:rPr>
                  </w:pPr>
                  <w:r>
                    <w:rPr>
                      <w:rFonts w:hint="default" w:ascii="Times New Roman" w:hAnsi="Times New Roman" w:eastAsia="宋体" w:cs="Times New Roman"/>
                      <w:b/>
                      <w:color w:val="000000"/>
                      <w:kern w:val="0"/>
                      <w:sz w:val="21"/>
                      <w:szCs w:val="21"/>
                    </w:rPr>
                    <w:t>施工阶段</w:t>
                  </w:r>
                </w:p>
              </w:tc>
              <w:tc>
                <w:tcPr>
                  <w:tcW w:w="1871" w:type="dxa"/>
                  <w:vMerge w:val="restart"/>
                  <w:noWrap w:val="0"/>
                  <w:vAlign w:val="center"/>
                </w:tcPr>
                <w:p>
                  <w:pPr>
                    <w:widowControl/>
                    <w:adjustRightInd w:val="0"/>
                    <w:snapToGrid w:val="0"/>
                    <w:jc w:val="center"/>
                    <w:rPr>
                      <w:rFonts w:hint="default" w:ascii="Times New Roman" w:hAnsi="Times New Roman" w:eastAsia="宋体" w:cs="Times New Roman"/>
                      <w:b/>
                      <w:color w:val="000000"/>
                      <w:kern w:val="0"/>
                      <w:sz w:val="21"/>
                      <w:szCs w:val="21"/>
                    </w:rPr>
                  </w:pPr>
                  <w:r>
                    <w:rPr>
                      <w:rFonts w:hint="default" w:ascii="Times New Roman" w:hAnsi="Times New Roman" w:eastAsia="宋体" w:cs="Times New Roman"/>
                      <w:b/>
                      <w:color w:val="000000"/>
                      <w:kern w:val="0"/>
                      <w:sz w:val="21"/>
                      <w:szCs w:val="21"/>
                    </w:rPr>
                    <w:t>机械类型</w:t>
                  </w:r>
                </w:p>
              </w:tc>
              <w:tc>
                <w:tcPr>
                  <w:tcW w:w="1310" w:type="dxa"/>
                  <w:vMerge w:val="restart"/>
                  <w:noWrap w:val="0"/>
                  <w:vAlign w:val="center"/>
                </w:tcPr>
                <w:p>
                  <w:pPr>
                    <w:widowControl/>
                    <w:adjustRightInd w:val="0"/>
                    <w:snapToGrid w:val="0"/>
                    <w:jc w:val="center"/>
                    <w:rPr>
                      <w:rFonts w:hint="default" w:ascii="Times New Roman" w:hAnsi="Times New Roman" w:eastAsia="宋体" w:cs="Times New Roman"/>
                      <w:b/>
                      <w:color w:val="000000"/>
                      <w:kern w:val="0"/>
                      <w:sz w:val="21"/>
                      <w:szCs w:val="21"/>
                    </w:rPr>
                  </w:pPr>
                  <w:r>
                    <w:rPr>
                      <w:rFonts w:hint="default" w:ascii="Times New Roman" w:hAnsi="Times New Roman" w:eastAsia="宋体" w:cs="Times New Roman"/>
                      <w:b/>
                      <w:color w:val="000000"/>
                      <w:kern w:val="0"/>
                      <w:sz w:val="21"/>
                      <w:szCs w:val="21"/>
                    </w:rPr>
                    <w:t>型号</w:t>
                  </w:r>
                </w:p>
              </w:tc>
              <w:tc>
                <w:tcPr>
                  <w:tcW w:w="2093" w:type="dxa"/>
                  <w:gridSpan w:val="2"/>
                  <w:noWrap w:val="0"/>
                  <w:vAlign w:val="center"/>
                </w:tcPr>
                <w:p>
                  <w:pPr>
                    <w:widowControl/>
                    <w:adjustRightInd w:val="0"/>
                    <w:snapToGrid w:val="0"/>
                    <w:jc w:val="center"/>
                    <w:rPr>
                      <w:rFonts w:hint="default" w:ascii="Times New Roman" w:hAnsi="Times New Roman" w:eastAsia="宋体" w:cs="Times New Roman"/>
                      <w:b/>
                      <w:color w:val="000000"/>
                      <w:kern w:val="0"/>
                      <w:sz w:val="21"/>
                      <w:szCs w:val="21"/>
                    </w:rPr>
                  </w:pPr>
                  <w:r>
                    <w:rPr>
                      <w:rFonts w:hint="default" w:ascii="Times New Roman" w:hAnsi="Times New Roman" w:eastAsia="宋体" w:cs="Times New Roman"/>
                      <w:b/>
                      <w:color w:val="000000"/>
                      <w:kern w:val="0"/>
                      <w:sz w:val="21"/>
                      <w:szCs w:val="21"/>
                    </w:rPr>
                    <w:t>标准（dB）</w:t>
                  </w:r>
                </w:p>
              </w:tc>
              <w:tc>
                <w:tcPr>
                  <w:tcW w:w="2341" w:type="dxa"/>
                  <w:gridSpan w:val="2"/>
                  <w:noWrap w:val="0"/>
                  <w:vAlign w:val="center"/>
                </w:tcPr>
                <w:p>
                  <w:pPr>
                    <w:widowControl/>
                    <w:adjustRightInd w:val="0"/>
                    <w:snapToGrid w:val="0"/>
                    <w:jc w:val="center"/>
                    <w:rPr>
                      <w:rFonts w:hint="default" w:ascii="Times New Roman" w:hAnsi="Times New Roman" w:eastAsia="宋体" w:cs="Times New Roman"/>
                      <w:b/>
                      <w:color w:val="000000"/>
                      <w:kern w:val="0"/>
                      <w:sz w:val="21"/>
                      <w:szCs w:val="21"/>
                    </w:rPr>
                  </w:pPr>
                  <w:r>
                    <w:rPr>
                      <w:rFonts w:hint="default" w:ascii="Times New Roman" w:hAnsi="Times New Roman" w:eastAsia="宋体" w:cs="Times New Roman"/>
                      <w:b/>
                      <w:color w:val="000000"/>
                      <w:kern w:val="0"/>
                      <w:sz w:val="21"/>
                      <w:szCs w:val="21"/>
                    </w:rPr>
                    <w:t>影响范围（m）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blHeader/>
                <w:jc w:val="center"/>
              </w:trPr>
              <w:tc>
                <w:tcPr>
                  <w:tcW w:w="1145" w:type="dxa"/>
                  <w:vMerge w:val="continue"/>
                  <w:noWrap w:val="0"/>
                  <w:vAlign w:val="center"/>
                </w:tcPr>
                <w:p>
                  <w:pPr>
                    <w:widowControl/>
                    <w:adjustRightInd w:val="0"/>
                    <w:snapToGrid w:val="0"/>
                    <w:jc w:val="left"/>
                    <w:rPr>
                      <w:rFonts w:hint="default" w:ascii="Times New Roman" w:hAnsi="Times New Roman" w:eastAsia="宋体" w:cs="Times New Roman"/>
                      <w:b/>
                      <w:color w:val="000000"/>
                      <w:kern w:val="0"/>
                      <w:sz w:val="21"/>
                      <w:szCs w:val="21"/>
                    </w:rPr>
                  </w:pPr>
                </w:p>
              </w:tc>
              <w:tc>
                <w:tcPr>
                  <w:tcW w:w="1871" w:type="dxa"/>
                  <w:vMerge w:val="continue"/>
                  <w:noWrap w:val="0"/>
                  <w:vAlign w:val="center"/>
                </w:tcPr>
                <w:p>
                  <w:pPr>
                    <w:widowControl/>
                    <w:adjustRightInd w:val="0"/>
                    <w:snapToGrid w:val="0"/>
                    <w:jc w:val="left"/>
                    <w:rPr>
                      <w:rFonts w:hint="default" w:ascii="Times New Roman" w:hAnsi="Times New Roman" w:eastAsia="宋体" w:cs="Times New Roman"/>
                      <w:b/>
                      <w:color w:val="000000"/>
                      <w:kern w:val="0"/>
                      <w:sz w:val="21"/>
                      <w:szCs w:val="21"/>
                    </w:rPr>
                  </w:pPr>
                </w:p>
              </w:tc>
              <w:tc>
                <w:tcPr>
                  <w:tcW w:w="1310" w:type="dxa"/>
                  <w:vMerge w:val="continue"/>
                  <w:noWrap w:val="0"/>
                  <w:vAlign w:val="center"/>
                </w:tcPr>
                <w:p>
                  <w:pPr>
                    <w:widowControl/>
                    <w:adjustRightInd w:val="0"/>
                    <w:snapToGrid w:val="0"/>
                    <w:jc w:val="left"/>
                    <w:rPr>
                      <w:rFonts w:hint="default" w:ascii="Times New Roman" w:hAnsi="Times New Roman" w:eastAsia="宋体" w:cs="Times New Roman"/>
                      <w:b/>
                      <w:color w:val="000000"/>
                      <w:kern w:val="0"/>
                      <w:sz w:val="21"/>
                      <w:szCs w:val="21"/>
                    </w:rPr>
                  </w:pPr>
                </w:p>
              </w:tc>
              <w:tc>
                <w:tcPr>
                  <w:tcW w:w="1042" w:type="dxa"/>
                  <w:noWrap w:val="0"/>
                  <w:vAlign w:val="center"/>
                </w:tcPr>
                <w:p>
                  <w:pPr>
                    <w:widowControl/>
                    <w:adjustRightInd w:val="0"/>
                    <w:snapToGrid w:val="0"/>
                    <w:jc w:val="center"/>
                    <w:rPr>
                      <w:rFonts w:hint="default" w:ascii="Times New Roman" w:hAnsi="Times New Roman" w:eastAsia="宋体" w:cs="Times New Roman"/>
                      <w:b/>
                      <w:color w:val="000000"/>
                      <w:kern w:val="0"/>
                      <w:sz w:val="21"/>
                      <w:szCs w:val="21"/>
                    </w:rPr>
                  </w:pPr>
                  <w:r>
                    <w:rPr>
                      <w:rFonts w:hint="default" w:ascii="Times New Roman" w:hAnsi="Times New Roman" w:eastAsia="宋体" w:cs="Times New Roman"/>
                      <w:b/>
                      <w:color w:val="000000"/>
                      <w:kern w:val="0"/>
                      <w:sz w:val="21"/>
                      <w:szCs w:val="21"/>
                    </w:rPr>
                    <w:t>昼间</w:t>
                  </w:r>
                </w:p>
              </w:tc>
              <w:tc>
                <w:tcPr>
                  <w:tcW w:w="1051" w:type="dxa"/>
                  <w:noWrap w:val="0"/>
                  <w:vAlign w:val="center"/>
                </w:tcPr>
                <w:p>
                  <w:pPr>
                    <w:widowControl/>
                    <w:adjustRightInd w:val="0"/>
                    <w:snapToGrid w:val="0"/>
                    <w:jc w:val="center"/>
                    <w:rPr>
                      <w:rFonts w:hint="default" w:ascii="Times New Roman" w:hAnsi="Times New Roman" w:eastAsia="宋体" w:cs="Times New Roman"/>
                      <w:b/>
                      <w:color w:val="000000"/>
                      <w:kern w:val="0"/>
                      <w:sz w:val="21"/>
                      <w:szCs w:val="21"/>
                    </w:rPr>
                  </w:pPr>
                  <w:r>
                    <w:rPr>
                      <w:rFonts w:hint="default" w:ascii="Times New Roman" w:hAnsi="Times New Roman" w:eastAsia="宋体" w:cs="Times New Roman"/>
                      <w:b/>
                      <w:color w:val="000000"/>
                      <w:kern w:val="0"/>
                      <w:sz w:val="21"/>
                      <w:szCs w:val="21"/>
                    </w:rPr>
                    <w:t>夜间</w:t>
                  </w:r>
                </w:p>
              </w:tc>
              <w:tc>
                <w:tcPr>
                  <w:tcW w:w="1258" w:type="dxa"/>
                  <w:noWrap w:val="0"/>
                  <w:vAlign w:val="center"/>
                </w:tcPr>
                <w:p>
                  <w:pPr>
                    <w:widowControl/>
                    <w:adjustRightInd w:val="0"/>
                    <w:snapToGrid w:val="0"/>
                    <w:jc w:val="center"/>
                    <w:rPr>
                      <w:rFonts w:hint="default" w:ascii="Times New Roman" w:hAnsi="Times New Roman" w:eastAsia="宋体" w:cs="Times New Roman"/>
                      <w:b/>
                      <w:color w:val="000000"/>
                      <w:kern w:val="0"/>
                      <w:sz w:val="21"/>
                      <w:szCs w:val="21"/>
                    </w:rPr>
                  </w:pPr>
                  <w:r>
                    <w:rPr>
                      <w:rFonts w:hint="default" w:ascii="Times New Roman" w:hAnsi="Times New Roman" w:eastAsia="宋体" w:cs="Times New Roman"/>
                      <w:b/>
                      <w:color w:val="000000"/>
                      <w:kern w:val="0"/>
                      <w:sz w:val="21"/>
                      <w:szCs w:val="21"/>
                    </w:rPr>
                    <w:t>昼间</w:t>
                  </w:r>
                </w:p>
              </w:tc>
              <w:tc>
                <w:tcPr>
                  <w:tcW w:w="1083" w:type="dxa"/>
                  <w:noWrap w:val="0"/>
                  <w:vAlign w:val="center"/>
                </w:tcPr>
                <w:p>
                  <w:pPr>
                    <w:widowControl/>
                    <w:adjustRightInd w:val="0"/>
                    <w:snapToGrid w:val="0"/>
                    <w:jc w:val="center"/>
                    <w:rPr>
                      <w:rFonts w:hint="default" w:ascii="Times New Roman" w:hAnsi="Times New Roman" w:eastAsia="宋体" w:cs="Times New Roman"/>
                      <w:b/>
                      <w:color w:val="000000"/>
                      <w:kern w:val="0"/>
                      <w:sz w:val="21"/>
                      <w:szCs w:val="21"/>
                    </w:rPr>
                  </w:pPr>
                  <w:r>
                    <w:rPr>
                      <w:rFonts w:hint="default" w:ascii="Times New Roman" w:hAnsi="Times New Roman" w:eastAsia="宋体" w:cs="Times New Roman"/>
                      <w:b/>
                      <w:color w:val="000000"/>
                      <w:kern w:val="0"/>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45" w:type="dxa"/>
                  <w:vMerge w:val="restart"/>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土石方</w:t>
                  </w:r>
                </w:p>
              </w:tc>
              <w:tc>
                <w:tcPr>
                  <w:tcW w:w="1871"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挖掘机</w:t>
                  </w:r>
                </w:p>
              </w:tc>
              <w:tc>
                <w:tcPr>
                  <w:tcW w:w="1310"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1</w:t>
                  </w:r>
                  <w:r>
                    <w:rPr>
                      <w:rFonts w:hint="default" w:ascii="Times New Roman" w:hAnsi="Times New Roman" w:eastAsia="宋体" w:cs="Times New Roman"/>
                      <w:color w:val="000000"/>
                      <w:kern w:val="0"/>
                      <w:sz w:val="21"/>
                      <w:szCs w:val="21"/>
                    </w:rPr>
                    <w:t>m</w:t>
                  </w:r>
                  <w:r>
                    <w:rPr>
                      <w:rFonts w:hint="default" w:ascii="Times New Roman" w:hAnsi="Times New Roman" w:eastAsia="宋体" w:cs="Times New Roman"/>
                      <w:color w:val="000000"/>
                      <w:kern w:val="0"/>
                      <w:sz w:val="21"/>
                      <w:szCs w:val="21"/>
                      <w:vertAlign w:val="superscript"/>
                    </w:rPr>
                    <w:t>3</w:t>
                  </w:r>
                </w:p>
              </w:tc>
              <w:tc>
                <w:tcPr>
                  <w:tcW w:w="1042" w:type="dxa"/>
                  <w:vMerge w:val="restart"/>
                  <w:noWrap w:val="0"/>
                  <w:vAlign w:val="center"/>
                </w:tcPr>
                <w:p>
                  <w:pPr>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70</w:t>
                  </w:r>
                </w:p>
              </w:tc>
              <w:tc>
                <w:tcPr>
                  <w:tcW w:w="1051" w:type="dxa"/>
                  <w:vMerge w:val="restart"/>
                  <w:noWrap w:val="0"/>
                  <w:vAlign w:val="center"/>
                </w:tcPr>
                <w:p>
                  <w:pPr>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55</w:t>
                  </w:r>
                </w:p>
              </w:tc>
              <w:tc>
                <w:tcPr>
                  <w:tcW w:w="1258"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10</w:t>
                  </w:r>
                </w:p>
              </w:tc>
              <w:tc>
                <w:tcPr>
                  <w:tcW w:w="1083"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145" w:type="dxa"/>
                  <w:vMerge w:val="continue"/>
                  <w:noWrap w:val="0"/>
                  <w:vAlign w:val="center"/>
                </w:tcPr>
                <w:p>
                  <w:pPr>
                    <w:widowControl/>
                    <w:adjustRightInd w:val="0"/>
                    <w:snapToGrid w:val="0"/>
                    <w:jc w:val="left"/>
                    <w:rPr>
                      <w:rFonts w:hint="default" w:ascii="Times New Roman" w:hAnsi="Times New Roman" w:eastAsia="宋体" w:cs="Times New Roman"/>
                      <w:color w:val="000000"/>
                      <w:kern w:val="0"/>
                      <w:sz w:val="21"/>
                      <w:szCs w:val="21"/>
                    </w:rPr>
                  </w:pPr>
                </w:p>
              </w:tc>
              <w:tc>
                <w:tcPr>
                  <w:tcW w:w="1871"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推土机</w:t>
                  </w:r>
                </w:p>
              </w:tc>
              <w:tc>
                <w:tcPr>
                  <w:tcW w:w="1310"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103KW</w:t>
                  </w:r>
                </w:p>
              </w:tc>
              <w:tc>
                <w:tcPr>
                  <w:tcW w:w="1042" w:type="dxa"/>
                  <w:vMerge w:val="continue"/>
                  <w:noWrap w:val="0"/>
                  <w:vAlign w:val="center"/>
                </w:tcPr>
                <w:p>
                  <w:pPr>
                    <w:adjustRightInd w:val="0"/>
                    <w:snapToGrid w:val="0"/>
                    <w:jc w:val="center"/>
                    <w:rPr>
                      <w:rFonts w:hint="default" w:ascii="Times New Roman" w:hAnsi="Times New Roman" w:eastAsia="宋体" w:cs="Times New Roman"/>
                      <w:color w:val="000000"/>
                      <w:kern w:val="0"/>
                      <w:sz w:val="21"/>
                      <w:szCs w:val="21"/>
                    </w:rPr>
                  </w:pPr>
                </w:p>
              </w:tc>
              <w:tc>
                <w:tcPr>
                  <w:tcW w:w="1051" w:type="dxa"/>
                  <w:vMerge w:val="continue"/>
                  <w:noWrap w:val="0"/>
                  <w:vAlign w:val="center"/>
                </w:tcPr>
                <w:p>
                  <w:pPr>
                    <w:adjustRightInd w:val="0"/>
                    <w:snapToGrid w:val="0"/>
                    <w:jc w:val="center"/>
                    <w:rPr>
                      <w:rFonts w:hint="default" w:ascii="Times New Roman" w:hAnsi="Times New Roman" w:eastAsia="宋体" w:cs="Times New Roman"/>
                      <w:color w:val="000000"/>
                      <w:kern w:val="0"/>
                      <w:sz w:val="21"/>
                      <w:szCs w:val="21"/>
                    </w:rPr>
                  </w:pPr>
                </w:p>
              </w:tc>
              <w:tc>
                <w:tcPr>
                  <w:tcW w:w="1258"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30</w:t>
                  </w:r>
                </w:p>
              </w:tc>
              <w:tc>
                <w:tcPr>
                  <w:tcW w:w="1083"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rPr>
                    <w:t>1</w:t>
                  </w:r>
                  <w:r>
                    <w:rPr>
                      <w:rFonts w:hint="eastAsia" w:ascii="Times New Roman" w:hAnsi="Times New Roman" w:eastAsia="宋体" w:cs="Times New Roman"/>
                      <w:color w:val="000000"/>
                      <w:kern w:val="0"/>
                      <w:sz w:val="21"/>
                      <w:szCs w:val="21"/>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145" w:type="dxa"/>
                  <w:vMerge w:val="continue"/>
                  <w:noWrap w:val="0"/>
                  <w:vAlign w:val="center"/>
                </w:tcPr>
                <w:p>
                  <w:pPr>
                    <w:widowControl/>
                    <w:adjustRightInd w:val="0"/>
                    <w:snapToGrid w:val="0"/>
                    <w:jc w:val="left"/>
                    <w:rPr>
                      <w:rFonts w:hint="default" w:ascii="Times New Roman" w:hAnsi="Times New Roman" w:eastAsia="宋体" w:cs="Times New Roman"/>
                      <w:color w:val="000000"/>
                      <w:kern w:val="0"/>
                      <w:sz w:val="21"/>
                      <w:szCs w:val="21"/>
                    </w:rPr>
                  </w:pPr>
                </w:p>
              </w:tc>
              <w:tc>
                <w:tcPr>
                  <w:tcW w:w="1871"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卷扬机</w:t>
                  </w:r>
                </w:p>
              </w:tc>
              <w:tc>
                <w:tcPr>
                  <w:tcW w:w="1310"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3</w:t>
                  </w:r>
                  <w:r>
                    <w:rPr>
                      <w:rFonts w:hint="default" w:ascii="Times New Roman" w:hAnsi="Times New Roman" w:eastAsia="宋体" w:cs="Times New Roman"/>
                      <w:color w:val="000000"/>
                      <w:kern w:val="0"/>
                      <w:sz w:val="21"/>
                      <w:szCs w:val="21"/>
                    </w:rPr>
                    <w:t>t</w:t>
                  </w:r>
                </w:p>
              </w:tc>
              <w:tc>
                <w:tcPr>
                  <w:tcW w:w="1042" w:type="dxa"/>
                  <w:vMerge w:val="continue"/>
                  <w:noWrap w:val="0"/>
                  <w:vAlign w:val="center"/>
                </w:tcPr>
                <w:p>
                  <w:pPr>
                    <w:adjustRightInd w:val="0"/>
                    <w:snapToGrid w:val="0"/>
                    <w:jc w:val="center"/>
                    <w:rPr>
                      <w:rFonts w:hint="default" w:ascii="Times New Roman" w:hAnsi="Times New Roman" w:eastAsia="宋体" w:cs="Times New Roman"/>
                      <w:color w:val="000000"/>
                      <w:kern w:val="0"/>
                      <w:sz w:val="21"/>
                      <w:szCs w:val="21"/>
                    </w:rPr>
                  </w:pPr>
                </w:p>
              </w:tc>
              <w:tc>
                <w:tcPr>
                  <w:tcW w:w="1051" w:type="dxa"/>
                  <w:vMerge w:val="continue"/>
                  <w:noWrap w:val="0"/>
                  <w:vAlign w:val="center"/>
                </w:tcPr>
                <w:p>
                  <w:pPr>
                    <w:adjustRightInd w:val="0"/>
                    <w:snapToGrid w:val="0"/>
                    <w:jc w:val="center"/>
                    <w:rPr>
                      <w:rFonts w:hint="default" w:ascii="Times New Roman" w:hAnsi="Times New Roman" w:eastAsia="宋体" w:cs="Times New Roman"/>
                      <w:color w:val="000000"/>
                      <w:kern w:val="0"/>
                      <w:sz w:val="21"/>
                      <w:szCs w:val="21"/>
                    </w:rPr>
                  </w:pPr>
                </w:p>
              </w:tc>
              <w:tc>
                <w:tcPr>
                  <w:tcW w:w="1258"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50</w:t>
                  </w:r>
                </w:p>
              </w:tc>
              <w:tc>
                <w:tcPr>
                  <w:tcW w:w="1083"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45" w:type="dxa"/>
                  <w:vMerge w:val="continue"/>
                  <w:noWrap w:val="0"/>
                  <w:vAlign w:val="center"/>
                </w:tcPr>
                <w:p>
                  <w:pPr>
                    <w:widowControl/>
                    <w:adjustRightInd w:val="0"/>
                    <w:snapToGrid w:val="0"/>
                    <w:jc w:val="left"/>
                    <w:rPr>
                      <w:rFonts w:hint="default" w:ascii="Times New Roman" w:hAnsi="Times New Roman" w:eastAsia="宋体" w:cs="Times New Roman"/>
                      <w:color w:val="000000"/>
                      <w:kern w:val="0"/>
                      <w:sz w:val="21"/>
                      <w:szCs w:val="21"/>
                    </w:rPr>
                  </w:pPr>
                </w:p>
              </w:tc>
              <w:tc>
                <w:tcPr>
                  <w:tcW w:w="1871"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载重汽车</w:t>
                  </w:r>
                </w:p>
              </w:tc>
              <w:tc>
                <w:tcPr>
                  <w:tcW w:w="1310"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5t</w:t>
                  </w:r>
                </w:p>
              </w:tc>
              <w:tc>
                <w:tcPr>
                  <w:tcW w:w="1042" w:type="dxa"/>
                  <w:vMerge w:val="continue"/>
                  <w:noWrap w:val="0"/>
                  <w:vAlign w:val="center"/>
                </w:tcPr>
                <w:p>
                  <w:pPr>
                    <w:adjustRightInd w:val="0"/>
                    <w:snapToGrid w:val="0"/>
                    <w:jc w:val="center"/>
                    <w:rPr>
                      <w:rFonts w:hint="default" w:ascii="Times New Roman" w:hAnsi="Times New Roman" w:eastAsia="宋体" w:cs="Times New Roman"/>
                      <w:color w:val="000000"/>
                      <w:kern w:val="0"/>
                      <w:sz w:val="21"/>
                      <w:szCs w:val="21"/>
                    </w:rPr>
                  </w:pPr>
                </w:p>
              </w:tc>
              <w:tc>
                <w:tcPr>
                  <w:tcW w:w="1051" w:type="dxa"/>
                  <w:vMerge w:val="continue"/>
                  <w:noWrap w:val="0"/>
                  <w:vAlign w:val="center"/>
                </w:tcPr>
                <w:p>
                  <w:pPr>
                    <w:adjustRightInd w:val="0"/>
                    <w:snapToGrid w:val="0"/>
                    <w:jc w:val="center"/>
                    <w:rPr>
                      <w:rFonts w:hint="default" w:ascii="Times New Roman" w:hAnsi="Times New Roman" w:eastAsia="宋体" w:cs="Times New Roman"/>
                      <w:color w:val="000000"/>
                      <w:kern w:val="0"/>
                      <w:sz w:val="21"/>
                      <w:szCs w:val="21"/>
                    </w:rPr>
                  </w:pPr>
                </w:p>
              </w:tc>
              <w:tc>
                <w:tcPr>
                  <w:tcW w:w="1258"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50</w:t>
                  </w:r>
                </w:p>
              </w:tc>
              <w:tc>
                <w:tcPr>
                  <w:tcW w:w="1083"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145" w:type="dxa"/>
                  <w:vMerge w:val="continue"/>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p>
              </w:tc>
              <w:tc>
                <w:tcPr>
                  <w:tcW w:w="1871"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sz w:val="21"/>
                      <w:szCs w:val="21"/>
                    </w:rPr>
                    <w:t>自卸</w:t>
                  </w:r>
                  <w:r>
                    <w:rPr>
                      <w:rFonts w:hint="eastAsia" w:ascii="Times New Roman" w:hAnsi="Times New Roman" w:eastAsia="宋体" w:cs="Times New Roman"/>
                      <w:color w:val="000000"/>
                      <w:sz w:val="21"/>
                      <w:szCs w:val="21"/>
                      <w:lang w:val="en-US" w:eastAsia="zh-CN"/>
                    </w:rPr>
                    <w:t>汽</w:t>
                  </w:r>
                  <w:r>
                    <w:rPr>
                      <w:rFonts w:hint="default" w:ascii="Times New Roman" w:hAnsi="Times New Roman" w:eastAsia="宋体" w:cs="Times New Roman"/>
                      <w:color w:val="000000"/>
                      <w:sz w:val="21"/>
                      <w:szCs w:val="21"/>
                    </w:rPr>
                    <w:t>车</w:t>
                  </w:r>
                </w:p>
              </w:tc>
              <w:tc>
                <w:tcPr>
                  <w:tcW w:w="1310"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8～10t</w:t>
                  </w:r>
                </w:p>
              </w:tc>
              <w:tc>
                <w:tcPr>
                  <w:tcW w:w="1042" w:type="dxa"/>
                  <w:vMerge w:val="continue"/>
                  <w:noWrap w:val="0"/>
                  <w:vAlign w:val="center"/>
                </w:tcPr>
                <w:p>
                  <w:pPr>
                    <w:adjustRightInd w:val="0"/>
                    <w:snapToGrid w:val="0"/>
                    <w:jc w:val="center"/>
                    <w:rPr>
                      <w:rFonts w:hint="default" w:ascii="Times New Roman" w:hAnsi="Times New Roman" w:eastAsia="宋体" w:cs="Times New Roman"/>
                      <w:color w:val="000000"/>
                      <w:kern w:val="0"/>
                      <w:sz w:val="21"/>
                      <w:szCs w:val="21"/>
                    </w:rPr>
                  </w:pPr>
                </w:p>
              </w:tc>
              <w:tc>
                <w:tcPr>
                  <w:tcW w:w="1051" w:type="dxa"/>
                  <w:vMerge w:val="continue"/>
                  <w:noWrap w:val="0"/>
                  <w:vAlign w:val="center"/>
                </w:tcPr>
                <w:p>
                  <w:pPr>
                    <w:adjustRightInd w:val="0"/>
                    <w:snapToGrid w:val="0"/>
                    <w:jc w:val="center"/>
                    <w:rPr>
                      <w:rFonts w:hint="default" w:ascii="Times New Roman" w:hAnsi="Times New Roman" w:eastAsia="宋体" w:cs="Times New Roman"/>
                      <w:color w:val="000000"/>
                      <w:kern w:val="0"/>
                      <w:sz w:val="21"/>
                      <w:szCs w:val="21"/>
                    </w:rPr>
                  </w:pPr>
                </w:p>
              </w:tc>
              <w:tc>
                <w:tcPr>
                  <w:tcW w:w="1258"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50</w:t>
                  </w:r>
                </w:p>
              </w:tc>
              <w:tc>
                <w:tcPr>
                  <w:tcW w:w="1083"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145" w:type="dxa"/>
                  <w:vMerge w:val="restart"/>
                  <w:noWrap w:val="0"/>
                  <w:vAlign w:val="center"/>
                </w:tcPr>
                <w:p>
                  <w:pPr>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结构</w:t>
                  </w:r>
                </w:p>
              </w:tc>
              <w:tc>
                <w:tcPr>
                  <w:tcW w:w="1871"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eastAsia" w:ascii="宋体" w:hAnsi="宋体" w:cs="宋体"/>
                      <w:color w:val="auto"/>
                      <w:kern w:val="0"/>
                      <w:sz w:val="21"/>
                      <w:szCs w:val="21"/>
                      <w:highlight w:val="none"/>
                    </w:rPr>
                    <w:t>蛙式夯实机</w:t>
                  </w:r>
                </w:p>
              </w:tc>
              <w:tc>
                <w:tcPr>
                  <w:tcW w:w="1310"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2.8kW</w:t>
                  </w:r>
                </w:p>
              </w:tc>
              <w:tc>
                <w:tcPr>
                  <w:tcW w:w="1042" w:type="dxa"/>
                  <w:vMerge w:val="continue"/>
                  <w:noWrap w:val="0"/>
                  <w:vAlign w:val="center"/>
                </w:tcPr>
                <w:p>
                  <w:pPr>
                    <w:adjustRightInd w:val="0"/>
                    <w:snapToGrid w:val="0"/>
                    <w:jc w:val="center"/>
                    <w:rPr>
                      <w:rFonts w:hint="default" w:ascii="Times New Roman" w:hAnsi="Times New Roman" w:eastAsia="宋体" w:cs="Times New Roman"/>
                      <w:color w:val="000000"/>
                      <w:kern w:val="0"/>
                      <w:sz w:val="21"/>
                      <w:szCs w:val="21"/>
                    </w:rPr>
                  </w:pPr>
                </w:p>
              </w:tc>
              <w:tc>
                <w:tcPr>
                  <w:tcW w:w="1051" w:type="dxa"/>
                  <w:vMerge w:val="continue"/>
                  <w:noWrap w:val="0"/>
                  <w:vAlign w:val="center"/>
                </w:tcPr>
                <w:p>
                  <w:pPr>
                    <w:adjustRightInd w:val="0"/>
                    <w:snapToGrid w:val="0"/>
                    <w:jc w:val="center"/>
                    <w:rPr>
                      <w:rFonts w:hint="default" w:ascii="Times New Roman" w:hAnsi="Times New Roman" w:eastAsia="宋体" w:cs="Times New Roman"/>
                      <w:color w:val="000000"/>
                      <w:kern w:val="0"/>
                      <w:sz w:val="21"/>
                      <w:szCs w:val="21"/>
                    </w:rPr>
                  </w:pPr>
                </w:p>
              </w:tc>
              <w:tc>
                <w:tcPr>
                  <w:tcW w:w="1258"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28</w:t>
                  </w:r>
                </w:p>
              </w:tc>
              <w:tc>
                <w:tcPr>
                  <w:tcW w:w="1083"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45" w:type="dxa"/>
                  <w:vMerge w:val="continue"/>
                  <w:noWrap w:val="0"/>
                  <w:vAlign w:val="center"/>
                </w:tcPr>
                <w:p>
                  <w:pPr>
                    <w:adjustRightInd w:val="0"/>
                    <w:snapToGrid w:val="0"/>
                    <w:jc w:val="center"/>
                    <w:rPr>
                      <w:rFonts w:hint="default" w:ascii="Times New Roman" w:hAnsi="Times New Roman" w:eastAsia="宋体" w:cs="Times New Roman"/>
                      <w:color w:val="000000"/>
                      <w:kern w:val="0"/>
                      <w:sz w:val="21"/>
                      <w:szCs w:val="21"/>
                    </w:rPr>
                  </w:pPr>
                </w:p>
              </w:tc>
              <w:tc>
                <w:tcPr>
                  <w:tcW w:w="1871"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sz w:val="21"/>
                      <w:szCs w:val="21"/>
                    </w:rPr>
                    <w:t>振捣器</w:t>
                  </w:r>
                </w:p>
              </w:tc>
              <w:tc>
                <w:tcPr>
                  <w:tcW w:w="1310"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sz w:val="21"/>
                      <w:szCs w:val="21"/>
                      <w:lang w:val="en-US" w:eastAsia="zh-CN"/>
                    </w:rPr>
                    <w:t>1.1-</w:t>
                  </w:r>
                  <w:r>
                    <w:rPr>
                      <w:rFonts w:hint="default" w:ascii="Times New Roman" w:hAnsi="Times New Roman" w:eastAsia="宋体" w:cs="Times New Roman"/>
                      <w:color w:val="000000"/>
                      <w:sz w:val="21"/>
                      <w:szCs w:val="21"/>
                    </w:rPr>
                    <w:t>2.2kW</w:t>
                  </w:r>
                </w:p>
              </w:tc>
              <w:tc>
                <w:tcPr>
                  <w:tcW w:w="1042" w:type="dxa"/>
                  <w:vMerge w:val="continue"/>
                  <w:noWrap w:val="0"/>
                  <w:vAlign w:val="center"/>
                </w:tcPr>
                <w:p>
                  <w:pPr>
                    <w:adjustRightInd w:val="0"/>
                    <w:snapToGrid w:val="0"/>
                    <w:jc w:val="center"/>
                    <w:rPr>
                      <w:rFonts w:hint="default" w:ascii="Times New Roman" w:hAnsi="Times New Roman" w:eastAsia="宋体" w:cs="Times New Roman"/>
                      <w:color w:val="000000"/>
                      <w:kern w:val="0"/>
                      <w:sz w:val="21"/>
                      <w:szCs w:val="21"/>
                    </w:rPr>
                  </w:pPr>
                </w:p>
              </w:tc>
              <w:tc>
                <w:tcPr>
                  <w:tcW w:w="1051" w:type="dxa"/>
                  <w:vMerge w:val="continue"/>
                  <w:noWrap w:val="0"/>
                  <w:vAlign w:val="center"/>
                </w:tcPr>
                <w:p>
                  <w:pPr>
                    <w:adjustRightInd w:val="0"/>
                    <w:snapToGrid w:val="0"/>
                    <w:jc w:val="center"/>
                    <w:rPr>
                      <w:rFonts w:hint="default" w:ascii="Times New Roman" w:hAnsi="Times New Roman" w:eastAsia="宋体" w:cs="Times New Roman"/>
                      <w:color w:val="000000"/>
                      <w:kern w:val="0"/>
                      <w:sz w:val="21"/>
                      <w:szCs w:val="21"/>
                    </w:rPr>
                  </w:pPr>
                </w:p>
              </w:tc>
              <w:tc>
                <w:tcPr>
                  <w:tcW w:w="1258"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35</w:t>
                  </w:r>
                </w:p>
              </w:tc>
              <w:tc>
                <w:tcPr>
                  <w:tcW w:w="1083" w:type="dxa"/>
                  <w:noWrap w:val="0"/>
                  <w:vAlign w:val="center"/>
                </w:tcPr>
                <w:p>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150</w:t>
                  </w:r>
                </w:p>
              </w:tc>
            </w:tr>
          </w:tbl>
          <w:p>
            <w:pPr>
              <w:pStyle w:val="123"/>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kern w:val="0"/>
                <w:sz w:val="24"/>
                <w:szCs w:val="24"/>
                <w:lang w:val="en-US" w:eastAsia="zh-CN"/>
              </w:rPr>
              <w:t>项目在施工期位于工程两侧一定范围内的声环境敏感点都将受到施工噪声的影响</w:t>
            </w:r>
            <w:r>
              <w:rPr>
                <w:rFonts w:hint="default" w:ascii="Times New Roman" w:hAnsi="Times New Roman" w:eastAsia="宋体" w:cs="Times New Roman"/>
                <w:snapToGrid w:val="0"/>
                <w:color w:val="000000"/>
                <w:kern w:val="0"/>
                <w:sz w:val="24"/>
                <w:szCs w:val="24"/>
                <w:lang w:val="en-US" w:eastAsia="zh-CN"/>
              </w:rPr>
              <w:t>。</w:t>
            </w:r>
          </w:p>
          <w:p>
            <w:pPr>
              <w:pStyle w:val="124"/>
              <w:spacing w:before="0" w:line="360" w:lineRule="auto"/>
              <w:ind w:firstLine="480"/>
              <w:rPr>
                <w:rFonts w:hint="eastAsia"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rPr>
              <w:t>从上表可以看出，在没有采取防治措施时，项目施工噪声达到《</w:t>
            </w:r>
            <w:r>
              <w:rPr>
                <w:rFonts w:hint="eastAsia" w:ascii="Times New Roman" w:hAnsi="Times New Roman" w:eastAsia="宋体" w:cs="Times New Roman"/>
                <w:color w:val="000000"/>
                <w:sz w:val="24"/>
                <w:szCs w:val="24"/>
                <w:lang w:eastAsia="zh-CN"/>
              </w:rPr>
              <w:t>建设施工场界环境噪声排放标准</w:t>
            </w:r>
            <w:r>
              <w:rPr>
                <w:rFonts w:hint="default" w:ascii="Times New Roman" w:hAnsi="Times New Roman" w:eastAsia="宋体" w:cs="Times New Roman"/>
                <w:color w:val="000000"/>
                <w:sz w:val="24"/>
                <w:szCs w:val="24"/>
              </w:rPr>
              <w:t>》(GB12523-2011)所需的衰减距离昼间最大为</w:t>
            </w:r>
            <w:r>
              <w:rPr>
                <w:rFonts w:hint="eastAsia" w:ascii="Times New Roman" w:hAnsi="Times New Roman" w:eastAsia="宋体" w:cs="Times New Roman"/>
                <w:color w:val="000000"/>
                <w:sz w:val="24"/>
                <w:szCs w:val="24"/>
                <w:lang w:val="en-US" w:eastAsia="zh-CN"/>
              </w:rPr>
              <w:t>50</w:t>
            </w:r>
            <w:r>
              <w:rPr>
                <w:rFonts w:hint="default" w:ascii="Times New Roman" w:hAnsi="Times New Roman" w:eastAsia="宋体" w:cs="Times New Roman"/>
                <w:color w:val="000000"/>
                <w:sz w:val="24"/>
                <w:szCs w:val="24"/>
              </w:rPr>
              <w:t>m，夜间最大为</w:t>
            </w:r>
            <w:r>
              <w:rPr>
                <w:rFonts w:hint="eastAsia" w:ascii="Times New Roman" w:hAnsi="Times New Roman" w:eastAsia="宋体" w:cs="Times New Roman"/>
                <w:color w:val="000000"/>
                <w:sz w:val="24"/>
                <w:szCs w:val="24"/>
                <w:lang w:val="en-US" w:eastAsia="zh-CN"/>
              </w:rPr>
              <w:t>21</w:t>
            </w:r>
            <w:r>
              <w:rPr>
                <w:rFonts w:hint="default" w:ascii="Times New Roman" w:hAnsi="Times New Roman" w:eastAsia="宋体" w:cs="Times New Roman"/>
                <w:color w:val="000000"/>
                <w:sz w:val="24"/>
                <w:szCs w:val="24"/>
              </w:rPr>
              <w:t>0m；施工噪声干扰最为严重</w:t>
            </w:r>
            <w:r>
              <w:rPr>
                <w:rFonts w:hint="default" w:ascii="Times New Roman" w:hAnsi="Times New Roman" w:eastAsia="宋体" w:cs="Times New Roman"/>
                <w:sz w:val="24"/>
                <w:szCs w:val="24"/>
              </w:rPr>
              <w:t>的时期是土石方施工阶段，施工噪声对距离较近的居民点影响较大，主要为堤防两侧50m范围内居民等敏感点。</w:t>
            </w:r>
          </w:p>
          <w:p>
            <w:pPr>
              <w:pStyle w:val="125"/>
              <w:ind w:firstLine="472"/>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 xml:space="preserve">项目施工区周边有村庄、住户，建设单位必须采取必要的防护措施以减缓施工噪声对区域居民的影响。应注意选用效率高、噪声低的机械，禁止噪声超标的机械进场；对各种产生噪声和振动的机械设备应当采取消声防振措施，使其噪声和振动符合有关标准，并注意对机械的维护保养和正确操作，保证在良好的条件下使用，减少运行噪声。特别是紧挨住户的施工河段在施工中要建简易的声障，减少施工噪声的影响。 </w:t>
            </w:r>
          </w:p>
          <w:p>
            <w:pPr>
              <w:pStyle w:val="125"/>
              <w:ind w:firstLine="472"/>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 xml:space="preserve">此外，要合理安排施工时间。要禁止夜间和午间施工，特别是夜间挖土运方作业。因工程要求，必须在夜间 </w:t>
            </w:r>
            <w:r>
              <w:rPr>
                <w:rFonts w:hint="default" w:ascii="Times New Roman" w:hAnsi="Times New Roman" w:eastAsia="宋体" w:cs="Times New Roman"/>
                <w:color w:val="000000"/>
                <w:sz w:val="24"/>
                <w:szCs w:val="24"/>
                <w:lang w:val="en-US" w:eastAsia="zh-CN"/>
              </w:rPr>
              <w:t>22:00</w:t>
            </w:r>
            <w:r>
              <w:rPr>
                <w:rFonts w:hint="eastAsia" w:ascii="Times New Roman" w:hAnsi="Times New Roman" w:eastAsia="宋体" w:cs="Times New Roman"/>
                <w:color w:val="000000"/>
                <w:sz w:val="24"/>
                <w:szCs w:val="24"/>
                <w:lang w:val="en-US" w:eastAsia="zh-CN"/>
              </w:rPr>
              <w:t xml:space="preserve">～凌晨 </w:t>
            </w:r>
            <w:r>
              <w:rPr>
                <w:rFonts w:hint="default" w:ascii="Times New Roman" w:hAnsi="Times New Roman" w:eastAsia="宋体" w:cs="Times New Roman"/>
                <w:color w:val="000000"/>
                <w:sz w:val="24"/>
                <w:szCs w:val="24"/>
                <w:lang w:val="en-US" w:eastAsia="zh-CN"/>
              </w:rPr>
              <w:t xml:space="preserve">6:00 </w:t>
            </w:r>
            <w:r>
              <w:rPr>
                <w:rFonts w:hint="eastAsia" w:ascii="Times New Roman" w:hAnsi="Times New Roman" w:eastAsia="宋体" w:cs="Times New Roman"/>
                <w:color w:val="000000"/>
                <w:sz w:val="24"/>
                <w:szCs w:val="24"/>
                <w:lang w:val="en-US" w:eastAsia="zh-CN"/>
              </w:rPr>
              <w:t xml:space="preserve">和中午 </w:t>
            </w:r>
            <w:r>
              <w:rPr>
                <w:rFonts w:hint="default" w:ascii="Times New Roman" w:hAnsi="Times New Roman" w:eastAsia="宋体" w:cs="Times New Roman"/>
                <w:color w:val="000000"/>
                <w:sz w:val="24"/>
                <w:szCs w:val="24"/>
                <w:lang w:val="en-US" w:eastAsia="zh-CN"/>
              </w:rPr>
              <w:t>12:00</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 xml:space="preserve">14:30 </w:t>
            </w:r>
            <w:r>
              <w:rPr>
                <w:rFonts w:hint="eastAsia" w:ascii="Times New Roman" w:hAnsi="Times New Roman" w:eastAsia="宋体" w:cs="Times New Roman"/>
                <w:color w:val="000000"/>
                <w:sz w:val="24"/>
                <w:szCs w:val="24"/>
                <w:lang w:val="en-US" w:eastAsia="zh-CN"/>
              </w:rPr>
              <w:t>期间施工的，须报当地主管部门审批，保证施工噪声达到《建筑施工场界环境噪声排放标准》（</w:t>
            </w:r>
            <w:r>
              <w:rPr>
                <w:rFonts w:hint="default" w:ascii="Times New Roman" w:hAnsi="Times New Roman" w:eastAsia="宋体" w:cs="Times New Roman"/>
                <w:color w:val="000000"/>
                <w:sz w:val="24"/>
                <w:szCs w:val="24"/>
                <w:lang w:val="en-US" w:eastAsia="zh-CN"/>
              </w:rPr>
              <w:t>GB12523-2011</w:t>
            </w:r>
            <w:r>
              <w:rPr>
                <w:rFonts w:hint="eastAsia" w:ascii="Times New Roman" w:hAnsi="Times New Roman" w:eastAsia="宋体" w:cs="Times New Roman"/>
                <w:color w:val="000000"/>
                <w:sz w:val="24"/>
                <w:szCs w:val="24"/>
                <w:lang w:val="en-US" w:eastAsia="zh-CN"/>
              </w:rPr>
              <w:t>）规定的要求，尽可能减少噪声产生的影响。</w:t>
            </w:r>
            <w:r>
              <w:rPr>
                <w:rFonts w:hint="default" w:ascii="Times New Roman" w:hAnsi="Times New Roman" w:eastAsia="宋体" w:cs="Times New Roman"/>
                <w:color w:val="000000"/>
                <w:sz w:val="24"/>
                <w:szCs w:val="24"/>
              </w:rPr>
              <w:t>施工单位应视具体情况及时与有关部门取得联系，同时发布公告最大限度地争取民众支持。</w:t>
            </w:r>
          </w:p>
          <w:p>
            <w:pPr>
              <w:pStyle w:val="125"/>
              <w:ind w:firstLine="472"/>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sz w:val="24"/>
                <w:szCs w:val="24"/>
              </w:rPr>
              <w:t>因</w:t>
            </w:r>
            <w:r>
              <w:rPr>
                <w:rFonts w:hint="default" w:ascii="Times New Roman" w:hAnsi="Times New Roman" w:eastAsia="宋体" w:cs="Times New Roman"/>
                <w:color w:val="000000"/>
                <w:kern w:val="0"/>
                <w:sz w:val="24"/>
                <w:szCs w:val="24"/>
              </w:rPr>
              <w:t>此，评价认为施工单位在采取有效噪声污染防治措施及合理安排施工时间的基础上，施工噪声对附近敏感点的影响不大。</w:t>
            </w:r>
          </w:p>
          <w:p>
            <w:pPr>
              <w:pStyle w:val="5"/>
              <w:pageBreakBefore w:val="0"/>
              <w:numPr>
                <w:ilvl w:val="2"/>
                <w:numId w:val="0"/>
              </w:numPr>
              <w:kinsoku/>
              <w:wordWrap/>
              <w:overflowPunct/>
              <w:topLinePunct w:val="0"/>
              <w:bidi w:val="0"/>
              <w:adjustRightInd w:val="0"/>
              <w:snapToGrid w:val="0"/>
              <w:spacing w:before="0" w:after="0" w:line="360" w:lineRule="auto"/>
              <w:ind w:right="0" w:firstLine="482" w:firstLineChars="200"/>
              <w:textAlignment w:val="auto"/>
              <w:rPr>
                <w:rFonts w:hint="default" w:ascii="Times New Roman" w:hAnsi="Times New Roman" w:cs="Times New Roman"/>
                <w:color w:val="auto"/>
                <w:sz w:val="24"/>
                <w:szCs w:val="24"/>
              </w:rPr>
            </w:pPr>
            <w:bookmarkStart w:id="68" w:name="_Toc18824"/>
            <w:bookmarkStart w:id="69" w:name="_Toc16024"/>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五）</w:t>
            </w:r>
            <w:r>
              <w:rPr>
                <w:rFonts w:hint="default" w:ascii="Times New Roman" w:hAnsi="Times New Roman" w:eastAsia="宋体" w:cs="Times New Roman"/>
                <w:color w:val="auto"/>
                <w:sz w:val="24"/>
                <w:szCs w:val="24"/>
              </w:rPr>
              <w:t>固体废弃物对环境影响分析</w:t>
            </w:r>
            <w:bookmarkEnd w:id="68"/>
            <w:bookmarkEnd w:id="69"/>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根据本评价分析，工程施工过程中产生的固体废弃物主要来自于基坑</w:t>
            </w:r>
            <w:r>
              <w:rPr>
                <w:rFonts w:hint="eastAsia" w:ascii="Times New Roman" w:hAnsi="Times New Roman" w:eastAsia="宋体" w:cs="Times New Roman"/>
                <w:color w:val="000000"/>
                <w:sz w:val="24"/>
                <w:szCs w:val="24"/>
                <w:lang w:eastAsia="zh-CN"/>
              </w:rPr>
              <w:t>与基础</w:t>
            </w:r>
            <w:r>
              <w:rPr>
                <w:rFonts w:hint="default" w:ascii="Times New Roman" w:hAnsi="Times New Roman" w:eastAsia="宋体" w:cs="Times New Roman"/>
                <w:color w:val="000000"/>
                <w:sz w:val="24"/>
                <w:szCs w:val="24"/>
              </w:rPr>
              <w:t>开挖产生的土石方、建筑垃圾</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生活垃圾。</w:t>
            </w:r>
          </w:p>
          <w:p>
            <w:pPr>
              <w:spacing w:line="360" w:lineRule="auto"/>
              <w:ind w:firstLine="480" w:firstLineChars="200"/>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 xml:space="preserve"> 建筑垃圾</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施工过程中产生的废木、废钢筋等可回收的部分交由物资部分回收处理，对不可利用的建筑垃圾通过临时堆放（堆放场设置标示牌，并进行防雨、防泄漏处理），采用蓬布覆盖，然后由施工单位将其运至政府部门指定的</w:t>
            </w:r>
            <w:r>
              <w:rPr>
                <w:rFonts w:hint="eastAsia" w:ascii="Times New Roman" w:hAnsi="Times New Roman" w:eastAsia="宋体" w:cs="Times New Roman"/>
                <w:color w:val="000000"/>
                <w:sz w:val="24"/>
                <w:szCs w:val="24"/>
                <w:lang w:eastAsia="zh-CN"/>
              </w:rPr>
              <w:t>建渣</w:t>
            </w:r>
            <w:r>
              <w:rPr>
                <w:rFonts w:hint="default" w:ascii="Times New Roman" w:hAnsi="Times New Roman" w:eastAsia="宋体" w:cs="Times New Roman"/>
                <w:color w:val="000000"/>
                <w:sz w:val="24"/>
                <w:szCs w:val="24"/>
              </w:rPr>
              <w:t>场进行堆放并作压实处理。在运输过程中选择对环境影响较小的路线，尽量减少对外环境的影响。施工期间，严禁</w:t>
            </w:r>
            <w:r>
              <w:rPr>
                <w:rFonts w:hint="eastAsia" w:ascii="Times New Roman" w:hAnsi="Times New Roman" w:eastAsia="宋体" w:cs="Times New Roman"/>
                <w:color w:val="000000"/>
                <w:sz w:val="24"/>
                <w:szCs w:val="24"/>
                <w:lang w:eastAsia="zh-CN"/>
              </w:rPr>
              <w:t>建渣</w:t>
            </w:r>
            <w:r>
              <w:rPr>
                <w:rFonts w:hint="default" w:ascii="Times New Roman" w:hAnsi="Times New Roman" w:eastAsia="宋体" w:cs="Times New Roman"/>
                <w:color w:val="000000"/>
                <w:sz w:val="24"/>
                <w:szCs w:val="24"/>
              </w:rPr>
              <w:t>随雨水流入河流中。</w:t>
            </w:r>
          </w:p>
          <w:p>
            <w:pPr>
              <w:spacing w:line="360" w:lineRule="auto"/>
              <w:ind w:firstLine="480" w:firstLineChars="200"/>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2</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 xml:space="preserve"> 生活垃圾</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按照0.2kg每人每天计，施工高峰期施工人员</w:t>
            </w:r>
            <w:r>
              <w:rPr>
                <w:rFonts w:hint="eastAsia" w:ascii="Times New Roman" w:hAnsi="Times New Roman" w:eastAsia="宋体" w:cs="Times New Roman"/>
                <w:color w:val="000000"/>
                <w:sz w:val="24"/>
                <w:szCs w:val="24"/>
                <w:lang w:val="en-US" w:eastAsia="zh-CN"/>
              </w:rPr>
              <w:t>60</w:t>
            </w:r>
            <w:r>
              <w:rPr>
                <w:rFonts w:hint="default" w:ascii="Times New Roman" w:hAnsi="Times New Roman" w:eastAsia="宋体" w:cs="Times New Roman"/>
                <w:color w:val="000000"/>
                <w:sz w:val="24"/>
                <w:szCs w:val="24"/>
              </w:rPr>
              <w:t>人将产生约</w:t>
            </w:r>
            <w:r>
              <w:rPr>
                <w:rFonts w:hint="eastAsia" w:ascii="Times New Roman" w:hAnsi="Times New Roman" w:eastAsia="宋体" w:cs="Times New Roman"/>
                <w:color w:val="000000"/>
                <w:sz w:val="24"/>
                <w:szCs w:val="24"/>
                <w:lang w:val="en-US" w:eastAsia="zh-CN"/>
              </w:rPr>
              <w:t>12</w:t>
            </w:r>
            <w:r>
              <w:rPr>
                <w:rFonts w:hint="default" w:ascii="Times New Roman" w:hAnsi="Times New Roman" w:eastAsia="宋体" w:cs="Times New Roman"/>
                <w:color w:val="000000"/>
                <w:sz w:val="24"/>
                <w:szCs w:val="24"/>
              </w:rPr>
              <w:t>kg/d的生活垃圾，整个施工期约</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个月，产生的生活垃圾约为</w:t>
            </w:r>
            <w:r>
              <w:rPr>
                <w:rFonts w:hint="eastAsia" w:ascii="Times New Roman" w:hAnsi="Times New Roman" w:eastAsia="宋体" w:cs="Times New Roman"/>
                <w:color w:val="000000"/>
                <w:sz w:val="24"/>
                <w:szCs w:val="24"/>
                <w:lang w:val="en-US" w:eastAsia="zh-CN"/>
              </w:rPr>
              <w:t>1.44</w:t>
            </w:r>
            <w:r>
              <w:rPr>
                <w:rFonts w:hint="default" w:ascii="Times New Roman" w:hAnsi="Times New Roman" w:eastAsia="宋体" w:cs="Times New Roman"/>
                <w:color w:val="000000"/>
                <w:sz w:val="24"/>
                <w:szCs w:val="24"/>
              </w:rPr>
              <w:t>t。项目在施工</w:t>
            </w:r>
            <w:r>
              <w:rPr>
                <w:rFonts w:hint="eastAsia" w:ascii="Times New Roman" w:hAnsi="Times New Roman" w:eastAsia="宋体" w:cs="Times New Roman"/>
                <w:color w:val="000000"/>
                <w:sz w:val="24"/>
                <w:szCs w:val="24"/>
                <w:lang w:eastAsia="zh-CN"/>
              </w:rPr>
              <w:t>场地</w:t>
            </w:r>
            <w:r>
              <w:rPr>
                <w:rFonts w:hint="default" w:ascii="Times New Roman" w:hAnsi="Times New Roman" w:eastAsia="宋体" w:cs="Times New Roman"/>
                <w:color w:val="000000"/>
                <w:sz w:val="24"/>
                <w:szCs w:val="24"/>
              </w:rPr>
              <w:t>处设置垃圾桶对产生的生活垃圾进行收集，并定期清运到环卫部门指定生活垃圾堆放处，垃圾桶做到一日一清，定时灭蚊灭蝇。</w:t>
            </w:r>
          </w:p>
          <w:p>
            <w:pPr>
              <w:spacing w:line="360" w:lineRule="auto"/>
              <w:ind w:firstLine="480" w:firstLineChars="200"/>
              <w:rPr>
                <w:rFonts w:hint="eastAsia" w:ascii="Times New Roman" w:hAnsi="Times New Roman" w:eastAsia="宋体" w:cs="Times New Roman"/>
                <w:color w:val="000000"/>
                <w:sz w:val="24"/>
                <w:szCs w:val="24"/>
                <w:lang w:eastAsia="zh-CN"/>
              </w:rPr>
            </w:pPr>
            <w:r>
              <w:rPr>
                <w:rFonts w:hint="default" w:ascii="Times New Roman" w:hAnsi="Times New Roman" w:eastAsia="宋体" w:cs="Times New Roman"/>
                <w:sz w:val="24"/>
                <w:szCs w:val="24"/>
              </w:rPr>
              <w:t>（3）</w:t>
            </w:r>
            <w:r>
              <w:rPr>
                <w:rFonts w:hint="eastAsia" w:ascii="Times New Roman" w:hAnsi="Times New Roman" w:eastAsia="宋体" w:cs="Times New Roman"/>
                <w:sz w:val="24"/>
                <w:szCs w:val="24"/>
                <w:lang w:eastAsia="zh-CN"/>
              </w:rPr>
              <w:t>工程</w:t>
            </w:r>
            <w:r>
              <w:rPr>
                <w:rFonts w:hint="eastAsia" w:ascii="Times New Roman" w:hAnsi="Times New Roman" w:eastAsia="宋体" w:cs="Times New Roman"/>
                <w:color w:val="000000"/>
                <w:sz w:val="24"/>
                <w:szCs w:val="24"/>
                <w:lang w:eastAsia="zh-CN"/>
              </w:rPr>
              <w:t>弃渣</w:t>
            </w:r>
          </w:p>
          <w:p>
            <w:pPr>
              <w:snapToGrid w:val="0"/>
              <w:spacing w:line="360" w:lineRule="auto"/>
              <w:ind w:firstLine="525"/>
              <w:rPr>
                <w:rFonts w:hint="default"/>
                <w:sz w:val="24"/>
                <w:szCs w:val="24"/>
              </w:rPr>
            </w:pPr>
            <w:r>
              <w:rPr>
                <w:rFonts w:hint="eastAsia" w:ascii="Times New Roman" w:hAnsi="Times New Roman" w:eastAsia="宋体" w:cs="Times New Roman"/>
                <w:color w:val="000000"/>
                <w:sz w:val="24"/>
                <w:szCs w:val="24"/>
              </w:rPr>
              <w:t>经土石平衡计算，</w:t>
            </w:r>
            <w:r>
              <w:rPr>
                <w:rFonts w:hint="eastAsia" w:ascii="Times New Roman" w:hAnsi="Times New Roman" w:eastAsia="宋体" w:cs="Times New Roman"/>
                <w:sz w:val="24"/>
                <w:szCs w:val="24"/>
                <w:lang w:val="en-US" w:eastAsia="zh-CN"/>
              </w:rPr>
              <w:t>开挖土石方（含疏浚物）弃土全部</w:t>
            </w:r>
            <w:r>
              <w:rPr>
                <w:rFonts w:hint="eastAsia" w:cs="Times New Roman"/>
                <w:sz w:val="24"/>
                <w:szCs w:val="24"/>
                <w:lang w:val="en-US" w:eastAsia="zh-CN"/>
              </w:rPr>
              <w:t>用于工程河道回填</w:t>
            </w:r>
            <w:r>
              <w:rPr>
                <w:rFonts w:hint="eastAsia" w:ascii="Times New Roman" w:hAnsi="Times New Roman" w:eastAsia="宋体" w:cs="Times New Roman"/>
                <w:color w:val="000000"/>
                <w:sz w:val="24"/>
                <w:szCs w:val="24"/>
                <w:lang w:val="zh-CN"/>
              </w:rPr>
              <w:t>。</w:t>
            </w:r>
            <w:r>
              <w:rPr>
                <w:rFonts w:hint="eastAsia" w:ascii="Times New Roman" w:hAnsi="Times New Roman" w:eastAsia="宋体" w:cs="Times New Roman"/>
                <w:sz w:val="24"/>
                <w:szCs w:val="24"/>
                <w:lang w:eastAsia="zh-CN"/>
              </w:rPr>
              <w:t>本项目不设置弃渣场</w:t>
            </w:r>
            <w:r>
              <w:rPr>
                <w:rFonts w:hint="default" w:ascii="Times New Roman" w:hAnsi="Times New Roman" w:eastAsia="宋体" w:cs="Times New Roman"/>
                <w:sz w:val="24"/>
                <w:szCs w:val="24"/>
              </w:rPr>
              <w:t>。</w:t>
            </w:r>
          </w:p>
          <w:p>
            <w:pPr>
              <w:pStyle w:val="123"/>
              <w:keepNext w:val="0"/>
              <w:keepLines w:val="0"/>
              <w:pageBreakBefore w:val="0"/>
              <w:kinsoku/>
              <w:wordWrap/>
              <w:overflowPunct/>
              <w:topLinePunct w:val="0"/>
              <w:autoSpaceDE/>
              <w:autoSpaceDN/>
              <w:bidi w:val="0"/>
              <w:adjustRightInd/>
              <w:snapToGrid w:val="0"/>
              <w:spacing w:before="0" w:after="0"/>
              <w:textAlignment w:val="auto"/>
              <w:rPr>
                <w:rFonts w:hint="eastAsia" w:ascii="宋体" w:hAnsi="宋体"/>
                <w:color w:val="auto"/>
                <w:sz w:val="24"/>
                <w:szCs w:val="24"/>
                <w:lang w:val="zh-CN"/>
              </w:rPr>
            </w:pPr>
            <w:r>
              <w:rPr>
                <w:rFonts w:hint="eastAsia" w:ascii="宋体" w:hAnsi="宋体"/>
                <w:color w:val="auto"/>
                <w:sz w:val="24"/>
                <w:szCs w:val="24"/>
                <w:lang w:val="zh-CN"/>
              </w:rPr>
              <w:t>土石方临时堆存要求：工程实施过程中，土石方调运采用了遮盖、洒水等保护措施，且本次土石方转运基本都处于工程建设场地，大部分土石方在工程建设过程中得以运用。</w:t>
            </w:r>
            <w:r>
              <w:rPr>
                <w:rFonts w:hint="eastAsia" w:ascii="Times New Roman" w:hAnsi="Times New Roman" w:eastAsia="宋体" w:cs="Times New Roman"/>
                <w:sz w:val="24"/>
                <w:szCs w:val="24"/>
                <w:lang w:eastAsia="zh-CN"/>
              </w:rPr>
              <w:t>开挖</w:t>
            </w:r>
            <w:r>
              <w:rPr>
                <w:rFonts w:hint="default" w:ascii="Times New Roman" w:hAnsi="Times New Roman" w:eastAsia="宋体" w:cs="Times New Roman"/>
                <w:sz w:val="24"/>
                <w:szCs w:val="24"/>
              </w:rPr>
              <w:t>土石方</w:t>
            </w:r>
            <w:r>
              <w:rPr>
                <w:rFonts w:hint="eastAsia" w:ascii="Times New Roman" w:hAnsi="Times New Roman" w:eastAsia="宋体" w:cs="Times New Roman"/>
                <w:sz w:val="24"/>
                <w:szCs w:val="24"/>
                <w:lang w:eastAsia="zh-CN"/>
              </w:rPr>
              <w:t>（含表土）</w:t>
            </w:r>
            <w:r>
              <w:rPr>
                <w:rFonts w:hint="default" w:ascii="Times New Roman" w:hAnsi="Times New Roman" w:eastAsia="宋体" w:cs="Times New Roman"/>
                <w:sz w:val="24"/>
                <w:szCs w:val="24"/>
              </w:rPr>
              <w:t>在</w:t>
            </w:r>
            <w:r>
              <w:rPr>
                <w:rFonts w:hint="eastAsia" w:ascii="Times New Roman" w:hAnsi="Times New Roman" w:eastAsia="宋体" w:cs="Times New Roman"/>
                <w:sz w:val="24"/>
                <w:szCs w:val="24"/>
                <w:lang w:eastAsia="zh-CN"/>
              </w:rPr>
              <w:t>堤后</w:t>
            </w:r>
            <w:r>
              <w:rPr>
                <w:rFonts w:hint="default" w:ascii="Times New Roman" w:hAnsi="Times New Roman" w:eastAsia="宋体" w:cs="Times New Roman"/>
                <w:sz w:val="24"/>
                <w:szCs w:val="24"/>
              </w:rPr>
              <w:t>临时堆放的时候需要采取适当的护坡、排水等防护措施，避免渣体冲刷、滑落和坍塌，引发新的水土流失。</w:t>
            </w:r>
          </w:p>
          <w:p>
            <w:pPr>
              <w:keepNext w:val="0"/>
              <w:keepLines w:val="0"/>
              <w:pageBreakBefore w:val="0"/>
              <w:tabs>
                <w:tab w:val="left" w:pos="5760"/>
              </w:tabs>
              <w:kinsoku/>
              <w:wordWrap/>
              <w:overflowPunct/>
              <w:topLinePunct w:val="0"/>
              <w:autoSpaceDE/>
              <w:autoSpaceDN/>
              <w:bidi w:val="0"/>
              <w:adjustRightInd/>
              <w:snapToGrid w:val="0"/>
              <w:spacing w:line="360" w:lineRule="auto"/>
              <w:ind w:firstLine="480" w:firstLineChars="200"/>
              <w:textAlignment w:val="auto"/>
              <w:rPr>
                <w:rFonts w:hint="eastAsia" w:ascii="宋体" w:hAnsi="宋体"/>
                <w:color w:val="000000"/>
                <w:sz w:val="24"/>
                <w:szCs w:val="24"/>
              </w:rPr>
            </w:pPr>
            <w:r>
              <w:rPr>
                <w:rFonts w:hint="eastAsia"/>
                <w:sz w:val="24"/>
                <w:szCs w:val="24"/>
              </w:rPr>
              <w:t>根据调查，河道</w:t>
            </w:r>
            <w:r>
              <w:rPr>
                <w:rFonts w:hint="eastAsia"/>
                <w:sz w:val="24"/>
                <w:szCs w:val="24"/>
                <w:lang w:eastAsia="zh-CN"/>
              </w:rPr>
              <w:t>淤积物</w:t>
            </w:r>
            <w:r>
              <w:rPr>
                <w:rFonts w:hint="eastAsia"/>
                <w:sz w:val="24"/>
                <w:szCs w:val="24"/>
              </w:rPr>
              <w:t>主要为多年由于河水冲刷淤积在河道中底泥，根据上游以及沿线污染源调查分析，无污染型工业企业排放，</w:t>
            </w:r>
            <w:r>
              <w:rPr>
                <w:rFonts w:hint="eastAsia"/>
                <w:sz w:val="24"/>
                <w:szCs w:val="24"/>
                <w:lang w:eastAsia="zh-CN"/>
              </w:rPr>
              <w:t>无</w:t>
            </w:r>
            <w:r>
              <w:rPr>
                <w:rFonts w:hint="eastAsia"/>
                <w:sz w:val="24"/>
                <w:szCs w:val="24"/>
              </w:rPr>
              <w:t>居民生活污水</w:t>
            </w:r>
            <w:r>
              <w:rPr>
                <w:rFonts w:hint="eastAsia"/>
                <w:sz w:val="24"/>
                <w:szCs w:val="24"/>
                <w:lang w:eastAsia="zh-CN"/>
              </w:rPr>
              <w:t>直接外排河道</w:t>
            </w:r>
            <w:r>
              <w:rPr>
                <w:rFonts w:hint="eastAsia"/>
                <w:sz w:val="24"/>
                <w:szCs w:val="24"/>
              </w:rPr>
              <w:t>，河道内底泥没有积累性的重金属污染物，因此开挖</w:t>
            </w:r>
            <w:r>
              <w:rPr>
                <w:rFonts w:hint="eastAsia"/>
                <w:sz w:val="24"/>
                <w:szCs w:val="24"/>
                <w:lang w:eastAsia="zh-CN"/>
              </w:rPr>
              <w:t>疏浚物</w:t>
            </w:r>
            <w:r>
              <w:rPr>
                <w:rFonts w:hint="eastAsia"/>
                <w:sz w:val="24"/>
                <w:szCs w:val="24"/>
              </w:rPr>
              <w:t>堆存不会对当地土壤环境和地下水环境造成污染影响。施工过程中</w:t>
            </w:r>
            <w:r>
              <w:rPr>
                <w:rFonts w:hint="eastAsia"/>
                <w:sz w:val="24"/>
                <w:szCs w:val="24"/>
                <w:lang w:eastAsia="zh-CN"/>
              </w:rPr>
              <w:t>疏浚产生的疏浚物在堤后回填时需做好挡护、防雨、排水、防流失等水土保持措施；</w:t>
            </w:r>
            <w:r>
              <w:rPr>
                <w:sz w:val="24"/>
                <w:szCs w:val="24"/>
              </w:rPr>
              <w:t>尽量减小堆存坡度，以防产生明显的水土流失</w:t>
            </w:r>
            <w:r>
              <w:rPr>
                <w:rFonts w:hint="eastAsia"/>
                <w:sz w:val="24"/>
                <w:szCs w:val="24"/>
                <w:lang w:eastAsia="zh-CN"/>
              </w:rPr>
              <w:t>；妥善堆存，</w:t>
            </w:r>
            <w:r>
              <w:rPr>
                <w:rFonts w:hint="eastAsia"/>
                <w:sz w:val="24"/>
                <w:szCs w:val="24"/>
              </w:rPr>
              <w:t>防止</w:t>
            </w:r>
            <w:r>
              <w:rPr>
                <w:rFonts w:hint="eastAsia"/>
                <w:sz w:val="24"/>
                <w:szCs w:val="24"/>
                <w:lang w:eastAsia="zh-CN"/>
              </w:rPr>
              <w:t>疏浚物</w:t>
            </w:r>
            <w:r>
              <w:rPr>
                <w:rFonts w:hint="eastAsia"/>
                <w:sz w:val="24"/>
                <w:szCs w:val="24"/>
              </w:rPr>
              <w:t>再次流入河道内以及淹没农田</w:t>
            </w:r>
            <w:r>
              <w:rPr>
                <w:rFonts w:hint="eastAsia" w:hAnsi="宋体"/>
                <w:sz w:val="24"/>
                <w:szCs w:val="24"/>
              </w:rPr>
              <w:t>。</w:t>
            </w:r>
            <w:r>
              <w:rPr>
                <w:rFonts w:hint="eastAsia" w:ascii="宋体" w:hAnsi="宋体"/>
                <w:color w:val="000000"/>
                <w:sz w:val="24"/>
                <w:szCs w:val="24"/>
              </w:rPr>
              <w:t>严格控制临时占地区域，竣工后尽快恢复原状。</w:t>
            </w:r>
          </w:p>
          <w:p>
            <w:pPr>
              <w:spacing w:line="360" w:lineRule="auto"/>
              <w:ind w:firstLine="480" w:firstLineChars="200"/>
              <w:rPr>
                <w:rFonts w:hAnsi="宋体"/>
                <w:b w:val="0"/>
                <w:bCs w:val="0"/>
                <w:color w:val="000000"/>
                <w:sz w:val="24"/>
                <w:szCs w:val="24"/>
              </w:rPr>
            </w:pPr>
            <w:r>
              <w:rPr>
                <w:rFonts w:hint="eastAsia" w:ascii="宋体" w:hAnsi="宋体" w:eastAsia="宋体" w:cs="宋体"/>
                <w:b w:val="0"/>
                <w:bCs w:val="0"/>
                <w:color w:val="000000"/>
                <w:sz w:val="24"/>
                <w:szCs w:val="24"/>
                <w:lang w:eastAsia="zh-CN"/>
              </w:rPr>
              <w:t>（</w:t>
            </w:r>
            <w:r>
              <w:rPr>
                <w:rFonts w:hint="eastAsia" w:ascii="宋体" w:hAnsi="宋体" w:eastAsia="宋体" w:cs="宋体"/>
                <w:b w:val="0"/>
                <w:bCs w:val="0"/>
                <w:color w:val="000000"/>
                <w:sz w:val="24"/>
                <w:szCs w:val="24"/>
                <w:lang w:val="en-US" w:eastAsia="zh-CN"/>
              </w:rPr>
              <w:t>4</w:t>
            </w:r>
            <w:r>
              <w:rPr>
                <w:rFonts w:hint="eastAsia" w:ascii="宋体" w:hAnsi="宋体" w:eastAsia="宋体" w:cs="宋体"/>
                <w:b w:val="0"/>
                <w:bCs w:val="0"/>
                <w:color w:val="000000"/>
                <w:sz w:val="24"/>
                <w:szCs w:val="24"/>
                <w:lang w:eastAsia="zh-CN"/>
              </w:rPr>
              <w:t>）</w:t>
            </w:r>
            <w:r>
              <w:rPr>
                <w:rFonts w:hint="eastAsia" w:hAnsi="宋体"/>
                <w:b w:val="0"/>
                <w:bCs w:val="0"/>
                <w:color w:val="000000"/>
                <w:sz w:val="24"/>
                <w:szCs w:val="24"/>
              </w:rPr>
              <w:t>施工期固体废弃物环境保护措施</w:t>
            </w:r>
          </w:p>
          <w:p>
            <w:pPr>
              <w:spacing w:line="360" w:lineRule="auto"/>
              <w:ind w:firstLine="484" w:firstLineChars="202"/>
              <w:rPr>
                <w:rFonts w:ascii="宋体" w:hAnsi="宋体"/>
                <w:sz w:val="24"/>
                <w:szCs w:val="24"/>
              </w:rPr>
            </w:pPr>
            <w:r>
              <w:rPr>
                <w:rFonts w:hint="eastAsia" w:ascii="宋体" w:hAnsi="宋体"/>
                <w:sz w:val="24"/>
                <w:szCs w:val="24"/>
              </w:rPr>
              <w:t>①施工</w:t>
            </w:r>
            <w:r>
              <w:rPr>
                <w:rFonts w:ascii="宋体" w:hAnsi="宋体"/>
                <w:sz w:val="24"/>
                <w:szCs w:val="24"/>
              </w:rPr>
              <w:t>过程中产生的废弃材料必须回收</w:t>
            </w:r>
            <w:r>
              <w:rPr>
                <w:rFonts w:hint="eastAsia" w:ascii="宋体" w:hAnsi="宋体"/>
                <w:sz w:val="24"/>
                <w:szCs w:val="24"/>
              </w:rPr>
              <w:t xml:space="preserve">，遗弃的沙石、建材、钢材、包装材料等分类堆放，并及时清运，做到工完场清，尽量结合周围工程建设消化建筑垃圾，严禁随意处置。 </w:t>
            </w:r>
          </w:p>
          <w:p>
            <w:pPr>
              <w:spacing w:line="360" w:lineRule="auto"/>
              <w:ind w:firstLine="484" w:firstLineChars="202"/>
              <w:rPr>
                <w:rFonts w:ascii="宋体" w:hAnsi="宋体"/>
                <w:sz w:val="24"/>
                <w:szCs w:val="24"/>
              </w:rPr>
            </w:pPr>
            <w:r>
              <w:rPr>
                <w:rFonts w:hint="eastAsia" w:ascii="宋体" w:hAnsi="宋体"/>
                <w:sz w:val="24"/>
                <w:szCs w:val="24"/>
              </w:rPr>
              <w:t>②施工产生的挖方，本着以挖作填的原则，进行综合利用。将挖方中能用的部分优先用作填方。不能利用的作为弃方</w:t>
            </w:r>
            <w:r>
              <w:rPr>
                <w:rFonts w:hint="eastAsia" w:ascii="宋体" w:hAnsi="宋体"/>
                <w:sz w:val="24"/>
                <w:szCs w:val="24"/>
                <w:lang w:eastAsia="zh-CN"/>
              </w:rPr>
              <w:t>用地堤后低洼地回填</w:t>
            </w:r>
            <w:r>
              <w:rPr>
                <w:rFonts w:hint="eastAsia" w:ascii="宋体" w:hAnsi="宋体"/>
                <w:sz w:val="24"/>
                <w:szCs w:val="24"/>
              </w:rPr>
              <w:t>，</w:t>
            </w:r>
            <w:r>
              <w:rPr>
                <w:rFonts w:hint="eastAsia" w:ascii="宋体" w:hAnsi="宋体"/>
                <w:sz w:val="24"/>
                <w:szCs w:val="24"/>
                <w:lang w:eastAsia="zh-CN"/>
              </w:rPr>
              <w:t>临时</w:t>
            </w:r>
            <w:r>
              <w:rPr>
                <w:rFonts w:hint="eastAsia" w:ascii="宋体" w:hAnsi="宋体"/>
                <w:sz w:val="24"/>
                <w:szCs w:val="24"/>
              </w:rPr>
              <w:t>堆放过程中，</w:t>
            </w:r>
            <w:r>
              <w:rPr>
                <w:rFonts w:ascii="宋体" w:hAnsi="宋体"/>
                <w:sz w:val="24"/>
                <w:szCs w:val="24"/>
              </w:rPr>
              <w:t>及时进行平整和压实，</w:t>
            </w:r>
            <w:r>
              <w:rPr>
                <w:rFonts w:hint="eastAsia" w:ascii="宋体" w:hAnsi="宋体"/>
                <w:sz w:val="24"/>
                <w:szCs w:val="24"/>
              </w:rPr>
              <w:t>必要时，</w:t>
            </w:r>
            <w:r>
              <w:rPr>
                <w:rFonts w:ascii="宋体" w:hAnsi="宋体"/>
                <w:sz w:val="24"/>
                <w:szCs w:val="24"/>
              </w:rPr>
              <w:t>施工结束后</w:t>
            </w:r>
            <w:r>
              <w:rPr>
                <w:rFonts w:hint="eastAsia" w:ascii="宋体" w:hAnsi="宋体"/>
                <w:sz w:val="24"/>
                <w:szCs w:val="24"/>
              </w:rPr>
              <w:t>进行复耕</w:t>
            </w:r>
            <w:r>
              <w:rPr>
                <w:rFonts w:ascii="宋体" w:hAnsi="宋体"/>
                <w:sz w:val="24"/>
                <w:szCs w:val="24"/>
              </w:rPr>
              <w:t>。</w:t>
            </w:r>
          </w:p>
          <w:p>
            <w:pPr>
              <w:spacing w:line="360" w:lineRule="auto"/>
              <w:ind w:firstLine="484" w:firstLineChars="202"/>
              <w:rPr>
                <w:rFonts w:ascii="宋体" w:hAnsi="宋体"/>
                <w:sz w:val="24"/>
                <w:szCs w:val="24"/>
              </w:rPr>
            </w:pPr>
            <w:r>
              <w:rPr>
                <w:rFonts w:hint="eastAsia" w:ascii="宋体" w:hAnsi="宋体"/>
                <w:sz w:val="24"/>
                <w:szCs w:val="24"/>
              </w:rPr>
              <w:t>③</w:t>
            </w:r>
            <w:r>
              <w:rPr>
                <w:rFonts w:ascii="宋体" w:hAnsi="宋体"/>
                <w:sz w:val="24"/>
                <w:szCs w:val="24"/>
              </w:rPr>
              <w:t>雨天应考虑对</w:t>
            </w:r>
            <w:r>
              <w:rPr>
                <w:rFonts w:hint="eastAsia" w:ascii="宋体" w:hAnsi="宋体"/>
                <w:sz w:val="24"/>
                <w:szCs w:val="24"/>
              </w:rPr>
              <w:t>原材料</w:t>
            </w:r>
            <w:r>
              <w:rPr>
                <w:rFonts w:ascii="宋体" w:hAnsi="宋体"/>
                <w:sz w:val="24"/>
                <w:szCs w:val="24"/>
              </w:rPr>
              <w:t>料场表面加以覆盖。</w:t>
            </w:r>
            <w:r>
              <w:rPr>
                <w:rFonts w:hint="eastAsia" w:ascii="宋体" w:hAnsi="宋体"/>
                <w:sz w:val="24"/>
                <w:szCs w:val="24"/>
              </w:rPr>
              <w:t>同时</w:t>
            </w:r>
            <w:r>
              <w:rPr>
                <w:rFonts w:hint="eastAsia" w:ascii="宋体" w:hAnsi="宋体"/>
                <w:sz w:val="24"/>
                <w:szCs w:val="24"/>
                <w:lang w:eastAsia="zh-CN"/>
              </w:rPr>
              <w:t>土石方回填利用</w:t>
            </w:r>
            <w:r>
              <w:rPr>
                <w:rFonts w:hint="eastAsia" w:ascii="宋体" w:hAnsi="宋体"/>
                <w:sz w:val="24"/>
                <w:szCs w:val="24"/>
              </w:rPr>
              <w:t>应</w:t>
            </w:r>
            <w:r>
              <w:rPr>
                <w:rFonts w:hint="eastAsia" w:ascii="宋体" w:hAnsi="宋体"/>
                <w:sz w:val="24"/>
                <w:szCs w:val="24"/>
                <w:lang w:eastAsia="zh-CN"/>
              </w:rPr>
              <w:t>采取相关措施，</w:t>
            </w:r>
            <w:r>
              <w:rPr>
                <w:rFonts w:hint="eastAsia" w:ascii="宋体" w:hAnsi="宋体"/>
                <w:sz w:val="24"/>
                <w:szCs w:val="24"/>
              </w:rPr>
              <w:t>防止产生水土流失。</w:t>
            </w:r>
          </w:p>
          <w:p>
            <w:pPr>
              <w:spacing w:line="360" w:lineRule="auto"/>
              <w:ind w:firstLine="484" w:firstLineChars="202"/>
              <w:rPr>
                <w:rFonts w:ascii="宋体" w:hAnsi="宋体"/>
                <w:sz w:val="24"/>
                <w:szCs w:val="24"/>
              </w:rPr>
            </w:pPr>
            <w:r>
              <w:rPr>
                <w:rFonts w:hint="eastAsia" w:ascii="宋体" w:hAnsi="宋体"/>
                <w:sz w:val="24"/>
                <w:szCs w:val="24"/>
              </w:rPr>
              <w:t>④加强施工人员的教育和管理，保持施工场地清洁。</w:t>
            </w:r>
          </w:p>
          <w:p>
            <w:pPr>
              <w:spacing w:line="360" w:lineRule="auto"/>
              <w:ind w:firstLine="480" w:firstLineChars="200"/>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sz w:val="24"/>
                <w:szCs w:val="24"/>
              </w:rPr>
              <w:t>通过采取上述措施后，</w:t>
            </w:r>
            <w:r>
              <w:rPr>
                <w:rFonts w:hint="default" w:ascii="Times New Roman" w:hAnsi="Times New Roman" w:eastAsia="宋体" w:cs="Times New Roman"/>
                <w:bCs/>
                <w:color w:val="000000"/>
                <w:sz w:val="24"/>
                <w:szCs w:val="24"/>
              </w:rPr>
              <w:t>本项目施工期固废</w:t>
            </w:r>
            <w:r>
              <w:rPr>
                <w:rFonts w:hint="default" w:ascii="Times New Roman" w:hAnsi="Times New Roman" w:eastAsia="宋体" w:cs="Times New Roman"/>
                <w:bCs/>
                <w:color w:val="000000"/>
                <w:kern w:val="0"/>
                <w:sz w:val="24"/>
                <w:szCs w:val="24"/>
              </w:rPr>
              <w:t>对周围环境影响较小</w:t>
            </w:r>
            <w:r>
              <w:rPr>
                <w:rFonts w:hint="default" w:ascii="Times New Roman" w:hAnsi="Times New Roman" w:eastAsia="宋体" w:cs="Times New Roman"/>
                <w:color w:val="000000"/>
                <w:kern w:val="0"/>
                <w:sz w:val="24"/>
                <w:szCs w:val="24"/>
              </w:rPr>
              <w:t>。</w:t>
            </w:r>
          </w:p>
          <w:p>
            <w:pPr>
              <w:pStyle w:val="20"/>
              <w:rPr>
                <w:rFonts w:hint="eastAsia"/>
                <w:sz w:val="24"/>
                <w:szCs w:val="24"/>
                <w:lang w:val="en-US" w:eastAsia="zh-CN"/>
              </w:rPr>
            </w:pPr>
          </w:p>
          <w:p>
            <w:pPr>
              <w:pStyle w:val="65"/>
              <w:pageBreakBefore w:val="0"/>
              <w:kinsoku/>
              <w:wordWrap/>
              <w:overflowPunct/>
              <w:topLinePunct w:val="0"/>
              <w:bidi w:val="0"/>
              <w:adjustRightInd w:val="0"/>
              <w:snapToGrid w:val="0"/>
              <w:spacing w:line="360" w:lineRule="auto"/>
              <w:ind w:right="0" w:firstLine="480" w:firstLineChars="200"/>
              <w:textAlignment w:val="auto"/>
              <w:rPr>
                <w:rFonts w:hint="default"/>
                <w:color w:val="auto"/>
                <w:sz w:val="24"/>
                <w:szCs w:val="24"/>
                <w:lang w:val="en-US" w:eastAsia="zh-CN"/>
              </w:rPr>
            </w:pPr>
          </w:p>
          <w:p>
            <w:pPr>
              <w:pStyle w:val="65"/>
              <w:pageBreakBefore w:val="0"/>
              <w:kinsoku/>
              <w:wordWrap/>
              <w:overflowPunct/>
              <w:topLinePunct w:val="0"/>
              <w:bidi w:val="0"/>
              <w:adjustRightInd w:val="0"/>
              <w:snapToGrid w:val="0"/>
              <w:spacing w:line="360" w:lineRule="auto"/>
              <w:ind w:right="0" w:firstLine="480" w:firstLineChars="200"/>
              <w:textAlignment w:val="auto"/>
              <w:rPr>
                <w:rFonts w:hint="default"/>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27" w:type="dxa"/>
            <w:noWrap w:val="0"/>
            <w:tcMar>
              <w:left w:w="28" w:type="dxa"/>
              <w:right w:w="28" w:type="dxa"/>
            </w:tcMar>
            <w:vAlign w:val="center"/>
          </w:tcPr>
          <w:p>
            <w:pPr>
              <w:pStyle w:val="26"/>
              <w:adjustRightInd w:val="0"/>
              <w:snapToGrid w:val="0"/>
              <w:spacing w:before="0" w:beforeAutospacing="0" w:after="0" w:afterAutospacing="0"/>
              <w:jc w:val="center"/>
              <w:rPr>
                <w:rFonts w:cs="宋体"/>
                <w:bCs/>
                <w:kern w:val="2"/>
                <w:sz w:val="24"/>
                <w:szCs w:val="24"/>
              </w:rPr>
            </w:pPr>
            <w:r>
              <w:rPr>
                <w:rFonts w:hint="eastAsia" w:cs="宋体"/>
                <w:b/>
                <w:bCs w:val="0"/>
                <w:spacing w:val="10"/>
                <w:kern w:val="2"/>
                <w:sz w:val="24"/>
                <w:szCs w:val="24"/>
              </w:rPr>
              <w:t>运营期生态环境影响分析</w:t>
            </w:r>
          </w:p>
        </w:tc>
        <w:tc>
          <w:tcPr>
            <w:tcW w:w="9092" w:type="dxa"/>
            <w:noWrap w:val="0"/>
            <w:vAlign w:val="top"/>
          </w:tcPr>
          <w:p>
            <w:pPr>
              <w:keepNext w:val="0"/>
              <w:keepLines w:val="0"/>
              <w:widowControl/>
              <w:suppressLineNumbers w:val="0"/>
              <w:spacing w:line="360" w:lineRule="auto"/>
              <w:ind w:firstLine="482" w:firstLineChars="200"/>
              <w:jc w:val="left"/>
              <w:rPr>
                <w:rFonts w:hint="eastAsia" w:ascii="Times New Roman" w:hAnsi="Times New Roman" w:eastAsia="宋体" w:cs="Times New Roman"/>
                <w:b/>
                <w:bCs/>
                <w:color w:val="auto"/>
                <w:sz w:val="24"/>
                <w:szCs w:val="24"/>
                <w:highlight w:val="none"/>
                <w:lang w:val="en-US" w:eastAsia="zh-CN" w:bidi="ar-SA"/>
              </w:rPr>
            </w:pPr>
            <w:bookmarkStart w:id="70" w:name="_Toc3490"/>
            <w:bookmarkStart w:id="71" w:name="_Toc4556"/>
            <w:r>
              <w:rPr>
                <w:rFonts w:hint="eastAsia" w:ascii="Times New Roman" w:hAnsi="Times New Roman" w:eastAsia="宋体" w:cs="Times New Roman"/>
                <w:b/>
                <w:bCs/>
                <w:color w:val="auto"/>
                <w:sz w:val="24"/>
                <w:szCs w:val="24"/>
                <w:highlight w:val="none"/>
                <w:lang w:val="en-US" w:eastAsia="zh-CN" w:bidi="ar-SA"/>
              </w:rPr>
              <w:t>（一）运营期“三废”排放及影响分析</w:t>
            </w:r>
          </w:p>
          <w:p>
            <w:pPr>
              <w:spacing w:line="360" w:lineRule="auto"/>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项目为堤防与疏浚工程，正常情况下无污染物的产生与排放。</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工程中的河堤为城镇防洪工程，是为了保护沿线居民安全和正常生活而建的工程，为非污染型项目，工程的实施，对保护人民生命财产安全，保护耕地作物正常生长，促进社会稳定，保护经济建设成果，营造优良的投资环境，促障区域经济的持续发展具有积极的现实和长远意义。另外，工程实施后可有效保护</w:t>
            </w:r>
            <w:r>
              <w:rPr>
                <w:rFonts w:hint="eastAsia" w:ascii="Times New Roman" w:hAnsi="Times New Roman" w:eastAsia="宋体" w:cs="Times New Roman"/>
                <w:color w:val="000000"/>
                <w:sz w:val="24"/>
                <w:szCs w:val="24"/>
                <w:lang w:eastAsia="zh-CN"/>
              </w:rPr>
              <w:t>昭化区元坝镇长滩河支流</w:t>
            </w:r>
            <w:r>
              <w:rPr>
                <w:rFonts w:hint="eastAsia" w:ascii="Times New Roman" w:hAnsi="Times New Roman" w:eastAsia="宋体" w:cs="Times New Roman"/>
                <w:color w:val="000000"/>
                <w:sz w:val="24"/>
                <w:szCs w:val="24"/>
                <w:lang w:val="en-US" w:eastAsia="zh-CN"/>
              </w:rPr>
              <w:t>庄子沟的</w:t>
            </w:r>
            <w:r>
              <w:rPr>
                <w:rFonts w:hint="default" w:ascii="Times New Roman" w:hAnsi="Times New Roman" w:eastAsia="宋体" w:cs="Times New Roman"/>
                <w:color w:val="000000"/>
                <w:sz w:val="24"/>
                <w:szCs w:val="24"/>
              </w:rPr>
              <w:t>生态环境和沿岸土地及植被资源，将会在很大程度上减轻洪灾，减少社会不安定因素。</w:t>
            </w:r>
          </w:p>
          <w:p>
            <w:pPr>
              <w:adjustRightIn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因此，该项目建成后，有利于提高当地的防洪泄洪能力，具有明显的环境正效应。</w:t>
            </w:r>
          </w:p>
          <w:bookmarkEnd w:id="70"/>
          <w:bookmarkEnd w:id="71"/>
          <w:p>
            <w:pPr>
              <w:pageBreakBefore w:val="0"/>
              <w:widowControl w:val="0"/>
              <w:kinsoku/>
              <w:wordWrap/>
              <w:overflowPunct/>
              <w:topLinePunct w:val="0"/>
              <w:autoSpaceDE/>
              <w:autoSpaceDN/>
              <w:bidi w:val="0"/>
              <w:adjustRightInd w:val="0"/>
              <w:snapToGrid w:val="0"/>
              <w:spacing w:line="360" w:lineRule="auto"/>
              <w:ind w:right="0" w:rightChars="0" w:firstLine="482" w:firstLineChars="200"/>
              <w:textAlignment w:val="auto"/>
              <w:rPr>
                <w:rFonts w:hint="default" w:ascii="Times New Roman" w:hAnsi="Times New Roman" w:cs="Times New Roman"/>
                <w:b/>
                <w:bCs/>
                <w:color w:val="auto"/>
                <w:sz w:val="24"/>
                <w:szCs w:val="24"/>
                <w:highlight w:val="none"/>
                <w:lang w:val="en-US" w:eastAsia="zh-CN"/>
              </w:rPr>
            </w:pPr>
            <w:bookmarkStart w:id="72" w:name="_Toc5820"/>
            <w:bookmarkStart w:id="73" w:name="_Toc15776"/>
            <w:r>
              <w:rPr>
                <w:rFonts w:hint="eastAsia" w:ascii="Times New Roman" w:hAnsi="Times New Roman" w:cs="Times New Roman"/>
                <w:b/>
                <w:bCs/>
                <w:color w:val="auto"/>
                <w:sz w:val="24"/>
                <w:szCs w:val="24"/>
                <w:highlight w:val="none"/>
                <w:lang w:val="en-US" w:eastAsia="zh-CN"/>
              </w:rPr>
              <w:t>（二）运营期地表水</w:t>
            </w:r>
            <w:r>
              <w:rPr>
                <w:rFonts w:hint="default" w:ascii="Times New Roman" w:hAnsi="Times New Roman" w:cs="Times New Roman"/>
                <w:b/>
                <w:bCs/>
                <w:color w:val="auto"/>
                <w:sz w:val="24"/>
                <w:szCs w:val="24"/>
                <w:highlight w:val="none"/>
                <w:lang w:val="en-US" w:eastAsia="zh-CN"/>
              </w:rPr>
              <w:t>环境影响分析</w:t>
            </w:r>
          </w:p>
          <w:p>
            <w:pPr>
              <w:spacing w:line="360" w:lineRule="auto"/>
              <w:ind w:firstLine="480" w:firstLineChars="200"/>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lang w:eastAsia="zh-CN"/>
              </w:rPr>
              <w:t>）对地表水环境影响分析</w:t>
            </w:r>
          </w:p>
          <w:p>
            <w:pPr>
              <w:spacing w:line="360" w:lineRule="auto"/>
              <w:ind w:firstLine="480" w:firstLineChars="200"/>
              <w:rPr>
                <w:rFonts w:hint="default" w:ascii="Times New Roman" w:hAnsi="Times New Roman" w:eastAsia="宋体" w:cs="Times New Roman"/>
                <w:snapToGrid w:val="0"/>
                <w:color w:val="000000"/>
                <w:kern w:val="0"/>
                <w:sz w:val="24"/>
                <w:szCs w:val="24"/>
              </w:rPr>
            </w:pPr>
            <w:r>
              <w:rPr>
                <w:rFonts w:hint="default" w:ascii="Times New Roman" w:hAnsi="Times New Roman" w:eastAsia="宋体" w:cs="Times New Roman"/>
                <w:color w:val="000000"/>
                <w:sz w:val="24"/>
                <w:szCs w:val="24"/>
              </w:rPr>
              <w:t>项目堤防工程实施区域为</w:t>
            </w:r>
            <w:r>
              <w:rPr>
                <w:rFonts w:hint="eastAsia" w:ascii="Times New Roman" w:hAnsi="Times New Roman" w:eastAsia="宋体" w:cs="Times New Roman"/>
                <w:color w:val="000000"/>
                <w:sz w:val="24"/>
                <w:szCs w:val="24"/>
                <w:lang w:eastAsia="zh-CN"/>
              </w:rPr>
              <w:t>昭化区元坝镇</w:t>
            </w:r>
            <w:r>
              <w:rPr>
                <w:rFonts w:hint="eastAsia" w:ascii="Times New Roman" w:hAnsi="Times New Roman" w:eastAsia="宋体" w:cs="Times New Roman"/>
                <w:color w:val="auto"/>
                <w:kern w:val="2"/>
                <w:sz w:val="24"/>
                <w:szCs w:val="24"/>
                <w:highlight w:val="none"/>
                <w:lang w:val="en-US" w:eastAsia="zh-CN" w:bidi="ar-SA"/>
              </w:rPr>
              <w:t>长坝社区</w:t>
            </w:r>
            <w:r>
              <w:rPr>
                <w:rFonts w:hint="eastAsia" w:ascii="Times New Roman" w:hAnsi="Times New Roman" w:eastAsia="宋体" w:cs="Times New Roman"/>
                <w:color w:val="000000"/>
                <w:sz w:val="24"/>
                <w:szCs w:val="24"/>
                <w:lang w:eastAsia="zh-CN"/>
              </w:rPr>
              <w:t>长滩河支沟庄子沟</w:t>
            </w:r>
            <w:r>
              <w:rPr>
                <w:rFonts w:hint="default" w:ascii="Times New Roman" w:hAnsi="Times New Roman" w:eastAsia="宋体" w:cs="Times New Roman"/>
                <w:color w:val="000000"/>
                <w:sz w:val="24"/>
                <w:szCs w:val="24"/>
              </w:rPr>
              <w:t>，</w:t>
            </w:r>
            <w:r>
              <w:rPr>
                <w:rFonts w:hint="default" w:ascii="Times New Roman" w:hAnsi="Times New Roman" w:eastAsia="宋体" w:cs="Times New Roman"/>
                <w:snapToGrid w:val="0"/>
                <w:color w:val="000000"/>
                <w:kern w:val="0"/>
                <w:sz w:val="24"/>
                <w:szCs w:val="24"/>
              </w:rPr>
              <w:t>运行期对水生生态系统影响主要表现在对水生生物的影响；本项目建设后是</w:t>
            </w:r>
            <w:r>
              <w:rPr>
                <w:rFonts w:hint="eastAsia" w:ascii="Times New Roman" w:hAnsi="Times New Roman" w:eastAsia="宋体" w:cs="Times New Roman"/>
                <w:snapToGrid w:val="0"/>
                <w:color w:val="000000"/>
                <w:kern w:val="0"/>
                <w:sz w:val="24"/>
                <w:szCs w:val="24"/>
                <w:lang w:val="en-US" w:eastAsia="zh-CN"/>
              </w:rPr>
              <w:t>上游段</w:t>
            </w:r>
            <w:r>
              <w:rPr>
                <w:rFonts w:hint="default" w:ascii="Times New Roman" w:hAnsi="Times New Roman" w:eastAsia="宋体" w:cs="Times New Roman"/>
                <w:snapToGrid w:val="0"/>
                <w:color w:val="000000"/>
                <w:kern w:val="0"/>
                <w:sz w:val="24"/>
                <w:szCs w:val="24"/>
                <w:lang w:val="zh-CN"/>
              </w:rPr>
              <w:t>混凝土重力式堤</w:t>
            </w:r>
            <w:r>
              <w:rPr>
                <w:rFonts w:hint="default" w:ascii="Times New Roman" w:hAnsi="Times New Roman" w:eastAsia="宋体" w:cs="Times New Roman"/>
                <w:snapToGrid w:val="0"/>
                <w:color w:val="000000"/>
                <w:kern w:val="0"/>
                <w:sz w:val="24"/>
                <w:szCs w:val="24"/>
              </w:rPr>
              <w:t>+</w:t>
            </w:r>
            <w:r>
              <w:rPr>
                <w:rFonts w:hint="eastAsia" w:ascii="Times New Roman" w:hAnsi="Times New Roman" w:eastAsia="宋体" w:cs="Times New Roman"/>
                <w:snapToGrid w:val="0"/>
                <w:color w:val="000000"/>
                <w:kern w:val="0"/>
                <w:sz w:val="24"/>
                <w:szCs w:val="24"/>
                <w:lang w:val="en-US" w:eastAsia="zh-CN"/>
              </w:rPr>
              <w:t>下游段矩形明渠</w:t>
            </w:r>
            <w:r>
              <w:rPr>
                <w:rFonts w:hint="eastAsia" w:ascii="Times New Roman" w:hAnsi="Times New Roman" w:eastAsia="宋体" w:cs="Times New Roman"/>
                <w:snapToGrid w:val="0"/>
                <w:color w:val="000000"/>
                <w:kern w:val="0"/>
                <w:sz w:val="24"/>
                <w:szCs w:val="24"/>
                <w:lang w:val="zh-CN"/>
              </w:rPr>
              <w:t>式堤</w:t>
            </w:r>
            <w:r>
              <w:rPr>
                <w:rFonts w:hint="default" w:ascii="Times New Roman" w:hAnsi="Times New Roman" w:eastAsia="宋体" w:cs="Times New Roman"/>
                <w:snapToGrid w:val="0"/>
                <w:color w:val="000000"/>
                <w:kern w:val="0"/>
                <w:sz w:val="24"/>
                <w:szCs w:val="24"/>
              </w:rPr>
              <w:t>，改变了原有的泥土护堤，</w:t>
            </w:r>
            <w:r>
              <w:rPr>
                <w:rFonts w:hint="default" w:ascii="Times New Roman" w:hAnsi="Times New Roman" w:eastAsia="宋体" w:cs="Times New Roman"/>
                <w:color w:val="000000"/>
                <w:sz w:val="24"/>
                <w:szCs w:val="24"/>
              </w:rPr>
              <w:t>势必将改变水生生物长期的栖息地和生活活动场所</w:t>
            </w:r>
            <w:r>
              <w:rPr>
                <w:rFonts w:hint="default" w:ascii="Times New Roman" w:hAnsi="Times New Roman" w:eastAsia="宋体" w:cs="Times New Roman"/>
                <w:snapToGrid w:val="0"/>
                <w:color w:val="000000"/>
                <w:kern w:val="0"/>
                <w:sz w:val="24"/>
                <w:szCs w:val="24"/>
              </w:rPr>
              <w:t>，但是本项目实施以后，原有的被利用的水域水质将有明显改善，岸边护堤建成以后，不仅有利于防止水土流失，而且也可以避免农田使用的化肥等产生的面源污染污汇入河流，从而可以在一定程度上改善</w:t>
            </w:r>
            <w:r>
              <w:rPr>
                <w:rFonts w:hint="eastAsia" w:ascii="Times New Roman" w:hAnsi="Times New Roman" w:eastAsia="宋体" w:cs="Times New Roman"/>
                <w:color w:val="000000"/>
                <w:sz w:val="24"/>
                <w:szCs w:val="24"/>
                <w:lang w:eastAsia="zh-CN"/>
              </w:rPr>
              <w:t>长滩河支沟</w:t>
            </w:r>
            <w:r>
              <w:rPr>
                <w:rFonts w:hint="default" w:ascii="Times New Roman" w:hAnsi="Times New Roman" w:eastAsia="宋体" w:cs="Times New Roman"/>
                <w:snapToGrid w:val="0"/>
                <w:color w:val="000000"/>
                <w:kern w:val="0"/>
                <w:sz w:val="24"/>
                <w:szCs w:val="24"/>
              </w:rPr>
              <w:t>的水质。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snapToGrid w:val="0"/>
                <w:color w:val="000000"/>
                <w:kern w:val="0"/>
                <w:sz w:val="24"/>
                <w:szCs w:val="24"/>
              </w:rPr>
              <w:t>该堤线基本不占用河道行洪断面，堤防建成后，均保持了原有的河宽，水流变得更加顺畅，通过河流的自动调整，使河床朝着有利的方向发展，河道会很快达到新的平衡状态</w:t>
            </w:r>
            <w:r>
              <w:rPr>
                <w:rFonts w:hint="default" w:ascii="Times New Roman" w:hAnsi="Times New Roman" w:eastAsia="宋体" w:cs="Times New Roman"/>
                <w:color w:val="000000"/>
                <w:sz w:val="24"/>
                <w:szCs w:val="24"/>
              </w:rPr>
              <w:t>。</w:t>
            </w:r>
          </w:p>
          <w:p>
            <w:pPr>
              <w:keepNext w:val="0"/>
              <w:keepLines w:val="0"/>
              <w:pageBreakBefore w:val="0"/>
              <w:widowControl/>
              <w:suppressLineNumbers w:val="0"/>
              <w:kinsoku/>
              <w:wordWrap/>
              <w:overflowPunct/>
              <w:topLinePunct w:val="0"/>
              <w:bidi w:val="0"/>
              <w:spacing w:line="360" w:lineRule="auto"/>
              <w:ind w:firstLine="480" w:firstLineChars="200"/>
              <w:jc w:val="left"/>
              <w:textAlignment w:val="auto"/>
              <w:rPr>
                <w:rFonts w:hint="eastAsia" w:ascii="Times New Roman" w:hAnsi="Times New Roman" w:eastAsia="宋体" w:cs="Times New Roman"/>
                <w:color w:val="000000"/>
                <w:kern w:val="2"/>
                <w:sz w:val="24"/>
                <w:szCs w:val="24"/>
                <w:u w:val="none"/>
                <w:lang w:val="en-US" w:eastAsia="zh-CN" w:bidi="ar-SA"/>
              </w:rPr>
            </w:pPr>
            <w:r>
              <w:rPr>
                <w:rFonts w:hint="eastAsia" w:ascii="Times New Roman" w:hAnsi="Times New Roman" w:eastAsia="宋体" w:cs="Times New Roman"/>
                <w:color w:val="000000"/>
                <w:kern w:val="2"/>
                <w:sz w:val="24"/>
                <w:szCs w:val="24"/>
                <w:u w:val="none"/>
                <w:lang w:val="en-US" w:eastAsia="zh-CN" w:bidi="ar-SA"/>
              </w:rPr>
              <w:t>（2）对水文情势的影响：</w:t>
            </w:r>
          </w:p>
          <w:p>
            <w:pPr>
              <w:keepNext w:val="0"/>
              <w:keepLines w:val="0"/>
              <w:pageBreakBefore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cs="宋体"/>
                <w:sz w:val="24"/>
                <w:szCs w:val="24"/>
              </w:rPr>
            </w:pPr>
            <w:r>
              <w:rPr>
                <w:rFonts w:hint="eastAsia" w:ascii="宋体" w:hAnsi="宋体" w:cs="宋体"/>
                <w:sz w:val="24"/>
                <w:szCs w:val="24"/>
              </w:rPr>
              <w:t>根据工程总体布置，结合工程施工方式可以看出，只有</w:t>
            </w:r>
            <w:r>
              <w:rPr>
                <w:rFonts w:hint="eastAsia" w:ascii="宋体" w:hAnsi="宋体" w:cs="宋体"/>
                <w:sz w:val="24"/>
                <w:szCs w:val="24"/>
                <w:lang w:eastAsia="zh-CN"/>
              </w:rPr>
              <w:t>提防</w:t>
            </w:r>
            <w:r>
              <w:rPr>
                <w:rFonts w:hint="eastAsia" w:ascii="宋体" w:hAnsi="宋体" w:cs="宋体"/>
                <w:sz w:val="24"/>
                <w:szCs w:val="24"/>
              </w:rPr>
              <w:t>工程有可能会对河流流态和水力条件产生影响，进而影响所在河流水文情势。本次防洪护岸工程主要是尽可能利用堤线进行平顺护岸，以此增加河道岸坡的稳定性及抗冲刷能力，总体上不会明显改变工程区域水流流态和水力条件，不会对</w:t>
            </w:r>
            <w:r>
              <w:rPr>
                <w:rFonts w:hint="eastAsia" w:ascii="宋体" w:hAnsi="宋体" w:cs="宋体"/>
                <w:sz w:val="24"/>
                <w:szCs w:val="24"/>
                <w:lang w:eastAsia="zh-CN"/>
              </w:rPr>
              <w:t>工程河道</w:t>
            </w:r>
            <w:r>
              <w:rPr>
                <w:rFonts w:hint="eastAsia" w:ascii="宋体" w:hAnsi="宋体" w:cs="宋体"/>
                <w:sz w:val="24"/>
                <w:szCs w:val="24"/>
              </w:rPr>
              <w:t>水文情势的总体趋势产生影响。</w:t>
            </w:r>
          </w:p>
          <w:p>
            <w:pPr>
              <w:keepNext w:val="0"/>
              <w:keepLines w:val="0"/>
              <w:pageBreakBefore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工程堤顶高程满足20年一遇防洪标准，工程建设满足河道行洪安全。工程建设过程中沟道变得更顺畅，同时堤防建设过程中对河道进行了疏浚，且河堤采用混凝土浆砌卵石硬化，降低了河道糙率，提供河道行洪能力，有利于河道泄洪。</w:t>
            </w:r>
          </w:p>
          <w:p>
            <w:pPr>
              <w:keepNext w:val="0"/>
              <w:keepLines w:val="0"/>
              <w:pageBreakBefore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（3）对河势稳定影响分析</w:t>
            </w:r>
          </w:p>
          <w:p>
            <w:pPr>
              <w:keepNext w:val="0"/>
              <w:keepLines w:val="0"/>
              <w:pageBreakBefore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本工程所涉及河段河势基本稳定，天然岸线基本形成，岸线稳定，拟建的各段堤线基本上是沿天然河岸线布置，基本不占用有效行洪断面。</w:t>
            </w:r>
          </w:p>
          <w:p>
            <w:pPr>
              <w:keepNext w:val="0"/>
              <w:keepLines w:val="0"/>
              <w:pageBreakBefore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sz w:val="24"/>
                <w:szCs w:val="24"/>
                <w:lang w:val="zh-CN"/>
              </w:rPr>
            </w:pPr>
            <w:r>
              <w:rPr>
                <w:rFonts w:hint="eastAsia" w:ascii="宋体" w:hAnsi="宋体" w:eastAsia="宋体" w:cs="宋体"/>
                <w:sz w:val="24"/>
                <w:szCs w:val="24"/>
              </w:rPr>
              <w:t>工程建成后，</w:t>
            </w:r>
            <w:r>
              <w:rPr>
                <w:rFonts w:hint="eastAsia" w:ascii="宋体" w:hAnsi="宋体" w:eastAsia="宋体" w:cs="宋体"/>
                <w:sz w:val="24"/>
                <w:szCs w:val="24"/>
                <w:lang w:val="zh-CN"/>
              </w:rPr>
              <w:t>工程河段由于受堤防硬化边界的约束，水流速度较大，致上游来沙不易在河床中淤积，一般均通过河床断面向下游输移，仅极少部分物质在河底淤积，河道呈现出年内冲淤变化大，但年际相对平衡的特征。河床冲淤基本平衡，河床冲淤变化小，河型河势较稳定。</w:t>
            </w:r>
            <w:r>
              <w:rPr>
                <w:rFonts w:hint="eastAsia" w:ascii="宋体" w:hAnsi="宋体" w:eastAsia="宋体" w:cs="宋体"/>
                <w:sz w:val="24"/>
                <w:szCs w:val="24"/>
              </w:rPr>
              <w:t>建设后的过水断面已被固定，沟道河势不会发生演变现象。</w:t>
            </w:r>
          </w:p>
          <w:p>
            <w:pPr>
              <w:keepNext w:val="0"/>
              <w:keepLines w:val="0"/>
              <w:pageBreakBefore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工程建设河段的流速分布、主流线位置均无明显变化，水流动力轴线亦无变化，河道水流顺畅，流速、流态与工程建设前基本保持一致，对现有滩槽形势和河道演变趋势不会有明显影响。因此，工程的修建对工程所在沟道的影响较小，对所在河道的总体河势条件和局部河势稳定的影响较小。</w:t>
            </w:r>
          </w:p>
          <w:bookmarkEnd w:id="72"/>
          <w:bookmarkEnd w:id="73"/>
          <w:p>
            <w:pPr>
              <w:pageBreakBefore w:val="0"/>
              <w:widowControl w:val="0"/>
              <w:kinsoku/>
              <w:wordWrap/>
              <w:overflowPunct/>
              <w:topLinePunct w:val="0"/>
              <w:autoSpaceDE/>
              <w:autoSpaceDN/>
              <w:bidi w:val="0"/>
              <w:adjustRightInd w:val="0"/>
              <w:snapToGrid w:val="0"/>
              <w:spacing w:line="360" w:lineRule="auto"/>
              <w:ind w:right="0" w:rightChars="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（三）运营期生态</w:t>
            </w:r>
            <w:r>
              <w:rPr>
                <w:rFonts w:hint="default" w:ascii="Times New Roman" w:hAnsi="Times New Roman" w:cs="Times New Roman"/>
                <w:b/>
                <w:bCs/>
                <w:color w:val="auto"/>
                <w:sz w:val="24"/>
                <w:szCs w:val="24"/>
                <w:highlight w:val="none"/>
                <w:lang w:val="en-US" w:eastAsia="zh-CN"/>
              </w:rPr>
              <w:t>环境影响分析</w:t>
            </w:r>
          </w:p>
          <w:p>
            <w:pPr>
              <w:spacing w:line="360" w:lineRule="auto"/>
              <w:ind w:firstLine="480" w:firstLineChars="200"/>
              <w:rPr>
                <w:rFonts w:hint="default" w:ascii="Times New Roman" w:hAnsi="Times New Roman" w:eastAsia="宋体" w:cs="Times New Roman"/>
                <w:color w:val="000000"/>
                <w:sz w:val="24"/>
                <w:lang w:val="zh-CN" w:eastAsia="zh-CN"/>
              </w:rPr>
            </w:pPr>
            <w:r>
              <w:rPr>
                <w:rFonts w:hint="eastAsia" w:ascii="新宋体" w:hAnsi="新宋体" w:eastAsia="新宋体" w:cs="新宋体"/>
                <w:color w:val="000000"/>
                <w:sz w:val="24"/>
                <w:lang w:val="zh-CN" w:eastAsia="zh-CN"/>
              </w:rPr>
              <w:t>（</w:t>
            </w:r>
            <w:r>
              <w:rPr>
                <w:rFonts w:hint="eastAsia" w:ascii="新宋体" w:hAnsi="新宋体" w:eastAsia="新宋体" w:cs="新宋体"/>
                <w:color w:val="000000"/>
                <w:sz w:val="24"/>
                <w:lang w:val="en-US" w:eastAsia="zh-CN"/>
              </w:rPr>
              <w:t>1</w:t>
            </w:r>
            <w:r>
              <w:rPr>
                <w:rFonts w:hint="eastAsia" w:ascii="新宋体" w:hAnsi="新宋体" w:eastAsia="新宋体" w:cs="新宋体"/>
                <w:color w:val="000000"/>
                <w:sz w:val="24"/>
                <w:lang w:val="zh-CN" w:eastAsia="zh-CN"/>
              </w:rPr>
              <w:t>）</w:t>
            </w:r>
            <w:r>
              <w:rPr>
                <w:rFonts w:hint="default" w:ascii="Times New Roman" w:hAnsi="Times New Roman" w:eastAsia="宋体" w:cs="Times New Roman"/>
                <w:color w:val="000000"/>
                <w:sz w:val="24"/>
                <w:lang w:val="zh-CN" w:eastAsia="zh-CN"/>
              </w:rPr>
              <w:t>运营期对土地资源的影响</w:t>
            </w:r>
          </w:p>
          <w:p>
            <w:pPr>
              <w:spacing w:line="360" w:lineRule="auto"/>
              <w:ind w:firstLine="480" w:firstLineChars="200"/>
              <w:rPr>
                <w:rFonts w:hint="default" w:ascii="Times New Roman" w:hAnsi="Times New Roman" w:eastAsia="宋体" w:cs="Times New Roman"/>
                <w:color w:val="000000"/>
                <w:sz w:val="24"/>
                <w:lang w:val="zh-CN" w:eastAsia="zh-CN"/>
              </w:rPr>
            </w:pPr>
            <w:r>
              <w:rPr>
                <w:rFonts w:hint="default" w:ascii="Times New Roman" w:hAnsi="Times New Roman" w:eastAsia="宋体" w:cs="Times New Roman"/>
                <w:color w:val="000000"/>
                <w:sz w:val="24"/>
                <w:lang w:val="zh-CN" w:eastAsia="zh-CN"/>
              </w:rPr>
              <w:t>工程</w:t>
            </w:r>
            <w:r>
              <w:rPr>
                <w:rFonts w:hint="eastAsia" w:ascii="Times New Roman" w:hAnsi="Times New Roman" w:eastAsia="宋体" w:cs="Times New Roman"/>
                <w:color w:val="000000"/>
                <w:sz w:val="24"/>
                <w:lang w:val="zh-CN" w:eastAsia="zh-CN"/>
              </w:rPr>
              <w:t>永久性</w:t>
            </w:r>
            <w:r>
              <w:rPr>
                <w:rFonts w:hint="default" w:ascii="Times New Roman" w:hAnsi="Times New Roman" w:eastAsia="宋体" w:cs="Times New Roman"/>
                <w:color w:val="000000"/>
                <w:sz w:val="24"/>
                <w:lang w:val="zh-CN" w:eastAsia="zh-CN"/>
              </w:rPr>
              <w:t>占用土地</w:t>
            </w:r>
            <w:r>
              <w:rPr>
                <w:rFonts w:hint="eastAsia" w:ascii="Times New Roman" w:hAnsi="Times New Roman" w:eastAsia="宋体" w:cs="Times New Roman"/>
                <w:color w:val="000000"/>
                <w:sz w:val="24"/>
                <w:lang w:val="en-US" w:eastAsia="zh-CN"/>
              </w:rPr>
              <w:t>8.98亩</w:t>
            </w:r>
            <w:r>
              <w:rPr>
                <w:rFonts w:hint="default" w:ascii="Times New Roman" w:hAnsi="Times New Roman" w:eastAsia="宋体" w:cs="Times New Roman"/>
                <w:color w:val="000000"/>
                <w:sz w:val="24"/>
                <w:lang w:val="zh-CN" w:eastAsia="zh-CN"/>
              </w:rPr>
              <w:t>，该部分土地将全部转化为建设用地。相较于现在的土层表面状况，运营期土层表面被</w:t>
            </w:r>
            <w:r>
              <w:rPr>
                <w:rFonts w:hint="eastAsia" w:cs="Times New Roman"/>
                <w:color w:val="000000"/>
                <w:sz w:val="24"/>
                <w:lang w:val="en-US" w:eastAsia="zh-CN"/>
              </w:rPr>
              <w:t>河堤</w:t>
            </w:r>
            <w:r>
              <w:rPr>
                <w:rFonts w:hint="default" w:ascii="Times New Roman" w:hAnsi="Times New Roman" w:eastAsia="宋体" w:cs="Times New Roman"/>
                <w:color w:val="000000"/>
                <w:sz w:val="24"/>
                <w:lang w:val="zh-CN" w:eastAsia="zh-CN"/>
              </w:rPr>
              <w:t>所覆盖，有利于减少因雨水冲刷而产生的水土流失，会带来一定的正效应。</w:t>
            </w:r>
          </w:p>
          <w:p>
            <w:pPr>
              <w:spacing w:line="360" w:lineRule="auto"/>
              <w:ind w:firstLine="480" w:firstLineChars="200"/>
              <w:rPr>
                <w:rFonts w:hint="default" w:ascii="Times New Roman" w:hAnsi="Times New Roman" w:eastAsia="宋体" w:cs="Times New Roman"/>
                <w:color w:val="000000"/>
                <w:sz w:val="24"/>
                <w:lang w:val="zh-CN" w:eastAsia="zh-CN"/>
              </w:rPr>
            </w:pPr>
            <w:r>
              <w:rPr>
                <w:rFonts w:hint="eastAsia" w:ascii="新宋体" w:hAnsi="新宋体" w:eastAsia="新宋体" w:cs="新宋体"/>
                <w:color w:val="000000"/>
                <w:sz w:val="24"/>
                <w:lang w:val="zh-CN" w:eastAsia="zh-CN"/>
              </w:rPr>
              <w:t>（</w:t>
            </w:r>
            <w:r>
              <w:rPr>
                <w:rFonts w:hint="eastAsia" w:ascii="新宋体" w:hAnsi="新宋体" w:eastAsia="新宋体" w:cs="新宋体"/>
                <w:color w:val="000000"/>
                <w:sz w:val="24"/>
                <w:lang w:val="en-US" w:eastAsia="zh-CN"/>
              </w:rPr>
              <w:t>2</w:t>
            </w:r>
            <w:r>
              <w:rPr>
                <w:rFonts w:hint="eastAsia" w:ascii="新宋体" w:hAnsi="新宋体" w:eastAsia="新宋体" w:cs="新宋体"/>
                <w:color w:val="000000"/>
                <w:sz w:val="24"/>
                <w:lang w:val="zh-CN" w:eastAsia="zh-CN"/>
              </w:rPr>
              <w:t>）</w:t>
            </w:r>
            <w:r>
              <w:rPr>
                <w:rFonts w:hint="default" w:ascii="Times New Roman" w:hAnsi="Times New Roman" w:eastAsia="宋体" w:cs="Times New Roman"/>
                <w:color w:val="000000"/>
                <w:sz w:val="24"/>
                <w:lang w:val="zh-CN" w:eastAsia="zh-CN"/>
              </w:rPr>
              <w:t>运营期对植物资源的影响</w:t>
            </w:r>
          </w:p>
          <w:p>
            <w:pPr>
              <w:spacing w:line="360" w:lineRule="auto"/>
              <w:ind w:firstLine="480" w:firstLineChars="200"/>
              <w:rPr>
                <w:rFonts w:hint="default" w:ascii="Times New Roman" w:hAnsi="Times New Roman" w:eastAsia="宋体" w:cs="Times New Roman"/>
                <w:color w:val="000000"/>
                <w:sz w:val="24"/>
                <w:lang w:val="zh-CN" w:eastAsia="zh-CN"/>
              </w:rPr>
            </w:pPr>
            <w:r>
              <w:rPr>
                <w:rFonts w:hint="default" w:ascii="Times New Roman" w:hAnsi="Times New Roman" w:eastAsia="宋体" w:cs="Times New Roman"/>
                <w:color w:val="000000"/>
                <w:sz w:val="24"/>
                <w:lang w:val="zh-CN" w:eastAsia="zh-CN"/>
              </w:rPr>
              <w:t>工程完工后，运营期对植被、植物的干扰大大降低，因河堤修建而受到影响的植物开始进入了恢复期。同时，因工程的建设有效保护生态环境和沿岸土地及植被资源，减少冲刷与浪蚀造成的水土流失，利于植被和植物的保护。</w:t>
            </w:r>
          </w:p>
          <w:p>
            <w:pPr>
              <w:spacing w:line="360" w:lineRule="auto"/>
              <w:ind w:firstLine="480" w:firstLineChars="200"/>
              <w:rPr>
                <w:rFonts w:hint="default" w:ascii="Times New Roman" w:hAnsi="Times New Roman" w:eastAsia="宋体" w:cs="Times New Roman"/>
                <w:color w:val="000000"/>
                <w:sz w:val="24"/>
              </w:rPr>
            </w:pPr>
            <w:r>
              <w:rPr>
                <w:rFonts w:hint="eastAsia" w:ascii="新宋体" w:hAnsi="新宋体" w:eastAsia="新宋体" w:cs="新宋体"/>
                <w:color w:val="000000"/>
                <w:sz w:val="24"/>
                <w:lang w:eastAsia="zh-CN"/>
              </w:rPr>
              <w:t>（</w:t>
            </w:r>
            <w:r>
              <w:rPr>
                <w:rFonts w:hint="eastAsia" w:ascii="新宋体" w:hAnsi="新宋体" w:eastAsia="新宋体" w:cs="新宋体"/>
                <w:color w:val="000000"/>
                <w:sz w:val="24"/>
                <w:lang w:val="en-US" w:eastAsia="zh-CN"/>
              </w:rPr>
              <w:t>3</w:t>
            </w:r>
            <w:r>
              <w:rPr>
                <w:rFonts w:hint="eastAsia" w:ascii="新宋体" w:hAnsi="新宋体" w:eastAsia="新宋体" w:cs="新宋体"/>
                <w:color w:val="000000"/>
                <w:sz w:val="24"/>
                <w:lang w:eastAsia="zh-CN"/>
              </w:rPr>
              <w:t>）</w:t>
            </w:r>
            <w:r>
              <w:rPr>
                <w:rFonts w:hint="default" w:ascii="Times New Roman" w:hAnsi="Times New Roman" w:eastAsia="宋体" w:cs="Times New Roman"/>
                <w:color w:val="000000"/>
                <w:sz w:val="24"/>
              </w:rPr>
              <w:t>运营期对动物资源的影响预测</w:t>
            </w:r>
          </w:p>
          <w:p>
            <w:pPr>
              <w:spacing w:line="360" w:lineRule="auto"/>
              <w:ind w:firstLine="480" w:firstLineChars="200"/>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a、</w:t>
            </w:r>
            <w:r>
              <w:rPr>
                <w:rFonts w:hint="default" w:ascii="Times New Roman" w:hAnsi="Times New Roman" w:eastAsia="宋体" w:cs="Times New Roman"/>
                <w:color w:val="000000"/>
                <w:sz w:val="24"/>
              </w:rPr>
              <w:t>对鱼类的影响预测</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工程建设完成后，因工程建设而遭到暂时污染的水域环境也逐渐恢复，工程附近区域的自然环境较建设期得到明显改善，水环境质量也逐渐趋于稳定，部分鱼类个体将迁移至该区域，使其物种丰富度比建设期有所提高，种群数量有所增大。故就总体而言，河堤运营期对鱼类的影响小。</w:t>
            </w:r>
          </w:p>
          <w:p>
            <w:pPr>
              <w:spacing w:line="360" w:lineRule="auto"/>
              <w:ind w:firstLine="480" w:firstLineChars="200"/>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b、</w:t>
            </w:r>
            <w:r>
              <w:rPr>
                <w:rFonts w:hint="default" w:ascii="Times New Roman" w:hAnsi="Times New Roman" w:eastAsia="宋体" w:cs="Times New Roman"/>
                <w:color w:val="000000"/>
                <w:sz w:val="24"/>
              </w:rPr>
              <w:t>对两栖类、爬行类动物的影响预测</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工程建设完成后，河堤对评价区域内的两栖类和爬行类造成影响主要为阻隔影响，使栖息于河堤两侧的两栖类、爬行类种群交流困难，影响其繁殖和种群数量。</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但是，工程运营期随着施工人员和机械的撤离，人为干扰逐渐减弱，由于工程建设而破坏的栖息地慢慢的恢复，部分两栖类和爬行类动物将迁移至该区域， 使其物种丰富度和种群数量逐步向占前水平恢复，加之本项目河堤主要为生态河堤，河堤坡度不大，两栖、爬行类动物可以通过攀爬完成种群的交流。故总体而言，工程运营期对两栖、爬行类动物的影响小。</w:t>
            </w:r>
          </w:p>
          <w:p>
            <w:pPr>
              <w:spacing w:line="360" w:lineRule="auto"/>
              <w:ind w:firstLine="480" w:firstLineChars="200"/>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c、</w:t>
            </w:r>
            <w:r>
              <w:rPr>
                <w:rFonts w:hint="default" w:ascii="Times New Roman" w:hAnsi="Times New Roman" w:eastAsia="宋体" w:cs="Times New Roman"/>
                <w:color w:val="000000"/>
                <w:sz w:val="24"/>
              </w:rPr>
              <w:t>对鸟类的影响预测</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运营期工程建设区域人为活动影响较建设期减弱，工程附近区域的自然环境得到明显改善，环境质量也逐渐趋于稳定，部分鸟类个体将迁移至该区域，使其物种丰富度比建设期有所提高，种群数量有所增大。同时，由于工程建设区域附近原有大羊通道及村庄存在的时间已经较为久远，附近的鸟类对人类活动较为习惯，大部分物种所受到的影响几乎都在其耐受范围内，不会发生迁移的现象。故运营期，在一定程度上会减少鸟类的活动及觅食范围，</w:t>
            </w:r>
            <w:r>
              <w:rPr>
                <w:rFonts w:hint="eastAsia" w:cs="Times New Roman"/>
                <w:color w:val="000000"/>
                <w:sz w:val="24"/>
                <w:lang w:val="en-US" w:eastAsia="zh-CN"/>
              </w:rPr>
              <w:t>但是</w:t>
            </w:r>
            <w:r>
              <w:rPr>
                <w:rFonts w:hint="default" w:ascii="Times New Roman" w:hAnsi="Times New Roman" w:eastAsia="宋体" w:cs="Times New Roman"/>
                <w:color w:val="000000"/>
                <w:sz w:val="24"/>
              </w:rPr>
              <w:t>对鸟类的影响小。</w:t>
            </w:r>
          </w:p>
          <w:p>
            <w:pPr>
              <w:spacing w:line="360" w:lineRule="auto"/>
              <w:ind w:firstLine="480" w:firstLineChars="200"/>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d、</w:t>
            </w:r>
            <w:r>
              <w:rPr>
                <w:rFonts w:hint="default" w:ascii="Times New Roman" w:hAnsi="Times New Roman" w:eastAsia="宋体" w:cs="Times New Roman"/>
                <w:color w:val="000000"/>
                <w:sz w:val="24"/>
              </w:rPr>
              <w:t>对兽类的影响预测</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运营期工程建设区域人为活动影响较建设期减弱，工程附近区域的自然环境得到明显改善，环境质量也逐渐趋于稳定，受施工影响较大的部分小型兽类个体将迁移至该区域，使其物种丰富度比建设期有所提高，种群数量有所增大。</w:t>
            </w:r>
          </w:p>
          <w:p>
            <w:pPr>
              <w:spacing w:line="360" w:lineRule="auto"/>
              <w:ind w:firstLine="480" w:firstLineChars="200"/>
              <w:rPr>
                <w:sz w:val="24"/>
                <w:szCs w:val="24"/>
              </w:rPr>
            </w:pPr>
            <w:r>
              <w:rPr>
                <w:rFonts w:hint="eastAsia" w:ascii="Times New Roman" w:hAnsi="Times New Roman" w:eastAsia="宋体" w:cs="Times New Roman"/>
                <w:color w:val="000000"/>
                <w:sz w:val="24"/>
                <w:szCs w:val="24"/>
                <w:lang w:val="en-US" w:eastAsia="zh-CN"/>
              </w:rPr>
              <w:t>综上，防洪堤的建设对动物原有的生境和生存活动有一定的分离和阻隔作用，但评价区的动物均为广域分布的物种，当地的适宜生境较多，因而拟建防洪堤产生的动物阻隔效应较小。本工程营运期对生态环境的影响不大。</w:t>
            </w:r>
            <w:r>
              <w:rPr>
                <w:rFonts w:hint="eastAsia" w:ascii="宋体" w:hAnsi="宋体" w:eastAsia="宋体" w:cs="宋体"/>
                <w:color w:val="000000"/>
                <w:kern w:val="0"/>
                <w:sz w:val="24"/>
                <w:szCs w:val="24"/>
                <w:lang w:val="en-US" w:eastAsia="zh-CN" w:bidi="ar"/>
              </w:rPr>
              <w:t xml:space="preserve">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本项目实施以后，原有的被利用的水域水质将有明显改善，岸边防洪堤建成以后，更有利于防止水土流失，岸上雨水径流中夹带的污染物质不易直接排入河道，势必会改善</w:t>
            </w:r>
            <w:r>
              <w:rPr>
                <w:rFonts w:hint="eastAsia" w:ascii="Times New Roman" w:hAnsi="Times New Roman" w:eastAsia="宋体" w:cs="Times New Roman"/>
                <w:color w:val="000000"/>
                <w:sz w:val="24"/>
                <w:szCs w:val="24"/>
                <w:lang w:eastAsia="zh-CN"/>
              </w:rPr>
              <w:t>水体</w:t>
            </w:r>
            <w:r>
              <w:rPr>
                <w:rFonts w:hint="default" w:ascii="Times New Roman" w:hAnsi="Times New Roman" w:eastAsia="宋体" w:cs="Times New Roman"/>
                <w:color w:val="000000"/>
                <w:sz w:val="24"/>
                <w:szCs w:val="24"/>
              </w:rPr>
              <w:t>的水质，</w:t>
            </w:r>
            <w:r>
              <w:rPr>
                <w:rFonts w:hint="default" w:ascii="Times New Roman" w:hAnsi="Times New Roman" w:eastAsia="宋体" w:cs="Times New Roman"/>
                <w:bCs/>
                <w:color w:val="000000"/>
                <w:sz w:val="24"/>
                <w:szCs w:val="24"/>
              </w:rPr>
              <w:t>另外，本工程以环保及人文为本，最大限度地实现景观的协调美化作用。一般情况下，经过水土流失防治措施，工程竣工约2年后，使防治责任范围内的项目建设区90%以上的水土流失面积得到治理和改善；工程主体工程已采取了工程护坡、植物绿化措施，且堤防设计了护岸，能有效防止水流侵蚀，基本上不需要采取水土保持措施，</w:t>
            </w:r>
            <w:r>
              <w:rPr>
                <w:rFonts w:hint="default" w:ascii="Times New Roman" w:hAnsi="Times New Roman" w:eastAsia="宋体" w:cs="Times New Roman"/>
                <w:color w:val="000000"/>
                <w:sz w:val="24"/>
                <w:szCs w:val="24"/>
              </w:rPr>
              <w:t>因此，评价认为项目建成后其生态环境影响为正效应，无其他生态影响存在。</w:t>
            </w:r>
          </w:p>
          <w:p>
            <w:pPr>
              <w:spacing w:line="360" w:lineRule="auto"/>
              <w:ind w:firstLine="482" w:firstLineChars="200"/>
              <w:rPr>
                <w:rFonts w:hint="default"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lang w:eastAsia="zh-CN"/>
              </w:rPr>
              <w:t>（四）</w:t>
            </w:r>
            <w:r>
              <w:rPr>
                <w:rFonts w:hint="default" w:ascii="Times New Roman" w:hAnsi="Times New Roman" w:eastAsia="宋体" w:cs="Times New Roman"/>
                <w:b/>
                <w:color w:val="000000"/>
                <w:sz w:val="24"/>
                <w:szCs w:val="24"/>
              </w:rPr>
              <w:t>景观影响分析</w:t>
            </w:r>
          </w:p>
          <w:p>
            <w:pPr>
              <w:snapToGrid w:val="0"/>
              <w:spacing w:line="360" w:lineRule="auto"/>
              <w:ind w:firstLine="482"/>
              <w:outlineLvl w:val="0"/>
              <w:rPr>
                <w:snapToGrid w:val="0"/>
                <w:color w:val="auto"/>
                <w:kern w:val="0"/>
                <w:sz w:val="24"/>
                <w:szCs w:val="24"/>
              </w:rPr>
            </w:pPr>
            <w:r>
              <w:rPr>
                <w:rFonts w:hint="eastAsia" w:ascii="Times New Roman" w:hAnsi="Times New Roman" w:eastAsia="宋体" w:cs="Times New Roman"/>
                <w:color w:val="000000"/>
                <w:sz w:val="24"/>
                <w:szCs w:val="24"/>
                <w:lang w:eastAsia="zh-CN"/>
              </w:rPr>
              <w:t>项目河堤拟建地</w:t>
            </w:r>
            <w:r>
              <w:rPr>
                <w:rFonts w:hint="default" w:ascii="Times New Roman" w:hAnsi="Times New Roman" w:eastAsia="宋体" w:cs="Times New Roman"/>
                <w:color w:val="000000"/>
                <w:sz w:val="24"/>
                <w:szCs w:val="24"/>
              </w:rPr>
              <w:t>基本属未设防区域，</w:t>
            </w:r>
            <w:r>
              <w:rPr>
                <w:rFonts w:hint="eastAsia" w:ascii="Times New Roman" w:hAnsi="Times New Roman" w:eastAsia="宋体" w:cs="Times New Roman"/>
                <w:color w:val="000000"/>
                <w:sz w:val="24"/>
                <w:szCs w:val="24"/>
                <w:lang w:eastAsia="zh-CN"/>
              </w:rPr>
              <w:t>河道防洪标准低</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eastAsia="zh-CN"/>
              </w:rPr>
              <w:t>河岸</w:t>
            </w:r>
            <w:r>
              <w:rPr>
                <w:rFonts w:hint="default" w:ascii="Times New Roman" w:hAnsi="Times New Roman" w:eastAsia="宋体" w:cs="Times New Roman"/>
                <w:color w:val="000000"/>
                <w:sz w:val="24"/>
                <w:szCs w:val="24"/>
              </w:rPr>
              <w:t>显得粗糙、凌乱；但是随着本项目的实施，河堤沿线</w:t>
            </w:r>
            <w:r>
              <w:rPr>
                <w:rFonts w:hint="eastAsia" w:ascii="Times New Roman" w:hAnsi="Times New Roman" w:eastAsia="宋体" w:cs="Times New Roman"/>
                <w:color w:val="000000"/>
                <w:sz w:val="24"/>
                <w:szCs w:val="24"/>
                <w:lang w:eastAsia="zh-CN"/>
              </w:rPr>
              <w:t>变得规则有型</w:t>
            </w:r>
            <w:r>
              <w:rPr>
                <w:rFonts w:hint="default" w:ascii="Times New Roman" w:hAnsi="Times New Roman" w:eastAsia="宋体" w:cs="Times New Roman"/>
                <w:color w:val="000000"/>
                <w:sz w:val="24"/>
                <w:szCs w:val="24"/>
              </w:rPr>
              <w:t>，增加了河堤的美观，同时，可以给项目周边居民居民提供一个不错的休闲场所，为当地居民增添更多的美景。</w:t>
            </w:r>
          </w:p>
          <w:p>
            <w:pPr>
              <w:spacing w:line="360" w:lineRule="auto"/>
              <w:ind w:firstLine="482" w:firstLineChars="200"/>
              <w:rPr>
                <w:rFonts w:hint="default" w:ascii="Times New Roman" w:hAnsi="Times New Roman" w:eastAsia="宋体" w:cs="Times New Roman"/>
                <w:b/>
                <w:color w:val="000000"/>
                <w:sz w:val="24"/>
                <w:szCs w:val="24"/>
                <w:lang w:val="en-US" w:eastAsia="zh-CN"/>
              </w:rPr>
            </w:pPr>
            <w:r>
              <w:rPr>
                <w:rFonts w:hint="eastAsia" w:ascii="Times New Roman" w:hAnsi="Times New Roman" w:eastAsia="宋体" w:cs="Times New Roman"/>
                <w:b/>
                <w:color w:val="000000"/>
                <w:sz w:val="24"/>
                <w:szCs w:val="24"/>
                <w:lang w:val="en-US" w:eastAsia="zh-CN"/>
              </w:rPr>
              <w:t>（五）土壤环境影响分析</w:t>
            </w:r>
          </w:p>
          <w:p>
            <w:pPr>
              <w:spacing w:line="360" w:lineRule="auto"/>
              <w:ind w:firstLine="480"/>
              <w:rPr>
                <w:rFonts w:hint="eastAsia" w:cs="Times New Roman"/>
                <w:b/>
                <w:bCs/>
                <w:color w:val="auto"/>
                <w:sz w:val="24"/>
                <w:szCs w:val="24"/>
                <w:lang w:eastAsia="zh-CN" w:bidi="ar-SA"/>
              </w:rPr>
            </w:pPr>
            <w:r>
              <w:rPr>
                <w:rFonts w:hint="eastAsia" w:cs="Times New Roman"/>
                <w:sz w:val="24"/>
                <w:szCs w:val="24"/>
                <w:lang w:eastAsia="zh-CN"/>
              </w:rPr>
              <w:t>本项目为生态影响型项目，</w:t>
            </w:r>
            <w:r>
              <w:rPr>
                <w:rFonts w:hint="default" w:ascii="Times New Roman" w:hAnsi="Times New Roman" w:eastAsia="宋体" w:cs="Times New Roman"/>
                <w:sz w:val="24"/>
                <w:szCs w:val="24"/>
              </w:rPr>
              <w:t>根据《环境影响评价技术导则 土壤环境（试行）》（HJ 964-2018）附录A，本项目属于</w:t>
            </w:r>
            <w:r>
              <w:rPr>
                <w:rFonts w:hint="default" w:ascii="Times New Roman" w:hAnsi="Times New Roman" w:eastAsia="宋体" w:cs="Times New Roman"/>
                <w:sz w:val="24"/>
                <w:szCs w:val="24"/>
                <w:lang w:eastAsia="zh-CN"/>
              </w:rPr>
              <w:t>“</w:t>
            </w:r>
            <w:r>
              <w:rPr>
                <w:rFonts w:hint="eastAsia" w:cs="Times New Roman"/>
                <w:sz w:val="24"/>
                <w:szCs w:val="24"/>
                <w:lang w:eastAsia="zh-CN"/>
              </w:rPr>
              <w:t>水利</w:t>
            </w:r>
            <w:r>
              <w:rPr>
                <w:rFonts w:hint="eastAsia" w:cs="Times New Roman"/>
                <w:sz w:val="24"/>
                <w:szCs w:val="24"/>
                <w:lang w:val="en-US" w:eastAsia="zh-CN"/>
              </w:rPr>
              <w:t xml:space="preserve">  其他</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w:t>
            </w:r>
            <w:r>
              <w:rPr>
                <w:rFonts w:hint="eastAsia" w:cs="Times New Roman"/>
                <w:sz w:val="24"/>
                <w:szCs w:val="24"/>
                <w:lang w:eastAsia="zh-CN"/>
              </w:rPr>
              <w:t>为</w:t>
            </w:r>
            <w:r>
              <w:rPr>
                <w:rFonts w:hint="default" w:ascii="Times New Roman" w:hAnsi="Times New Roman" w:eastAsia="宋体" w:cs="Times New Roman"/>
                <w:sz w:val="24"/>
                <w:szCs w:val="24"/>
              </w:rPr>
              <w:t>Ⅲ类建设项目</w:t>
            </w:r>
            <w:r>
              <w:rPr>
                <w:rFonts w:hint="eastAsia"/>
                <w:color w:val="000000"/>
                <w:sz w:val="24"/>
                <w:szCs w:val="24"/>
                <w:lang w:eastAsia="zh-CN"/>
              </w:rPr>
              <w:t>，且土壤环境敏感程度为不敏感</w:t>
            </w:r>
            <w:r>
              <w:rPr>
                <w:rFonts w:hint="eastAsia"/>
                <w:color w:val="000000"/>
                <w:sz w:val="24"/>
                <w:szCs w:val="24"/>
              </w:rPr>
              <w:t>，</w:t>
            </w:r>
            <w:r>
              <w:rPr>
                <w:color w:val="000000"/>
                <w:sz w:val="24"/>
                <w:szCs w:val="24"/>
              </w:rPr>
              <w:t>本项目可不开展土壤环境影响评价</w:t>
            </w:r>
            <w:r>
              <w:rPr>
                <w:rFonts w:hint="eastAsia"/>
                <w:color w:val="000000"/>
                <w:sz w:val="24"/>
                <w:szCs w:val="24"/>
              </w:rPr>
              <w:t>。</w:t>
            </w:r>
          </w:p>
          <w:p>
            <w:pPr>
              <w:spacing w:line="360" w:lineRule="auto"/>
              <w:ind w:firstLine="482" w:firstLineChars="200"/>
              <w:rPr>
                <w:rFonts w:hint="default"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lang w:val="en-US" w:eastAsia="zh-CN"/>
              </w:rPr>
              <w:t>（六）</w:t>
            </w:r>
            <w:r>
              <w:rPr>
                <w:rFonts w:hint="eastAsia" w:ascii="Times New Roman" w:hAnsi="Times New Roman" w:eastAsia="宋体" w:cs="Times New Roman"/>
                <w:b/>
                <w:color w:val="000000"/>
                <w:sz w:val="24"/>
                <w:szCs w:val="24"/>
                <w:lang w:eastAsia="zh-CN"/>
              </w:rPr>
              <w:t>运营期环境风险</w:t>
            </w:r>
            <w:r>
              <w:rPr>
                <w:rFonts w:hint="default" w:ascii="Times New Roman" w:hAnsi="Times New Roman" w:eastAsia="宋体" w:cs="Times New Roman"/>
                <w:b/>
                <w:color w:val="000000"/>
                <w:sz w:val="24"/>
                <w:szCs w:val="24"/>
              </w:rPr>
              <w:t>分析</w:t>
            </w:r>
          </w:p>
          <w:p>
            <w:pPr>
              <w:spacing w:line="360" w:lineRule="auto"/>
              <w:ind w:firstLine="480" w:firstLineChars="200"/>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val="en-US" w:eastAsia="zh-CN"/>
              </w:rPr>
              <w:t xml:space="preserve">工程营运期的环境风险主要为发生超设计标准洪水的来袭而因预防不够而产生的环境问题以及自然生态环境和社会环境的破坏。 </w:t>
            </w:r>
          </w:p>
          <w:p>
            <w:pPr>
              <w:spacing w:line="360" w:lineRule="auto"/>
              <w:ind w:firstLine="480" w:firstLineChars="200"/>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val="en-US" w:eastAsia="zh-CN"/>
              </w:rPr>
              <w:t xml:space="preserve">本工程的风险管理主要是有关部门应按防洪预案的要求，做好洪水预报工作，对可发生的超标洪水，做好财产转移与人员转移工作，将可能发生的灾害及影响降到最小，确保社会稳定。 </w:t>
            </w:r>
          </w:p>
          <w:p>
            <w:pPr>
              <w:spacing w:line="360" w:lineRule="auto"/>
              <w:ind w:firstLine="480" w:firstLineChars="200"/>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val="en-US" w:eastAsia="zh-CN"/>
              </w:rPr>
              <w:t>工程营运期的环境风险还有可能是在汛期由于管理失误等原因出现溃堤，但只要建设单位在营运期加强管理和维护，防洪堤出现溃堤的概率很小。</w:t>
            </w:r>
          </w:p>
          <w:p>
            <w:pPr>
              <w:spacing w:line="360" w:lineRule="auto"/>
              <w:ind w:firstLine="482" w:firstLineChars="200"/>
              <w:rPr>
                <w:rFonts w:hint="eastAsia" w:ascii="Times New Roman" w:hAnsi="Times New Roman" w:eastAsia="宋体" w:cs="Times New Roman"/>
                <w:b/>
                <w:color w:val="000000"/>
                <w:sz w:val="24"/>
                <w:szCs w:val="24"/>
                <w:lang w:eastAsia="zh-CN"/>
              </w:rPr>
            </w:pPr>
            <w:r>
              <w:rPr>
                <w:rFonts w:hint="eastAsia" w:ascii="Times New Roman" w:hAnsi="Times New Roman" w:eastAsia="宋体" w:cs="Times New Roman"/>
                <w:b/>
                <w:color w:val="000000"/>
                <w:sz w:val="24"/>
                <w:szCs w:val="24"/>
                <w:lang w:val="en-US" w:eastAsia="zh-CN"/>
              </w:rPr>
              <w:t>（七）</w:t>
            </w:r>
            <w:r>
              <w:rPr>
                <w:rFonts w:hint="default" w:ascii="Times New Roman" w:hAnsi="Times New Roman" w:eastAsia="宋体" w:cs="Times New Roman"/>
                <w:b/>
                <w:color w:val="000000"/>
                <w:sz w:val="24"/>
                <w:szCs w:val="24"/>
              </w:rPr>
              <w:t>迹地</w:t>
            </w:r>
            <w:r>
              <w:rPr>
                <w:rFonts w:hint="eastAsia" w:ascii="Times New Roman" w:hAnsi="Times New Roman" w:eastAsia="宋体" w:cs="Times New Roman"/>
                <w:b/>
                <w:color w:val="000000"/>
                <w:sz w:val="24"/>
                <w:szCs w:val="24"/>
                <w:lang w:eastAsia="zh-CN"/>
              </w:rPr>
              <w:t>恢复</w:t>
            </w:r>
          </w:p>
          <w:p>
            <w:pPr>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sz w:val="24"/>
                <w:szCs w:val="24"/>
              </w:rPr>
              <w:t>工程施工临时占地主要为施工生产区，为</w:t>
            </w:r>
            <w:r>
              <w:rPr>
                <w:rFonts w:hint="eastAsia" w:ascii="Times New Roman" w:hAnsi="Times New Roman" w:eastAsia="宋体" w:cs="Times New Roman"/>
                <w:sz w:val="24"/>
                <w:szCs w:val="24"/>
                <w:lang w:eastAsia="zh-CN"/>
              </w:rPr>
              <w:t>耕地、</w:t>
            </w:r>
            <w:r>
              <w:rPr>
                <w:rFonts w:hint="eastAsia" w:ascii="Times New Roman" w:hAnsi="Times New Roman" w:eastAsia="宋体" w:cs="Times New Roman"/>
                <w:sz w:val="24"/>
                <w:szCs w:val="24"/>
                <w:lang w:val="en-US" w:eastAsia="zh-CN"/>
              </w:rPr>
              <w:t>水域涂滩</w:t>
            </w:r>
            <w:r>
              <w:rPr>
                <w:rFonts w:hint="default" w:ascii="Times New Roman" w:hAnsi="Times New Roman" w:eastAsia="宋体" w:cs="Times New Roman"/>
                <w:sz w:val="24"/>
                <w:szCs w:val="24"/>
              </w:rPr>
              <w:t>，</w:t>
            </w:r>
            <w:r>
              <w:rPr>
                <w:rFonts w:hint="default" w:ascii="Times New Roman" w:hAnsi="Times New Roman" w:eastAsia="宋体" w:cs="Times New Roman"/>
                <w:color w:val="000000"/>
                <w:sz w:val="24"/>
                <w:szCs w:val="24"/>
              </w:rPr>
              <w:t>对临时用地内的农作物以货币补偿的形式进行补偿。在工程完工后须及时拆除临时建筑物，对临时用地进行清理平整，并做好占地区内的植被恢复工作</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对临时占地区及时恢复原状</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对临时占用耕地全部进行复耕处理</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color w:val="000000"/>
                <w:sz w:val="24"/>
                <w:szCs w:val="24"/>
                <w:lang w:eastAsia="zh-CN"/>
              </w:rPr>
              <w:t>恢复</w:t>
            </w:r>
            <w:r>
              <w:rPr>
                <w:rFonts w:hint="default" w:ascii="Times New Roman" w:hAnsi="Times New Roman" w:eastAsia="宋体" w:cs="Times New Roman"/>
                <w:color w:val="000000"/>
                <w:sz w:val="24"/>
                <w:szCs w:val="24"/>
              </w:rPr>
              <w:t>原有土地利用类型；项目建成后</w:t>
            </w:r>
            <w:r>
              <w:rPr>
                <w:rFonts w:hint="default" w:ascii="Times New Roman" w:hAnsi="Times New Roman" w:eastAsia="宋体" w:cs="Times New Roman"/>
                <w:sz w:val="24"/>
                <w:szCs w:val="24"/>
              </w:rPr>
              <w:t>对占用的</w:t>
            </w:r>
            <w:r>
              <w:rPr>
                <w:rFonts w:hint="eastAsia" w:ascii="Times New Roman" w:hAnsi="Times New Roman" w:eastAsia="宋体" w:cs="Times New Roman"/>
                <w:sz w:val="24"/>
                <w:szCs w:val="24"/>
                <w:lang w:eastAsia="zh-CN"/>
              </w:rPr>
              <w:t>林地</w:t>
            </w:r>
            <w:r>
              <w:rPr>
                <w:rFonts w:hint="default" w:ascii="Times New Roman" w:hAnsi="Times New Roman" w:eastAsia="宋体" w:cs="Times New Roman"/>
                <w:sz w:val="24"/>
                <w:szCs w:val="24"/>
              </w:rPr>
              <w:t>，根据实地条件进行</w:t>
            </w:r>
            <w:r>
              <w:rPr>
                <w:rFonts w:hint="eastAsia" w:ascii="Times New Roman" w:hAnsi="Times New Roman" w:eastAsia="宋体" w:cs="Times New Roman"/>
                <w:sz w:val="24"/>
                <w:szCs w:val="24"/>
                <w:lang w:eastAsia="zh-CN"/>
              </w:rPr>
              <w:t>植树造林，</w:t>
            </w:r>
            <w:r>
              <w:rPr>
                <w:rFonts w:hint="default" w:ascii="Times New Roman" w:hAnsi="Times New Roman" w:eastAsia="宋体" w:cs="Times New Roman"/>
                <w:color w:val="000000"/>
                <w:sz w:val="24"/>
                <w:szCs w:val="24"/>
              </w:rPr>
              <w:t>对</w:t>
            </w:r>
            <w:r>
              <w:rPr>
                <w:rFonts w:hint="eastAsia" w:ascii="Times New Roman" w:hAnsi="Times New Roman" w:eastAsia="宋体" w:cs="Times New Roman"/>
                <w:color w:val="000000"/>
                <w:sz w:val="24"/>
                <w:szCs w:val="24"/>
                <w:lang w:eastAsia="zh-CN"/>
              </w:rPr>
              <w:t>临时</w:t>
            </w:r>
            <w:r>
              <w:rPr>
                <w:rFonts w:hint="default" w:ascii="Times New Roman" w:hAnsi="Times New Roman" w:eastAsia="宋体" w:cs="Times New Roman"/>
                <w:color w:val="000000"/>
                <w:sz w:val="24"/>
                <w:szCs w:val="24"/>
              </w:rPr>
              <w:t>占地进行清障平整，栽种速生</w:t>
            </w:r>
            <w:r>
              <w:rPr>
                <w:rFonts w:hint="eastAsia" w:ascii="Times New Roman" w:hAnsi="Times New Roman" w:eastAsia="宋体" w:cs="Times New Roman"/>
                <w:color w:val="000000"/>
                <w:sz w:val="24"/>
                <w:szCs w:val="24"/>
                <w:lang w:eastAsia="zh-CN"/>
              </w:rPr>
              <w:t>植物</w:t>
            </w:r>
            <w:r>
              <w:rPr>
                <w:rFonts w:hint="default" w:ascii="Times New Roman" w:hAnsi="Times New Roman" w:eastAsia="宋体" w:cs="Times New Roman"/>
                <w:color w:val="000000"/>
                <w:sz w:val="24"/>
                <w:szCs w:val="24"/>
              </w:rPr>
              <w:t>等措施。</w:t>
            </w:r>
          </w:p>
          <w:p>
            <w:pPr>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本项目占地无基本农田，施工完成后通过迹地恢复、复耕等措施，对区域农业区较</w:t>
            </w:r>
            <w:r>
              <w:rPr>
                <w:rFonts w:hint="eastAsia" w:ascii="Times New Roman" w:hAnsi="Times New Roman" w:eastAsia="宋体" w:cs="Times New Roman"/>
                <w:color w:val="000000"/>
                <w:sz w:val="24"/>
                <w:szCs w:val="24"/>
                <w:lang w:eastAsia="zh-CN"/>
              </w:rPr>
              <w:t>小</w:t>
            </w:r>
            <w:r>
              <w:rPr>
                <w:rFonts w:hint="default" w:ascii="Times New Roman" w:hAnsi="Times New Roman" w:eastAsia="宋体" w:cs="Times New Roman"/>
                <w:color w:val="000000"/>
                <w:sz w:val="24"/>
                <w:szCs w:val="24"/>
              </w:rPr>
              <w:t>影响，耕地可迅速恢复耕作</w:t>
            </w:r>
            <w:r>
              <w:rPr>
                <w:rFonts w:hint="eastAsia" w:ascii="Times New Roman" w:hAnsi="Times New Roman" w:eastAsia="宋体" w:cs="Times New Roman"/>
                <w:color w:val="000000"/>
                <w:sz w:val="24"/>
                <w:szCs w:val="24"/>
                <w:lang w:eastAsia="zh-CN"/>
              </w:rPr>
              <w:t>，不会改变区域土地利用类型</w:t>
            </w:r>
            <w:r>
              <w:rPr>
                <w:rFonts w:hint="default" w:ascii="Times New Roman" w:hAnsi="Times New Roman" w:eastAsia="宋体" w:cs="Times New Roman"/>
                <w:color w:val="000000"/>
                <w:sz w:val="24"/>
                <w:szCs w:val="24"/>
              </w:rPr>
              <w:t>。</w:t>
            </w:r>
          </w:p>
          <w:p>
            <w:pPr>
              <w:spacing w:line="360" w:lineRule="auto"/>
              <w:ind w:firstLine="482" w:firstLineChars="200"/>
              <w:outlineLvl w:val="0"/>
              <w:rPr>
                <w:rFonts w:hint="default" w:ascii="Times New Roman" w:hAnsi="Times New Roman" w:eastAsia="宋体" w:cs="Times New Roman"/>
                <w:b/>
                <w:color w:val="000000"/>
                <w:sz w:val="24"/>
              </w:rPr>
            </w:pPr>
            <w:r>
              <w:rPr>
                <w:rFonts w:hint="eastAsia" w:ascii="Times New Roman" w:hAnsi="Times New Roman" w:eastAsia="宋体" w:cs="Times New Roman"/>
                <w:b/>
                <w:color w:val="000000"/>
                <w:sz w:val="24"/>
                <w:lang w:eastAsia="zh-CN"/>
              </w:rPr>
              <w:t>（八）</w:t>
            </w:r>
            <w:r>
              <w:rPr>
                <w:rFonts w:hint="default" w:ascii="Times New Roman" w:hAnsi="Times New Roman" w:eastAsia="宋体" w:cs="Times New Roman"/>
                <w:b/>
                <w:color w:val="000000"/>
                <w:sz w:val="24"/>
              </w:rPr>
              <w:t>社会环境的影响</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1、对当地居民的生活影响</w:t>
            </w:r>
          </w:p>
          <w:p>
            <w:pPr>
              <w:tabs>
                <w:tab w:val="left" w:pos="2580"/>
                <w:tab w:val="left" w:pos="7560"/>
              </w:tabs>
              <w:spacing w:line="360" w:lineRule="auto"/>
              <w:ind w:firstLine="477" w:firstLineChars="199"/>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本项目堤防工程以及相关配套设施等，均为新建工程，根据现场调查本项目用地内不涉及住户房屋拆除问题。不会对居民住宿造成新的问题。</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2、对交通的影响</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工程施工过程中，运输材料及机械设备将会临时占用河边局部道路，施工期对当地及城市的交通会造成一定的影响，为确保交通畅通，如选择大开挖施工需采取以下保护措施：</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①、施工占用当地主要道路时，在道路两端需设置减速行驶标志牌及行驶导向牌，以引导车辆通过；施工不能全面开挖，应采用局部开挖。</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②、施工过程中联合交通管理部门，在交通较为繁忙的拥挤的路段设专人指挥交通，疏导车流；</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③、对于交通繁忙的道路要设计临时便道，并要求施工分段进行，在尽可能短的时间内完成开挖、排管、回填工作。对于交通特别繁忙的道路要求避让高峰时间。</w:t>
            </w:r>
          </w:p>
          <w:p>
            <w:pPr>
              <w:spacing w:line="360" w:lineRule="auto"/>
              <w:ind w:firstLine="480" w:firstLineChars="200"/>
              <w:outlineLvl w:val="0"/>
              <w:rPr>
                <w:rFonts w:hint="default" w:ascii="Times New Roman" w:hAnsi="Times New Roman" w:eastAsia="宋体" w:cs="Times New Roman"/>
                <w:b/>
                <w:color w:val="000000"/>
                <w:sz w:val="24"/>
              </w:rPr>
            </w:pPr>
            <w:r>
              <w:rPr>
                <w:rFonts w:hint="default" w:ascii="Times New Roman" w:hAnsi="Times New Roman" w:eastAsia="宋体" w:cs="Times New Roman"/>
                <w:color w:val="000000"/>
                <w:sz w:val="24"/>
              </w:rPr>
              <w:t>本工程对当地既有道路的联通阻断，短期内造成附近居民出行困难和生活上的不便，但可通过临时便道的形式予以解决。</w:t>
            </w:r>
          </w:p>
          <w:p>
            <w:pPr>
              <w:spacing w:line="360" w:lineRule="auto"/>
              <w:ind w:firstLine="482" w:firstLineChars="200"/>
              <w:rPr>
                <w:rFonts w:hint="default" w:ascii="Times New Roman" w:hAnsi="Times New Roman" w:eastAsia="宋体" w:cs="Times New Roman"/>
                <w:b/>
                <w:color w:val="000000"/>
                <w:sz w:val="24"/>
              </w:rPr>
            </w:pPr>
            <w:r>
              <w:rPr>
                <w:rFonts w:hint="eastAsia" w:ascii="Times New Roman" w:hAnsi="Times New Roman" w:eastAsia="宋体" w:cs="Times New Roman"/>
                <w:b/>
                <w:color w:val="000000"/>
                <w:sz w:val="24"/>
                <w:lang w:eastAsia="zh-CN"/>
              </w:rPr>
              <w:t>（九）</w:t>
            </w:r>
            <w:r>
              <w:rPr>
                <w:rFonts w:hint="default" w:ascii="Times New Roman" w:hAnsi="Times New Roman" w:eastAsia="宋体" w:cs="Times New Roman"/>
                <w:b/>
                <w:color w:val="000000"/>
                <w:sz w:val="24"/>
              </w:rPr>
              <w:t>社会、经济效益</w:t>
            </w:r>
          </w:p>
          <w:p>
            <w:pPr>
              <w:spacing w:line="360" w:lineRule="auto"/>
              <w:ind w:firstLine="480" w:firstLineChars="200"/>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eastAsia="zh-CN"/>
              </w:rPr>
              <w:t>工程河段</w:t>
            </w:r>
            <w:r>
              <w:rPr>
                <w:rFonts w:hint="default" w:ascii="Times New Roman" w:hAnsi="Times New Roman" w:eastAsia="宋体" w:cs="Times New Roman"/>
                <w:color w:val="000000"/>
                <w:sz w:val="24"/>
              </w:rPr>
              <w:t>河道常年淤积，河宽逐渐减小，河道周围农民耕地，常年洪水冲刷，垮塌严重，耕地面积逐年减小。洪水上岸对</w:t>
            </w:r>
            <w:r>
              <w:rPr>
                <w:rFonts w:hint="eastAsia" w:ascii="Times New Roman" w:hAnsi="Times New Roman" w:eastAsia="宋体" w:cs="Times New Roman"/>
                <w:color w:val="000000"/>
                <w:sz w:val="24"/>
                <w:lang w:eastAsia="zh-CN"/>
              </w:rPr>
              <w:t>岸边</w:t>
            </w:r>
            <w:r>
              <w:rPr>
                <w:rFonts w:hint="default" w:ascii="Times New Roman" w:hAnsi="Times New Roman" w:eastAsia="宋体" w:cs="Times New Roman"/>
                <w:color w:val="000000"/>
                <w:sz w:val="24"/>
              </w:rPr>
              <w:t>耕地及居民财产造成较大损失，修建堤防进行防护迫在眉睫。</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本堤防工程建成后，加固河岸，提高防洪标准，保证</w:t>
            </w:r>
            <w:r>
              <w:rPr>
                <w:rFonts w:hint="eastAsia" w:ascii="Times New Roman" w:hAnsi="Times New Roman" w:eastAsia="宋体" w:cs="Times New Roman"/>
                <w:color w:val="000000"/>
                <w:sz w:val="24"/>
                <w:lang w:eastAsia="zh-CN"/>
              </w:rPr>
              <w:t>当地</w:t>
            </w:r>
            <w:r>
              <w:rPr>
                <w:rFonts w:hint="default" w:ascii="Times New Roman" w:hAnsi="Times New Roman" w:eastAsia="宋体" w:cs="Times New Roman"/>
                <w:color w:val="000000"/>
                <w:sz w:val="24"/>
              </w:rPr>
              <w:t>人民的生命财产安全，维护社会稳定，促进</w:t>
            </w:r>
            <w:r>
              <w:rPr>
                <w:rFonts w:hint="eastAsia" w:ascii="Times New Roman" w:hAnsi="Times New Roman" w:eastAsia="宋体" w:cs="Times New Roman"/>
                <w:color w:val="000000"/>
                <w:sz w:val="24"/>
                <w:lang w:eastAsia="zh-CN"/>
              </w:rPr>
              <w:t>当地</w:t>
            </w:r>
            <w:r>
              <w:rPr>
                <w:rFonts w:hint="default" w:ascii="Times New Roman" w:hAnsi="Times New Roman" w:eastAsia="宋体" w:cs="Times New Roman"/>
                <w:color w:val="000000"/>
                <w:sz w:val="24"/>
              </w:rPr>
              <w:t>社会、经济、环境的可持续发展。该河段防洪工程建设的社会经济效益十分显著。</w:t>
            </w:r>
          </w:p>
          <w:p>
            <w:pPr>
              <w:spacing w:line="360" w:lineRule="auto"/>
              <w:ind w:firstLine="482" w:firstLineChars="200"/>
              <w:outlineLvl w:val="0"/>
              <w:rPr>
                <w:rFonts w:hint="default" w:ascii="Times New Roman" w:hAnsi="Times New Roman" w:eastAsia="宋体" w:cs="Times New Roman"/>
                <w:b/>
                <w:color w:val="000000"/>
                <w:sz w:val="24"/>
              </w:rPr>
            </w:pPr>
            <w:r>
              <w:rPr>
                <w:rFonts w:hint="eastAsia" w:ascii="Times New Roman" w:hAnsi="Times New Roman" w:eastAsia="宋体" w:cs="Times New Roman"/>
                <w:b/>
                <w:color w:val="000000"/>
                <w:sz w:val="24"/>
                <w:lang w:eastAsia="zh-CN"/>
              </w:rPr>
              <w:t>（十）</w:t>
            </w:r>
            <w:r>
              <w:rPr>
                <w:rFonts w:hint="default" w:ascii="Times New Roman" w:hAnsi="Times New Roman" w:eastAsia="宋体" w:cs="Times New Roman"/>
                <w:b/>
                <w:color w:val="000000"/>
                <w:sz w:val="24"/>
              </w:rPr>
              <w:t>环境正效益分析</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运行期由于河道治理工程特点，对周围区域环境有明显的正效益影响，主体体现在以下几个方面。</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① 本项目</w:t>
            </w:r>
            <w:r>
              <w:rPr>
                <w:rFonts w:hint="eastAsia" w:ascii="Times New Roman" w:hAnsi="Times New Roman" w:eastAsia="宋体" w:cs="Times New Roman"/>
                <w:color w:val="000000"/>
                <w:sz w:val="24"/>
                <w:lang w:eastAsia="zh-CN"/>
              </w:rPr>
              <w:t>堤防</w:t>
            </w:r>
            <w:r>
              <w:rPr>
                <w:rFonts w:hint="default" w:ascii="Times New Roman" w:hAnsi="Times New Roman" w:eastAsia="宋体" w:cs="Times New Roman"/>
                <w:color w:val="000000"/>
                <w:sz w:val="24"/>
              </w:rPr>
              <w:t>工程建成后，由于河堤修建减少两岸坍塌引起的水土流失，有益于河水水质的净化，对两岸生态环境产生有益影响。</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② 由于河堤修建，可稳定河势、增加河道的行洪能力，减小冲刷能力，从而改善该河段水流条件，防止洪水灾害，使人民生命财产和国家财产安全免受损失，提高人民生活水平。</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③ 河堤修建完善后，可在河两岸植树种草，形成新的绿化带，改变原有河道两侧植被和杂草乱长的旧面貌，将对生态环境产生有利影响。</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④ 项目建成后可以明显减少河岸两侧水土流失的现状，还可以保护河道两侧的农田耕地免受洪水困扰，最大限度地保护人民生命财产安全，减少灾害造成的损失。</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⑤本项目的建设可改善</w:t>
            </w:r>
            <w:r>
              <w:rPr>
                <w:rFonts w:hint="eastAsia" w:ascii="Times New Roman" w:hAnsi="Times New Roman" w:eastAsia="宋体" w:cs="Times New Roman"/>
                <w:color w:val="000000"/>
                <w:sz w:val="24"/>
                <w:lang w:eastAsia="zh-CN"/>
              </w:rPr>
              <w:t>绿色家居产业城、</w:t>
            </w:r>
            <w:r>
              <w:rPr>
                <w:rFonts w:hint="eastAsia" w:ascii="Times New Roman" w:hAnsi="Times New Roman" w:eastAsia="宋体" w:cs="Times New Roman"/>
                <w:color w:val="000000"/>
                <w:sz w:val="24"/>
              </w:rPr>
              <w:t>昭化区平乐旅游康养组团</w:t>
            </w:r>
            <w:r>
              <w:rPr>
                <w:rFonts w:hint="default" w:ascii="Times New Roman" w:hAnsi="Times New Roman" w:eastAsia="宋体" w:cs="Times New Roman"/>
                <w:color w:val="000000"/>
                <w:sz w:val="24"/>
              </w:rPr>
              <w:t>的环境，提升区域的投资形象，吸引更多的资金及企业入住片区，为区域注入更多的活力，推动区域社会经济加速发展。</w:t>
            </w:r>
          </w:p>
          <w:p>
            <w:pPr>
              <w:spacing w:line="360" w:lineRule="auto"/>
              <w:ind w:firstLine="480" w:firstLineChars="200"/>
              <w:rPr>
                <w:rFonts w:hint="eastAsia" w:ascii="Times New Roman" w:hAnsi="Times New Roman" w:eastAsia="宋体" w:cs="Times New Roman"/>
                <w:color w:val="000000"/>
                <w:sz w:val="24"/>
                <w:lang w:val="en-GB"/>
              </w:rPr>
            </w:pPr>
            <w:r>
              <w:rPr>
                <w:rFonts w:hint="eastAsia" w:ascii="Times New Roman" w:hAnsi="Times New Roman" w:eastAsia="宋体" w:cs="Times New Roman"/>
                <w:color w:val="000000"/>
                <w:sz w:val="24"/>
              </w:rPr>
              <w:t>⑥</w:t>
            </w:r>
            <w:r>
              <w:rPr>
                <w:rFonts w:hint="eastAsia" w:ascii="Times New Roman" w:hAnsi="Times New Roman" w:eastAsia="宋体" w:cs="Times New Roman"/>
                <w:color w:val="000000"/>
                <w:sz w:val="24"/>
                <w:lang w:val="en-GB"/>
              </w:rPr>
              <w:t>河道疏浚完成后，底泥清除后，水中各种污染物的含量大幅降低，水流速度将会加快，水中溶解氧含量提高，这将使河水水质改善，有利于各种水生生物的生存和繁殖，也为水下动物创造一个良好的栖息地。生存环境的优化将有利于各种水生生物的生长和繁殖。水质变清，透光深度变大，将有利于光合浮游生物的生长，从而带动整个生态系统的生产力的提高。</w:t>
            </w:r>
          </w:p>
          <w:p>
            <w:pPr>
              <w:spacing w:line="360" w:lineRule="auto"/>
              <w:ind w:firstLine="480" w:firstLineChars="200"/>
              <w:rPr>
                <w:rFonts w:ascii="宋体" w:hAnsi="宋体" w:cs="宋体"/>
                <w:bCs/>
                <w:sz w:val="24"/>
                <w:szCs w:val="24"/>
              </w:rPr>
            </w:pPr>
            <w:r>
              <w:rPr>
                <w:rFonts w:hint="default" w:ascii="Times New Roman" w:hAnsi="Times New Roman" w:eastAsia="宋体" w:cs="Times New Roman"/>
                <w:color w:val="000000"/>
                <w:sz w:val="24"/>
              </w:rPr>
              <w:t>综上所述，本项目的建设具有很好的环境正效益。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427" w:type="dxa"/>
            <w:noWrap w:val="0"/>
            <w:vAlign w:val="center"/>
          </w:tcPr>
          <w:p>
            <w:pPr>
              <w:pStyle w:val="26"/>
              <w:adjustRightInd w:val="0"/>
              <w:snapToGrid w:val="0"/>
              <w:spacing w:before="0" w:beforeAutospacing="0" w:after="0" w:afterAutospacing="0"/>
              <w:jc w:val="center"/>
              <w:rPr>
                <w:rFonts w:cs="宋体"/>
                <w:bCs/>
                <w:kern w:val="2"/>
                <w:sz w:val="24"/>
                <w:szCs w:val="24"/>
              </w:rPr>
            </w:pPr>
            <w:r>
              <w:rPr>
                <w:rFonts w:hint="eastAsia" w:cs="宋体"/>
                <w:b/>
                <w:bCs w:val="0"/>
                <w:kern w:val="2"/>
                <w:sz w:val="24"/>
                <w:szCs w:val="24"/>
              </w:rPr>
              <w:t>选址选线环境合理性分析</w:t>
            </w:r>
          </w:p>
        </w:tc>
        <w:tc>
          <w:tcPr>
            <w:tcW w:w="9092" w:type="dxa"/>
            <w:noWrap w:val="0"/>
            <w:vAlign w:val="top"/>
          </w:tcPr>
          <w:p>
            <w:pPr>
              <w:bidi w:val="0"/>
              <w:rPr>
                <w:rFonts w:hint="eastAsia"/>
                <w:color w:val="000000"/>
                <w:sz w:val="24"/>
                <w:szCs w:val="24"/>
                <w:highlight w:val="none"/>
                <w:lang w:eastAsia="zh-CN"/>
              </w:rPr>
            </w:pPr>
          </w:p>
          <w:p>
            <w:pPr>
              <w:spacing w:line="360" w:lineRule="auto"/>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1、工程治理河道基本情况</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庄子沟</w:t>
            </w:r>
            <w:r>
              <w:rPr>
                <w:rFonts w:hint="eastAsia" w:ascii="Times New Roman" w:hAnsi="Times New Roman" w:eastAsia="宋体" w:cs="Times New Roman"/>
                <w:color w:val="auto"/>
                <w:sz w:val="24"/>
                <w:szCs w:val="24"/>
              </w:rPr>
              <w:t>段现状有</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rPr>
              <w:t>座跨河桥，</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rPr>
              <w:t>座</w:t>
            </w:r>
            <w:r>
              <w:rPr>
                <w:rFonts w:hint="eastAsia" w:ascii="Times New Roman" w:hAnsi="Times New Roman" w:eastAsia="宋体" w:cs="Times New Roman"/>
                <w:color w:val="auto"/>
                <w:sz w:val="24"/>
                <w:szCs w:val="24"/>
                <w:lang w:val="en-US" w:eastAsia="zh-CN"/>
              </w:rPr>
              <w:t>人行</w:t>
            </w:r>
            <w:r>
              <w:rPr>
                <w:rFonts w:hint="eastAsia" w:ascii="Times New Roman" w:hAnsi="Times New Roman" w:eastAsia="宋体" w:cs="Times New Roman"/>
                <w:color w:val="auto"/>
                <w:sz w:val="24"/>
                <w:szCs w:val="24"/>
              </w:rPr>
              <w:t>桥。整治河道起点为上游现状的</w:t>
            </w:r>
            <w:r>
              <w:rPr>
                <w:rFonts w:hint="eastAsia" w:ascii="Times New Roman" w:hAnsi="Times New Roman" w:eastAsia="宋体" w:cs="Times New Roman"/>
                <w:color w:val="auto"/>
                <w:sz w:val="24"/>
                <w:szCs w:val="24"/>
                <w:lang w:val="en-US" w:eastAsia="zh-CN"/>
              </w:rPr>
              <w:t>混凝土平板桥</w:t>
            </w:r>
            <w:r>
              <w:rPr>
                <w:rFonts w:hint="eastAsia" w:ascii="Times New Roman" w:hAnsi="Times New Roman" w:eastAsia="宋体" w:cs="Times New Roman"/>
                <w:color w:val="auto"/>
                <w:sz w:val="24"/>
                <w:szCs w:val="24"/>
              </w:rPr>
              <w:t>，终点为下游</w:t>
            </w:r>
            <w:r>
              <w:rPr>
                <w:rFonts w:hint="eastAsia" w:ascii="Times New Roman" w:hAnsi="Times New Roman" w:eastAsia="宋体" w:cs="Times New Roman"/>
                <w:color w:val="auto"/>
                <w:sz w:val="24"/>
                <w:szCs w:val="24"/>
                <w:lang w:val="en-US" w:eastAsia="zh-CN"/>
              </w:rPr>
              <w:t>现状混凝土平板桥</w:t>
            </w:r>
            <w:r>
              <w:rPr>
                <w:rFonts w:hint="eastAsia" w:ascii="Times New Roman" w:hAnsi="Times New Roman" w:eastAsia="宋体" w:cs="Times New Roman"/>
                <w:color w:val="auto"/>
                <w:sz w:val="24"/>
                <w:szCs w:val="24"/>
              </w:rPr>
              <w:t>，工程段河道全长</w:t>
            </w:r>
            <w:r>
              <w:rPr>
                <w:rFonts w:hint="eastAsia" w:ascii="Times New Roman" w:hAnsi="Times New Roman" w:eastAsia="宋体" w:cs="Times New Roman"/>
                <w:color w:val="auto"/>
                <w:sz w:val="24"/>
                <w:szCs w:val="24"/>
                <w:lang w:val="en-US" w:eastAsia="zh-CN"/>
              </w:rPr>
              <w:t>452</w:t>
            </w:r>
            <w:r>
              <w:rPr>
                <w:rFonts w:hint="eastAsia" w:ascii="Times New Roman" w:hAnsi="Times New Roman" w:eastAsia="宋体" w:cs="Times New Roman"/>
                <w:color w:val="auto"/>
                <w:sz w:val="24"/>
                <w:szCs w:val="24"/>
              </w:rPr>
              <w:t>m。左右两岸为耕地、房屋等，地面高程5</w:t>
            </w:r>
            <w:r>
              <w:rPr>
                <w:rFonts w:hint="eastAsia" w:ascii="Times New Roman" w:hAnsi="Times New Roman" w:eastAsia="宋体" w:cs="Times New Roman"/>
                <w:color w:val="auto"/>
                <w:sz w:val="24"/>
                <w:szCs w:val="24"/>
                <w:lang w:val="en-US" w:eastAsia="zh-CN"/>
              </w:rPr>
              <w:t>07.48</w:t>
            </w:r>
            <w:r>
              <w:rPr>
                <w:rFonts w:hint="eastAsia" w:ascii="Times New Roman" w:hAnsi="Times New Roman" w:eastAsia="宋体" w:cs="Times New Roman"/>
                <w:color w:val="auto"/>
                <w:sz w:val="24"/>
                <w:szCs w:val="24"/>
              </w:rPr>
              <w:t>~5</w:t>
            </w:r>
            <w:r>
              <w:rPr>
                <w:rFonts w:hint="eastAsia" w:ascii="Times New Roman" w:hAnsi="Times New Roman" w:eastAsia="宋体" w:cs="Times New Roman"/>
                <w:color w:val="auto"/>
                <w:sz w:val="24"/>
                <w:szCs w:val="24"/>
                <w:lang w:val="en-US" w:eastAsia="zh-CN"/>
              </w:rPr>
              <w:t>24.52</w:t>
            </w:r>
            <w:r>
              <w:rPr>
                <w:rFonts w:hint="eastAsia" w:ascii="Times New Roman" w:hAnsi="Times New Roman" w:eastAsia="宋体" w:cs="Times New Roman"/>
                <w:color w:val="auto"/>
                <w:sz w:val="24"/>
                <w:szCs w:val="24"/>
              </w:rPr>
              <w:t>m。岸坡为天然岸坡，两岸不规则，杂草生长，河道存在淤积。</w:t>
            </w:r>
          </w:p>
          <w:p>
            <w:pPr>
              <w:spacing w:line="360" w:lineRule="auto"/>
              <w:ind w:firstLine="482" w:firstLineChars="200"/>
              <w:rPr>
                <w:rFonts w:hint="default" w:ascii="Times New Roman" w:hAnsi="Times New Roman" w:eastAsia="宋体" w:cs="Times New Roman"/>
                <w:b/>
                <w:bCs/>
                <w:color w:val="auto"/>
                <w:sz w:val="24"/>
                <w:szCs w:val="24"/>
                <w:shd w:val="clear" w:color="auto" w:fill="auto"/>
                <w:lang w:eastAsia="zh-CN"/>
              </w:rPr>
            </w:pPr>
            <w:r>
              <w:rPr>
                <w:rFonts w:hint="eastAsia" w:ascii="Times New Roman" w:hAnsi="Times New Roman" w:eastAsia="宋体" w:cs="Times New Roman"/>
                <w:b/>
                <w:bCs/>
                <w:color w:val="auto"/>
                <w:sz w:val="24"/>
                <w:szCs w:val="24"/>
                <w:shd w:val="clear" w:color="auto" w:fill="auto"/>
                <w:lang w:val="en-US" w:eastAsia="zh-CN"/>
              </w:rPr>
              <w:t>2、</w:t>
            </w:r>
            <w:r>
              <w:rPr>
                <w:rFonts w:hint="default" w:ascii="Times New Roman" w:hAnsi="Times New Roman" w:eastAsia="宋体" w:cs="Times New Roman"/>
                <w:b/>
                <w:bCs/>
                <w:color w:val="auto"/>
                <w:sz w:val="24"/>
                <w:szCs w:val="24"/>
                <w:shd w:val="clear" w:color="auto" w:fill="auto"/>
                <w:lang w:eastAsia="zh-CN"/>
              </w:rPr>
              <w:t>外环境关系</w:t>
            </w:r>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shd w:val="clear" w:color="auto" w:fill="auto"/>
                <w:lang w:eastAsia="zh-CN"/>
              </w:rPr>
              <w:t>本工程位于昭化区元坝镇</w:t>
            </w:r>
            <w:r>
              <w:rPr>
                <w:rFonts w:hint="eastAsia" w:ascii="Times New Roman" w:hAnsi="Times New Roman" w:eastAsia="宋体" w:cs="Times New Roman"/>
                <w:color w:val="auto"/>
                <w:kern w:val="2"/>
                <w:sz w:val="24"/>
                <w:szCs w:val="24"/>
                <w:highlight w:val="none"/>
                <w:lang w:val="en-US" w:eastAsia="zh-CN" w:bidi="ar-SA"/>
              </w:rPr>
              <w:t>长坝社区</w:t>
            </w:r>
            <w:r>
              <w:rPr>
                <w:rFonts w:hint="eastAsia" w:ascii="Times New Roman" w:hAnsi="Times New Roman" w:eastAsia="宋体" w:cs="Times New Roman"/>
                <w:color w:val="auto"/>
                <w:sz w:val="24"/>
                <w:szCs w:val="24"/>
                <w:shd w:val="clear" w:color="auto" w:fill="auto"/>
                <w:lang w:val="en-US" w:eastAsia="zh-CN"/>
              </w:rPr>
              <w:t>长滩河支流庄子沟</w:t>
            </w:r>
            <w:r>
              <w:rPr>
                <w:rFonts w:hint="eastAsia" w:ascii="Times New Roman" w:hAnsi="Times New Roman" w:eastAsia="宋体" w:cs="Times New Roman"/>
                <w:color w:val="auto"/>
                <w:sz w:val="24"/>
                <w:szCs w:val="24"/>
                <w:shd w:val="clear" w:color="auto" w:fill="auto"/>
                <w:lang w:eastAsia="zh-CN"/>
              </w:rPr>
              <w:t>，工程河道</w:t>
            </w:r>
            <w:r>
              <w:rPr>
                <w:rFonts w:hint="eastAsia" w:ascii="Times New Roman" w:hAnsi="Times New Roman" w:eastAsia="宋体" w:cs="Times New Roman"/>
                <w:color w:val="auto"/>
                <w:sz w:val="24"/>
                <w:szCs w:val="24"/>
                <w:shd w:val="clear" w:color="auto" w:fill="auto"/>
                <w:lang w:val="en-US" w:eastAsia="zh-CN"/>
              </w:rPr>
              <w:t>起</w:t>
            </w:r>
            <w:r>
              <w:rPr>
                <w:rFonts w:hint="eastAsia" w:ascii="Times New Roman" w:hAnsi="Times New Roman" w:eastAsia="宋体" w:cs="Times New Roman"/>
                <w:color w:val="auto"/>
                <w:sz w:val="24"/>
                <w:szCs w:val="24"/>
              </w:rPr>
              <w:t>点为上游现状的</w:t>
            </w:r>
            <w:r>
              <w:rPr>
                <w:rFonts w:hint="eastAsia" w:ascii="Times New Roman" w:hAnsi="Times New Roman" w:eastAsia="宋体" w:cs="Times New Roman"/>
                <w:color w:val="auto"/>
                <w:sz w:val="24"/>
                <w:szCs w:val="24"/>
                <w:lang w:val="en-US" w:eastAsia="zh-CN"/>
              </w:rPr>
              <w:t>混凝土平板桥</w:t>
            </w:r>
            <w:r>
              <w:rPr>
                <w:rFonts w:hint="eastAsia" w:ascii="Times New Roman" w:hAnsi="Times New Roman" w:eastAsia="宋体" w:cs="Times New Roman"/>
                <w:color w:val="auto"/>
                <w:sz w:val="24"/>
                <w:szCs w:val="24"/>
              </w:rPr>
              <w:t>，终点为下游</w:t>
            </w:r>
            <w:r>
              <w:rPr>
                <w:rFonts w:hint="eastAsia" w:ascii="Times New Roman" w:hAnsi="Times New Roman" w:eastAsia="宋体" w:cs="Times New Roman"/>
                <w:color w:val="auto"/>
                <w:sz w:val="24"/>
                <w:szCs w:val="24"/>
                <w:lang w:val="en-US" w:eastAsia="zh-CN"/>
              </w:rPr>
              <w:t>现状混凝土平板桥。</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sz w:val="24"/>
                <w:szCs w:val="24"/>
                <w:shd w:val="clear" w:color="auto" w:fill="auto"/>
                <w:lang w:val="en-US" w:eastAsia="zh-CN"/>
              </w:rPr>
            </w:pPr>
            <w:r>
              <w:rPr>
                <w:rFonts w:hint="eastAsia" w:ascii="Times New Roman" w:hAnsi="Times New Roman" w:eastAsia="宋体" w:cs="Times New Roman"/>
                <w:color w:val="auto"/>
                <w:sz w:val="24"/>
                <w:szCs w:val="24"/>
                <w:shd w:val="clear" w:color="auto" w:fill="auto"/>
                <w:lang w:eastAsia="zh-CN"/>
              </w:rPr>
              <w:t>工程位于农村地区，</w:t>
            </w:r>
            <w:r>
              <w:rPr>
                <w:rFonts w:hint="eastAsia" w:ascii="Times New Roman" w:hAnsi="Times New Roman" w:eastAsia="宋体" w:cs="Times New Roman"/>
                <w:color w:val="auto"/>
                <w:sz w:val="24"/>
                <w:szCs w:val="24"/>
                <w:shd w:val="clear" w:color="auto" w:fill="auto"/>
                <w:lang w:val="en-US" w:eastAsia="zh-CN"/>
              </w:rPr>
              <w:t>项目</w:t>
            </w:r>
            <w:r>
              <w:rPr>
                <w:rFonts w:hint="eastAsia" w:ascii="Times New Roman" w:hAnsi="Times New Roman" w:eastAsia="宋体" w:cs="Times New Roman"/>
                <w:color w:val="auto"/>
                <w:sz w:val="24"/>
                <w:szCs w:val="24"/>
                <w:shd w:val="clear" w:color="auto" w:fill="auto"/>
                <w:lang w:eastAsia="zh-CN"/>
              </w:rPr>
              <w:t>位于农村地区，</w:t>
            </w:r>
            <w:r>
              <w:rPr>
                <w:rFonts w:hint="eastAsia" w:ascii="Times New Roman" w:hAnsi="Times New Roman" w:eastAsia="宋体" w:cs="Times New Roman"/>
                <w:color w:val="auto"/>
                <w:sz w:val="24"/>
                <w:szCs w:val="24"/>
                <w:shd w:val="clear" w:color="auto" w:fill="auto"/>
                <w:lang w:val="en-US" w:eastAsia="zh-CN"/>
              </w:rPr>
              <w:t>河道两</w:t>
            </w:r>
            <w:r>
              <w:rPr>
                <w:rFonts w:hint="default" w:ascii="Times New Roman" w:hAnsi="Times New Roman" w:eastAsia="宋体" w:cs="Times New Roman"/>
                <w:color w:val="auto"/>
                <w:sz w:val="24"/>
                <w:szCs w:val="24"/>
                <w:shd w:val="clear" w:color="auto" w:fill="auto"/>
              </w:rPr>
              <w:t>侧</w:t>
            </w:r>
            <w:r>
              <w:rPr>
                <w:rFonts w:hint="eastAsia" w:ascii="Times New Roman" w:hAnsi="Times New Roman" w:eastAsia="宋体" w:cs="Times New Roman"/>
                <w:color w:val="auto"/>
                <w:sz w:val="24"/>
                <w:szCs w:val="24"/>
                <w:shd w:val="clear" w:color="auto" w:fill="auto"/>
                <w:lang w:eastAsia="zh-CN"/>
              </w:rPr>
              <w:t>现状</w:t>
            </w:r>
            <w:r>
              <w:rPr>
                <w:rFonts w:hint="default" w:ascii="Times New Roman" w:hAnsi="Times New Roman" w:eastAsia="宋体" w:cs="Times New Roman"/>
                <w:color w:val="auto"/>
                <w:sz w:val="24"/>
                <w:szCs w:val="24"/>
                <w:shd w:val="clear" w:color="auto" w:fill="auto"/>
              </w:rPr>
              <w:t>主要为</w:t>
            </w:r>
            <w:r>
              <w:rPr>
                <w:rFonts w:hint="eastAsia" w:ascii="Times New Roman" w:hAnsi="Times New Roman" w:eastAsia="宋体" w:cs="Times New Roman"/>
                <w:color w:val="auto"/>
                <w:sz w:val="24"/>
                <w:szCs w:val="24"/>
                <w:shd w:val="clear" w:color="auto" w:fill="auto"/>
                <w:lang w:eastAsia="zh-CN"/>
              </w:rPr>
              <w:t>耕地</w:t>
            </w:r>
            <w:r>
              <w:rPr>
                <w:rFonts w:hint="default" w:ascii="Times New Roman" w:hAnsi="Times New Roman" w:eastAsia="宋体" w:cs="Times New Roman"/>
                <w:color w:val="auto"/>
                <w:sz w:val="24"/>
                <w:szCs w:val="24"/>
                <w:shd w:val="clear" w:color="auto" w:fill="auto"/>
              </w:rPr>
              <w:t>、</w:t>
            </w:r>
            <w:r>
              <w:rPr>
                <w:rFonts w:hint="eastAsia" w:ascii="Times New Roman" w:hAnsi="Times New Roman" w:eastAsia="宋体" w:cs="Times New Roman"/>
                <w:color w:val="auto"/>
                <w:sz w:val="24"/>
                <w:szCs w:val="24"/>
                <w:shd w:val="clear" w:color="auto" w:fill="auto"/>
                <w:lang w:eastAsia="zh-CN"/>
              </w:rPr>
              <w:t>荒地、林地、当地</w:t>
            </w:r>
            <w:r>
              <w:rPr>
                <w:rFonts w:hint="default" w:ascii="Times New Roman" w:hAnsi="Times New Roman" w:eastAsia="宋体" w:cs="Times New Roman"/>
                <w:color w:val="auto"/>
                <w:sz w:val="24"/>
                <w:szCs w:val="24"/>
                <w:shd w:val="clear" w:color="auto" w:fill="auto"/>
              </w:rPr>
              <w:t>居民住户</w:t>
            </w:r>
            <w:r>
              <w:rPr>
                <w:rFonts w:hint="eastAsia" w:ascii="Times New Roman" w:hAnsi="Times New Roman" w:eastAsia="宋体" w:cs="Times New Roman"/>
                <w:color w:val="auto"/>
                <w:sz w:val="24"/>
                <w:szCs w:val="24"/>
                <w:shd w:val="clear" w:color="auto" w:fill="auto"/>
                <w:lang w:eastAsia="zh-CN"/>
              </w:rPr>
              <w:t>。</w:t>
            </w:r>
            <w:r>
              <w:rPr>
                <w:rFonts w:hint="eastAsia" w:ascii="Times New Roman" w:hAnsi="Times New Roman" w:eastAsia="宋体" w:cs="Times New Roman"/>
                <w:color w:val="auto"/>
                <w:sz w:val="24"/>
                <w:szCs w:val="24"/>
                <w:shd w:val="clear" w:color="auto" w:fill="auto"/>
                <w:lang w:val="en-US" w:eastAsia="zh-CN"/>
              </w:rPr>
              <w:t>项目K0+000.00—K0+452.64段河道右侧100m范围内有35户居民；河道K0+350.00—K0+452.64段左侧100m范围内有5户居民。</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shd w:val="clear" w:color="auto" w:fill="auto"/>
                <w:lang w:val="en-US" w:eastAsia="zh-CN"/>
              </w:rPr>
            </w:pPr>
            <w:r>
              <w:rPr>
                <w:rFonts w:hint="eastAsia" w:ascii="Times New Roman" w:hAnsi="Times New Roman" w:eastAsia="宋体" w:cs="Times New Roman"/>
                <w:color w:val="auto"/>
                <w:sz w:val="24"/>
                <w:szCs w:val="24"/>
                <w:shd w:val="clear" w:color="auto" w:fill="auto"/>
                <w:lang w:val="en-US" w:eastAsia="zh-CN"/>
              </w:rPr>
              <w:t>项目河道K0+000.00—K0+452.64段北侧10-150m范围内有35户居民，K0+350.00—K0+452.64段南侧10-100m处有约5户居民；河道终点K0+452.64处西北侧50-200m范围内有约14户居民，西侧20-200m处为长坝社区党群服务中心（约60户），西南侧230-500m范围内为幸福苑居民小区（约</w:t>
            </w:r>
            <w:r>
              <w:rPr>
                <w:rFonts w:hint="eastAsia" w:cs="Times New Roman"/>
                <w:color w:val="auto"/>
                <w:sz w:val="24"/>
                <w:szCs w:val="24"/>
                <w:shd w:val="clear" w:color="auto" w:fill="auto"/>
                <w:lang w:val="en-US" w:eastAsia="zh-CN"/>
              </w:rPr>
              <w:t>3</w:t>
            </w:r>
            <w:r>
              <w:rPr>
                <w:rFonts w:hint="eastAsia" w:ascii="Times New Roman" w:hAnsi="Times New Roman" w:eastAsia="宋体" w:cs="Times New Roman"/>
                <w:color w:val="auto"/>
                <w:sz w:val="24"/>
                <w:szCs w:val="24"/>
                <w:shd w:val="clear" w:color="auto" w:fill="auto"/>
                <w:lang w:val="en-US" w:eastAsia="zh-CN"/>
              </w:rPr>
              <w:t>00户）；河道起点K0+000.00处东侧、东北侧110-200m处有约10户居民；</w:t>
            </w:r>
            <w:r>
              <w:rPr>
                <w:rFonts w:hint="eastAsia" w:ascii="Times New Roman" w:hAnsi="宋体" w:eastAsia="宋体" w:cs="Times New Roman"/>
                <w:color w:val="000000"/>
                <w:sz w:val="24"/>
                <w:szCs w:val="24"/>
                <w:lang w:val="en-US" w:eastAsia="zh-CN"/>
              </w:rPr>
              <w:t>周边500米范围内无学校、医院等特殊保护目标，敏感点主要为当地住户。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Style w:val="51"/>
                <w:rFonts w:hint="default"/>
                <w:sz w:val="24"/>
                <w:szCs w:val="24"/>
              </w:rPr>
            </w:pPr>
            <w:r>
              <w:rPr>
                <w:rFonts w:hint="default" w:ascii="Times New Roman" w:hAnsi="Times New Roman" w:eastAsia="宋体" w:cs="Times New Roman"/>
                <w:color w:val="auto"/>
                <w:sz w:val="24"/>
                <w:szCs w:val="24"/>
                <w:shd w:val="clear" w:color="auto" w:fill="auto"/>
              </w:rPr>
              <w:t>本项目</w:t>
            </w:r>
            <w:r>
              <w:rPr>
                <w:rFonts w:hint="eastAsia" w:ascii="Times New Roman" w:hAnsi="Times New Roman" w:eastAsia="宋体" w:cs="Times New Roman"/>
                <w:color w:val="auto"/>
                <w:sz w:val="24"/>
                <w:szCs w:val="24"/>
                <w:shd w:val="clear" w:color="auto" w:fill="auto"/>
                <w:lang w:eastAsia="zh-CN"/>
              </w:rPr>
              <w:t>堤防</w:t>
            </w:r>
            <w:r>
              <w:rPr>
                <w:rFonts w:hint="default" w:ascii="Times New Roman" w:hAnsi="Times New Roman" w:eastAsia="宋体" w:cs="Times New Roman"/>
                <w:color w:val="auto"/>
                <w:sz w:val="24"/>
                <w:szCs w:val="24"/>
                <w:shd w:val="clear" w:color="auto" w:fill="auto"/>
              </w:rPr>
              <w:t>建设所</w:t>
            </w:r>
            <w:r>
              <w:rPr>
                <w:rFonts w:hint="default" w:ascii="Times New Roman" w:hAnsi="Times New Roman" w:eastAsia="宋体" w:cs="Times New Roman"/>
                <w:color w:val="auto"/>
                <w:sz w:val="24"/>
                <w:szCs w:val="24"/>
                <w:shd w:val="clear" w:color="auto" w:fill="auto"/>
                <w:lang w:eastAsia="zh-CN"/>
              </w:rPr>
              <w:t>在的河流</w:t>
            </w:r>
            <w:r>
              <w:rPr>
                <w:rFonts w:hint="eastAsia" w:ascii="Times New Roman" w:hAnsi="Times New Roman" w:eastAsia="宋体" w:cs="Times New Roman"/>
                <w:color w:val="auto"/>
                <w:sz w:val="24"/>
                <w:szCs w:val="24"/>
                <w:shd w:val="clear" w:color="auto" w:fill="auto"/>
                <w:lang w:eastAsia="zh-CN"/>
              </w:rPr>
              <w:t>水体</w:t>
            </w:r>
            <w:r>
              <w:rPr>
                <w:rFonts w:hint="default" w:ascii="Times New Roman" w:hAnsi="Times New Roman" w:eastAsia="宋体" w:cs="Times New Roman"/>
                <w:color w:val="auto"/>
                <w:sz w:val="24"/>
                <w:szCs w:val="24"/>
                <w:shd w:val="clear" w:color="auto" w:fill="auto"/>
                <w:lang w:eastAsia="zh-CN"/>
              </w:rPr>
              <w:t>为</w:t>
            </w:r>
            <w:r>
              <w:rPr>
                <w:rFonts w:hint="eastAsia" w:ascii="Times New Roman" w:hAnsi="Times New Roman" w:eastAsia="宋体" w:cs="Times New Roman"/>
                <w:color w:val="auto"/>
                <w:sz w:val="24"/>
                <w:szCs w:val="24"/>
                <w:shd w:val="clear" w:color="auto" w:fill="auto"/>
                <w:lang w:eastAsia="zh-CN"/>
              </w:rPr>
              <w:t>长滩河（南河支流）</w:t>
            </w:r>
            <w:r>
              <w:rPr>
                <w:rFonts w:hint="eastAsia" w:ascii="Times New Roman" w:hAnsi="Times New Roman" w:eastAsia="宋体" w:cs="Times New Roman"/>
                <w:color w:val="auto"/>
                <w:sz w:val="24"/>
                <w:szCs w:val="24"/>
                <w:shd w:val="clear" w:color="auto" w:fill="auto"/>
                <w:lang w:val="en-US" w:eastAsia="zh-CN"/>
              </w:rPr>
              <w:t>右</w:t>
            </w:r>
            <w:r>
              <w:rPr>
                <w:rFonts w:hint="eastAsia" w:ascii="Times New Roman" w:hAnsi="Times New Roman" w:eastAsia="宋体" w:cs="Times New Roman"/>
                <w:color w:val="auto"/>
                <w:sz w:val="24"/>
                <w:szCs w:val="24"/>
                <w:shd w:val="clear" w:color="auto" w:fill="auto"/>
                <w:lang w:eastAsia="zh-CN"/>
              </w:rPr>
              <w:t>岸支流</w:t>
            </w:r>
            <w:r>
              <w:rPr>
                <w:rFonts w:hint="eastAsia" w:ascii="Times New Roman" w:hAnsi="Times New Roman" w:eastAsia="宋体" w:cs="Times New Roman"/>
                <w:color w:val="auto"/>
                <w:sz w:val="24"/>
                <w:szCs w:val="24"/>
                <w:shd w:val="clear" w:color="auto" w:fill="auto"/>
                <w:lang w:val="en-US" w:eastAsia="zh-CN"/>
              </w:rPr>
              <w:t>庄子沟</w:t>
            </w:r>
            <w:r>
              <w:rPr>
                <w:rFonts w:hint="default" w:ascii="Times New Roman" w:hAnsi="Times New Roman" w:eastAsia="宋体" w:cs="Times New Roman"/>
                <w:color w:val="auto"/>
                <w:sz w:val="24"/>
                <w:szCs w:val="24"/>
                <w:shd w:val="clear" w:color="auto" w:fill="auto"/>
              </w:rPr>
              <w:t>，</w:t>
            </w:r>
            <w:r>
              <w:rPr>
                <w:rFonts w:hint="eastAsia" w:ascii="Times New Roman" w:hAnsi="Times New Roman" w:eastAsia="宋体" w:cs="Times New Roman"/>
                <w:color w:val="auto"/>
                <w:sz w:val="24"/>
                <w:szCs w:val="24"/>
                <w:shd w:val="clear" w:color="auto" w:fill="auto"/>
                <w:lang w:eastAsia="zh-CN"/>
              </w:rPr>
              <w:t>属于小河道，</w:t>
            </w:r>
            <w:r>
              <w:rPr>
                <w:rFonts w:hint="eastAsia" w:ascii="Times New Roman" w:hAnsi="Times New Roman" w:eastAsia="宋体" w:cs="Times New Roman"/>
                <w:color w:val="auto"/>
                <w:sz w:val="24"/>
                <w:szCs w:val="24"/>
                <w:shd w:val="clear" w:color="auto" w:fill="auto"/>
                <w:lang w:val="en-US" w:eastAsia="zh-CN"/>
              </w:rPr>
              <w:t>工程段河道为季节性溪沟，终点至</w:t>
            </w:r>
            <w:r>
              <w:rPr>
                <w:rFonts w:hint="eastAsia" w:cs="Times New Roman"/>
                <w:color w:val="auto"/>
                <w:sz w:val="24"/>
                <w:szCs w:val="24"/>
                <w:shd w:val="clear" w:color="auto" w:fill="auto"/>
                <w:lang w:val="en-US" w:eastAsia="zh-CN"/>
              </w:rPr>
              <w:t>长滩河</w:t>
            </w:r>
            <w:r>
              <w:rPr>
                <w:rFonts w:hint="eastAsia" w:ascii="Times New Roman" w:hAnsi="Times New Roman" w:eastAsia="宋体" w:cs="Times New Roman"/>
                <w:color w:val="auto"/>
                <w:sz w:val="24"/>
                <w:szCs w:val="24"/>
                <w:shd w:val="clear" w:color="auto" w:fill="auto"/>
                <w:lang w:val="en-US" w:eastAsia="zh-CN"/>
              </w:rPr>
              <w:t>交汇口段已修建提防，项目选择枯水期施工，生产废水不会影响到</w:t>
            </w:r>
            <w:r>
              <w:rPr>
                <w:rFonts w:hint="eastAsia" w:cs="Times New Roman"/>
                <w:color w:val="auto"/>
                <w:sz w:val="24"/>
                <w:szCs w:val="24"/>
                <w:shd w:val="clear" w:color="auto" w:fill="auto"/>
                <w:lang w:val="en-US" w:eastAsia="zh-CN"/>
              </w:rPr>
              <w:t>长滩河</w:t>
            </w:r>
            <w:r>
              <w:rPr>
                <w:rFonts w:hint="eastAsia" w:ascii="Times New Roman" w:hAnsi="Times New Roman" w:eastAsia="宋体" w:cs="Times New Roman"/>
                <w:color w:val="auto"/>
                <w:sz w:val="24"/>
                <w:szCs w:val="24"/>
                <w:shd w:val="clear" w:color="auto" w:fill="auto"/>
                <w:lang w:val="en-US" w:eastAsia="zh-CN"/>
              </w:rPr>
              <w:t>的水质；经调查，</w:t>
            </w:r>
            <w:r>
              <w:rPr>
                <w:rFonts w:hint="default" w:ascii="Times New Roman" w:hAnsi="Times New Roman" w:eastAsia="宋体" w:cs="Times New Roman"/>
                <w:color w:val="auto"/>
                <w:sz w:val="24"/>
                <w:szCs w:val="24"/>
                <w:shd w:val="clear" w:color="auto" w:fill="auto"/>
                <w:lang w:eastAsia="zh-CN"/>
              </w:rPr>
              <w:t>本项目河堤</w:t>
            </w:r>
            <w:r>
              <w:rPr>
                <w:rFonts w:hint="eastAsia" w:ascii="Times New Roman" w:hAnsi="Times New Roman" w:eastAsia="宋体" w:cs="Times New Roman"/>
                <w:color w:val="auto"/>
                <w:sz w:val="24"/>
                <w:szCs w:val="24"/>
                <w:shd w:val="clear" w:color="auto" w:fill="auto"/>
                <w:lang w:eastAsia="zh-CN"/>
              </w:rPr>
              <w:t>工程段</w:t>
            </w:r>
            <w:r>
              <w:rPr>
                <w:rFonts w:hint="default" w:ascii="Times New Roman" w:hAnsi="Times New Roman" w:eastAsia="宋体" w:cs="Times New Roman"/>
                <w:color w:val="auto"/>
                <w:sz w:val="24"/>
                <w:szCs w:val="24"/>
                <w:shd w:val="clear" w:color="auto" w:fill="auto"/>
                <w:lang w:eastAsia="zh-CN"/>
              </w:rPr>
              <w:t>河道</w:t>
            </w:r>
            <w:r>
              <w:rPr>
                <w:rFonts w:hint="eastAsia" w:ascii="Times New Roman" w:hAnsi="Times New Roman" w:eastAsia="宋体" w:cs="Times New Roman"/>
                <w:color w:val="auto"/>
                <w:sz w:val="24"/>
                <w:szCs w:val="24"/>
                <w:shd w:val="clear" w:color="auto" w:fill="auto"/>
                <w:lang w:val="en-US" w:eastAsia="zh-CN"/>
              </w:rPr>
              <w:t>及下游</w:t>
            </w:r>
            <w:r>
              <w:rPr>
                <w:rFonts w:hint="eastAsia" w:cs="Times New Roman"/>
                <w:color w:val="auto"/>
                <w:sz w:val="24"/>
                <w:szCs w:val="24"/>
                <w:shd w:val="clear" w:color="auto" w:fill="auto"/>
                <w:lang w:val="en-US" w:eastAsia="zh-CN"/>
              </w:rPr>
              <w:t>3</w:t>
            </w:r>
            <w:r>
              <w:rPr>
                <w:rFonts w:hint="eastAsia" w:ascii="Times New Roman" w:hAnsi="Times New Roman" w:eastAsia="宋体" w:cs="Times New Roman"/>
                <w:color w:val="auto"/>
                <w:sz w:val="24"/>
                <w:szCs w:val="24"/>
                <w:shd w:val="clear" w:color="auto" w:fill="auto"/>
                <w:lang w:val="en-US" w:eastAsia="zh-CN"/>
              </w:rPr>
              <w:t>km范围内</w:t>
            </w:r>
            <w:r>
              <w:rPr>
                <w:rFonts w:hint="default" w:ascii="Times New Roman" w:hAnsi="Times New Roman" w:eastAsia="宋体" w:cs="Times New Roman"/>
                <w:color w:val="auto"/>
                <w:sz w:val="24"/>
                <w:szCs w:val="24"/>
                <w:shd w:val="clear" w:color="auto" w:fill="auto"/>
                <w:lang w:eastAsia="zh-CN"/>
              </w:rPr>
              <w:t>无珍稀水生生物</w:t>
            </w:r>
            <w:r>
              <w:rPr>
                <w:rFonts w:hint="eastAsia" w:ascii="Times New Roman" w:hAnsi="Times New Roman" w:eastAsia="宋体" w:cs="Times New Roman"/>
                <w:color w:val="auto"/>
                <w:sz w:val="24"/>
                <w:szCs w:val="24"/>
                <w:shd w:val="clear" w:color="auto" w:fill="auto"/>
                <w:lang w:eastAsia="zh-CN"/>
              </w:rPr>
              <w:t>及</w:t>
            </w:r>
            <w:r>
              <w:rPr>
                <w:rFonts w:hint="eastAsia" w:ascii="Times New Roman" w:hAnsi="Times New Roman" w:eastAsia="宋体" w:cs="Times New Roman"/>
                <w:color w:val="auto"/>
                <w:sz w:val="24"/>
                <w:szCs w:val="24"/>
                <w:lang w:val="en-US" w:eastAsia="zh-CN"/>
              </w:rPr>
              <w:t>鱼类“三场”</w:t>
            </w:r>
            <w:r>
              <w:rPr>
                <w:rFonts w:hint="default" w:ascii="Times New Roman" w:hAnsi="Times New Roman" w:eastAsia="宋体" w:cs="Times New Roman"/>
                <w:color w:val="auto"/>
                <w:sz w:val="24"/>
                <w:szCs w:val="24"/>
                <w:shd w:val="clear" w:color="auto" w:fill="auto"/>
                <w:lang w:eastAsia="zh-CN"/>
              </w:rPr>
              <w:t>，不涉及</w:t>
            </w:r>
            <w:r>
              <w:rPr>
                <w:rFonts w:hint="default" w:ascii="Times New Roman" w:hAnsi="Times New Roman" w:eastAsia="宋体" w:cs="Times New Roman"/>
                <w:color w:val="auto"/>
                <w:sz w:val="24"/>
                <w:szCs w:val="24"/>
                <w:lang w:eastAsia="zh-CN"/>
              </w:rPr>
              <w:t>饮用水源保护区</w:t>
            </w:r>
            <w:r>
              <w:rPr>
                <w:rFonts w:hint="eastAsia" w:ascii="Times New Roman" w:hAnsi="Times New Roman" w:eastAsia="宋体" w:cs="Times New Roman"/>
                <w:color w:val="auto"/>
                <w:sz w:val="24"/>
                <w:szCs w:val="24"/>
                <w:lang w:eastAsia="zh-CN"/>
              </w:rPr>
              <w:t>、</w:t>
            </w:r>
            <w:r>
              <w:rPr>
                <w:rFonts w:hint="eastAsia"/>
                <w:sz w:val="24"/>
                <w:lang w:val="en-US" w:eastAsia="zh-CN"/>
              </w:rPr>
              <w:t>控制断面</w:t>
            </w:r>
            <w:r>
              <w:rPr>
                <w:rFonts w:hint="default" w:ascii="Times New Roman" w:hAnsi="Times New Roman" w:eastAsia="宋体" w:cs="Times New Roman"/>
                <w:color w:val="auto"/>
                <w:sz w:val="24"/>
                <w:szCs w:val="24"/>
              </w:rPr>
              <w:t>。堤防基础施工选择在枯水期进行，</w:t>
            </w:r>
            <w:r>
              <w:rPr>
                <w:rFonts w:hint="eastAsia" w:ascii="Times New Roman" w:hAnsi="Times New Roman" w:eastAsia="宋体" w:cs="Times New Roman"/>
                <w:color w:val="auto"/>
                <w:sz w:val="24"/>
                <w:szCs w:val="24"/>
              </w:rPr>
              <w:t>并尽量缩短施工时间，加强施工管理，</w:t>
            </w:r>
            <w:r>
              <w:rPr>
                <w:rFonts w:hint="default" w:ascii="Times New Roman" w:hAnsi="Times New Roman" w:eastAsia="宋体" w:cs="Times New Roman"/>
                <w:color w:val="auto"/>
                <w:sz w:val="24"/>
                <w:szCs w:val="24"/>
              </w:rPr>
              <w:t>项目涉水施工对河道水质影响小。</w:t>
            </w:r>
            <w:r>
              <w:rPr>
                <w:rStyle w:val="51"/>
                <w:rFonts w:hint="default"/>
                <w:sz w:val="24"/>
                <w:szCs w:val="24"/>
              </w:rPr>
              <w:t>本工程评价范围内不涉及自然保护区、 风景名胜区等环境敏感区，也不占用基本农田，工程所在河段不涉及国家级、省级水产种质资源保护区。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项目区属于农村生态系统。</w:t>
            </w:r>
            <w:r>
              <w:rPr>
                <w:rFonts w:hint="default" w:ascii="Times New Roman" w:hAnsi="Times New Roman" w:eastAsia="宋体" w:cs="Times New Roman"/>
                <w:color w:val="auto"/>
                <w:sz w:val="24"/>
                <w:szCs w:val="24"/>
                <w:shd w:val="clear" w:color="auto" w:fill="auto"/>
              </w:rPr>
              <w:t>项目对周边的主要环境影响为施工期噪声、废气，只要严格执行施工期环境保护措施，对周边环境影响较小，并且随着项目建成影响随之消失。</w:t>
            </w:r>
            <w:r>
              <w:rPr>
                <w:rFonts w:hint="eastAsia" w:ascii="Times New Roman" w:hAnsi="Times New Roman" w:eastAsia="宋体" w:cs="Times New Roman"/>
                <w:color w:val="auto"/>
                <w:sz w:val="24"/>
                <w:szCs w:val="24"/>
                <w:lang w:val="en-US" w:eastAsia="zh-CN"/>
              </w:rPr>
              <w:t>工程河道现状及部分外环境照片详见下图。</w:t>
            </w:r>
          </w:p>
          <w:tbl>
            <w:tblPr>
              <w:tblStyle w:val="30"/>
              <w:tblW w:w="90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8"/>
              <w:gridCol w:w="4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508" w:type="dxa"/>
                  <w:noWrap w:val="0"/>
                  <w:vAlign w:val="center"/>
                </w:tcPr>
                <w:p>
                  <w:pPr>
                    <w:jc w:val="center"/>
                    <w:rPr>
                      <w:rFonts w:eastAsia="新宋体"/>
                      <w:b/>
                      <w:bCs/>
                      <w:sz w:val="24"/>
                      <w:szCs w:val="24"/>
                    </w:rPr>
                  </w:pPr>
                  <w:r>
                    <w:rPr>
                      <w:rFonts w:hint="eastAsia" w:eastAsia="黑体"/>
                      <w:lang w:eastAsia="zh-CN"/>
                    </w:rPr>
                    <w:drawing>
                      <wp:inline distT="0" distB="0" distL="114300" distR="114300">
                        <wp:extent cx="2520315" cy="1889760"/>
                        <wp:effectExtent l="0" t="0" r="13335" b="15240"/>
                        <wp:docPr id="60" name="图片 235" descr="IMG_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35" descr="IMG_2664"/>
                                <pic:cNvPicPr>
                                  <a:picLocks noChangeAspect="1"/>
                                </pic:cNvPicPr>
                              </pic:nvPicPr>
                              <pic:blipFill>
                                <a:blip r:embed="rId20"/>
                                <a:stretch>
                                  <a:fillRect/>
                                </a:stretch>
                              </pic:blipFill>
                              <pic:spPr>
                                <a:xfrm>
                                  <a:off x="0" y="0"/>
                                  <a:ext cx="2520315" cy="1889760"/>
                                </a:xfrm>
                                <a:prstGeom prst="rect">
                                  <a:avLst/>
                                </a:prstGeom>
                                <a:noFill/>
                                <a:ln>
                                  <a:noFill/>
                                </a:ln>
                              </pic:spPr>
                            </pic:pic>
                          </a:graphicData>
                        </a:graphic>
                      </wp:inline>
                    </w:drawing>
                  </w:r>
                </w:p>
              </w:tc>
              <w:tc>
                <w:tcPr>
                  <w:tcW w:w="4544" w:type="dxa"/>
                  <w:noWrap w:val="0"/>
                  <w:vAlign w:val="center"/>
                </w:tcPr>
                <w:p>
                  <w:pPr>
                    <w:jc w:val="center"/>
                    <w:rPr>
                      <w:rFonts w:hint="eastAsia" w:eastAsia="宋体"/>
                      <w:b/>
                      <w:bCs/>
                      <w:sz w:val="24"/>
                      <w:szCs w:val="24"/>
                      <w:lang w:eastAsia="zh-CN"/>
                    </w:rPr>
                  </w:pPr>
                  <w:r>
                    <w:rPr>
                      <w:rFonts w:hint="eastAsia" w:eastAsia="黑体"/>
                      <w:vertAlign w:val="baseline"/>
                      <w:lang w:eastAsia="zh-CN"/>
                    </w:rPr>
                    <w:drawing>
                      <wp:inline distT="0" distB="0" distL="114300" distR="114300">
                        <wp:extent cx="2520315" cy="1889760"/>
                        <wp:effectExtent l="0" t="0" r="13335" b="15240"/>
                        <wp:docPr id="61" name="图片 236" descr="IMG_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36" descr="IMG_2675"/>
                                <pic:cNvPicPr>
                                  <a:picLocks noChangeAspect="1"/>
                                </pic:cNvPicPr>
                              </pic:nvPicPr>
                              <pic:blipFill>
                                <a:blip r:embed="rId21"/>
                                <a:stretch>
                                  <a:fillRect/>
                                </a:stretch>
                              </pic:blipFill>
                              <pic:spPr>
                                <a:xfrm>
                                  <a:off x="0" y="0"/>
                                  <a:ext cx="2520315" cy="18897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9052" w:type="dxa"/>
                  <w:gridSpan w:val="2"/>
                  <w:noWrap w:val="0"/>
                  <w:vAlign w:val="center"/>
                </w:tcPr>
                <w:p>
                  <w:pPr>
                    <w:jc w:val="center"/>
                    <w:rPr>
                      <w:rFonts w:hint="eastAsia" w:eastAsia="新宋体"/>
                      <w:color w:val="FF0000"/>
                      <w:sz w:val="24"/>
                      <w:szCs w:val="24"/>
                      <w:lang w:val="en-US" w:eastAsia="zh-CN"/>
                    </w:rPr>
                  </w:pPr>
                  <w:r>
                    <w:rPr>
                      <w:rFonts w:hint="eastAsia" w:ascii="Times New Roman" w:hAnsi="Times New Roman" w:eastAsia="宋体" w:cs="Times New Roman"/>
                      <w:sz w:val="24"/>
                      <w:szCs w:val="24"/>
                      <w:lang w:val="en-US" w:eastAsia="zh-CN"/>
                    </w:rPr>
                    <w:t>庄子沟</w:t>
                  </w:r>
                  <w:r>
                    <w:rPr>
                      <w:rFonts w:hint="eastAsia" w:ascii="Times New Roman" w:hAnsi="Times New Roman" w:eastAsia="宋体" w:cs="Times New Roman"/>
                      <w:sz w:val="24"/>
                      <w:szCs w:val="24"/>
                      <w:lang w:eastAsia="zh-CN"/>
                    </w:rPr>
                    <w:t>沿线</w:t>
                  </w:r>
                  <w:r>
                    <w:rPr>
                      <w:rFonts w:hint="eastAsia" w:ascii="Times New Roman" w:hAnsi="Times New Roman" w:eastAsia="宋体" w:cs="Times New Roman"/>
                      <w:sz w:val="24"/>
                      <w:szCs w:val="24"/>
                      <w:lang w:val="en-US" w:eastAsia="zh-CN"/>
                    </w:rPr>
                    <w:t>外环境</w:t>
                  </w:r>
                  <w:r>
                    <w:rPr>
                      <w:rFonts w:hint="eastAsia" w:ascii="Times New Roman" w:hAnsi="Times New Roman" w:eastAsia="宋体" w:cs="Times New Roman"/>
                      <w:sz w:val="24"/>
                      <w:szCs w:val="24"/>
                      <w:lang w:eastAsia="zh-CN"/>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4" w:hRule="atLeast"/>
                <w:jc w:val="center"/>
              </w:trPr>
              <w:tc>
                <w:tcPr>
                  <w:tcW w:w="4508" w:type="dxa"/>
                  <w:noWrap w:val="0"/>
                  <w:vAlign w:val="center"/>
                </w:tcPr>
                <w:p>
                  <w:pPr>
                    <w:jc w:val="center"/>
                    <w:rPr>
                      <w:rFonts w:hint="eastAsia" w:eastAsia="宋体"/>
                      <w:b/>
                      <w:bCs/>
                      <w:sz w:val="24"/>
                      <w:szCs w:val="24"/>
                      <w:lang w:eastAsia="zh-CN"/>
                    </w:rPr>
                  </w:pPr>
                  <w:r>
                    <w:rPr>
                      <w:rFonts w:hint="eastAsia" w:eastAsia="黑体"/>
                      <w:lang w:eastAsia="zh-CN"/>
                    </w:rPr>
                    <w:drawing>
                      <wp:inline distT="0" distB="0" distL="114300" distR="114300">
                        <wp:extent cx="2520315" cy="1884680"/>
                        <wp:effectExtent l="0" t="0" r="13335" b="1270"/>
                        <wp:docPr id="62" name="图片 237" descr="IMG_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37" descr="IMG_2688"/>
                                <pic:cNvPicPr>
                                  <a:picLocks noChangeAspect="1"/>
                                </pic:cNvPicPr>
                              </pic:nvPicPr>
                              <pic:blipFill>
                                <a:blip r:embed="rId22"/>
                                <a:srcRect t="29982" b="13933"/>
                                <a:stretch>
                                  <a:fillRect/>
                                </a:stretch>
                              </pic:blipFill>
                              <pic:spPr>
                                <a:xfrm>
                                  <a:off x="0" y="0"/>
                                  <a:ext cx="2520315" cy="1884680"/>
                                </a:xfrm>
                                <a:prstGeom prst="rect">
                                  <a:avLst/>
                                </a:prstGeom>
                                <a:noFill/>
                                <a:ln>
                                  <a:noFill/>
                                </a:ln>
                              </pic:spPr>
                            </pic:pic>
                          </a:graphicData>
                        </a:graphic>
                      </wp:inline>
                    </w:drawing>
                  </w:r>
                </w:p>
              </w:tc>
              <w:tc>
                <w:tcPr>
                  <w:tcW w:w="4544" w:type="dxa"/>
                  <w:noWrap w:val="0"/>
                  <w:vAlign w:val="center"/>
                </w:tcPr>
                <w:p>
                  <w:pPr>
                    <w:jc w:val="center"/>
                    <w:rPr>
                      <w:rFonts w:hint="eastAsia" w:eastAsia="宋体"/>
                      <w:color w:val="FF0000"/>
                      <w:sz w:val="24"/>
                      <w:szCs w:val="24"/>
                      <w:lang w:eastAsia="zh-CN"/>
                    </w:rPr>
                  </w:pPr>
                  <w:r>
                    <w:rPr>
                      <w:rFonts w:hint="eastAsia" w:eastAsia="黑体"/>
                      <w:lang w:eastAsia="zh-CN"/>
                    </w:rPr>
                    <w:drawing>
                      <wp:inline distT="0" distB="0" distL="114300" distR="114300">
                        <wp:extent cx="2520315" cy="1871345"/>
                        <wp:effectExtent l="0" t="0" r="13335" b="14605"/>
                        <wp:docPr id="63" name="图片 238" descr="IMG_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38" descr="IMG_2684"/>
                                <pic:cNvPicPr>
                                  <a:picLocks noChangeAspect="1"/>
                                </pic:cNvPicPr>
                              </pic:nvPicPr>
                              <pic:blipFill>
                                <a:blip r:embed="rId23"/>
                                <a:srcRect t="8919" b="35393"/>
                                <a:stretch>
                                  <a:fillRect/>
                                </a:stretch>
                              </pic:blipFill>
                              <pic:spPr>
                                <a:xfrm>
                                  <a:off x="0" y="0"/>
                                  <a:ext cx="2520315" cy="18713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9052" w:type="dxa"/>
                  <w:gridSpan w:val="2"/>
                  <w:noWrap w:val="0"/>
                  <w:vAlign w:val="center"/>
                </w:tcPr>
                <w:p>
                  <w:pPr>
                    <w:jc w:val="center"/>
                    <w:rPr>
                      <w:rFonts w:eastAsia="新宋体"/>
                      <w:color w:val="FF0000"/>
                      <w:sz w:val="24"/>
                      <w:szCs w:val="24"/>
                    </w:rPr>
                  </w:pPr>
                  <w:r>
                    <w:rPr>
                      <w:rFonts w:hint="eastAsia" w:ascii="Times New Roman" w:hAnsi="Times New Roman" w:eastAsia="宋体" w:cs="Times New Roman"/>
                      <w:sz w:val="24"/>
                      <w:szCs w:val="24"/>
                      <w:lang w:val="en-US" w:eastAsia="zh-CN"/>
                    </w:rPr>
                    <w:t>庄子沟</w:t>
                  </w:r>
                  <w:r>
                    <w:rPr>
                      <w:rFonts w:hint="eastAsia" w:ascii="Times New Roman" w:hAnsi="Times New Roman" w:eastAsia="宋体" w:cs="Times New Roman"/>
                      <w:sz w:val="24"/>
                      <w:szCs w:val="24"/>
                      <w:lang w:eastAsia="zh-CN"/>
                    </w:rPr>
                    <w:t>沿线</w:t>
                  </w:r>
                  <w:r>
                    <w:rPr>
                      <w:rFonts w:hint="eastAsia" w:ascii="Times New Roman" w:hAnsi="Times New Roman" w:eastAsia="宋体" w:cs="Times New Roman"/>
                      <w:sz w:val="24"/>
                      <w:szCs w:val="24"/>
                      <w:lang w:val="en-US" w:eastAsia="zh-CN"/>
                    </w:rPr>
                    <w:t>外环境</w:t>
                  </w:r>
                  <w:r>
                    <w:rPr>
                      <w:rFonts w:hint="eastAsia" w:ascii="Times New Roman" w:hAnsi="Times New Roman" w:eastAsia="宋体" w:cs="Times New Roman"/>
                      <w:sz w:val="24"/>
                      <w:szCs w:val="24"/>
                      <w:lang w:eastAsia="zh-CN"/>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508" w:type="dxa"/>
                  <w:noWrap w:val="0"/>
                  <w:vAlign w:val="center"/>
                </w:tcPr>
                <w:p>
                  <w:pPr>
                    <w:jc w:val="center"/>
                    <w:rPr>
                      <w:rFonts w:hint="eastAsia" w:eastAsia="新宋体"/>
                      <w:b/>
                      <w:bCs/>
                      <w:sz w:val="24"/>
                      <w:szCs w:val="24"/>
                      <w:lang w:eastAsia="zh-CN"/>
                    </w:rPr>
                  </w:pPr>
                  <w:r>
                    <w:rPr>
                      <w:rFonts w:hint="eastAsia" w:eastAsia="黑体"/>
                      <w:lang w:eastAsia="zh-CN"/>
                    </w:rPr>
                    <w:drawing>
                      <wp:inline distT="0" distB="0" distL="114300" distR="114300">
                        <wp:extent cx="2520315" cy="1890395"/>
                        <wp:effectExtent l="0" t="0" r="13335" b="14605"/>
                        <wp:docPr id="64" name="图片 239" descr="IMG_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39" descr="IMG_2689"/>
                                <pic:cNvPicPr>
                                  <a:picLocks noChangeAspect="1"/>
                                </pic:cNvPicPr>
                              </pic:nvPicPr>
                              <pic:blipFill>
                                <a:blip r:embed="rId24"/>
                                <a:srcRect t="25137" b="18622"/>
                                <a:stretch>
                                  <a:fillRect/>
                                </a:stretch>
                              </pic:blipFill>
                              <pic:spPr>
                                <a:xfrm>
                                  <a:off x="0" y="0"/>
                                  <a:ext cx="2520315" cy="1890395"/>
                                </a:xfrm>
                                <a:prstGeom prst="rect">
                                  <a:avLst/>
                                </a:prstGeom>
                                <a:noFill/>
                                <a:ln>
                                  <a:noFill/>
                                </a:ln>
                              </pic:spPr>
                            </pic:pic>
                          </a:graphicData>
                        </a:graphic>
                      </wp:inline>
                    </w:drawing>
                  </w:r>
                </w:p>
              </w:tc>
              <w:tc>
                <w:tcPr>
                  <w:tcW w:w="4544" w:type="dxa"/>
                  <w:noWrap w:val="0"/>
                  <w:vAlign w:val="center"/>
                </w:tcPr>
                <w:p>
                  <w:pPr>
                    <w:jc w:val="center"/>
                    <w:rPr>
                      <w:rFonts w:hint="eastAsia" w:eastAsia="新宋体"/>
                      <w:color w:val="FF0000"/>
                      <w:sz w:val="24"/>
                      <w:szCs w:val="24"/>
                      <w:lang w:eastAsia="zh-CN"/>
                    </w:rPr>
                  </w:pPr>
                  <w:r>
                    <w:rPr>
                      <w:rFonts w:hint="eastAsia" w:eastAsia="黑体"/>
                      <w:vertAlign w:val="baseline"/>
                      <w:lang w:eastAsia="zh-CN"/>
                    </w:rPr>
                    <w:drawing>
                      <wp:inline distT="0" distB="0" distL="114300" distR="114300">
                        <wp:extent cx="2573020" cy="1877060"/>
                        <wp:effectExtent l="0" t="0" r="17780" b="8890"/>
                        <wp:docPr id="65" name="图片 240" descr="IMG_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40" descr="IMG_2677"/>
                                <pic:cNvPicPr>
                                  <a:picLocks noChangeAspect="1"/>
                                </pic:cNvPicPr>
                              </pic:nvPicPr>
                              <pic:blipFill>
                                <a:blip r:embed="rId25"/>
                                <a:srcRect t="19804" b="25485"/>
                                <a:stretch>
                                  <a:fillRect/>
                                </a:stretch>
                              </pic:blipFill>
                              <pic:spPr>
                                <a:xfrm>
                                  <a:off x="0" y="0"/>
                                  <a:ext cx="2573020" cy="18770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9052" w:type="dxa"/>
                  <w:gridSpan w:val="2"/>
                  <w:noWrap w:val="0"/>
                  <w:vAlign w:val="center"/>
                </w:tcPr>
                <w:p>
                  <w:pPr>
                    <w:jc w:val="center"/>
                    <w:rPr>
                      <w:rFonts w:eastAsia="新宋体"/>
                      <w:color w:val="FF0000"/>
                      <w:sz w:val="24"/>
                      <w:szCs w:val="24"/>
                    </w:rPr>
                  </w:pPr>
                  <w:r>
                    <w:rPr>
                      <w:rFonts w:hint="eastAsia" w:ascii="Times New Roman" w:hAnsi="Times New Roman" w:eastAsia="宋体" w:cs="Times New Roman"/>
                      <w:sz w:val="24"/>
                      <w:szCs w:val="24"/>
                      <w:lang w:val="en-US" w:eastAsia="zh-CN"/>
                    </w:rPr>
                    <w:t>庄子沟</w:t>
                  </w:r>
                  <w:r>
                    <w:rPr>
                      <w:rFonts w:hint="eastAsia" w:ascii="Times New Roman" w:hAnsi="Times New Roman" w:eastAsia="宋体" w:cs="Times New Roman"/>
                      <w:sz w:val="24"/>
                      <w:szCs w:val="24"/>
                      <w:lang w:eastAsia="zh-CN"/>
                    </w:rPr>
                    <w:t>沿线</w:t>
                  </w:r>
                  <w:r>
                    <w:rPr>
                      <w:rFonts w:hint="eastAsia" w:ascii="Times New Roman" w:hAnsi="Times New Roman" w:eastAsia="宋体" w:cs="Times New Roman"/>
                      <w:sz w:val="24"/>
                      <w:szCs w:val="24"/>
                      <w:lang w:val="en-US" w:eastAsia="zh-CN"/>
                    </w:rPr>
                    <w:t>外环境</w:t>
                  </w:r>
                  <w:r>
                    <w:rPr>
                      <w:rFonts w:hint="eastAsia" w:ascii="Times New Roman" w:hAnsi="Times New Roman" w:eastAsia="宋体" w:cs="Times New Roman"/>
                      <w:sz w:val="24"/>
                      <w:szCs w:val="24"/>
                      <w:lang w:eastAsia="zh-CN"/>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508" w:type="dxa"/>
                  <w:noWrap w:val="0"/>
                  <w:vAlign w:val="center"/>
                </w:tcPr>
                <w:p>
                  <w:pPr>
                    <w:jc w:val="center"/>
                    <w:rPr>
                      <w:rFonts w:hint="eastAsia" w:eastAsia="新宋体"/>
                      <w:b w:val="0"/>
                      <w:bCs w:val="0"/>
                      <w:sz w:val="24"/>
                      <w:szCs w:val="24"/>
                      <w:lang w:eastAsia="zh-CN"/>
                    </w:rPr>
                  </w:pPr>
                  <w:r>
                    <w:rPr>
                      <w:rFonts w:hint="eastAsia" w:eastAsia="新宋体"/>
                      <w:b w:val="0"/>
                      <w:bCs w:val="0"/>
                      <w:sz w:val="24"/>
                      <w:szCs w:val="24"/>
                      <w:lang w:eastAsia="zh-CN"/>
                    </w:rPr>
                    <w:drawing>
                      <wp:inline distT="0" distB="0" distL="114300" distR="114300">
                        <wp:extent cx="2520315" cy="1889760"/>
                        <wp:effectExtent l="0" t="0" r="13335" b="15240"/>
                        <wp:docPr id="66" name="图片 242" descr="IMG_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42" descr="IMG_2674"/>
                                <pic:cNvPicPr>
                                  <a:picLocks noChangeAspect="1"/>
                                </pic:cNvPicPr>
                              </pic:nvPicPr>
                              <pic:blipFill>
                                <a:blip r:embed="rId26"/>
                                <a:stretch>
                                  <a:fillRect/>
                                </a:stretch>
                              </pic:blipFill>
                              <pic:spPr>
                                <a:xfrm>
                                  <a:off x="0" y="0"/>
                                  <a:ext cx="2520315" cy="1889760"/>
                                </a:xfrm>
                                <a:prstGeom prst="rect">
                                  <a:avLst/>
                                </a:prstGeom>
                                <a:noFill/>
                                <a:ln>
                                  <a:noFill/>
                                </a:ln>
                              </pic:spPr>
                            </pic:pic>
                          </a:graphicData>
                        </a:graphic>
                      </wp:inline>
                    </w:drawing>
                  </w:r>
                </w:p>
              </w:tc>
              <w:tc>
                <w:tcPr>
                  <w:tcW w:w="4544" w:type="dxa"/>
                  <w:noWrap w:val="0"/>
                  <w:vAlign w:val="center"/>
                </w:tcPr>
                <w:p>
                  <w:pPr>
                    <w:jc w:val="center"/>
                    <w:rPr>
                      <w:rFonts w:hint="eastAsia" w:eastAsia="宋体"/>
                      <w:b w:val="0"/>
                      <w:bCs w:val="0"/>
                      <w:sz w:val="24"/>
                      <w:szCs w:val="24"/>
                      <w:lang w:eastAsia="zh-CN"/>
                    </w:rPr>
                  </w:pPr>
                  <w:r>
                    <w:rPr>
                      <w:rFonts w:hint="eastAsia" w:eastAsia="宋体"/>
                      <w:b w:val="0"/>
                      <w:bCs w:val="0"/>
                      <w:sz w:val="24"/>
                      <w:szCs w:val="24"/>
                      <w:lang w:eastAsia="zh-CN"/>
                    </w:rPr>
                    <w:drawing>
                      <wp:inline distT="0" distB="0" distL="114300" distR="114300">
                        <wp:extent cx="2520315" cy="1889760"/>
                        <wp:effectExtent l="0" t="0" r="13335" b="15240"/>
                        <wp:docPr id="67" name="图片 243" descr="IMG_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43" descr="IMG_2663"/>
                                <pic:cNvPicPr>
                                  <a:picLocks noChangeAspect="1"/>
                                </pic:cNvPicPr>
                              </pic:nvPicPr>
                              <pic:blipFill>
                                <a:blip r:embed="rId27"/>
                                <a:stretch>
                                  <a:fillRect/>
                                </a:stretch>
                              </pic:blipFill>
                              <pic:spPr>
                                <a:xfrm>
                                  <a:off x="0" y="0"/>
                                  <a:ext cx="2520315" cy="18897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9052" w:type="dxa"/>
                  <w:gridSpan w:val="2"/>
                  <w:noWrap w:val="0"/>
                  <w:vAlign w:val="center"/>
                </w:tcPr>
                <w:p>
                  <w:pPr>
                    <w:jc w:val="center"/>
                    <w:rPr>
                      <w:sz w:val="24"/>
                      <w:szCs w:val="24"/>
                    </w:rPr>
                  </w:pPr>
                  <w:r>
                    <w:rPr>
                      <w:rFonts w:hint="eastAsia" w:ascii="Times New Roman" w:hAnsi="Times New Roman" w:eastAsia="宋体" w:cs="Times New Roman"/>
                      <w:sz w:val="24"/>
                      <w:szCs w:val="24"/>
                      <w:lang w:eastAsia="zh-CN"/>
                    </w:rPr>
                    <w:t>庄子沟拟建堤防沿线现状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508" w:type="dxa"/>
                  <w:noWrap w:val="0"/>
                  <w:vAlign w:val="center"/>
                </w:tcPr>
                <w:p>
                  <w:pPr>
                    <w:jc w:val="center"/>
                    <w:rPr>
                      <w:rFonts w:hint="eastAsia" w:eastAsia="新宋体"/>
                      <w:b w:val="0"/>
                      <w:bCs w:val="0"/>
                      <w:sz w:val="24"/>
                      <w:szCs w:val="24"/>
                      <w:lang w:eastAsia="zh-CN"/>
                    </w:rPr>
                  </w:pPr>
                  <w:r>
                    <w:rPr>
                      <w:rFonts w:hint="eastAsia" w:eastAsia="新宋体"/>
                      <w:b w:val="0"/>
                      <w:bCs w:val="0"/>
                      <w:sz w:val="24"/>
                      <w:szCs w:val="24"/>
                      <w:lang w:eastAsia="zh-CN"/>
                    </w:rPr>
                    <w:drawing>
                      <wp:inline distT="0" distB="0" distL="114300" distR="114300">
                        <wp:extent cx="2520315" cy="1845945"/>
                        <wp:effectExtent l="0" t="0" r="13335" b="1905"/>
                        <wp:docPr id="68" name="图片 246" descr="IMG_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46" descr="IMG_2682"/>
                                <pic:cNvPicPr>
                                  <a:picLocks noChangeAspect="1"/>
                                </pic:cNvPicPr>
                              </pic:nvPicPr>
                              <pic:blipFill>
                                <a:blip r:embed="rId28"/>
                                <a:srcRect t="26279" b="18768"/>
                                <a:stretch>
                                  <a:fillRect/>
                                </a:stretch>
                              </pic:blipFill>
                              <pic:spPr>
                                <a:xfrm>
                                  <a:off x="0" y="0"/>
                                  <a:ext cx="2520315" cy="1845945"/>
                                </a:xfrm>
                                <a:prstGeom prst="rect">
                                  <a:avLst/>
                                </a:prstGeom>
                                <a:noFill/>
                                <a:ln>
                                  <a:noFill/>
                                </a:ln>
                              </pic:spPr>
                            </pic:pic>
                          </a:graphicData>
                        </a:graphic>
                      </wp:inline>
                    </w:drawing>
                  </w:r>
                </w:p>
              </w:tc>
              <w:tc>
                <w:tcPr>
                  <w:tcW w:w="4544" w:type="dxa"/>
                  <w:noWrap w:val="0"/>
                  <w:vAlign w:val="center"/>
                </w:tcPr>
                <w:p>
                  <w:pPr>
                    <w:jc w:val="center"/>
                    <w:rPr>
                      <w:rFonts w:hint="eastAsia" w:eastAsia="新宋体"/>
                      <w:b w:val="0"/>
                      <w:bCs w:val="0"/>
                      <w:sz w:val="24"/>
                      <w:szCs w:val="24"/>
                      <w:lang w:eastAsia="zh-CN"/>
                    </w:rPr>
                  </w:pPr>
                  <w:r>
                    <w:rPr>
                      <w:rFonts w:hint="eastAsia" w:eastAsia="新宋体"/>
                      <w:b w:val="0"/>
                      <w:bCs w:val="0"/>
                      <w:sz w:val="24"/>
                      <w:szCs w:val="24"/>
                      <w:lang w:eastAsia="zh-CN"/>
                    </w:rPr>
                    <w:drawing>
                      <wp:inline distT="0" distB="0" distL="114300" distR="114300">
                        <wp:extent cx="1889760" cy="2520315"/>
                        <wp:effectExtent l="0" t="0" r="13335" b="15240"/>
                        <wp:docPr id="69" name="图片 247" descr="IMG_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47" descr="IMG_2690"/>
                                <pic:cNvPicPr>
                                  <a:picLocks noChangeAspect="1"/>
                                </pic:cNvPicPr>
                              </pic:nvPicPr>
                              <pic:blipFill>
                                <a:blip r:embed="rId29"/>
                                <a:stretch>
                                  <a:fillRect/>
                                </a:stretch>
                              </pic:blipFill>
                              <pic:spPr>
                                <a:xfrm rot="5400000">
                                  <a:off x="0" y="0"/>
                                  <a:ext cx="1889760" cy="25203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9052" w:type="dxa"/>
                  <w:gridSpan w:val="2"/>
                  <w:noWrap w:val="0"/>
                  <w:vAlign w:val="center"/>
                </w:tcPr>
                <w:p>
                  <w:pPr>
                    <w:jc w:val="center"/>
                    <w:rPr>
                      <w:sz w:val="24"/>
                      <w:szCs w:val="24"/>
                    </w:rPr>
                  </w:pPr>
                  <w:r>
                    <w:rPr>
                      <w:rFonts w:hint="eastAsia" w:ascii="Times New Roman" w:hAnsi="Times New Roman" w:eastAsia="宋体" w:cs="Times New Roman"/>
                      <w:sz w:val="24"/>
                      <w:szCs w:val="24"/>
                      <w:lang w:eastAsia="zh-CN"/>
                    </w:rPr>
                    <w:t>庄子沟拟建堤防沿线现状</w:t>
                  </w:r>
                </w:p>
              </w:tc>
            </w:tr>
          </w:tbl>
          <w:p>
            <w:pPr>
              <w:spacing w:line="360" w:lineRule="auto"/>
              <w:ind w:firstLine="482" w:firstLineChars="200"/>
              <w:rPr>
                <w:rFonts w:hint="default" w:ascii="Times New Roman" w:hAnsi="Times New Roman" w:eastAsia="宋体" w:cs="Times New Roman"/>
                <w:b/>
                <w:bCs/>
                <w:color w:val="auto"/>
                <w:sz w:val="24"/>
                <w:szCs w:val="24"/>
                <w:lang w:val="en-US" w:eastAsia="zh-CN"/>
              </w:rPr>
            </w:pPr>
            <w:bookmarkStart w:id="74" w:name="_Toc254685706"/>
            <w:bookmarkStart w:id="75" w:name="_Toc248321485"/>
            <w:bookmarkStart w:id="76" w:name="_Toc254685433"/>
            <w:bookmarkStart w:id="77" w:name="_Toc254685160"/>
            <w:bookmarkStart w:id="78" w:name="_Toc248321486"/>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与</w:t>
            </w:r>
            <w:r>
              <w:rPr>
                <w:rFonts w:hint="eastAsia" w:ascii="Times New Roman" w:hAnsi="Times New Roman" w:eastAsia="宋体" w:cs="Times New Roman"/>
                <w:b/>
                <w:bCs/>
                <w:color w:val="auto"/>
                <w:sz w:val="24"/>
                <w:szCs w:val="24"/>
                <w:lang w:val="en-US" w:eastAsia="zh-CN"/>
              </w:rPr>
              <w:t>区域</w:t>
            </w:r>
            <w:r>
              <w:rPr>
                <w:rFonts w:hint="default" w:ascii="Times New Roman" w:hAnsi="Times New Roman" w:eastAsia="宋体" w:cs="Times New Roman"/>
                <w:b/>
                <w:bCs/>
                <w:color w:val="auto"/>
                <w:sz w:val="24"/>
                <w:szCs w:val="24"/>
                <w:lang w:val="en-US" w:eastAsia="zh-CN"/>
              </w:rPr>
              <w:t>饮用水源的关系</w:t>
            </w:r>
          </w:p>
          <w:p>
            <w:pPr>
              <w:spacing w:line="360" w:lineRule="auto"/>
              <w:ind w:firstLine="480" w:firstLineChars="200"/>
              <w:rPr>
                <w:rFonts w:hint="eastAsia" w:ascii="宋体" w:hAnsi="宋体" w:eastAsia="宋体" w:cs="Times New Roman"/>
                <w:color w:val="000000"/>
                <w:sz w:val="24"/>
              </w:rPr>
            </w:pPr>
            <w:r>
              <w:rPr>
                <w:rFonts w:hint="eastAsia" w:ascii="宋体" w:hAnsi="宋体" w:eastAsia="宋体" w:cs="Times New Roman"/>
                <w:color w:val="000000"/>
                <w:sz w:val="24"/>
              </w:rPr>
              <w:t>通过走访调查</w:t>
            </w:r>
            <w:r>
              <w:rPr>
                <w:rFonts w:hint="eastAsia" w:ascii="宋体" w:hAnsi="宋体" w:eastAsia="宋体" w:cs="Times New Roman"/>
                <w:color w:val="000000"/>
                <w:sz w:val="24"/>
                <w:lang w:eastAsia="zh-CN"/>
              </w:rPr>
              <w:t>及咨询相关部门</w:t>
            </w:r>
            <w:r>
              <w:rPr>
                <w:rFonts w:hint="eastAsia" w:ascii="宋体" w:hAnsi="宋体" w:eastAsia="宋体" w:cs="Times New Roman"/>
                <w:color w:val="000000"/>
                <w:sz w:val="24"/>
              </w:rPr>
              <w:t>，</w:t>
            </w:r>
            <w:r>
              <w:rPr>
                <w:rFonts w:hint="eastAsia" w:ascii="宋体" w:hAnsi="宋体" w:eastAsia="宋体" w:cs="Times New Roman"/>
                <w:color w:val="000000"/>
                <w:sz w:val="24"/>
                <w:lang w:eastAsia="zh-CN"/>
              </w:rPr>
              <w:t>本项目涉及水体</w:t>
            </w:r>
            <w:r>
              <w:rPr>
                <w:rFonts w:hint="eastAsia" w:ascii="Times New Roman" w:hAnsi="Times New Roman" w:eastAsia="宋体" w:cs="Times New Roman"/>
                <w:color w:val="auto"/>
                <w:kern w:val="2"/>
                <w:sz w:val="24"/>
                <w:szCs w:val="24"/>
                <w:highlight w:val="none"/>
                <w:lang w:val="en-US" w:eastAsia="zh-CN" w:bidi="ar-SA"/>
              </w:rPr>
              <w:t>庄子沟</w:t>
            </w:r>
            <w:r>
              <w:rPr>
                <w:rFonts w:hint="eastAsia" w:ascii="宋体" w:hAnsi="宋体" w:eastAsia="宋体" w:cs="Times New Roman"/>
                <w:color w:val="000000"/>
                <w:sz w:val="24"/>
                <w:lang w:eastAsia="zh-CN"/>
              </w:rPr>
              <w:t>未设置饮用水源取水口，</w:t>
            </w:r>
            <w:r>
              <w:rPr>
                <w:rFonts w:hint="eastAsia" w:ascii="宋体" w:hAnsi="宋体" w:eastAsia="宋体" w:cs="Times New Roman"/>
                <w:color w:val="000000"/>
                <w:sz w:val="24"/>
              </w:rPr>
              <w:t>当地</w:t>
            </w:r>
            <w:r>
              <w:rPr>
                <w:rFonts w:hint="eastAsia" w:ascii="宋体" w:hAnsi="宋体" w:eastAsia="宋体" w:cs="Times New Roman"/>
                <w:color w:val="000000"/>
                <w:sz w:val="24"/>
                <w:lang w:eastAsia="zh-CN"/>
              </w:rPr>
              <w:t>住户及企事业单位</w:t>
            </w:r>
            <w:r>
              <w:rPr>
                <w:rFonts w:hint="eastAsia" w:ascii="宋体" w:hAnsi="宋体" w:eastAsia="宋体" w:cs="Times New Roman"/>
                <w:color w:val="000000"/>
                <w:sz w:val="24"/>
              </w:rPr>
              <w:t>均由</w:t>
            </w:r>
            <w:r>
              <w:rPr>
                <w:rFonts w:hint="eastAsia" w:ascii="Calibri" w:hAnsi="Calibri" w:eastAsia="宋体" w:cs="Times New Roman"/>
                <w:color w:val="000000"/>
                <w:sz w:val="24"/>
              </w:rPr>
              <w:t>元坝镇</w:t>
            </w:r>
            <w:r>
              <w:rPr>
                <w:rFonts w:ascii="Calibri" w:hAnsi="宋体" w:eastAsia="宋体" w:cs="Times New Roman"/>
                <w:color w:val="000000"/>
                <w:sz w:val="24"/>
              </w:rPr>
              <w:t>场镇统一供水。</w:t>
            </w:r>
            <w:r>
              <w:rPr>
                <w:rFonts w:hint="eastAsia" w:ascii="宋体" w:hAnsi="宋体" w:eastAsia="宋体" w:cs="Times New Roman"/>
                <w:color w:val="000000"/>
                <w:sz w:val="24"/>
              </w:rPr>
              <w:t>经查阅网站</w:t>
            </w:r>
            <w:r>
              <w:rPr>
                <w:rFonts w:hint="eastAsia" w:ascii="宋体" w:hAnsi="宋体" w:eastAsia="宋体" w:cs="Times New Roman"/>
                <w:color w:val="000000"/>
                <w:spacing w:val="-16"/>
                <w:sz w:val="24"/>
              </w:rPr>
              <w:t>（</w:t>
            </w:r>
            <w:r>
              <w:rPr>
                <w:rFonts w:ascii="宋体" w:hAnsi="宋体" w:eastAsia="宋体" w:cs="Times New Roman"/>
                <w:color w:val="000000"/>
                <w:spacing w:val="-16"/>
                <w:sz w:val="24"/>
              </w:rPr>
              <w:fldChar w:fldCharType="begin"/>
            </w:r>
            <w:r>
              <w:rPr>
                <w:rFonts w:ascii="宋体" w:hAnsi="宋体" w:eastAsia="宋体" w:cs="Times New Roman"/>
                <w:color w:val="000000"/>
                <w:spacing w:val="-16"/>
                <w:sz w:val="24"/>
              </w:rPr>
              <w:instrText xml:space="preserve"> HYPERLINK "http://www.sc.gov.cn/10462/10464/10684/13655/2010/2/12/10368872.shtml" </w:instrText>
            </w:r>
            <w:r>
              <w:rPr>
                <w:rFonts w:ascii="宋体" w:hAnsi="宋体" w:eastAsia="宋体" w:cs="Times New Roman"/>
                <w:color w:val="000000"/>
                <w:spacing w:val="-16"/>
                <w:sz w:val="24"/>
              </w:rPr>
              <w:fldChar w:fldCharType="separate"/>
            </w:r>
            <w:r>
              <w:rPr>
                <w:rFonts w:ascii="宋体" w:hAnsi="宋体" w:eastAsia="宋体" w:cs="Times New Roman"/>
                <w:color w:val="000000"/>
                <w:spacing w:val="-16"/>
                <w:sz w:val="24"/>
                <w:u w:val="single"/>
              </w:rPr>
              <w:t>http://www.sc.gov.cn/10462/10464/10684/13655/2010/2/12/10368872.shtml</w:t>
            </w:r>
            <w:r>
              <w:rPr>
                <w:rFonts w:ascii="宋体" w:hAnsi="宋体" w:eastAsia="宋体" w:cs="Times New Roman"/>
                <w:color w:val="000000"/>
                <w:spacing w:val="-16"/>
                <w:sz w:val="24"/>
              </w:rPr>
              <w:fldChar w:fldCharType="end"/>
            </w:r>
            <w:r>
              <w:rPr>
                <w:rFonts w:hint="eastAsia" w:ascii="宋体" w:hAnsi="宋体" w:eastAsia="宋体" w:cs="Times New Roman"/>
                <w:color w:val="000000"/>
                <w:spacing w:val="-16"/>
                <w:sz w:val="24"/>
              </w:rPr>
              <w:t>）</w:t>
            </w:r>
            <w:r>
              <w:rPr>
                <w:rFonts w:hint="eastAsia" w:ascii="宋体" w:hAnsi="宋体" w:eastAsia="宋体" w:cs="Times New Roman"/>
                <w:color w:val="000000"/>
                <w:sz w:val="24"/>
              </w:rPr>
              <w:t>可知,元坝镇</w:t>
            </w:r>
            <w:r>
              <w:rPr>
                <w:rFonts w:hint="eastAsia" w:ascii="Calibri" w:hAnsi="Calibri" w:eastAsia="宋体" w:cs="Times New Roman"/>
                <w:color w:val="000000"/>
                <w:sz w:val="24"/>
              </w:rPr>
              <w:t>饮用水源水源保护区划定范围如下表所示：</w:t>
            </w:r>
          </w:p>
          <w:p>
            <w:pPr>
              <w:spacing w:line="360" w:lineRule="auto"/>
              <w:ind w:firstLine="480" w:firstLineChars="200"/>
              <w:jc w:val="center"/>
              <w:rPr>
                <w:rFonts w:hint="eastAsia" w:ascii="Calibri" w:hAnsi="Calibri" w:eastAsia="宋体" w:cs="Times New Roman"/>
                <w:color w:val="000000"/>
                <w:sz w:val="24"/>
              </w:rPr>
            </w:pPr>
            <w:r>
              <w:rPr>
                <w:rFonts w:hint="eastAsia" w:ascii="Calibri" w:hAnsi="Calibri" w:eastAsia="宋体" w:cs="Times New Roman"/>
                <w:color w:val="000000"/>
                <w:sz w:val="24"/>
              </w:rPr>
              <w:t>表</w:t>
            </w:r>
            <w:r>
              <w:rPr>
                <w:rFonts w:hint="eastAsia" w:ascii="Calibri" w:hAnsi="Calibri" w:eastAsia="宋体" w:cs="Times New Roman"/>
                <w:color w:val="000000"/>
                <w:sz w:val="24"/>
                <w:lang w:val="en-US" w:eastAsia="zh-CN"/>
              </w:rPr>
              <w:t>4-5</w:t>
            </w:r>
            <w:r>
              <w:rPr>
                <w:rFonts w:hint="eastAsia" w:ascii="Calibri" w:hAnsi="Calibri" w:eastAsia="宋体" w:cs="Times New Roman"/>
                <w:color w:val="000000"/>
                <w:sz w:val="24"/>
              </w:rPr>
              <w:t xml:space="preserve">   元坝镇饮用水源水源保护区划定范围一览表</w:t>
            </w:r>
          </w:p>
          <w:p>
            <w:pPr>
              <w:widowControl w:val="0"/>
              <w:spacing w:line="360" w:lineRule="auto"/>
              <w:ind w:firstLine="0" w:firstLineChars="0"/>
              <w:jc w:val="center"/>
              <w:rPr>
                <w:rFonts w:hint="eastAsia" w:ascii="宋体" w:hAnsi="Courier New" w:eastAsia="宋体" w:cs="Courier New"/>
                <w:color w:val="000000"/>
                <w:kern w:val="2"/>
                <w:sz w:val="24"/>
                <w:szCs w:val="21"/>
                <w:lang w:val="en-US" w:eastAsia="zh-CN" w:bidi="ar-SA"/>
              </w:rPr>
            </w:pPr>
            <w:r>
              <w:rPr>
                <w:rFonts w:hint="eastAsia" w:ascii="宋体" w:hAnsi="Courier New" w:eastAsia="宋体" w:cs="Courier New"/>
                <w:color w:val="000000"/>
                <w:kern w:val="2"/>
                <w:sz w:val="24"/>
                <w:szCs w:val="21"/>
                <w:lang w:val="en-US" w:eastAsia="zh-CN" w:bidi="ar-SA"/>
              </w:rPr>
              <w:drawing>
                <wp:inline distT="0" distB="0" distL="114300" distR="114300">
                  <wp:extent cx="5640705" cy="1455420"/>
                  <wp:effectExtent l="0" t="0" r="17145" b="11430"/>
                  <wp:docPr id="70"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3"/>
                          <pic:cNvPicPr>
                            <a:picLocks noChangeAspect="1"/>
                          </pic:cNvPicPr>
                        </pic:nvPicPr>
                        <pic:blipFill>
                          <a:blip r:embed="rId33"/>
                          <a:stretch>
                            <a:fillRect/>
                          </a:stretch>
                        </pic:blipFill>
                        <pic:spPr>
                          <a:xfrm>
                            <a:off x="0" y="0"/>
                            <a:ext cx="5640705" cy="1455420"/>
                          </a:xfrm>
                          <a:prstGeom prst="rect">
                            <a:avLst/>
                          </a:prstGeom>
                          <a:noFill/>
                          <a:ln>
                            <a:noFill/>
                          </a:ln>
                        </pic:spPr>
                      </pic:pic>
                    </a:graphicData>
                  </a:graphic>
                </wp:inline>
              </w:drawing>
            </w:r>
          </w:p>
          <w:p>
            <w:pPr>
              <w:pStyle w:val="8"/>
              <w:tabs>
                <w:tab w:val="left" w:pos="910"/>
              </w:tabs>
              <w:rPr>
                <w:rFonts w:hint="eastAsia" w:ascii="宋体" w:hAnsi="Courier New" w:eastAsia="宋体" w:cs="Courier New"/>
                <w:color w:val="000000"/>
                <w:kern w:val="2"/>
                <w:sz w:val="24"/>
                <w:szCs w:val="21"/>
                <w:lang w:val="en-US" w:eastAsia="zh-CN" w:bidi="ar-SA"/>
              </w:rPr>
            </w:pPr>
            <w:r>
              <w:rPr>
                <w:sz w:val="20"/>
              </w:rPr>
              <mc:AlternateContent>
                <mc:Choice Requires="wps">
                  <w:drawing>
                    <wp:anchor distT="0" distB="0" distL="114300" distR="114300" simplePos="0" relativeHeight="251672576" behindDoc="0" locked="0" layoutInCell="1" allowOverlap="1">
                      <wp:simplePos x="0" y="0"/>
                      <wp:positionH relativeFrom="column">
                        <wp:posOffset>1562735</wp:posOffset>
                      </wp:positionH>
                      <wp:positionV relativeFrom="paragraph">
                        <wp:posOffset>3615055</wp:posOffset>
                      </wp:positionV>
                      <wp:extent cx="849630" cy="372745"/>
                      <wp:effectExtent l="0" t="0" r="0" b="0"/>
                      <wp:wrapNone/>
                      <wp:docPr id="47" name="文本框 78"/>
                      <wp:cNvGraphicFramePr/>
                      <a:graphic xmlns:a="http://schemas.openxmlformats.org/drawingml/2006/main">
                        <a:graphicData uri="http://schemas.microsoft.com/office/word/2010/wordprocessingShape">
                          <wps:wsp>
                            <wps:cNvSpPr txBox="1"/>
                            <wps:spPr>
                              <a:xfrm>
                                <a:off x="0" y="0"/>
                                <a:ext cx="849630" cy="372745"/>
                              </a:xfrm>
                              <a:prstGeom prst="rect">
                                <a:avLst/>
                              </a:prstGeom>
                              <a:noFill/>
                              <a:ln>
                                <a:noFill/>
                              </a:ln>
                            </wps:spPr>
                            <wps:txbx>
                              <w:txbxContent>
                                <w:p>
                                  <w:pPr>
                                    <w:rPr>
                                      <w:rFonts w:hint="eastAsia" w:eastAsia="宋体"/>
                                      <w:color w:val="FF0000"/>
                                      <w:lang w:eastAsia="zh-CN"/>
                                    </w:rPr>
                                  </w:pPr>
                                  <w:r>
                                    <w:rPr>
                                      <w:rFonts w:hint="eastAsia"/>
                                      <w:color w:val="FF0000"/>
                                      <w:lang w:eastAsia="zh-CN"/>
                                    </w:rPr>
                                    <w:t>庄子沟</w:t>
                                  </w:r>
                                </w:p>
                              </w:txbxContent>
                            </wps:txbx>
                            <wps:bodyPr wrap="square" upright="1"/>
                          </wps:wsp>
                        </a:graphicData>
                      </a:graphic>
                    </wp:anchor>
                  </w:drawing>
                </mc:Choice>
                <mc:Fallback>
                  <w:pict>
                    <v:shape id="文本框 78" o:spid="_x0000_s1026" o:spt="202" type="#_x0000_t202" style="position:absolute;left:0pt;margin-left:123.05pt;margin-top:284.65pt;height:29.35pt;width:66.9pt;z-index:251672576;mso-width-relative:page;mso-height-relative:page;" filled="f" stroked="f" coordsize="21600,21600" o:gfxdata="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FTINjZAAAACwEAAA8AAAAAAAAAAQAgAAAAIgAAAGRycy9kb3ducmV2LnhtbFBLAQIU&#10;ABQAAAAIAIdO4kCYzTGBuQEAAF0DAAAOAAAAAAAAAAEAIAAAACgBAABkcnMvZTJvRG9jLnhtbFBL&#10;BQYAAAAABgAGAFkBAABTBQAAAAA=&#10;">
                      <v:fill on="f" focussize="0,0"/>
                      <v:stroke on="f"/>
                      <v:imagedata o:title=""/>
                      <o:lock v:ext="edit" aspectratio="f"/>
                      <v:textbox>
                        <w:txbxContent>
                          <w:p>
                            <w:pPr>
                              <w:rPr>
                                <w:rFonts w:hint="eastAsia" w:eastAsia="宋体"/>
                                <w:color w:val="FF0000"/>
                                <w:lang w:eastAsia="zh-CN"/>
                              </w:rPr>
                            </w:pPr>
                            <w:r>
                              <w:rPr>
                                <w:rFonts w:hint="eastAsia"/>
                                <w:color w:val="FF0000"/>
                                <w:lang w:eastAsia="zh-CN"/>
                              </w:rPr>
                              <w:t>庄子沟</w:t>
                            </w:r>
                          </w:p>
                        </w:txbxContent>
                      </v:textbox>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1974850</wp:posOffset>
                      </wp:positionH>
                      <wp:positionV relativeFrom="paragraph">
                        <wp:posOffset>1620520</wp:posOffset>
                      </wp:positionV>
                      <wp:extent cx="723900" cy="317500"/>
                      <wp:effectExtent l="0" t="0" r="0" b="0"/>
                      <wp:wrapNone/>
                      <wp:docPr id="46" name="文本框 77"/>
                      <wp:cNvGraphicFramePr/>
                      <a:graphic xmlns:a="http://schemas.openxmlformats.org/drawingml/2006/main">
                        <a:graphicData uri="http://schemas.microsoft.com/office/word/2010/wordprocessingShape">
                          <wps:wsp>
                            <wps:cNvSpPr txBox="1"/>
                            <wps:spPr>
                              <a:xfrm>
                                <a:off x="0" y="0"/>
                                <a:ext cx="723900" cy="317500"/>
                              </a:xfrm>
                              <a:prstGeom prst="rect">
                                <a:avLst/>
                              </a:prstGeom>
                              <a:noFill/>
                              <a:ln>
                                <a:noFill/>
                              </a:ln>
                            </wps:spPr>
                            <wps:txbx>
                              <w:txbxContent>
                                <w:p>
                                  <w:pPr>
                                    <w:rPr>
                                      <w:rFonts w:hint="default" w:eastAsia="宋体"/>
                                      <w:color w:val="FFFF00"/>
                                      <w:lang w:val="en-US" w:eastAsia="zh-CN"/>
                                    </w:rPr>
                                  </w:pPr>
                                  <w:r>
                                    <w:rPr>
                                      <w:rFonts w:hint="eastAsia"/>
                                      <w:color w:val="FFFF00"/>
                                      <w:lang w:val="en-US" w:eastAsia="zh-CN"/>
                                    </w:rPr>
                                    <w:t>4.6km</w:t>
                                  </w:r>
                                </w:p>
                              </w:txbxContent>
                            </wps:txbx>
                            <wps:bodyPr vert="horz" wrap="square" anchor="t" anchorCtr="0" upright="1"/>
                          </wps:wsp>
                        </a:graphicData>
                      </a:graphic>
                    </wp:anchor>
                  </w:drawing>
                </mc:Choice>
                <mc:Fallback>
                  <w:pict>
                    <v:shape id="文本框 77" o:spid="_x0000_s1026" o:spt="202" type="#_x0000_t202" style="position:absolute;left:0pt;margin-left:155.5pt;margin-top:127.6pt;height:25pt;width:57pt;z-index:251671552;mso-width-relative:page;mso-height-relative:page;" filled="f" stroked="f" coordsize="21600,21600" o:gfxdata="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hwAoe1gAAAAsBAAAPAAAAAAAAAAEAIAAAACIAAABkcnMv&#10;ZG93bnJldi54bWxQSwECFAAUAAAACACHTuJAX6PqB8wBAACCAwAADgAAAAAAAAABACAAAAAlAQAA&#10;ZHJzL2Uyb0RvYy54bWxQSwUGAAAAAAYABgBZAQAAYwUAAAAA&#10;">
                      <v:fill on="f" focussize="0,0"/>
                      <v:stroke on="f"/>
                      <v:imagedata o:title=""/>
                      <o:lock v:ext="edit" aspectratio="f"/>
                      <v:textbox>
                        <w:txbxContent>
                          <w:p>
                            <w:pPr>
                              <w:rPr>
                                <w:rFonts w:hint="default" w:eastAsia="宋体"/>
                                <w:color w:val="FFFF00"/>
                                <w:lang w:val="en-US" w:eastAsia="zh-CN"/>
                              </w:rPr>
                            </w:pPr>
                            <w:r>
                              <w:rPr>
                                <w:rFonts w:hint="eastAsia"/>
                                <w:color w:val="FFFF00"/>
                                <w:lang w:val="en-US" w:eastAsia="zh-CN"/>
                              </w:rPr>
                              <w:t>4.6km</w:t>
                            </w:r>
                          </w:p>
                        </w:txbxContent>
                      </v:textbox>
                    </v:shape>
                  </w:pict>
                </mc:Fallback>
              </mc:AlternateContent>
            </w:r>
            <w:r>
              <w:drawing>
                <wp:inline distT="0" distB="0" distL="114300" distR="114300">
                  <wp:extent cx="5631815" cy="3959225"/>
                  <wp:effectExtent l="0" t="0" r="6985" b="3175"/>
                  <wp:docPr id="71"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50"/>
                          <pic:cNvPicPr>
                            <a:picLocks noChangeAspect="1"/>
                          </pic:cNvPicPr>
                        </pic:nvPicPr>
                        <pic:blipFill>
                          <a:blip r:embed="rId34"/>
                          <a:stretch>
                            <a:fillRect/>
                          </a:stretch>
                        </pic:blipFill>
                        <pic:spPr>
                          <a:xfrm>
                            <a:off x="0" y="0"/>
                            <a:ext cx="5631815" cy="3959225"/>
                          </a:xfrm>
                          <a:prstGeom prst="rect">
                            <a:avLst/>
                          </a:prstGeom>
                          <a:noFill/>
                          <a:ln>
                            <a:noFill/>
                          </a:ln>
                        </pic:spPr>
                      </pic:pic>
                    </a:graphicData>
                  </a:graphic>
                </wp:inline>
              </w:drawing>
            </w:r>
          </w:p>
          <w:p>
            <w:pPr>
              <w:spacing w:line="360" w:lineRule="auto"/>
              <w:ind w:firstLine="0" w:firstLineChars="0"/>
              <w:jc w:val="center"/>
              <w:rPr>
                <w:rFonts w:hint="eastAsia" w:ascii="Calibri" w:hAnsi="Calibri" w:eastAsia="宋体" w:cs="Times New Roman"/>
                <w:color w:val="000000"/>
                <w:sz w:val="24"/>
              </w:rPr>
            </w:pPr>
            <w:r>
              <w:rPr>
                <w:rFonts w:hint="eastAsia" w:ascii="Calibri" w:hAnsi="Calibri" w:eastAsia="宋体" w:cs="Times New Roman"/>
                <w:color w:val="000000"/>
                <w:sz w:val="24"/>
              </w:rPr>
              <w:t>图</w:t>
            </w:r>
            <w:r>
              <w:rPr>
                <w:rFonts w:hint="eastAsia" w:ascii="Calibri" w:hAnsi="Calibri" w:eastAsia="宋体" w:cs="Times New Roman"/>
                <w:color w:val="000000"/>
                <w:sz w:val="24"/>
                <w:lang w:val="en-US" w:eastAsia="zh-CN"/>
              </w:rPr>
              <w:t>4</w:t>
            </w:r>
            <w:r>
              <w:rPr>
                <w:rFonts w:hint="eastAsia" w:ascii="Calibri" w:hAnsi="Calibri" w:eastAsia="宋体" w:cs="Times New Roman"/>
                <w:color w:val="000000"/>
                <w:sz w:val="24"/>
              </w:rPr>
              <w:t>-</w:t>
            </w:r>
            <w:r>
              <w:rPr>
                <w:rFonts w:hint="eastAsia" w:ascii="Calibri" w:hAnsi="Calibri" w:eastAsia="宋体" w:cs="Times New Roman"/>
                <w:color w:val="000000"/>
                <w:sz w:val="24"/>
                <w:lang w:val="en-US" w:eastAsia="zh-CN"/>
              </w:rPr>
              <w:t>1</w:t>
            </w:r>
            <w:r>
              <w:rPr>
                <w:rFonts w:hint="eastAsia" w:ascii="Calibri" w:hAnsi="Calibri" w:eastAsia="宋体" w:cs="Times New Roman"/>
                <w:color w:val="000000"/>
                <w:sz w:val="24"/>
              </w:rPr>
              <w:t xml:space="preserve">  本项目与元坝镇饮用水取水点区位关系图</w:t>
            </w:r>
          </w:p>
          <w:p>
            <w:pPr>
              <w:spacing w:line="360" w:lineRule="auto"/>
              <w:ind w:firstLine="480" w:firstLineChars="200"/>
              <w:rPr>
                <w:rFonts w:hint="eastAsia" w:ascii="Calibri" w:hAnsi="Calibri" w:eastAsia="宋体" w:cs="Times New Roman"/>
                <w:color w:val="000000"/>
                <w:sz w:val="24"/>
              </w:rPr>
            </w:pPr>
            <w:r>
              <w:rPr>
                <w:rFonts w:hint="eastAsia" w:ascii="Calibri" w:hAnsi="Calibri" w:eastAsia="宋体" w:cs="Times New Roman"/>
                <w:color w:val="000000"/>
                <w:sz w:val="24"/>
              </w:rPr>
              <w:t>根据</w:t>
            </w:r>
            <w:r>
              <w:rPr>
                <w:rFonts w:hint="eastAsia" w:ascii="Calibri" w:hAnsi="Calibri" w:eastAsia="宋体" w:cs="Times New Roman"/>
                <w:color w:val="000000"/>
                <w:sz w:val="24"/>
                <w:lang w:eastAsia="zh-CN"/>
              </w:rPr>
              <w:t>上</w:t>
            </w:r>
            <w:r>
              <w:rPr>
                <w:rFonts w:hint="eastAsia" w:ascii="Calibri" w:hAnsi="Calibri" w:eastAsia="宋体" w:cs="Times New Roman"/>
                <w:color w:val="000000"/>
                <w:sz w:val="24"/>
              </w:rPr>
              <w:t>表</w:t>
            </w:r>
            <w:r>
              <w:rPr>
                <w:rFonts w:hint="eastAsia" w:ascii="Calibri" w:hAnsi="Calibri" w:eastAsia="宋体" w:cs="Times New Roman"/>
                <w:color w:val="000000"/>
                <w:sz w:val="24"/>
                <w:lang w:val="en-US" w:eastAsia="zh-CN"/>
              </w:rPr>
              <w:t>4-5</w:t>
            </w:r>
            <w:r>
              <w:rPr>
                <w:rFonts w:hint="eastAsia" w:ascii="Calibri" w:hAnsi="Calibri" w:eastAsia="宋体" w:cs="Times New Roman"/>
                <w:color w:val="000000"/>
                <w:sz w:val="24"/>
              </w:rPr>
              <w:t>和图</w:t>
            </w:r>
            <w:r>
              <w:rPr>
                <w:rFonts w:hint="eastAsia" w:ascii="Calibri" w:hAnsi="Calibri" w:eastAsia="宋体" w:cs="Times New Roman"/>
                <w:color w:val="000000"/>
                <w:sz w:val="24"/>
                <w:lang w:val="en-US" w:eastAsia="zh-CN"/>
              </w:rPr>
              <w:t>4-1</w:t>
            </w:r>
            <w:r>
              <w:rPr>
                <w:rFonts w:hint="eastAsia" w:ascii="Calibri" w:hAnsi="Calibri" w:eastAsia="宋体" w:cs="Times New Roman"/>
                <w:color w:val="000000"/>
                <w:sz w:val="24"/>
              </w:rPr>
              <w:t>可知，</w:t>
            </w:r>
            <w:r>
              <w:rPr>
                <w:rFonts w:hint="eastAsia" w:ascii="Calibri" w:hAnsi="Calibri" w:eastAsia="宋体" w:cs="Times New Roman"/>
                <w:color w:val="000000"/>
                <w:sz w:val="24"/>
                <w:lang w:eastAsia="zh-CN"/>
              </w:rPr>
              <w:t>本项目涉及河道为</w:t>
            </w:r>
            <w:r>
              <w:rPr>
                <w:rFonts w:hint="eastAsia" w:ascii="Times New Roman" w:hAnsi="Times New Roman" w:eastAsia="宋体" w:cs="Times New Roman"/>
                <w:color w:val="auto"/>
                <w:kern w:val="2"/>
                <w:sz w:val="24"/>
                <w:szCs w:val="24"/>
                <w:highlight w:val="none"/>
                <w:lang w:val="en-US" w:eastAsia="zh-CN" w:bidi="ar-SA"/>
              </w:rPr>
              <w:t>庄子沟</w:t>
            </w:r>
            <w:r>
              <w:rPr>
                <w:rFonts w:hint="eastAsia" w:ascii="Calibri" w:hAnsi="Calibri" w:eastAsia="宋体" w:cs="Times New Roman"/>
                <w:color w:val="000000"/>
                <w:sz w:val="24"/>
                <w:lang w:eastAsia="zh-CN"/>
              </w:rPr>
              <w:t>，与元坝镇饮用水源取水口所在河道（鱼洞河）不属于同一河道。</w:t>
            </w:r>
            <w:r>
              <w:rPr>
                <w:rFonts w:hint="eastAsia" w:ascii="Calibri" w:hAnsi="Calibri" w:eastAsia="宋体" w:cs="Times New Roman"/>
                <w:color w:val="000000"/>
                <w:sz w:val="24"/>
              </w:rPr>
              <w:t>本项目</w:t>
            </w:r>
            <w:r>
              <w:rPr>
                <w:rFonts w:hint="eastAsia" w:ascii="Calibri" w:hAnsi="Calibri" w:eastAsia="宋体" w:cs="Times New Roman"/>
                <w:color w:val="000000"/>
                <w:sz w:val="24"/>
                <w:lang w:eastAsia="zh-CN"/>
              </w:rPr>
              <w:t>与</w:t>
            </w:r>
            <w:r>
              <w:rPr>
                <w:rFonts w:hint="eastAsia" w:ascii="Calibri" w:hAnsi="Calibri" w:eastAsia="宋体" w:cs="Times New Roman"/>
                <w:color w:val="000000"/>
                <w:sz w:val="24"/>
              </w:rPr>
              <w:t>元坝镇饮用水取水点</w:t>
            </w:r>
            <w:r>
              <w:rPr>
                <w:rFonts w:hint="eastAsia" w:ascii="Calibri" w:hAnsi="Calibri" w:eastAsia="宋体" w:cs="Times New Roman"/>
                <w:color w:val="000000"/>
                <w:sz w:val="24"/>
                <w:lang w:eastAsia="zh-CN"/>
              </w:rPr>
              <w:t>最近距离</w:t>
            </w:r>
            <w:r>
              <w:rPr>
                <w:rFonts w:hint="eastAsia" w:ascii="Calibri" w:hAnsi="Calibri" w:eastAsia="宋体" w:cs="Times New Roman"/>
                <w:color w:val="000000"/>
                <w:sz w:val="24"/>
              </w:rPr>
              <w:t>约</w:t>
            </w:r>
            <w:r>
              <w:rPr>
                <w:rFonts w:hint="eastAsia" w:ascii="Calibri" w:hAnsi="Calibri" w:eastAsia="宋体" w:cs="Times New Roman"/>
                <w:color w:val="000000"/>
                <w:sz w:val="24"/>
                <w:lang w:val="en-US" w:eastAsia="zh-CN"/>
              </w:rPr>
              <w:t>4.6</w:t>
            </w:r>
            <w:r>
              <w:rPr>
                <w:rFonts w:hint="eastAsia" w:ascii="Calibri" w:hAnsi="Calibri" w:eastAsia="宋体" w:cs="Times New Roman"/>
                <w:color w:val="000000"/>
                <w:sz w:val="24"/>
              </w:rPr>
              <w:t>km，项目不在元坝镇饮用水源保护区内。即本项目建设不会对项目地周边村民生活用水造成影响。</w:t>
            </w:r>
          </w:p>
          <w:p>
            <w:pPr>
              <w:spacing w:line="360" w:lineRule="auto"/>
              <w:ind w:firstLine="482" w:firstLineChars="200"/>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特殊保护目标</w:t>
            </w:r>
            <w:bookmarkEnd w:id="74"/>
            <w:bookmarkEnd w:id="75"/>
            <w:bookmarkEnd w:id="76"/>
            <w:bookmarkEnd w:id="77"/>
          </w:p>
          <w:p>
            <w:pPr>
              <w:spacing w:line="360" w:lineRule="auto"/>
              <w:ind w:firstLine="480" w:firstLineChars="200"/>
              <w:rPr>
                <w:rFonts w:hint="default" w:ascii="Times New Roman" w:hAnsi="Times New Roman" w:eastAsia="宋体" w:cs="Times New Roman"/>
                <w:color w:val="auto"/>
                <w:sz w:val="24"/>
                <w:szCs w:val="24"/>
              </w:rPr>
            </w:pPr>
            <w:bookmarkStart w:id="79" w:name="_Toc245227834"/>
            <w:bookmarkStart w:id="80" w:name="_Toc254685161"/>
            <w:bookmarkStart w:id="81" w:name="_Toc254685707"/>
            <w:bookmarkStart w:id="82" w:name="_Toc254685434"/>
            <w:r>
              <w:rPr>
                <w:rFonts w:hint="default" w:ascii="Times New Roman" w:hAnsi="Times New Roman" w:eastAsia="宋体" w:cs="Times New Roman"/>
                <w:color w:val="auto"/>
                <w:sz w:val="24"/>
                <w:szCs w:val="24"/>
              </w:rPr>
              <w:t>项目建设范围内不涉及</w:t>
            </w:r>
            <w:r>
              <w:rPr>
                <w:rFonts w:hint="eastAsia" w:ascii="Times New Roman" w:hAnsi="Times New Roman" w:eastAsia="宋体" w:cs="Times New Roman"/>
                <w:color w:val="auto"/>
                <w:sz w:val="24"/>
                <w:szCs w:val="24"/>
                <w:lang w:eastAsia="zh-CN"/>
              </w:rPr>
              <w:t>自然保护区、风景名胜区、</w:t>
            </w:r>
            <w:r>
              <w:rPr>
                <w:rFonts w:hint="default" w:ascii="Times New Roman" w:hAnsi="Times New Roman" w:eastAsia="宋体" w:cs="Times New Roman"/>
                <w:color w:val="auto"/>
                <w:spacing w:val="-8"/>
                <w:sz w:val="24"/>
                <w:szCs w:val="24"/>
              </w:rPr>
              <w:t>文物保护单位、</w:t>
            </w:r>
            <w:r>
              <w:rPr>
                <w:rFonts w:hint="eastAsia" w:ascii="Times New Roman" w:hAnsi="Times New Roman" w:eastAsia="宋体" w:cs="Times New Roman"/>
                <w:color w:val="auto"/>
                <w:spacing w:val="-8"/>
                <w:sz w:val="24"/>
                <w:szCs w:val="24"/>
                <w:lang w:eastAsia="zh-CN"/>
              </w:rPr>
              <w:t>饮用水源保护区、</w:t>
            </w:r>
            <w:r>
              <w:rPr>
                <w:rFonts w:hint="default" w:ascii="Times New Roman" w:hAnsi="Times New Roman" w:eastAsia="宋体" w:cs="Times New Roman"/>
                <w:color w:val="auto"/>
                <w:sz w:val="24"/>
                <w:szCs w:val="24"/>
              </w:rPr>
              <w:t>珍稀动植物保护物种、</w:t>
            </w:r>
            <w:r>
              <w:rPr>
                <w:rFonts w:hint="default" w:ascii="Times New Roman" w:hAnsi="Times New Roman" w:eastAsia="宋体" w:cs="Times New Roman"/>
                <w:color w:val="auto"/>
                <w:spacing w:val="-8"/>
                <w:sz w:val="24"/>
                <w:szCs w:val="24"/>
              </w:rPr>
              <w:t>生态敏感点</w:t>
            </w:r>
            <w:bookmarkEnd w:id="79"/>
            <w:r>
              <w:rPr>
                <w:rFonts w:hint="default" w:ascii="Times New Roman" w:hAnsi="Times New Roman" w:eastAsia="宋体" w:cs="Times New Roman"/>
                <w:color w:val="auto"/>
                <w:spacing w:val="-8"/>
                <w:sz w:val="24"/>
                <w:szCs w:val="24"/>
              </w:rPr>
              <w:t>和</w:t>
            </w:r>
            <w:r>
              <w:rPr>
                <w:rFonts w:hint="default" w:ascii="Times New Roman" w:hAnsi="Times New Roman" w:eastAsia="宋体" w:cs="Times New Roman"/>
                <w:color w:val="auto"/>
                <w:sz w:val="24"/>
                <w:szCs w:val="24"/>
              </w:rPr>
              <w:t>其它需要特殊保护的敏感目标。</w:t>
            </w:r>
            <w:bookmarkEnd w:id="80"/>
            <w:bookmarkEnd w:id="81"/>
            <w:bookmarkEnd w:id="82"/>
          </w:p>
          <w:bookmarkEnd w:id="78"/>
          <w:p>
            <w:pPr>
              <w:adjustRightInd w:val="0"/>
              <w:snapToGrid w:val="0"/>
              <w:spacing w:line="360" w:lineRule="auto"/>
              <w:ind w:firstLine="482" w:firstLineChars="200"/>
              <w:rPr>
                <w:rFonts w:hint="default" w:ascii="Times New Roman" w:hAnsi="Times New Roman" w:eastAsia="宋体" w:cs="Times New Roman"/>
                <w:b/>
                <w:bCs/>
                <w:sz w:val="24"/>
                <w:szCs w:val="24"/>
              </w:rPr>
            </w:pPr>
            <w:bookmarkStart w:id="83" w:name="_Toc267504960"/>
            <w:bookmarkStart w:id="84" w:name="_Toc297216147"/>
            <w:bookmarkStart w:id="85" w:name="_Toc244598280"/>
            <w:r>
              <w:rPr>
                <w:rFonts w:hint="eastAsia" w:ascii="Times New Roman" w:hAnsi="Times New Roman" w:eastAsia="宋体" w:cs="Times New Roman"/>
                <w:b/>
                <w:bCs/>
                <w:sz w:val="24"/>
                <w:szCs w:val="24"/>
                <w:lang w:val="en-US" w:eastAsia="zh-CN"/>
              </w:rPr>
              <w:t>5、</w:t>
            </w:r>
            <w:r>
              <w:rPr>
                <w:rFonts w:hint="default" w:ascii="Times New Roman" w:hAnsi="Times New Roman" w:eastAsia="宋体" w:cs="Times New Roman"/>
                <w:b/>
                <w:bCs/>
                <w:sz w:val="24"/>
                <w:szCs w:val="24"/>
              </w:rPr>
              <w:t>选址符合性</w:t>
            </w:r>
            <w:bookmarkEnd w:id="83"/>
            <w:bookmarkEnd w:id="84"/>
          </w:p>
          <w:p>
            <w:pPr>
              <w:spacing w:line="360" w:lineRule="auto"/>
              <w:ind w:firstLine="480" w:firstLineChars="200"/>
              <w:rPr>
                <w:rFonts w:hint="eastAsia" w:ascii="宋体" w:hAnsi="宋体" w:cs="宋体"/>
                <w:sz w:val="24"/>
                <w:szCs w:val="24"/>
              </w:rPr>
            </w:pPr>
            <w:bookmarkStart w:id="86" w:name="_Toc267504961"/>
            <w:bookmarkStart w:id="87" w:name="_Toc297216148"/>
            <w:r>
              <w:rPr>
                <w:rFonts w:hint="eastAsia" w:ascii="Times New Roman" w:hAnsi="Times New Roman" w:eastAsia="宋体" w:cs="Times New Roman"/>
                <w:color w:val="auto"/>
                <w:sz w:val="24"/>
                <w:szCs w:val="24"/>
                <w:lang w:eastAsia="zh-CN"/>
              </w:rPr>
              <w:t>本工程位于昭化区</w:t>
            </w:r>
            <w:r>
              <w:rPr>
                <w:rFonts w:hint="eastAsia" w:ascii="Times New Roman" w:hAnsi="Times New Roman" w:eastAsia="宋体" w:cs="Times New Roman"/>
                <w:color w:val="auto"/>
                <w:sz w:val="24"/>
                <w:szCs w:val="24"/>
              </w:rPr>
              <w:t>元坝镇</w:t>
            </w:r>
            <w:r>
              <w:rPr>
                <w:rFonts w:hint="eastAsia" w:ascii="Times New Roman" w:hAnsi="Times New Roman" w:eastAsia="宋体" w:cs="Times New Roman"/>
                <w:color w:val="auto"/>
                <w:kern w:val="2"/>
                <w:sz w:val="24"/>
                <w:szCs w:val="24"/>
                <w:highlight w:val="none"/>
                <w:lang w:val="en-US" w:eastAsia="zh-CN" w:bidi="ar-SA"/>
              </w:rPr>
              <w:t>长坝社区</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根据中华人民共和国国家标准《防洪标准》 (GB50201-2014)、《城市防洪工程设计规范》（GB/T50805-2012）及《堤防工程设计规范》（GB50286-2013）及《广元市城东片区控制性详细规划》。本工程主要保护对象为涉及村庄的居民、</w:t>
            </w:r>
            <w:r>
              <w:rPr>
                <w:rFonts w:hint="eastAsia" w:ascii="Times New Roman" w:hAnsi="Times New Roman" w:eastAsia="宋体" w:cs="Times New Roman"/>
                <w:color w:val="auto"/>
                <w:sz w:val="24"/>
                <w:szCs w:val="24"/>
                <w:lang w:eastAsia="zh-CN"/>
              </w:rPr>
              <w:t>农田耕地</w:t>
            </w:r>
            <w:r>
              <w:rPr>
                <w:rFonts w:hint="eastAsia" w:ascii="Times New Roman" w:hAnsi="Times New Roman" w:eastAsia="宋体" w:cs="Times New Roman"/>
                <w:color w:val="auto"/>
                <w:sz w:val="24"/>
                <w:szCs w:val="24"/>
              </w:rPr>
              <w:t>、公路</w:t>
            </w:r>
            <w:r>
              <w:rPr>
                <w:rFonts w:hint="eastAsia" w:ascii="Times New Roman" w:hAnsi="Times New Roman" w:eastAsia="宋体" w:cs="Times New Roman"/>
                <w:color w:val="auto"/>
                <w:sz w:val="24"/>
                <w:szCs w:val="24"/>
                <w:lang w:val="en-US" w:eastAsia="zh-CN"/>
              </w:rPr>
              <w:t>等</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项</w:t>
            </w:r>
            <w:r>
              <w:rPr>
                <w:rFonts w:hint="eastAsia" w:ascii="Times New Roman" w:hAnsi="Times New Roman" w:eastAsia="宋体" w:cs="Times New Roman"/>
                <w:sz w:val="24"/>
                <w:szCs w:val="24"/>
                <w:lang w:eastAsia="zh-CN"/>
              </w:rPr>
              <w:t>目</w:t>
            </w:r>
            <w:r>
              <w:rPr>
                <w:rFonts w:hint="eastAsia" w:ascii="Times New Roman" w:hAnsi="Times New Roman" w:eastAsia="宋体" w:cs="Times New Roman"/>
                <w:sz w:val="24"/>
                <w:szCs w:val="24"/>
              </w:rPr>
              <w:t>防洪标准采用20年一遇。</w:t>
            </w:r>
            <w:r>
              <w:rPr>
                <w:rFonts w:hint="default" w:ascii="Times New Roman" w:hAnsi="Times New Roman" w:eastAsia="宋体" w:cs="Times New Roman"/>
                <w:sz w:val="24"/>
                <w:szCs w:val="24"/>
              </w:rPr>
              <w:t>该工程的建设将有效保障工程保护区内人民生命财产的安全。</w:t>
            </w:r>
            <w:r>
              <w:rPr>
                <w:rFonts w:hint="eastAsia" w:ascii="宋体" w:hAnsi="宋体" w:cs="宋体"/>
                <w:sz w:val="24"/>
                <w:szCs w:val="24"/>
              </w:rPr>
              <w:t>本工程</w:t>
            </w:r>
            <w:r>
              <w:rPr>
                <w:rFonts w:hint="eastAsia" w:ascii="宋体" w:hAnsi="宋体" w:cs="宋体"/>
                <w:sz w:val="24"/>
                <w:szCs w:val="24"/>
                <w:lang w:eastAsia="zh-CN"/>
              </w:rPr>
              <w:t>的建设将元坝镇</w:t>
            </w:r>
            <w:r>
              <w:rPr>
                <w:rFonts w:hint="eastAsia" w:ascii="宋体" w:hAnsi="宋体" w:cs="宋体"/>
                <w:sz w:val="24"/>
                <w:szCs w:val="24"/>
              </w:rPr>
              <w:t>防洪工程形成完整的防洪体系。</w:t>
            </w:r>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根据调查，本工程河道下游紧邻</w:t>
            </w:r>
            <w:r>
              <w:rPr>
                <w:rFonts w:hint="eastAsia" w:ascii="Times New Roman" w:hAnsi="Times New Roman" w:eastAsia="宋体" w:cs="Times New Roman"/>
                <w:color w:val="auto"/>
                <w:sz w:val="24"/>
                <w:szCs w:val="24"/>
                <w:lang w:val="en-US" w:eastAsia="zh-CN"/>
              </w:rPr>
              <w:t>河段已</w:t>
            </w:r>
            <w:r>
              <w:rPr>
                <w:rFonts w:hint="eastAsia" w:ascii="Times New Roman" w:hAnsi="Times New Roman" w:eastAsia="宋体" w:cs="Times New Roman"/>
                <w:color w:val="auto"/>
                <w:sz w:val="24"/>
                <w:szCs w:val="24"/>
                <w:lang w:eastAsia="zh-CN"/>
              </w:rPr>
              <w:t>修建堤防。</w:t>
            </w:r>
            <w:r>
              <w:rPr>
                <w:rFonts w:hint="eastAsia" w:ascii="Times New Roman" w:hAnsi="Times New Roman" w:eastAsia="宋体" w:cs="Times New Roman"/>
                <w:color w:val="auto"/>
                <w:sz w:val="24"/>
                <w:szCs w:val="24"/>
                <w:lang w:val="en-US" w:eastAsia="zh-CN"/>
              </w:rPr>
              <w:t>其</w:t>
            </w:r>
            <w:r>
              <w:rPr>
                <w:rFonts w:hint="eastAsia" w:ascii="Times New Roman" w:hAnsi="Times New Roman" w:eastAsia="宋体" w:cs="Times New Roman"/>
                <w:color w:val="auto"/>
                <w:sz w:val="24"/>
                <w:szCs w:val="24"/>
                <w:lang w:eastAsia="zh-CN"/>
              </w:rPr>
              <w:t>堤防现状照片如下图</w:t>
            </w:r>
            <w:r>
              <w:rPr>
                <w:rFonts w:hint="eastAsia" w:ascii="Times New Roman" w:hAnsi="Times New Roman" w:eastAsia="宋体" w:cs="Times New Roman"/>
                <w:color w:val="auto"/>
                <w:sz w:val="24"/>
                <w:szCs w:val="24"/>
                <w:lang w:val="en-US" w:eastAsia="zh-CN"/>
              </w:rPr>
              <w:t>4-2</w:t>
            </w:r>
            <w:r>
              <w:rPr>
                <w:rFonts w:hint="eastAsia" w:ascii="Times New Roman" w:hAnsi="Times New Roman" w:eastAsia="宋体" w:cs="Times New Roman"/>
                <w:color w:val="auto"/>
                <w:sz w:val="24"/>
                <w:szCs w:val="24"/>
                <w:lang w:eastAsia="zh-CN"/>
              </w:rPr>
              <w:t>：</w:t>
            </w:r>
          </w:p>
          <w:p>
            <w:pPr>
              <w:pStyle w:val="7"/>
              <w:ind w:left="0" w:leftChars="0" w:firstLine="0" w:firstLineChars="0"/>
              <w:jc w:val="center"/>
              <w:rPr>
                <w:rFonts w:hint="eastAsia" w:eastAsia="仿宋_GB2312"/>
                <w:lang w:eastAsia="zh-CN"/>
              </w:rPr>
            </w:pPr>
            <w:r>
              <w:rPr>
                <w:rFonts w:hint="eastAsia" w:eastAsia="仿宋_GB2312"/>
                <w:lang w:eastAsia="zh-CN"/>
              </w:rPr>
              <w:drawing>
                <wp:inline distT="0" distB="0" distL="114300" distR="114300">
                  <wp:extent cx="3600450" cy="2700020"/>
                  <wp:effectExtent l="0" t="0" r="0" b="5080"/>
                  <wp:docPr id="72" name="图片 252" descr="IMG_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52" descr="IMG_2699"/>
                          <pic:cNvPicPr>
                            <a:picLocks noChangeAspect="1"/>
                          </pic:cNvPicPr>
                        </pic:nvPicPr>
                        <pic:blipFill>
                          <a:blip r:embed="rId35"/>
                          <a:stretch>
                            <a:fillRect/>
                          </a:stretch>
                        </pic:blipFill>
                        <pic:spPr>
                          <a:xfrm>
                            <a:off x="0" y="0"/>
                            <a:ext cx="3600450" cy="2700020"/>
                          </a:xfrm>
                          <a:prstGeom prst="rect">
                            <a:avLst/>
                          </a:prstGeom>
                          <a:noFill/>
                          <a:ln>
                            <a:noFill/>
                          </a:ln>
                        </pic:spPr>
                      </pic:pic>
                    </a:graphicData>
                  </a:graphic>
                </wp:inline>
              </w:drawing>
            </w:r>
          </w:p>
          <w:p>
            <w:pPr>
              <w:spacing w:line="36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图</w:t>
            </w:r>
            <w:r>
              <w:rPr>
                <w:rFonts w:hint="eastAsia" w:ascii="Times New Roman" w:hAnsi="Times New Roman" w:eastAsia="宋体" w:cs="Times New Roman"/>
                <w:color w:val="auto"/>
                <w:sz w:val="21"/>
                <w:szCs w:val="21"/>
                <w:lang w:val="en-US" w:eastAsia="zh-CN"/>
              </w:rPr>
              <w:t>4-2 庄子沟下游河段</w:t>
            </w:r>
            <w:r>
              <w:rPr>
                <w:rFonts w:hint="eastAsia" w:ascii="Times New Roman" w:hAnsi="Times New Roman" w:eastAsia="宋体" w:cs="Times New Roman"/>
                <w:color w:val="auto"/>
                <w:sz w:val="21"/>
                <w:szCs w:val="21"/>
                <w:lang w:eastAsia="zh-CN"/>
              </w:rPr>
              <w:t>堤防现场照片</w:t>
            </w:r>
          </w:p>
          <w:p>
            <w:pPr>
              <w:pStyle w:val="8"/>
              <w:jc w:val="center"/>
              <w:rPr>
                <w:rFonts w:hint="eastAsia" w:ascii="Times New Roman" w:hAnsi="Times New Roman" w:eastAsia="宋体" w:cs="Times New Roman"/>
                <w:color w:val="auto"/>
                <w:kern w:val="2"/>
                <w:sz w:val="24"/>
                <w:szCs w:val="24"/>
                <w:lang w:val="en-US" w:eastAsia="zh-CN" w:bidi="ar-SA"/>
              </w:rPr>
            </w:pPr>
          </w:p>
          <w:p>
            <w:pPr>
              <w:spacing w:line="360" w:lineRule="auto"/>
              <w:ind w:firstLine="480" w:firstLineChars="200"/>
              <w:rPr>
                <w:rFonts w:hint="eastAsia" w:ascii="Times New Roman" w:hAnsi="Times New Roman" w:eastAsia="宋体" w:cs="Times New Roman"/>
                <w:color w:val="auto"/>
                <w:sz w:val="24"/>
                <w:szCs w:val="24"/>
                <w:lang w:eastAsia="zh-CN"/>
              </w:rPr>
            </w:pPr>
          </w:p>
          <w:p>
            <w:pPr>
              <w:pStyle w:val="18"/>
              <w:widowControl w:val="0"/>
              <w:numPr>
                <w:ilvl w:val="0"/>
                <w:numId w:val="0"/>
              </w:numPr>
              <w:jc w:val="both"/>
              <w:rPr>
                <w:rFonts w:hint="eastAsia" w:ascii="Times New Roman" w:hAnsi="Times New Roman" w:eastAsia="宋体" w:cs="Times New Roman"/>
                <w:color w:val="auto"/>
                <w:sz w:val="24"/>
                <w:szCs w:val="24"/>
                <w:lang w:eastAsia="zh-CN"/>
              </w:rPr>
            </w:pPr>
          </w:p>
          <w:bookmarkEnd w:id="85"/>
          <w:bookmarkEnd w:id="86"/>
          <w:bookmarkEnd w:id="87"/>
          <w:p>
            <w:pPr>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b w:val="0"/>
                <w:bCs w:val="0"/>
                <w:color w:val="auto"/>
                <w:sz w:val="24"/>
                <w:szCs w:val="24"/>
                <w:lang w:val="en-US"/>
              </w:rPr>
            </w:pPr>
          </w:p>
        </w:tc>
      </w:tr>
    </w:tbl>
    <w:p>
      <w:pPr>
        <w:pStyle w:val="26"/>
        <w:jc w:val="center"/>
        <w:rPr>
          <w:rFonts w:ascii="黑体" w:hAnsi="黑体" w:eastAsia="黑体"/>
          <w:snapToGrid w:val="0"/>
          <w:sz w:val="36"/>
          <w:szCs w:val="36"/>
        </w:rPr>
        <w:sectPr>
          <w:pgSz w:w="11906" w:h="16838"/>
          <w:pgMar w:top="1440" w:right="1800" w:bottom="1440" w:left="1800" w:header="851" w:footer="1077" w:gutter="0"/>
          <w:pgBorders>
            <w:top w:val="none" w:sz="0" w:space="0"/>
            <w:left w:val="none" w:sz="0" w:space="0"/>
            <w:bottom w:val="none" w:sz="0" w:space="0"/>
            <w:right w:val="none" w:sz="0" w:space="0"/>
          </w:pgBorders>
          <w:pgNumType w:fmt="numberInDash"/>
          <w:cols w:space="720" w:num="1"/>
          <w:docGrid w:linePitch="312" w:charSpace="0"/>
        </w:sectPr>
      </w:pPr>
    </w:p>
    <w:p>
      <w:pPr>
        <w:pStyle w:val="26"/>
        <w:adjustRightInd w:val="0"/>
        <w:snapToGrid w:val="0"/>
        <w:spacing w:before="0" w:beforeAutospacing="0" w:after="0" w:afterAutospacing="0" w:line="14" w:lineRule="auto"/>
        <w:jc w:val="center"/>
        <w:outlineLvl w:val="0"/>
        <w:rPr>
          <w:rFonts w:hint="eastAsia" w:ascii="黑体" w:hAnsi="黑体" w:eastAsia="黑体"/>
          <w:snapToGrid w:val="0"/>
          <w:sz w:val="30"/>
          <w:szCs w:val="30"/>
        </w:rPr>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黑体" w:hAnsi="黑体" w:eastAsia="黑体"/>
          <w:snapToGrid w:val="0"/>
          <w:sz w:val="30"/>
          <w:szCs w:val="30"/>
        </w:rPr>
      </w:pPr>
      <w:bookmarkStart w:id="88" w:name="_Toc24484"/>
      <w:r>
        <w:rPr>
          <w:rFonts w:hint="eastAsia" w:ascii="黑体" w:hAnsi="黑体" w:eastAsia="黑体"/>
          <w:snapToGrid w:val="0"/>
          <w:sz w:val="30"/>
          <w:szCs w:val="30"/>
        </w:rPr>
        <w:t>五、主要生态环境保护措施</w:t>
      </w:r>
      <w:bookmarkEnd w:id="88"/>
    </w:p>
    <w:tbl>
      <w:tblPr>
        <w:tblStyle w:val="30"/>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62" w:hRule="atLeast"/>
          <w:jc w:val="center"/>
        </w:trPr>
        <w:tc>
          <w:tcPr>
            <w:tcW w:w="753" w:type="dxa"/>
            <w:noWrap w:val="0"/>
            <w:tcMar>
              <w:left w:w="28" w:type="dxa"/>
              <w:right w:w="28" w:type="dxa"/>
            </w:tcMar>
            <w:vAlign w:val="center"/>
          </w:tcPr>
          <w:p>
            <w:pPr>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
                <w:bCs w:val="0"/>
                <w:spacing w:val="10"/>
                <w:sz w:val="24"/>
                <w:szCs w:val="24"/>
              </w:rPr>
              <w:t>施工期生态环境保护措施</w:t>
            </w:r>
          </w:p>
        </w:tc>
        <w:tc>
          <w:tcPr>
            <w:tcW w:w="8457"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（一）施工期生态环境保护措施</w:t>
            </w:r>
          </w:p>
          <w:p>
            <w:pPr>
              <w:pStyle w:val="124"/>
              <w:spacing w:before="0" w:line="360" w:lineRule="auto"/>
              <w:ind w:firstLine="480"/>
              <w:rPr>
                <w:rFonts w:hint="default"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lang w:val="en-US" w:eastAsia="zh-CN"/>
              </w:rPr>
              <w:t>1、</w:t>
            </w:r>
            <w:r>
              <w:rPr>
                <w:rFonts w:hint="default" w:ascii="Times New Roman" w:hAnsi="Times New Roman" w:eastAsia="宋体" w:cs="Times New Roman"/>
                <w:b/>
                <w:bCs/>
                <w:color w:val="000000"/>
                <w:sz w:val="24"/>
                <w:szCs w:val="24"/>
              </w:rPr>
              <w:t>影响消减的管理措施建议</w:t>
            </w:r>
          </w:p>
          <w:p>
            <w:pPr>
              <w:pStyle w:val="124"/>
              <w:spacing w:before="0" w:line="360" w:lineRule="auto"/>
              <w:ind w:firstLine="480"/>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加强法制教育</w:t>
            </w:r>
          </w:p>
          <w:p>
            <w:pPr>
              <w:pStyle w:val="124"/>
              <w:spacing w:before="0" w:line="360" w:lineRule="auto"/>
              <w:ind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向施工人员宣传《中华人民共和国森林法》、《中华人民共和国野生动物保护法》、《森林和野生动物类型自然保护区管理办法》、《中华人民共和国环境保护法》等法律法规，以及国家和四川省关于保护自然生态系统和保护珍稀濒危动植物的有关政策的宣传教育，以提高施工人员的保护意识，防止乱砍滥伐林木、乱捕乱猎野生动物等现象发生。一旦发现问题，及时依法进行严肃处理。</w:t>
            </w:r>
          </w:p>
          <w:p>
            <w:pPr>
              <w:pStyle w:val="124"/>
              <w:spacing w:before="0" w:line="360" w:lineRule="auto"/>
              <w:ind w:firstLine="480"/>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2</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加强制度建设</w:t>
            </w:r>
          </w:p>
          <w:p>
            <w:pPr>
              <w:pStyle w:val="124"/>
              <w:spacing w:before="0" w:line="360" w:lineRule="auto"/>
              <w:ind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建立野生动植物保护、环境保护、野外用火等管理责任制度，明确职责，用制度管理工作人员，以确保区内的自然环境不被污染，野生动物不被偷猎， 野生植物不遭破坏，森林火灾不发生。</w:t>
            </w:r>
          </w:p>
          <w:p>
            <w:pPr>
              <w:pStyle w:val="124"/>
              <w:spacing w:before="0" w:line="360" w:lineRule="auto"/>
              <w:ind w:firstLine="480"/>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3</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加强巡护工作</w:t>
            </w:r>
          </w:p>
          <w:p>
            <w:pPr>
              <w:pStyle w:val="124"/>
              <w:spacing w:before="0" w:line="360" w:lineRule="auto"/>
              <w:ind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工程建设方应在施工期间给予一定的经济补偿，用于加强</w:t>
            </w:r>
            <w:r>
              <w:rPr>
                <w:rFonts w:hint="eastAsia" w:ascii="Times New Roman" w:hAnsi="Times New Roman" w:eastAsia="宋体" w:cs="Times New Roman"/>
                <w:color w:val="000000"/>
                <w:sz w:val="24"/>
                <w:szCs w:val="24"/>
                <w:lang w:eastAsia="zh-CN"/>
              </w:rPr>
              <w:t>建设区域</w:t>
            </w:r>
            <w:r>
              <w:rPr>
                <w:rFonts w:hint="default" w:ascii="Times New Roman" w:hAnsi="Times New Roman" w:eastAsia="宋体" w:cs="Times New Roman"/>
                <w:color w:val="000000"/>
                <w:sz w:val="24"/>
                <w:szCs w:val="24"/>
              </w:rPr>
              <w:t>的日常巡护工作支出。区林业行政主管部门均应派出工作人员对工程施工进行长期的现场监督，禁止施工人员进入施工区域外的其他区域偷猎野生动物和盗伐林木。</w:t>
            </w:r>
          </w:p>
          <w:p>
            <w:pPr>
              <w:pStyle w:val="124"/>
              <w:spacing w:before="0" w:line="360" w:lineRule="auto"/>
              <w:ind w:firstLine="480"/>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4</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加强监测，适时提出有效的保护措施</w:t>
            </w:r>
          </w:p>
          <w:p>
            <w:pPr>
              <w:spacing w:line="360" w:lineRule="auto"/>
              <w:ind w:firstLine="480" w:firstLineChars="200"/>
              <w:rPr>
                <w:rFonts w:hint="eastAsia"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rPr>
              <w:t>加强对</w:t>
            </w:r>
            <w:r>
              <w:rPr>
                <w:rFonts w:hint="eastAsia" w:ascii="Times New Roman" w:hAnsi="Times New Roman" w:eastAsia="宋体" w:cs="Times New Roman"/>
                <w:color w:val="000000"/>
                <w:sz w:val="24"/>
                <w:szCs w:val="24"/>
                <w:lang w:eastAsia="zh-CN"/>
              </w:rPr>
              <w:t>区域</w:t>
            </w:r>
            <w:r>
              <w:rPr>
                <w:rFonts w:hint="default" w:ascii="Times New Roman" w:hAnsi="Times New Roman" w:eastAsia="宋体" w:cs="Times New Roman"/>
                <w:color w:val="000000"/>
                <w:sz w:val="24"/>
                <w:szCs w:val="24"/>
              </w:rPr>
              <w:t>的自然资源、自然生态系统、环境因子和主要保护对象的监测工作。根据监测结果，综合分析，适时提出有效的保护对策。</w:t>
            </w:r>
          </w:p>
          <w:p>
            <w:pPr>
              <w:spacing w:line="360" w:lineRule="auto"/>
              <w:ind w:firstLine="482" w:firstLineChars="200"/>
              <w:rPr>
                <w:rFonts w:hint="default"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自然资源保护措施</w:t>
            </w:r>
          </w:p>
          <w:p>
            <w:pPr>
              <w:spacing w:line="360" w:lineRule="auto"/>
              <w:ind w:firstLine="480" w:firstLineChars="200"/>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土地资源保护措施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做好设计工作，减少工程占地范围。工程用地应在充分利用现有居民区、道路等情况下，以满足工程正常施工为前提，以不占或尽量少占保护区土地为原则，合理选择与布置施工场地，严格按照设计施工要求进行施工，节约用地。</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搞好施工作业，严格控制占地范围。在工程施工过程中，一要严格按照设计的占地范围施工，禁止超范围开挖；二要将施工废渣废料</w:t>
            </w:r>
            <w:r>
              <w:rPr>
                <w:rFonts w:hint="eastAsia" w:ascii="Times New Roman" w:hAnsi="Times New Roman" w:eastAsia="宋体" w:cs="Times New Roman"/>
                <w:color w:val="000000"/>
                <w:sz w:val="24"/>
                <w:szCs w:val="24"/>
                <w:lang w:eastAsia="zh-CN"/>
              </w:rPr>
              <w:t>妥善处置</w:t>
            </w:r>
            <w:r>
              <w:rPr>
                <w:rFonts w:hint="default" w:ascii="Times New Roman" w:hAnsi="Times New Roman" w:eastAsia="宋体" w:cs="Times New Roman"/>
                <w:color w:val="000000"/>
                <w:sz w:val="24"/>
                <w:szCs w:val="24"/>
              </w:rPr>
              <w:t>，严禁向任何地方无序倾倒。</w:t>
            </w:r>
          </w:p>
          <w:p>
            <w:pPr>
              <w:spacing w:line="360" w:lineRule="auto"/>
              <w:ind w:firstLine="480" w:firstLineChars="200"/>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2</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水土保持措施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为减少工程建设带来的水土流失对评价区生态环境的影响，施工时应采取以下几方面的措施：</w:t>
            </w:r>
          </w:p>
          <w:p>
            <w:pPr>
              <w:spacing w:line="360" w:lineRule="auto"/>
              <w:ind w:firstLine="504" w:firstLineChars="210"/>
              <w:rPr>
                <w:rFonts w:hint="eastAsia" w:ascii="宋体" w:hAnsi="宋体"/>
                <w:color w:val="auto"/>
                <w:sz w:val="24"/>
                <w:szCs w:val="24"/>
              </w:rPr>
            </w:pPr>
            <w:r>
              <w:rPr>
                <w:rFonts w:hint="eastAsia" w:ascii="宋体" w:hAnsi="宋体"/>
                <w:color w:val="auto"/>
                <w:sz w:val="24"/>
                <w:szCs w:val="24"/>
              </w:rPr>
              <w:t>在施工过程中严格按照本报告及</w:t>
            </w:r>
            <w:r>
              <w:rPr>
                <w:rFonts w:hint="eastAsia" w:ascii="宋体" w:hAnsi="宋体"/>
                <w:color w:val="auto"/>
                <w:sz w:val="24"/>
                <w:szCs w:val="24"/>
                <w:lang w:eastAsia="zh-CN"/>
              </w:rPr>
              <w:t>批准的水土保持方案</w:t>
            </w:r>
            <w:r>
              <w:rPr>
                <w:rFonts w:hint="eastAsia" w:ascii="宋体" w:hAnsi="宋体"/>
                <w:color w:val="auto"/>
                <w:sz w:val="24"/>
                <w:szCs w:val="24"/>
              </w:rPr>
              <w:t>等文件提出的环保及水保措施实施，将影响降低到最低程度。</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严格施工过程监管，减少施工破坏面。严格按照工程设计和批准的占地范围进行施工布置，采用合理的施工机械，尽量减少工程开挖面。</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工程施工期主要针对堤防工程区、</w:t>
            </w:r>
            <w:r>
              <w:rPr>
                <w:rFonts w:hint="default" w:ascii="Times New Roman" w:hAnsi="Times New Roman" w:eastAsia="宋体" w:cs="Times New Roman"/>
                <w:color w:val="000000"/>
                <w:sz w:val="24"/>
                <w:szCs w:val="24"/>
                <w:lang w:val="zh-CN" w:eastAsia="zh-CN"/>
              </w:rPr>
              <w:t>临时堆</w:t>
            </w:r>
            <w:r>
              <w:rPr>
                <w:rFonts w:hint="eastAsia" w:cs="Times New Roman"/>
                <w:color w:val="000000"/>
                <w:sz w:val="24"/>
                <w:szCs w:val="24"/>
                <w:lang w:val="en-US" w:eastAsia="zh-CN"/>
              </w:rPr>
              <w:t>土场</w:t>
            </w:r>
            <w:r>
              <w:rPr>
                <w:rFonts w:hint="default" w:ascii="Times New Roman" w:hAnsi="Times New Roman" w:eastAsia="宋体" w:cs="Times New Roman"/>
                <w:color w:val="000000"/>
                <w:sz w:val="24"/>
                <w:szCs w:val="24"/>
                <w:lang w:val="zh-CN" w:eastAsia="zh-CN"/>
              </w:rPr>
              <w:t>区、施工道路区</w:t>
            </w:r>
            <w:r>
              <w:rPr>
                <w:rFonts w:hint="default" w:ascii="Times New Roman" w:hAnsi="Times New Roman" w:eastAsia="宋体" w:cs="Times New Roman"/>
                <w:color w:val="000000"/>
                <w:sz w:val="24"/>
                <w:szCs w:val="24"/>
              </w:rPr>
              <w:t>进行监测，由</w:t>
            </w:r>
            <w:r>
              <w:rPr>
                <w:rFonts w:hint="eastAsia" w:ascii="Times New Roman" w:hAnsi="Times New Roman" w:eastAsia="宋体" w:cs="Times New Roman"/>
                <w:color w:val="000000"/>
                <w:sz w:val="24"/>
                <w:szCs w:val="24"/>
                <w:lang w:eastAsia="zh-CN"/>
              </w:rPr>
              <w:t>昭化</w:t>
            </w:r>
            <w:r>
              <w:rPr>
                <w:rFonts w:hint="default" w:ascii="Times New Roman" w:hAnsi="Times New Roman" w:eastAsia="宋体" w:cs="Times New Roman"/>
                <w:color w:val="000000"/>
                <w:sz w:val="24"/>
                <w:szCs w:val="24"/>
              </w:rPr>
              <w:t>区水利相关部门负责监测。监测内容为土壤侵蚀强度、土壤侵蚀形式、特征及原因等。有条件的情况下还需监测降雨特征、土壤特征等指标。以发现水保措施中的不足，及时修正和增补。</w:t>
            </w:r>
          </w:p>
          <w:p>
            <w:pPr>
              <w:spacing w:line="360" w:lineRule="auto"/>
              <w:ind w:firstLine="480" w:firstLineChars="200"/>
              <w:rPr>
                <w:rFonts w:hint="default" w:ascii="Times New Roman" w:hAnsi="Times New Roman" w:eastAsia="宋体" w:cs="Times New Roman"/>
                <w:color w:val="000000"/>
                <w:sz w:val="24"/>
                <w:szCs w:val="24"/>
                <w:lang w:val="zh-CN"/>
              </w:rPr>
            </w:pPr>
            <w:r>
              <w:rPr>
                <w:rFonts w:hint="default" w:ascii="Times New Roman" w:hAnsi="Times New Roman" w:eastAsia="宋体" w:cs="Times New Roman"/>
                <w:color w:val="000000"/>
                <w:sz w:val="24"/>
                <w:szCs w:val="24"/>
                <w:lang w:val="zh-CN"/>
              </w:rPr>
              <w:t>根据水土保持防治责任范围界定防治分区，本项目共划分为堤防工程区、施工</w:t>
            </w:r>
            <w:r>
              <w:rPr>
                <w:rFonts w:hint="eastAsia" w:cs="Times New Roman"/>
                <w:color w:val="000000"/>
                <w:sz w:val="24"/>
                <w:szCs w:val="24"/>
                <w:lang w:val="en-US" w:eastAsia="zh-CN"/>
              </w:rPr>
              <w:t>生产</w:t>
            </w:r>
            <w:r>
              <w:rPr>
                <w:rFonts w:hint="default" w:ascii="Times New Roman" w:hAnsi="Times New Roman" w:eastAsia="宋体" w:cs="Times New Roman"/>
                <w:color w:val="000000"/>
                <w:sz w:val="24"/>
                <w:szCs w:val="24"/>
                <w:lang w:val="zh-CN"/>
              </w:rPr>
              <w:t>区</w:t>
            </w:r>
            <w:r>
              <w:rPr>
                <w:rFonts w:hint="default" w:ascii="Times New Roman" w:hAnsi="Times New Roman" w:eastAsia="宋体" w:cs="Times New Roman"/>
                <w:color w:val="000000"/>
                <w:sz w:val="24"/>
                <w:szCs w:val="24"/>
                <w:lang w:val="zh-CN" w:eastAsia="zh-CN"/>
              </w:rPr>
              <w:t>、</w:t>
            </w:r>
            <w:r>
              <w:rPr>
                <w:rFonts w:hint="eastAsia" w:cs="Times New Roman"/>
                <w:color w:val="000000"/>
                <w:sz w:val="24"/>
                <w:szCs w:val="24"/>
                <w:lang w:val="zh-CN" w:eastAsia="zh-CN"/>
              </w:rPr>
              <w:t>临时堆土</w:t>
            </w:r>
            <w:r>
              <w:rPr>
                <w:rFonts w:hint="eastAsia" w:cs="Times New Roman"/>
                <w:color w:val="000000"/>
                <w:sz w:val="24"/>
                <w:szCs w:val="24"/>
                <w:lang w:val="en-US" w:eastAsia="zh-CN"/>
              </w:rPr>
              <w:t>场</w:t>
            </w:r>
            <w:r>
              <w:rPr>
                <w:rFonts w:hint="default" w:ascii="Times New Roman" w:hAnsi="Times New Roman" w:eastAsia="宋体" w:cs="Times New Roman"/>
                <w:color w:val="000000"/>
                <w:sz w:val="24"/>
                <w:szCs w:val="24"/>
                <w:lang w:val="zh-CN" w:eastAsia="zh-CN"/>
              </w:rPr>
              <w:t>区、施工道路区</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lang w:val="zh-CN"/>
              </w:rPr>
              <w:t>个防治分区。</w:t>
            </w:r>
          </w:p>
          <w:p>
            <w:pPr>
              <w:spacing w:line="360" w:lineRule="auto"/>
              <w:ind w:firstLine="480" w:firstLineChars="200"/>
              <w:rPr>
                <w:rFonts w:hint="default" w:ascii="Times New Roman" w:hAnsi="Times New Roman" w:eastAsia="宋体" w:cs="Times New Roman"/>
                <w:color w:val="000000"/>
                <w:sz w:val="24"/>
                <w:szCs w:val="24"/>
                <w:lang w:val="zh-CN"/>
              </w:rPr>
            </w:pPr>
            <w:r>
              <w:rPr>
                <w:rFonts w:hint="default" w:ascii="Times New Roman" w:hAnsi="Times New Roman" w:eastAsia="宋体" w:cs="Times New Roman"/>
                <w:color w:val="000000"/>
                <w:sz w:val="24"/>
                <w:szCs w:val="24"/>
                <w:lang w:val="zh-CN"/>
              </w:rPr>
              <w:t>（1）堤防工程区</w:t>
            </w:r>
          </w:p>
          <w:p>
            <w:pPr>
              <w:spacing w:line="360" w:lineRule="auto"/>
              <w:ind w:firstLine="480" w:firstLineChars="200"/>
              <w:rPr>
                <w:rFonts w:hint="default" w:ascii="Times New Roman" w:hAnsi="Times New Roman" w:eastAsia="宋体" w:cs="Times New Roman"/>
                <w:color w:val="000000"/>
                <w:sz w:val="24"/>
                <w:szCs w:val="24"/>
                <w:lang w:val="zh-CN" w:eastAsia="zh-CN"/>
              </w:rPr>
            </w:pPr>
            <w:r>
              <w:rPr>
                <w:rFonts w:hint="default" w:ascii="Times New Roman" w:hAnsi="Times New Roman" w:eastAsia="宋体" w:cs="Times New Roman"/>
                <w:color w:val="000000"/>
                <w:sz w:val="24"/>
                <w:szCs w:val="24"/>
                <w:lang w:val="zh-CN" w:eastAsia="zh-CN"/>
              </w:rPr>
              <w:t>本工程占用部分耕地，主体已设计在施工前，对可剥离表土进行剥离，平均剥离厚度为 20cm，剥离面积为0.2hm</w:t>
            </w:r>
            <w:r>
              <w:rPr>
                <w:rFonts w:hint="default" w:ascii="Times New Roman" w:hAnsi="Times New Roman" w:eastAsia="宋体" w:cs="Times New Roman"/>
                <w:color w:val="000000"/>
                <w:sz w:val="24"/>
                <w:szCs w:val="24"/>
                <w:vertAlign w:val="superscript"/>
                <w:lang w:val="zh-CN" w:eastAsia="zh-CN"/>
              </w:rPr>
              <w:t>2</w:t>
            </w:r>
            <w:r>
              <w:rPr>
                <w:rFonts w:hint="default" w:ascii="Times New Roman" w:hAnsi="Times New Roman" w:eastAsia="宋体" w:cs="Times New Roman"/>
                <w:color w:val="000000"/>
                <w:sz w:val="24"/>
                <w:szCs w:val="24"/>
                <w:lang w:val="zh-CN" w:eastAsia="zh-CN"/>
              </w:rPr>
              <w:t>，剥离量为400m</w:t>
            </w:r>
            <w:r>
              <w:rPr>
                <w:rFonts w:hint="default" w:ascii="Times New Roman" w:hAnsi="Times New Roman" w:eastAsia="宋体" w:cs="Times New Roman"/>
                <w:color w:val="000000"/>
                <w:sz w:val="24"/>
                <w:szCs w:val="24"/>
                <w:vertAlign w:val="superscript"/>
                <w:lang w:val="zh-CN" w:eastAsia="zh-CN"/>
              </w:rPr>
              <w:t>3</w:t>
            </w:r>
            <w:r>
              <w:rPr>
                <w:rFonts w:hint="default" w:ascii="Times New Roman" w:hAnsi="Times New Roman" w:eastAsia="宋体" w:cs="Times New Roman"/>
                <w:color w:val="000000"/>
                <w:sz w:val="24"/>
                <w:szCs w:val="24"/>
                <w:lang w:val="zh-CN" w:eastAsia="zh-CN"/>
              </w:rPr>
              <w:t>。施工结束后在堤背进行表土回覆以便于后期进行植草护坡，表土回覆量为400m</w:t>
            </w:r>
            <w:r>
              <w:rPr>
                <w:rFonts w:hint="default" w:ascii="Times New Roman" w:hAnsi="Times New Roman" w:eastAsia="宋体" w:cs="Times New Roman"/>
                <w:color w:val="000000"/>
                <w:sz w:val="24"/>
                <w:szCs w:val="24"/>
                <w:vertAlign w:val="superscript"/>
                <w:lang w:val="zh-CN" w:eastAsia="zh-CN"/>
              </w:rPr>
              <w:t>3</w:t>
            </w:r>
            <w:r>
              <w:rPr>
                <w:rFonts w:hint="default" w:ascii="Times New Roman" w:hAnsi="Times New Roman" w:eastAsia="宋体" w:cs="Times New Roman"/>
                <w:color w:val="000000"/>
                <w:sz w:val="24"/>
                <w:szCs w:val="24"/>
                <w:lang w:val="zh-CN" w:eastAsia="zh-CN"/>
              </w:rPr>
              <w:t>。</w:t>
            </w:r>
          </w:p>
          <w:p>
            <w:pPr>
              <w:spacing w:line="360" w:lineRule="auto"/>
              <w:ind w:firstLine="480" w:firstLineChars="200"/>
              <w:rPr>
                <w:rFonts w:hint="default" w:ascii="Times New Roman" w:hAnsi="Times New Roman" w:eastAsia="宋体" w:cs="Times New Roman"/>
                <w:color w:val="000000"/>
                <w:sz w:val="24"/>
                <w:szCs w:val="24"/>
                <w:lang w:val="zh-CN" w:eastAsia="zh-CN"/>
              </w:rPr>
            </w:pPr>
            <w:r>
              <w:rPr>
                <w:rFonts w:hint="default" w:ascii="Times New Roman" w:hAnsi="Times New Roman" w:eastAsia="宋体" w:cs="Times New Roman"/>
                <w:color w:val="000000"/>
                <w:sz w:val="24"/>
                <w:szCs w:val="24"/>
                <w:lang w:val="zh-CN" w:eastAsia="zh-CN"/>
              </w:rPr>
              <w:t>主体已设计在堤防背坡植草护坡，植草护坡面积为2498m</w:t>
            </w:r>
            <w:r>
              <w:rPr>
                <w:rFonts w:hint="default" w:ascii="Times New Roman" w:hAnsi="Times New Roman" w:eastAsia="宋体" w:cs="Times New Roman"/>
                <w:color w:val="000000"/>
                <w:sz w:val="24"/>
                <w:szCs w:val="24"/>
                <w:vertAlign w:val="superscript"/>
                <w:lang w:val="zh-CN" w:eastAsia="zh-CN"/>
              </w:rPr>
              <w:t>2</w:t>
            </w:r>
            <w:r>
              <w:rPr>
                <w:rFonts w:hint="default" w:ascii="Times New Roman" w:hAnsi="Times New Roman" w:eastAsia="宋体" w:cs="Times New Roman"/>
                <w:color w:val="000000"/>
                <w:sz w:val="24"/>
                <w:szCs w:val="24"/>
                <w:lang w:val="zh-CN" w:eastAsia="zh-CN"/>
              </w:rPr>
              <w:t>。</w:t>
            </w:r>
          </w:p>
          <w:p>
            <w:pPr>
              <w:spacing w:line="360" w:lineRule="auto"/>
              <w:ind w:firstLine="480" w:firstLineChars="200"/>
              <w:rPr>
                <w:rFonts w:hint="eastAsia"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rPr>
              <w:t>（2）</w:t>
            </w:r>
            <w:r>
              <w:rPr>
                <w:rFonts w:hint="eastAsia" w:cs="Times New Roman"/>
                <w:color w:val="auto"/>
                <w:sz w:val="24"/>
                <w:szCs w:val="24"/>
                <w:lang w:val="en-US" w:eastAsia="zh-CN"/>
              </w:rPr>
              <w:t>施工生产区</w:t>
            </w:r>
          </w:p>
          <w:p>
            <w:pPr>
              <w:spacing w:line="360" w:lineRule="auto"/>
              <w:ind w:firstLine="480" w:firstLineChars="200"/>
              <w:rPr>
                <w:rFonts w:hint="default" w:ascii="Times New Roman" w:hAnsi="Times New Roman" w:eastAsia="宋体" w:cs="Times New Roman"/>
                <w:color w:val="000000"/>
                <w:sz w:val="24"/>
                <w:szCs w:val="24"/>
                <w:lang w:val="zh-CN" w:eastAsia="zh-CN"/>
              </w:rPr>
            </w:pPr>
            <w:r>
              <w:rPr>
                <w:rFonts w:hint="default" w:ascii="Times New Roman" w:hAnsi="Times New Roman" w:eastAsia="宋体" w:cs="Times New Roman"/>
                <w:color w:val="000000"/>
                <w:sz w:val="24"/>
                <w:szCs w:val="24"/>
                <w:lang w:val="zh-CN" w:eastAsia="zh-CN"/>
              </w:rPr>
              <w:t>施工生活用房就近租用民房，</w:t>
            </w:r>
            <w:r>
              <w:rPr>
                <w:rFonts w:hint="default" w:ascii="Times New Roman" w:hAnsi="Times New Roman" w:eastAsia="宋体" w:cs="Times New Roman"/>
                <w:color w:val="000000"/>
                <w:sz w:val="24"/>
                <w:szCs w:val="24"/>
                <w:lang w:val="zh-CN"/>
              </w:rPr>
              <w:t>主要为办公室及宿舍等，共计租用</w:t>
            </w:r>
            <w:r>
              <w:rPr>
                <w:rFonts w:hint="default" w:ascii="Times New Roman" w:hAnsi="Times New Roman" w:eastAsia="宋体" w:cs="Times New Roman"/>
                <w:color w:val="000000"/>
                <w:sz w:val="24"/>
                <w:szCs w:val="24"/>
                <w:lang w:val="zh-CN" w:eastAsia="zh-CN"/>
              </w:rPr>
              <w:t>施工生活</w:t>
            </w:r>
            <w:r>
              <w:rPr>
                <w:rFonts w:hint="default" w:ascii="Times New Roman" w:hAnsi="Times New Roman" w:eastAsia="宋体" w:cs="Times New Roman"/>
                <w:color w:val="000000"/>
                <w:sz w:val="24"/>
                <w:szCs w:val="24"/>
                <w:lang w:val="zh-CN"/>
              </w:rPr>
              <w:t>用房</w:t>
            </w:r>
            <w:r>
              <w:rPr>
                <w:rFonts w:hint="default" w:ascii="Times New Roman" w:hAnsi="Times New Roman" w:eastAsia="宋体" w:cs="Times New Roman"/>
                <w:color w:val="000000"/>
                <w:sz w:val="24"/>
                <w:szCs w:val="24"/>
                <w:lang w:val="zh-CN" w:eastAsia="zh-CN"/>
              </w:rPr>
              <w:t>共150</w:t>
            </w:r>
            <w:r>
              <w:rPr>
                <w:rFonts w:hint="default" w:ascii="Times New Roman" w:hAnsi="Times New Roman" w:eastAsia="宋体" w:cs="Times New Roman"/>
                <w:color w:val="000000"/>
                <w:sz w:val="24"/>
                <w:szCs w:val="24"/>
                <w:lang w:val="zh-CN"/>
              </w:rPr>
              <w:t>m</w:t>
            </w:r>
            <w:r>
              <w:rPr>
                <w:rFonts w:hint="default" w:ascii="Times New Roman" w:hAnsi="Times New Roman" w:eastAsia="宋体" w:cs="Times New Roman"/>
                <w:color w:val="000000"/>
                <w:sz w:val="24"/>
                <w:szCs w:val="24"/>
                <w:vertAlign w:val="superscript"/>
                <w:lang w:val="zh-CN"/>
              </w:rPr>
              <w:t>2</w:t>
            </w:r>
            <w:r>
              <w:rPr>
                <w:rFonts w:hint="default" w:ascii="Times New Roman" w:hAnsi="Times New Roman" w:eastAsia="宋体" w:cs="Times New Roman"/>
                <w:color w:val="000000"/>
                <w:sz w:val="24"/>
                <w:szCs w:val="24"/>
                <w:lang w:val="zh-CN"/>
              </w:rPr>
              <w:t>，</w:t>
            </w:r>
            <w:r>
              <w:rPr>
                <w:rFonts w:hint="default" w:ascii="Times New Roman" w:hAnsi="Times New Roman" w:eastAsia="宋体" w:cs="Times New Roman"/>
                <w:color w:val="000000"/>
                <w:sz w:val="24"/>
                <w:szCs w:val="24"/>
                <w:lang w:val="zh-CN" w:eastAsia="zh-CN"/>
              </w:rPr>
              <w:t>其中</w:t>
            </w:r>
            <w:r>
              <w:rPr>
                <w:rFonts w:hint="default" w:ascii="Times New Roman" w:hAnsi="Times New Roman" w:eastAsia="宋体" w:cs="Times New Roman"/>
                <w:color w:val="000000"/>
                <w:sz w:val="24"/>
                <w:szCs w:val="24"/>
                <w:lang w:val="zh-CN"/>
              </w:rPr>
              <w:t>办公室</w:t>
            </w:r>
            <w:r>
              <w:rPr>
                <w:rFonts w:hint="default" w:ascii="Times New Roman" w:hAnsi="Times New Roman" w:eastAsia="宋体" w:cs="Times New Roman"/>
                <w:color w:val="000000"/>
                <w:sz w:val="24"/>
                <w:szCs w:val="24"/>
                <w:lang w:val="zh-CN" w:eastAsia="zh-CN"/>
              </w:rPr>
              <w:t>3</w:t>
            </w:r>
            <w:r>
              <w:rPr>
                <w:rFonts w:hint="default" w:ascii="Times New Roman" w:hAnsi="Times New Roman" w:eastAsia="宋体" w:cs="Times New Roman"/>
                <w:color w:val="000000"/>
                <w:sz w:val="24"/>
                <w:szCs w:val="24"/>
                <w:lang w:val="zh-CN"/>
              </w:rPr>
              <w:t>0m</w:t>
            </w:r>
            <w:r>
              <w:rPr>
                <w:rFonts w:hint="default" w:ascii="Times New Roman" w:hAnsi="Times New Roman" w:eastAsia="宋体" w:cs="Times New Roman"/>
                <w:color w:val="000000"/>
                <w:sz w:val="24"/>
                <w:szCs w:val="24"/>
                <w:vertAlign w:val="superscript"/>
                <w:lang w:val="zh-CN"/>
              </w:rPr>
              <w:t>2</w:t>
            </w:r>
            <w:r>
              <w:rPr>
                <w:rFonts w:hint="default" w:ascii="Times New Roman" w:hAnsi="Times New Roman" w:eastAsia="宋体" w:cs="Times New Roman"/>
                <w:color w:val="000000"/>
                <w:sz w:val="24"/>
                <w:szCs w:val="24"/>
                <w:lang w:val="zh-CN"/>
              </w:rPr>
              <w:t>，宿舍</w:t>
            </w:r>
            <w:r>
              <w:rPr>
                <w:rFonts w:hint="default" w:ascii="Times New Roman" w:hAnsi="Times New Roman" w:eastAsia="宋体" w:cs="Times New Roman"/>
                <w:color w:val="000000"/>
                <w:sz w:val="24"/>
                <w:szCs w:val="24"/>
                <w:lang w:val="zh-CN" w:eastAsia="zh-CN"/>
              </w:rPr>
              <w:t>12</w:t>
            </w:r>
            <w:r>
              <w:rPr>
                <w:rFonts w:hint="default" w:ascii="Times New Roman" w:hAnsi="Times New Roman" w:eastAsia="宋体" w:cs="Times New Roman"/>
                <w:color w:val="000000"/>
                <w:sz w:val="24"/>
                <w:szCs w:val="24"/>
                <w:lang w:val="zh-CN"/>
              </w:rPr>
              <w:t>0m</w:t>
            </w:r>
            <w:r>
              <w:rPr>
                <w:rFonts w:hint="default" w:ascii="Times New Roman" w:hAnsi="Times New Roman" w:eastAsia="宋体" w:cs="Times New Roman"/>
                <w:color w:val="000000"/>
                <w:sz w:val="24"/>
                <w:szCs w:val="24"/>
                <w:vertAlign w:val="superscript"/>
                <w:lang w:val="zh-CN"/>
              </w:rPr>
              <w:t>2</w:t>
            </w:r>
            <w:r>
              <w:rPr>
                <w:rFonts w:hint="default" w:ascii="Times New Roman" w:hAnsi="Times New Roman" w:eastAsia="宋体" w:cs="Times New Roman"/>
                <w:color w:val="000000"/>
                <w:sz w:val="24"/>
                <w:szCs w:val="24"/>
                <w:lang w:val="zh-CN"/>
              </w:rPr>
              <w:t>。</w:t>
            </w:r>
            <w:r>
              <w:rPr>
                <w:rFonts w:hint="default" w:ascii="Times New Roman" w:hAnsi="Times New Roman" w:eastAsia="宋体" w:cs="Times New Roman"/>
                <w:color w:val="000000"/>
                <w:sz w:val="24"/>
                <w:szCs w:val="24"/>
                <w:lang w:val="zh-CN" w:eastAsia="zh-CN"/>
              </w:rPr>
              <w:t>施工生产场地主要用于</w:t>
            </w:r>
            <w:r>
              <w:rPr>
                <w:rFonts w:hint="default" w:ascii="Times New Roman" w:hAnsi="Times New Roman" w:eastAsia="宋体" w:cs="Times New Roman"/>
                <w:color w:val="000000"/>
                <w:sz w:val="24"/>
                <w:szCs w:val="24"/>
                <w:lang w:val="zh-CN"/>
              </w:rPr>
              <w:t>钢筋制作安装</w:t>
            </w:r>
            <w:r>
              <w:rPr>
                <w:rFonts w:hint="default" w:ascii="Times New Roman" w:hAnsi="Times New Roman" w:eastAsia="宋体" w:cs="Times New Roman"/>
                <w:color w:val="000000"/>
                <w:sz w:val="24"/>
                <w:szCs w:val="24"/>
                <w:lang w:val="zh-CN" w:eastAsia="zh-CN"/>
              </w:rPr>
              <w:t>及</w:t>
            </w:r>
            <w:r>
              <w:rPr>
                <w:rFonts w:hint="default" w:ascii="Times New Roman" w:hAnsi="Times New Roman" w:eastAsia="宋体" w:cs="Times New Roman"/>
                <w:color w:val="000000"/>
                <w:sz w:val="24"/>
                <w:szCs w:val="24"/>
                <w:lang w:val="zh-CN"/>
              </w:rPr>
              <w:t>木材加工，</w:t>
            </w:r>
            <w:r>
              <w:rPr>
                <w:rFonts w:hint="default" w:ascii="Times New Roman" w:hAnsi="Times New Roman" w:eastAsia="宋体" w:cs="Times New Roman"/>
                <w:color w:val="000000"/>
                <w:sz w:val="24"/>
                <w:szCs w:val="24"/>
                <w:lang w:val="zh-CN" w:eastAsia="zh-CN"/>
              </w:rPr>
              <w:t>并作临时材料堆存，</w:t>
            </w:r>
            <w:r>
              <w:rPr>
                <w:rFonts w:hint="default" w:ascii="Times New Roman" w:hAnsi="Times New Roman" w:eastAsia="宋体" w:cs="Times New Roman"/>
                <w:color w:val="000000"/>
                <w:sz w:val="24"/>
                <w:szCs w:val="24"/>
                <w:lang w:val="zh-CN"/>
              </w:rPr>
              <w:t>因此在工区设一</w:t>
            </w:r>
            <w:r>
              <w:rPr>
                <w:rFonts w:hint="default" w:ascii="Times New Roman" w:hAnsi="Times New Roman" w:eastAsia="宋体" w:cs="Times New Roman"/>
                <w:color w:val="000000"/>
                <w:sz w:val="24"/>
                <w:szCs w:val="24"/>
                <w:lang w:val="zh-CN" w:eastAsia="zh-CN"/>
              </w:rPr>
              <w:t>个3</w:t>
            </w:r>
            <w:r>
              <w:rPr>
                <w:rFonts w:hint="default" w:ascii="Times New Roman" w:hAnsi="Times New Roman" w:eastAsia="宋体" w:cs="Times New Roman"/>
                <w:color w:val="000000"/>
                <w:sz w:val="24"/>
                <w:szCs w:val="24"/>
                <w:lang w:val="zh-CN"/>
              </w:rPr>
              <w:t>00m</w:t>
            </w:r>
            <w:r>
              <w:rPr>
                <w:rFonts w:hint="default" w:ascii="Times New Roman" w:hAnsi="Times New Roman" w:eastAsia="宋体" w:cs="Times New Roman"/>
                <w:color w:val="000000"/>
                <w:sz w:val="24"/>
                <w:szCs w:val="24"/>
                <w:vertAlign w:val="superscript"/>
                <w:lang w:val="zh-CN"/>
              </w:rPr>
              <w:t>2</w:t>
            </w:r>
            <w:r>
              <w:rPr>
                <w:rFonts w:hint="default" w:ascii="Times New Roman" w:hAnsi="Times New Roman" w:eastAsia="宋体" w:cs="Times New Roman"/>
                <w:color w:val="000000"/>
                <w:sz w:val="24"/>
                <w:szCs w:val="24"/>
                <w:lang w:val="zh-CN"/>
              </w:rPr>
              <w:t>的</w:t>
            </w:r>
            <w:r>
              <w:rPr>
                <w:rFonts w:hint="default" w:ascii="Times New Roman" w:hAnsi="Times New Roman" w:eastAsia="宋体" w:cs="Times New Roman"/>
                <w:color w:val="000000"/>
                <w:sz w:val="24"/>
                <w:szCs w:val="24"/>
                <w:lang w:val="zh-CN" w:eastAsia="zh-CN"/>
              </w:rPr>
              <w:t>临时施工场地</w:t>
            </w:r>
            <w:r>
              <w:rPr>
                <w:rFonts w:hint="default" w:ascii="Times New Roman" w:hAnsi="Times New Roman" w:eastAsia="宋体" w:cs="Times New Roman"/>
                <w:color w:val="000000"/>
                <w:sz w:val="24"/>
                <w:szCs w:val="24"/>
                <w:lang w:val="zh-CN"/>
              </w:rPr>
              <w:t>。</w:t>
            </w:r>
            <w:r>
              <w:rPr>
                <w:rFonts w:hint="default" w:ascii="Times New Roman" w:hAnsi="Times New Roman" w:eastAsia="宋体" w:cs="Times New Roman"/>
                <w:color w:val="000000"/>
                <w:sz w:val="24"/>
                <w:szCs w:val="24"/>
                <w:lang w:val="zh-CN" w:eastAsia="zh-CN"/>
              </w:rPr>
              <w:t xml:space="preserve"> 在施工生产区布置临时排水沟30m</w:t>
            </w:r>
            <w:r>
              <w:rPr>
                <w:rFonts w:hint="eastAsia" w:cs="Times New Roman"/>
                <w:color w:val="000000"/>
                <w:sz w:val="24"/>
                <w:szCs w:val="24"/>
                <w:lang w:val="zh-CN" w:eastAsia="zh-CN"/>
              </w:rPr>
              <w:t>，</w:t>
            </w:r>
            <w:r>
              <w:rPr>
                <w:rFonts w:hint="default" w:ascii="Times New Roman" w:hAnsi="Times New Roman" w:eastAsia="宋体" w:cs="Times New Roman"/>
                <w:color w:val="000000"/>
                <w:sz w:val="24"/>
                <w:szCs w:val="24"/>
                <w:lang w:val="zh-CN" w:eastAsia="zh-CN"/>
              </w:rPr>
              <w:t>在临时排水沟转角或末端布设沉沙池，雨水经沉沙池沉淀泥沙后排入河道。</w:t>
            </w:r>
          </w:p>
          <w:p>
            <w:pPr>
              <w:spacing w:line="360" w:lineRule="auto"/>
              <w:ind w:firstLine="480" w:firstLineChars="200"/>
              <w:rPr>
                <w:rFonts w:hint="default" w:ascii="Times New Roman" w:hAnsi="Times New Roman" w:eastAsia="宋体" w:cs="Times New Roman"/>
                <w:color w:val="000000"/>
                <w:sz w:val="24"/>
                <w:szCs w:val="24"/>
                <w:lang w:val="zh-CN"/>
              </w:rPr>
            </w:pPr>
            <w:r>
              <w:rPr>
                <w:rFonts w:hint="default" w:ascii="Times New Roman" w:hAnsi="Times New Roman" w:eastAsia="宋体" w:cs="Times New Roman"/>
                <w:color w:val="000000"/>
                <w:sz w:val="24"/>
                <w:szCs w:val="24"/>
                <w:lang w:val="zh-CN"/>
              </w:rPr>
              <w:t>（</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lang w:val="zh-CN"/>
              </w:rPr>
              <w:t>）</w:t>
            </w:r>
            <w:r>
              <w:rPr>
                <w:rFonts w:hint="default" w:ascii="Times New Roman" w:hAnsi="Times New Roman" w:eastAsia="宋体" w:cs="Times New Roman"/>
                <w:color w:val="000000"/>
                <w:sz w:val="24"/>
                <w:szCs w:val="24"/>
                <w:lang w:val="zh-CN" w:eastAsia="zh-CN"/>
              </w:rPr>
              <w:t>临时堆</w:t>
            </w:r>
            <w:r>
              <w:rPr>
                <w:rFonts w:hint="eastAsia" w:cs="Times New Roman"/>
                <w:color w:val="000000"/>
                <w:sz w:val="24"/>
                <w:szCs w:val="24"/>
                <w:lang w:val="en-US" w:eastAsia="zh-CN"/>
              </w:rPr>
              <w:t>土场</w:t>
            </w:r>
            <w:r>
              <w:rPr>
                <w:rFonts w:hint="default" w:ascii="Times New Roman" w:hAnsi="Times New Roman" w:eastAsia="宋体" w:cs="Times New Roman"/>
                <w:color w:val="000000"/>
                <w:sz w:val="24"/>
                <w:szCs w:val="24"/>
                <w:lang w:val="zh-CN" w:eastAsia="zh-CN"/>
              </w:rPr>
              <w:t>区</w:t>
            </w:r>
          </w:p>
          <w:p>
            <w:pPr>
              <w:spacing w:line="360" w:lineRule="auto"/>
              <w:ind w:firstLine="480" w:firstLineChars="200"/>
              <w:rPr>
                <w:rFonts w:hint="default" w:ascii="Times New Roman" w:hAnsi="Times New Roman" w:eastAsia="宋体" w:cs="Times New Roman"/>
                <w:color w:val="000000"/>
                <w:sz w:val="24"/>
                <w:szCs w:val="24"/>
                <w:lang w:val="zh-CN"/>
              </w:rPr>
            </w:pPr>
            <w:r>
              <w:rPr>
                <w:rFonts w:hint="default" w:ascii="Times New Roman" w:hAnsi="Times New Roman" w:eastAsia="宋体" w:cs="Times New Roman"/>
                <w:color w:val="000000"/>
                <w:sz w:val="24"/>
                <w:szCs w:val="24"/>
                <w:lang w:val="zh-CN"/>
              </w:rPr>
              <w:t>根据本工程施工工艺，河道开挖未及时回填料可临时堆置于河道两侧。待施工结束后，对临时堆</w:t>
            </w:r>
            <w:r>
              <w:rPr>
                <w:rFonts w:hint="eastAsia" w:cs="Times New Roman"/>
                <w:color w:val="000000"/>
                <w:sz w:val="24"/>
                <w:szCs w:val="24"/>
                <w:lang w:val="en-US" w:eastAsia="zh-CN"/>
              </w:rPr>
              <w:t>土</w:t>
            </w:r>
            <w:r>
              <w:rPr>
                <w:rFonts w:hint="default" w:ascii="Times New Roman" w:hAnsi="Times New Roman" w:eastAsia="宋体" w:cs="Times New Roman"/>
                <w:color w:val="000000"/>
                <w:sz w:val="24"/>
                <w:szCs w:val="24"/>
                <w:lang w:val="zh-CN"/>
              </w:rPr>
              <w:t>区域进行土地整治，以便于后期耕地复垦，土地整治面积为0.2hm</w:t>
            </w:r>
            <w:r>
              <w:rPr>
                <w:rFonts w:hint="default" w:ascii="Times New Roman" w:hAnsi="Times New Roman" w:eastAsia="宋体" w:cs="Times New Roman"/>
                <w:color w:val="000000"/>
                <w:sz w:val="24"/>
                <w:szCs w:val="24"/>
                <w:vertAlign w:val="superscript"/>
                <w:lang w:val="zh-CN"/>
              </w:rPr>
              <w:t>2</w:t>
            </w:r>
            <w:r>
              <w:rPr>
                <w:rFonts w:hint="default" w:ascii="Times New Roman" w:hAnsi="Times New Roman" w:eastAsia="宋体" w:cs="Times New Roman"/>
                <w:color w:val="000000"/>
                <w:sz w:val="24"/>
                <w:szCs w:val="24"/>
                <w:lang w:val="zh-CN"/>
              </w:rPr>
              <w:t>。对于未及时回填开挖方及表土，为防止因降雨或径流对临时堆土造成滑落等，对临时堆土采用密目网进行临时苫盖，所需密目网为0.1hm</w:t>
            </w:r>
            <w:r>
              <w:rPr>
                <w:rFonts w:hint="default" w:ascii="Times New Roman" w:hAnsi="Times New Roman" w:eastAsia="宋体" w:cs="Times New Roman"/>
                <w:color w:val="000000"/>
                <w:sz w:val="24"/>
                <w:szCs w:val="24"/>
                <w:vertAlign w:val="superscript"/>
                <w:lang w:val="zh-CN"/>
              </w:rPr>
              <w:t>2</w:t>
            </w:r>
            <w:r>
              <w:rPr>
                <w:rFonts w:hint="default" w:ascii="Times New Roman" w:hAnsi="Times New Roman" w:eastAsia="宋体" w:cs="Times New Roman"/>
                <w:color w:val="000000"/>
                <w:sz w:val="24"/>
                <w:szCs w:val="24"/>
                <w:lang w:val="zh-CN"/>
              </w:rPr>
              <w:t>。</w:t>
            </w:r>
          </w:p>
          <w:p>
            <w:pPr>
              <w:spacing w:line="360" w:lineRule="auto"/>
              <w:ind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zh-CN"/>
              </w:rPr>
              <w:t>（</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lang w:val="zh-CN"/>
              </w:rPr>
              <w:t>）</w:t>
            </w:r>
            <w:r>
              <w:rPr>
                <w:rFonts w:hint="default" w:ascii="Times New Roman" w:hAnsi="Times New Roman" w:eastAsia="宋体" w:cs="Times New Roman"/>
                <w:color w:val="000000"/>
                <w:sz w:val="24"/>
                <w:szCs w:val="24"/>
                <w:lang w:val="zh-CN" w:eastAsia="zh-CN"/>
              </w:rPr>
              <w:t>施工道路区</w:t>
            </w:r>
          </w:p>
          <w:p>
            <w:pPr>
              <w:spacing w:line="360" w:lineRule="auto"/>
              <w:ind w:firstLine="480" w:firstLineChars="200"/>
              <w:rPr>
                <w:rFonts w:hint="default" w:ascii="Times New Roman" w:hAnsi="Times New Roman" w:eastAsia="宋体" w:cs="Times New Roman"/>
                <w:color w:val="000000"/>
                <w:sz w:val="24"/>
                <w:szCs w:val="24"/>
                <w:lang w:val="zh-CN" w:eastAsia="zh-CN"/>
              </w:rPr>
            </w:pPr>
            <w:r>
              <w:rPr>
                <w:rFonts w:hint="default" w:ascii="Times New Roman" w:hAnsi="Times New Roman" w:eastAsia="宋体" w:cs="Times New Roman"/>
                <w:color w:val="000000"/>
                <w:sz w:val="24"/>
                <w:szCs w:val="24"/>
                <w:lang w:val="zh-CN"/>
              </w:rPr>
              <w:t>根据施工临时道路布置，沿</w:t>
            </w:r>
            <w:r>
              <w:rPr>
                <w:rFonts w:hint="default" w:ascii="Times New Roman" w:hAnsi="Times New Roman" w:eastAsia="宋体" w:cs="Times New Roman"/>
                <w:color w:val="000000"/>
                <w:sz w:val="24"/>
                <w:szCs w:val="24"/>
                <w:lang w:val="zh-CN" w:eastAsia="zh-CN"/>
              </w:rPr>
              <w:t>庄子沟</w:t>
            </w:r>
            <w:r>
              <w:rPr>
                <w:rFonts w:hint="default" w:ascii="Times New Roman" w:hAnsi="Times New Roman" w:eastAsia="宋体" w:cs="Times New Roman"/>
                <w:color w:val="000000"/>
                <w:sz w:val="24"/>
                <w:szCs w:val="24"/>
                <w:lang w:val="zh-CN"/>
              </w:rPr>
              <w:t>河道平整</w:t>
            </w:r>
            <w:r>
              <w:rPr>
                <w:rFonts w:hint="default" w:ascii="Times New Roman" w:hAnsi="Times New Roman" w:eastAsia="宋体" w:cs="Times New Roman"/>
                <w:color w:val="000000"/>
                <w:sz w:val="24"/>
                <w:szCs w:val="24"/>
                <w:lang w:val="zh-CN" w:eastAsia="zh-CN"/>
              </w:rPr>
              <w:t>0.2</w:t>
            </w:r>
            <w:r>
              <w:rPr>
                <w:rFonts w:hint="default" w:ascii="Times New Roman" w:hAnsi="Times New Roman" w:eastAsia="宋体" w:cs="Times New Roman"/>
                <w:color w:val="000000"/>
                <w:sz w:val="24"/>
                <w:szCs w:val="24"/>
                <w:lang w:val="zh-CN"/>
              </w:rPr>
              <w:t>km长简易临时施工道路。</w:t>
            </w:r>
            <w:r>
              <w:rPr>
                <w:rFonts w:hint="default" w:ascii="Times New Roman" w:hAnsi="Times New Roman" w:eastAsia="宋体" w:cs="Times New Roman"/>
                <w:color w:val="000000"/>
                <w:sz w:val="24"/>
                <w:szCs w:val="24"/>
                <w:lang w:val="zh-CN" w:eastAsia="zh-CN"/>
              </w:rPr>
              <w:t>临时道路占用部分耕地，主体已设计在施工前，对可剥离表土进行剥离，平均剥离厚度为20cm，剥离面积为0.08hm</w:t>
            </w:r>
            <w:r>
              <w:rPr>
                <w:rFonts w:hint="default" w:ascii="Times New Roman" w:hAnsi="Times New Roman" w:eastAsia="宋体" w:cs="Times New Roman"/>
                <w:color w:val="000000"/>
                <w:sz w:val="24"/>
                <w:szCs w:val="24"/>
                <w:vertAlign w:val="superscript"/>
                <w:lang w:val="zh-CN" w:eastAsia="zh-CN"/>
              </w:rPr>
              <w:t>2</w:t>
            </w:r>
            <w:r>
              <w:rPr>
                <w:rFonts w:hint="default" w:ascii="Times New Roman" w:hAnsi="Times New Roman" w:eastAsia="宋体" w:cs="Times New Roman"/>
                <w:color w:val="000000"/>
                <w:sz w:val="24"/>
                <w:szCs w:val="24"/>
                <w:lang w:val="zh-CN" w:eastAsia="zh-CN"/>
              </w:rPr>
              <w:t>，剥离量为160m</w:t>
            </w:r>
            <w:r>
              <w:rPr>
                <w:rFonts w:hint="default" w:ascii="Times New Roman" w:hAnsi="Times New Roman" w:eastAsia="宋体" w:cs="Times New Roman"/>
                <w:color w:val="000000"/>
                <w:sz w:val="24"/>
                <w:szCs w:val="24"/>
                <w:vertAlign w:val="superscript"/>
                <w:lang w:val="zh-CN" w:eastAsia="zh-CN"/>
              </w:rPr>
              <w:t>3</w:t>
            </w:r>
            <w:r>
              <w:rPr>
                <w:rFonts w:hint="default" w:ascii="Times New Roman" w:hAnsi="Times New Roman" w:eastAsia="宋体" w:cs="Times New Roman"/>
                <w:color w:val="000000"/>
                <w:sz w:val="24"/>
                <w:szCs w:val="24"/>
                <w:lang w:val="zh-CN" w:eastAsia="zh-CN"/>
              </w:rPr>
              <w:t>。待施工结束后，对临时道路区域进行土地整治，以便于后期耕地复垦，土地整治面积为0.08hm</w:t>
            </w:r>
            <w:r>
              <w:rPr>
                <w:rFonts w:hint="default" w:ascii="Times New Roman" w:hAnsi="Times New Roman" w:eastAsia="宋体" w:cs="Times New Roman"/>
                <w:color w:val="000000"/>
                <w:sz w:val="24"/>
                <w:szCs w:val="24"/>
                <w:vertAlign w:val="superscript"/>
                <w:lang w:val="zh-CN" w:eastAsia="zh-CN"/>
              </w:rPr>
              <w:t>2</w:t>
            </w:r>
            <w:r>
              <w:rPr>
                <w:rFonts w:hint="default" w:ascii="Times New Roman" w:hAnsi="Times New Roman" w:eastAsia="宋体" w:cs="Times New Roman"/>
                <w:color w:val="000000"/>
                <w:sz w:val="24"/>
                <w:szCs w:val="24"/>
                <w:lang w:val="zh-CN" w:eastAsia="zh-CN"/>
              </w:rPr>
              <w:t>。</w:t>
            </w:r>
          </w:p>
          <w:p>
            <w:pPr>
              <w:spacing w:line="360" w:lineRule="auto"/>
              <w:rPr>
                <w:rFonts w:hint="default" w:ascii="Times New Roman" w:hAnsi="Times New Roman" w:eastAsia="宋体" w:cs="Times New Roman"/>
                <w:color w:val="000000"/>
                <w:sz w:val="24"/>
                <w:szCs w:val="24"/>
                <w:lang w:val="zh-CN" w:eastAsia="zh-CN"/>
              </w:rPr>
            </w:pPr>
            <w:r>
              <w:rPr>
                <w:rFonts w:hint="default" w:ascii="Times New Roman" w:hAnsi="Times New Roman" w:eastAsia="宋体" w:cs="Times New Roman"/>
                <w:color w:val="000000"/>
                <w:sz w:val="24"/>
                <w:szCs w:val="24"/>
                <w:lang w:val="zh-CN" w:eastAsia="zh-CN"/>
              </w:rPr>
              <w:t>临时道路占用部分耕地，施工结束后对耕地进行复垦，复垦面积为0.08hm</w:t>
            </w:r>
            <w:r>
              <w:rPr>
                <w:rFonts w:hint="default" w:ascii="Times New Roman" w:hAnsi="Times New Roman" w:eastAsia="宋体" w:cs="Times New Roman"/>
                <w:color w:val="000000"/>
                <w:sz w:val="24"/>
                <w:szCs w:val="24"/>
                <w:vertAlign w:val="superscript"/>
                <w:lang w:val="zh-CN" w:eastAsia="zh-CN"/>
              </w:rPr>
              <w:t>2</w:t>
            </w:r>
            <w:r>
              <w:rPr>
                <w:rFonts w:hint="default" w:ascii="Times New Roman" w:hAnsi="Times New Roman" w:eastAsia="宋体" w:cs="Times New Roman"/>
                <w:color w:val="000000"/>
                <w:sz w:val="24"/>
                <w:szCs w:val="24"/>
                <w:lang w:val="zh-CN" w:eastAsia="zh-CN"/>
              </w:rPr>
              <w:t>。</w:t>
            </w:r>
          </w:p>
          <w:p>
            <w:pPr>
              <w:spacing w:line="360" w:lineRule="auto"/>
              <w:ind w:firstLine="480" w:firstLineChars="200"/>
              <w:rPr>
                <w:rFonts w:hint="default" w:ascii="Times New Roman" w:hAnsi="Times New Roman" w:eastAsia="宋体" w:cs="Times New Roman"/>
                <w:color w:val="000000"/>
                <w:sz w:val="24"/>
                <w:szCs w:val="24"/>
                <w:lang w:val="zh-CN" w:eastAsia="zh-CN"/>
              </w:rPr>
            </w:pPr>
            <w:r>
              <w:rPr>
                <w:rFonts w:hint="default" w:ascii="Times New Roman" w:hAnsi="Times New Roman" w:eastAsia="宋体" w:cs="Times New Roman"/>
                <w:color w:val="000000"/>
                <w:sz w:val="24"/>
                <w:szCs w:val="24"/>
                <w:lang w:val="zh-CN" w:eastAsia="zh-CN"/>
              </w:rPr>
              <w:t>临时措施</w:t>
            </w:r>
            <w:r>
              <w:rPr>
                <w:rFonts w:hint="eastAsia" w:ascii="Times New Roman" w:hAnsi="Times New Roman" w:eastAsia="宋体" w:cs="Times New Roman"/>
                <w:color w:val="000000"/>
                <w:sz w:val="24"/>
                <w:szCs w:val="24"/>
                <w:lang w:val="zh-CN" w:eastAsia="zh-CN"/>
              </w:rPr>
              <w:t>：</w:t>
            </w:r>
            <w:r>
              <w:rPr>
                <w:rFonts w:hint="default" w:ascii="Times New Roman" w:hAnsi="Times New Roman" w:eastAsia="宋体" w:cs="Times New Roman"/>
                <w:color w:val="000000"/>
                <w:sz w:val="24"/>
                <w:szCs w:val="24"/>
                <w:lang w:val="zh-CN" w:eastAsia="zh-CN"/>
              </w:rPr>
              <w:t>沿临时道路一侧设置临时排水沟，排水沟末端排入现状渠道中。施工结束后对临时排水沟进行回填。在临时排水沟末端设置一座临时沉砂池，</w:t>
            </w:r>
            <w:r>
              <w:rPr>
                <w:rFonts w:hint="default" w:ascii="Times New Roman" w:hAnsi="Times New Roman" w:eastAsia="宋体" w:cs="Times New Roman"/>
                <w:color w:val="000000"/>
                <w:sz w:val="24"/>
                <w:szCs w:val="24"/>
                <w:lang w:val="zh-CN"/>
              </w:rPr>
              <w:t>采用土质结构，</w:t>
            </w:r>
            <w:r>
              <w:rPr>
                <w:rFonts w:hint="default" w:ascii="Times New Roman" w:hAnsi="Times New Roman" w:eastAsia="宋体" w:cs="Times New Roman"/>
                <w:color w:val="000000"/>
                <w:sz w:val="24"/>
                <w:szCs w:val="24"/>
                <w:lang w:val="zh-CN" w:eastAsia="zh-CN"/>
              </w:rPr>
              <w:t>表面设置一层土工布防渗</w:t>
            </w:r>
            <w:r>
              <w:rPr>
                <w:rFonts w:hint="default" w:ascii="Times New Roman" w:hAnsi="Times New Roman" w:eastAsia="宋体" w:cs="Times New Roman"/>
                <w:color w:val="000000"/>
                <w:sz w:val="24"/>
                <w:szCs w:val="24"/>
                <w:lang w:val="zh-CN"/>
              </w:rPr>
              <w:t>。</w:t>
            </w:r>
            <w:r>
              <w:rPr>
                <w:rFonts w:hint="default" w:ascii="Times New Roman" w:hAnsi="Times New Roman" w:eastAsia="宋体" w:cs="Times New Roman"/>
                <w:color w:val="000000"/>
                <w:sz w:val="24"/>
                <w:szCs w:val="24"/>
                <w:lang w:val="zh-CN" w:eastAsia="zh-CN"/>
              </w:rPr>
              <w:t>施工结束后进行回填。</w:t>
            </w:r>
          </w:p>
          <w:p>
            <w:pPr>
              <w:spacing w:line="360" w:lineRule="auto"/>
              <w:ind w:firstLine="480" w:firstLineChars="200"/>
              <w:rPr>
                <w:rFonts w:hint="default" w:ascii="Times New Roman" w:hAnsi="Times New Roman" w:eastAsia="仿宋_GB2312" w:cs="Times New Roman"/>
                <w:color w:val="auto"/>
                <w:sz w:val="24"/>
                <w:szCs w:val="24"/>
                <w:lang w:val="zh-CN"/>
              </w:rPr>
            </w:pPr>
            <w:r>
              <w:rPr>
                <w:rFonts w:hint="default" w:ascii="Times New Roman" w:hAnsi="Times New Roman" w:eastAsia="宋体" w:cs="Times New Roman"/>
                <w:color w:val="000000"/>
                <w:sz w:val="24"/>
                <w:szCs w:val="24"/>
                <w:lang w:val="zh-CN"/>
              </w:rPr>
              <w:t>本项目水土保持措施总体布局见水土保持措施布局表5-1</w:t>
            </w:r>
            <w:r>
              <w:rPr>
                <w:rFonts w:hint="eastAsia" w:ascii="Times New Roman" w:hAnsi="Times New Roman" w:eastAsia="宋体" w:cs="Times New Roman"/>
                <w:color w:val="000000"/>
                <w:sz w:val="24"/>
                <w:szCs w:val="24"/>
                <w:lang w:val="zh-CN"/>
              </w:rPr>
              <w:t>。</w:t>
            </w:r>
          </w:p>
          <w:p>
            <w:pPr>
              <w:pStyle w:val="97"/>
              <w:spacing w:before="0" w:beforeLines="0" w:line="240" w:lineRule="auto"/>
              <w:rPr>
                <w:rFonts w:hint="default" w:ascii="Times New Roman" w:hAnsi="Times New Roman" w:eastAsia="新宋体" w:cs="Times New Roman"/>
                <w:b w:val="0"/>
                <w:i w:val="0"/>
                <w:color w:val="auto"/>
                <w:kern w:val="0"/>
                <w:sz w:val="21"/>
                <w:szCs w:val="21"/>
                <w:u w:val="none"/>
                <w:lang w:val="en-US" w:eastAsia="zh-CN" w:bidi="ar"/>
              </w:rPr>
            </w:pPr>
            <w:r>
              <w:rPr>
                <w:rFonts w:hint="default" w:ascii="Times New Roman" w:hAnsi="Times New Roman" w:eastAsia="新宋体" w:cs="Times New Roman"/>
                <w:b w:val="0"/>
                <w:i w:val="0"/>
                <w:color w:val="auto"/>
                <w:kern w:val="0"/>
                <w:sz w:val="21"/>
                <w:szCs w:val="21"/>
                <w:u w:val="none"/>
                <w:lang w:val="en-US" w:eastAsia="zh-CN" w:bidi="ar"/>
              </w:rPr>
              <w:br w:type="page"/>
            </w:r>
            <w:r>
              <w:rPr>
                <w:rFonts w:hint="default" w:ascii="Times New Roman" w:hAnsi="Times New Roman" w:eastAsia="新宋体" w:cs="Times New Roman"/>
                <w:b w:val="0"/>
                <w:i w:val="0"/>
                <w:color w:val="auto"/>
                <w:kern w:val="0"/>
                <w:sz w:val="21"/>
                <w:szCs w:val="21"/>
                <w:u w:val="none"/>
                <w:lang w:val="en-US" w:eastAsia="zh-CN" w:bidi="ar"/>
              </w:rPr>
              <w:t>表5</w:t>
            </w:r>
            <w:r>
              <w:rPr>
                <w:rFonts w:hint="eastAsia" w:ascii="Times New Roman" w:hAnsi="Times New Roman" w:eastAsia="新宋体" w:cs="Times New Roman"/>
                <w:b w:val="0"/>
                <w:i w:val="0"/>
                <w:color w:val="auto"/>
                <w:kern w:val="0"/>
                <w:sz w:val="21"/>
                <w:szCs w:val="21"/>
                <w:u w:val="none"/>
                <w:lang w:val="en-US" w:eastAsia="zh-CN" w:bidi="ar"/>
              </w:rPr>
              <w:t>-1</w:t>
            </w:r>
            <w:r>
              <w:rPr>
                <w:rFonts w:hint="default" w:ascii="Times New Roman" w:hAnsi="Times New Roman" w:eastAsia="新宋体" w:cs="Times New Roman"/>
                <w:b w:val="0"/>
                <w:i w:val="0"/>
                <w:color w:val="auto"/>
                <w:kern w:val="0"/>
                <w:sz w:val="21"/>
                <w:szCs w:val="21"/>
                <w:u w:val="none"/>
                <w:lang w:val="en-US" w:eastAsia="zh-CN" w:bidi="ar"/>
              </w:rPr>
              <w:t xml:space="preserve">    水土保持措施布局表</w:t>
            </w:r>
          </w:p>
          <w:tbl>
            <w:tblPr>
              <w:tblStyle w:val="30"/>
              <w:tblW w:w="45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2291"/>
              <w:gridCol w:w="2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42" w:type="pct"/>
                  <w:shd w:val="clear" w:color="auto" w:fill="auto"/>
                  <w:noWrap/>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rPr>
                  </w:pPr>
                  <w:r>
                    <w:rPr>
                      <w:rFonts w:hint="eastAsia" w:ascii="仿宋" w:hAnsi="仿宋" w:eastAsia="仿宋" w:cs="仿宋"/>
                      <w:sz w:val="21"/>
                      <w:szCs w:val="21"/>
                    </w:rPr>
                    <w:t>防治分区</w:t>
                  </w:r>
                </w:p>
              </w:tc>
              <w:tc>
                <w:tcPr>
                  <w:tcW w:w="1516" w:type="pct"/>
                  <w:shd w:val="clear" w:color="auto" w:fill="auto"/>
                  <w:noWrap/>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rPr>
                  </w:pPr>
                  <w:r>
                    <w:rPr>
                      <w:rFonts w:hint="eastAsia" w:ascii="仿宋" w:hAnsi="仿宋" w:eastAsia="仿宋" w:cs="仿宋"/>
                      <w:sz w:val="21"/>
                      <w:szCs w:val="21"/>
                    </w:rPr>
                    <w:t>措施类别</w:t>
                  </w:r>
                </w:p>
              </w:tc>
              <w:tc>
                <w:tcPr>
                  <w:tcW w:w="1940" w:type="pct"/>
                  <w:shd w:val="clear" w:color="auto" w:fill="auto"/>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rPr>
                  </w:pPr>
                  <w:r>
                    <w:rPr>
                      <w:rFonts w:hint="eastAsia" w:ascii="仿宋" w:hAnsi="仿宋" w:eastAsia="仿宋" w:cs="仿宋"/>
                      <w:sz w:val="21"/>
                      <w:szCs w:val="21"/>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42" w:type="pct"/>
                  <w:vMerge w:val="restart"/>
                  <w:shd w:val="clear" w:color="auto" w:fill="auto"/>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堤防工程区</w:t>
                  </w:r>
                </w:p>
              </w:tc>
              <w:tc>
                <w:tcPr>
                  <w:tcW w:w="1516" w:type="pct"/>
                  <w:vMerge w:val="restart"/>
                  <w:shd w:val="clear" w:color="auto" w:fill="auto"/>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rPr>
                  </w:pPr>
                  <w:r>
                    <w:rPr>
                      <w:rFonts w:hint="eastAsia" w:ascii="仿宋" w:hAnsi="仿宋" w:eastAsia="仿宋" w:cs="仿宋"/>
                      <w:sz w:val="21"/>
                      <w:szCs w:val="21"/>
                    </w:rPr>
                    <w:t>工程措施</w:t>
                  </w:r>
                </w:p>
              </w:tc>
              <w:tc>
                <w:tcPr>
                  <w:tcW w:w="1940" w:type="pct"/>
                  <w:shd w:val="clear" w:color="auto" w:fill="auto"/>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rPr>
                    <w:t>表土剥离</w:t>
                  </w:r>
                  <w:r>
                    <w:rPr>
                      <w:rFonts w:hint="eastAsia" w:ascii="仿宋" w:hAnsi="仿宋" w:eastAsia="仿宋" w:cs="仿宋"/>
                      <w:sz w:val="21"/>
                      <w:szCs w:val="21"/>
                      <w:lang w:eastAsia="zh-CN"/>
                    </w:rPr>
                    <w:t>，</w:t>
                  </w:r>
                  <w:r>
                    <w:rPr>
                      <w:rFonts w:hint="eastAsia" w:ascii="仿宋" w:hAnsi="仿宋" w:eastAsia="仿宋" w:cs="仿宋"/>
                      <w:sz w:val="21"/>
                      <w:szCs w:val="21"/>
                    </w:rPr>
                    <w:t>表土回覆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42" w:type="pct"/>
                  <w:vMerge w:val="continue"/>
                  <w:shd w:val="clear" w:color="auto" w:fill="auto"/>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lang w:val="en-US" w:eastAsia="zh-CN"/>
                    </w:rPr>
                  </w:pPr>
                </w:p>
              </w:tc>
              <w:tc>
                <w:tcPr>
                  <w:tcW w:w="1516" w:type="pct"/>
                  <w:vMerge w:val="continue"/>
                  <w:shd w:val="clear" w:color="auto" w:fill="auto"/>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lang w:val="en-US" w:eastAsia="zh-CN"/>
                    </w:rPr>
                  </w:pPr>
                </w:p>
              </w:tc>
              <w:tc>
                <w:tcPr>
                  <w:tcW w:w="1940" w:type="pct"/>
                  <w:shd w:val="clear" w:color="auto" w:fill="auto"/>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排水沟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42" w:type="pct"/>
                  <w:vMerge w:val="continue"/>
                  <w:shd w:val="clear" w:color="auto" w:fill="auto"/>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lang w:val="en-US" w:eastAsia="zh-CN"/>
                    </w:rPr>
                  </w:pPr>
                </w:p>
              </w:tc>
              <w:tc>
                <w:tcPr>
                  <w:tcW w:w="1516" w:type="pct"/>
                  <w:vMerge w:val="continue"/>
                  <w:shd w:val="clear" w:color="auto" w:fill="auto"/>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lang w:val="en-US" w:eastAsia="zh-CN"/>
                    </w:rPr>
                  </w:pPr>
                </w:p>
              </w:tc>
              <w:tc>
                <w:tcPr>
                  <w:tcW w:w="1940" w:type="pct"/>
                  <w:shd w:val="clear" w:color="auto" w:fill="auto"/>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沉沙池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42" w:type="pct"/>
                  <w:vMerge w:val="continue"/>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rPr>
                  </w:pPr>
                </w:p>
              </w:tc>
              <w:tc>
                <w:tcPr>
                  <w:tcW w:w="1516" w:type="pct"/>
                  <w:shd w:val="clear" w:color="auto" w:fill="auto"/>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rPr>
                  </w:pPr>
                  <w:r>
                    <w:rPr>
                      <w:rFonts w:hint="eastAsia" w:ascii="仿宋" w:hAnsi="仿宋" w:eastAsia="仿宋" w:cs="仿宋"/>
                      <w:sz w:val="21"/>
                      <w:szCs w:val="21"/>
                    </w:rPr>
                    <w:t>植物措施</w:t>
                  </w:r>
                </w:p>
              </w:tc>
              <w:tc>
                <w:tcPr>
                  <w:tcW w:w="1940" w:type="pct"/>
                  <w:shd w:val="clear" w:color="auto" w:fill="auto"/>
                  <w:noWrap/>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rPr>
                  </w:pPr>
                  <w:r>
                    <w:rPr>
                      <w:rFonts w:hint="eastAsia" w:ascii="仿宋" w:hAnsi="仿宋" w:eastAsia="仿宋" w:cs="仿宋"/>
                      <w:sz w:val="21"/>
                      <w:szCs w:val="21"/>
                      <w:lang w:eastAsia="zh-CN"/>
                    </w:rPr>
                    <w:t>种</w:t>
                  </w:r>
                  <w:r>
                    <w:rPr>
                      <w:rFonts w:hint="eastAsia" w:ascii="仿宋" w:hAnsi="仿宋" w:eastAsia="仿宋" w:cs="仿宋"/>
                      <w:sz w:val="21"/>
                      <w:szCs w:val="21"/>
                    </w:rPr>
                    <w:t>草护坡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42" w:type="pct"/>
                  <w:vMerge w:val="continue"/>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rPr>
                  </w:pPr>
                </w:p>
              </w:tc>
              <w:tc>
                <w:tcPr>
                  <w:tcW w:w="1516" w:type="pct"/>
                  <w:shd w:val="clear" w:color="auto" w:fill="auto"/>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rPr>
                  </w:pPr>
                  <w:r>
                    <w:rPr>
                      <w:rFonts w:hint="eastAsia" w:ascii="仿宋" w:hAnsi="仿宋" w:eastAsia="仿宋" w:cs="仿宋"/>
                      <w:sz w:val="21"/>
                      <w:szCs w:val="21"/>
                    </w:rPr>
                    <w:t>临时措施</w:t>
                  </w:r>
                </w:p>
              </w:tc>
              <w:tc>
                <w:tcPr>
                  <w:tcW w:w="1940" w:type="pct"/>
                  <w:shd w:val="clear" w:color="auto" w:fill="auto"/>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密目网</w:t>
                  </w:r>
                  <w:r>
                    <w:rPr>
                      <w:rFonts w:hint="eastAsia" w:ascii="仿宋" w:hAnsi="仿宋" w:eastAsia="仿宋" w:cs="仿宋"/>
                      <w:sz w:val="21"/>
                      <w:szCs w:val="21"/>
                    </w:rPr>
                    <w:t>遮盖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42" w:type="pct"/>
                  <w:vMerge w:val="restart"/>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施工生产区</w:t>
                  </w:r>
                </w:p>
              </w:tc>
              <w:tc>
                <w:tcPr>
                  <w:tcW w:w="1516" w:type="pct"/>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工程措施</w:t>
                  </w:r>
                </w:p>
              </w:tc>
              <w:tc>
                <w:tcPr>
                  <w:tcW w:w="1940" w:type="pct"/>
                  <w:shd w:val="clear" w:color="auto" w:fill="auto"/>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rPr>
                    <w:t>表土剥离</w:t>
                  </w:r>
                  <w:r>
                    <w:rPr>
                      <w:rFonts w:hint="eastAsia" w:ascii="仿宋" w:hAnsi="仿宋" w:eastAsia="仿宋" w:cs="仿宋"/>
                      <w:sz w:val="21"/>
                      <w:szCs w:val="21"/>
                      <w:lang w:eastAsia="zh-CN"/>
                    </w:rPr>
                    <w:t>，</w:t>
                  </w:r>
                  <w:r>
                    <w:rPr>
                      <w:rFonts w:hint="eastAsia" w:ascii="仿宋" w:hAnsi="仿宋" w:eastAsia="仿宋" w:cs="仿宋"/>
                      <w:sz w:val="21"/>
                      <w:szCs w:val="21"/>
                    </w:rPr>
                    <w:t>表土回覆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42" w:type="pct"/>
                  <w:vMerge w:val="continue"/>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lang w:val="en-US" w:eastAsia="zh-CN"/>
                    </w:rPr>
                  </w:pPr>
                </w:p>
              </w:tc>
              <w:tc>
                <w:tcPr>
                  <w:tcW w:w="1516" w:type="pct"/>
                  <w:vMerge w:val="restart"/>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临时措施</w:t>
                  </w:r>
                </w:p>
              </w:tc>
              <w:tc>
                <w:tcPr>
                  <w:tcW w:w="1940" w:type="pct"/>
                  <w:shd w:val="clear" w:color="auto" w:fill="auto"/>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临时排水沟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42" w:type="pct"/>
                  <w:vMerge w:val="continue"/>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lang w:val="en-US" w:eastAsia="zh-CN"/>
                    </w:rPr>
                  </w:pPr>
                </w:p>
              </w:tc>
              <w:tc>
                <w:tcPr>
                  <w:tcW w:w="1516" w:type="pct"/>
                  <w:vMerge w:val="continue"/>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lang w:val="en-US" w:eastAsia="zh-CN"/>
                    </w:rPr>
                  </w:pPr>
                </w:p>
              </w:tc>
              <w:tc>
                <w:tcPr>
                  <w:tcW w:w="1940" w:type="pct"/>
                  <w:shd w:val="clear" w:color="auto" w:fill="auto"/>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临时沉砂池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42" w:type="pct"/>
                  <w:vMerge w:val="restart"/>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临时堆土场区</w:t>
                  </w:r>
                </w:p>
              </w:tc>
              <w:tc>
                <w:tcPr>
                  <w:tcW w:w="1516" w:type="pct"/>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rPr>
                    <w:t>工程措施</w:t>
                  </w:r>
                </w:p>
              </w:tc>
              <w:tc>
                <w:tcPr>
                  <w:tcW w:w="1940" w:type="pct"/>
                  <w:shd w:val="clear" w:color="auto" w:fill="auto"/>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rPr>
                    <w:t>表土剥离</w:t>
                  </w:r>
                  <w:r>
                    <w:rPr>
                      <w:rFonts w:hint="eastAsia" w:ascii="仿宋" w:hAnsi="仿宋" w:eastAsia="仿宋" w:cs="仿宋"/>
                      <w:sz w:val="21"/>
                      <w:szCs w:val="21"/>
                      <w:lang w:eastAsia="zh-CN"/>
                    </w:rPr>
                    <w:t>，</w:t>
                  </w:r>
                  <w:r>
                    <w:rPr>
                      <w:rFonts w:hint="eastAsia" w:ascii="仿宋" w:hAnsi="仿宋" w:eastAsia="仿宋" w:cs="仿宋"/>
                      <w:sz w:val="21"/>
                      <w:szCs w:val="21"/>
                    </w:rPr>
                    <w:t>表土回覆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42" w:type="pct"/>
                  <w:vMerge w:val="continue"/>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rPr>
                  </w:pPr>
                </w:p>
              </w:tc>
              <w:tc>
                <w:tcPr>
                  <w:tcW w:w="1516" w:type="pct"/>
                  <w:vMerge w:val="restart"/>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临时措施</w:t>
                  </w:r>
                </w:p>
              </w:tc>
              <w:tc>
                <w:tcPr>
                  <w:tcW w:w="1940" w:type="pct"/>
                  <w:shd w:val="clear" w:color="auto" w:fill="auto"/>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临时排水沟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42" w:type="pct"/>
                  <w:vMerge w:val="continue"/>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rPr>
                  </w:pPr>
                </w:p>
              </w:tc>
              <w:tc>
                <w:tcPr>
                  <w:tcW w:w="1516" w:type="pct"/>
                  <w:vMerge w:val="continue"/>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rPr>
                  </w:pPr>
                </w:p>
              </w:tc>
              <w:tc>
                <w:tcPr>
                  <w:tcW w:w="1940" w:type="pct"/>
                  <w:shd w:val="clear" w:color="auto" w:fill="auto"/>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临时沉砂池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42" w:type="pct"/>
                  <w:vMerge w:val="continue"/>
                  <w:shd w:val="clear" w:color="auto" w:fill="auto"/>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lang w:eastAsia="zh-CN"/>
                    </w:rPr>
                  </w:pPr>
                </w:p>
              </w:tc>
              <w:tc>
                <w:tcPr>
                  <w:tcW w:w="1516" w:type="pct"/>
                  <w:vMerge w:val="continue"/>
                  <w:shd w:val="clear" w:color="auto" w:fill="auto"/>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rPr>
                  </w:pPr>
                </w:p>
              </w:tc>
              <w:tc>
                <w:tcPr>
                  <w:tcW w:w="1940" w:type="pct"/>
                  <w:shd w:val="clear" w:color="auto" w:fill="auto"/>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土袋拦挡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42" w:type="pct"/>
                  <w:vMerge w:val="continue"/>
                  <w:shd w:val="clear" w:color="auto" w:fill="auto"/>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lang w:eastAsia="zh-CN"/>
                    </w:rPr>
                  </w:pPr>
                </w:p>
              </w:tc>
              <w:tc>
                <w:tcPr>
                  <w:tcW w:w="1516" w:type="pct"/>
                  <w:vMerge w:val="continue"/>
                  <w:shd w:val="clear" w:color="auto" w:fill="auto"/>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rPr>
                  </w:pPr>
                </w:p>
              </w:tc>
              <w:tc>
                <w:tcPr>
                  <w:tcW w:w="1940" w:type="pct"/>
                  <w:shd w:val="clear" w:color="auto" w:fill="auto"/>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密目网</w:t>
                  </w:r>
                  <w:r>
                    <w:rPr>
                      <w:rFonts w:hint="eastAsia" w:ascii="仿宋" w:hAnsi="仿宋" w:eastAsia="仿宋" w:cs="仿宋"/>
                      <w:sz w:val="21"/>
                      <w:szCs w:val="21"/>
                    </w:rPr>
                    <w:t>遮盖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42" w:type="pct"/>
                  <w:vMerge w:val="restart"/>
                  <w:shd w:val="clear" w:color="auto" w:fill="auto"/>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施工道路区</w:t>
                  </w:r>
                </w:p>
              </w:tc>
              <w:tc>
                <w:tcPr>
                  <w:tcW w:w="1516" w:type="pct"/>
                  <w:shd w:val="clear" w:color="auto" w:fill="auto"/>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rPr>
                    <w:t>工程措施</w:t>
                  </w:r>
                </w:p>
              </w:tc>
              <w:tc>
                <w:tcPr>
                  <w:tcW w:w="1940" w:type="pct"/>
                  <w:shd w:val="clear" w:color="auto" w:fill="auto"/>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rPr>
                    <w:t>表土剥离</w:t>
                  </w:r>
                  <w:r>
                    <w:rPr>
                      <w:rFonts w:hint="eastAsia" w:ascii="仿宋" w:hAnsi="仿宋" w:eastAsia="仿宋" w:cs="仿宋"/>
                      <w:sz w:val="21"/>
                      <w:szCs w:val="21"/>
                      <w:lang w:eastAsia="zh-CN"/>
                    </w:rPr>
                    <w:t>，</w:t>
                  </w:r>
                  <w:r>
                    <w:rPr>
                      <w:rFonts w:hint="eastAsia" w:ascii="仿宋" w:hAnsi="仿宋" w:eastAsia="仿宋" w:cs="仿宋"/>
                      <w:sz w:val="21"/>
                      <w:szCs w:val="21"/>
                    </w:rPr>
                    <w:t>表土回覆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42" w:type="pct"/>
                  <w:vMerge w:val="continue"/>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rPr>
                  </w:pPr>
                </w:p>
              </w:tc>
              <w:tc>
                <w:tcPr>
                  <w:tcW w:w="1516" w:type="pct"/>
                  <w:vMerge w:val="restart"/>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临时措施</w:t>
                  </w:r>
                </w:p>
              </w:tc>
              <w:tc>
                <w:tcPr>
                  <w:tcW w:w="1940" w:type="pct"/>
                  <w:shd w:val="clear" w:color="auto" w:fill="auto"/>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临时排水沟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42" w:type="pct"/>
                  <w:vMerge w:val="continue"/>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rPr>
                  </w:pPr>
                </w:p>
              </w:tc>
              <w:tc>
                <w:tcPr>
                  <w:tcW w:w="1516" w:type="pct"/>
                  <w:vMerge w:val="continue"/>
                  <w:shd w:val="clear" w:color="auto" w:fill="auto"/>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sz w:val="21"/>
                      <w:szCs w:val="21"/>
                    </w:rPr>
                  </w:pPr>
                </w:p>
              </w:tc>
              <w:tc>
                <w:tcPr>
                  <w:tcW w:w="1940" w:type="pct"/>
                  <w:shd w:val="clear" w:color="auto" w:fill="auto"/>
                  <w:vAlign w:val="center"/>
                </w:tcPr>
                <w:p>
                  <w:pPr>
                    <w:pStyle w:val="7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临时沉砂池</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3</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野生动物保护措施</w:t>
            </w:r>
          </w:p>
          <w:p>
            <w:pPr>
              <w:spacing w:line="360" w:lineRule="auto"/>
              <w:ind w:firstLine="480" w:firstLineChars="200"/>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要减少工程建设对野生动物的影响</w:t>
            </w:r>
          </w:p>
          <w:p>
            <w:pPr>
              <w:spacing w:line="360" w:lineRule="auto"/>
              <w:ind w:firstLine="480" w:firstLineChars="200"/>
              <w:rPr>
                <w:rFonts w:hint="eastAsia"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rPr>
              <w:t>一是要减少对动物栖息地破坏的影响。要合理规划和施工设计，严格控制， 把永久占地控制在最合理、最小的范围内；二是减免污染控制，主要从施工设计和管理入手。</w:t>
            </w:r>
            <w:r>
              <w:rPr>
                <w:rFonts w:hint="eastAsia" w:ascii="Times New Roman" w:hAnsi="Times New Roman" w:eastAsia="宋体" w:cs="Times New Roman"/>
                <w:color w:val="000000"/>
                <w:sz w:val="24"/>
                <w:szCs w:val="24"/>
                <w:lang w:eastAsia="zh-CN"/>
              </w:rPr>
              <w:t>项目施工过程中不得外排废水</w:t>
            </w:r>
            <w:r>
              <w:rPr>
                <w:rFonts w:hint="eastAsia" w:ascii="Times New Roman" w:hAnsi="Times New Roman" w:eastAsia="宋体" w:cs="Times New Roman"/>
                <w:color w:val="000000"/>
                <w:sz w:val="24"/>
                <w:szCs w:val="24"/>
                <w:lang w:val="en-US" w:eastAsia="zh-CN"/>
              </w:rPr>
              <w:t>至</w:t>
            </w:r>
            <w:r>
              <w:rPr>
                <w:rFonts w:hint="eastAsia" w:ascii="Times New Roman" w:hAnsi="Times New Roman" w:eastAsia="宋体" w:cs="Times New Roman"/>
                <w:color w:val="000000"/>
                <w:sz w:val="24"/>
                <w:szCs w:val="24"/>
                <w:lang w:eastAsia="zh-CN"/>
              </w:rPr>
              <w:t>河道。</w:t>
            </w:r>
            <w:r>
              <w:rPr>
                <w:rFonts w:hint="default" w:ascii="Times New Roman" w:hAnsi="Times New Roman" w:eastAsia="宋体" w:cs="Times New Roman"/>
                <w:color w:val="000000"/>
                <w:sz w:val="24"/>
                <w:szCs w:val="24"/>
              </w:rPr>
              <w:t>弃渣</w:t>
            </w:r>
            <w:r>
              <w:rPr>
                <w:rFonts w:hint="eastAsia" w:ascii="Times New Roman" w:hAnsi="Times New Roman" w:eastAsia="宋体" w:cs="Times New Roman"/>
                <w:color w:val="000000"/>
                <w:sz w:val="24"/>
                <w:szCs w:val="24"/>
                <w:lang w:eastAsia="zh-CN"/>
              </w:rPr>
              <w:t>妥善处置</w:t>
            </w:r>
            <w:r>
              <w:rPr>
                <w:rFonts w:hint="default" w:ascii="Times New Roman" w:hAnsi="Times New Roman" w:eastAsia="宋体" w:cs="Times New Roman"/>
                <w:color w:val="000000"/>
                <w:sz w:val="24"/>
                <w:szCs w:val="24"/>
              </w:rPr>
              <w:t>并进行水土保持，废气和噪声达标排放。设计单位要设计有效的环保措施，施工单位必须严格按照国家规定对各种废弃物进行及时妥善的处理，避免对评价区的环境和水体造成较大污染；三是要禁止人为猎捕，大力宣传</w:t>
            </w:r>
            <w:r>
              <w:rPr>
                <w:rFonts w:hint="eastAsia" w:ascii="Times New Roman" w:hAnsi="Times New Roman" w:eastAsia="宋体" w:cs="Times New Roman"/>
                <w:color w:val="000000"/>
                <w:sz w:val="24"/>
                <w:szCs w:val="24"/>
                <w:lang w:eastAsia="zh-CN"/>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森林法》、《野生动物保护法》、《中华人民共和国自然保护区条例》、《四川省自然保护区管理条例》、《陆生野生动物保护条例》、《水生野生动物保护条例》、《森林防火条例》等相关法律法规，提高施工和管理人员的保护意识， 强化工程施工期间工作人员保护区内的野生动物和植物的自觉性。</w:t>
            </w:r>
          </w:p>
          <w:p>
            <w:pPr>
              <w:spacing w:line="360" w:lineRule="auto"/>
              <w:ind w:firstLine="480" w:firstLineChars="200"/>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调整工程施工时段和方式，减少对动物的影响</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野生鸟类和哺乳动物大多在晨、昏（早晨、黄昏）或夜间外出觅食，正午是鸟类休息时间。为了减少工程施工开挖噪声对野生动物的惊扰，应做好开挖方式、数量、时间的计划，并力求避免在晨昏和正午开挖等。采取措施降低施工机械噪声，如尽可能用多孔性吸声材料建立隔声屏障等。在大多数动物的发情期和繁殖期（春季），减少噪音、施工强度和范围。</w:t>
            </w:r>
          </w:p>
          <w:p>
            <w:pPr>
              <w:spacing w:line="360" w:lineRule="auto"/>
              <w:ind w:firstLine="480" w:firstLineChars="200"/>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对野生动物造成的隔离影响应采取的减缓措施</w:t>
            </w:r>
          </w:p>
          <w:p>
            <w:pPr>
              <w:spacing w:line="360" w:lineRule="auto"/>
              <w:ind w:firstLine="480" w:firstLineChars="200"/>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①</w:t>
            </w:r>
            <w:r>
              <w:rPr>
                <w:rFonts w:hint="default" w:ascii="Times New Roman" w:hAnsi="Times New Roman" w:eastAsia="宋体" w:cs="Times New Roman"/>
                <w:color w:val="000000"/>
                <w:sz w:val="24"/>
                <w:szCs w:val="24"/>
              </w:rPr>
              <w:t>在动物活动频繁区域，设置宣传牌，提高过往人员的保护意识等；</w:t>
            </w:r>
            <w:r>
              <w:rPr>
                <w:rFonts w:hint="eastAsia" w:ascii="Times New Roman" w:hAnsi="Times New Roman" w:eastAsia="宋体" w:cs="Times New Roman"/>
                <w:color w:val="000000"/>
                <w:sz w:val="24"/>
                <w:szCs w:val="24"/>
              </w:rPr>
              <w:t>②</w:t>
            </w:r>
            <w:r>
              <w:rPr>
                <w:rFonts w:hint="default" w:ascii="Times New Roman" w:hAnsi="Times New Roman" w:eastAsia="宋体" w:cs="Times New Roman"/>
                <w:color w:val="000000"/>
                <w:sz w:val="24"/>
                <w:szCs w:val="24"/>
              </w:rPr>
              <w:t>在施工期采用噪音较小的施工设备，减少工程建设产生的噪音。</w:t>
            </w:r>
          </w:p>
          <w:p>
            <w:pPr>
              <w:spacing w:line="360" w:lineRule="auto"/>
              <w:ind w:firstLine="480" w:firstLineChars="200"/>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对两栖、爬行动物的保护措施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①两栖类栖息生境和水有密切关系，在施工中，要尽量保护水体安全，挖方需运输到流域外堆放，以免在夏季暴雨时造成水土流失，使水体混浊、含氧量下降。在暴雨季节和繁殖季节停止施工。</w:t>
            </w:r>
          </w:p>
          <w:p>
            <w:pPr>
              <w:tabs>
                <w:tab w:val="left" w:pos="6930"/>
              </w:tabs>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②加强施工人员教育、不得人为损伤两栖类和爬行类动物。在两栖类繁殖季节，应注意避免碾压两栖类幼体。在夏季雨后初晴的早上和傍晚停止施工，停止运输，以免大量碾压两栖类。</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③施工中不得将废弃物倒入河道，以免污染水源、侵占两栖类栖息地；避免机械漏油事件发生，并制定预案，及时处置该类意外事件。建专用施工废水排放沉淀池，施工废水排入沉淀池经沉淀和必要的处理后，回用或植被恢复时用于浇灌，不能外排。</w:t>
            </w:r>
          </w:p>
          <w:p>
            <w:pPr>
              <w:spacing w:line="360" w:lineRule="auto"/>
              <w:ind w:firstLine="480" w:firstLineChars="200"/>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5）</w:t>
            </w:r>
            <w:r>
              <w:rPr>
                <w:rFonts w:hint="default" w:ascii="Times New Roman" w:hAnsi="Times New Roman" w:eastAsia="宋体" w:cs="Times New Roman"/>
                <w:color w:val="000000"/>
                <w:sz w:val="24"/>
                <w:szCs w:val="24"/>
              </w:rPr>
              <w:t>对鸟类的保护措施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①开工前要加强对施工人员的教育，严禁偷猎和伤害鸟类，严禁破坏鸟巢、鸟卵。</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②加强车辆管理与维护，降低施工机械、运输车辆产生的噪音，减少对周边区域鸟类惊扰。</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③对工程废物和施工人员的生活垃圾进行快速处理，对于生活污水和机械油污等不同类型的液体污染物应分别储存和处理，严禁随意排放，杜绝鸟类栖息地受到污染。</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④施工过程中禁止使用地表爆破，尽量减少大范围噪声对鸟类活动的干扰。</w:t>
            </w:r>
          </w:p>
          <w:p>
            <w:pPr>
              <w:spacing w:line="360" w:lineRule="auto"/>
              <w:ind w:firstLine="480" w:firstLineChars="200"/>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6）</w:t>
            </w:r>
            <w:r>
              <w:rPr>
                <w:rFonts w:hint="default" w:ascii="Times New Roman" w:hAnsi="Times New Roman" w:eastAsia="宋体" w:cs="Times New Roman"/>
                <w:color w:val="000000"/>
                <w:sz w:val="24"/>
                <w:szCs w:val="24"/>
              </w:rPr>
              <w:t>对兽类的保护措施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①加强宣传教育，方法同鸟类。</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②严禁猎捕保护区的兽类，禁止施工人员对具有经济价值和较高观赏价值兽类的捕捉。</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③施工期间的施工活动应尽量远离实际的兽类迁移路径，施工便道的设置尽量避免与这些迁徙路径重叠或交叉，在该路径附近设立标志牌以示众人，保护动物迁移路径禁止一切施工和人为活动，在施工结束后方可拆去标志牌。</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④对工程废物和施工人员的生活垃圾进行快速处理，尽量避免生活垃圾为鼠类等疫源性兽类提供生活环境，避免疫源性兽类种群爆发。对于生活污水和机械油污等不同类型的液体污染物应分别储存和处理，严禁随意排放，杜绝兽类栖息地受到污染。</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⑤对于机械噪声较大的工程的工程，保护措施同鸟类。</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除上述对鸟兽的保护措施以外，应建立影响监测体系，以利于改进和优化保护措施。施工中尽量减少噪声干扰，通过减少机械噪声和禁止车辆鸣笛等措施避免对野生动物产生惊扰。另外，需要配备必要的生态监测设备和人员，监测评价区内野生动物的活动踪迹及种群数量变化情况，以便科学分析、评价各工程建设对野生动物的影响程度，利于采取针对性的保护管理措施。</w:t>
            </w:r>
          </w:p>
          <w:p>
            <w:pPr>
              <w:spacing w:line="360" w:lineRule="auto"/>
              <w:ind w:firstLine="480" w:firstLineChars="200"/>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7）</w:t>
            </w:r>
            <w:r>
              <w:rPr>
                <w:rFonts w:hint="default" w:ascii="Times New Roman" w:hAnsi="Times New Roman" w:eastAsia="宋体" w:cs="Times New Roman"/>
                <w:color w:val="000000"/>
                <w:sz w:val="24"/>
                <w:szCs w:val="24"/>
              </w:rPr>
              <w:t>鱼类的保护措施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施工过程中对水体扰动较大，特别要加强对鱼类的保护：</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①施工方案中有关施工工艺将对周围环境造成污染，要求在施工方案中明确要求采取相应措施，禁止将泥浆污水流入河体，造成水污染。严禁往河流倾倒弃方和生活垃圾，强化施工人员环境教育， 确保各项环境保护措施得到具体实施。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②设置沉淀池，不得</w:t>
            </w:r>
            <w:r>
              <w:rPr>
                <w:rFonts w:hint="eastAsia" w:ascii="Times New Roman" w:hAnsi="Times New Roman" w:eastAsia="宋体" w:cs="Times New Roman"/>
                <w:color w:val="000000"/>
                <w:sz w:val="24"/>
                <w:szCs w:val="24"/>
                <w:lang w:eastAsia="zh-CN"/>
              </w:rPr>
              <w:t>泥浆废水</w:t>
            </w:r>
            <w:r>
              <w:rPr>
                <w:rFonts w:hint="default" w:ascii="Times New Roman" w:hAnsi="Times New Roman" w:eastAsia="宋体" w:cs="Times New Roman"/>
                <w:color w:val="000000"/>
                <w:sz w:val="24"/>
                <w:szCs w:val="24"/>
              </w:rPr>
              <w:t>直接排入河水或河道中。</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③施工现场应设置临时厕所，以防粪便侵入河体污染河水。</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④混凝土浇筑时应做好防护措施，防止混凝土落入周边水体，不得任意扩大开挖范围，将影响范围控制在最小。</w:t>
            </w:r>
          </w:p>
          <w:p>
            <w:pPr>
              <w:spacing w:line="360" w:lineRule="auto"/>
              <w:ind w:firstLine="480" w:firstLineChars="200"/>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8）</w:t>
            </w:r>
            <w:r>
              <w:rPr>
                <w:rFonts w:hint="default" w:ascii="Times New Roman" w:hAnsi="Times New Roman" w:eastAsia="宋体" w:cs="Times New Roman"/>
                <w:color w:val="000000"/>
                <w:sz w:val="24"/>
                <w:szCs w:val="24"/>
              </w:rPr>
              <w:t>开展外来物种入侵防治</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立快速有效的早期预警监测体系，完善外来物种信息库，加强检疫，截获有害外来物种，进行对外来入侵物种的监测和风险评估。及时对入侵的物种进行控制和铲除并建立和完善法制法规。加大科技投入，提高对外来入侵物种的预警、监测和防除的技术水平。</w:t>
            </w:r>
          </w:p>
          <w:p>
            <w:pPr>
              <w:spacing w:line="360" w:lineRule="auto"/>
              <w:ind w:firstLine="480" w:firstLineChars="200"/>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4</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野生植物保护措施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施工期间应严格按照相关法律、法规行事，强化施工队伍的环保意识。要加大宣传的力度，并采取各种宣传方式，如宣传碑、宣传牌等，让工程施工人员了解保护的重要性。应划定最小的施工作业区域，严禁施工人员和器械超出施工区域对工地周边的植被、植物物种造成破坏，不应有其他越界破坏植被的施工活动。严禁施工材料的乱堆乱放、施工垃圾的随意堆放处置，以避免影响植物物种的生长。若在施工过程中，发现疑似国家重点保护植物，要立即报告保护区管理处，由管理处立即组织鉴别，并采取相应措施加以保护。</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施工材料运输、地面开挖等施工活动将产生大量粉尘，粉尘随风四处扩散，附着于植物叶面，对周围植被生境产生不利影响。施工过程中应采取措施从根本上减少粉尘的污染。如：工地应配备洒水车定时洒水，防止粉尘飞扬；水泥等粉料采用封闭式运输。</w:t>
            </w:r>
          </w:p>
          <w:p>
            <w:pPr>
              <w:spacing w:line="360" w:lineRule="auto"/>
              <w:ind w:firstLine="482" w:firstLineChars="200"/>
              <w:rPr>
                <w:rFonts w:hint="default"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lang w:val="en-US" w:eastAsia="zh-CN"/>
              </w:rPr>
              <w:t>3、</w:t>
            </w:r>
            <w:r>
              <w:rPr>
                <w:rFonts w:hint="default" w:ascii="Times New Roman" w:hAnsi="Times New Roman" w:eastAsia="宋体" w:cs="Times New Roman"/>
                <w:b/>
                <w:bCs/>
                <w:color w:val="000000"/>
                <w:sz w:val="24"/>
                <w:szCs w:val="24"/>
              </w:rPr>
              <w:t>生态系统保护措施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优化工程设计，严格划定施工范围，将施工人员活动范围尽量局限在建设工程附近一定范围内，防止对施工范围以外区域的植被造成踩压和破坏。</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采用</w:t>
            </w:r>
            <w:r>
              <w:rPr>
                <w:rFonts w:hint="eastAsia" w:ascii="Times New Roman" w:hAnsi="Times New Roman" w:eastAsia="宋体" w:cs="Times New Roman"/>
                <w:color w:val="000000"/>
                <w:sz w:val="24"/>
                <w:szCs w:val="24"/>
                <w:lang w:eastAsia="zh-CN"/>
              </w:rPr>
              <w:t>初步设计方案</w:t>
            </w:r>
            <w:r>
              <w:rPr>
                <w:rFonts w:hint="default" w:ascii="Times New Roman" w:hAnsi="Times New Roman" w:eastAsia="宋体" w:cs="Times New Roman"/>
                <w:color w:val="000000"/>
                <w:sz w:val="24"/>
                <w:szCs w:val="24"/>
              </w:rPr>
              <w:t>和本报告提出的“环境保护措施”，尽量减轻施工过程对工程附近区域森林、灌丛、湿地等生态系统的环境质量的影响程度。</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建立生态监测系统，监测保护区森林、灌丛生态系统植物群落组成、覆盖率、总生物量、净第一性生产力的变化情况，以便采取有效的措施切实保护生态系统。</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要加强野生动物保护宣传，严格管理施工人员，严禁施工人员捕猎区内鱼类、两栖类、爬行类、鸟类和兽类，尽力维持生态系统的物种结构。</w:t>
            </w:r>
          </w:p>
          <w:p>
            <w:pPr>
              <w:spacing w:line="460" w:lineRule="exact"/>
              <w:ind w:firstLine="482" w:firstLineChars="200"/>
              <w:rPr>
                <w:rFonts w:hint="eastAsia" w:hAnsi="宋体"/>
                <w:b/>
                <w:sz w:val="24"/>
                <w:szCs w:val="24"/>
              </w:rPr>
            </w:pPr>
            <w:r>
              <w:rPr>
                <w:rFonts w:hint="eastAsia" w:hAnsi="宋体"/>
                <w:b/>
                <w:sz w:val="24"/>
                <w:szCs w:val="24"/>
                <w:lang w:val="en-US" w:eastAsia="zh-CN"/>
              </w:rPr>
              <w:t>4、其他</w:t>
            </w:r>
            <w:r>
              <w:rPr>
                <w:rFonts w:hint="eastAsia" w:hAnsi="宋体"/>
                <w:b/>
                <w:sz w:val="24"/>
                <w:szCs w:val="24"/>
              </w:rPr>
              <w:t>生态环境保护及水土保持措施</w:t>
            </w:r>
          </w:p>
          <w:p>
            <w:pPr>
              <w:spacing w:line="460" w:lineRule="exact"/>
              <w:ind w:firstLine="480" w:firstLineChars="200"/>
              <w:rPr>
                <w:rFonts w:hint="eastAsia" w:hAnsi="宋体"/>
                <w:sz w:val="24"/>
                <w:szCs w:val="24"/>
              </w:rPr>
            </w:pPr>
            <w:r>
              <w:rPr>
                <w:rFonts w:hint="eastAsia" w:hAnsi="宋体"/>
                <w:sz w:val="24"/>
                <w:szCs w:val="24"/>
              </w:rPr>
              <w:t xml:space="preserve">①施工期采取尽量少占地，少破坏植被的原则，尽量缩小施工范围，严格按设计控制开挖宽度，禁止超宽作业，施工作业带以外不得破坏树木植被，减少弃土量及水土流失量。提高施工作业效率，缩短施工时间，以免造成土壤与植被的不必要破坏。 </w:t>
            </w:r>
          </w:p>
          <w:p>
            <w:pPr>
              <w:spacing w:line="460" w:lineRule="exact"/>
              <w:ind w:firstLine="480" w:firstLineChars="200"/>
              <w:rPr>
                <w:rFonts w:hint="eastAsia" w:hAnsi="宋体"/>
                <w:sz w:val="24"/>
                <w:szCs w:val="24"/>
              </w:rPr>
            </w:pPr>
            <w:r>
              <w:rPr>
                <w:rFonts w:hint="eastAsia" w:hAnsi="宋体"/>
                <w:sz w:val="24"/>
                <w:szCs w:val="24"/>
              </w:rPr>
              <w:t>②施工作业避开暴雨季节，减少降雨引发的水土流失机率。</w:t>
            </w:r>
          </w:p>
          <w:p>
            <w:pPr>
              <w:spacing w:line="460" w:lineRule="exact"/>
              <w:ind w:firstLine="480" w:firstLineChars="200"/>
              <w:rPr>
                <w:rFonts w:hint="eastAsia" w:hAnsi="宋体"/>
                <w:sz w:val="24"/>
                <w:szCs w:val="24"/>
              </w:rPr>
            </w:pPr>
            <w:r>
              <w:rPr>
                <w:rFonts w:hint="eastAsia" w:hAnsi="宋体"/>
                <w:sz w:val="24"/>
                <w:szCs w:val="24"/>
              </w:rPr>
              <w:t>③</w:t>
            </w:r>
            <w:r>
              <w:rPr>
                <w:rFonts w:hint="eastAsia" w:ascii="宋体" w:hAnsi="宋体"/>
                <w:sz w:val="24"/>
                <w:szCs w:val="24"/>
              </w:rPr>
              <w:t xml:space="preserve">开挖产生的土石方不乱堆乱放和渣土下河、下沟渠，并采取相应的拦挡措施，并及时进行回填，防止水土流失和对地表水水体水质的影响。  </w:t>
            </w:r>
            <w:r>
              <w:rPr>
                <w:rFonts w:hint="eastAsia" w:hAnsi="宋体"/>
                <w:sz w:val="24"/>
                <w:szCs w:val="24"/>
              </w:rPr>
              <w:t xml:space="preserve"> </w:t>
            </w:r>
          </w:p>
          <w:p>
            <w:pPr>
              <w:spacing w:line="460" w:lineRule="exact"/>
              <w:ind w:firstLine="480" w:firstLineChars="200"/>
              <w:rPr>
                <w:rFonts w:hint="eastAsia" w:hAnsi="宋体"/>
                <w:sz w:val="24"/>
                <w:szCs w:val="24"/>
              </w:rPr>
            </w:pPr>
            <w:r>
              <w:rPr>
                <w:rFonts w:hint="eastAsia" w:hAnsi="宋体"/>
                <w:sz w:val="24"/>
                <w:szCs w:val="24"/>
              </w:rPr>
              <w:t>④施工机械、各类原材料等临时堆放处应选择土地相对贫瘠处、荒土地等堆放，施工后应及时恢复地表植被。</w:t>
            </w:r>
          </w:p>
          <w:p>
            <w:pPr>
              <w:autoSpaceDE w:val="0"/>
              <w:autoSpaceDN w:val="0"/>
              <w:adjustRightInd w:val="0"/>
              <w:snapToGrid w:val="0"/>
              <w:spacing w:line="480" w:lineRule="exact"/>
              <w:ind w:firstLine="480" w:firstLineChars="200"/>
              <w:rPr>
                <w:rFonts w:hint="eastAsia" w:ascii="宋体" w:hAnsi="宋体" w:cs="Arial Unicode MS"/>
                <w:kern w:val="0"/>
                <w:sz w:val="24"/>
                <w:szCs w:val="24"/>
              </w:rPr>
            </w:pPr>
            <w:r>
              <w:rPr>
                <w:rFonts w:hint="eastAsia" w:hAnsi="宋体"/>
                <w:sz w:val="24"/>
                <w:szCs w:val="24"/>
              </w:rPr>
              <w:t>⑤</w:t>
            </w:r>
            <w:r>
              <w:rPr>
                <w:rFonts w:hint="eastAsia" w:ascii="宋体" w:hAnsi="宋体" w:cs="Arial Unicode MS"/>
                <w:kern w:val="0"/>
                <w:sz w:val="24"/>
                <w:szCs w:val="24"/>
              </w:rPr>
              <w:t>项目不可避免降雨季节的影响，因此，环境要求</w:t>
            </w:r>
            <w:r>
              <w:rPr>
                <w:rFonts w:ascii="宋体" w:hAnsi="宋体" w:cs="Arial Unicode MS"/>
                <w:kern w:val="0"/>
                <w:sz w:val="24"/>
                <w:szCs w:val="24"/>
              </w:rPr>
              <w:t>开挖的土石方、开挖裸露面时进行了合理的防治措施，缩短土方开挖时间，土石方及时回填、清运</w:t>
            </w:r>
            <w:r>
              <w:rPr>
                <w:rFonts w:hint="eastAsia" w:ascii="宋体" w:hAnsi="宋体" w:cs="Arial Unicode MS"/>
                <w:kern w:val="0"/>
                <w:sz w:val="24"/>
                <w:szCs w:val="24"/>
              </w:rPr>
              <w:t>，并设置初期雨水收集设施或者疏排水设置，防治施工区域水域淤积而影响周边环境</w:t>
            </w:r>
            <w:r>
              <w:rPr>
                <w:rFonts w:ascii="宋体" w:hAnsi="宋体" w:cs="Arial Unicode MS"/>
                <w:kern w:val="0"/>
                <w:sz w:val="24"/>
                <w:szCs w:val="24"/>
              </w:rPr>
              <w:t>。</w:t>
            </w:r>
          </w:p>
          <w:p>
            <w:pPr>
              <w:spacing w:line="360" w:lineRule="auto"/>
              <w:ind w:firstLine="480" w:firstLineChars="200"/>
              <w:rPr>
                <w:rFonts w:hint="eastAsia" w:hAnsi="宋体"/>
                <w:sz w:val="24"/>
                <w:szCs w:val="24"/>
              </w:rPr>
            </w:pPr>
            <w:r>
              <w:rPr>
                <w:rFonts w:hint="eastAsia" w:hAnsi="宋体"/>
                <w:sz w:val="24"/>
                <w:szCs w:val="24"/>
              </w:rPr>
              <w:t xml:space="preserve">⑥加强对施工人员的教育，规范施工人员的行为，爱护花草树木，严禁砍伐、破坏施工区以外的植物和植被，严禁采摘花果。不准乱挖、乱采野生植物。 </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hAnsi="宋体"/>
                <w:sz w:val="24"/>
                <w:szCs w:val="24"/>
              </w:rPr>
            </w:pPr>
            <w:r>
              <w:rPr>
                <w:rFonts w:hint="eastAsia" w:hAnsi="宋体"/>
                <w:sz w:val="24"/>
                <w:szCs w:val="24"/>
              </w:rPr>
              <w:t>⑦必须做好</w:t>
            </w:r>
            <w:r>
              <w:rPr>
                <w:rFonts w:hint="eastAsia"/>
                <w:sz w:val="24"/>
                <w:szCs w:val="24"/>
              </w:rPr>
              <w:t>临时施工占地的迹地恢复措施。</w:t>
            </w:r>
            <w:r>
              <w:rPr>
                <w:rFonts w:hint="eastAsia" w:hAnsi="宋体"/>
                <w:sz w:val="24"/>
                <w:szCs w:val="24"/>
              </w:rPr>
              <w:t>工程完工后及时恢复全线施工迹地，立即恢复沿线的植被和地貌。施工完后需要立即拆除临时设施，妥善清理建筑垃圾，对作业区外缘被破坏的植被进行复种，对施工临时占用的农田耕地进行复垦，恢复临时占地的原有土地功能。</w:t>
            </w:r>
          </w:p>
          <w:p>
            <w:pPr>
              <w:pStyle w:val="8"/>
              <w:keepNext w:val="0"/>
              <w:keepLines w:val="0"/>
              <w:pageBreakBefore w:val="0"/>
              <w:kinsoku/>
              <w:wordWrap/>
              <w:overflowPunct/>
              <w:topLinePunct w:val="0"/>
              <w:autoSpaceDE/>
              <w:autoSpaceDN/>
              <w:bidi w:val="0"/>
              <w:adjustRightInd w:val="0"/>
              <w:snapToGrid w:val="0"/>
              <w:spacing w:before="0" w:after="0" w:line="360" w:lineRule="auto"/>
              <w:ind w:leftChars="0" w:right="0" w:righ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sz w:val="24"/>
                <w:szCs w:val="24"/>
              </w:rPr>
              <w:t>⑧</w:t>
            </w:r>
            <w:r>
              <w:rPr>
                <w:rFonts w:hint="eastAsia" w:hAnsi="宋体"/>
                <w:sz w:val="24"/>
                <w:szCs w:val="24"/>
              </w:rPr>
              <w:t>施工结束后，应按国务院的《土地复垦规定》复垦。凡受到施工车辆、机械破坏的地方都要及时整理，恢复原貌，将施工期对生态环境的影响降到最低程度</w:t>
            </w:r>
          </w:p>
          <w:p>
            <w:pPr>
              <w:pStyle w:val="18"/>
              <w:widowControl w:val="0"/>
              <w:numPr>
                <w:ilvl w:val="0"/>
                <w:numId w:val="0"/>
              </w:numPr>
              <w:jc w:val="both"/>
              <w:rPr>
                <w:rFonts w:hint="eastAsia"/>
                <w:sz w:val="24"/>
                <w:szCs w:val="24"/>
                <w:lang w:val="en-US" w:eastAsia="zh-CN"/>
              </w:rPr>
            </w:pPr>
          </w:p>
          <w:p>
            <w:pPr>
              <w:pStyle w:val="65"/>
              <w:keepNext w:val="0"/>
              <w:keepLines w:val="0"/>
              <w:pageBreakBefore w:val="0"/>
              <w:kinsoku/>
              <w:wordWrap/>
              <w:overflowPunct/>
              <w:topLinePunct w:val="0"/>
              <w:autoSpaceDE/>
              <w:autoSpaceDN/>
              <w:bidi w:val="0"/>
              <w:adjustRightIn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二）施工期其它要素</w:t>
            </w:r>
            <w:r>
              <w:rPr>
                <w:rFonts w:hint="default" w:ascii="Times New Roman" w:hAnsi="Times New Roman" w:eastAsia="宋体" w:cs="Times New Roman"/>
                <w:b/>
                <w:bCs/>
                <w:sz w:val="24"/>
                <w:szCs w:val="24"/>
                <w:lang w:val="en-US" w:eastAsia="zh-CN"/>
              </w:rPr>
              <w:t>环境保护措施</w:t>
            </w:r>
          </w:p>
          <w:p>
            <w:pPr>
              <w:pStyle w:val="8"/>
              <w:keepNext w:val="0"/>
              <w:keepLines w:val="0"/>
              <w:pageBreakBefore w:val="0"/>
              <w:numPr>
                <w:ilvl w:val="0"/>
                <w:numId w:val="0"/>
              </w:numPr>
              <w:kinsoku/>
              <w:wordWrap/>
              <w:overflowPunct/>
              <w:topLinePunct w:val="0"/>
              <w:autoSpaceDE/>
              <w:autoSpaceDN/>
              <w:bidi w:val="0"/>
              <w:adjustRightInd w:val="0"/>
              <w:snapToGrid w:val="0"/>
              <w:spacing w:before="0" w:after="0" w:line="360" w:lineRule="auto"/>
              <w:ind w:leftChars="200" w:right="0" w:rightChars="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1、废水</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fldChar w:fldCharType="begin"/>
            </w:r>
            <w:r>
              <w:rPr>
                <w:rFonts w:hint="default" w:ascii="Times New Roman" w:hAnsi="Times New Roman" w:eastAsia="宋体" w:cs="Times New Roman"/>
                <w:color w:val="000000"/>
                <w:sz w:val="24"/>
                <w:szCs w:val="24"/>
              </w:rPr>
              <w:instrText xml:space="preserve"> = 1 \* GB2 </w:instrText>
            </w:r>
            <w:r>
              <w:rPr>
                <w:rFonts w:hint="default" w:ascii="Times New Roman" w:hAnsi="Times New Roman" w:eastAsia="宋体" w:cs="Times New Roman"/>
                <w:color w:val="000000"/>
                <w:sz w:val="24"/>
                <w:szCs w:val="24"/>
              </w:rPr>
              <w:fldChar w:fldCharType="separate"/>
            </w:r>
            <w:r>
              <w:rPr>
                <w:rFonts w:hint="default" w:ascii="Times New Roman" w:hAnsi="Times New Roman" w:eastAsia="宋体" w:cs="Times New Roman"/>
                <w:color w:val="000000"/>
                <w:sz w:val="24"/>
                <w:szCs w:val="24"/>
              </w:rPr>
              <w:t>⑴</w:t>
            </w:r>
            <w:r>
              <w:rPr>
                <w:rFonts w:hint="default" w:ascii="Times New Roman" w:hAnsi="Times New Roman" w:eastAsia="宋体" w:cs="Times New Roman"/>
                <w:color w:val="000000"/>
                <w:sz w:val="24"/>
                <w:szCs w:val="24"/>
              </w:rPr>
              <w:fldChar w:fldCharType="end"/>
            </w:r>
            <w:r>
              <w:rPr>
                <w:rFonts w:hint="default" w:ascii="Times New Roman" w:hAnsi="Times New Roman" w:eastAsia="宋体" w:cs="Times New Roman"/>
                <w:color w:val="000000"/>
                <w:sz w:val="24"/>
                <w:szCs w:val="24"/>
              </w:rPr>
              <w:t xml:space="preserve"> 施工废水：</w:t>
            </w:r>
            <w:r>
              <w:rPr>
                <w:rFonts w:hint="eastAsia" w:ascii="Times New Roman" w:hAnsi="Times New Roman" w:eastAsia="宋体" w:cs="Times New Roman"/>
                <w:color w:val="000000"/>
                <w:kern w:val="2"/>
                <w:sz w:val="24"/>
                <w:szCs w:val="24"/>
                <w:lang w:val="en-US" w:eastAsia="zh-CN" w:bidi="ar-SA"/>
              </w:rPr>
              <w:t>设置沉淀池收集施工过程中车辆冲洗废水、混凝土养护废水等</w:t>
            </w:r>
            <w:r>
              <w:rPr>
                <w:rFonts w:hint="default" w:ascii="Times New Roman" w:hAnsi="Times New Roman" w:eastAsia="宋体" w:cs="Times New Roman"/>
                <w:color w:val="000000"/>
                <w:kern w:val="2"/>
                <w:sz w:val="24"/>
                <w:szCs w:val="24"/>
                <w:lang w:val="en-US" w:eastAsia="zh-CN" w:bidi="ar-SA"/>
              </w:rPr>
              <w:t>，经</w:t>
            </w:r>
            <w:r>
              <w:rPr>
                <w:rFonts w:hint="default" w:ascii="Times New Roman" w:hAnsi="Times New Roman" w:eastAsia="宋体" w:cs="Times New Roman"/>
                <w:color w:val="000000"/>
                <w:sz w:val="24"/>
                <w:szCs w:val="24"/>
              </w:rPr>
              <w:t>沉淀处理后用于工地洒水降尘和施工回用水，既可以节约水资源，又可以达到环境保护的要求。</w:t>
            </w:r>
          </w:p>
          <w:p>
            <w:pPr>
              <w:pStyle w:val="124"/>
              <w:spacing w:before="0" w:line="360" w:lineRule="auto"/>
              <w:ind w:firstLine="480"/>
              <w:rPr>
                <w:rFonts w:hint="eastAsia" w:hAnsi="宋体"/>
                <w:color w:val="000000"/>
                <w:sz w:val="24"/>
                <w:szCs w:val="24"/>
              </w:rPr>
            </w:pPr>
            <w:r>
              <w:rPr>
                <w:rFonts w:hint="default" w:ascii="Times New Roman" w:hAnsi="Times New Roman" w:eastAsia="宋体" w:cs="Times New Roman"/>
                <w:color w:val="000000"/>
                <w:sz w:val="24"/>
                <w:szCs w:val="24"/>
              </w:rPr>
              <w:fldChar w:fldCharType="begin"/>
            </w:r>
            <w:r>
              <w:rPr>
                <w:rFonts w:hint="default" w:ascii="Times New Roman" w:hAnsi="Times New Roman" w:eastAsia="宋体" w:cs="Times New Roman"/>
                <w:color w:val="000000"/>
                <w:sz w:val="24"/>
                <w:szCs w:val="24"/>
              </w:rPr>
              <w:instrText xml:space="preserve"> = 2 \* GB2 </w:instrText>
            </w:r>
            <w:r>
              <w:rPr>
                <w:rFonts w:hint="default" w:ascii="Times New Roman" w:hAnsi="Times New Roman" w:eastAsia="宋体" w:cs="Times New Roman"/>
                <w:color w:val="000000"/>
                <w:sz w:val="24"/>
                <w:szCs w:val="24"/>
              </w:rPr>
              <w:fldChar w:fldCharType="separate"/>
            </w:r>
            <w:r>
              <w:rPr>
                <w:rFonts w:hint="default" w:ascii="Times New Roman" w:hAnsi="Times New Roman" w:eastAsia="宋体" w:cs="Times New Roman"/>
                <w:color w:val="000000"/>
                <w:sz w:val="24"/>
                <w:szCs w:val="24"/>
              </w:rPr>
              <w:t>⑵</w:t>
            </w:r>
            <w:r>
              <w:rPr>
                <w:rFonts w:hint="default" w:ascii="Times New Roman" w:hAnsi="Times New Roman" w:eastAsia="宋体" w:cs="Times New Roman"/>
                <w:color w:val="000000"/>
                <w:sz w:val="24"/>
                <w:szCs w:val="24"/>
              </w:rPr>
              <w:fldChar w:fldCharType="end"/>
            </w:r>
            <w:r>
              <w:rPr>
                <w:rFonts w:hint="default" w:ascii="Times New Roman" w:hAnsi="Times New Roman" w:eastAsia="宋体" w:cs="Times New Roman"/>
                <w:color w:val="000000"/>
                <w:sz w:val="24"/>
                <w:szCs w:val="24"/>
              </w:rPr>
              <w:t xml:space="preserve"> 生活污水：</w:t>
            </w:r>
            <w:r>
              <w:rPr>
                <w:rFonts w:hint="eastAsia" w:hAnsi="宋体"/>
                <w:color w:val="000000"/>
                <w:sz w:val="24"/>
                <w:szCs w:val="24"/>
              </w:rPr>
              <w:t>施工人员生活设施依托周边已有服务设施，因此施工人员产生的生活废水依托周边已有卫生设施收集处理，纳入当地</w:t>
            </w:r>
            <w:r>
              <w:rPr>
                <w:rFonts w:hint="eastAsia" w:hAnsi="宋体"/>
                <w:color w:val="000000"/>
                <w:sz w:val="24"/>
                <w:szCs w:val="24"/>
                <w:lang w:eastAsia="zh-CN"/>
              </w:rPr>
              <w:t>污水</w:t>
            </w:r>
            <w:r>
              <w:rPr>
                <w:rFonts w:hint="eastAsia" w:hAnsi="宋体"/>
                <w:color w:val="000000"/>
                <w:sz w:val="24"/>
                <w:szCs w:val="24"/>
              </w:rPr>
              <w:t>收集处理系统，禁止生活废水随意外排。</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fldChar w:fldCharType="begin"/>
            </w:r>
            <w:r>
              <w:rPr>
                <w:rFonts w:hint="default" w:ascii="Times New Roman" w:hAnsi="Times New Roman" w:eastAsia="宋体" w:cs="Times New Roman"/>
                <w:color w:val="000000"/>
                <w:sz w:val="24"/>
                <w:szCs w:val="24"/>
              </w:rPr>
              <w:instrText xml:space="preserve"> = 3 \* GB2 </w:instrText>
            </w:r>
            <w:r>
              <w:rPr>
                <w:rFonts w:hint="default" w:ascii="Times New Roman" w:hAnsi="Times New Roman" w:eastAsia="宋体" w:cs="Times New Roman"/>
                <w:color w:val="000000"/>
                <w:sz w:val="24"/>
                <w:szCs w:val="24"/>
              </w:rPr>
              <w:fldChar w:fldCharType="separate"/>
            </w:r>
            <w:r>
              <w:rPr>
                <w:rFonts w:hint="default" w:ascii="Times New Roman" w:hAnsi="Times New Roman" w:eastAsia="宋体" w:cs="Times New Roman"/>
                <w:color w:val="000000"/>
                <w:sz w:val="24"/>
                <w:szCs w:val="24"/>
              </w:rPr>
              <w:t>⑶</w:t>
            </w:r>
            <w:r>
              <w:rPr>
                <w:rFonts w:hint="default" w:ascii="Times New Roman" w:hAnsi="Times New Roman" w:eastAsia="宋体" w:cs="Times New Roman"/>
                <w:color w:val="000000"/>
                <w:sz w:val="24"/>
                <w:szCs w:val="24"/>
              </w:rPr>
              <w:fldChar w:fldCharType="end"/>
            </w:r>
            <w:r>
              <w:rPr>
                <w:rFonts w:hint="default" w:ascii="Times New Roman" w:hAnsi="Times New Roman" w:eastAsia="宋体" w:cs="Times New Roman"/>
                <w:color w:val="000000"/>
                <w:sz w:val="24"/>
                <w:szCs w:val="24"/>
              </w:rPr>
              <w:t xml:space="preserve"> 基坑排水：基坑开挖过程中会产生较大的基坑降水，对此，</w:t>
            </w:r>
            <w:r>
              <w:rPr>
                <w:rFonts w:hint="default" w:ascii="Times New Roman" w:hAnsi="Times New Roman" w:eastAsia="宋体" w:cs="Times New Roman"/>
                <w:bCs/>
                <w:color w:val="000000"/>
                <w:sz w:val="24"/>
                <w:szCs w:val="24"/>
              </w:rPr>
              <w:t>评价要求施工过程中产生的基坑排水</w:t>
            </w:r>
            <w:r>
              <w:rPr>
                <w:rFonts w:hint="default" w:ascii="Times New Roman" w:hAnsi="Times New Roman" w:eastAsia="宋体" w:cs="Times New Roman"/>
                <w:color w:val="000000"/>
                <w:sz w:val="24"/>
                <w:szCs w:val="24"/>
              </w:rPr>
              <w:t>利用水泵将基坑中的水抽至沉淀池，经沉淀后部分用于工地洒水降尘和工程回用水。</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⑷ 施工单位除加强对生产废水和生活污水的排放管理外，应对员工进行基本环保知识培训，提高环保意识和责任。</w:t>
            </w:r>
          </w:p>
          <w:p>
            <w:pPr>
              <w:spacing w:line="360" w:lineRule="auto"/>
              <w:ind w:firstLine="480" w:firstLineChars="200"/>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sz w:val="24"/>
                <w:szCs w:val="24"/>
              </w:rPr>
              <w:t xml:space="preserve">⑸ </w:t>
            </w:r>
            <w:r>
              <w:rPr>
                <w:rFonts w:hint="default" w:ascii="Times New Roman" w:hAnsi="Times New Roman" w:eastAsia="宋体" w:cs="Times New Roman"/>
                <w:color w:val="000000"/>
                <w:kern w:val="0"/>
                <w:sz w:val="24"/>
                <w:szCs w:val="24"/>
              </w:rPr>
              <w:t>加强施工材料的管理，</w:t>
            </w:r>
            <w:r>
              <w:rPr>
                <w:rFonts w:hint="default" w:ascii="Times New Roman" w:hAnsi="Times New Roman" w:eastAsia="宋体" w:cs="Times New Roman"/>
                <w:color w:val="000000"/>
                <w:sz w:val="24"/>
                <w:szCs w:val="24"/>
              </w:rPr>
              <w:t>施工场地</w:t>
            </w:r>
            <w:r>
              <w:rPr>
                <w:rFonts w:hint="default" w:ascii="Times New Roman" w:hAnsi="Times New Roman" w:eastAsia="宋体" w:cs="Times New Roman"/>
                <w:color w:val="000000"/>
                <w:kern w:val="0"/>
                <w:sz w:val="24"/>
                <w:szCs w:val="24"/>
              </w:rPr>
              <w:t>含有害物质的建材如化学建材等不得堆放在</w:t>
            </w:r>
            <w:r>
              <w:rPr>
                <w:rFonts w:hint="default" w:ascii="Times New Roman" w:hAnsi="Times New Roman" w:eastAsia="宋体" w:cs="Times New Roman"/>
                <w:color w:val="000000"/>
                <w:sz w:val="24"/>
                <w:szCs w:val="24"/>
              </w:rPr>
              <w:t>附近地表水体</w:t>
            </w:r>
            <w:r>
              <w:rPr>
                <w:rFonts w:hint="default" w:ascii="Times New Roman" w:hAnsi="Times New Roman" w:eastAsia="宋体" w:cs="Times New Roman"/>
                <w:color w:val="000000"/>
                <w:kern w:val="0"/>
                <w:sz w:val="24"/>
                <w:szCs w:val="24"/>
              </w:rPr>
              <w:t>附近</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kern w:val="0"/>
                <w:sz w:val="24"/>
                <w:szCs w:val="24"/>
              </w:rPr>
              <w:t>施工材料将集中堆放，并远离水体，暴雨时设土工布围栏，防止被雨水冲刷进入水体；</w:t>
            </w:r>
          </w:p>
          <w:p>
            <w:pPr>
              <w:spacing w:line="360" w:lineRule="auto"/>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其他水环境保护措施：</w:t>
            </w:r>
          </w:p>
          <w:p>
            <w:pPr>
              <w:spacing w:line="360" w:lineRule="auto"/>
              <w:ind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lang w:val="en-US" w:eastAsia="zh-CN"/>
              </w:rPr>
              <w:t>做好水土保持工作。</w:t>
            </w:r>
            <w:r>
              <w:rPr>
                <w:rFonts w:hint="default" w:ascii="Times New Roman" w:hAnsi="Times New Roman" w:eastAsia="宋体" w:cs="Times New Roman"/>
                <w:color w:val="000000"/>
                <w:sz w:val="24"/>
                <w:szCs w:val="24"/>
                <w:lang w:val="en-US" w:eastAsia="zh-CN"/>
              </w:rPr>
              <w:t>施工中的废料及弃土应</w:t>
            </w:r>
            <w:r>
              <w:rPr>
                <w:rFonts w:hint="eastAsia" w:ascii="Times New Roman" w:hAnsi="Times New Roman" w:eastAsia="宋体" w:cs="Times New Roman"/>
                <w:color w:val="000000"/>
                <w:sz w:val="24"/>
                <w:szCs w:val="24"/>
                <w:lang w:val="en-US" w:eastAsia="zh-CN"/>
              </w:rPr>
              <w:t>远离河道一侧</w:t>
            </w:r>
            <w:r>
              <w:rPr>
                <w:rFonts w:hint="default" w:ascii="Times New Roman" w:hAnsi="Times New Roman" w:eastAsia="宋体" w:cs="Times New Roman"/>
                <w:color w:val="000000"/>
                <w:sz w:val="24"/>
                <w:szCs w:val="24"/>
                <w:lang w:val="en-US" w:eastAsia="zh-CN"/>
              </w:rPr>
              <w:t>，严禁临时堆方下河，</w:t>
            </w:r>
            <w:r>
              <w:rPr>
                <w:rFonts w:hint="eastAsia" w:ascii="Times New Roman" w:hAnsi="Times New Roman" w:eastAsia="宋体" w:cs="Times New Roman"/>
                <w:color w:val="000000"/>
                <w:sz w:val="24"/>
                <w:szCs w:val="24"/>
                <w:lang w:val="en-US" w:eastAsia="zh-CN"/>
              </w:rPr>
              <w:t>以免</w:t>
            </w:r>
            <w:r>
              <w:rPr>
                <w:rFonts w:hint="default" w:ascii="Times New Roman" w:hAnsi="Times New Roman" w:eastAsia="宋体" w:cs="Times New Roman"/>
                <w:color w:val="000000"/>
                <w:sz w:val="24"/>
                <w:szCs w:val="24"/>
                <w:lang w:val="en-US" w:eastAsia="zh-CN"/>
              </w:rPr>
              <w:t>雨水形成的地表径流进入河道，引起水道不畅或污染地表水等影响。</w:t>
            </w:r>
          </w:p>
          <w:p>
            <w:pPr>
              <w:spacing w:line="360" w:lineRule="auto"/>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val="en-US" w:eastAsia="zh-CN"/>
              </w:rPr>
              <w:t>）施工用料的堆放应远离水体，选择暴雨径流难以冲刷的地方。防止被暴雨径流带入水体，影响水质，各类材料应备有防雨遮雨设施。</w:t>
            </w:r>
          </w:p>
          <w:p>
            <w:pPr>
              <w:spacing w:line="360" w:lineRule="auto"/>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lang w:val="en-US" w:eastAsia="zh-CN"/>
              </w:rPr>
              <w:t>）施工用水应在指定地点取水，保持车辆清洁，不能将油污或沙石带入</w:t>
            </w:r>
            <w:r>
              <w:rPr>
                <w:rFonts w:hint="eastAsia" w:ascii="Times New Roman" w:hAnsi="Times New Roman" w:eastAsia="宋体" w:cs="Times New Roman"/>
                <w:color w:val="000000"/>
                <w:sz w:val="24"/>
                <w:szCs w:val="24"/>
                <w:lang w:val="en-US" w:eastAsia="zh-CN"/>
              </w:rPr>
              <w:t>河流</w:t>
            </w:r>
            <w:r>
              <w:rPr>
                <w:rFonts w:hint="default" w:ascii="Times New Roman" w:hAnsi="Times New Roman" w:eastAsia="宋体" w:cs="Times New Roman"/>
                <w:color w:val="000000"/>
                <w:sz w:val="24"/>
                <w:szCs w:val="24"/>
                <w:lang w:val="en-US" w:eastAsia="zh-CN"/>
              </w:rPr>
              <w:t>中，保证施工期不对</w:t>
            </w:r>
            <w:r>
              <w:rPr>
                <w:rFonts w:hint="eastAsia" w:ascii="Times New Roman" w:hAnsi="Times New Roman" w:eastAsia="宋体" w:cs="Times New Roman"/>
                <w:color w:val="000000"/>
                <w:sz w:val="24"/>
                <w:szCs w:val="24"/>
                <w:lang w:val="en-US" w:eastAsia="zh-CN"/>
              </w:rPr>
              <w:t>地表水体</w:t>
            </w:r>
            <w:r>
              <w:rPr>
                <w:rFonts w:hint="default" w:ascii="Times New Roman" w:hAnsi="Times New Roman" w:eastAsia="宋体" w:cs="Times New Roman"/>
                <w:color w:val="000000"/>
                <w:sz w:val="24"/>
                <w:szCs w:val="24"/>
                <w:lang w:val="en-US" w:eastAsia="zh-CN"/>
              </w:rPr>
              <w:t>造成污染。</w:t>
            </w:r>
            <w:r>
              <w:rPr>
                <w:rFonts w:hint="eastAsia" w:ascii="Times New Roman" w:hAnsi="Times New Roman" w:eastAsia="宋体" w:cs="Times New Roman"/>
                <w:color w:val="000000"/>
                <w:sz w:val="24"/>
                <w:szCs w:val="24"/>
                <w:lang w:val="en-US" w:eastAsia="zh-CN"/>
              </w:rPr>
              <w:t>严禁施工产生的废水、垃圾、废弃土石和废油污进入河流水体。不得在河流中清洗机械和车辆。</w:t>
            </w:r>
          </w:p>
          <w:p>
            <w:pPr>
              <w:spacing w:line="360" w:lineRule="auto"/>
              <w:ind w:firstLine="480" w:firstLineChars="200"/>
              <w:rPr>
                <w:rFonts w:hint="default"/>
                <w:sz w:val="24"/>
                <w:szCs w:val="24"/>
                <w:lang w:val="en-US" w:eastAsia="zh-CN"/>
              </w:rPr>
            </w:pP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lang w:val="en-US" w:eastAsia="zh-CN"/>
              </w:rPr>
              <w:t>禁止将污水、垃圾和其它施工机械的废油等污染物抛入水体，应收集后和工地上的污染物一并处理。施工挖出的淤泥、渣土等不得抛入河流和其他水体。</w:t>
            </w:r>
          </w:p>
          <w:p>
            <w:pPr>
              <w:pStyle w:val="8"/>
              <w:keepNext w:val="0"/>
              <w:keepLines w:val="0"/>
              <w:pageBreakBefore w:val="0"/>
              <w:kinsoku/>
              <w:wordWrap/>
              <w:overflowPunct/>
              <w:topLinePunct w:val="0"/>
              <w:autoSpaceDE/>
              <w:autoSpaceDN/>
              <w:bidi w:val="0"/>
              <w:adjustRightInd w:val="0"/>
              <w:snapToGrid w:val="0"/>
              <w:spacing w:before="0" w:after="0" w:line="360" w:lineRule="auto"/>
              <w:ind w:leftChars="0" w:right="0" w:rightChars="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2、废气</w:t>
            </w:r>
          </w:p>
          <w:p>
            <w:pPr>
              <w:spacing w:line="360" w:lineRule="auto"/>
              <w:ind w:firstLine="480" w:firstLineChars="200"/>
              <w:outlineLvl w:val="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施工单位在作业期间要文明施工，为减少工程扬尘对周围环境的影响，及时清运多余土方等建筑垃圾，具体措施如下：</w:t>
            </w:r>
          </w:p>
          <w:p>
            <w:pPr>
              <w:spacing w:line="360" w:lineRule="auto"/>
              <w:ind w:firstLine="480" w:firstLineChars="200"/>
              <w:outlineLvl w:val="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① 施工期间运载砂、水泥等材料以及建筑垃圾的车辆要加盖蓬布减少散落，车辆驶出装、卸场地前用水将车厢和轮胎冲洗干净，同时进出需设置过水池，运输车辆行使路线应避免穿越场镇中心区，尽量避开居民点和环境敏感点；</w:t>
            </w:r>
          </w:p>
          <w:p>
            <w:pPr>
              <w:spacing w:line="360" w:lineRule="auto"/>
              <w:ind w:firstLine="480" w:firstLineChars="200"/>
              <w:outlineLvl w:val="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② 各施工阶段应有专职环境保护管理人员，其职责是指导和管理施工现场的建筑垃圾、建筑材料的处置、清运、堆放，场地恢复和硬化，清除进出施工现场道路上的泥土、弃料以及轮胎上的泥土，防止二次扬尘污染；</w:t>
            </w:r>
          </w:p>
          <w:p>
            <w:pPr>
              <w:spacing w:line="360" w:lineRule="auto"/>
              <w:ind w:firstLine="480" w:firstLineChars="200"/>
              <w:outlineLvl w:val="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③ 合理安排施工运输工作，对于施工作业中的大型构件和大量物资的运输，应尽量避开交通高峰期，以缓解交通压力。同时，施工单位应与交通管理部门应协调一致，采取相应的措施，做好施工现场的交通疏导，避免压车和交通阻塞，最大限度的控制汽车尾气的排放。</w:t>
            </w:r>
          </w:p>
          <w:p>
            <w:pPr>
              <w:spacing w:line="360" w:lineRule="auto"/>
              <w:ind w:firstLine="480" w:firstLineChars="200"/>
              <w:outlineLvl w:val="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④ 场地内土堆、料堆要加遮盖等，防止扬尘的扩散；</w:t>
            </w:r>
          </w:p>
          <w:p>
            <w:pPr>
              <w:spacing w:line="360" w:lineRule="auto"/>
              <w:ind w:firstLine="480" w:firstLineChars="200"/>
              <w:outlineLvl w:val="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⑤封闭施工现场，使其与周围环境相对隔离，不仅可以有效减少扬尘污染，而且也可以保证项目施工期间的安全性；</w:t>
            </w:r>
          </w:p>
          <w:p>
            <w:pPr>
              <w:spacing w:line="360" w:lineRule="auto"/>
              <w:ind w:firstLine="480" w:firstLineChars="200"/>
              <w:outlineLvl w:val="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⑥ 此外，项目在施工时必须湿法作业，必须打围作业，必须硬化道路，必须设置冲洗设施、设备，必须配齐保洁人员，必须定时清扫施工现场；不准车辆带泥出门，不准运渣车辆超载，不准高空抛撒建渣，不准场地积水，不准现场焚烧废弃物；</w:t>
            </w:r>
          </w:p>
          <w:p>
            <w:pPr>
              <w:pStyle w:val="8"/>
              <w:keepNext w:val="0"/>
              <w:keepLines w:val="0"/>
              <w:pageBreakBefore w:val="0"/>
              <w:kinsoku/>
              <w:wordWrap/>
              <w:overflowPunct/>
              <w:topLinePunct w:val="0"/>
              <w:autoSpaceDE/>
              <w:autoSpaceDN/>
              <w:bidi w:val="0"/>
              <w:adjustRightInd w:val="0"/>
              <w:snapToGrid w:val="0"/>
              <w:spacing w:before="0" w:after="0" w:line="360" w:lineRule="auto"/>
              <w:ind w:leftChars="0" w:right="0" w:rightChars="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综上所述，通过以上措施治理后，可有效控制施工扬尘对周围环境的影响，使其环境质量符合《环境空气质量标准》(GB3095-2012)二级标准，措施切实可行，且施工结束后其影响也将消失。</w:t>
            </w:r>
          </w:p>
          <w:p>
            <w:pPr>
              <w:pStyle w:val="8"/>
              <w:keepNext w:val="0"/>
              <w:keepLines w:val="0"/>
              <w:pageBreakBefore w:val="0"/>
              <w:kinsoku/>
              <w:wordWrap/>
              <w:overflowPunct/>
              <w:topLinePunct w:val="0"/>
              <w:autoSpaceDE/>
              <w:autoSpaceDN/>
              <w:bidi w:val="0"/>
              <w:adjustRightInd w:val="0"/>
              <w:snapToGrid w:val="0"/>
              <w:spacing w:before="0" w:after="0" w:line="360" w:lineRule="auto"/>
              <w:ind w:leftChars="0" w:right="0" w:rightChars="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3、噪声</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⑴ 建设招标单位将投标方的低噪声、低振动施工设备和相应技术作为中标的重要内容考虑，将施工过程所用各类机械及其噪声值列入招标文件中；</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⑵ 降低声源的噪声强度</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尽量采用工况状态好和质量过关的施工机械，勤于维护，避免病、老机械作业，以液压工具代替气压工具，以从发声源头有效降低噪声强度。</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 xml:space="preserve">⑶ </w:t>
            </w:r>
            <w:r>
              <w:rPr>
                <w:rFonts w:hint="default" w:ascii="Times New Roman" w:hAnsi="Times New Roman" w:eastAsia="宋体" w:cs="Times New Roman"/>
                <w:bCs/>
                <w:color w:val="000000"/>
                <w:sz w:val="24"/>
              </w:rPr>
              <w:t>合理选择高噪声场所位置</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bCs/>
                <w:color w:val="000000"/>
                <w:sz w:val="24"/>
              </w:rPr>
              <w:t>装卸料作业及其它作业产生噪声，应设置在离开集中居民区等敏感点200m以外的地方，</w:t>
            </w:r>
            <w:r>
              <w:rPr>
                <w:rFonts w:hint="default" w:ascii="Times New Roman" w:hAnsi="Times New Roman" w:eastAsia="宋体" w:cs="Times New Roman"/>
                <w:color w:val="000000"/>
                <w:sz w:val="24"/>
              </w:rPr>
              <w:t>减少扰民现象的发生。</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⑷ 合理安排施工时间，在夜间（22:00—6:00）禁止使用高噪声设备，如推土机、挖掘机、电钻等。</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⑸ 运输车辆进出施工现场控制或禁止鸣喇叭，减少交通噪声。</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⑹ 施工单位通过文明施工、加强有效管理加以缓解敲击、人的喊叫等作为施工活动的声源。施工方应该合理有效的制定施工计划，提高工作效率，把施工时间控制在最短范围内，并提起发布公告，最大限度的争取民众支持。</w:t>
            </w:r>
          </w:p>
          <w:p>
            <w:pPr>
              <w:pStyle w:val="8"/>
              <w:keepNext w:val="0"/>
              <w:keepLines w:val="0"/>
              <w:pageBreakBefore w:val="0"/>
              <w:kinsoku/>
              <w:wordWrap/>
              <w:overflowPunct/>
              <w:topLinePunct w:val="0"/>
              <w:autoSpaceDE/>
              <w:autoSpaceDN/>
              <w:bidi w:val="0"/>
              <w:adjustRightInd w:val="0"/>
              <w:snapToGrid w:val="0"/>
              <w:spacing w:before="0" w:after="0" w:line="360" w:lineRule="auto"/>
              <w:ind w:leftChars="0" w:right="0" w:rightChars="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4、固废</w:t>
            </w:r>
          </w:p>
          <w:p>
            <w:pPr>
              <w:spacing w:line="360" w:lineRule="auto"/>
              <w:ind w:firstLine="482" w:firstLineChars="200"/>
              <w:rPr>
                <w:rFonts w:hint="default" w:ascii="Times New Roman" w:hAnsi="Times New Roman" w:eastAsia="宋体" w:cs="Times New Roman"/>
                <w:b/>
                <w:color w:val="000000"/>
                <w:sz w:val="24"/>
              </w:rPr>
            </w:pPr>
            <w:r>
              <w:rPr>
                <w:rFonts w:hint="eastAsia" w:ascii="Times New Roman" w:hAnsi="Times New Roman" w:eastAsia="宋体" w:cs="Times New Roman"/>
                <w:b/>
                <w:color w:val="000000"/>
                <w:sz w:val="24"/>
                <w:lang w:val="en-US" w:eastAsia="zh-CN"/>
              </w:rPr>
              <w:t>1）</w:t>
            </w:r>
            <w:r>
              <w:rPr>
                <w:rFonts w:hint="default" w:ascii="Times New Roman" w:hAnsi="Times New Roman" w:eastAsia="宋体" w:cs="Times New Roman"/>
                <w:b/>
                <w:color w:val="000000"/>
                <w:sz w:val="24"/>
              </w:rPr>
              <w:t xml:space="preserve"> 土石方临时堆放管理要求：</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本项目施工期间开挖出的土石方</w:t>
            </w:r>
            <w:r>
              <w:rPr>
                <w:rFonts w:hint="eastAsia" w:ascii="Times New Roman" w:hAnsi="Times New Roman" w:eastAsia="宋体" w:cs="Times New Roman"/>
                <w:sz w:val="24"/>
                <w:lang w:eastAsia="zh-CN"/>
              </w:rPr>
              <w:t>、河道疏浚物</w:t>
            </w:r>
            <w:r>
              <w:rPr>
                <w:rFonts w:hint="default" w:ascii="Times New Roman" w:hAnsi="Times New Roman" w:eastAsia="宋体" w:cs="Times New Roman"/>
                <w:sz w:val="24"/>
              </w:rPr>
              <w:t>皆</w:t>
            </w:r>
            <w:r>
              <w:rPr>
                <w:rFonts w:hint="eastAsia" w:cs="Times New Roman"/>
                <w:sz w:val="24"/>
                <w:lang w:val="en-US" w:eastAsia="zh-CN"/>
              </w:rPr>
              <w:t>工程河道回填</w:t>
            </w:r>
            <w:r>
              <w:rPr>
                <w:rFonts w:hint="default" w:ascii="Times New Roman" w:hAnsi="Times New Roman" w:eastAsia="宋体" w:cs="Times New Roman"/>
                <w:sz w:val="24"/>
              </w:rPr>
              <w:t>利用，</w:t>
            </w:r>
            <w:r>
              <w:rPr>
                <w:rFonts w:hint="eastAsia" w:ascii="Times New Roman" w:hAnsi="Times New Roman" w:eastAsia="宋体" w:cs="Times New Roman"/>
                <w:sz w:val="24"/>
                <w:lang w:eastAsia="zh-CN"/>
              </w:rPr>
              <w:t>不设置弃渣场</w:t>
            </w:r>
            <w:r>
              <w:rPr>
                <w:rFonts w:hint="default" w:ascii="Times New Roman" w:hAnsi="Times New Roman" w:eastAsia="宋体" w:cs="Times New Roman"/>
                <w:sz w:val="24"/>
              </w:rPr>
              <w:t>。但是开挖土方在施工现场需临时堆放，在临时堆放的时候需要采取适当的护坡、排水等防护措施，避免渣体冲刷、滑落和坍塌，引发新的水土流失，同时做好防雨、防风措施，避免弃土经雨淋后重新进入河流。弃土应及时回填利用。</w:t>
            </w:r>
          </w:p>
          <w:p>
            <w:pPr>
              <w:spacing w:line="360" w:lineRule="auto"/>
              <w:ind w:firstLine="482" w:firstLineChars="200"/>
              <w:rPr>
                <w:rFonts w:hint="default" w:ascii="Times New Roman" w:hAnsi="Times New Roman" w:eastAsia="宋体" w:cs="Times New Roman"/>
                <w:b/>
                <w:color w:val="000000"/>
                <w:sz w:val="24"/>
              </w:rPr>
            </w:pPr>
            <w:r>
              <w:rPr>
                <w:rFonts w:hint="eastAsia" w:ascii="Times New Roman" w:hAnsi="Times New Roman" w:eastAsia="宋体" w:cs="Times New Roman"/>
                <w:b/>
                <w:color w:val="000000"/>
                <w:sz w:val="24"/>
                <w:lang w:val="en-US" w:eastAsia="zh-CN"/>
              </w:rPr>
              <w:t>2）</w:t>
            </w:r>
            <w:r>
              <w:rPr>
                <w:rFonts w:hint="default" w:ascii="Times New Roman" w:hAnsi="Times New Roman" w:eastAsia="宋体" w:cs="Times New Roman"/>
                <w:b/>
                <w:color w:val="000000"/>
                <w:sz w:val="24"/>
              </w:rPr>
              <w:t xml:space="preserve"> 针对施工期施工垃圾应从源头上进行控制，体现在施工管理、材料选购、去向控制等方面，特别应强调以下几点：</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⑴ 建设单位应加强施工现场的施工管理工作，施工前材料选购应精确计量，避免材料浪费；应尽量控制工程的变更，产生不必要的施工建筑垃圾。</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⑵ 施工期间产生的生活垃圾通过设置垃圾桶收集后外运交由当地环卫部门处置，施工现场禁止焚烧废弃物。</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⑶ 建筑弃渣应在指定地点集中堆放，及时送至政府部门指定地点堆放。</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⑷ 合理选择施工工序，在堆放临时弃渣时，将易产生流失的表层土堆放在中间，开挖产生的块石堆放在其周围，起临时拦挡作用；</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评价认为，项目施工期在采取上述防治对策后，施工期对周边环境的影响可控制在国家标准所允许的控制范围内。</w:t>
            </w:r>
          </w:p>
          <w:p>
            <w:pPr>
              <w:pStyle w:val="8"/>
              <w:keepNext w:val="0"/>
              <w:keepLines w:val="0"/>
              <w:pageBreakBefore w:val="0"/>
              <w:kinsoku/>
              <w:wordWrap/>
              <w:overflowPunct/>
              <w:topLinePunct w:val="0"/>
              <w:autoSpaceDE/>
              <w:autoSpaceDN/>
              <w:bidi w:val="0"/>
              <w:adjustRightInd w:val="0"/>
              <w:snapToGrid w:val="0"/>
              <w:spacing w:before="0" w:after="0" w:line="360" w:lineRule="auto"/>
              <w:ind w:leftChars="0" w:right="0" w:righ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p>
          <w:p>
            <w:pPr>
              <w:pStyle w:val="8"/>
              <w:keepNext w:val="0"/>
              <w:keepLines w:val="0"/>
              <w:pageBreakBefore w:val="0"/>
              <w:kinsoku/>
              <w:wordWrap/>
              <w:overflowPunct/>
              <w:topLinePunct w:val="0"/>
              <w:autoSpaceDE/>
              <w:autoSpaceDN/>
              <w:bidi w:val="0"/>
              <w:adjustRightInd w:val="0"/>
              <w:snapToGrid w:val="0"/>
              <w:spacing w:before="0" w:after="0" w:line="360" w:lineRule="auto"/>
              <w:ind w:leftChars="0" w:right="0" w:rightChars="0" w:firstLine="480" w:firstLineChars="200"/>
              <w:textAlignment w:val="auto"/>
              <w:rPr>
                <w:rFonts w:hint="default" w:ascii="Times New Roman" w:hAnsi="Times New Roman" w:eastAsia="宋体" w:cs="Times New Roman"/>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53" w:type="dxa"/>
            <w:noWrap w:val="0"/>
            <w:tcMar>
              <w:left w:w="28" w:type="dxa"/>
              <w:right w:w="28" w:type="dxa"/>
            </w:tcMar>
            <w:vAlign w:val="center"/>
          </w:tcPr>
          <w:p>
            <w:pPr>
              <w:adjustRightInd w:val="0"/>
              <w:snapToGrid w:val="0"/>
              <w:jc w:val="center"/>
              <w:rPr>
                <w:rFonts w:hint="default" w:ascii="Times New Roman" w:hAnsi="Times New Roman" w:eastAsia="宋体" w:cs="Times New Roman"/>
                <w:bCs/>
                <w:color w:val="auto"/>
                <w:spacing w:val="10"/>
                <w:sz w:val="24"/>
                <w:szCs w:val="24"/>
                <w:highlight w:val="none"/>
              </w:rPr>
            </w:pPr>
            <w:r>
              <w:rPr>
                <w:rFonts w:hint="default" w:ascii="Times New Roman" w:hAnsi="Times New Roman" w:eastAsia="宋体" w:cs="Times New Roman"/>
                <w:b/>
                <w:bCs w:val="0"/>
                <w:color w:val="auto"/>
                <w:spacing w:val="10"/>
                <w:sz w:val="24"/>
                <w:szCs w:val="24"/>
                <w:highlight w:val="none"/>
              </w:rPr>
              <w:t>运营期生态环境保护措施</w:t>
            </w:r>
          </w:p>
        </w:tc>
        <w:tc>
          <w:tcPr>
            <w:tcW w:w="8457"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（一）运营期生态环境保护措施</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color w:val="000000"/>
                <w:sz w:val="24"/>
              </w:rPr>
              <w:t>本项目实施以后，原有的被利用的水域水质将有明显改善，岸边防洪堤建成以后，更有利于防止水土流失，岸上雨水径流中夹带的污染物质不易直接排入河道，势必会改善</w:t>
            </w:r>
            <w:r>
              <w:rPr>
                <w:rFonts w:hint="eastAsia" w:ascii="Times New Roman" w:hAnsi="Times New Roman" w:eastAsia="宋体" w:cs="Times New Roman"/>
                <w:color w:val="000000"/>
                <w:sz w:val="24"/>
                <w:lang w:eastAsia="zh-CN"/>
              </w:rPr>
              <w:t>河流</w:t>
            </w:r>
            <w:r>
              <w:rPr>
                <w:rFonts w:hint="default" w:ascii="Times New Roman" w:hAnsi="Times New Roman" w:eastAsia="宋体" w:cs="Times New Roman"/>
                <w:color w:val="000000"/>
                <w:sz w:val="24"/>
              </w:rPr>
              <w:t>的水质，</w:t>
            </w:r>
            <w:r>
              <w:rPr>
                <w:rFonts w:hint="default" w:ascii="Times New Roman" w:hAnsi="Times New Roman" w:eastAsia="宋体" w:cs="Times New Roman"/>
                <w:bCs/>
                <w:color w:val="000000"/>
                <w:sz w:val="24"/>
              </w:rPr>
              <w:t>另外，本工程以环保及人文为本，最大限度地实现景观的协调美化作用。一般情况下，经过水土流失防治措施，工程竣工约2年后，使防治责任范围内的项目建设区90%以上的水土流失面积得到治理和改善；工程主体工程已采取了工程护坡、植物绿化措施，且堤防设计了护岸，能有效防止水流侵蚀，基本上不需要采取水土保持措施，</w:t>
            </w:r>
            <w:r>
              <w:rPr>
                <w:rFonts w:hint="default" w:ascii="Times New Roman" w:hAnsi="Times New Roman" w:eastAsia="宋体" w:cs="Times New Roman"/>
                <w:color w:val="000000"/>
                <w:sz w:val="24"/>
              </w:rPr>
              <w:t>因此，评价认为项目</w:t>
            </w:r>
            <w:r>
              <w:rPr>
                <w:rFonts w:hint="default" w:ascii="Times New Roman" w:hAnsi="Times New Roman" w:eastAsia="宋体" w:cs="Times New Roman"/>
                <w:sz w:val="24"/>
              </w:rPr>
              <w:t>建成后其生态环境影响为正效应，无其他生态影响存在。</w:t>
            </w:r>
          </w:p>
          <w:p>
            <w:pPr>
              <w:keepNext w:val="0"/>
              <w:keepLines w:val="0"/>
              <w:pageBreakBefore w:val="0"/>
              <w:numPr>
                <w:ilvl w:val="0"/>
                <w:numId w:val="8"/>
              </w:numPr>
              <w:tabs>
                <w:tab w:val="left" w:pos="5280"/>
              </w:tabs>
              <w:kinsoku/>
              <w:wordWrap/>
              <w:overflowPunct/>
              <w:topLinePunct w:val="0"/>
              <w:autoSpaceDE w:val="0"/>
              <w:autoSpaceDN w:val="0"/>
              <w:bidi w:val="0"/>
              <w:adjustRightInd w:val="0"/>
              <w:snapToGrid w:val="0"/>
              <w:spacing w:line="360" w:lineRule="auto"/>
              <w:ind w:leftChars="0" w:right="0" w:rightChars="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运营期</w:t>
            </w:r>
            <w:r>
              <w:rPr>
                <w:rFonts w:hint="eastAsia" w:ascii="Times New Roman" w:hAnsi="Times New Roman" w:eastAsia="宋体" w:cs="Times New Roman"/>
                <w:b/>
                <w:bCs/>
                <w:color w:val="auto"/>
                <w:sz w:val="24"/>
                <w:szCs w:val="24"/>
                <w:highlight w:val="none"/>
                <w:lang w:val="en-US" w:eastAsia="zh-CN"/>
              </w:rPr>
              <w:t>“三废”</w:t>
            </w:r>
            <w:r>
              <w:rPr>
                <w:rFonts w:hint="default" w:ascii="Times New Roman" w:hAnsi="Times New Roman" w:eastAsia="宋体" w:cs="Times New Roman"/>
                <w:b/>
                <w:bCs/>
                <w:color w:val="auto"/>
                <w:sz w:val="24"/>
                <w:szCs w:val="24"/>
                <w:highlight w:val="none"/>
                <w:lang w:val="en-US" w:eastAsia="zh-CN"/>
              </w:rPr>
              <w:t>环境保护措施</w:t>
            </w:r>
          </w:p>
          <w:p>
            <w:pPr>
              <w:pStyle w:val="28"/>
              <w:keepNext w:val="0"/>
              <w:keepLines w:val="0"/>
              <w:pageBreakBefore w:val="0"/>
              <w:kinsoku/>
              <w:wordWrap/>
              <w:overflowPunct/>
              <w:topLinePunct w:val="0"/>
              <w:autoSpaceDE/>
              <w:autoSpaceDN/>
              <w:bidi w:val="0"/>
              <w:spacing w:before="0" w:after="0" w:afterLines="0" w:line="360" w:lineRule="auto"/>
              <w:ind w:firstLine="480" w:firstLineChars="200"/>
              <w:textAlignment w:val="auto"/>
              <w:rPr>
                <w:rFonts w:hint="eastAsia" w:ascii="Times New Roman" w:hAnsi="Times New Roman" w:eastAsia="宋体" w:cs="Times New Roman"/>
                <w:color w:val="000000"/>
                <w:sz w:val="24"/>
                <w:lang w:eastAsia="zh-CN"/>
              </w:rPr>
            </w:pPr>
            <w:r>
              <w:rPr>
                <w:rFonts w:hint="eastAsia" w:ascii="Times New Roman" w:hAnsi="Times New Roman" w:eastAsia="宋体" w:cs="Times New Roman"/>
                <w:color w:val="000000"/>
                <w:sz w:val="24"/>
                <w:lang w:eastAsia="zh-CN"/>
              </w:rPr>
              <w:t>项目为堤防工程，运营期不产生废水、废气、噪声及固体废弃物。</w:t>
            </w:r>
          </w:p>
          <w:p>
            <w:pPr>
              <w:pStyle w:val="28"/>
              <w:keepNext w:val="0"/>
              <w:keepLines w:val="0"/>
              <w:pageBreakBefore w:val="0"/>
              <w:kinsoku/>
              <w:wordWrap/>
              <w:overflowPunct/>
              <w:topLinePunct w:val="0"/>
              <w:autoSpaceDE/>
              <w:autoSpaceDN/>
              <w:bidi w:val="0"/>
              <w:spacing w:before="0" w:after="0" w:afterLines="0" w:line="360" w:lineRule="auto"/>
              <w:ind w:firstLine="480" w:firstLineChars="200"/>
              <w:textAlignment w:val="auto"/>
              <w:rPr>
                <w:rFonts w:hint="default" w:ascii="Times New Roman" w:hAnsi="Times New Roman" w:eastAsia="宋体" w:cs="Times New Roman"/>
                <w:snapToGrid w:val="0"/>
                <w:color w:val="000000"/>
                <w:kern w:val="0"/>
                <w:sz w:val="24"/>
              </w:rPr>
            </w:pPr>
            <w:r>
              <w:rPr>
                <w:rFonts w:hint="default" w:ascii="Times New Roman" w:hAnsi="Times New Roman" w:eastAsia="宋体" w:cs="Times New Roman"/>
                <w:color w:val="000000"/>
                <w:sz w:val="24"/>
              </w:rPr>
              <w:t>项目堤防工程实施区域为</w:t>
            </w:r>
            <w:r>
              <w:rPr>
                <w:rFonts w:hint="eastAsia" w:ascii="Times New Roman" w:hAnsi="Times New Roman" w:eastAsia="宋体" w:cs="Times New Roman"/>
                <w:color w:val="000000"/>
                <w:sz w:val="24"/>
                <w:lang w:eastAsia="zh-CN"/>
              </w:rPr>
              <w:t>长滩河支流</w:t>
            </w:r>
            <w:r>
              <w:rPr>
                <w:rFonts w:hint="default" w:ascii="Times New Roman" w:hAnsi="Times New Roman" w:eastAsia="宋体" w:cs="Times New Roman"/>
                <w:color w:val="000000"/>
                <w:sz w:val="24"/>
              </w:rPr>
              <w:t>，运行期对水生生态系统影响主要表现在对水生生物的影响；本项目建设后是</w:t>
            </w:r>
            <w:r>
              <w:rPr>
                <w:rFonts w:hint="eastAsia" w:ascii="Times New Roman" w:hAnsi="Times New Roman" w:eastAsia="宋体" w:cs="Times New Roman"/>
                <w:color w:val="000000"/>
                <w:sz w:val="24"/>
                <w:lang w:val="en-US" w:eastAsia="zh-CN"/>
              </w:rPr>
              <w:t>上游段</w:t>
            </w:r>
            <w:r>
              <w:rPr>
                <w:rFonts w:hint="default" w:ascii="Times New Roman" w:hAnsi="Times New Roman" w:eastAsia="宋体" w:cs="Times New Roman"/>
                <w:color w:val="000000"/>
                <w:sz w:val="24"/>
                <w:lang w:val="zh-CN"/>
              </w:rPr>
              <w:t>混凝土重力式堤</w:t>
            </w:r>
            <w:r>
              <w:rPr>
                <w:rFonts w:hint="eastAsia"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下游段矩形明渠</w:t>
            </w:r>
            <w:r>
              <w:rPr>
                <w:rFonts w:hint="eastAsia" w:ascii="Times New Roman" w:hAnsi="Times New Roman" w:eastAsia="宋体" w:cs="Times New Roman"/>
                <w:color w:val="000000"/>
                <w:sz w:val="24"/>
                <w:lang w:val="zh-CN"/>
              </w:rPr>
              <w:t>式堤</w:t>
            </w:r>
            <w:r>
              <w:rPr>
                <w:rFonts w:hint="default" w:ascii="Times New Roman" w:hAnsi="Times New Roman" w:eastAsia="宋体" w:cs="Times New Roman"/>
                <w:color w:val="000000"/>
                <w:sz w:val="24"/>
              </w:rPr>
              <w:t>，改变了原</w:t>
            </w:r>
            <w:r>
              <w:rPr>
                <w:rFonts w:hint="default" w:ascii="Times New Roman" w:hAnsi="Times New Roman" w:eastAsia="宋体" w:cs="Times New Roman"/>
                <w:snapToGrid w:val="0"/>
                <w:color w:val="000000"/>
                <w:kern w:val="0"/>
                <w:sz w:val="24"/>
                <w:szCs w:val="24"/>
              </w:rPr>
              <w:t>有的泥土护堤，</w:t>
            </w:r>
            <w:r>
              <w:rPr>
                <w:rFonts w:hint="default" w:ascii="Times New Roman" w:hAnsi="Times New Roman" w:eastAsia="宋体" w:cs="Times New Roman"/>
                <w:color w:val="000000"/>
                <w:sz w:val="24"/>
                <w:szCs w:val="24"/>
              </w:rPr>
              <w:t>势必将改变水生生物长期的栖息地和生活活动场所</w:t>
            </w:r>
            <w:r>
              <w:rPr>
                <w:rFonts w:hint="default" w:ascii="Times New Roman" w:hAnsi="Times New Roman" w:eastAsia="宋体" w:cs="Times New Roman"/>
                <w:snapToGrid w:val="0"/>
                <w:color w:val="000000"/>
                <w:kern w:val="0"/>
                <w:sz w:val="24"/>
                <w:szCs w:val="24"/>
              </w:rPr>
              <w:t>，但是本项目实施以后，原有的被利用的水域水质将有明显改善，岸边护堤建</w:t>
            </w:r>
            <w:r>
              <w:rPr>
                <w:rFonts w:hint="default" w:ascii="Times New Roman" w:hAnsi="Times New Roman" w:eastAsia="宋体" w:cs="Times New Roman"/>
                <w:snapToGrid w:val="0"/>
                <w:color w:val="000000"/>
                <w:kern w:val="0"/>
                <w:sz w:val="24"/>
              </w:rPr>
              <w:t>成以后，不仅有利于防止水土流失，而且也可以避免农田使用的化肥等产生的面源污染污汇入</w:t>
            </w:r>
            <w:r>
              <w:rPr>
                <w:rFonts w:hint="eastAsia" w:ascii="Times New Roman" w:hAnsi="Times New Roman" w:eastAsia="宋体" w:cs="Times New Roman"/>
                <w:snapToGrid w:val="0"/>
                <w:color w:val="000000"/>
                <w:kern w:val="0"/>
                <w:sz w:val="24"/>
                <w:lang w:eastAsia="zh-CN"/>
              </w:rPr>
              <w:t>河流</w:t>
            </w:r>
            <w:r>
              <w:rPr>
                <w:rFonts w:hint="default" w:ascii="Times New Roman" w:hAnsi="Times New Roman" w:eastAsia="宋体" w:cs="Times New Roman"/>
                <w:snapToGrid w:val="0"/>
                <w:color w:val="000000"/>
                <w:kern w:val="0"/>
                <w:sz w:val="24"/>
              </w:rPr>
              <w:t>，从而可以在一定程度上改善</w:t>
            </w:r>
            <w:r>
              <w:rPr>
                <w:rFonts w:hint="eastAsia" w:ascii="Times New Roman" w:hAnsi="Times New Roman" w:eastAsia="宋体" w:cs="Times New Roman"/>
                <w:snapToGrid w:val="0"/>
                <w:color w:val="000000"/>
                <w:kern w:val="0"/>
                <w:sz w:val="24"/>
                <w:lang w:eastAsia="zh-CN"/>
              </w:rPr>
              <w:t>河流</w:t>
            </w:r>
            <w:r>
              <w:rPr>
                <w:rFonts w:hint="default" w:ascii="Times New Roman" w:hAnsi="Times New Roman" w:eastAsia="宋体" w:cs="Times New Roman"/>
                <w:snapToGrid w:val="0"/>
                <w:color w:val="000000"/>
                <w:kern w:val="0"/>
                <w:sz w:val="24"/>
              </w:rPr>
              <w:t>的水质。</w:t>
            </w:r>
          </w:p>
          <w:p>
            <w:pPr>
              <w:spacing w:beforeLines="0" w:afterLines="0" w:line="360" w:lineRule="auto"/>
              <w:ind w:firstLine="482" w:firstLineChars="200"/>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（三）环境管理及监测计划</w:t>
            </w:r>
          </w:p>
          <w:p>
            <w:pPr>
              <w:keepNext w:val="0"/>
              <w:keepLines w:val="0"/>
              <w:pageBreakBefore w:val="0"/>
              <w:widowControl w:val="0"/>
              <w:kinsoku/>
              <w:wordWrap/>
              <w:autoSpaceDE/>
              <w:autoSpaceDN/>
              <w:bidi w:val="0"/>
              <w:adjustRightInd/>
              <w:snapToGrid/>
              <w:spacing w:line="360" w:lineRule="auto"/>
              <w:ind w:left="0" w:leftChars="0" w:right="0" w:rightChars="0" w:firstLine="480" w:firstLineChars="200"/>
              <w:jc w:val="both"/>
              <w:rPr>
                <w:rFonts w:ascii="Times New Roman" w:hAnsi="Times New Roman" w:eastAsia="宋体" w:cs="Times New Roman"/>
                <w:kern w:val="2"/>
                <w:sz w:val="24"/>
                <w:szCs w:val="24"/>
              </w:rPr>
            </w:pPr>
            <w:r>
              <w:rPr>
                <w:rFonts w:ascii="Times New Roman" w:hAnsi="Times New Roman" w:eastAsia="宋体" w:cs="Times New Roman"/>
                <w:kern w:val="2"/>
                <w:sz w:val="24"/>
                <w:szCs w:val="24"/>
              </w:rPr>
              <w:t>根据《中华人民共和国环境保护法》和《建设项目环境保护管理条例》，建设单位必须把环境保护工作纳入计划，建立环境保护责任制度，设置环境保护机构，采取有效措施，防治环境破坏。针对项目特点，结合企业实际情况从环境管理角度出发，提出有关建议。</w:t>
            </w:r>
          </w:p>
          <w:p>
            <w:pPr>
              <w:pStyle w:val="106"/>
              <w:keepNext w:val="0"/>
              <w:keepLines w:val="0"/>
              <w:pageBreakBefore w:val="0"/>
              <w:widowControl w:val="0"/>
              <w:kinsoku/>
              <w:wordWrap/>
              <w:autoSpaceDE/>
              <w:autoSpaceDN/>
              <w:bidi w:val="0"/>
              <w:spacing w:before="0" w:after="0" w:line="360" w:lineRule="auto"/>
              <w:ind w:left="0" w:leftChars="0" w:right="0" w:rightChars="0" w:firstLine="482"/>
              <w:rPr>
                <w:color w:val="auto"/>
                <w:sz w:val="24"/>
                <w:szCs w:val="24"/>
              </w:rPr>
            </w:pPr>
            <w:r>
              <w:rPr>
                <w:b/>
                <w:color w:val="auto"/>
                <w:sz w:val="24"/>
                <w:szCs w:val="24"/>
              </w:rPr>
              <w:t>（</w:t>
            </w:r>
            <w:r>
              <w:rPr>
                <w:rFonts w:hint="eastAsia"/>
                <w:b/>
                <w:color w:val="auto"/>
                <w:sz w:val="24"/>
                <w:szCs w:val="24"/>
                <w:lang w:val="en-US" w:eastAsia="zh-CN"/>
              </w:rPr>
              <w:t>1</w:t>
            </w:r>
            <w:r>
              <w:rPr>
                <w:b/>
                <w:color w:val="auto"/>
                <w:sz w:val="24"/>
                <w:szCs w:val="24"/>
              </w:rPr>
              <w:t>）环境管理</w:t>
            </w:r>
          </w:p>
          <w:p>
            <w:pPr>
              <w:pStyle w:val="106"/>
              <w:keepNext w:val="0"/>
              <w:keepLines w:val="0"/>
              <w:pageBreakBefore w:val="0"/>
              <w:widowControl w:val="0"/>
              <w:kinsoku/>
              <w:wordWrap/>
              <w:autoSpaceDE/>
              <w:autoSpaceDN/>
              <w:bidi w:val="0"/>
              <w:spacing w:before="0" w:after="0" w:line="360" w:lineRule="auto"/>
              <w:ind w:left="0" w:leftChars="0" w:right="0" w:rightChars="0" w:firstLine="480"/>
              <w:rPr>
                <w:color w:val="auto"/>
                <w:sz w:val="24"/>
                <w:szCs w:val="24"/>
              </w:rPr>
            </w:pPr>
            <w:r>
              <w:rPr>
                <w:color w:val="auto"/>
                <w:sz w:val="24"/>
                <w:szCs w:val="24"/>
              </w:rPr>
              <w:t>环境管理应贯穿于建设项目从筹备到运行的整个过程，并针对建设项目的不同阶段制定相应的环保条例，规定不同阶段的环保内容，明确不同阶段的工作职责，本项目环境管理机构各阶段的环境管理计划见表</w:t>
            </w:r>
            <w:r>
              <w:rPr>
                <w:rFonts w:hint="eastAsia"/>
                <w:color w:val="auto"/>
                <w:sz w:val="24"/>
                <w:szCs w:val="24"/>
                <w:lang w:val="en-US" w:eastAsia="zh-CN"/>
              </w:rPr>
              <w:t>5-2</w:t>
            </w:r>
            <w:r>
              <w:rPr>
                <w:color w:val="auto"/>
                <w:sz w:val="24"/>
                <w:szCs w:val="24"/>
              </w:rPr>
              <w:t>。</w:t>
            </w:r>
          </w:p>
          <w:p>
            <w:pPr>
              <w:pStyle w:val="107"/>
              <w:keepNext w:val="0"/>
              <w:keepLines w:val="0"/>
              <w:pageBreakBefore w:val="0"/>
              <w:widowControl w:val="0"/>
              <w:kinsoku/>
              <w:wordWrap/>
              <w:overflowPunct/>
              <w:topLinePunct w:val="0"/>
              <w:autoSpaceDE/>
              <w:autoSpaceDN/>
              <w:bidi w:val="0"/>
              <w:snapToGrid/>
              <w:spacing w:before="0" w:after="0" w:afterLines="0" w:line="240" w:lineRule="auto"/>
              <w:ind w:left="0" w:leftChars="0" w:right="0" w:rightChars="0"/>
              <w:rPr>
                <w:rFonts w:ascii="Times New Roman" w:hAnsi="Times New Roman" w:eastAsia="宋体" w:cs="Times New Roman"/>
                <w:b/>
                <w:sz w:val="21"/>
                <w:szCs w:val="21"/>
              </w:rPr>
            </w:pPr>
            <w:r>
              <w:rPr>
                <w:rFonts w:ascii="Times New Roman" w:hAnsi="Times New Roman" w:eastAsia="宋体" w:cs="Times New Roman"/>
                <w:b/>
                <w:sz w:val="21"/>
                <w:szCs w:val="21"/>
              </w:rPr>
              <w:t>表</w:t>
            </w:r>
            <w:r>
              <w:rPr>
                <w:rFonts w:hint="eastAsia" w:ascii="Times New Roman" w:hAnsi="Times New Roman" w:eastAsia="宋体" w:cs="Times New Roman"/>
                <w:b/>
                <w:sz w:val="21"/>
                <w:szCs w:val="21"/>
                <w:lang w:val="en-US" w:eastAsia="zh-CN"/>
              </w:rPr>
              <w:t>5-2</w:t>
            </w:r>
            <w:r>
              <w:rPr>
                <w:rFonts w:ascii="Times New Roman" w:hAnsi="Times New Roman" w:eastAsia="宋体" w:cs="Times New Roman"/>
                <w:b/>
                <w:sz w:val="21"/>
                <w:szCs w:val="21"/>
              </w:rPr>
              <w:t xml:space="preserve"> 建设项目环境管理计划一览表</w:t>
            </w:r>
          </w:p>
          <w:tbl>
            <w:tblPr>
              <w:tblStyle w:val="30"/>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15" w:type="dxa"/>
                <w:left w:w="15" w:type="dxa"/>
                <w:bottom w:w="15" w:type="dxa"/>
                <w:right w:w="15" w:type="dxa"/>
              </w:tblCellMar>
            </w:tblPr>
            <w:tblGrid>
              <w:gridCol w:w="1079"/>
              <w:gridCol w:w="714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67" w:hRule="atLeast"/>
                <w:tblHeader/>
                <w:jc w:val="center"/>
              </w:trPr>
              <w:tc>
                <w:tcPr>
                  <w:tcW w:w="656"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ascii="Times New Roman" w:hAnsi="Times New Roman" w:eastAsia="宋体" w:cs="Times New Roman"/>
                      <w:sz w:val="21"/>
                      <w:szCs w:val="21"/>
                    </w:rPr>
                  </w:pPr>
                  <w:r>
                    <w:rPr>
                      <w:rFonts w:ascii="Times New Roman" w:hAnsi="Times New Roman" w:eastAsia="宋体" w:cs="Times New Roman"/>
                      <w:sz w:val="21"/>
                      <w:szCs w:val="21"/>
                    </w:rPr>
                    <w:t>运行时段</w:t>
                  </w:r>
                </w:p>
              </w:tc>
              <w:tc>
                <w:tcPr>
                  <w:tcW w:w="4343"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ascii="Times New Roman" w:hAnsi="Times New Roman" w:eastAsia="宋体" w:cs="Times New Roman"/>
                      <w:sz w:val="21"/>
                      <w:szCs w:val="21"/>
                    </w:rPr>
                  </w:pPr>
                  <w:r>
                    <w:rPr>
                      <w:rFonts w:ascii="Times New Roman" w:hAnsi="Times New Roman" w:eastAsia="宋体" w:cs="Times New Roman"/>
                      <w:sz w:val="21"/>
                      <w:szCs w:val="21"/>
                    </w:rPr>
                    <w:t>管理计划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97" w:hRule="atLeast"/>
                <w:jc w:val="center"/>
              </w:trPr>
              <w:tc>
                <w:tcPr>
                  <w:tcW w:w="656"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ascii="Times New Roman" w:hAnsi="Times New Roman" w:eastAsia="宋体" w:cs="Times New Roman"/>
                      <w:sz w:val="21"/>
                      <w:szCs w:val="21"/>
                    </w:rPr>
                  </w:pPr>
                  <w:r>
                    <w:rPr>
                      <w:rFonts w:ascii="Times New Roman" w:hAnsi="Times New Roman" w:eastAsia="宋体" w:cs="Times New Roman"/>
                      <w:sz w:val="21"/>
                      <w:szCs w:val="21"/>
                    </w:rPr>
                    <w:t>筹备期</w:t>
                  </w:r>
                </w:p>
              </w:tc>
              <w:tc>
                <w:tcPr>
                  <w:tcW w:w="4343"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snapToGrid/>
                    <w:spacing w:line="240" w:lineRule="auto"/>
                    <w:ind w:left="0" w:leftChars="0" w:right="0" w:rightChars="0"/>
                    <w:rPr>
                      <w:rFonts w:ascii="Times New Roman" w:hAnsi="Times New Roman" w:eastAsia="宋体" w:cs="Times New Roman"/>
                      <w:sz w:val="21"/>
                      <w:szCs w:val="21"/>
                    </w:rPr>
                  </w:pPr>
                  <w:r>
                    <w:rPr>
                      <w:rFonts w:hint="eastAsia" w:ascii="Times New Roman" w:hAnsi="Times New Roman" w:eastAsia="宋体" w:cs="Times New Roman"/>
                      <w:sz w:val="21"/>
                      <w:szCs w:val="21"/>
                    </w:rPr>
                    <w:t>①</w:t>
                  </w:r>
                  <w:r>
                    <w:rPr>
                      <w:rFonts w:ascii="Times New Roman" w:hAnsi="Times New Roman" w:eastAsia="宋体" w:cs="Times New Roman"/>
                      <w:sz w:val="21"/>
                      <w:szCs w:val="21"/>
                    </w:rPr>
                    <w:t>熟悉环保法律法规；</w:t>
                  </w:r>
                </w:p>
                <w:p>
                  <w:pPr>
                    <w:keepNext w:val="0"/>
                    <w:keepLines w:val="0"/>
                    <w:pageBreakBefore w:val="0"/>
                    <w:widowControl w:val="0"/>
                    <w:kinsoku/>
                    <w:wordWrap/>
                    <w:overflowPunct/>
                    <w:topLinePunct w:val="0"/>
                    <w:autoSpaceDE/>
                    <w:autoSpaceDN/>
                    <w:bidi w:val="0"/>
                    <w:snapToGrid/>
                    <w:spacing w:line="240" w:lineRule="auto"/>
                    <w:ind w:left="0" w:leftChars="0" w:right="0" w:rightChars="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审核项目准入条件，确定项目是否符合国家产业政策和环保准入条件；</w:t>
                  </w:r>
                </w:p>
                <w:p>
                  <w:pPr>
                    <w:keepNext w:val="0"/>
                    <w:keepLines w:val="0"/>
                    <w:pageBreakBefore w:val="0"/>
                    <w:widowControl w:val="0"/>
                    <w:kinsoku/>
                    <w:wordWrap/>
                    <w:overflowPunct/>
                    <w:topLinePunct w:val="0"/>
                    <w:autoSpaceDE/>
                    <w:autoSpaceDN/>
                    <w:bidi w:val="0"/>
                    <w:snapToGrid/>
                    <w:spacing w:line="240" w:lineRule="auto"/>
                    <w:ind w:left="0" w:leftChars="0" w:right="0" w:rightChars="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向环保管理部门申报建设项目，内容包括产品规模、生产工艺、采用设备、建设地点等；</w:t>
                  </w:r>
                </w:p>
                <w:p>
                  <w:pPr>
                    <w:keepNext w:val="0"/>
                    <w:keepLines w:val="0"/>
                    <w:pageBreakBefore w:val="0"/>
                    <w:widowControl w:val="0"/>
                    <w:kinsoku/>
                    <w:wordWrap/>
                    <w:overflowPunct/>
                    <w:topLinePunct w:val="0"/>
                    <w:autoSpaceDE/>
                    <w:autoSpaceDN/>
                    <w:bidi w:val="0"/>
                    <w:snapToGrid/>
                    <w:spacing w:line="240" w:lineRule="auto"/>
                    <w:ind w:left="0" w:leftChars="0" w:right="0" w:rightChars="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请有资质的正规单位进行可行性研究和初步设计，进行建设项目环境影响评价，待管理部门批准后进行建设。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23" w:hRule="atLeast"/>
                <w:jc w:val="center"/>
              </w:trPr>
              <w:tc>
                <w:tcPr>
                  <w:tcW w:w="656"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ascii="Times New Roman" w:hAnsi="Times New Roman" w:eastAsia="宋体" w:cs="Times New Roman"/>
                      <w:sz w:val="21"/>
                      <w:szCs w:val="21"/>
                    </w:rPr>
                  </w:pPr>
                  <w:r>
                    <w:rPr>
                      <w:rFonts w:ascii="Times New Roman" w:hAnsi="Times New Roman" w:eastAsia="宋体" w:cs="Times New Roman"/>
                      <w:sz w:val="21"/>
                      <w:szCs w:val="21"/>
                    </w:rPr>
                    <w:t>建设期</w:t>
                  </w:r>
                </w:p>
              </w:tc>
              <w:tc>
                <w:tcPr>
                  <w:tcW w:w="4343"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snapToGrid/>
                    <w:spacing w:line="240" w:lineRule="auto"/>
                    <w:ind w:left="0" w:leftChars="0" w:right="0" w:rightChars="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请有资质的正规单位按照设计图纸进行规范施工和全过程的施工监理、环境监理，认真执行环评提出的建设期污染治理措施；</w:t>
                  </w:r>
                </w:p>
                <w:p>
                  <w:pPr>
                    <w:keepNext w:val="0"/>
                    <w:keepLines w:val="0"/>
                    <w:pageBreakBefore w:val="0"/>
                    <w:widowControl w:val="0"/>
                    <w:kinsoku/>
                    <w:wordWrap/>
                    <w:overflowPunct/>
                    <w:topLinePunct w:val="0"/>
                    <w:autoSpaceDE/>
                    <w:autoSpaceDN/>
                    <w:bidi w:val="0"/>
                    <w:snapToGrid/>
                    <w:spacing w:line="240" w:lineRule="auto"/>
                    <w:ind w:left="0" w:leftChars="0" w:right="0" w:rightChars="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根据环评及批复的污染防治措施和</w:t>
                  </w:r>
                  <w:r>
                    <w:rPr>
                      <w:rFonts w:hint="eastAsia" w:ascii="Times New Roman" w:hAnsi="Times New Roman" w:eastAsia="宋体" w:cs="Times New Roman"/>
                      <w:sz w:val="21"/>
                      <w:szCs w:val="21"/>
                    </w:rPr>
                    <w:t>“</w:t>
                  </w:r>
                  <w:r>
                    <w:rPr>
                      <w:rFonts w:ascii="Times New Roman" w:hAnsi="Times New Roman" w:eastAsia="宋体" w:cs="Times New Roman"/>
                      <w:sz w:val="21"/>
                      <w:szCs w:val="21"/>
                    </w:rPr>
                    <w:t>三同时</w:t>
                  </w:r>
                  <w:r>
                    <w:rPr>
                      <w:rFonts w:hint="eastAsia" w:ascii="Times New Roman" w:hAnsi="Times New Roman" w:eastAsia="宋体" w:cs="Times New Roman"/>
                      <w:sz w:val="21"/>
                      <w:szCs w:val="21"/>
                    </w:rPr>
                    <w:t>”</w:t>
                  </w:r>
                  <w:r>
                    <w:rPr>
                      <w:rFonts w:ascii="Times New Roman" w:hAnsi="Times New Roman" w:eastAsia="宋体" w:cs="Times New Roman"/>
                      <w:sz w:val="21"/>
                      <w:szCs w:val="21"/>
                    </w:rPr>
                    <w:t>原则落实环保设施的建设；</w:t>
                  </w:r>
                </w:p>
                <w:p>
                  <w:pPr>
                    <w:keepNext w:val="0"/>
                    <w:keepLines w:val="0"/>
                    <w:pageBreakBefore w:val="0"/>
                    <w:widowControl w:val="0"/>
                    <w:kinsoku/>
                    <w:wordWrap/>
                    <w:overflowPunct/>
                    <w:topLinePunct w:val="0"/>
                    <w:autoSpaceDE/>
                    <w:autoSpaceDN/>
                    <w:bidi w:val="0"/>
                    <w:snapToGrid/>
                    <w:spacing w:line="240" w:lineRule="auto"/>
                    <w:ind w:left="0" w:leftChars="0" w:right="0" w:rightChars="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在工程投入试运行前，检查施工现场恢复情况，未恢复的及时恢复。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97" w:hRule="atLeast"/>
                <w:jc w:val="center"/>
              </w:trPr>
              <w:tc>
                <w:tcPr>
                  <w:tcW w:w="656"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ascii="Times New Roman" w:hAnsi="Times New Roman" w:eastAsia="宋体" w:cs="Times New Roman"/>
                      <w:sz w:val="21"/>
                      <w:szCs w:val="21"/>
                    </w:rPr>
                  </w:pPr>
                  <w:r>
                    <w:rPr>
                      <w:rFonts w:ascii="Times New Roman" w:hAnsi="Times New Roman" w:eastAsia="宋体" w:cs="Times New Roman"/>
                      <w:sz w:val="21"/>
                      <w:szCs w:val="21"/>
                    </w:rPr>
                    <w:t>竣工</w:t>
                  </w:r>
                </w:p>
                <w:p>
                  <w:pPr>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ascii="Times New Roman" w:hAnsi="Times New Roman" w:eastAsia="宋体" w:cs="Times New Roman"/>
                      <w:sz w:val="21"/>
                      <w:szCs w:val="21"/>
                    </w:rPr>
                  </w:pPr>
                  <w:r>
                    <w:rPr>
                      <w:rFonts w:ascii="Times New Roman" w:hAnsi="Times New Roman" w:eastAsia="宋体" w:cs="Times New Roman"/>
                      <w:sz w:val="21"/>
                      <w:szCs w:val="21"/>
                    </w:rPr>
                    <w:t>验收期</w:t>
                  </w:r>
                </w:p>
              </w:tc>
              <w:tc>
                <w:tcPr>
                  <w:tcW w:w="4343"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snapToGrid/>
                    <w:spacing w:line="240" w:lineRule="auto"/>
                    <w:ind w:left="0" w:leftChars="0" w:right="0" w:rightChars="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项目建成后，汇同施工单位、设计单位检查环保设施是否符合</w:t>
                  </w:r>
                  <w:r>
                    <w:rPr>
                      <w:rFonts w:hint="eastAsia" w:ascii="Times New Roman" w:hAnsi="Times New Roman" w:eastAsia="宋体" w:cs="Times New Roman"/>
                      <w:sz w:val="21"/>
                      <w:szCs w:val="21"/>
                    </w:rPr>
                    <w:t>“</w:t>
                  </w:r>
                  <w:r>
                    <w:rPr>
                      <w:rFonts w:ascii="Times New Roman" w:hAnsi="Times New Roman" w:eastAsia="宋体" w:cs="Times New Roman"/>
                      <w:sz w:val="21"/>
                      <w:szCs w:val="21"/>
                    </w:rPr>
                    <w:t>三同时</w:t>
                  </w:r>
                  <w:r>
                    <w:rPr>
                      <w:rFonts w:hint="eastAsia" w:ascii="Times New Roman" w:hAnsi="Times New Roman" w:eastAsia="宋体" w:cs="Times New Roman"/>
                      <w:sz w:val="21"/>
                      <w:szCs w:val="21"/>
                    </w:rPr>
                    <w:t>”</w:t>
                  </w:r>
                  <w:r>
                    <w:rPr>
                      <w:rFonts w:ascii="Times New Roman" w:hAnsi="Times New Roman" w:eastAsia="宋体" w:cs="Times New Roman"/>
                      <w:sz w:val="21"/>
                      <w:szCs w:val="21"/>
                    </w:rPr>
                    <w:t>原则，并将检查结果和项目准备试生产报告提交当地环境保护行政管理部门，经检查同意后进行试生产；</w:t>
                  </w:r>
                </w:p>
                <w:p>
                  <w:pPr>
                    <w:keepNext w:val="0"/>
                    <w:keepLines w:val="0"/>
                    <w:pageBreakBefore w:val="0"/>
                    <w:widowControl w:val="0"/>
                    <w:kinsoku/>
                    <w:wordWrap/>
                    <w:overflowPunct/>
                    <w:topLinePunct w:val="0"/>
                    <w:autoSpaceDE/>
                    <w:autoSpaceDN/>
                    <w:bidi w:val="0"/>
                    <w:snapToGrid/>
                    <w:spacing w:line="240" w:lineRule="auto"/>
                    <w:ind w:left="0" w:leftChars="0" w:right="0" w:rightChars="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监测环保设施运行效率与效果；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67" w:hRule="atLeast"/>
                <w:jc w:val="center"/>
              </w:trPr>
              <w:tc>
                <w:tcPr>
                  <w:tcW w:w="656"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ascii="Times New Roman" w:hAnsi="Times New Roman" w:eastAsia="宋体" w:cs="Times New Roman"/>
                      <w:sz w:val="21"/>
                      <w:szCs w:val="21"/>
                    </w:rPr>
                  </w:pPr>
                  <w:r>
                    <w:rPr>
                      <w:rFonts w:ascii="Times New Roman" w:hAnsi="Times New Roman" w:eastAsia="宋体" w:cs="Times New Roman"/>
                      <w:sz w:val="21"/>
                      <w:szCs w:val="21"/>
                    </w:rPr>
                    <w:t>运</w:t>
                  </w:r>
                  <w:r>
                    <w:rPr>
                      <w:rFonts w:hint="eastAsia" w:ascii="Times New Roman" w:hAnsi="Times New Roman" w:eastAsia="宋体" w:cs="Times New Roman"/>
                      <w:sz w:val="21"/>
                      <w:szCs w:val="21"/>
                      <w:lang w:val="en-US" w:eastAsia="zh-CN"/>
                    </w:rPr>
                    <w:t>营</w:t>
                  </w:r>
                  <w:r>
                    <w:rPr>
                      <w:rFonts w:ascii="Times New Roman" w:hAnsi="Times New Roman" w:eastAsia="宋体" w:cs="Times New Roman"/>
                      <w:sz w:val="21"/>
                      <w:szCs w:val="21"/>
                    </w:rPr>
                    <w:t>期</w:t>
                  </w:r>
                </w:p>
              </w:tc>
              <w:tc>
                <w:tcPr>
                  <w:tcW w:w="4343"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snapToGrid/>
                    <w:spacing w:line="240" w:lineRule="auto"/>
                    <w:ind w:left="0" w:leftChars="0" w:right="0" w:rightChars="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制定切实可行的环保管理制度和条例。组织开展环保宣传教育培训；</w:t>
                  </w:r>
                </w:p>
                <w:p>
                  <w:pPr>
                    <w:keepNext w:val="0"/>
                    <w:keepLines w:val="0"/>
                    <w:pageBreakBefore w:val="0"/>
                    <w:widowControl w:val="0"/>
                    <w:kinsoku/>
                    <w:wordWrap/>
                    <w:overflowPunct/>
                    <w:topLinePunct w:val="0"/>
                    <w:autoSpaceDE/>
                    <w:autoSpaceDN/>
                    <w:bidi w:val="0"/>
                    <w:snapToGrid/>
                    <w:spacing w:line="240" w:lineRule="auto"/>
                    <w:ind w:left="0" w:leftChars="0" w:right="0" w:rightChars="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把污染源监督和</w:t>
                  </w:r>
                  <w:r>
                    <w:rPr>
                      <w:rFonts w:hint="eastAsia" w:ascii="Times New Roman" w:hAnsi="Times New Roman" w:eastAsia="宋体" w:cs="Times New Roman"/>
                      <w:sz w:val="21"/>
                      <w:szCs w:val="21"/>
                    </w:rPr>
                    <w:t>“</w:t>
                  </w:r>
                  <w:r>
                    <w:rPr>
                      <w:rFonts w:ascii="Times New Roman" w:hAnsi="Times New Roman" w:eastAsia="宋体" w:cs="Times New Roman"/>
                      <w:sz w:val="21"/>
                      <w:szCs w:val="21"/>
                    </w:rPr>
                    <w:t>三废</w:t>
                  </w:r>
                  <w:r>
                    <w:rPr>
                      <w:rFonts w:hint="eastAsia" w:ascii="Times New Roman" w:hAnsi="Times New Roman" w:eastAsia="宋体" w:cs="Times New Roman"/>
                      <w:sz w:val="21"/>
                      <w:szCs w:val="21"/>
                    </w:rPr>
                    <w:t>”</w:t>
                  </w:r>
                  <w:r>
                    <w:rPr>
                      <w:rFonts w:ascii="Times New Roman" w:hAnsi="Times New Roman" w:eastAsia="宋体" w:cs="Times New Roman"/>
                      <w:sz w:val="21"/>
                      <w:szCs w:val="21"/>
                    </w:rPr>
                    <w:t>排放纳入日常管理工作，并落实到车间班组和岗位，进行全方位管理；</w:t>
                  </w:r>
                </w:p>
                <w:p>
                  <w:pPr>
                    <w:keepNext w:val="0"/>
                    <w:keepLines w:val="0"/>
                    <w:pageBreakBefore w:val="0"/>
                    <w:widowControl w:val="0"/>
                    <w:kinsoku/>
                    <w:wordWrap/>
                    <w:overflowPunct/>
                    <w:topLinePunct w:val="0"/>
                    <w:autoSpaceDE/>
                    <w:autoSpaceDN/>
                    <w:bidi w:val="0"/>
                    <w:snapToGrid/>
                    <w:spacing w:line="240" w:lineRule="auto"/>
                    <w:ind w:left="0" w:leftChars="0" w:right="0" w:rightChars="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实施有效的</w:t>
                  </w:r>
                  <w:r>
                    <w:rPr>
                      <w:rFonts w:hint="eastAsia" w:ascii="Times New Roman" w:hAnsi="Times New Roman" w:eastAsia="宋体" w:cs="Times New Roman"/>
                      <w:sz w:val="21"/>
                      <w:szCs w:val="21"/>
                    </w:rPr>
                    <w:t>“</w:t>
                  </w:r>
                  <w:r>
                    <w:rPr>
                      <w:rFonts w:ascii="Times New Roman" w:hAnsi="Times New Roman" w:eastAsia="宋体" w:cs="Times New Roman"/>
                      <w:sz w:val="21"/>
                      <w:szCs w:val="21"/>
                    </w:rPr>
                    <w:t>三废</w:t>
                  </w:r>
                  <w:r>
                    <w:rPr>
                      <w:rFonts w:hint="eastAsia" w:ascii="Times New Roman" w:hAnsi="Times New Roman" w:eastAsia="宋体" w:cs="Times New Roman"/>
                      <w:sz w:val="21"/>
                      <w:szCs w:val="21"/>
                    </w:rPr>
                    <w:t>”</w:t>
                  </w:r>
                  <w:r>
                    <w:rPr>
                      <w:rFonts w:ascii="Times New Roman" w:hAnsi="Times New Roman" w:eastAsia="宋体" w:cs="Times New Roman"/>
                      <w:sz w:val="21"/>
                      <w:szCs w:val="21"/>
                    </w:rPr>
                    <w:t>综合利用开发措施。收集整理和推广环保技术经验，及时解决运行中出现的环保问题；</w:t>
                  </w:r>
                </w:p>
                <w:p>
                  <w:pPr>
                    <w:keepNext w:val="0"/>
                    <w:keepLines w:val="0"/>
                    <w:pageBreakBefore w:val="0"/>
                    <w:widowControl w:val="0"/>
                    <w:kinsoku/>
                    <w:wordWrap/>
                    <w:overflowPunct/>
                    <w:topLinePunct w:val="0"/>
                    <w:autoSpaceDE/>
                    <w:autoSpaceDN/>
                    <w:bidi w:val="0"/>
                    <w:snapToGrid/>
                    <w:spacing w:line="240" w:lineRule="auto"/>
                    <w:ind w:left="0" w:leftChars="0" w:right="0" w:rightChars="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按照责、权、利实施奖罚制度，对违反法规和制度的行为根据情节给与处罚，对有功者给与奖励；</w:t>
                  </w:r>
                </w:p>
                <w:p>
                  <w:pPr>
                    <w:keepNext w:val="0"/>
                    <w:keepLines w:val="0"/>
                    <w:pageBreakBefore w:val="0"/>
                    <w:widowControl w:val="0"/>
                    <w:kinsoku/>
                    <w:wordWrap/>
                    <w:overflowPunct/>
                    <w:topLinePunct w:val="0"/>
                    <w:autoSpaceDE/>
                    <w:autoSpaceDN/>
                    <w:bidi w:val="0"/>
                    <w:snapToGrid/>
                    <w:spacing w:line="240" w:lineRule="auto"/>
                    <w:ind w:left="0" w:leftChars="0" w:right="0" w:rightChars="0"/>
                    <w:rPr>
                      <w:rFonts w:ascii="Times New Roman" w:hAnsi="Times New Roman" w:eastAsia="宋体" w:cs="Times New Roman"/>
                      <w:sz w:val="21"/>
                      <w:szCs w:val="21"/>
                    </w:rPr>
                  </w:pPr>
                  <w:r>
                    <w:rPr>
                      <w:rFonts w:hint="eastAsia" w:ascii="宋体" w:hAnsi="宋体" w:eastAsia="宋体" w:cs="宋体"/>
                      <w:sz w:val="21"/>
                      <w:szCs w:val="21"/>
                    </w:rPr>
                    <w:t>⑤</w:t>
                  </w:r>
                  <w:r>
                    <w:rPr>
                      <w:rFonts w:ascii="Times New Roman" w:hAnsi="Times New Roman" w:eastAsia="宋体" w:cs="Times New Roman"/>
                      <w:sz w:val="21"/>
                      <w:szCs w:val="21"/>
                    </w:rPr>
                    <w:t>配合当地和上级环保主管部门，认真落实国家环保法规和行政主管部门的规定。接受环保管理部门的监督检查和管理；</w:t>
                  </w:r>
                </w:p>
                <w:p>
                  <w:pPr>
                    <w:keepNext w:val="0"/>
                    <w:keepLines w:val="0"/>
                    <w:pageBreakBefore w:val="0"/>
                    <w:widowControl w:val="0"/>
                    <w:kinsoku/>
                    <w:wordWrap/>
                    <w:overflowPunct/>
                    <w:topLinePunct w:val="0"/>
                    <w:autoSpaceDE/>
                    <w:autoSpaceDN/>
                    <w:bidi w:val="0"/>
                    <w:snapToGrid/>
                    <w:spacing w:line="240" w:lineRule="auto"/>
                    <w:ind w:left="0" w:leftChars="0" w:right="0" w:rightChars="0"/>
                    <w:rPr>
                      <w:rFonts w:ascii="Times New Roman" w:hAnsi="Times New Roman" w:eastAsia="宋体" w:cs="Times New Roman"/>
                      <w:sz w:val="21"/>
                      <w:szCs w:val="21"/>
                    </w:rPr>
                  </w:pPr>
                  <w:r>
                    <w:rPr>
                      <w:rFonts w:hint="eastAsia" w:ascii="宋体" w:hAnsi="宋体" w:eastAsia="宋体" w:cs="宋体"/>
                      <w:sz w:val="21"/>
                      <w:szCs w:val="21"/>
                    </w:rPr>
                    <w:t>⑥</w:t>
                  </w:r>
                  <w:r>
                    <w:rPr>
                      <w:rFonts w:ascii="Times New Roman" w:hAnsi="Times New Roman" w:eastAsia="宋体" w:cs="Times New Roman"/>
                      <w:sz w:val="21"/>
                      <w:szCs w:val="21"/>
                    </w:rPr>
                    <w:t>按照环评及批复要求制订全厂环境监测计划，定期进行污染源和环境监测，整理分析各项监测资料，填报环境监测统计报表、环境指标考核资料，建立环保档案，掌握污染排放情况，分析变化规律。</w:t>
                  </w:r>
                </w:p>
              </w:tc>
            </w:tr>
          </w:tbl>
          <w:p>
            <w:pPr>
              <w:pStyle w:val="106"/>
              <w:keepNext w:val="0"/>
              <w:keepLines w:val="0"/>
              <w:pageBreakBefore w:val="0"/>
              <w:widowControl w:val="0"/>
              <w:kinsoku/>
              <w:wordWrap/>
              <w:autoSpaceDE/>
              <w:autoSpaceDN/>
              <w:bidi w:val="0"/>
              <w:spacing w:before="0" w:after="0" w:line="360" w:lineRule="auto"/>
              <w:ind w:left="0" w:leftChars="0" w:right="0" w:rightChars="0" w:firstLine="482"/>
              <w:rPr>
                <w:color w:val="auto"/>
                <w:sz w:val="24"/>
                <w:szCs w:val="24"/>
              </w:rPr>
            </w:pPr>
            <w:r>
              <w:rPr>
                <w:b/>
                <w:color w:val="auto"/>
                <w:sz w:val="24"/>
                <w:szCs w:val="24"/>
              </w:rPr>
              <w:t>（</w:t>
            </w:r>
            <w:r>
              <w:rPr>
                <w:rFonts w:hint="eastAsia"/>
                <w:b/>
                <w:color w:val="auto"/>
                <w:sz w:val="24"/>
                <w:szCs w:val="24"/>
                <w:lang w:val="en-US" w:eastAsia="zh-CN"/>
              </w:rPr>
              <w:t>2</w:t>
            </w:r>
            <w:r>
              <w:rPr>
                <w:b/>
                <w:color w:val="auto"/>
                <w:sz w:val="24"/>
                <w:szCs w:val="24"/>
              </w:rPr>
              <w:t>）监测计划</w:t>
            </w:r>
          </w:p>
          <w:p>
            <w:pPr>
              <w:pStyle w:val="106"/>
              <w:keepNext w:val="0"/>
              <w:keepLines w:val="0"/>
              <w:pageBreakBefore w:val="0"/>
              <w:widowControl w:val="0"/>
              <w:kinsoku/>
              <w:wordWrap/>
              <w:autoSpaceDE/>
              <w:autoSpaceDN/>
              <w:bidi w:val="0"/>
              <w:spacing w:before="0" w:after="0" w:line="360" w:lineRule="auto"/>
              <w:ind w:left="0" w:leftChars="0" w:right="0" w:rightChars="0" w:firstLine="480"/>
              <w:rPr>
                <w:rFonts w:hint="eastAsia"/>
                <w:color w:val="auto"/>
                <w:sz w:val="21"/>
                <w:szCs w:val="21"/>
                <w:lang w:val="en-US" w:eastAsia="zh-CN"/>
              </w:rPr>
            </w:pPr>
            <w:r>
              <w:rPr>
                <w:rFonts w:hint="eastAsia"/>
                <w:color w:val="auto"/>
                <w:sz w:val="24"/>
                <w:szCs w:val="24"/>
                <w:lang w:val="en-US" w:eastAsia="zh-CN"/>
              </w:rPr>
              <w:t>本项目为生态型建设项目，</w:t>
            </w:r>
            <w:r>
              <w:rPr>
                <w:color w:val="auto"/>
                <w:sz w:val="24"/>
                <w:szCs w:val="24"/>
              </w:rPr>
              <w:t>根据本项目实际情况，</w:t>
            </w:r>
            <w:r>
              <w:rPr>
                <w:rFonts w:hint="eastAsia"/>
                <w:color w:val="auto"/>
                <w:sz w:val="24"/>
                <w:szCs w:val="24"/>
                <w:lang w:val="en-US" w:eastAsia="zh-CN"/>
              </w:rPr>
              <w:t>制定以下环境监测计划，本项目监测计划详见下表5-3所示：</w:t>
            </w:r>
          </w:p>
          <w:p>
            <w:pPr>
              <w:pStyle w:val="107"/>
              <w:keepNext w:val="0"/>
              <w:keepLines w:val="0"/>
              <w:pageBreakBefore w:val="0"/>
              <w:widowControl w:val="0"/>
              <w:kinsoku/>
              <w:wordWrap/>
              <w:overflowPunct/>
              <w:topLinePunct w:val="0"/>
              <w:autoSpaceDE/>
              <w:autoSpaceDN/>
              <w:bidi w:val="0"/>
              <w:snapToGrid/>
              <w:spacing w:before="0" w:after="0" w:afterLines="0" w:line="240" w:lineRule="auto"/>
              <w:ind w:left="0" w:leftChars="0" w:right="0" w:rightChars="0"/>
              <w:rPr>
                <w:rFonts w:ascii="Times New Roman" w:hAnsi="Times New Roman" w:eastAsia="宋体" w:cs="Times New Roman"/>
                <w:b/>
                <w:sz w:val="21"/>
                <w:szCs w:val="21"/>
              </w:rPr>
            </w:pPr>
            <w:r>
              <w:rPr>
                <w:rFonts w:ascii="Times New Roman" w:hAnsi="Times New Roman" w:eastAsia="宋体" w:cs="Times New Roman"/>
                <w:b/>
                <w:sz w:val="21"/>
                <w:szCs w:val="21"/>
              </w:rPr>
              <w:t>表</w:t>
            </w:r>
            <w:r>
              <w:rPr>
                <w:rFonts w:hint="eastAsia" w:ascii="Times New Roman" w:hAnsi="Times New Roman" w:eastAsia="宋体" w:cs="Times New Roman"/>
                <w:b/>
                <w:sz w:val="21"/>
                <w:szCs w:val="21"/>
                <w:lang w:val="en-US" w:eastAsia="zh-CN"/>
              </w:rPr>
              <w:t>5-3</w:t>
            </w:r>
            <w:r>
              <w:rPr>
                <w:rFonts w:ascii="Times New Roman" w:hAnsi="Times New Roman" w:eastAsia="宋体" w:cs="Times New Roman"/>
                <w:b/>
                <w:sz w:val="21"/>
                <w:szCs w:val="21"/>
              </w:rPr>
              <w:t xml:space="preserve"> 本项目环境监测计划表</w:t>
            </w:r>
          </w:p>
          <w:tbl>
            <w:tblPr>
              <w:tblStyle w:val="30"/>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772"/>
              <w:gridCol w:w="949"/>
              <w:gridCol w:w="1142"/>
              <w:gridCol w:w="708"/>
              <w:gridCol w:w="1282"/>
              <w:gridCol w:w="2135"/>
              <w:gridCol w:w="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时期</w:t>
                  </w:r>
                </w:p>
              </w:tc>
              <w:tc>
                <w:tcPr>
                  <w:tcW w:w="469"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类别</w:t>
                  </w:r>
                </w:p>
              </w:tc>
              <w:tc>
                <w:tcPr>
                  <w:tcW w:w="576"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测点数</w:t>
                  </w:r>
                </w:p>
              </w:tc>
              <w:tc>
                <w:tcPr>
                  <w:tcW w:w="694" w:type="pct"/>
                  <w:tcBorders>
                    <w:right w:val="single" w:color="000000" w:sz="8" w:space="0"/>
                    <w:tl2br w:val="nil"/>
                    <w:tr2bl w:val="nil"/>
                  </w:tcBorders>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监测</w:t>
                  </w:r>
                  <w:r>
                    <w:rPr>
                      <w:rFonts w:hint="eastAsia" w:ascii="Times New Roman" w:hAnsi="Times New Roman" w:eastAsia="宋体" w:cs="Times New Roman"/>
                      <w:color w:val="auto"/>
                      <w:sz w:val="21"/>
                      <w:szCs w:val="21"/>
                      <w:lang w:val="en-US" w:eastAsia="zh-CN"/>
                    </w:rPr>
                    <w:t>位置</w:t>
                  </w:r>
                </w:p>
              </w:tc>
              <w:tc>
                <w:tcPr>
                  <w:tcW w:w="430" w:type="pct"/>
                  <w:tcBorders>
                    <w:left w:val="single" w:color="000000" w:sz="8" w:space="0"/>
                    <w:tl2br w:val="nil"/>
                    <w:tr2bl w:val="nil"/>
                  </w:tcBorders>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监测项目</w:t>
                  </w:r>
                </w:p>
              </w:tc>
              <w:tc>
                <w:tcPr>
                  <w:tcW w:w="779"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监测频率</w:t>
                  </w:r>
                </w:p>
              </w:tc>
              <w:tc>
                <w:tcPr>
                  <w:tcW w:w="1298"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执行标准</w:t>
                  </w:r>
                </w:p>
              </w:tc>
              <w:tc>
                <w:tcPr>
                  <w:tcW w:w="468"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实施机构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283" w:type="pct"/>
                  <w:vMerge w:val="restar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施工期</w:t>
                  </w:r>
                </w:p>
              </w:tc>
              <w:tc>
                <w:tcPr>
                  <w:tcW w:w="469"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废气</w:t>
                  </w:r>
                </w:p>
              </w:tc>
              <w:tc>
                <w:tcPr>
                  <w:tcW w:w="576"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1个</w:t>
                  </w:r>
                </w:p>
              </w:tc>
              <w:tc>
                <w:tcPr>
                  <w:tcW w:w="694" w:type="pct"/>
                  <w:tcBorders>
                    <w:right w:val="single" w:color="000000" w:sz="8" w:space="0"/>
                    <w:tl2br w:val="nil"/>
                    <w:tr2bl w:val="nil"/>
                  </w:tcBorders>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施工场界范围内或下风向</w:t>
                  </w:r>
                </w:p>
              </w:tc>
              <w:tc>
                <w:tcPr>
                  <w:tcW w:w="430" w:type="pct"/>
                  <w:tcBorders>
                    <w:left w:val="single" w:color="000000" w:sz="8" w:space="0"/>
                    <w:tl2br w:val="nil"/>
                    <w:tr2bl w:val="nil"/>
                  </w:tcBorders>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TSP</w:t>
                  </w:r>
                </w:p>
              </w:tc>
              <w:tc>
                <w:tcPr>
                  <w:tcW w:w="779"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施工期内每季度监测一次，在施工时采样</w:t>
                  </w:r>
                </w:p>
              </w:tc>
              <w:tc>
                <w:tcPr>
                  <w:tcW w:w="1298"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四川省施工场地扬尘排放标准</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DB51-2682-2020</w:t>
                  </w:r>
                  <w:r>
                    <w:rPr>
                      <w:rFonts w:hint="eastAsia" w:ascii="Times New Roman" w:hAnsi="Times New Roman" w:eastAsia="宋体" w:cs="Times New Roman"/>
                      <w:color w:val="auto"/>
                      <w:sz w:val="21"/>
                      <w:szCs w:val="21"/>
                      <w:lang w:eastAsia="zh-CN"/>
                    </w:rPr>
                    <w:t>）</w:t>
                  </w:r>
                </w:p>
              </w:tc>
              <w:tc>
                <w:tcPr>
                  <w:tcW w:w="468"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建设单位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283" w:type="pct"/>
                  <w:vMerge w:val="continue"/>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hint="eastAsia" w:ascii="Times New Roman" w:hAnsi="Times New Roman" w:eastAsia="宋体" w:cs="Times New Roman"/>
                      <w:color w:val="auto"/>
                      <w:sz w:val="21"/>
                      <w:szCs w:val="21"/>
                      <w:lang w:val="en-US" w:eastAsia="zh-CN"/>
                    </w:rPr>
                  </w:pPr>
                </w:p>
              </w:tc>
              <w:tc>
                <w:tcPr>
                  <w:tcW w:w="469"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噪声</w:t>
                  </w:r>
                </w:p>
              </w:tc>
              <w:tc>
                <w:tcPr>
                  <w:tcW w:w="576"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4个</w:t>
                  </w:r>
                </w:p>
              </w:tc>
              <w:tc>
                <w:tcPr>
                  <w:tcW w:w="694" w:type="pct"/>
                  <w:tcBorders>
                    <w:right w:val="single" w:color="000000" w:sz="8" w:space="0"/>
                    <w:tl2br w:val="nil"/>
                    <w:tr2bl w:val="nil"/>
                  </w:tcBorders>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周边200m范围内敏感点处</w:t>
                  </w:r>
                </w:p>
              </w:tc>
              <w:tc>
                <w:tcPr>
                  <w:tcW w:w="430" w:type="pct"/>
                  <w:tcBorders>
                    <w:left w:val="single" w:color="000000" w:sz="8" w:space="0"/>
                    <w:tl2br w:val="nil"/>
                    <w:tr2bl w:val="nil"/>
                  </w:tcBorders>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L</w:t>
                  </w:r>
                  <w:r>
                    <w:rPr>
                      <w:rFonts w:hint="eastAsia" w:ascii="Times New Roman" w:hAnsi="Times New Roman" w:eastAsia="宋体" w:cs="Times New Roman"/>
                      <w:color w:val="auto"/>
                      <w:sz w:val="21"/>
                      <w:szCs w:val="21"/>
                      <w:vertAlign w:val="subscript"/>
                      <w:lang w:val="en-US" w:eastAsia="zh-CN"/>
                    </w:rPr>
                    <w:t>Aeq</w:t>
                  </w:r>
                </w:p>
              </w:tc>
              <w:tc>
                <w:tcPr>
                  <w:tcW w:w="779"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每季度1次，每次监测2天，昼夜各1次</w:t>
                  </w:r>
                </w:p>
              </w:tc>
              <w:tc>
                <w:tcPr>
                  <w:tcW w:w="1298"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《声环境质量标准》(GB3096-2008)</w:t>
                  </w:r>
                  <w:r>
                    <w:rPr>
                      <w:rFonts w:hint="eastAsia" w:ascii="Times New Roman" w:hAnsi="Times New Roman" w:eastAsia="宋体" w:cs="Times New Roman"/>
                      <w:color w:val="auto"/>
                      <w:sz w:val="21"/>
                      <w:szCs w:val="21"/>
                      <w:lang w:val="en-US" w:eastAsia="zh-CN"/>
                    </w:rPr>
                    <w:t>中2类标准</w:t>
                  </w:r>
                  <w:r>
                    <w:rPr>
                      <w:rFonts w:hint="eastAsia" w:ascii="Times New Roman" w:hAnsi="Times New Roman" w:eastAsia="宋体" w:cs="Times New Roman"/>
                      <w:color w:val="auto"/>
                      <w:sz w:val="21"/>
                      <w:szCs w:val="21"/>
                      <w:lang w:eastAsia="zh-CN"/>
                    </w:rPr>
                    <w:t>、、《建筑施工场界环境噪声排放标准》(GB12523-2011)</w:t>
                  </w:r>
                  <w:r>
                    <w:rPr>
                      <w:rFonts w:hint="eastAsia" w:ascii="Times New Roman" w:hAnsi="Times New Roman" w:eastAsia="宋体" w:cs="Times New Roman"/>
                      <w:color w:val="auto"/>
                      <w:sz w:val="21"/>
                      <w:szCs w:val="21"/>
                      <w:lang w:val="en-US" w:eastAsia="zh-CN"/>
                    </w:rPr>
                    <w:t>限值</w:t>
                  </w:r>
                </w:p>
              </w:tc>
              <w:tc>
                <w:tcPr>
                  <w:tcW w:w="468"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建设单位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283" w:type="pct"/>
                  <w:vMerge w:val="continue"/>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hint="eastAsia" w:ascii="Times New Roman" w:hAnsi="Times New Roman" w:eastAsia="宋体" w:cs="Times New Roman"/>
                      <w:color w:val="auto"/>
                      <w:sz w:val="21"/>
                      <w:szCs w:val="21"/>
                      <w:lang w:val="en-US" w:eastAsia="zh-CN"/>
                    </w:rPr>
                  </w:pPr>
                </w:p>
              </w:tc>
              <w:tc>
                <w:tcPr>
                  <w:tcW w:w="469"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地表水</w:t>
                  </w:r>
                </w:p>
              </w:tc>
              <w:tc>
                <w:tcPr>
                  <w:tcW w:w="576"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1个</w:t>
                  </w:r>
                </w:p>
              </w:tc>
              <w:tc>
                <w:tcPr>
                  <w:tcW w:w="694" w:type="pct"/>
                  <w:tcBorders>
                    <w:right w:val="single" w:color="000000" w:sz="8" w:space="0"/>
                    <w:tl2br w:val="nil"/>
                    <w:tr2bl w:val="nil"/>
                  </w:tcBorders>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工程河段</w:t>
                  </w:r>
                  <w:r>
                    <w:rPr>
                      <w:rFonts w:hint="eastAsia" w:ascii="Times New Roman" w:hAnsi="Times New Roman" w:cs="Times New Roman"/>
                      <w:color w:val="auto"/>
                      <w:sz w:val="21"/>
                      <w:szCs w:val="21"/>
                      <w:lang w:val="en-US" w:eastAsia="zh-CN"/>
                    </w:rPr>
                    <w:t>终点</w:t>
                  </w:r>
                  <w:r>
                    <w:rPr>
                      <w:rFonts w:hint="eastAsia" w:ascii="Times New Roman" w:hAnsi="Times New Roman" w:eastAsia="宋体" w:cs="Times New Roman"/>
                      <w:color w:val="auto"/>
                      <w:sz w:val="21"/>
                      <w:szCs w:val="21"/>
                      <w:lang w:val="en-US" w:eastAsia="zh-CN"/>
                    </w:rPr>
                    <w:t>下</w:t>
                  </w:r>
                  <w:r>
                    <w:rPr>
                      <w:rFonts w:hint="eastAsia" w:ascii="Times New Roman" w:hAnsi="Times New Roman" w:cs="Times New Roman"/>
                      <w:color w:val="auto"/>
                      <w:sz w:val="21"/>
                      <w:szCs w:val="21"/>
                      <w:lang w:val="en-US" w:eastAsia="zh-CN"/>
                    </w:rPr>
                    <w:t>游500m</w:t>
                  </w:r>
                  <w:r>
                    <w:rPr>
                      <w:rFonts w:hint="eastAsia" w:ascii="Times New Roman" w:hAnsi="Times New Roman" w:eastAsia="宋体" w:cs="Times New Roman"/>
                      <w:color w:val="auto"/>
                      <w:sz w:val="21"/>
                      <w:szCs w:val="21"/>
                      <w:lang w:val="en-US" w:eastAsia="zh-CN"/>
                    </w:rPr>
                    <w:t>处</w:t>
                  </w:r>
                </w:p>
              </w:tc>
              <w:tc>
                <w:tcPr>
                  <w:tcW w:w="430" w:type="pct"/>
                  <w:tcBorders>
                    <w:left w:val="single" w:color="000000" w:sz="8" w:space="0"/>
                    <w:tl2br w:val="nil"/>
                    <w:tr2bl w:val="nil"/>
                  </w:tcBorders>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pH、SS、</w:t>
                  </w:r>
                </w:p>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石油类</w:t>
                  </w:r>
                </w:p>
              </w:tc>
              <w:tc>
                <w:tcPr>
                  <w:tcW w:w="779"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施工期内每季度监测一次</w:t>
                  </w:r>
                </w:p>
              </w:tc>
              <w:tc>
                <w:tcPr>
                  <w:tcW w:w="1298"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《地表水环境质量标准》(GB3838-2002)</w:t>
                  </w:r>
                  <w:r>
                    <w:rPr>
                      <w:rFonts w:hint="eastAsia" w:ascii="Times New Roman" w:hAnsi="Times New Roman" w:eastAsia="宋体" w:cs="Times New Roman"/>
                      <w:color w:val="auto"/>
                      <w:sz w:val="21"/>
                      <w:szCs w:val="21"/>
                      <w:lang w:val="en-US" w:eastAsia="zh-CN"/>
                    </w:rPr>
                    <w:t>中</w:t>
                  </w:r>
                  <w:r>
                    <w:rPr>
                      <w:rFonts w:hint="eastAsia" w:ascii="宋体" w:hAnsi="宋体" w:eastAsia="宋体" w:cs="宋体"/>
                      <w:color w:val="auto"/>
                      <w:sz w:val="21"/>
                      <w:szCs w:val="21"/>
                      <w:lang w:val="en-US" w:eastAsia="zh-CN"/>
                    </w:rPr>
                    <w:t>Ш</w:t>
                  </w:r>
                  <w:r>
                    <w:rPr>
                      <w:rFonts w:hint="eastAsia" w:hAnsi="宋体" w:eastAsia="宋体" w:cs="宋体"/>
                      <w:color w:val="auto"/>
                      <w:sz w:val="21"/>
                      <w:szCs w:val="21"/>
                      <w:lang w:val="en-US" w:eastAsia="zh-CN"/>
                    </w:rPr>
                    <w:t>类水域标准</w:t>
                  </w:r>
                </w:p>
              </w:tc>
              <w:tc>
                <w:tcPr>
                  <w:tcW w:w="468"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建设单位</w:t>
                  </w:r>
                </w:p>
              </w:tc>
            </w:tr>
          </w:tbl>
          <w:p>
            <w:pPr>
              <w:spacing w:beforeLines="0" w:afterLines="0"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highlight w:val="none"/>
                <w:lang w:val="en-US" w:eastAsia="zh-CN"/>
              </w:rPr>
              <w:t>（六）</w:t>
            </w:r>
            <w:r>
              <w:rPr>
                <w:rFonts w:hint="eastAsia" w:ascii="Times New Roman" w:hAnsi="Times New Roman" w:cs="Times New Roman"/>
                <w:b/>
                <w:bCs/>
                <w:color w:val="auto"/>
                <w:sz w:val="24"/>
                <w:szCs w:val="24"/>
                <w:lang w:val="en-US" w:eastAsia="zh-CN"/>
              </w:rPr>
              <w:t>竣工验收内容</w:t>
            </w:r>
          </w:p>
          <w:p>
            <w:pPr>
              <w:pStyle w:val="26"/>
              <w:keepNext w:val="0"/>
              <w:keepLines w:val="0"/>
              <w:pageBreakBefore w:val="0"/>
              <w:widowControl/>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eastAsia="zh-CN" w:bidi="ar"/>
              </w:rPr>
              <w:t>工程建成后应及时组织环保验收，对各项环保工程措施的落实情况、效果以及工程建设对环境的影响进行评估。验收小组应由建设单位、设计单位、施工单位等组成，建议本建设项目的环保验收主要内容如下：</w:t>
            </w:r>
          </w:p>
          <w:p>
            <w:pPr>
              <w:pStyle w:val="26"/>
              <w:keepNext w:val="0"/>
              <w:keepLines w:val="0"/>
              <w:pageBreakBefore w:val="0"/>
              <w:widowControl/>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eastAsia="zh-CN" w:bidi="ar"/>
              </w:rPr>
              <w:t>（</w:t>
            </w:r>
            <w:r>
              <w:rPr>
                <w:rFonts w:hint="default" w:ascii="Times New Roman" w:hAnsi="Times New Roman" w:cs="Times New Roman"/>
                <w:color w:val="auto"/>
                <w:sz w:val="24"/>
                <w:szCs w:val="24"/>
                <w:lang w:val="en-US" w:bidi="ar"/>
              </w:rPr>
              <w:t>1</w:t>
            </w:r>
            <w:r>
              <w:rPr>
                <w:rFonts w:hint="default" w:ascii="Times New Roman" w:hAnsi="Times New Roman" w:cs="Times New Roman"/>
                <w:color w:val="auto"/>
                <w:sz w:val="24"/>
                <w:szCs w:val="24"/>
                <w:lang w:eastAsia="zh-CN" w:bidi="ar"/>
              </w:rPr>
              <w:t>）环保工程措施落实情况；</w:t>
            </w:r>
          </w:p>
          <w:p>
            <w:pPr>
              <w:pStyle w:val="26"/>
              <w:keepNext w:val="0"/>
              <w:keepLines w:val="0"/>
              <w:pageBreakBefore w:val="0"/>
              <w:widowControl/>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eastAsia="zh-CN" w:bidi="ar"/>
              </w:rPr>
              <w:t>（</w:t>
            </w:r>
            <w:r>
              <w:rPr>
                <w:rFonts w:hint="default" w:ascii="Times New Roman" w:hAnsi="Times New Roman" w:cs="Times New Roman"/>
                <w:color w:val="auto"/>
                <w:sz w:val="24"/>
                <w:szCs w:val="24"/>
                <w:lang w:val="en-US" w:bidi="ar"/>
              </w:rPr>
              <w:t>2</w:t>
            </w:r>
            <w:r>
              <w:rPr>
                <w:rFonts w:hint="default" w:ascii="Times New Roman" w:hAnsi="Times New Roman" w:cs="Times New Roman"/>
                <w:color w:val="auto"/>
                <w:sz w:val="24"/>
                <w:szCs w:val="24"/>
                <w:lang w:eastAsia="zh-CN" w:bidi="ar"/>
              </w:rPr>
              <w:t>）工程范围两侧声环境、大气环境质量的保持情况；</w:t>
            </w:r>
          </w:p>
          <w:p>
            <w:pPr>
              <w:keepNext w:val="0"/>
              <w:keepLines w:val="0"/>
              <w:pageBreakBefore w:val="0"/>
              <w:widowControl/>
              <w:suppressLineNumbers w:val="0"/>
              <w:kinsoku/>
              <w:wordWrap/>
              <w:overflowPunct/>
              <w:topLinePunct w:val="0"/>
              <w:bidi w:val="0"/>
              <w:snapToGrid/>
              <w:spacing w:before="0" w:beforeAutospacing="0" w:after="0" w:afterAutospacing="0" w:line="360" w:lineRule="auto"/>
              <w:ind w:left="0" w:right="0" w:firstLine="480" w:firstLineChars="200"/>
              <w:jc w:val="left"/>
              <w:textAlignment w:val="auto"/>
              <w:rPr>
                <w:rFonts w:hint="eastAsia"/>
                <w:sz w:val="24"/>
                <w:szCs w:val="24"/>
                <w:lang w:val="en-US" w:eastAsia="zh-CN"/>
              </w:rPr>
            </w:pPr>
            <w:r>
              <w:rPr>
                <w:rFonts w:hint="default" w:ascii="Times New Roman" w:hAnsi="Times New Roman" w:eastAsia="宋体" w:cs="Times New Roman"/>
                <w:color w:val="auto"/>
                <w:kern w:val="2"/>
                <w:sz w:val="24"/>
                <w:szCs w:val="24"/>
                <w:lang w:val="en-US" w:eastAsia="zh-CN" w:bidi="ar"/>
              </w:rPr>
              <w:t>（3）工程区绿化、水土流失防治情况</w:t>
            </w:r>
            <w:r>
              <w:rPr>
                <w:rFonts w:hint="eastAsia" w:ascii="Times New Roman" w:hAnsi="Times New Roman" w:eastAsia="宋体" w:cs="Times New Roman"/>
                <w:color w:val="auto"/>
                <w:kern w:val="2"/>
                <w:sz w:val="24"/>
                <w:szCs w:val="24"/>
                <w:lang w:val="en-US" w:eastAsia="zh-CN" w:bidi="ar"/>
              </w:rPr>
              <w:t>。</w:t>
            </w:r>
            <w:r>
              <w:rPr>
                <w:rFonts w:hint="eastAsia"/>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ascii="Times New Roman" w:hAnsi="Times New Roman" w:cs="Times New Roman"/>
                <w:color w:val="auto"/>
                <w:sz w:val="24"/>
                <w:szCs w:val="24"/>
                <w:lang w:val="en-US" w:eastAsia="zh-CN" w:bidi="ar"/>
              </w:rPr>
              <w:t>本</w:t>
            </w:r>
            <w:r>
              <w:rPr>
                <w:rFonts w:hint="default" w:ascii="Times New Roman" w:hAnsi="Times New Roman" w:cs="Times New Roman"/>
                <w:color w:val="auto"/>
                <w:sz w:val="24"/>
                <w:szCs w:val="24"/>
                <w:lang w:eastAsia="zh-CN" w:bidi="ar"/>
              </w:rPr>
              <w:t>工程</w:t>
            </w:r>
            <w:r>
              <w:rPr>
                <w:rFonts w:hint="eastAsia" w:ascii="Times New Roman" w:hAnsi="Times New Roman" w:cs="Times New Roman"/>
                <w:color w:val="auto"/>
                <w:sz w:val="24"/>
                <w:szCs w:val="24"/>
                <w:lang w:val="en-US" w:eastAsia="zh-CN" w:bidi="ar"/>
              </w:rPr>
              <w:t>竣工验收调查内容如下表：</w:t>
            </w:r>
          </w:p>
          <w:p>
            <w:pPr>
              <w:bidi w:val="0"/>
              <w:jc w:val="center"/>
              <w:rPr>
                <w:rFonts w:hint="default"/>
                <w:b/>
                <w:bCs/>
                <w:sz w:val="21"/>
                <w:szCs w:val="21"/>
                <w:lang w:val="en-US" w:eastAsia="zh-CN"/>
              </w:rPr>
            </w:pPr>
            <w:r>
              <w:rPr>
                <w:rFonts w:hint="eastAsia"/>
                <w:b/>
                <w:bCs/>
                <w:sz w:val="21"/>
                <w:szCs w:val="21"/>
                <w:lang w:val="en-US" w:eastAsia="zh-CN"/>
              </w:rPr>
              <w:t>表5-4   项目竣工环境保护验收内容一览表</w:t>
            </w:r>
          </w:p>
          <w:tbl>
            <w:tblPr>
              <w:tblStyle w:val="31"/>
              <w:tblW w:w="8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461"/>
              <w:gridCol w:w="6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4" w:type="dxa"/>
                  <w:noWrap w:val="0"/>
                  <w:vAlign w:val="center"/>
                </w:tcPr>
                <w:p>
                  <w:pPr>
                    <w:bidi w:val="0"/>
                    <w:jc w:val="center"/>
                    <w:rPr>
                      <w:rFonts w:hint="default"/>
                      <w:sz w:val="21"/>
                      <w:szCs w:val="21"/>
                      <w:vertAlign w:val="baseline"/>
                      <w:lang w:val="en-US" w:eastAsia="zh-CN"/>
                    </w:rPr>
                  </w:pPr>
                  <w:r>
                    <w:rPr>
                      <w:rFonts w:hint="eastAsia"/>
                      <w:sz w:val="21"/>
                      <w:szCs w:val="21"/>
                      <w:vertAlign w:val="baseline"/>
                      <w:lang w:val="en-US" w:eastAsia="zh-CN"/>
                    </w:rPr>
                    <w:t>序号</w:t>
                  </w:r>
                </w:p>
              </w:tc>
              <w:tc>
                <w:tcPr>
                  <w:tcW w:w="1461" w:type="dxa"/>
                  <w:noWrap w:val="0"/>
                  <w:vAlign w:val="center"/>
                </w:tcPr>
                <w:p>
                  <w:pPr>
                    <w:bidi w:val="0"/>
                    <w:jc w:val="center"/>
                    <w:rPr>
                      <w:rFonts w:hint="default"/>
                      <w:sz w:val="21"/>
                      <w:szCs w:val="21"/>
                      <w:vertAlign w:val="baseline"/>
                      <w:lang w:val="en-US" w:eastAsia="zh-CN"/>
                    </w:rPr>
                  </w:pPr>
                  <w:r>
                    <w:rPr>
                      <w:rFonts w:hint="eastAsia"/>
                      <w:sz w:val="21"/>
                      <w:szCs w:val="21"/>
                      <w:vertAlign w:val="baseline"/>
                      <w:lang w:val="en-US" w:eastAsia="zh-CN"/>
                    </w:rPr>
                    <w:t>环境要素</w:t>
                  </w:r>
                </w:p>
              </w:tc>
              <w:tc>
                <w:tcPr>
                  <w:tcW w:w="6144" w:type="dxa"/>
                  <w:noWrap w:val="0"/>
                  <w:vAlign w:val="center"/>
                </w:tcPr>
                <w:p>
                  <w:pPr>
                    <w:bidi w:val="0"/>
                    <w:jc w:val="center"/>
                    <w:rPr>
                      <w:rFonts w:hint="default"/>
                      <w:sz w:val="21"/>
                      <w:szCs w:val="21"/>
                      <w:vertAlign w:val="baseline"/>
                      <w:lang w:val="en-US" w:eastAsia="zh-CN"/>
                    </w:rPr>
                  </w:pPr>
                  <w:r>
                    <w:rPr>
                      <w:rFonts w:hint="eastAsia"/>
                      <w:sz w:val="21"/>
                      <w:szCs w:val="21"/>
                      <w:vertAlign w:val="baseline"/>
                      <w:lang w:val="en-US" w:eastAsia="zh-CN"/>
                    </w:rPr>
                    <w:t>竣工环保验收范围及内容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noWrap w:val="0"/>
                  <w:vAlign w:val="center"/>
                </w:tcPr>
                <w:p>
                  <w:pPr>
                    <w:bidi w:val="0"/>
                    <w:jc w:val="center"/>
                    <w:rPr>
                      <w:rFonts w:hint="default"/>
                      <w:sz w:val="21"/>
                      <w:szCs w:val="21"/>
                      <w:vertAlign w:val="baseline"/>
                      <w:lang w:val="en-US" w:eastAsia="zh-CN"/>
                    </w:rPr>
                  </w:pPr>
                  <w:r>
                    <w:rPr>
                      <w:rFonts w:hint="eastAsia"/>
                      <w:sz w:val="21"/>
                      <w:szCs w:val="21"/>
                      <w:vertAlign w:val="baseline"/>
                      <w:lang w:val="en-US" w:eastAsia="zh-CN"/>
                    </w:rPr>
                    <w:t>1</w:t>
                  </w:r>
                </w:p>
              </w:tc>
              <w:tc>
                <w:tcPr>
                  <w:tcW w:w="1461" w:type="dxa"/>
                  <w:noWrap w:val="0"/>
                  <w:vAlign w:val="center"/>
                </w:tcPr>
                <w:p>
                  <w:pPr>
                    <w:bidi w:val="0"/>
                    <w:jc w:val="center"/>
                    <w:rPr>
                      <w:rFonts w:hint="default"/>
                      <w:sz w:val="21"/>
                      <w:szCs w:val="21"/>
                      <w:vertAlign w:val="baseline"/>
                      <w:lang w:val="en-US" w:eastAsia="zh-CN"/>
                    </w:rPr>
                  </w:pPr>
                  <w:r>
                    <w:rPr>
                      <w:rFonts w:hint="eastAsia"/>
                      <w:sz w:val="21"/>
                      <w:szCs w:val="21"/>
                      <w:vertAlign w:val="baseline"/>
                      <w:lang w:val="en-US" w:eastAsia="zh-CN"/>
                    </w:rPr>
                    <w:t>生态环境</w:t>
                  </w:r>
                </w:p>
              </w:tc>
              <w:tc>
                <w:tcPr>
                  <w:tcW w:w="6144"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vertAlign w:val="baseline"/>
                      <w:lang w:val="en-US" w:eastAsia="zh-CN"/>
                    </w:rPr>
                  </w:pPr>
                  <w:r>
                    <w:rPr>
                      <w:rFonts w:hint="eastAsia"/>
                      <w:sz w:val="21"/>
                      <w:szCs w:val="21"/>
                      <w:vertAlign w:val="baseline"/>
                      <w:lang w:val="en-US" w:eastAsia="zh-CN"/>
                    </w:rPr>
                    <w:t>①工程沿线两侧200m范围生态恢复措施；②施工时有无随意倾倒弃渣的现象。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noWrap w:val="0"/>
                  <w:vAlign w:val="center"/>
                </w:tcPr>
                <w:p>
                  <w:pPr>
                    <w:bidi w:val="0"/>
                    <w:jc w:val="center"/>
                    <w:rPr>
                      <w:rFonts w:hint="default"/>
                      <w:sz w:val="21"/>
                      <w:szCs w:val="21"/>
                      <w:vertAlign w:val="baseline"/>
                      <w:lang w:val="en-US" w:eastAsia="zh-CN"/>
                    </w:rPr>
                  </w:pPr>
                  <w:r>
                    <w:rPr>
                      <w:rFonts w:hint="eastAsia"/>
                      <w:sz w:val="21"/>
                      <w:szCs w:val="21"/>
                      <w:vertAlign w:val="baseline"/>
                      <w:lang w:val="en-US" w:eastAsia="zh-CN"/>
                    </w:rPr>
                    <w:t>2</w:t>
                  </w:r>
                </w:p>
              </w:tc>
              <w:tc>
                <w:tcPr>
                  <w:tcW w:w="1461" w:type="dxa"/>
                  <w:noWrap w:val="0"/>
                  <w:vAlign w:val="center"/>
                </w:tcPr>
                <w:p>
                  <w:pPr>
                    <w:bidi w:val="0"/>
                    <w:jc w:val="center"/>
                    <w:rPr>
                      <w:rFonts w:hint="default"/>
                      <w:sz w:val="21"/>
                      <w:szCs w:val="21"/>
                      <w:vertAlign w:val="baseline"/>
                      <w:lang w:val="en-US" w:eastAsia="zh-CN"/>
                    </w:rPr>
                  </w:pPr>
                  <w:r>
                    <w:rPr>
                      <w:rFonts w:hint="eastAsia"/>
                      <w:sz w:val="21"/>
                      <w:szCs w:val="21"/>
                      <w:vertAlign w:val="baseline"/>
                      <w:lang w:val="en-US" w:eastAsia="zh-CN"/>
                    </w:rPr>
                    <w:t>水土流失影响</w:t>
                  </w:r>
                </w:p>
              </w:tc>
              <w:tc>
                <w:tcPr>
                  <w:tcW w:w="6144"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vertAlign w:val="baseline"/>
                      <w:lang w:val="en-US" w:eastAsia="zh-CN"/>
                    </w:rPr>
                  </w:pPr>
                  <w:r>
                    <w:rPr>
                      <w:rFonts w:hint="eastAsia"/>
                      <w:sz w:val="21"/>
                      <w:szCs w:val="21"/>
                      <w:vertAlign w:val="baseline"/>
                      <w:lang w:val="en-US" w:eastAsia="zh-CN"/>
                    </w:rPr>
                    <w:t>①沿线两侧临时占地恢复情况；②道路景观绿化实施情况；③施工时临时水土保持措施实施情况；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noWrap w:val="0"/>
                  <w:vAlign w:val="center"/>
                </w:tcPr>
                <w:p>
                  <w:pPr>
                    <w:bidi w:val="0"/>
                    <w:jc w:val="center"/>
                    <w:rPr>
                      <w:rFonts w:hint="default"/>
                      <w:sz w:val="21"/>
                      <w:szCs w:val="21"/>
                      <w:vertAlign w:val="baseline"/>
                      <w:lang w:val="en-US" w:eastAsia="zh-CN"/>
                    </w:rPr>
                  </w:pPr>
                  <w:r>
                    <w:rPr>
                      <w:rFonts w:hint="eastAsia"/>
                      <w:sz w:val="21"/>
                      <w:szCs w:val="21"/>
                      <w:vertAlign w:val="baseline"/>
                      <w:lang w:val="en-US" w:eastAsia="zh-CN"/>
                    </w:rPr>
                    <w:t>3</w:t>
                  </w:r>
                </w:p>
              </w:tc>
              <w:tc>
                <w:tcPr>
                  <w:tcW w:w="1461" w:type="dxa"/>
                  <w:noWrap w:val="0"/>
                  <w:vAlign w:val="center"/>
                </w:tcPr>
                <w:p>
                  <w:pPr>
                    <w:bidi w:val="0"/>
                    <w:jc w:val="center"/>
                    <w:rPr>
                      <w:rFonts w:hint="default"/>
                      <w:sz w:val="21"/>
                      <w:szCs w:val="21"/>
                      <w:vertAlign w:val="baseline"/>
                      <w:lang w:val="en-US" w:eastAsia="zh-CN"/>
                    </w:rPr>
                  </w:pPr>
                  <w:r>
                    <w:rPr>
                      <w:rFonts w:hint="eastAsia"/>
                      <w:sz w:val="21"/>
                      <w:szCs w:val="21"/>
                      <w:vertAlign w:val="baseline"/>
                      <w:lang w:val="en-US" w:eastAsia="zh-CN"/>
                    </w:rPr>
                    <w:t>声环境</w:t>
                  </w:r>
                </w:p>
              </w:tc>
              <w:tc>
                <w:tcPr>
                  <w:tcW w:w="6144"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vertAlign w:val="baseline"/>
                      <w:lang w:val="en-US" w:eastAsia="zh-CN"/>
                    </w:rPr>
                  </w:pPr>
                  <w:r>
                    <w:rPr>
                      <w:rFonts w:hint="eastAsia"/>
                      <w:sz w:val="21"/>
                      <w:szCs w:val="21"/>
                      <w:vertAlign w:val="baseline"/>
                      <w:lang w:val="en-US" w:eastAsia="zh-CN"/>
                    </w:rPr>
                    <w:t>①沿线200m范围内声环境敏感目标影响情况，选取适当点位进行监测；②调查施工期间有无夜间施工影响居民休息等；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noWrap w:val="0"/>
                  <w:vAlign w:val="center"/>
                </w:tcPr>
                <w:p>
                  <w:pPr>
                    <w:bidi w:val="0"/>
                    <w:jc w:val="center"/>
                    <w:rPr>
                      <w:rFonts w:hint="default"/>
                      <w:sz w:val="21"/>
                      <w:szCs w:val="21"/>
                      <w:vertAlign w:val="baseline"/>
                      <w:lang w:val="en-US" w:eastAsia="zh-CN"/>
                    </w:rPr>
                  </w:pPr>
                  <w:r>
                    <w:rPr>
                      <w:rFonts w:hint="eastAsia"/>
                      <w:sz w:val="21"/>
                      <w:szCs w:val="21"/>
                      <w:vertAlign w:val="baseline"/>
                      <w:lang w:val="en-US" w:eastAsia="zh-CN"/>
                    </w:rPr>
                    <w:t>4</w:t>
                  </w:r>
                </w:p>
              </w:tc>
              <w:tc>
                <w:tcPr>
                  <w:tcW w:w="1461" w:type="dxa"/>
                  <w:noWrap w:val="0"/>
                  <w:vAlign w:val="center"/>
                </w:tcPr>
                <w:p>
                  <w:pPr>
                    <w:bidi w:val="0"/>
                    <w:jc w:val="center"/>
                    <w:rPr>
                      <w:rFonts w:hint="default"/>
                      <w:sz w:val="21"/>
                      <w:szCs w:val="21"/>
                      <w:vertAlign w:val="baseline"/>
                      <w:lang w:val="en-US" w:eastAsia="zh-CN"/>
                    </w:rPr>
                  </w:pPr>
                  <w:r>
                    <w:rPr>
                      <w:rFonts w:hint="eastAsia"/>
                      <w:sz w:val="21"/>
                      <w:szCs w:val="21"/>
                      <w:vertAlign w:val="baseline"/>
                      <w:lang w:val="en-US" w:eastAsia="zh-CN"/>
                    </w:rPr>
                    <w:t>地表水环境</w:t>
                  </w:r>
                </w:p>
              </w:tc>
              <w:tc>
                <w:tcPr>
                  <w:tcW w:w="6144"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vertAlign w:val="baseline"/>
                      <w:lang w:val="en-US" w:eastAsia="zh-CN"/>
                    </w:rPr>
                  </w:pPr>
                  <w:r>
                    <w:rPr>
                      <w:rFonts w:hint="eastAsia"/>
                      <w:sz w:val="21"/>
                      <w:szCs w:val="21"/>
                      <w:vertAlign w:val="baseline"/>
                      <w:lang w:val="en-US" w:eastAsia="zh-CN"/>
                    </w:rPr>
                    <w:t>工程河道无发生地表水污染事故。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noWrap w:val="0"/>
                  <w:vAlign w:val="center"/>
                </w:tcPr>
                <w:p>
                  <w:pPr>
                    <w:bidi w:val="0"/>
                    <w:jc w:val="center"/>
                    <w:rPr>
                      <w:rFonts w:hint="default"/>
                      <w:sz w:val="21"/>
                      <w:szCs w:val="21"/>
                      <w:vertAlign w:val="baseline"/>
                      <w:lang w:val="en-US" w:eastAsia="zh-CN"/>
                    </w:rPr>
                  </w:pPr>
                  <w:r>
                    <w:rPr>
                      <w:rFonts w:hint="eastAsia"/>
                      <w:sz w:val="21"/>
                      <w:szCs w:val="21"/>
                      <w:vertAlign w:val="baseline"/>
                      <w:lang w:val="en-US" w:eastAsia="zh-CN"/>
                    </w:rPr>
                    <w:t>5</w:t>
                  </w:r>
                </w:p>
              </w:tc>
              <w:tc>
                <w:tcPr>
                  <w:tcW w:w="1461" w:type="dxa"/>
                  <w:noWrap w:val="0"/>
                  <w:vAlign w:val="center"/>
                </w:tcPr>
                <w:p>
                  <w:pPr>
                    <w:bidi w:val="0"/>
                    <w:jc w:val="center"/>
                    <w:rPr>
                      <w:rFonts w:hint="eastAsia"/>
                      <w:sz w:val="21"/>
                      <w:szCs w:val="21"/>
                      <w:vertAlign w:val="baseline"/>
                      <w:lang w:val="en-US" w:eastAsia="zh-CN"/>
                    </w:rPr>
                  </w:pPr>
                  <w:r>
                    <w:rPr>
                      <w:rFonts w:hint="eastAsia"/>
                      <w:sz w:val="21"/>
                      <w:szCs w:val="21"/>
                      <w:vertAlign w:val="baseline"/>
                      <w:lang w:val="en-US" w:eastAsia="zh-CN"/>
                    </w:rPr>
                    <w:t>环境空气</w:t>
                  </w:r>
                </w:p>
              </w:tc>
              <w:tc>
                <w:tcPr>
                  <w:tcW w:w="6144"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vertAlign w:val="baseline"/>
                      <w:lang w:val="en-US" w:eastAsia="zh-CN"/>
                    </w:rPr>
                  </w:pPr>
                  <w:r>
                    <w:rPr>
                      <w:rFonts w:hint="eastAsia"/>
                      <w:sz w:val="21"/>
                      <w:szCs w:val="21"/>
                      <w:vertAlign w:val="baseline"/>
                      <w:lang w:val="en-US" w:eastAsia="zh-CN"/>
                    </w:rPr>
                    <w:t>沿线两侧环境空气质量（扬尘TSP）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noWrap w:val="0"/>
                  <w:vAlign w:val="center"/>
                </w:tcPr>
                <w:p>
                  <w:pPr>
                    <w:bidi w:val="0"/>
                    <w:jc w:val="center"/>
                    <w:rPr>
                      <w:rFonts w:hint="default"/>
                      <w:sz w:val="21"/>
                      <w:szCs w:val="21"/>
                      <w:vertAlign w:val="baseline"/>
                      <w:lang w:val="en-US" w:eastAsia="zh-CN"/>
                    </w:rPr>
                  </w:pPr>
                  <w:r>
                    <w:rPr>
                      <w:rFonts w:hint="eastAsia"/>
                      <w:sz w:val="21"/>
                      <w:szCs w:val="21"/>
                      <w:vertAlign w:val="baseline"/>
                      <w:lang w:val="en-US" w:eastAsia="zh-CN"/>
                    </w:rPr>
                    <w:t>6</w:t>
                  </w:r>
                </w:p>
              </w:tc>
              <w:tc>
                <w:tcPr>
                  <w:tcW w:w="1461" w:type="dxa"/>
                  <w:noWrap w:val="0"/>
                  <w:vAlign w:val="center"/>
                </w:tcPr>
                <w:p>
                  <w:pPr>
                    <w:bidi w:val="0"/>
                    <w:jc w:val="center"/>
                    <w:rPr>
                      <w:rFonts w:hint="default"/>
                      <w:sz w:val="21"/>
                      <w:szCs w:val="21"/>
                      <w:vertAlign w:val="baseline"/>
                      <w:lang w:val="en-US" w:eastAsia="zh-CN"/>
                    </w:rPr>
                  </w:pPr>
                  <w:r>
                    <w:rPr>
                      <w:rFonts w:hint="eastAsia"/>
                      <w:sz w:val="21"/>
                      <w:szCs w:val="21"/>
                      <w:vertAlign w:val="baseline"/>
                      <w:lang w:val="en-US" w:eastAsia="zh-CN"/>
                    </w:rPr>
                    <w:t>事故风险</w:t>
                  </w:r>
                </w:p>
              </w:tc>
              <w:tc>
                <w:tcPr>
                  <w:tcW w:w="6144"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vertAlign w:val="baseline"/>
                      <w:lang w:val="en-US" w:eastAsia="zh-CN"/>
                    </w:rPr>
                  </w:pPr>
                  <w:r>
                    <w:rPr>
                      <w:rFonts w:hint="eastAsia"/>
                      <w:sz w:val="21"/>
                      <w:szCs w:val="21"/>
                      <w:vertAlign w:val="baseline"/>
                      <w:lang w:val="en-US" w:eastAsia="zh-CN"/>
                    </w:rPr>
                    <w:t>调查应急措施制定情况，风险事故防范与应急管理机构设置情况，风险防范措施等；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noWrap w:val="0"/>
                  <w:vAlign w:val="center"/>
                </w:tcPr>
                <w:p>
                  <w:pPr>
                    <w:bidi w:val="0"/>
                    <w:jc w:val="center"/>
                    <w:rPr>
                      <w:rFonts w:hint="default"/>
                      <w:sz w:val="21"/>
                      <w:szCs w:val="21"/>
                      <w:vertAlign w:val="baseline"/>
                      <w:lang w:val="en-US" w:eastAsia="zh-CN"/>
                    </w:rPr>
                  </w:pPr>
                  <w:r>
                    <w:rPr>
                      <w:rFonts w:hint="eastAsia"/>
                      <w:sz w:val="21"/>
                      <w:szCs w:val="21"/>
                      <w:vertAlign w:val="baseline"/>
                      <w:lang w:val="en-US" w:eastAsia="zh-CN"/>
                    </w:rPr>
                    <w:t>7</w:t>
                  </w:r>
                </w:p>
              </w:tc>
              <w:tc>
                <w:tcPr>
                  <w:tcW w:w="1461" w:type="dxa"/>
                  <w:noWrap w:val="0"/>
                  <w:vAlign w:val="center"/>
                </w:tcPr>
                <w:p>
                  <w:pPr>
                    <w:bidi w:val="0"/>
                    <w:jc w:val="center"/>
                    <w:rPr>
                      <w:rFonts w:hint="default"/>
                      <w:sz w:val="21"/>
                      <w:szCs w:val="21"/>
                      <w:vertAlign w:val="baseline"/>
                      <w:lang w:val="en-US" w:eastAsia="zh-CN"/>
                    </w:rPr>
                  </w:pPr>
                  <w:r>
                    <w:rPr>
                      <w:rFonts w:hint="eastAsia"/>
                      <w:sz w:val="21"/>
                      <w:szCs w:val="21"/>
                      <w:vertAlign w:val="baseline"/>
                      <w:lang w:val="en-US" w:eastAsia="zh-CN"/>
                    </w:rPr>
                    <w:t>固体废弃物</w:t>
                  </w:r>
                </w:p>
              </w:tc>
              <w:tc>
                <w:tcPr>
                  <w:tcW w:w="6144"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vertAlign w:val="baseline"/>
                      <w:lang w:val="en-US" w:eastAsia="zh-CN"/>
                    </w:rPr>
                  </w:pPr>
                  <w:r>
                    <w:rPr>
                      <w:rFonts w:hint="eastAsia"/>
                      <w:sz w:val="21"/>
                      <w:szCs w:val="21"/>
                      <w:vertAlign w:val="baseline"/>
                      <w:lang w:val="en-US" w:eastAsia="zh-CN"/>
                    </w:rPr>
                    <w:t>走访调查当地居民，调查施工单位施工期有无随意倾倒施工生活垃圾、施工固体废物的现象；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noWrap w:val="0"/>
                  <w:vAlign w:val="center"/>
                </w:tcPr>
                <w:p>
                  <w:pPr>
                    <w:bidi w:val="0"/>
                    <w:jc w:val="center"/>
                    <w:rPr>
                      <w:rFonts w:hint="default"/>
                      <w:sz w:val="21"/>
                      <w:szCs w:val="21"/>
                      <w:vertAlign w:val="baseline"/>
                      <w:lang w:val="en-US" w:eastAsia="zh-CN"/>
                    </w:rPr>
                  </w:pPr>
                  <w:r>
                    <w:rPr>
                      <w:rFonts w:hint="eastAsia"/>
                      <w:sz w:val="21"/>
                      <w:szCs w:val="21"/>
                      <w:vertAlign w:val="baseline"/>
                      <w:lang w:val="en-US" w:eastAsia="zh-CN"/>
                    </w:rPr>
                    <w:t>8</w:t>
                  </w:r>
                </w:p>
              </w:tc>
              <w:tc>
                <w:tcPr>
                  <w:tcW w:w="1461" w:type="dxa"/>
                  <w:noWrap w:val="0"/>
                  <w:vAlign w:val="center"/>
                </w:tcPr>
                <w:p>
                  <w:pPr>
                    <w:bidi w:val="0"/>
                    <w:jc w:val="center"/>
                    <w:rPr>
                      <w:rFonts w:hint="default"/>
                      <w:sz w:val="21"/>
                      <w:szCs w:val="21"/>
                      <w:vertAlign w:val="baseline"/>
                      <w:lang w:val="en-US" w:eastAsia="zh-CN"/>
                    </w:rPr>
                  </w:pPr>
                  <w:r>
                    <w:rPr>
                      <w:rFonts w:hint="eastAsia"/>
                      <w:sz w:val="21"/>
                      <w:szCs w:val="21"/>
                      <w:vertAlign w:val="baseline"/>
                      <w:lang w:val="en-US" w:eastAsia="zh-CN"/>
                    </w:rPr>
                    <w:t>其他</w:t>
                  </w:r>
                </w:p>
              </w:tc>
              <w:tc>
                <w:tcPr>
                  <w:tcW w:w="6144"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vertAlign w:val="baseline"/>
                      <w:lang w:val="en-US" w:eastAsia="zh-CN"/>
                    </w:rPr>
                  </w:pPr>
                  <w:r>
                    <w:rPr>
                      <w:rFonts w:hint="eastAsia"/>
                      <w:sz w:val="21"/>
                      <w:szCs w:val="21"/>
                      <w:vertAlign w:val="baseline"/>
                      <w:lang w:val="en-US" w:eastAsia="zh-CN"/>
                    </w:rPr>
                    <w:t>①施工期的环境管理情况；②环境监测及监理执行情况、效果等。</w:t>
                  </w:r>
                </w:p>
              </w:tc>
            </w:tr>
          </w:tbl>
          <w:p>
            <w:pPr>
              <w:pStyle w:val="106"/>
              <w:keepNext w:val="0"/>
              <w:keepLines w:val="0"/>
              <w:pageBreakBefore w:val="0"/>
              <w:widowControl w:val="0"/>
              <w:kinsoku/>
              <w:wordWrap/>
              <w:autoSpaceDE/>
              <w:autoSpaceDN/>
              <w:bidi w:val="0"/>
              <w:spacing w:before="0" w:after="0" w:line="360" w:lineRule="auto"/>
              <w:ind w:left="0" w:leftChars="0" w:right="0" w:rightChars="0" w:firstLine="480"/>
              <w:rPr>
                <w:rFonts w:hint="eastAsia"/>
                <w:color w:val="auto"/>
                <w:sz w:val="24"/>
                <w:szCs w:val="24"/>
                <w:lang w:val="en-US" w:eastAsia="zh-CN"/>
              </w:rPr>
            </w:pPr>
          </w:p>
          <w:p>
            <w:pPr>
              <w:pStyle w:val="106"/>
              <w:keepNext w:val="0"/>
              <w:keepLines w:val="0"/>
              <w:pageBreakBefore w:val="0"/>
              <w:widowControl w:val="0"/>
              <w:kinsoku/>
              <w:wordWrap/>
              <w:autoSpaceDE/>
              <w:autoSpaceDN/>
              <w:bidi w:val="0"/>
              <w:spacing w:before="0" w:after="0" w:line="360" w:lineRule="auto"/>
              <w:ind w:left="0" w:leftChars="0" w:right="0" w:rightChars="0" w:firstLine="480"/>
              <w:rPr>
                <w:rFonts w:hint="eastAsia"/>
                <w:color w:val="auto"/>
                <w:sz w:val="24"/>
                <w:szCs w:val="24"/>
                <w:lang w:val="en-US" w:eastAsia="zh-CN"/>
              </w:rPr>
            </w:pPr>
          </w:p>
          <w:p>
            <w:pPr>
              <w:pStyle w:val="106"/>
              <w:keepNext w:val="0"/>
              <w:keepLines w:val="0"/>
              <w:pageBreakBefore w:val="0"/>
              <w:widowControl w:val="0"/>
              <w:kinsoku/>
              <w:wordWrap/>
              <w:autoSpaceDE/>
              <w:autoSpaceDN/>
              <w:bidi w:val="0"/>
              <w:spacing w:before="0" w:after="0" w:line="360" w:lineRule="auto"/>
              <w:ind w:left="0" w:leftChars="0" w:right="0" w:rightChars="0" w:firstLine="480"/>
              <w:rPr>
                <w:rFonts w:hint="eastAsia"/>
                <w:color w:val="auto"/>
                <w:sz w:val="24"/>
                <w:szCs w:val="24"/>
                <w:lang w:val="en-US" w:eastAsia="zh-CN"/>
              </w:rPr>
            </w:pPr>
          </w:p>
          <w:p>
            <w:pPr>
              <w:pStyle w:val="106"/>
              <w:keepNext w:val="0"/>
              <w:keepLines w:val="0"/>
              <w:pageBreakBefore w:val="0"/>
              <w:widowControl w:val="0"/>
              <w:kinsoku/>
              <w:wordWrap/>
              <w:autoSpaceDE/>
              <w:autoSpaceDN/>
              <w:bidi w:val="0"/>
              <w:spacing w:before="0" w:after="0" w:line="360" w:lineRule="auto"/>
              <w:ind w:left="0" w:leftChars="0" w:right="0" w:rightChars="0" w:firstLine="480"/>
              <w:rPr>
                <w:rFonts w:hint="eastAsia"/>
                <w:color w:val="auto"/>
                <w:sz w:val="24"/>
                <w:szCs w:val="24"/>
                <w:lang w:val="en-US" w:eastAsia="zh-CN"/>
              </w:rPr>
            </w:pPr>
          </w:p>
          <w:p>
            <w:pPr>
              <w:adjustRightInd w:val="0"/>
              <w:snapToGrid w:val="0"/>
              <w:rPr>
                <w:rFonts w:hint="default" w:ascii="Times New Roman" w:hAnsi="Times New Roman" w:eastAsia="宋体" w:cs="Times New Roman"/>
                <w:bCs/>
                <w:color w:val="auto"/>
                <w:spacing w:val="10"/>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753" w:type="dxa"/>
            <w:noWrap w:val="0"/>
            <w:vAlign w:val="center"/>
          </w:tcPr>
          <w:p>
            <w:pPr>
              <w:adjustRightInd w:val="0"/>
              <w:snapToGrid w:val="0"/>
              <w:jc w:val="center"/>
              <w:rPr>
                <w:rFonts w:hint="default" w:ascii="Times New Roman" w:hAnsi="Times New Roman" w:eastAsia="宋体" w:cs="Times New Roman"/>
                <w:bCs/>
                <w:spacing w:val="10"/>
                <w:szCs w:val="21"/>
              </w:rPr>
            </w:pPr>
            <w:r>
              <w:rPr>
                <w:rFonts w:hint="default" w:ascii="Times New Roman" w:hAnsi="Times New Roman" w:eastAsia="宋体" w:cs="Times New Roman"/>
                <w:b/>
                <w:bCs w:val="0"/>
                <w:szCs w:val="21"/>
              </w:rPr>
              <w:t>其他</w:t>
            </w:r>
          </w:p>
        </w:tc>
        <w:tc>
          <w:tcPr>
            <w:tcW w:w="8457" w:type="dxa"/>
            <w:noWrap w:val="0"/>
            <w:vAlign w:val="top"/>
          </w:tcPr>
          <w:p>
            <w:pPr>
              <w:numPr>
                <w:ilvl w:val="0"/>
                <w:numId w:val="0"/>
              </w:numPr>
              <w:spacing w:line="360" w:lineRule="auto"/>
              <w:ind w:right="0" w:rightChars="0" w:firstLine="420" w:firstLineChars="200"/>
              <w:rPr>
                <w:rFonts w:hint="eastAsia"/>
                <w:color w:val="auto"/>
                <w:lang w:val="en-US" w:eastAsia="zh-CN"/>
              </w:rPr>
            </w:pPr>
          </w:p>
          <w:p>
            <w:pPr>
              <w:numPr>
                <w:ilvl w:val="0"/>
                <w:numId w:val="0"/>
              </w:numPr>
              <w:spacing w:line="360" w:lineRule="auto"/>
              <w:ind w:right="0" w:rightChars="0" w:firstLine="420" w:firstLineChars="200"/>
              <w:rPr>
                <w:rFonts w:hint="eastAsia"/>
                <w:color w:val="auto"/>
                <w:lang w:val="en-US" w:eastAsia="zh-CN"/>
              </w:rPr>
            </w:pPr>
            <w:r>
              <w:rPr>
                <w:rFonts w:hint="eastAsia"/>
                <w:color w:val="auto"/>
                <w:lang w:val="en-US" w:eastAsia="zh-CN"/>
              </w:rPr>
              <w:t>无</w:t>
            </w:r>
          </w:p>
          <w:p>
            <w:pPr>
              <w:pStyle w:val="20"/>
              <w:rPr>
                <w:rFonts w:hint="eastAsia" w:ascii="Times New Roman" w:hAnsi="Times New Roman" w:eastAsia="宋体" w:cs="Times New Roman"/>
                <w:color w:val="auto"/>
                <w:sz w:val="21"/>
                <w:szCs w:val="21"/>
                <w:highlight w:val="none"/>
                <w:lang w:val="en-US" w:eastAsia="zh-CN"/>
              </w:rPr>
            </w:pPr>
          </w:p>
          <w:p>
            <w:pPr>
              <w:pStyle w:val="20"/>
              <w:ind w:left="0" w:leftChars="0" w:firstLine="0" w:firstLineChars="0"/>
              <w:rPr>
                <w:rFonts w:hint="default" w:ascii="Times New Roman" w:hAnsi="Times New Roman" w:eastAsia="宋体"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2" w:hRule="atLeast"/>
          <w:jc w:val="center"/>
        </w:trPr>
        <w:tc>
          <w:tcPr>
            <w:tcW w:w="753" w:type="dxa"/>
            <w:noWrap w:val="0"/>
            <w:vAlign w:val="center"/>
          </w:tcPr>
          <w:p>
            <w:pPr>
              <w:adjustRightInd w:val="0"/>
              <w:snapToGrid w:val="0"/>
              <w:jc w:val="center"/>
              <w:rPr>
                <w:rFonts w:hint="default" w:ascii="Times New Roman" w:hAnsi="Times New Roman" w:eastAsia="宋体" w:cs="Times New Roman"/>
                <w:b/>
                <w:bCs w:val="0"/>
                <w:szCs w:val="21"/>
                <w:lang w:val="en-US" w:eastAsia="zh-CN"/>
              </w:rPr>
            </w:pPr>
            <w:r>
              <w:rPr>
                <w:rFonts w:hint="eastAsia" w:ascii="Times New Roman" w:hAnsi="Times New Roman" w:eastAsia="宋体" w:cs="Times New Roman"/>
                <w:b/>
                <w:bCs w:val="0"/>
                <w:szCs w:val="21"/>
                <w:lang w:val="en-US" w:eastAsia="zh-CN"/>
              </w:rPr>
              <w:t>环保投资</w:t>
            </w:r>
          </w:p>
        </w:tc>
        <w:tc>
          <w:tcPr>
            <w:tcW w:w="8457"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color w:val="FF0000"/>
                <w:sz w:val="24"/>
                <w:szCs w:val="24"/>
                <w:highlight w:val="none"/>
              </w:rPr>
            </w:pPr>
            <w:r>
              <w:rPr>
                <w:rFonts w:hint="eastAsia"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val="en-US" w:eastAsia="zh-CN"/>
              </w:rPr>
              <w:t>项目总投资</w:t>
            </w:r>
            <w:r>
              <w:rPr>
                <w:rFonts w:hint="eastAsia" w:eastAsia="宋体"/>
                <w:color w:val="auto"/>
                <w:sz w:val="24"/>
                <w:szCs w:val="24"/>
                <w:lang w:eastAsia="zh-CN"/>
              </w:rPr>
              <w:t>665.72万元</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其中</w:t>
            </w:r>
            <w:r>
              <w:rPr>
                <w:rFonts w:hint="default" w:ascii="Times New Roman" w:hAnsi="Times New Roman" w:eastAsia="宋体" w:cs="Times New Roman"/>
                <w:color w:val="auto"/>
                <w:sz w:val="24"/>
                <w:szCs w:val="24"/>
                <w:highlight w:val="none"/>
                <w:lang w:val="en-US" w:eastAsia="zh-CN"/>
              </w:rPr>
              <w:t>环保投资</w:t>
            </w:r>
            <w:r>
              <w:rPr>
                <w:rFonts w:hint="eastAsia" w:ascii="Times New Roman" w:hAnsi="Times New Roman" w:eastAsia="宋体" w:cs="Times New Roman"/>
                <w:color w:val="auto"/>
                <w:sz w:val="24"/>
                <w:szCs w:val="24"/>
                <w:highlight w:val="none"/>
                <w:lang w:val="en-US" w:eastAsia="zh-CN"/>
              </w:rPr>
              <w:t>34.38</w:t>
            </w:r>
            <w:r>
              <w:rPr>
                <w:rFonts w:hint="default" w:ascii="Times New Roman" w:hAnsi="Times New Roman" w:eastAsia="宋体" w:cs="Times New Roman"/>
                <w:color w:val="auto"/>
                <w:sz w:val="24"/>
                <w:szCs w:val="24"/>
                <w:highlight w:val="none"/>
                <w:lang w:val="en-US" w:eastAsia="zh-CN"/>
              </w:rPr>
              <w:t>万元，占工程总投资的</w:t>
            </w:r>
            <w:r>
              <w:rPr>
                <w:rFonts w:hint="eastAsia" w:ascii="Times New Roman" w:hAnsi="Times New Roman" w:eastAsia="宋体" w:cs="Times New Roman"/>
                <w:color w:val="auto"/>
                <w:sz w:val="24"/>
                <w:szCs w:val="24"/>
                <w:highlight w:val="none"/>
                <w:lang w:val="en-US" w:eastAsia="zh-CN"/>
              </w:rPr>
              <w:t>5.16</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环保投资估算</w:t>
            </w:r>
            <w:r>
              <w:rPr>
                <w:rFonts w:hint="default" w:ascii="Times New Roman" w:hAnsi="Times New Roman" w:eastAsia="宋体" w:cs="Times New Roman"/>
                <w:color w:val="auto"/>
                <w:sz w:val="24"/>
                <w:szCs w:val="24"/>
                <w:highlight w:val="none"/>
                <w:lang w:val="en-US" w:eastAsia="zh-CN"/>
              </w:rPr>
              <w:t>及建设内容</w:t>
            </w:r>
            <w:r>
              <w:rPr>
                <w:rFonts w:hint="default" w:ascii="Times New Roman" w:hAnsi="Times New Roman" w:eastAsia="宋体" w:cs="Times New Roman"/>
                <w:color w:val="auto"/>
                <w:sz w:val="24"/>
                <w:szCs w:val="24"/>
                <w:highlight w:val="none"/>
              </w:rPr>
              <w:t>详见下表：</w:t>
            </w:r>
          </w:p>
          <w:p>
            <w:pPr>
              <w:keepNext w:val="0"/>
              <w:keepLines w:val="0"/>
              <w:pageBreakBefore w:val="0"/>
              <w:widowControl w:val="0"/>
              <w:tabs>
                <w:tab w:val="left" w:pos="3584"/>
              </w:tabs>
              <w:kinsoku/>
              <w:wordWrap/>
              <w:overflowPunct/>
              <w:topLinePunct w:val="0"/>
              <w:autoSpaceDE w:val="0"/>
              <w:autoSpaceDN w:val="0"/>
              <w:bidi w:val="0"/>
              <w:adjustRightInd w:val="0"/>
              <w:snapToGrid w:val="0"/>
              <w:spacing w:before="0" w:line="240" w:lineRule="auto"/>
              <w:ind w:right="0" w:firstLine="416"/>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表</w:t>
            </w:r>
            <w:r>
              <w:rPr>
                <w:rFonts w:hint="eastAsia" w:ascii="Times New Roman" w:hAnsi="Times New Roman" w:eastAsia="宋体" w:cs="Times New Roman"/>
                <w:b/>
                <w:color w:val="auto"/>
                <w:sz w:val="21"/>
                <w:szCs w:val="21"/>
                <w:highlight w:val="none"/>
                <w:lang w:val="en-US" w:eastAsia="zh-CN"/>
              </w:rPr>
              <w:t>5-5项目</w:t>
            </w:r>
            <w:r>
              <w:rPr>
                <w:rFonts w:hint="default" w:ascii="Times New Roman" w:hAnsi="Times New Roman" w:eastAsia="宋体" w:cs="Times New Roman"/>
                <w:b/>
                <w:color w:val="auto"/>
                <w:sz w:val="21"/>
                <w:szCs w:val="21"/>
                <w:highlight w:val="none"/>
              </w:rPr>
              <w:t>环保</w:t>
            </w:r>
            <w:r>
              <w:rPr>
                <w:rFonts w:hint="default" w:ascii="Times New Roman" w:hAnsi="Times New Roman" w:eastAsia="宋体" w:cs="Times New Roman"/>
                <w:b/>
                <w:color w:val="auto"/>
                <w:sz w:val="21"/>
                <w:szCs w:val="21"/>
                <w:highlight w:val="none"/>
                <w:lang w:val="en-US" w:eastAsia="zh-CN"/>
              </w:rPr>
              <w:t>设施（措施）及</w:t>
            </w:r>
            <w:r>
              <w:rPr>
                <w:rFonts w:hint="default" w:ascii="Times New Roman" w:hAnsi="Times New Roman" w:eastAsia="宋体" w:cs="Times New Roman"/>
                <w:b/>
                <w:color w:val="auto"/>
                <w:sz w:val="21"/>
                <w:szCs w:val="21"/>
                <w:highlight w:val="none"/>
              </w:rPr>
              <w:t>投资估算表</w:t>
            </w:r>
            <w:r>
              <w:rPr>
                <w:rFonts w:hint="default" w:ascii="Times New Roman" w:hAnsi="Times New Roman" w:eastAsia="宋体" w:cs="Times New Roman"/>
                <w:b/>
                <w:color w:val="auto"/>
                <w:sz w:val="21"/>
                <w:szCs w:val="21"/>
                <w:highlight w:val="none"/>
                <w:lang w:val="en-US" w:eastAsia="zh-CN"/>
              </w:rPr>
              <w:t>一览表   单位：万元</w:t>
            </w:r>
          </w:p>
          <w:tbl>
            <w:tblPr>
              <w:tblStyle w:val="30"/>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70"/>
              <w:gridCol w:w="1223"/>
              <w:gridCol w:w="4422"/>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567" w:type="dxa"/>
                  <w:noWrap w:val="0"/>
                  <w:vAlign w:val="center"/>
                </w:tcPr>
                <w:p>
                  <w:pPr>
                    <w:adjustRightInd w:val="0"/>
                    <w:snapToGrid w:val="0"/>
                    <w:jc w:val="center"/>
                    <w:rPr>
                      <w:rFonts w:hint="default" w:ascii="Times New Roman" w:hAnsi="Times New Roman" w:eastAsia="宋体" w:cs="Times New Roman"/>
                      <w:b/>
                      <w:bCs/>
                      <w:color w:val="000000"/>
                      <w:szCs w:val="28"/>
                    </w:rPr>
                  </w:pPr>
                  <w:r>
                    <w:rPr>
                      <w:rFonts w:hint="default" w:ascii="Times New Roman" w:hAnsi="Times New Roman" w:eastAsia="宋体" w:cs="Times New Roman"/>
                      <w:b/>
                      <w:bCs/>
                      <w:color w:val="000000"/>
                      <w:szCs w:val="28"/>
                    </w:rPr>
                    <w:t>时期</w:t>
                  </w:r>
                </w:p>
              </w:tc>
              <w:tc>
                <w:tcPr>
                  <w:tcW w:w="6515" w:type="dxa"/>
                  <w:gridSpan w:val="3"/>
                  <w:noWrap w:val="0"/>
                  <w:vAlign w:val="center"/>
                </w:tcPr>
                <w:p>
                  <w:pPr>
                    <w:adjustRightInd w:val="0"/>
                    <w:snapToGrid w:val="0"/>
                    <w:jc w:val="center"/>
                    <w:rPr>
                      <w:rFonts w:hint="default" w:ascii="Times New Roman" w:hAnsi="Times New Roman" w:eastAsia="宋体" w:cs="Times New Roman"/>
                      <w:b/>
                      <w:bCs/>
                      <w:color w:val="000000"/>
                      <w:szCs w:val="28"/>
                    </w:rPr>
                  </w:pPr>
                  <w:r>
                    <w:rPr>
                      <w:rFonts w:hint="default" w:ascii="Times New Roman" w:hAnsi="Times New Roman" w:eastAsia="宋体" w:cs="Times New Roman"/>
                      <w:b/>
                      <w:bCs/>
                      <w:color w:val="000000"/>
                      <w:szCs w:val="28"/>
                    </w:rPr>
                    <w:t>项   目</w:t>
                  </w:r>
                </w:p>
              </w:tc>
              <w:tc>
                <w:tcPr>
                  <w:tcW w:w="955" w:type="dxa"/>
                  <w:noWrap w:val="0"/>
                  <w:vAlign w:val="center"/>
                </w:tcPr>
                <w:p>
                  <w:pPr>
                    <w:adjustRightInd w:val="0"/>
                    <w:snapToGrid w:val="0"/>
                    <w:jc w:val="center"/>
                    <w:rPr>
                      <w:rFonts w:hint="default" w:ascii="Times New Roman" w:hAnsi="Times New Roman" w:eastAsia="宋体" w:cs="Times New Roman"/>
                      <w:b/>
                      <w:bCs/>
                      <w:color w:val="000000"/>
                      <w:szCs w:val="28"/>
                    </w:rPr>
                  </w:pPr>
                  <w:r>
                    <w:rPr>
                      <w:rFonts w:hint="default" w:ascii="Times New Roman" w:hAnsi="Times New Roman" w:eastAsia="宋体" w:cs="Times New Roman"/>
                      <w:b/>
                      <w:bCs/>
                      <w:color w:val="000000"/>
                      <w:szCs w:val="28"/>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restart"/>
                  <w:noWrap w:val="0"/>
                  <w:vAlign w:val="center"/>
                </w:tcPr>
                <w:p>
                  <w:pPr>
                    <w:adjustRightInd w:val="0"/>
                    <w:snapToGrid w:val="0"/>
                    <w:jc w:val="center"/>
                    <w:rPr>
                      <w:rFonts w:hint="default" w:ascii="Times New Roman" w:hAnsi="Times New Roman" w:eastAsia="宋体" w:cs="Times New Roman"/>
                      <w:color w:val="000000"/>
                      <w:szCs w:val="28"/>
                    </w:rPr>
                  </w:pPr>
                  <w:r>
                    <w:rPr>
                      <w:rFonts w:hint="default" w:ascii="Times New Roman" w:hAnsi="Times New Roman" w:eastAsia="宋体" w:cs="Times New Roman"/>
                      <w:color w:val="000000"/>
                      <w:szCs w:val="28"/>
                    </w:rPr>
                    <w:t>施</w:t>
                  </w:r>
                </w:p>
                <w:p>
                  <w:pPr>
                    <w:adjustRightInd w:val="0"/>
                    <w:snapToGrid w:val="0"/>
                    <w:jc w:val="center"/>
                    <w:rPr>
                      <w:rFonts w:hint="default" w:ascii="Times New Roman" w:hAnsi="Times New Roman" w:eastAsia="宋体" w:cs="Times New Roman"/>
                      <w:color w:val="000000"/>
                      <w:szCs w:val="28"/>
                    </w:rPr>
                  </w:pPr>
                </w:p>
                <w:p>
                  <w:pPr>
                    <w:adjustRightInd w:val="0"/>
                    <w:snapToGrid w:val="0"/>
                    <w:jc w:val="center"/>
                    <w:rPr>
                      <w:rFonts w:hint="default" w:ascii="Times New Roman" w:hAnsi="Times New Roman" w:eastAsia="宋体" w:cs="Times New Roman"/>
                      <w:color w:val="000000"/>
                      <w:szCs w:val="28"/>
                    </w:rPr>
                  </w:pPr>
                  <w:r>
                    <w:rPr>
                      <w:rFonts w:hint="default" w:ascii="Times New Roman" w:hAnsi="Times New Roman" w:eastAsia="宋体" w:cs="Times New Roman"/>
                      <w:color w:val="000000"/>
                      <w:szCs w:val="28"/>
                    </w:rPr>
                    <w:t>工</w:t>
                  </w:r>
                </w:p>
                <w:p>
                  <w:pPr>
                    <w:adjustRightInd w:val="0"/>
                    <w:snapToGrid w:val="0"/>
                    <w:jc w:val="center"/>
                    <w:rPr>
                      <w:rFonts w:hint="default" w:ascii="Times New Roman" w:hAnsi="Times New Roman" w:eastAsia="宋体" w:cs="Times New Roman"/>
                      <w:color w:val="000000"/>
                      <w:szCs w:val="28"/>
                    </w:rPr>
                  </w:pPr>
                </w:p>
                <w:p>
                  <w:pPr>
                    <w:adjustRightInd w:val="0"/>
                    <w:snapToGrid w:val="0"/>
                    <w:jc w:val="center"/>
                    <w:rPr>
                      <w:rFonts w:hint="default" w:ascii="Times New Roman" w:hAnsi="Times New Roman" w:eastAsia="宋体" w:cs="Times New Roman"/>
                      <w:color w:val="000000"/>
                      <w:szCs w:val="28"/>
                    </w:rPr>
                  </w:pPr>
                  <w:r>
                    <w:rPr>
                      <w:rFonts w:hint="default" w:ascii="Times New Roman" w:hAnsi="Times New Roman" w:eastAsia="宋体" w:cs="Times New Roman"/>
                      <w:color w:val="000000"/>
                      <w:szCs w:val="28"/>
                    </w:rPr>
                    <w:t>期</w:t>
                  </w:r>
                </w:p>
              </w:tc>
              <w:tc>
                <w:tcPr>
                  <w:tcW w:w="870" w:type="dxa"/>
                  <w:vMerge w:val="restart"/>
                  <w:noWrap w:val="0"/>
                  <w:vAlign w:val="center"/>
                </w:tcPr>
                <w:p>
                  <w:pPr>
                    <w:adjustRightInd w:val="0"/>
                    <w:snapToGrid w:val="0"/>
                    <w:jc w:val="center"/>
                    <w:rPr>
                      <w:rFonts w:hint="default" w:ascii="Times New Roman" w:hAnsi="Times New Roman" w:eastAsia="宋体" w:cs="Times New Roman"/>
                      <w:color w:val="000000"/>
                      <w:szCs w:val="28"/>
                    </w:rPr>
                  </w:pPr>
                  <w:r>
                    <w:rPr>
                      <w:rFonts w:hint="default" w:ascii="Times New Roman" w:hAnsi="Times New Roman" w:eastAsia="宋体" w:cs="Times New Roman"/>
                      <w:color w:val="000000"/>
                      <w:szCs w:val="28"/>
                    </w:rPr>
                    <w:t>声环境</w:t>
                  </w:r>
                </w:p>
                <w:p>
                  <w:pPr>
                    <w:adjustRightInd w:val="0"/>
                    <w:snapToGrid w:val="0"/>
                    <w:jc w:val="center"/>
                    <w:rPr>
                      <w:rFonts w:hint="default" w:ascii="Times New Roman" w:hAnsi="Times New Roman" w:eastAsia="宋体" w:cs="Times New Roman"/>
                      <w:color w:val="000000"/>
                      <w:szCs w:val="28"/>
                    </w:rPr>
                  </w:pPr>
                  <w:r>
                    <w:rPr>
                      <w:rFonts w:hint="default" w:ascii="Times New Roman" w:hAnsi="Times New Roman" w:eastAsia="宋体" w:cs="Times New Roman"/>
                      <w:color w:val="000000"/>
                      <w:szCs w:val="28"/>
                    </w:rPr>
                    <w:t>保护</w:t>
                  </w:r>
                </w:p>
              </w:tc>
              <w:tc>
                <w:tcPr>
                  <w:tcW w:w="5645" w:type="dxa"/>
                  <w:gridSpan w:val="2"/>
                  <w:noWrap w:val="0"/>
                  <w:vAlign w:val="center"/>
                </w:tcPr>
                <w:p>
                  <w:pPr>
                    <w:adjustRightInd w:val="0"/>
                    <w:snapToGrid w:val="0"/>
                    <w:jc w:val="center"/>
                    <w:rPr>
                      <w:rFonts w:hint="default" w:ascii="Times New Roman" w:hAnsi="Times New Roman" w:eastAsia="宋体" w:cs="Times New Roman"/>
                      <w:color w:val="000000"/>
                      <w:szCs w:val="28"/>
                    </w:rPr>
                  </w:pPr>
                  <w:r>
                    <w:rPr>
                      <w:rFonts w:hint="default" w:ascii="Times New Roman" w:hAnsi="Times New Roman" w:eastAsia="宋体" w:cs="Times New Roman"/>
                      <w:color w:val="000000"/>
                      <w:szCs w:val="28"/>
                    </w:rPr>
                    <w:t>采用低噪声机械</w:t>
                  </w:r>
                </w:p>
              </w:tc>
              <w:tc>
                <w:tcPr>
                  <w:tcW w:w="955" w:type="dxa"/>
                  <w:noWrap w:val="0"/>
                  <w:vAlign w:val="center"/>
                </w:tcPr>
                <w:p>
                  <w:pPr>
                    <w:adjustRightInd w:val="0"/>
                    <w:snapToGrid w:val="0"/>
                    <w:jc w:val="center"/>
                    <w:rPr>
                      <w:rFonts w:hint="default" w:ascii="Times New Roman" w:hAnsi="Times New Roman" w:eastAsia="宋体" w:cs="Times New Roman"/>
                      <w:color w:val="000000"/>
                      <w:szCs w:val="28"/>
                    </w:rPr>
                  </w:pPr>
                  <w:r>
                    <w:rPr>
                      <w:rFonts w:hint="default" w:ascii="Times New Roman" w:hAnsi="Times New Roman" w:eastAsia="宋体" w:cs="Times New Roman"/>
                      <w:color w:val="000000"/>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continue"/>
                  <w:noWrap w:val="0"/>
                  <w:vAlign w:val="center"/>
                </w:tcPr>
                <w:p>
                  <w:pPr>
                    <w:adjustRightInd w:val="0"/>
                    <w:snapToGrid w:val="0"/>
                    <w:jc w:val="center"/>
                    <w:rPr>
                      <w:rFonts w:hint="default" w:ascii="Times New Roman" w:hAnsi="Times New Roman" w:eastAsia="宋体" w:cs="Times New Roman"/>
                      <w:color w:val="000000"/>
                      <w:szCs w:val="28"/>
                    </w:rPr>
                  </w:pPr>
                </w:p>
              </w:tc>
              <w:tc>
                <w:tcPr>
                  <w:tcW w:w="870" w:type="dxa"/>
                  <w:vMerge w:val="continue"/>
                  <w:noWrap w:val="0"/>
                  <w:vAlign w:val="center"/>
                </w:tcPr>
                <w:p>
                  <w:pPr>
                    <w:adjustRightInd w:val="0"/>
                    <w:snapToGrid w:val="0"/>
                    <w:jc w:val="center"/>
                    <w:rPr>
                      <w:rFonts w:hint="default" w:ascii="Times New Roman" w:hAnsi="Times New Roman" w:eastAsia="宋体" w:cs="Times New Roman"/>
                      <w:color w:val="000000"/>
                      <w:szCs w:val="28"/>
                    </w:rPr>
                  </w:pPr>
                </w:p>
              </w:tc>
              <w:tc>
                <w:tcPr>
                  <w:tcW w:w="5645" w:type="dxa"/>
                  <w:gridSpan w:val="2"/>
                  <w:noWrap w:val="0"/>
                  <w:vAlign w:val="center"/>
                </w:tcPr>
                <w:p>
                  <w:pPr>
                    <w:adjustRightInd w:val="0"/>
                    <w:snapToGrid w:val="0"/>
                    <w:jc w:val="center"/>
                    <w:rPr>
                      <w:rFonts w:hint="default" w:ascii="Times New Roman" w:hAnsi="Times New Roman" w:eastAsia="宋体" w:cs="Times New Roman"/>
                      <w:color w:val="000000"/>
                      <w:szCs w:val="28"/>
                    </w:rPr>
                  </w:pPr>
                  <w:r>
                    <w:rPr>
                      <w:rFonts w:hint="default" w:ascii="Times New Roman" w:hAnsi="Times New Roman" w:eastAsia="宋体" w:cs="Times New Roman"/>
                      <w:color w:val="000000"/>
                      <w:szCs w:val="28"/>
                    </w:rPr>
                    <w:t>合理布置施工平面和合理安排施工时序</w:t>
                  </w:r>
                </w:p>
              </w:tc>
              <w:tc>
                <w:tcPr>
                  <w:tcW w:w="955" w:type="dxa"/>
                  <w:noWrap w:val="0"/>
                  <w:vAlign w:val="center"/>
                </w:tcPr>
                <w:p>
                  <w:pPr>
                    <w:adjustRightInd w:val="0"/>
                    <w:snapToGrid w:val="0"/>
                    <w:jc w:val="center"/>
                    <w:rPr>
                      <w:rFonts w:hint="default" w:ascii="Times New Roman" w:hAnsi="Times New Roman" w:eastAsia="宋体" w:cs="Times New Roman"/>
                      <w:color w:val="000000"/>
                      <w:szCs w:val="28"/>
                    </w:rPr>
                  </w:pPr>
                  <w:r>
                    <w:rPr>
                      <w:rFonts w:hint="default" w:ascii="Times New Roman" w:hAnsi="Times New Roman" w:eastAsia="宋体" w:cs="Times New Roman"/>
                      <w:color w:val="000000"/>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continue"/>
                  <w:noWrap w:val="0"/>
                  <w:vAlign w:val="center"/>
                </w:tcPr>
                <w:p>
                  <w:pPr>
                    <w:adjustRightInd w:val="0"/>
                    <w:snapToGrid w:val="0"/>
                    <w:jc w:val="center"/>
                    <w:rPr>
                      <w:rFonts w:hint="default" w:ascii="Times New Roman" w:hAnsi="Times New Roman" w:eastAsia="宋体" w:cs="Times New Roman"/>
                      <w:color w:val="000000"/>
                      <w:szCs w:val="28"/>
                    </w:rPr>
                  </w:pPr>
                </w:p>
              </w:tc>
              <w:tc>
                <w:tcPr>
                  <w:tcW w:w="870" w:type="dxa"/>
                  <w:vMerge w:val="restart"/>
                  <w:noWrap w:val="0"/>
                  <w:vAlign w:val="center"/>
                </w:tcPr>
                <w:p>
                  <w:pPr>
                    <w:adjustRightInd w:val="0"/>
                    <w:snapToGrid w:val="0"/>
                    <w:jc w:val="center"/>
                    <w:rPr>
                      <w:rFonts w:hint="default" w:ascii="Times New Roman" w:hAnsi="Times New Roman" w:eastAsia="宋体" w:cs="Times New Roman"/>
                      <w:color w:val="000000"/>
                      <w:szCs w:val="28"/>
                    </w:rPr>
                  </w:pPr>
                  <w:r>
                    <w:rPr>
                      <w:rFonts w:hint="default" w:ascii="Times New Roman" w:hAnsi="Times New Roman" w:eastAsia="宋体" w:cs="Times New Roman"/>
                      <w:color w:val="000000"/>
                      <w:szCs w:val="28"/>
                    </w:rPr>
                    <w:t>水环境保护</w:t>
                  </w:r>
                </w:p>
              </w:tc>
              <w:tc>
                <w:tcPr>
                  <w:tcW w:w="1223" w:type="dxa"/>
                  <w:noWrap w:val="0"/>
                  <w:vAlign w:val="center"/>
                </w:tcPr>
                <w:p>
                  <w:pPr>
                    <w:adjustRightInd w:val="0"/>
                    <w:snapToGrid w:val="0"/>
                    <w:jc w:val="center"/>
                    <w:rPr>
                      <w:rFonts w:hint="default" w:ascii="Times New Roman" w:hAnsi="Times New Roman" w:eastAsia="宋体" w:cs="Times New Roman"/>
                      <w:color w:val="000000"/>
                      <w:szCs w:val="28"/>
                    </w:rPr>
                  </w:pPr>
                  <w:r>
                    <w:rPr>
                      <w:rFonts w:hint="default" w:ascii="Times New Roman" w:hAnsi="Times New Roman" w:eastAsia="宋体" w:cs="Times New Roman"/>
                      <w:color w:val="000000"/>
                      <w:szCs w:val="28"/>
                    </w:rPr>
                    <w:t xml:space="preserve">施工废水 </w:t>
                  </w:r>
                </w:p>
              </w:tc>
              <w:tc>
                <w:tcPr>
                  <w:tcW w:w="4422" w:type="dxa"/>
                  <w:noWrap w:val="0"/>
                  <w:vAlign w:val="center"/>
                </w:tcPr>
                <w:p>
                  <w:pPr>
                    <w:rPr>
                      <w:rFonts w:hint="default" w:ascii="Times New Roman" w:hAnsi="Times New Roman" w:eastAsia="宋体" w:cs="Times New Roman"/>
                      <w:color w:val="000000"/>
                      <w:szCs w:val="28"/>
                    </w:rPr>
                  </w:pPr>
                  <w:r>
                    <w:rPr>
                      <w:rFonts w:hint="eastAsia" w:ascii="Times New Roman" w:hAnsi="Times New Roman" w:eastAsia="宋体" w:cs="Times New Roman"/>
                      <w:color w:val="000000"/>
                      <w:szCs w:val="28"/>
                      <w:lang w:eastAsia="zh-CN"/>
                    </w:rPr>
                    <w:t>设置沉淀池处理后，回用于工程用水、洒水降尘</w:t>
                  </w:r>
                </w:p>
              </w:tc>
              <w:tc>
                <w:tcPr>
                  <w:tcW w:w="955" w:type="dxa"/>
                  <w:noWrap w:val="0"/>
                  <w:vAlign w:val="center"/>
                </w:tcPr>
                <w:p>
                  <w:pPr>
                    <w:adjustRightInd w:val="0"/>
                    <w:snapToGrid w:val="0"/>
                    <w:jc w:val="center"/>
                    <w:rPr>
                      <w:rFonts w:hint="default" w:ascii="Times New Roman" w:hAnsi="Times New Roman" w:eastAsia="宋体" w:cs="Times New Roman"/>
                      <w:color w:val="000000"/>
                      <w:szCs w:val="28"/>
                      <w:lang w:val="en-US" w:eastAsia="zh-CN"/>
                    </w:rPr>
                  </w:pPr>
                  <w:r>
                    <w:rPr>
                      <w:rFonts w:hint="eastAsia" w:ascii="Times New Roman" w:hAnsi="Times New Roman" w:eastAsia="宋体" w:cs="Times New Roman"/>
                      <w:color w:val="000000"/>
                      <w:szCs w:val="2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continue"/>
                  <w:noWrap w:val="0"/>
                  <w:vAlign w:val="center"/>
                </w:tcPr>
                <w:p>
                  <w:pPr>
                    <w:adjustRightInd w:val="0"/>
                    <w:snapToGrid w:val="0"/>
                    <w:jc w:val="center"/>
                    <w:rPr>
                      <w:rFonts w:hint="default" w:ascii="Times New Roman" w:hAnsi="Times New Roman" w:eastAsia="宋体" w:cs="Times New Roman"/>
                      <w:color w:val="000000"/>
                      <w:szCs w:val="28"/>
                    </w:rPr>
                  </w:pPr>
                </w:p>
              </w:tc>
              <w:tc>
                <w:tcPr>
                  <w:tcW w:w="870" w:type="dxa"/>
                  <w:vMerge w:val="continue"/>
                  <w:noWrap w:val="0"/>
                  <w:vAlign w:val="center"/>
                </w:tcPr>
                <w:p>
                  <w:pPr>
                    <w:adjustRightInd w:val="0"/>
                    <w:snapToGrid w:val="0"/>
                    <w:jc w:val="center"/>
                    <w:rPr>
                      <w:rFonts w:hint="default" w:ascii="Times New Roman" w:hAnsi="Times New Roman" w:eastAsia="宋体" w:cs="Times New Roman"/>
                      <w:color w:val="000000"/>
                      <w:szCs w:val="28"/>
                    </w:rPr>
                  </w:pPr>
                </w:p>
              </w:tc>
              <w:tc>
                <w:tcPr>
                  <w:tcW w:w="1223" w:type="dxa"/>
                  <w:noWrap w:val="0"/>
                  <w:vAlign w:val="center"/>
                </w:tcPr>
                <w:p>
                  <w:pPr>
                    <w:adjustRightInd w:val="0"/>
                    <w:snapToGrid w:val="0"/>
                    <w:jc w:val="center"/>
                    <w:rPr>
                      <w:rFonts w:hint="eastAsia" w:ascii="Times New Roman" w:hAnsi="Times New Roman" w:eastAsia="宋体" w:cs="Times New Roman"/>
                      <w:color w:val="000000"/>
                      <w:szCs w:val="28"/>
                      <w:lang w:eastAsia="zh-CN"/>
                    </w:rPr>
                  </w:pPr>
                  <w:r>
                    <w:rPr>
                      <w:rFonts w:hint="eastAsia" w:ascii="Times New Roman" w:hAnsi="Times New Roman" w:eastAsia="宋体" w:cs="Times New Roman"/>
                      <w:color w:val="000000"/>
                      <w:szCs w:val="28"/>
                      <w:lang w:eastAsia="zh-CN"/>
                    </w:rPr>
                    <w:t>基坑废水</w:t>
                  </w:r>
                </w:p>
              </w:tc>
              <w:tc>
                <w:tcPr>
                  <w:tcW w:w="4422" w:type="dxa"/>
                  <w:noWrap w:val="0"/>
                  <w:vAlign w:val="center"/>
                </w:tcPr>
                <w:p>
                  <w:pPr>
                    <w:rPr>
                      <w:rFonts w:hint="eastAsia" w:ascii="Times New Roman" w:hAnsi="Times New Roman" w:eastAsia="宋体" w:cs="Times New Roman"/>
                      <w:color w:val="000000"/>
                      <w:szCs w:val="28"/>
                      <w:lang w:eastAsia="zh-CN"/>
                    </w:rPr>
                  </w:pPr>
                  <w:r>
                    <w:rPr>
                      <w:rFonts w:hint="eastAsia" w:ascii="Times New Roman" w:hAnsi="Times New Roman" w:eastAsia="宋体" w:cs="Times New Roman"/>
                      <w:color w:val="000000"/>
                      <w:szCs w:val="28"/>
                      <w:lang w:val="en-US" w:eastAsia="zh-CN"/>
                    </w:rPr>
                    <w:t>抽水泵抽至</w:t>
                  </w:r>
                  <w:r>
                    <w:rPr>
                      <w:rFonts w:hint="eastAsia" w:ascii="Times New Roman" w:hAnsi="Times New Roman" w:eastAsia="宋体" w:cs="Times New Roman"/>
                      <w:color w:val="000000"/>
                      <w:szCs w:val="28"/>
                      <w:lang w:eastAsia="zh-CN"/>
                    </w:rPr>
                    <w:t>沉淀池处理后，回用于工程用水、洒水降尘</w:t>
                  </w:r>
                </w:p>
              </w:tc>
              <w:tc>
                <w:tcPr>
                  <w:tcW w:w="955" w:type="dxa"/>
                  <w:noWrap w:val="0"/>
                  <w:vAlign w:val="center"/>
                </w:tcPr>
                <w:p>
                  <w:pPr>
                    <w:adjustRightInd w:val="0"/>
                    <w:snapToGrid w:val="0"/>
                    <w:jc w:val="center"/>
                    <w:rPr>
                      <w:rFonts w:hint="default" w:ascii="Times New Roman" w:hAnsi="Times New Roman" w:eastAsia="宋体" w:cs="Times New Roman"/>
                      <w:color w:val="000000"/>
                      <w:szCs w:val="28"/>
                      <w:lang w:val="en-US" w:eastAsia="zh-CN"/>
                    </w:rPr>
                  </w:pPr>
                  <w:r>
                    <w:rPr>
                      <w:rFonts w:hint="eastAsia" w:ascii="Times New Roman" w:hAnsi="Times New Roman" w:eastAsia="宋体" w:cs="Times New Roman"/>
                      <w:color w:val="000000"/>
                      <w:szCs w:val="28"/>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continue"/>
                  <w:noWrap w:val="0"/>
                  <w:vAlign w:val="center"/>
                </w:tcPr>
                <w:p>
                  <w:pPr>
                    <w:adjustRightInd w:val="0"/>
                    <w:snapToGrid w:val="0"/>
                    <w:jc w:val="center"/>
                    <w:rPr>
                      <w:rFonts w:hint="default" w:ascii="Times New Roman" w:hAnsi="Times New Roman" w:eastAsia="宋体" w:cs="Times New Roman"/>
                      <w:color w:val="000000"/>
                      <w:szCs w:val="28"/>
                    </w:rPr>
                  </w:pPr>
                </w:p>
              </w:tc>
              <w:tc>
                <w:tcPr>
                  <w:tcW w:w="870" w:type="dxa"/>
                  <w:vMerge w:val="continue"/>
                  <w:noWrap w:val="0"/>
                  <w:vAlign w:val="center"/>
                </w:tcPr>
                <w:p>
                  <w:pPr>
                    <w:adjustRightInd w:val="0"/>
                    <w:snapToGrid w:val="0"/>
                    <w:jc w:val="center"/>
                    <w:rPr>
                      <w:rFonts w:hint="default" w:ascii="Times New Roman" w:hAnsi="Times New Roman" w:eastAsia="宋体" w:cs="Times New Roman"/>
                      <w:color w:val="000000"/>
                      <w:szCs w:val="28"/>
                    </w:rPr>
                  </w:pPr>
                </w:p>
              </w:tc>
              <w:tc>
                <w:tcPr>
                  <w:tcW w:w="1223" w:type="dxa"/>
                  <w:noWrap w:val="0"/>
                  <w:vAlign w:val="center"/>
                </w:tcPr>
                <w:p>
                  <w:pPr>
                    <w:adjustRightInd w:val="0"/>
                    <w:snapToGrid w:val="0"/>
                    <w:jc w:val="center"/>
                    <w:rPr>
                      <w:rFonts w:hint="default" w:ascii="Times New Roman" w:hAnsi="Times New Roman" w:eastAsia="宋体" w:cs="Times New Roman"/>
                      <w:color w:val="000000"/>
                      <w:szCs w:val="28"/>
                    </w:rPr>
                  </w:pPr>
                  <w:r>
                    <w:rPr>
                      <w:rFonts w:hint="default" w:ascii="Times New Roman" w:hAnsi="Times New Roman" w:eastAsia="宋体" w:cs="Times New Roman"/>
                      <w:color w:val="000000"/>
                      <w:szCs w:val="28"/>
                    </w:rPr>
                    <w:t>生活废水</w:t>
                  </w:r>
                </w:p>
              </w:tc>
              <w:tc>
                <w:tcPr>
                  <w:tcW w:w="4422" w:type="dxa"/>
                  <w:noWrap w:val="0"/>
                  <w:vAlign w:val="center"/>
                </w:tcPr>
                <w:p>
                  <w:pPr>
                    <w:adjustRightInd w:val="0"/>
                    <w:snapToGrid w:val="0"/>
                    <w:rPr>
                      <w:rFonts w:hint="eastAsia" w:ascii="Times New Roman" w:hAnsi="Times New Roman" w:eastAsia="宋体" w:cs="Times New Roman"/>
                      <w:color w:val="000000"/>
                      <w:szCs w:val="28"/>
                      <w:lang w:eastAsia="zh-CN"/>
                    </w:rPr>
                  </w:pPr>
                  <w:r>
                    <w:rPr>
                      <w:rFonts w:hint="default" w:ascii="Times New Roman" w:hAnsi="Times New Roman" w:eastAsia="宋体" w:cs="Times New Roman"/>
                      <w:color w:val="000000"/>
                      <w:szCs w:val="28"/>
                    </w:rPr>
                    <w:t>利用</w:t>
                  </w:r>
                  <w:r>
                    <w:rPr>
                      <w:rFonts w:hint="eastAsia" w:ascii="Times New Roman" w:hAnsi="Times New Roman" w:eastAsia="宋体" w:cs="Times New Roman"/>
                      <w:color w:val="000000"/>
                      <w:szCs w:val="28"/>
                      <w:lang w:eastAsia="zh-CN"/>
                    </w:rPr>
                    <w:t>周边已有设施收集处理</w:t>
                  </w:r>
                </w:p>
              </w:tc>
              <w:tc>
                <w:tcPr>
                  <w:tcW w:w="955" w:type="dxa"/>
                  <w:noWrap w:val="0"/>
                  <w:vAlign w:val="center"/>
                </w:tcPr>
                <w:p>
                  <w:pPr>
                    <w:adjustRightInd w:val="0"/>
                    <w:snapToGrid w:val="0"/>
                    <w:jc w:val="center"/>
                    <w:rPr>
                      <w:rFonts w:hint="default" w:ascii="Times New Roman" w:hAnsi="Times New Roman" w:eastAsia="宋体" w:cs="Times New Roman"/>
                      <w:color w:val="000000"/>
                      <w:szCs w:val="28"/>
                    </w:rPr>
                  </w:pPr>
                  <w:r>
                    <w:rPr>
                      <w:rFonts w:hint="default" w:ascii="Times New Roman" w:hAnsi="Times New Roman" w:eastAsia="宋体" w:cs="Times New Roman"/>
                      <w:color w:val="000000"/>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continue"/>
                  <w:noWrap w:val="0"/>
                  <w:vAlign w:val="center"/>
                </w:tcPr>
                <w:p>
                  <w:pPr>
                    <w:adjustRightInd w:val="0"/>
                    <w:snapToGrid w:val="0"/>
                    <w:jc w:val="center"/>
                    <w:rPr>
                      <w:rFonts w:hint="default" w:ascii="Times New Roman" w:hAnsi="Times New Roman" w:eastAsia="宋体" w:cs="Times New Roman"/>
                      <w:color w:val="000000"/>
                      <w:szCs w:val="28"/>
                    </w:rPr>
                  </w:pPr>
                </w:p>
              </w:tc>
              <w:tc>
                <w:tcPr>
                  <w:tcW w:w="870" w:type="dxa"/>
                  <w:vMerge w:val="restart"/>
                  <w:noWrap w:val="0"/>
                  <w:vAlign w:val="center"/>
                </w:tcPr>
                <w:p>
                  <w:pPr>
                    <w:adjustRightInd w:val="0"/>
                    <w:snapToGrid w:val="0"/>
                    <w:jc w:val="center"/>
                    <w:rPr>
                      <w:rFonts w:hint="default" w:ascii="Times New Roman" w:hAnsi="Times New Roman" w:eastAsia="宋体" w:cs="Times New Roman"/>
                      <w:color w:val="000000"/>
                      <w:szCs w:val="28"/>
                    </w:rPr>
                  </w:pPr>
                  <w:r>
                    <w:rPr>
                      <w:rFonts w:hint="default" w:ascii="Times New Roman" w:hAnsi="Times New Roman" w:eastAsia="宋体" w:cs="Times New Roman"/>
                      <w:color w:val="000000"/>
                      <w:szCs w:val="28"/>
                    </w:rPr>
                    <w:t>扬尘抑制</w:t>
                  </w:r>
                </w:p>
              </w:tc>
              <w:tc>
                <w:tcPr>
                  <w:tcW w:w="5645" w:type="dxa"/>
                  <w:gridSpan w:val="2"/>
                  <w:noWrap w:val="0"/>
                  <w:vAlign w:val="center"/>
                </w:tcPr>
                <w:p>
                  <w:pPr>
                    <w:adjustRightInd w:val="0"/>
                    <w:snapToGrid w:val="0"/>
                    <w:jc w:val="center"/>
                    <w:rPr>
                      <w:rFonts w:hint="default" w:ascii="Times New Roman" w:hAnsi="Times New Roman" w:eastAsia="宋体" w:cs="Times New Roman"/>
                      <w:color w:val="000000"/>
                      <w:szCs w:val="28"/>
                    </w:rPr>
                  </w:pPr>
                  <w:r>
                    <w:rPr>
                      <w:rFonts w:hint="default" w:ascii="Times New Roman" w:hAnsi="Times New Roman" w:eastAsia="宋体" w:cs="Times New Roman"/>
                      <w:color w:val="000000"/>
                      <w:szCs w:val="28"/>
                    </w:rPr>
                    <w:t>施工车辆进出施工场地时进行车轮冲洗</w:t>
                  </w:r>
                </w:p>
              </w:tc>
              <w:tc>
                <w:tcPr>
                  <w:tcW w:w="955" w:type="dxa"/>
                  <w:noWrap w:val="0"/>
                  <w:vAlign w:val="center"/>
                </w:tcPr>
                <w:p>
                  <w:pPr>
                    <w:adjustRightInd w:val="0"/>
                    <w:snapToGrid w:val="0"/>
                    <w:jc w:val="center"/>
                    <w:rPr>
                      <w:rFonts w:hint="default" w:ascii="Times New Roman" w:hAnsi="Times New Roman" w:eastAsia="宋体" w:cs="Times New Roman"/>
                      <w:color w:val="000000"/>
                      <w:szCs w:val="28"/>
                      <w:lang w:val="en-US" w:eastAsia="zh-CN"/>
                    </w:rPr>
                  </w:pPr>
                  <w:r>
                    <w:rPr>
                      <w:rFonts w:hint="eastAsia" w:ascii="Times New Roman" w:hAnsi="Times New Roman" w:eastAsia="宋体" w:cs="Times New Roman"/>
                      <w:color w:val="000000"/>
                      <w:szCs w:val="2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continue"/>
                  <w:noWrap w:val="0"/>
                  <w:vAlign w:val="center"/>
                </w:tcPr>
                <w:p>
                  <w:pPr>
                    <w:adjustRightInd w:val="0"/>
                    <w:snapToGrid w:val="0"/>
                    <w:jc w:val="center"/>
                    <w:rPr>
                      <w:rFonts w:hint="default" w:ascii="Times New Roman" w:hAnsi="Times New Roman" w:eastAsia="宋体" w:cs="Times New Roman"/>
                      <w:color w:val="000000"/>
                      <w:szCs w:val="28"/>
                    </w:rPr>
                  </w:pPr>
                </w:p>
              </w:tc>
              <w:tc>
                <w:tcPr>
                  <w:tcW w:w="870" w:type="dxa"/>
                  <w:vMerge w:val="continue"/>
                  <w:noWrap w:val="0"/>
                  <w:vAlign w:val="center"/>
                </w:tcPr>
                <w:p>
                  <w:pPr>
                    <w:adjustRightInd w:val="0"/>
                    <w:snapToGrid w:val="0"/>
                    <w:jc w:val="center"/>
                    <w:rPr>
                      <w:rFonts w:hint="default" w:ascii="Times New Roman" w:hAnsi="Times New Roman" w:eastAsia="宋体" w:cs="Times New Roman"/>
                      <w:color w:val="000000"/>
                      <w:szCs w:val="28"/>
                    </w:rPr>
                  </w:pPr>
                </w:p>
              </w:tc>
              <w:tc>
                <w:tcPr>
                  <w:tcW w:w="5645" w:type="dxa"/>
                  <w:gridSpan w:val="2"/>
                  <w:noWrap w:val="0"/>
                  <w:vAlign w:val="center"/>
                </w:tcPr>
                <w:p>
                  <w:pPr>
                    <w:adjustRightInd w:val="0"/>
                    <w:snapToGrid w:val="0"/>
                    <w:jc w:val="center"/>
                    <w:rPr>
                      <w:rFonts w:hint="default" w:ascii="Times New Roman" w:hAnsi="Times New Roman" w:eastAsia="宋体" w:cs="Times New Roman"/>
                      <w:color w:val="000000"/>
                      <w:szCs w:val="28"/>
                    </w:rPr>
                  </w:pPr>
                  <w:r>
                    <w:rPr>
                      <w:rFonts w:hint="eastAsia" w:cs="Times New Roman"/>
                      <w:color w:val="000000"/>
                      <w:szCs w:val="28"/>
                      <w:lang w:val="en-US" w:eastAsia="zh-CN"/>
                    </w:rPr>
                    <w:t>堆土场</w:t>
                  </w:r>
                  <w:r>
                    <w:rPr>
                      <w:rFonts w:hint="default" w:ascii="Times New Roman" w:hAnsi="Times New Roman" w:eastAsia="宋体" w:cs="Times New Roman"/>
                      <w:color w:val="000000"/>
                      <w:szCs w:val="28"/>
                    </w:rPr>
                    <w:t>设蓬布覆盖、运输加盖篷布、洒水降尘装备</w:t>
                  </w:r>
                </w:p>
              </w:tc>
              <w:tc>
                <w:tcPr>
                  <w:tcW w:w="955" w:type="dxa"/>
                  <w:noWrap w:val="0"/>
                  <w:vAlign w:val="center"/>
                </w:tcPr>
                <w:p>
                  <w:pPr>
                    <w:adjustRightInd w:val="0"/>
                    <w:snapToGrid w:val="0"/>
                    <w:jc w:val="center"/>
                    <w:rPr>
                      <w:rFonts w:hint="default" w:ascii="Times New Roman" w:hAnsi="Times New Roman" w:eastAsia="宋体" w:cs="Times New Roman"/>
                      <w:color w:val="000000"/>
                      <w:szCs w:val="28"/>
                      <w:lang w:val="en-US" w:eastAsia="zh-CN"/>
                    </w:rPr>
                  </w:pPr>
                  <w:r>
                    <w:rPr>
                      <w:rFonts w:hint="eastAsia" w:ascii="Times New Roman" w:hAnsi="Times New Roman" w:eastAsia="宋体" w:cs="Times New Roman"/>
                      <w:color w:val="000000"/>
                      <w:szCs w:val="2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continue"/>
                  <w:noWrap w:val="0"/>
                  <w:vAlign w:val="center"/>
                </w:tcPr>
                <w:p>
                  <w:pPr>
                    <w:adjustRightInd w:val="0"/>
                    <w:snapToGrid w:val="0"/>
                    <w:jc w:val="center"/>
                    <w:rPr>
                      <w:rFonts w:hint="default" w:ascii="Times New Roman" w:hAnsi="Times New Roman" w:eastAsia="宋体" w:cs="Times New Roman"/>
                      <w:color w:val="000000"/>
                      <w:szCs w:val="28"/>
                    </w:rPr>
                  </w:pPr>
                </w:p>
              </w:tc>
              <w:tc>
                <w:tcPr>
                  <w:tcW w:w="870" w:type="dxa"/>
                  <w:vMerge w:val="restart"/>
                  <w:noWrap w:val="0"/>
                  <w:vAlign w:val="center"/>
                </w:tcPr>
                <w:p>
                  <w:pPr>
                    <w:adjustRightInd w:val="0"/>
                    <w:snapToGrid w:val="0"/>
                    <w:jc w:val="center"/>
                    <w:rPr>
                      <w:rFonts w:hint="default" w:ascii="Times New Roman" w:hAnsi="Times New Roman" w:eastAsia="宋体" w:cs="Times New Roman"/>
                      <w:color w:val="000000"/>
                      <w:szCs w:val="28"/>
                    </w:rPr>
                  </w:pPr>
                  <w:r>
                    <w:rPr>
                      <w:rFonts w:hint="default" w:ascii="Times New Roman" w:hAnsi="Times New Roman" w:eastAsia="宋体" w:cs="Times New Roman"/>
                      <w:color w:val="000000"/>
                      <w:szCs w:val="28"/>
                    </w:rPr>
                    <w:t>固废弃物处理</w:t>
                  </w:r>
                </w:p>
              </w:tc>
              <w:tc>
                <w:tcPr>
                  <w:tcW w:w="5645" w:type="dxa"/>
                  <w:gridSpan w:val="2"/>
                  <w:noWrap w:val="0"/>
                  <w:vAlign w:val="center"/>
                </w:tcPr>
                <w:p>
                  <w:pPr>
                    <w:adjustRightInd w:val="0"/>
                    <w:snapToGrid w:val="0"/>
                    <w:jc w:val="center"/>
                    <w:rPr>
                      <w:rFonts w:hint="default" w:ascii="Times New Roman" w:hAnsi="Times New Roman" w:eastAsia="宋体" w:cs="Times New Roman"/>
                      <w:color w:val="000000"/>
                      <w:szCs w:val="28"/>
                    </w:rPr>
                  </w:pPr>
                  <w:r>
                    <w:rPr>
                      <w:rFonts w:hint="default" w:ascii="Times New Roman" w:hAnsi="Times New Roman" w:eastAsia="宋体" w:cs="Times New Roman"/>
                      <w:color w:val="000000"/>
                      <w:szCs w:val="28"/>
                      <w:lang w:val="en-US" w:eastAsia="zh-CN"/>
                    </w:rPr>
                    <w:t>开挖土石方（含疏浚物）弃土</w:t>
                  </w:r>
                  <w:r>
                    <w:rPr>
                      <w:rFonts w:hint="eastAsia" w:cs="Times New Roman"/>
                      <w:color w:val="000000"/>
                      <w:szCs w:val="28"/>
                      <w:lang w:val="en-US" w:eastAsia="zh-CN"/>
                    </w:rPr>
                    <w:t>全部</w:t>
                  </w:r>
                  <w:r>
                    <w:rPr>
                      <w:rFonts w:hint="default" w:ascii="Times New Roman" w:hAnsi="Times New Roman" w:eastAsia="宋体" w:cs="Times New Roman"/>
                      <w:color w:val="000000"/>
                      <w:szCs w:val="28"/>
                      <w:lang w:val="en-US" w:eastAsia="zh-CN"/>
                    </w:rPr>
                    <w:t>用于工程河道回填</w:t>
                  </w:r>
                </w:p>
              </w:tc>
              <w:tc>
                <w:tcPr>
                  <w:tcW w:w="955" w:type="dxa"/>
                  <w:noWrap w:val="0"/>
                  <w:vAlign w:val="center"/>
                </w:tcPr>
                <w:p>
                  <w:pPr>
                    <w:adjustRightInd w:val="0"/>
                    <w:snapToGrid w:val="0"/>
                    <w:jc w:val="center"/>
                    <w:rPr>
                      <w:rFonts w:hint="default" w:ascii="Times New Roman" w:hAnsi="Times New Roman" w:eastAsia="宋体" w:cs="Times New Roman"/>
                      <w:color w:val="000000"/>
                      <w:szCs w:val="28"/>
                      <w:lang w:val="en-US" w:eastAsia="zh-CN"/>
                    </w:rPr>
                  </w:pPr>
                  <w:r>
                    <w:rPr>
                      <w:rFonts w:hint="eastAsia" w:ascii="Times New Roman" w:hAnsi="Times New Roman" w:eastAsia="宋体" w:cs="Times New Roman"/>
                      <w:color w:val="000000"/>
                      <w:szCs w:val="28"/>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continue"/>
                  <w:noWrap w:val="0"/>
                  <w:vAlign w:val="center"/>
                </w:tcPr>
                <w:p>
                  <w:pPr>
                    <w:adjustRightInd w:val="0"/>
                    <w:snapToGrid w:val="0"/>
                    <w:jc w:val="center"/>
                    <w:rPr>
                      <w:rFonts w:hint="default" w:ascii="Times New Roman" w:hAnsi="Times New Roman" w:eastAsia="宋体" w:cs="Times New Roman"/>
                      <w:color w:val="000000"/>
                      <w:szCs w:val="28"/>
                    </w:rPr>
                  </w:pPr>
                </w:p>
              </w:tc>
              <w:tc>
                <w:tcPr>
                  <w:tcW w:w="870" w:type="dxa"/>
                  <w:vMerge w:val="continue"/>
                  <w:noWrap w:val="0"/>
                  <w:vAlign w:val="center"/>
                </w:tcPr>
                <w:p>
                  <w:pPr>
                    <w:adjustRightInd w:val="0"/>
                    <w:snapToGrid w:val="0"/>
                    <w:jc w:val="center"/>
                    <w:rPr>
                      <w:rFonts w:hint="default" w:ascii="Times New Roman" w:hAnsi="Times New Roman" w:eastAsia="宋体" w:cs="Times New Roman"/>
                      <w:color w:val="000000"/>
                      <w:szCs w:val="28"/>
                    </w:rPr>
                  </w:pPr>
                </w:p>
              </w:tc>
              <w:tc>
                <w:tcPr>
                  <w:tcW w:w="5645" w:type="dxa"/>
                  <w:gridSpan w:val="2"/>
                  <w:noWrap w:val="0"/>
                  <w:vAlign w:val="center"/>
                </w:tcPr>
                <w:p>
                  <w:pPr>
                    <w:adjustRightInd w:val="0"/>
                    <w:snapToGrid w:val="0"/>
                    <w:jc w:val="center"/>
                    <w:rPr>
                      <w:rFonts w:hint="eastAsia" w:ascii="Times New Roman" w:hAnsi="Times New Roman" w:eastAsia="宋体" w:cs="Times New Roman"/>
                      <w:color w:val="000000"/>
                      <w:szCs w:val="28"/>
                      <w:lang w:eastAsia="zh-CN"/>
                    </w:rPr>
                  </w:pPr>
                  <w:r>
                    <w:rPr>
                      <w:rFonts w:hint="eastAsia" w:cs="Times New Roman"/>
                      <w:color w:val="000000"/>
                      <w:szCs w:val="28"/>
                      <w:lang w:val="en-US" w:eastAsia="zh-CN"/>
                    </w:rPr>
                    <w:t>开挖土石方（含疏浚物）弃土用于工程河道回填，</w:t>
                  </w:r>
                  <w:r>
                    <w:rPr>
                      <w:rFonts w:hint="eastAsia" w:ascii="Times New Roman" w:hAnsi="Times New Roman" w:eastAsia="宋体" w:cs="Times New Roman"/>
                      <w:color w:val="000000"/>
                      <w:szCs w:val="28"/>
                      <w:lang w:eastAsia="zh-CN"/>
                    </w:rPr>
                    <w:t>并采取相应的水保措施</w:t>
                  </w:r>
                </w:p>
              </w:tc>
              <w:tc>
                <w:tcPr>
                  <w:tcW w:w="955" w:type="dxa"/>
                  <w:noWrap w:val="0"/>
                  <w:vAlign w:val="center"/>
                </w:tcPr>
                <w:p>
                  <w:pPr>
                    <w:adjustRightInd w:val="0"/>
                    <w:snapToGrid w:val="0"/>
                    <w:jc w:val="center"/>
                    <w:rPr>
                      <w:rFonts w:hint="default" w:ascii="Times New Roman" w:hAnsi="Times New Roman" w:eastAsia="宋体" w:cs="Times New Roman"/>
                      <w:color w:val="000000"/>
                      <w:szCs w:val="28"/>
                      <w:lang w:val="en-US" w:eastAsia="zh-CN"/>
                    </w:rPr>
                  </w:pPr>
                  <w:r>
                    <w:rPr>
                      <w:rFonts w:hint="eastAsia" w:ascii="Times New Roman" w:hAnsi="Times New Roman" w:eastAsia="宋体" w:cs="Times New Roman"/>
                      <w:color w:val="000000"/>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continue"/>
                  <w:noWrap w:val="0"/>
                  <w:vAlign w:val="center"/>
                </w:tcPr>
                <w:p>
                  <w:pPr>
                    <w:adjustRightInd w:val="0"/>
                    <w:snapToGrid w:val="0"/>
                    <w:jc w:val="center"/>
                    <w:rPr>
                      <w:rFonts w:hint="default" w:ascii="Times New Roman" w:hAnsi="Times New Roman" w:eastAsia="宋体" w:cs="Times New Roman"/>
                      <w:color w:val="000000"/>
                      <w:szCs w:val="28"/>
                    </w:rPr>
                  </w:pPr>
                </w:p>
              </w:tc>
              <w:tc>
                <w:tcPr>
                  <w:tcW w:w="870" w:type="dxa"/>
                  <w:vMerge w:val="continue"/>
                  <w:noWrap w:val="0"/>
                  <w:vAlign w:val="center"/>
                </w:tcPr>
                <w:p>
                  <w:pPr>
                    <w:adjustRightInd w:val="0"/>
                    <w:snapToGrid w:val="0"/>
                    <w:jc w:val="center"/>
                    <w:rPr>
                      <w:rFonts w:hint="default" w:ascii="Times New Roman" w:hAnsi="Times New Roman" w:eastAsia="宋体" w:cs="Times New Roman"/>
                      <w:color w:val="000000"/>
                      <w:szCs w:val="28"/>
                    </w:rPr>
                  </w:pPr>
                </w:p>
              </w:tc>
              <w:tc>
                <w:tcPr>
                  <w:tcW w:w="5645" w:type="dxa"/>
                  <w:gridSpan w:val="2"/>
                  <w:noWrap w:val="0"/>
                  <w:vAlign w:val="center"/>
                </w:tcPr>
                <w:p>
                  <w:pPr>
                    <w:rPr>
                      <w:rFonts w:hint="default" w:ascii="Times New Roman" w:hAnsi="Times New Roman" w:eastAsia="宋体" w:cs="Times New Roman"/>
                      <w:color w:val="000000"/>
                      <w:szCs w:val="28"/>
                    </w:rPr>
                  </w:pPr>
                  <w:r>
                    <w:rPr>
                      <w:rFonts w:hint="default" w:ascii="Times New Roman" w:hAnsi="Times New Roman" w:eastAsia="宋体" w:cs="Times New Roman"/>
                      <w:color w:val="000000"/>
                      <w:szCs w:val="28"/>
                    </w:rPr>
                    <w:t>生活垃圾：设置垃圾桶收集后定期交市政环卫部门处理</w:t>
                  </w:r>
                </w:p>
              </w:tc>
              <w:tc>
                <w:tcPr>
                  <w:tcW w:w="955" w:type="dxa"/>
                  <w:noWrap w:val="0"/>
                  <w:vAlign w:val="center"/>
                </w:tcPr>
                <w:p>
                  <w:pPr>
                    <w:adjustRightInd w:val="0"/>
                    <w:snapToGrid w:val="0"/>
                    <w:jc w:val="center"/>
                    <w:rPr>
                      <w:rFonts w:hint="eastAsia" w:ascii="Times New Roman" w:hAnsi="Times New Roman" w:eastAsia="宋体" w:cs="Times New Roman"/>
                      <w:color w:val="000000"/>
                      <w:szCs w:val="28"/>
                      <w:lang w:eastAsia="zh-CN"/>
                    </w:rPr>
                  </w:pPr>
                  <w:r>
                    <w:rPr>
                      <w:rFonts w:hint="eastAsia" w:ascii="Times New Roman" w:hAnsi="Times New Roman" w:eastAsia="宋体" w:cs="Times New Roman"/>
                      <w:color w:val="000000"/>
                      <w:szCs w:val="2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67" w:type="dxa"/>
                  <w:vMerge w:val="continue"/>
                  <w:noWrap w:val="0"/>
                  <w:vAlign w:val="center"/>
                </w:tcPr>
                <w:p>
                  <w:pPr>
                    <w:adjustRightInd w:val="0"/>
                    <w:snapToGrid w:val="0"/>
                    <w:jc w:val="center"/>
                    <w:rPr>
                      <w:rFonts w:hint="default" w:ascii="Times New Roman" w:hAnsi="Times New Roman" w:eastAsia="宋体" w:cs="Times New Roman"/>
                      <w:color w:val="000000"/>
                      <w:szCs w:val="28"/>
                    </w:rPr>
                  </w:pPr>
                </w:p>
              </w:tc>
              <w:tc>
                <w:tcPr>
                  <w:tcW w:w="870" w:type="dxa"/>
                  <w:noWrap w:val="0"/>
                  <w:vAlign w:val="center"/>
                </w:tcPr>
                <w:p>
                  <w:pPr>
                    <w:adjustRightInd w:val="0"/>
                    <w:snapToGrid w:val="0"/>
                    <w:jc w:val="center"/>
                    <w:rPr>
                      <w:rFonts w:hint="default" w:ascii="Times New Roman" w:hAnsi="Times New Roman" w:eastAsia="宋体" w:cs="Times New Roman"/>
                      <w:color w:val="000000"/>
                      <w:szCs w:val="28"/>
                    </w:rPr>
                  </w:pPr>
                  <w:r>
                    <w:rPr>
                      <w:rFonts w:hint="default" w:ascii="Times New Roman" w:hAnsi="Times New Roman" w:eastAsia="宋体" w:cs="Times New Roman"/>
                      <w:color w:val="000000"/>
                      <w:szCs w:val="28"/>
                    </w:rPr>
                    <w:t>生态环境</w:t>
                  </w:r>
                </w:p>
              </w:tc>
              <w:tc>
                <w:tcPr>
                  <w:tcW w:w="5645" w:type="dxa"/>
                  <w:gridSpan w:val="2"/>
                  <w:noWrap w:val="0"/>
                  <w:vAlign w:val="center"/>
                </w:tcPr>
                <w:p>
                  <w:pPr>
                    <w:adjustRightInd w:val="0"/>
                    <w:snapToGrid w:val="0"/>
                    <w:jc w:val="center"/>
                    <w:rPr>
                      <w:rFonts w:hint="default" w:ascii="Times New Roman" w:hAnsi="Times New Roman" w:eastAsia="宋体" w:cs="Times New Roman"/>
                      <w:color w:val="000000"/>
                      <w:szCs w:val="28"/>
                    </w:rPr>
                  </w:pPr>
                  <w:r>
                    <w:rPr>
                      <w:rFonts w:hint="default" w:ascii="Times New Roman" w:hAnsi="Times New Roman" w:eastAsia="宋体" w:cs="Times New Roman"/>
                      <w:color w:val="000000"/>
                      <w:szCs w:val="28"/>
                    </w:rPr>
                    <w:t>施工临时占地、施工场地及时进行迹地恢复</w:t>
                  </w:r>
                </w:p>
              </w:tc>
              <w:tc>
                <w:tcPr>
                  <w:tcW w:w="955" w:type="dxa"/>
                  <w:noWrap w:val="0"/>
                  <w:vAlign w:val="center"/>
                </w:tcPr>
                <w:p>
                  <w:pPr>
                    <w:adjustRightInd w:val="0"/>
                    <w:snapToGrid w:val="0"/>
                    <w:jc w:val="center"/>
                    <w:rPr>
                      <w:rFonts w:hint="default" w:ascii="Times New Roman" w:hAnsi="Times New Roman" w:eastAsia="宋体" w:cs="Times New Roman"/>
                      <w:color w:val="000000"/>
                      <w:szCs w:val="28"/>
                      <w:lang w:val="en-US" w:eastAsia="zh-CN"/>
                    </w:rPr>
                  </w:pPr>
                  <w:r>
                    <w:rPr>
                      <w:rFonts w:hint="eastAsia" w:ascii="Times New Roman" w:hAnsi="Times New Roman" w:eastAsia="宋体" w:cs="Times New Roman"/>
                      <w:color w:val="000000"/>
                      <w:szCs w:val="28"/>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dxa"/>
                  <w:gridSpan w:val="2"/>
                  <w:noWrap w:val="0"/>
                  <w:vAlign w:val="center"/>
                </w:tcPr>
                <w:p>
                  <w:pPr>
                    <w:adjustRightInd w:val="0"/>
                    <w:snapToGrid w:val="0"/>
                    <w:jc w:val="center"/>
                    <w:rPr>
                      <w:rFonts w:hint="default" w:ascii="Times New Roman" w:hAnsi="Times New Roman" w:eastAsia="宋体" w:cs="Times New Roman"/>
                      <w:color w:val="000000"/>
                      <w:szCs w:val="28"/>
                    </w:rPr>
                  </w:pPr>
                  <w:r>
                    <w:rPr>
                      <w:rFonts w:hint="default" w:ascii="Times New Roman" w:hAnsi="Times New Roman" w:eastAsia="宋体" w:cs="Times New Roman"/>
                      <w:color w:val="000000"/>
                      <w:szCs w:val="28"/>
                    </w:rPr>
                    <w:t>环境风险防范</w:t>
                  </w:r>
                </w:p>
              </w:tc>
              <w:tc>
                <w:tcPr>
                  <w:tcW w:w="5645" w:type="dxa"/>
                  <w:gridSpan w:val="2"/>
                  <w:noWrap w:val="0"/>
                  <w:vAlign w:val="center"/>
                </w:tcPr>
                <w:p>
                  <w:pPr>
                    <w:adjustRightInd w:val="0"/>
                    <w:snapToGrid w:val="0"/>
                    <w:jc w:val="center"/>
                    <w:rPr>
                      <w:rFonts w:hint="default" w:ascii="Times New Roman" w:hAnsi="Times New Roman" w:eastAsia="宋体" w:cs="Times New Roman"/>
                      <w:color w:val="000000"/>
                      <w:szCs w:val="28"/>
                    </w:rPr>
                  </w:pPr>
                  <w:r>
                    <w:rPr>
                      <w:rFonts w:hint="default" w:ascii="Times New Roman" w:hAnsi="Times New Roman" w:eastAsia="宋体" w:cs="Times New Roman"/>
                      <w:color w:val="000000"/>
                      <w:szCs w:val="28"/>
                    </w:rPr>
                    <w:t>加强运行期堤防管理</w:t>
                  </w:r>
                </w:p>
              </w:tc>
              <w:tc>
                <w:tcPr>
                  <w:tcW w:w="955" w:type="dxa"/>
                  <w:noWrap w:val="0"/>
                  <w:vAlign w:val="center"/>
                </w:tcPr>
                <w:p>
                  <w:pPr>
                    <w:adjustRightInd w:val="0"/>
                    <w:snapToGrid w:val="0"/>
                    <w:jc w:val="center"/>
                    <w:rPr>
                      <w:rFonts w:hint="eastAsia" w:ascii="Times New Roman" w:hAnsi="Times New Roman" w:eastAsia="宋体" w:cs="Times New Roman"/>
                      <w:color w:val="000000"/>
                      <w:szCs w:val="28"/>
                      <w:lang w:val="en-US" w:eastAsia="zh-CN"/>
                    </w:rPr>
                  </w:pPr>
                  <w:r>
                    <w:rPr>
                      <w:rFonts w:hint="eastAsia" w:ascii="Times New Roman" w:hAnsi="Times New Roman" w:eastAsia="宋体" w:cs="Times New Roman"/>
                      <w:color w:val="000000"/>
                      <w:szCs w:val="2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dxa"/>
                  <w:gridSpan w:val="2"/>
                  <w:noWrap w:val="0"/>
                  <w:vAlign w:val="center"/>
                </w:tcPr>
                <w:p>
                  <w:pPr>
                    <w:adjustRightInd w:val="0"/>
                    <w:snapToGrid w:val="0"/>
                    <w:jc w:val="center"/>
                    <w:rPr>
                      <w:rFonts w:hint="default" w:ascii="Times New Roman" w:hAnsi="Times New Roman" w:eastAsia="宋体" w:cs="Times New Roman"/>
                      <w:color w:val="000000"/>
                      <w:szCs w:val="28"/>
                    </w:rPr>
                  </w:pPr>
                  <w:r>
                    <w:rPr>
                      <w:rFonts w:hint="default" w:ascii="Times New Roman" w:hAnsi="Times New Roman" w:eastAsia="宋体" w:cs="Times New Roman"/>
                      <w:color w:val="000000"/>
                      <w:szCs w:val="28"/>
                    </w:rPr>
                    <w:t>环境监理管理</w:t>
                  </w:r>
                </w:p>
              </w:tc>
              <w:tc>
                <w:tcPr>
                  <w:tcW w:w="5645" w:type="dxa"/>
                  <w:gridSpan w:val="2"/>
                  <w:noWrap w:val="0"/>
                  <w:vAlign w:val="center"/>
                </w:tcPr>
                <w:p>
                  <w:pPr>
                    <w:adjustRightInd w:val="0"/>
                    <w:snapToGrid w:val="0"/>
                    <w:jc w:val="center"/>
                    <w:rPr>
                      <w:rFonts w:hint="default" w:ascii="Times New Roman" w:hAnsi="Times New Roman" w:eastAsia="宋体" w:cs="Times New Roman"/>
                      <w:color w:val="000000"/>
                      <w:szCs w:val="28"/>
                    </w:rPr>
                  </w:pPr>
                  <w:r>
                    <w:rPr>
                      <w:rFonts w:hint="default" w:ascii="Times New Roman" w:hAnsi="Times New Roman" w:eastAsia="宋体" w:cs="Times New Roman"/>
                      <w:color w:val="000000"/>
                      <w:szCs w:val="28"/>
                    </w:rPr>
                    <w:t>施工期、运行期环境监测</w:t>
                  </w:r>
                </w:p>
              </w:tc>
              <w:tc>
                <w:tcPr>
                  <w:tcW w:w="955" w:type="dxa"/>
                  <w:noWrap w:val="0"/>
                  <w:vAlign w:val="center"/>
                </w:tcPr>
                <w:p>
                  <w:pPr>
                    <w:adjustRightInd w:val="0"/>
                    <w:snapToGrid w:val="0"/>
                    <w:jc w:val="center"/>
                    <w:rPr>
                      <w:rFonts w:hint="default" w:ascii="Times New Roman" w:hAnsi="Times New Roman" w:eastAsia="宋体" w:cs="Times New Roman"/>
                      <w:color w:val="000000"/>
                      <w:szCs w:val="28"/>
                    </w:rPr>
                  </w:pPr>
                  <w:r>
                    <w:rPr>
                      <w:rFonts w:hint="default" w:ascii="Times New Roman" w:hAnsi="Times New Roman" w:eastAsia="宋体" w:cs="Times New Roman"/>
                      <w:color w:val="000000"/>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437" w:type="dxa"/>
                  <w:gridSpan w:val="2"/>
                  <w:noWrap w:val="0"/>
                  <w:vAlign w:val="center"/>
                </w:tcPr>
                <w:p>
                  <w:pPr>
                    <w:adjustRightInd w:val="0"/>
                    <w:snapToGrid w:val="0"/>
                    <w:jc w:val="center"/>
                    <w:rPr>
                      <w:rFonts w:hint="default" w:ascii="Times New Roman" w:hAnsi="Times New Roman" w:eastAsia="宋体" w:cs="Times New Roman"/>
                      <w:color w:val="000000"/>
                      <w:szCs w:val="28"/>
                    </w:rPr>
                  </w:pPr>
                  <w:r>
                    <w:rPr>
                      <w:rFonts w:hint="default" w:ascii="Times New Roman" w:hAnsi="Times New Roman" w:eastAsia="宋体" w:cs="Times New Roman"/>
                      <w:color w:val="000000"/>
                      <w:szCs w:val="21"/>
                    </w:rPr>
                    <w:t>生态环保及防止地质灾害措施</w:t>
                  </w:r>
                </w:p>
              </w:tc>
              <w:tc>
                <w:tcPr>
                  <w:tcW w:w="5645" w:type="dxa"/>
                  <w:gridSpan w:val="2"/>
                  <w:noWrap w:val="0"/>
                  <w:vAlign w:val="center"/>
                </w:tcPr>
                <w:p>
                  <w:pPr>
                    <w:adjustRightInd w:val="0"/>
                    <w:snapToGrid w:val="0"/>
                    <w:jc w:val="center"/>
                    <w:rPr>
                      <w:rFonts w:hint="default" w:ascii="Times New Roman" w:hAnsi="Times New Roman" w:eastAsia="宋体" w:cs="Times New Roman"/>
                      <w:color w:val="000000"/>
                      <w:szCs w:val="28"/>
                    </w:rPr>
                  </w:pPr>
                  <w:r>
                    <w:rPr>
                      <w:rFonts w:hint="default" w:ascii="Times New Roman" w:hAnsi="Times New Roman" w:eastAsia="宋体" w:cs="Times New Roman"/>
                      <w:color w:val="000000"/>
                      <w:szCs w:val="28"/>
                    </w:rPr>
                    <w:t>水土保持工程(临时堆放场周边设置排水沟，</w:t>
                  </w:r>
                  <w:r>
                    <w:rPr>
                      <w:rFonts w:hint="eastAsia" w:ascii="Times New Roman" w:hAnsi="Times New Roman" w:eastAsia="宋体" w:cs="Times New Roman"/>
                      <w:color w:val="000000"/>
                      <w:szCs w:val="28"/>
                      <w:lang w:eastAsia="zh-CN"/>
                    </w:rPr>
                    <w:t>沉砂池，</w:t>
                  </w:r>
                  <w:r>
                    <w:rPr>
                      <w:rFonts w:hint="default" w:ascii="Times New Roman" w:hAnsi="Times New Roman" w:eastAsia="宋体" w:cs="Times New Roman"/>
                      <w:color w:val="000000"/>
                      <w:szCs w:val="28"/>
                    </w:rPr>
                    <w:t>并采取边坡护脚、草袋护坡、挡土坎等)</w:t>
                  </w:r>
                  <w:r>
                    <w:rPr>
                      <w:rFonts w:hint="default" w:ascii="Times New Roman" w:hAnsi="Times New Roman" w:eastAsia="宋体" w:cs="Times New Roman"/>
                      <w:color w:val="000000"/>
                      <w:szCs w:val="21"/>
                    </w:rPr>
                    <w:t xml:space="preserve"> ；植被的恢复</w:t>
                  </w:r>
                </w:p>
              </w:tc>
              <w:tc>
                <w:tcPr>
                  <w:tcW w:w="955" w:type="dxa"/>
                  <w:noWrap w:val="0"/>
                  <w:vAlign w:val="center"/>
                </w:tcPr>
                <w:p>
                  <w:pPr>
                    <w:adjustRightInd w:val="0"/>
                    <w:snapToGrid w:val="0"/>
                    <w:jc w:val="center"/>
                    <w:rPr>
                      <w:rFonts w:hint="default" w:ascii="Times New Roman" w:hAnsi="Times New Roman" w:eastAsia="宋体" w:cs="Times New Roman"/>
                      <w:color w:val="000000"/>
                      <w:szCs w:val="28"/>
                      <w:lang w:val="en-US" w:eastAsia="zh-CN"/>
                    </w:rPr>
                  </w:pPr>
                  <w:r>
                    <w:rPr>
                      <w:rFonts w:hint="eastAsia" w:ascii="Times New Roman" w:hAnsi="Times New Roman" w:eastAsia="宋体" w:cs="Times New Roman"/>
                      <w:color w:val="000000"/>
                      <w:szCs w:val="28"/>
                      <w:lang w:val="en-US" w:eastAsia="zh-CN"/>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dxa"/>
                  <w:gridSpan w:val="2"/>
                  <w:noWrap w:val="0"/>
                  <w:vAlign w:val="center"/>
                </w:tcPr>
                <w:p>
                  <w:pPr>
                    <w:adjustRightInd w:val="0"/>
                    <w:snapToGrid w:val="0"/>
                    <w:jc w:val="center"/>
                    <w:rPr>
                      <w:rFonts w:hint="default" w:ascii="Times New Roman" w:hAnsi="Times New Roman" w:eastAsia="宋体" w:cs="Times New Roman"/>
                      <w:color w:val="000000"/>
                      <w:szCs w:val="28"/>
                    </w:rPr>
                  </w:pPr>
                  <w:r>
                    <w:rPr>
                      <w:rFonts w:hint="default" w:ascii="Times New Roman" w:hAnsi="Times New Roman" w:eastAsia="宋体" w:cs="Times New Roman"/>
                      <w:color w:val="000000"/>
                      <w:szCs w:val="28"/>
                    </w:rPr>
                    <w:t>合计</w:t>
                  </w:r>
                </w:p>
              </w:tc>
              <w:tc>
                <w:tcPr>
                  <w:tcW w:w="5645" w:type="dxa"/>
                  <w:gridSpan w:val="2"/>
                  <w:noWrap w:val="0"/>
                  <w:vAlign w:val="center"/>
                </w:tcPr>
                <w:p>
                  <w:pPr>
                    <w:adjustRightInd w:val="0"/>
                    <w:snapToGrid w:val="0"/>
                    <w:jc w:val="center"/>
                    <w:rPr>
                      <w:rFonts w:hint="default" w:ascii="Times New Roman" w:hAnsi="Times New Roman" w:eastAsia="宋体" w:cs="Times New Roman"/>
                      <w:color w:val="000000"/>
                      <w:szCs w:val="28"/>
                    </w:rPr>
                  </w:pPr>
                </w:p>
              </w:tc>
              <w:tc>
                <w:tcPr>
                  <w:tcW w:w="955" w:type="dxa"/>
                  <w:noWrap w:val="0"/>
                  <w:vAlign w:val="center"/>
                </w:tcPr>
                <w:p>
                  <w:pPr>
                    <w:adjustRightInd w:val="0"/>
                    <w:snapToGrid w:val="0"/>
                    <w:jc w:val="center"/>
                    <w:rPr>
                      <w:rFonts w:hint="default" w:ascii="Times New Roman" w:hAnsi="Times New Roman" w:eastAsia="宋体" w:cs="Times New Roman"/>
                      <w:color w:val="000000"/>
                      <w:szCs w:val="28"/>
                      <w:lang w:val="en-US" w:eastAsia="zh-CN"/>
                    </w:rPr>
                  </w:pPr>
                  <w:r>
                    <w:rPr>
                      <w:rFonts w:hint="eastAsia" w:ascii="Times New Roman" w:hAnsi="Times New Roman" w:eastAsia="宋体" w:cs="Times New Roman"/>
                      <w:color w:val="000000"/>
                      <w:szCs w:val="28"/>
                      <w:lang w:val="en-US" w:eastAsia="zh-CN"/>
                    </w:rPr>
                    <w:t>34.38</w:t>
                  </w:r>
                </w:p>
              </w:tc>
            </w:tr>
          </w:tbl>
          <w:p>
            <w:pPr>
              <w:numPr>
                <w:ilvl w:val="0"/>
                <w:numId w:val="0"/>
              </w:numPr>
              <w:spacing w:line="360" w:lineRule="auto"/>
              <w:ind w:right="0" w:rightChars="0" w:firstLine="420" w:firstLineChars="200"/>
              <w:rPr>
                <w:rFonts w:hint="eastAsia"/>
                <w:color w:val="auto"/>
                <w:lang w:val="en-US" w:eastAsia="zh-CN"/>
              </w:rPr>
            </w:pPr>
          </w:p>
          <w:p>
            <w:pPr>
              <w:numPr>
                <w:ilvl w:val="0"/>
                <w:numId w:val="0"/>
              </w:numPr>
              <w:spacing w:line="360" w:lineRule="auto"/>
              <w:ind w:right="0" w:rightChars="0" w:firstLine="420" w:firstLineChars="200"/>
              <w:rPr>
                <w:rFonts w:hint="eastAsia"/>
                <w:color w:val="auto"/>
                <w:lang w:val="en-US" w:eastAsia="zh-CN"/>
              </w:rPr>
            </w:pPr>
          </w:p>
          <w:p>
            <w:pPr>
              <w:numPr>
                <w:ilvl w:val="0"/>
                <w:numId w:val="0"/>
              </w:numPr>
              <w:spacing w:line="360" w:lineRule="auto"/>
              <w:ind w:right="0" w:rightChars="0" w:firstLine="420" w:firstLineChars="200"/>
              <w:rPr>
                <w:rFonts w:hint="eastAsia"/>
                <w:color w:val="auto"/>
                <w:lang w:val="en-US" w:eastAsia="zh-CN"/>
              </w:rPr>
            </w:pPr>
          </w:p>
          <w:p>
            <w:pPr>
              <w:numPr>
                <w:ilvl w:val="0"/>
                <w:numId w:val="0"/>
              </w:numPr>
              <w:spacing w:line="360" w:lineRule="auto"/>
              <w:ind w:right="0" w:rightChars="0" w:firstLine="420" w:firstLineChars="200"/>
              <w:rPr>
                <w:rFonts w:hint="eastAsia"/>
                <w:color w:val="auto"/>
                <w:lang w:val="en-US" w:eastAsia="zh-CN"/>
              </w:rPr>
            </w:pPr>
          </w:p>
          <w:p>
            <w:pPr>
              <w:numPr>
                <w:ilvl w:val="0"/>
                <w:numId w:val="0"/>
              </w:numPr>
              <w:spacing w:line="360" w:lineRule="auto"/>
              <w:ind w:right="0" w:rightChars="0" w:firstLine="420" w:firstLineChars="200"/>
              <w:rPr>
                <w:rFonts w:hint="eastAsia"/>
                <w:color w:val="auto"/>
                <w:lang w:val="en-US" w:eastAsia="zh-CN"/>
              </w:rPr>
            </w:pPr>
          </w:p>
          <w:p>
            <w:pPr>
              <w:numPr>
                <w:ilvl w:val="0"/>
                <w:numId w:val="0"/>
              </w:numPr>
              <w:spacing w:line="360" w:lineRule="auto"/>
              <w:ind w:right="0" w:rightChars="0" w:firstLine="420" w:firstLineChars="200"/>
              <w:rPr>
                <w:rFonts w:hint="eastAsia"/>
                <w:color w:val="auto"/>
                <w:lang w:val="en-US" w:eastAsia="zh-CN"/>
              </w:rPr>
            </w:pPr>
          </w:p>
          <w:p>
            <w:pPr>
              <w:numPr>
                <w:ilvl w:val="0"/>
                <w:numId w:val="0"/>
              </w:numPr>
              <w:spacing w:line="360" w:lineRule="auto"/>
              <w:ind w:right="0" w:rightChars="0" w:firstLine="420" w:firstLineChars="200"/>
              <w:rPr>
                <w:rFonts w:hint="default"/>
                <w:color w:val="auto"/>
                <w:lang w:val="en-US" w:eastAsia="zh-CN"/>
              </w:rPr>
            </w:pPr>
          </w:p>
          <w:p>
            <w:pPr>
              <w:numPr>
                <w:ilvl w:val="0"/>
                <w:numId w:val="0"/>
              </w:numPr>
              <w:spacing w:line="360" w:lineRule="auto"/>
              <w:ind w:right="0" w:rightChars="0"/>
              <w:rPr>
                <w:rFonts w:hint="default"/>
                <w:color w:val="auto"/>
                <w:lang w:val="en-US" w:eastAsia="zh-CN"/>
              </w:rPr>
            </w:pPr>
          </w:p>
        </w:tc>
      </w:tr>
    </w:tbl>
    <w:p>
      <w:pPr>
        <w:sectPr>
          <w:pgSz w:w="11907" w:h="16840"/>
          <w:pgMar w:top="1440" w:right="1797" w:bottom="1440" w:left="1797" w:header="851" w:footer="1077" w:gutter="0"/>
          <w:pgBorders>
            <w:top w:val="none" w:sz="0" w:space="0"/>
            <w:left w:val="none" w:sz="0" w:space="0"/>
            <w:bottom w:val="none" w:sz="0" w:space="0"/>
            <w:right w:val="none" w:sz="0" w:space="0"/>
          </w:pgBorders>
          <w:pgNumType w:fmt="numberInDash"/>
          <w:cols w:space="720" w:num="1"/>
          <w:docGrid w:linePitch="312" w:charSpace="0"/>
        </w:sectPr>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黑体" w:hAnsi="黑体" w:eastAsia="黑体"/>
          <w:snapToGrid w:val="0"/>
          <w:sz w:val="30"/>
          <w:szCs w:val="30"/>
        </w:rPr>
      </w:pPr>
      <w:bookmarkStart w:id="89" w:name="_Toc7121"/>
      <w:r>
        <w:rPr>
          <w:rFonts w:hint="eastAsia" w:ascii="黑体" w:hAnsi="黑体" w:eastAsia="黑体"/>
          <w:snapToGrid w:val="0"/>
          <w:sz w:val="30"/>
          <w:szCs w:val="30"/>
        </w:rPr>
        <w:t>六、生态环境保护措施监督检查清单</w:t>
      </w:r>
      <w:bookmarkEnd w:id="89"/>
    </w:p>
    <w:tbl>
      <w:tblPr>
        <w:tblStyle w:val="30"/>
        <w:tblW w:w="53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00"/>
        <w:gridCol w:w="2726"/>
        <w:gridCol w:w="1612"/>
        <w:gridCol w:w="1775"/>
        <w:gridCol w:w="11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032" w:type="pct"/>
            <w:vMerge w:val="restart"/>
            <w:tcBorders>
              <w:tl2br w:val="single" w:color="auto" w:sz="4" w:space="0"/>
            </w:tcBorders>
            <w:noWrap w:val="0"/>
            <w:vAlign w:val="top"/>
          </w:tcPr>
          <w:p>
            <w:pPr>
              <w:pStyle w:val="26"/>
              <w:adjustRightInd w:val="0"/>
              <w:snapToGrid w:val="0"/>
              <w:spacing w:before="72" w:beforeLines="30" w:beforeAutospacing="0" w:after="0" w:afterAutospacing="0"/>
              <w:jc w:val="center"/>
              <w:outlineLvl w:val="0"/>
              <w:rPr>
                <w:rFonts w:hint="eastAsia" w:ascii="宋体" w:hAnsi="宋体" w:eastAsia="宋体" w:cs="宋体"/>
                <w:b/>
                <w:bCs/>
                <w:kern w:val="2"/>
                <w:sz w:val="24"/>
                <w:szCs w:val="24"/>
              </w:rPr>
            </w:pPr>
            <w:r>
              <w:rPr>
                <w:rFonts w:hint="eastAsia" w:ascii="宋体" w:hAnsi="宋体" w:eastAsia="宋体" w:cs="宋体"/>
                <w:b/>
                <w:bCs/>
                <w:kern w:val="2"/>
                <w:sz w:val="24"/>
                <w:szCs w:val="24"/>
              </w:rPr>
              <w:t xml:space="preserve">      </w:t>
            </w:r>
            <w:r>
              <w:rPr>
                <w:rFonts w:hint="eastAsia" w:eastAsia="宋体" w:cs="宋体"/>
                <w:b/>
                <w:bCs/>
                <w:kern w:val="2"/>
                <w:sz w:val="24"/>
                <w:szCs w:val="24"/>
                <w:lang w:val="en-US" w:eastAsia="zh-CN"/>
              </w:rPr>
              <w:t xml:space="preserve"> </w:t>
            </w:r>
            <w:bookmarkStart w:id="90" w:name="_Toc24882"/>
            <w:r>
              <w:rPr>
                <w:rFonts w:hint="eastAsia" w:ascii="宋体" w:hAnsi="宋体" w:eastAsia="宋体" w:cs="宋体"/>
                <w:b/>
                <w:bCs/>
                <w:kern w:val="2"/>
                <w:sz w:val="24"/>
                <w:szCs w:val="24"/>
              </w:rPr>
              <w:t>内容</w:t>
            </w:r>
            <w:bookmarkEnd w:id="90"/>
            <w:r>
              <w:rPr>
                <w:rFonts w:hint="eastAsia" w:ascii="宋体" w:hAnsi="宋体" w:eastAsia="宋体" w:cs="宋体"/>
                <w:b/>
                <w:bCs/>
                <w:kern w:val="2"/>
                <w:sz w:val="24"/>
                <w:szCs w:val="24"/>
              </w:rPr>
              <w:t xml:space="preserve">           </w:t>
            </w:r>
          </w:p>
          <w:p>
            <w:pPr>
              <w:pStyle w:val="26"/>
              <w:adjustRightInd w:val="0"/>
              <w:snapToGrid w:val="0"/>
              <w:spacing w:before="0" w:beforeAutospacing="0" w:after="0" w:afterAutospacing="0" w:line="14" w:lineRule="auto"/>
              <w:outlineLvl w:val="0"/>
              <w:rPr>
                <w:rFonts w:hint="eastAsia" w:ascii="宋体" w:hAnsi="宋体" w:eastAsia="宋体" w:cs="宋体"/>
                <w:b/>
                <w:bCs/>
                <w:kern w:val="2"/>
                <w:sz w:val="24"/>
                <w:szCs w:val="24"/>
              </w:rPr>
            </w:pPr>
            <w:r>
              <w:rPr>
                <w:rFonts w:hint="eastAsia" w:ascii="宋体" w:hAnsi="宋体" w:eastAsia="宋体" w:cs="宋体"/>
                <w:b/>
                <w:bCs/>
                <w:kern w:val="2"/>
                <w:sz w:val="24"/>
                <w:szCs w:val="24"/>
              </w:rPr>
              <w:t xml:space="preserve">  </w:t>
            </w:r>
          </w:p>
          <w:p>
            <w:pPr>
              <w:pStyle w:val="26"/>
              <w:adjustRightInd w:val="0"/>
              <w:snapToGrid w:val="0"/>
              <w:spacing w:before="0" w:beforeAutospacing="0" w:after="0" w:afterAutospacing="0"/>
              <w:outlineLvl w:val="0"/>
              <w:rPr>
                <w:rFonts w:hint="eastAsia" w:ascii="宋体" w:hAnsi="宋体" w:eastAsia="宋体" w:cs="宋体"/>
                <w:b/>
                <w:bCs/>
                <w:kern w:val="2"/>
                <w:sz w:val="24"/>
                <w:szCs w:val="24"/>
              </w:rPr>
            </w:pPr>
            <w:bookmarkStart w:id="91" w:name="_Toc13895"/>
            <w:r>
              <w:rPr>
                <w:rFonts w:hint="eastAsia" w:ascii="宋体" w:hAnsi="宋体" w:eastAsia="宋体" w:cs="宋体"/>
                <w:b/>
                <w:bCs/>
                <w:kern w:val="2"/>
                <w:sz w:val="24"/>
                <w:szCs w:val="24"/>
              </w:rPr>
              <w:t>要素</w:t>
            </w:r>
            <w:bookmarkEnd w:id="91"/>
          </w:p>
        </w:tc>
        <w:tc>
          <w:tcPr>
            <w:tcW w:w="2357" w:type="pct"/>
            <w:gridSpan w:val="2"/>
            <w:noWrap w:val="0"/>
            <w:vAlign w:val="center"/>
          </w:tcPr>
          <w:p>
            <w:pPr>
              <w:pStyle w:val="26"/>
              <w:adjustRightInd w:val="0"/>
              <w:snapToGrid w:val="0"/>
              <w:spacing w:before="0" w:beforeAutospacing="0" w:after="0" w:afterAutospacing="0"/>
              <w:jc w:val="center"/>
              <w:outlineLvl w:val="0"/>
              <w:rPr>
                <w:rFonts w:hint="eastAsia" w:ascii="宋体" w:hAnsi="宋体" w:eastAsia="宋体" w:cs="宋体"/>
                <w:b/>
                <w:bCs/>
                <w:kern w:val="2"/>
                <w:sz w:val="24"/>
                <w:szCs w:val="24"/>
              </w:rPr>
            </w:pPr>
            <w:bookmarkStart w:id="92" w:name="_Toc20111"/>
            <w:r>
              <w:rPr>
                <w:rFonts w:hint="eastAsia" w:ascii="宋体" w:hAnsi="宋体" w:eastAsia="宋体" w:cs="宋体"/>
                <w:b/>
                <w:bCs/>
                <w:kern w:val="2"/>
                <w:sz w:val="24"/>
                <w:szCs w:val="24"/>
              </w:rPr>
              <w:t>施工期</w:t>
            </w:r>
            <w:bookmarkEnd w:id="92"/>
          </w:p>
        </w:tc>
        <w:tc>
          <w:tcPr>
            <w:tcW w:w="1609" w:type="pct"/>
            <w:gridSpan w:val="2"/>
            <w:noWrap w:val="0"/>
            <w:vAlign w:val="center"/>
          </w:tcPr>
          <w:p>
            <w:pPr>
              <w:pStyle w:val="26"/>
              <w:adjustRightInd w:val="0"/>
              <w:snapToGrid w:val="0"/>
              <w:spacing w:before="0" w:beforeAutospacing="0" w:after="0" w:afterAutospacing="0"/>
              <w:jc w:val="center"/>
              <w:outlineLvl w:val="0"/>
              <w:rPr>
                <w:rFonts w:hint="eastAsia" w:ascii="宋体" w:hAnsi="宋体" w:eastAsia="宋体" w:cs="宋体"/>
                <w:b/>
                <w:bCs/>
                <w:kern w:val="2"/>
                <w:sz w:val="24"/>
                <w:szCs w:val="24"/>
              </w:rPr>
            </w:pPr>
            <w:bookmarkStart w:id="93" w:name="_Toc27022"/>
            <w:r>
              <w:rPr>
                <w:rFonts w:hint="eastAsia" w:ascii="宋体" w:hAnsi="宋体" w:eastAsia="宋体" w:cs="宋体"/>
                <w:b/>
                <w:bCs/>
                <w:kern w:val="2"/>
                <w:sz w:val="24"/>
                <w:szCs w:val="24"/>
              </w:rPr>
              <w:t>运营期</w:t>
            </w:r>
            <w:bookmarkEnd w:id="93"/>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032" w:type="pct"/>
            <w:vMerge w:val="continue"/>
            <w:noWrap w:val="0"/>
            <w:vAlign w:val="top"/>
          </w:tcPr>
          <w:p>
            <w:pPr>
              <w:pStyle w:val="26"/>
              <w:adjustRightInd w:val="0"/>
              <w:snapToGrid w:val="0"/>
              <w:spacing w:before="0" w:beforeAutospacing="0" w:after="0" w:afterAutospacing="0"/>
              <w:ind w:firstLine="840"/>
              <w:jc w:val="center"/>
              <w:outlineLvl w:val="0"/>
              <w:rPr>
                <w:rFonts w:hint="eastAsia" w:ascii="宋体" w:hAnsi="宋体" w:eastAsia="宋体" w:cs="宋体"/>
                <w:b/>
                <w:bCs/>
                <w:kern w:val="2"/>
                <w:sz w:val="24"/>
                <w:szCs w:val="24"/>
              </w:rPr>
            </w:pPr>
          </w:p>
        </w:tc>
        <w:tc>
          <w:tcPr>
            <w:tcW w:w="1481" w:type="pct"/>
            <w:noWrap w:val="0"/>
            <w:vAlign w:val="center"/>
          </w:tcPr>
          <w:p>
            <w:pPr>
              <w:pStyle w:val="26"/>
              <w:adjustRightInd w:val="0"/>
              <w:snapToGrid w:val="0"/>
              <w:spacing w:before="0" w:beforeAutospacing="0" w:after="0" w:afterAutospacing="0"/>
              <w:jc w:val="center"/>
              <w:outlineLvl w:val="0"/>
              <w:rPr>
                <w:rFonts w:hint="eastAsia" w:ascii="宋体" w:hAnsi="宋体" w:eastAsia="宋体" w:cs="宋体"/>
                <w:b/>
                <w:bCs/>
                <w:kern w:val="2"/>
                <w:sz w:val="24"/>
                <w:szCs w:val="24"/>
              </w:rPr>
            </w:pPr>
            <w:bookmarkStart w:id="94" w:name="_Toc11703"/>
            <w:r>
              <w:rPr>
                <w:rFonts w:hint="eastAsia" w:ascii="宋体" w:hAnsi="宋体" w:eastAsia="宋体" w:cs="宋体"/>
                <w:b/>
                <w:bCs/>
                <w:kern w:val="2"/>
                <w:sz w:val="24"/>
                <w:szCs w:val="24"/>
              </w:rPr>
              <w:t>环境保护措施</w:t>
            </w:r>
            <w:bookmarkEnd w:id="94"/>
          </w:p>
        </w:tc>
        <w:tc>
          <w:tcPr>
            <w:tcW w:w="876" w:type="pct"/>
            <w:noWrap w:val="0"/>
            <w:vAlign w:val="center"/>
          </w:tcPr>
          <w:p>
            <w:pPr>
              <w:pStyle w:val="26"/>
              <w:adjustRightInd w:val="0"/>
              <w:snapToGrid w:val="0"/>
              <w:spacing w:before="0" w:beforeAutospacing="0" w:after="0" w:afterAutospacing="0"/>
              <w:jc w:val="center"/>
              <w:outlineLvl w:val="0"/>
              <w:rPr>
                <w:rFonts w:hint="eastAsia" w:ascii="宋体" w:hAnsi="宋体" w:eastAsia="宋体" w:cs="宋体"/>
                <w:b/>
                <w:bCs/>
                <w:kern w:val="2"/>
                <w:sz w:val="24"/>
                <w:szCs w:val="24"/>
              </w:rPr>
            </w:pPr>
            <w:bookmarkStart w:id="95" w:name="_Toc8120"/>
            <w:r>
              <w:rPr>
                <w:rFonts w:hint="eastAsia" w:ascii="宋体" w:hAnsi="宋体" w:eastAsia="宋体" w:cs="宋体"/>
                <w:b/>
                <w:bCs/>
                <w:kern w:val="2"/>
                <w:sz w:val="24"/>
                <w:szCs w:val="24"/>
              </w:rPr>
              <w:t>验收要求</w:t>
            </w:r>
            <w:bookmarkEnd w:id="95"/>
          </w:p>
        </w:tc>
        <w:tc>
          <w:tcPr>
            <w:tcW w:w="964" w:type="pct"/>
            <w:noWrap w:val="0"/>
            <w:vAlign w:val="center"/>
          </w:tcPr>
          <w:p>
            <w:pPr>
              <w:pStyle w:val="26"/>
              <w:adjustRightInd w:val="0"/>
              <w:snapToGrid w:val="0"/>
              <w:spacing w:before="0" w:beforeAutospacing="0" w:after="0" w:afterAutospacing="0"/>
              <w:jc w:val="center"/>
              <w:outlineLvl w:val="0"/>
              <w:rPr>
                <w:rFonts w:hint="eastAsia" w:ascii="宋体" w:hAnsi="宋体" w:eastAsia="宋体" w:cs="宋体"/>
                <w:b/>
                <w:bCs/>
                <w:kern w:val="2"/>
                <w:sz w:val="24"/>
                <w:szCs w:val="24"/>
              </w:rPr>
            </w:pPr>
            <w:bookmarkStart w:id="96" w:name="_Toc21618"/>
            <w:r>
              <w:rPr>
                <w:rFonts w:hint="eastAsia" w:ascii="宋体" w:hAnsi="宋体" w:eastAsia="宋体" w:cs="宋体"/>
                <w:b/>
                <w:bCs/>
                <w:kern w:val="2"/>
                <w:sz w:val="24"/>
                <w:szCs w:val="24"/>
              </w:rPr>
              <w:t>环境保护措施</w:t>
            </w:r>
            <w:bookmarkEnd w:id="96"/>
          </w:p>
        </w:tc>
        <w:tc>
          <w:tcPr>
            <w:tcW w:w="645" w:type="pct"/>
            <w:noWrap w:val="0"/>
            <w:vAlign w:val="center"/>
          </w:tcPr>
          <w:p>
            <w:pPr>
              <w:pStyle w:val="26"/>
              <w:adjustRightInd w:val="0"/>
              <w:snapToGrid w:val="0"/>
              <w:spacing w:before="0" w:beforeAutospacing="0" w:after="0" w:afterAutospacing="0"/>
              <w:jc w:val="center"/>
              <w:outlineLvl w:val="0"/>
              <w:rPr>
                <w:rFonts w:hint="eastAsia" w:ascii="宋体" w:hAnsi="宋体" w:eastAsia="宋体" w:cs="宋体"/>
                <w:b/>
                <w:bCs/>
                <w:kern w:val="2"/>
                <w:sz w:val="24"/>
                <w:szCs w:val="24"/>
              </w:rPr>
            </w:pPr>
            <w:bookmarkStart w:id="97" w:name="_Toc895"/>
            <w:r>
              <w:rPr>
                <w:rFonts w:hint="eastAsia" w:ascii="宋体" w:hAnsi="宋体" w:eastAsia="宋体" w:cs="宋体"/>
                <w:b/>
                <w:bCs/>
                <w:kern w:val="2"/>
                <w:sz w:val="24"/>
                <w:szCs w:val="24"/>
              </w:rPr>
              <w:t>验收要求</w:t>
            </w:r>
            <w:bookmarkEnd w:id="97"/>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6" w:hRule="atLeast"/>
          <w:jc w:val="center"/>
        </w:trPr>
        <w:tc>
          <w:tcPr>
            <w:tcW w:w="1032" w:type="pct"/>
            <w:noWrap w:val="0"/>
            <w:vAlign w:val="center"/>
          </w:tcPr>
          <w:p>
            <w:pPr>
              <w:adjustRightInd w:val="0"/>
              <w:snapToGrid w:val="0"/>
              <w:jc w:val="center"/>
              <w:rPr>
                <w:rFonts w:ascii="宋体" w:hAnsi="宋体" w:cs="宋体"/>
                <w:sz w:val="24"/>
                <w:szCs w:val="24"/>
              </w:rPr>
            </w:pPr>
            <w:r>
              <w:rPr>
                <w:rFonts w:hint="eastAsia" w:ascii="宋体" w:hAnsi="宋体" w:cs="宋体"/>
                <w:sz w:val="24"/>
                <w:szCs w:val="24"/>
              </w:rPr>
              <w:t>陆生生态</w:t>
            </w:r>
          </w:p>
        </w:tc>
        <w:tc>
          <w:tcPr>
            <w:tcW w:w="1481" w:type="pct"/>
            <w:noWrap w:val="0"/>
            <w:vAlign w:val="center"/>
          </w:tcPr>
          <w:p>
            <w:pPr>
              <w:jc w:val="center"/>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优化施工布置，合理安排施工时序</w:t>
            </w:r>
            <w:r>
              <w:rPr>
                <w:rFonts w:hint="eastAsia" w:ascii="Times New Roman" w:hAnsi="Times New Roman" w:eastAsia="宋体" w:cs="Times New Roman"/>
                <w:b w:val="0"/>
                <w:bCs w:val="0"/>
                <w:color w:val="auto"/>
                <w:kern w:val="0"/>
                <w:sz w:val="24"/>
                <w:szCs w:val="24"/>
                <w:highlight w:val="none"/>
                <w:lang w:val="en-US" w:eastAsia="zh-CN" w:bidi="ar-SA"/>
              </w:rPr>
              <w:t>；</w:t>
            </w:r>
            <w:r>
              <w:rPr>
                <w:rFonts w:hint="default" w:ascii="Times New Roman" w:hAnsi="Times New Roman" w:eastAsia="宋体" w:cs="Times New Roman"/>
                <w:b w:val="0"/>
                <w:bCs w:val="0"/>
                <w:color w:val="auto"/>
                <w:kern w:val="0"/>
                <w:sz w:val="24"/>
                <w:szCs w:val="24"/>
                <w:highlight w:val="none"/>
                <w:lang w:val="en-US" w:eastAsia="zh-CN" w:bidi="ar-SA"/>
              </w:rPr>
              <w:t>表土的剥离与回填</w:t>
            </w:r>
            <w:r>
              <w:rPr>
                <w:rFonts w:hint="eastAsia" w:ascii="Times New Roman" w:hAnsi="Times New Roman" w:eastAsia="宋体" w:cs="Times New Roman"/>
                <w:b w:val="0"/>
                <w:bCs w:val="0"/>
                <w:color w:val="auto"/>
                <w:kern w:val="0"/>
                <w:sz w:val="24"/>
                <w:szCs w:val="24"/>
                <w:highlight w:val="none"/>
                <w:lang w:val="en-US" w:eastAsia="zh-CN" w:bidi="ar-SA"/>
              </w:rPr>
              <w:t>；枯水期施工；</w:t>
            </w:r>
            <w:r>
              <w:rPr>
                <w:rFonts w:hint="default" w:ascii="Times New Roman" w:hAnsi="Times New Roman" w:eastAsia="宋体" w:cs="Times New Roman"/>
                <w:b w:val="0"/>
                <w:bCs w:val="0"/>
                <w:color w:val="auto"/>
                <w:kern w:val="0"/>
                <w:sz w:val="24"/>
                <w:szCs w:val="24"/>
                <w:highlight w:val="none"/>
                <w:lang w:val="en-US" w:eastAsia="zh-CN" w:bidi="ar-SA"/>
              </w:rPr>
              <w:t>加强水土保持措施与土地复垦</w:t>
            </w:r>
            <w:r>
              <w:rPr>
                <w:rFonts w:hint="eastAsia" w:ascii="Times New Roman" w:hAnsi="Times New Roman" w:eastAsia="宋体" w:cs="Times New Roman"/>
                <w:b w:val="0"/>
                <w:bCs w:val="0"/>
                <w:color w:val="auto"/>
                <w:kern w:val="0"/>
                <w:sz w:val="24"/>
                <w:szCs w:val="24"/>
                <w:highlight w:val="none"/>
                <w:lang w:val="en-US" w:eastAsia="zh-CN" w:bidi="ar-SA"/>
              </w:rPr>
              <w:t>；</w:t>
            </w:r>
            <w:r>
              <w:rPr>
                <w:rFonts w:hint="default" w:ascii="Times New Roman" w:hAnsi="Times New Roman" w:eastAsia="宋体" w:cs="Times New Roman"/>
                <w:b w:val="0"/>
                <w:bCs w:val="0"/>
                <w:color w:val="auto"/>
                <w:kern w:val="0"/>
                <w:sz w:val="24"/>
                <w:szCs w:val="24"/>
                <w:highlight w:val="none"/>
                <w:lang w:val="en-US" w:eastAsia="zh-CN" w:bidi="ar-SA"/>
              </w:rPr>
              <w:t>制定生态恢复方案和植物物种选择标准</w:t>
            </w:r>
            <w:r>
              <w:rPr>
                <w:rFonts w:hint="eastAsia" w:ascii="Times New Roman" w:hAnsi="Times New Roman" w:eastAsia="宋体" w:cs="Times New Roman"/>
                <w:b w:val="0"/>
                <w:bCs w:val="0"/>
                <w:color w:val="auto"/>
                <w:kern w:val="0"/>
                <w:sz w:val="24"/>
                <w:szCs w:val="24"/>
                <w:highlight w:val="none"/>
                <w:lang w:val="en-US" w:eastAsia="zh-CN" w:bidi="ar-SA"/>
              </w:rPr>
              <w:t>；加强施工人员宣传教育；做好临时施工占地的迹地恢复措施</w:t>
            </w:r>
          </w:p>
        </w:tc>
        <w:tc>
          <w:tcPr>
            <w:tcW w:w="876" w:type="pct"/>
            <w:noWrap w:val="0"/>
            <w:vAlign w:val="center"/>
          </w:tcPr>
          <w:p>
            <w:pPr>
              <w:jc w:val="center"/>
              <w:rPr>
                <w:rFonts w:hint="default" w:ascii="Times New Roman" w:hAnsi="Times New Roman" w:eastAsia="宋体" w:cs="Times New Roman"/>
                <w:b w:val="0"/>
                <w:bCs w:val="0"/>
                <w:color w:val="auto"/>
                <w:kern w:val="0"/>
                <w:sz w:val="24"/>
                <w:szCs w:val="24"/>
                <w:highlight w:val="none"/>
                <w:lang w:val="en-US" w:eastAsia="zh-CN" w:bidi="ar-SA"/>
              </w:rPr>
            </w:pPr>
            <w:r>
              <w:rPr>
                <w:rFonts w:hint="eastAsia" w:ascii="Times New Roman" w:hAnsi="Times New Roman" w:eastAsia="宋体" w:cs="Times New Roman"/>
                <w:b w:val="0"/>
                <w:bCs w:val="0"/>
                <w:color w:val="auto"/>
                <w:kern w:val="0"/>
                <w:sz w:val="24"/>
                <w:szCs w:val="24"/>
                <w:highlight w:val="none"/>
                <w:lang w:val="en-US" w:eastAsia="zh-CN" w:bidi="ar-SA"/>
              </w:rPr>
              <w:t>施工临时占地进行迹地恢复，开挖土石方、表土等进行回填，禁止随意堆放。对所在区域陆生生态环境影响较小</w:t>
            </w:r>
          </w:p>
        </w:tc>
        <w:tc>
          <w:tcPr>
            <w:tcW w:w="964" w:type="pct"/>
            <w:noWrap w:val="0"/>
            <w:vAlign w:val="center"/>
          </w:tcPr>
          <w:p>
            <w:pPr>
              <w:adjustRightInd w:val="0"/>
              <w:snapToGrid w:val="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645" w:type="pct"/>
            <w:noWrap w:val="0"/>
            <w:vAlign w:val="center"/>
          </w:tcPr>
          <w:p>
            <w:pPr>
              <w:adjustRightInd w:val="0"/>
              <w:snapToGrid w:val="0"/>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032" w:type="pct"/>
            <w:noWrap w:val="0"/>
            <w:vAlign w:val="center"/>
          </w:tcPr>
          <w:p>
            <w:pPr>
              <w:adjustRightInd w:val="0"/>
              <w:snapToGrid w:val="0"/>
              <w:jc w:val="center"/>
              <w:rPr>
                <w:rFonts w:ascii="宋体" w:hAnsi="宋体" w:cs="宋体"/>
                <w:sz w:val="24"/>
                <w:szCs w:val="24"/>
              </w:rPr>
            </w:pPr>
            <w:r>
              <w:rPr>
                <w:rFonts w:hint="eastAsia" w:ascii="宋体" w:hAnsi="宋体" w:cs="宋体"/>
                <w:sz w:val="24"/>
                <w:szCs w:val="24"/>
              </w:rPr>
              <w:t>水生生态</w:t>
            </w:r>
          </w:p>
        </w:tc>
        <w:tc>
          <w:tcPr>
            <w:tcW w:w="1481" w:type="pct"/>
            <w:noWrap w:val="0"/>
            <w:vAlign w:val="center"/>
          </w:tcPr>
          <w:p>
            <w:pPr>
              <w:adjustRightInd w:val="0"/>
              <w:snapToGrid w:val="0"/>
              <w:rPr>
                <w:rFonts w:hint="default" w:ascii="Times New Roman" w:hAnsi="Times New Roman" w:eastAsia="宋体" w:cs="Times New Roman"/>
                <w:color w:val="000000"/>
                <w:kern w:val="2"/>
                <w:sz w:val="24"/>
                <w:szCs w:val="24"/>
                <w:lang w:val="en-US" w:eastAsia="zh-CN" w:bidi="ar-SA"/>
              </w:rPr>
            </w:pPr>
            <w:r>
              <w:rPr>
                <w:rFonts w:hint="eastAsia"/>
                <w:sz w:val="24"/>
                <w:szCs w:val="24"/>
                <w:lang w:val="en-US" w:eastAsia="zh-CN"/>
              </w:rPr>
              <w:t>枯水季节施工；涉水施工采取土石方围堰施工；禁止</w:t>
            </w:r>
            <w:r>
              <w:rPr>
                <w:sz w:val="24"/>
                <w:szCs w:val="24"/>
              </w:rPr>
              <w:t>生活污水、</w:t>
            </w:r>
            <w:r>
              <w:rPr>
                <w:rFonts w:hint="eastAsia"/>
                <w:sz w:val="24"/>
                <w:szCs w:val="24"/>
                <w:lang w:eastAsia="zh-CN"/>
              </w:rPr>
              <w:t>施工废水、</w:t>
            </w:r>
            <w:r>
              <w:rPr>
                <w:sz w:val="24"/>
                <w:szCs w:val="24"/>
              </w:rPr>
              <w:t>固体废弃物和生活垃圾</w:t>
            </w:r>
            <w:r>
              <w:rPr>
                <w:rFonts w:hint="eastAsia"/>
                <w:sz w:val="24"/>
                <w:szCs w:val="24"/>
                <w:lang w:eastAsia="zh-CN"/>
              </w:rPr>
              <w:t>等进入水体；</w:t>
            </w:r>
          </w:p>
        </w:tc>
        <w:tc>
          <w:tcPr>
            <w:tcW w:w="876" w:type="pct"/>
            <w:noWrap w:val="0"/>
            <w:vAlign w:val="center"/>
          </w:tcPr>
          <w:p>
            <w:pPr>
              <w:adjustRightInd w:val="0"/>
              <w:snapToGrid w:val="0"/>
              <w:jc w:val="center"/>
              <w:rPr>
                <w:rFonts w:ascii="宋体" w:hAnsi="宋体" w:cs="宋体"/>
                <w:sz w:val="24"/>
                <w:szCs w:val="24"/>
              </w:rPr>
            </w:pPr>
            <w:r>
              <w:rPr>
                <w:rFonts w:hint="eastAsia" w:ascii="宋体" w:hAnsi="宋体" w:cs="宋体"/>
                <w:sz w:val="24"/>
                <w:szCs w:val="24"/>
                <w:lang w:val="en-US" w:eastAsia="zh-CN"/>
              </w:rPr>
              <w:t>/</w:t>
            </w:r>
          </w:p>
        </w:tc>
        <w:tc>
          <w:tcPr>
            <w:tcW w:w="964" w:type="pct"/>
            <w:noWrap w:val="0"/>
            <w:vAlign w:val="center"/>
          </w:tcPr>
          <w:p>
            <w:pPr>
              <w:adjustRightInd w:val="0"/>
              <w:snapToGrid w:val="0"/>
              <w:jc w:val="center"/>
              <w:rPr>
                <w:rFonts w:ascii="宋体" w:hAnsi="宋体" w:cs="宋体"/>
                <w:sz w:val="24"/>
                <w:szCs w:val="24"/>
              </w:rPr>
            </w:pPr>
            <w:r>
              <w:rPr>
                <w:rFonts w:hint="eastAsia" w:ascii="宋体" w:hAnsi="宋体" w:cs="宋体"/>
                <w:sz w:val="24"/>
                <w:szCs w:val="24"/>
                <w:lang w:val="en-US" w:eastAsia="zh-CN"/>
              </w:rPr>
              <w:t>/</w:t>
            </w:r>
          </w:p>
        </w:tc>
        <w:tc>
          <w:tcPr>
            <w:tcW w:w="645" w:type="pct"/>
            <w:noWrap w:val="0"/>
            <w:vAlign w:val="center"/>
          </w:tcPr>
          <w:p>
            <w:pPr>
              <w:adjustRightInd w:val="0"/>
              <w:snapToGrid w:val="0"/>
              <w:jc w:val="center"/>
              <w:rPr>
                <w:rFonts w:ascii="宋体" w:hAnsi="宋体" w:cs="宋体"/>
                <w:sz w:val="24"/>
                <w:szCs w:val="24"/>
              </w:rPr>
            </w:pPr>
            <w:r>
              <w:rPr>
                <w:rFonts w:hint="eastAsia" w:ascii="宋体" w:hAnsi="宋体" w:cs="宋体"/>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8" w:hRule="atLeast"/>
          <w:jc w:val="center"/>
        </w:trPr>
        <w:tc>
          <w:tcPr>
            <w:tcW w:w="1032" w:type="pct"/>
            <w:noWrap w:val="0"/>
            <w:vAlign w:val="center"/>
          </w:tcPr>
          <w:p>
            <w:pPr>
              <w:adjustRightInd w:val="0"/>
              <w:snapToGrid w:val="0"/>
              <w:jc w:val="center"/>
              <w:rPr>
                <w:rFonts w:ascii="宋体" w:hAnsi="宋体" w:cs="宋体"/>
                <w:sz w:val="24"/>
                <w:szCs w:val="24"/>
              </w:rPr>
            </w:pPr>
            <w:r>
              <w:rPr>
                <w:rFonts w:hint="eastAsia" w:ascii="宋体" w:hAnsi="宋体" w:cs="宋体"/>
                <w:sz w:val="24"/>
                <w:szCs w:val="24"/>
              </w:rPr>
              <w:t>地表水环境</w:t>
            </w:r>
          </w:p>
        </w:tc>
        <w:tc>
          <w:tcPr>
            <w:tcW w:w="1481" w:type="pct"/>
            <w:noWrap w:val="0"/>
            <w:vAlign w:val="center"/>
          </w:tcPr>
          <w:p>
            <w:pPr>
              <w:jc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生活污水肥用；生产废水循环使用。</w:t>
            </w:r>
            <w:r>
              <w:rPr>
                <w:rFonts w:hint="eastAsia"/>
                <w:sz w:val="24"/>
                <w:szCs w:val="24"/>
                <w:lang w:val="en-US" w:eastAsia="zh-CN"/>
              </w:rPr>
              <w:t>禁止</w:t>
            </w:r>
            <w:r>
              <w:rPr>
                <w:sz w:val="24"/>
                <w:szCs w:val="24"/>
              </w:rPr>
              <w:t>生活污水、</w:t>
            </w:r>
            <w:r>
              <w:rPr>
                <w:rFonts w:hint="eastAsia"/>
                <w:sz w:val="24"/>
                <w:szCs w:val="24"/>
                <w:lang w:eastAsia="zh-CN"/>
              </w:rPr>
              <w:t>施工废水、</w:t>
            </w:r>
            <w:r>
              <w:rPr>
                <w:sz w:val="24"/>
                <w:szCs w:val="24"/>
              </w:rPr>
              <w:t>固体废弃物和生活垃圾</w:t>
            </w:r>
            <w:r>
              <w:rPr>
                <w:rFonts w:hint="eastAsia"/>
                <w:sz w:val="24"/>
                <w:szCs w:val="24"/>
                <w:lang w:eastAsia="zh-CN"/>
              </w:rPr>
              <w:t>进入水体。枯水季节施工。</w:t>
            </w:r>
            <w:r>
              <w:rPr>
                <w:rFonts w:hint="eastAsia" w:ascii="Times New Roman" w:hAnsi="Times New Roman" w:eastAsia="宋体" w:cs="Times New Roman"/>
                <w:color w:val="auto"/>
                <w:kern w:val="2"/>
                <w:sz w:val="24"/>
                <w:szCs w:val="24"/>
                <w:highlight w:val="none"/>
                <w:lang w:val="en-US" w:eastAsia="zh-CN" w:bidi="ar-SA"/>
              </w:rPr>
              <w:t>不得在河流中清洗机械和车辆。临河地段做好水土保持工作；</w:t>
            </w:r>
            <w:r>
              <w:rPr>
                <w:rFonts w:hint="default" w:ascii="Times New Roman" w:hAnsi="Times New Roman" w:eastAsia="宋体" w:cs="Times New Roman"/>
                <w:color w:val="auto"/>
                <w:kern w:val="2"/>
                <w:sz w:val="24"/>
                <w:szCs w:val="24"/>
                <w:highlight w:val="none"/>
                <w:lang w:val="en-US" w:eastAsia="zh-CN" w:bidi="ar-SA"/>
              </w:rPr>
              <w:t>施工中的废料及弃土应</w:t>
            </w:r>
            <w:r>
              <w:rPr>
                <w:rFonts w:hint="eastAsia" w:ascii="Times New Roman" w:hAnsi="Times New Roman" w:eastAsia="宋体" w:cs="Times New Roman"/>
                <w:color w:val="auto"/>
                <w:kern w:val="2"/>
                <w:sz w:val="24"/>
                <w:szCs w:val="24"/>
                <w:highlight w:val="none"/>
                <w:lang w:val="en-US" w:eastAsia="zh-CN" w:bidi="ar-SA"/>
              </w:rPr>
              <w:t>远离河道一侧</w:t>
            </w:r>
            <w:r>
              <w:rPr>
                <w:rFonts w:hint="default" w:ascii="Times New Roman" w:hAnsi="Times New Roman" w:eastAsia="宋体" w:cs="Times New Roman"/>
                <w:color w:val="auto"/>
                <w:kern w:val="2"/>
                <w:sz w:val="24"/>
                <w:szCs w:val="24"/>
                <w:highlight w:val="none"/>
                <w:lang w:val="en-US" w:eastAsia="zh-CN" w:bidi="ar-SA"/>
              </w:rPr>
              <w:t>，严禁临时堆方下河</w:t>
            </w:r>
            <w:r>
              <w:rPr>
                <w:rFonts w:hint="eastAsia" w:ascii="Times New Roman" w:hAnsi="Times New Roman" w:eastAsia="宋体" w:cs="Times New Roman"/>
                <w:color w:val="auto"/>
                <w:kern w:val="2"/>
                <w:sz w:val="24"/>
                <w:szCs w:val="24"/>
                <w:highlight w:val="none"/>
                <w:lang w:val="en-US" w:eastAsia="zh-CN" w:bidi="ar-SA"/>
              </w:rPr>
              <w:t>。</w:t>
            </w:r>
          </w:p>
        </w:tc>
        <w:tc>
          <w:tcPr>
            <w:tcW w:w="876" w:type="pct"/>
            <w:noWrap w:val="0"/>
            <w:vAlign w:val="center"/>
          </w:tcPr>
          <w:p>
            <w:pPr>
              <w:jc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cs="Times New Roman"/>
                <w:sz w:val="24"/>
                <w:szCs w:val="24"/>
                <w:lang w:val="en-US" w:eastAsia="zh-CN"/>
              </w:rPr>
              <w:t>满足</w:t>
            </w:r>
            <w:r>
              <w:rPr>
                <w:rFonts w:hint="default" w:ascii="Times New Roman" w:hAnsi="Times New Roman" w:cs="Times New Roman"/>
                <w:sz w:val="24"/>
                <w:szCs w:val="24"/>
              </w:rPr>
              <w:t>《地表水环境质量标准》（GB3838-2002）Ⅲ类水域标准</w:t>
            </w:r>
          </w:p>
        </w:tc>
        <w:tc>
          <w:tcPr>
            <w:tcW w:w="964" w:type="pct"/>
            <w:noWrap w:val="0"/>
            <w:vAlign w:val="center"/>
          </w:tcPr>
          <w:p>
            <w:pPr>
              <w:adjustRightInd w:val="0"/>
              <w:snapToGrid w:val="0"/>
              <w:jc w:val="center"/>
              <w:rPr>
                <w:rFonts w:hint="eastAsia" w:ascii="Times New Roman" w:hAnsi="Times New Roman" w:eastAsia="宋体" w:cs="Times New Roman"/>
                <w:color w:val="000000"/>
                <w:kern w:val="2"/>
                <w:sz w:val="24"/>
                <w:szCs w:val="24"/>
                <w:lang w:val="en-US" w:eastAsia="zh-CN" w:bidi="ar-SA"/>
              </w:rPr>
            </w:pPr>
            <w:r>
              <w:rPr>
                <w:rFonts w:hint="eastAsia" w:ascii="宋体" w:hAnsi="宋体" w:cs="宋体"/>
                <w:sz w:val="24"/>
                <w:szCs w:val="24"/>
                <w:lang w:val="en-US" w:eastAsia="zh-CN"/>
              </w:rPr>
              <w:t>/</w:t>
            </w:r>
          </w:p>
        </w:tc>
        <w:tc>
          <w:tcPr>
            <w:tcW w:w="645" w:type="pct"/>
            <w:noWrap w:val="0"/>
            <w:vAlign w:val="center"/>
          </w:tcPr>
          <w:p>
            <w:pPr>
              <w:adjustRightInd w:val="0"/>
              <w:snapToGrid w:val="0"/>
              <w:jc w:val="center"/>
              <w:rPr>
                <w:rFonts w:hint="eastAsia" w:ascii="Times New Roman" w:hAnsi="Times New Roman" w:eastAsia="宋体" w:cs="Times New Roman"/>
                <w:color w:val="000000"/>
                <w:kern w:val="2"/>
                <w:sz w:val="24"/>
                <w:szCs w:val="24"/>
                <w:lang w:val="en-US" w:eastAsia="zh-CN" w:bidi="ar-SA"/>
              </w:rPr>
            </w:pPr>
            <w:r>
              <w:rPr>
                <w:rFonts w:hint="eastAsia" w:ascii="宋体" w:hAnsi="宋体" w:cs="宋体"/>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032" w:type="pct"/>
            <w:noWrap w:val="0"/>
            <w:vAlign w:val="center"/>
          </w:tcPr>
          <w:p>
            <w:pPr>
              <w:adjustRightInd w:val="0"/>
              <w:snapToGrid w:val="0"/>
              <w:jc w:val="center"/>
              <w:rPr>
                <w:rFonts w:hint="eastAsia" w:ascii="宋体" w:hAnsi="宋体" w:eastAsia="宋体" w:cs="宋体"/>
                <w:sz w:val="24"/>
                <w:szCs w:val="24"/>
                <w:lang w:eastAsia="zh-CN"/>
              </w:rPr>
            </w:pPr>
            <w:r>
              <w:rPr>
                <w:rFonts w:hint="eastAsia" w:ascii="宋体" w:hAnsi="宋体" w:cs="宋体"/>
                <w:sz w:val="24"/>
                <w:szCs w:val="24"/>
              </w:rPr>
              <w:t>地下水</w:t>
            </w:r>
            <w:r>
              <w:rPr>
                <w:rFonts w:hint="eastAsia" w:ascii="宋体" w:hAnsi="宋体" w:cs="宋体"/>
                <w:sz w:val="24"/>
                <w:szCs w:val="24"/>
                <w:lang w:eastAsia="zh-CN"/>
              </w:rPr>
              <w:t>及土壤环境</w:t>
            </w:r>
          </w:p>
        </w:tc>
        <w:tc>
          <w:tcPr>
            <w:tcW w:w="1481" w:type="pct"/>
            <w:noWrap w:val="0"/>
            <w:vAlign w:val="center"/>
          </w:tcPr>
          <w:p>
            <w:pPr>
              <w:adjustRightInd w:val="0"/>
              <w:snapToGrid w:val="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876" w:type="pct"/>
            <w:noWrap w:val="0"/>
            <w:vAlign w:val="center"/>
          </w:tcPr>
          <w:p>
            <w:pPr>
              <w:adjustRightInd w:val="0"/>
              <w:snapToGrid w:val="0"/>
              <w:jc w:val="center"/>
              <w:rPr>
                <w:rFonts w:hint="default" w:ascii="宋体" w:hAnsi="宋体" w:cs="宋体"/>
                <w:sz w:val="24"/>
                <w:szCs w:val="24"/>
                <w:lang w:val="en-US"/>
              </w:rPr>
            </w:pPr>
            <w:r>
              <w:rPr>
                <w:rFonts w:hint="eastAsia" w:ascii="宋体" w:hAnsi="宋体" w:eastAsia="宋体" w:cs="宋体"/>
                <w:sz w:val="24"/>
                <w:szCs w:val="24"/>
                <w:lang w:val="en-US" w:eastAsia="zh-CN"/>
              </w:rPr>
              <w:t>/</w:t>
            </w:r>
          </w:p>
        </w:tc>
        <w:tc>
          <w:tcPr>
            <w:tcW w:w="1775" w:type="dxa"/>
            <w:noWrap w:val="0"/>
            <w:vAlign w:val="center"/>
          </w:tcPr>
          <w:p>
            <w:pPr>
              <w:adjustRightInd w:val="0"/>
              <w:snapToGrid w:val="0"/>
              <w:jc w:val="center"/>
              <w:rPr>
                <w:rFonts w:ascii="宋体" w:hAnsi="宋体" w:cs="宋体"/>
                <w:sz w:val="24"/>
                <w:szCs w:val="24"/>
              </w:rPr>
            </w:pPr>
            <w:r>
              <w:rPr>
                <w:rFonts w:hint="eastAsia" w:ascii="宋体" w:hAnsi="宋体" w:eastAsia="宋体" w:cs="宋体"/>
                <w:sz w:val="24"/>
                <w:szCs w:val="24"/>
                <w:lang w:val="en-US" w:eastAsia="zh-CN"/>
              </w:rPr>
              <w:t>/</w:t>
            </w:r>
          </w:p>
        </w:tc>
        <w:tc>
          <w:tcPr>
            <w:tcW w:w="1187" w:type="dxa"/>
            <w:noWrap w:val="0"/>
            <w:vAlign w:val="center"/>
          </w:tcPr>
          <w:p>
            <w:pPr>
              <w:adjustRightInd w:val="0"/>
              <w:snapToGrid w:val="0"/>
              <w:jc w:val="center"/>
              <w:rPr>
                <w:rFonts w:ascii="宋体" w:hAnsi="宋体" w:cs="宋体"/>
                <w:sz w:val="24"/>
                <w:szCs w:val="24"/>
              </w:rPr>
            </w:pPr>
            <w:r>
              <w:rPr>
                <w:rFonts w:hint="eastAsia" w:ascii="宋体" w:hAnsi="宋体" w:eastAsia="宋体" w:cs="宋体"/>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5" w:hRule="atLeast"/>
          <w:jc w:val="center"/>
        </w:trPr>
        <w:tc>
          <w:tcPr>
            <w:tcW w:w="1032" w:type="pct"/>
            <w:noWrap w:val="0"/>
            <w:vAlign w:val="center"/>
          </w:tcPr>
          <w:p>
            <w:pPr>
              <w:adjustRightInd w:val="0"/>
              <w:snapToGrid w:val="0"/>
              <w:jc w:val="center"/>
              <w:rPr>
                <w:rFonts w:ascii="宋体" w:hAnsi="宋体" w:cs="宋体"/>
                <w:sz w:val="24"/>
                <w:szCs w:val="24"/>
              </w:rPr>
            </w:pPr>
            <w:r>
              <w:rPr>
                <w:rFonts w:hint="eastAsia" w:ascii="宋体" w:hAnsi="宋体" w:cs="宋体"/>
                <w:sz w:val="24"/>
                <w:szCs w:val="24"/>
              </w:rPr>
              <w:t>声环境</w:t>
            </w:r>
          </w:p>
        </w:tc>
        <w:tc>
          <w:tcPr>
            <w:tcW w:w="1481" w:type="pct"/>
            <w:noWrap w:val="0"/>
            <w:vAlign w:val="center"/>
          </w:tcPr>
          <w:p>
            <w:pPr>
              <w:adjustRightInd w:val="0"/>
              <w:snapToGrid w:val="0"/>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采取低噪设备、进行施工公告、合理安排运输物料和施工时间、打围施工、加强各路段管理、协调施工车辆通行时间等；</w:t>
            </w:r>
          </w:p>
        </w:tc>
        <w:tc>
          <w:tcPr>
            <w:tcW w:w="876" w:type="pct"/>
            <w:noWrap w:val="0"/>
            <w:vAlign w:val="center"/>
          </w:tcPr>
          <w:p>
            <w:pPr>
              <w:adjustRightInd w:val="0"/>
              <w:snapToGrid w:val="0"/>
              <w:jc w:val="center"/>
              <w:rPr>
                <w:rFonts w:hint="eastAsia" w:ascii="宋体" w:hAnsi="宋体" w:eastAsia="宋体" w:cs="宋体"/>
                <w:sz w:val="24"/>
                <w:szCs w:val="24"/>
                <w:lang w:eastAsia="zh-CN"/>
              </w:rPr>
            </w:pPr>
            <w:r>
              <w:rPr>
                <w:rFonts w:hint="default" w:ascii="Times New Roman" w:hAnsi="Times New Roman" w:eastAsia="宋体" w:cs="Times New Roman"/>
                <w:color w:val="auto"/>
                <w:sz w:val="24"/>
                <w:szCs w:val="24"/>
              </w:rPr>
              <w:t>《建筑施工场界环境噪声排放标准》（GB12523-2011）</w:t>
            </w:r>
            <w:r>
              <w:rPr>
                <w:rFonts w:hint="eastAsia" w:ascii="Times New Roman" w:hAnsi="Times New Roman" w:eastAsia="宋体" w:cs="Times New Roman"/>
                <w:color w:val="auto"/>
                <w:sz w:val="24"/>
                <w:szCs w:val="24"/>
                <w:lang w:eastAsia="zh-CN"/>
              </w:rPr>
              <w:t>；周边敏感点</w:t>
            </w:r>
            <w:r>
              <w:rPr>
                <w:rFonts w:hint="eastAsia" w:ascii="Times New Roman" w:hAnsi="Times New Roman" w:cs="Times New Roman"/>
                <w:sz w:val="24"/>
                <w:szCs w:val="24"/>
                <w:lang w:val="en-US" w:eastAsia="zh-CN"/>
              </w:rPr>
              <w:t>满足</w:t>
            </w:r>
            <w:r>
              <w:rPr>
                <w:rFonts w:hint="default" w:ascii="Times New Roman" w:hAnsi="Times New Roman" w:cs="Times New Roman"/>
                <w:sz w:val="24"/>
                <w:szCs w:val="24"/>
                <w:lang w:val="en-US" w:eastAsia="zh-CN"/>
              </w:rPr>
              <w:t>《声环境质量标准》（GB3096-2008）中2类标准</w:t>
            </w:r>
          </w:p>
        </w:tc>
        <w:tc>
          <w:tcPr>
            <w:tcW w:w="964" w:type="pct"/>
            <w:noWrap w:val="0"/>
            <w:vAlign w:val="center"/>
          </w:tcPr>
          <w:p>
            <w:pPr>
              <w:adjustRightInd w:val="0"/>
              <w:snapToGrid w:val="0"/>
              <w:jc w:val="center"/>
              <w:rPr>
                <w:rFonts w:ascii="宋体" w:hAnsi="宋体" w:cs="宋体"/>
                <w:sz w:val="24"/>
                <w:szCs w:val="24"/>
              </w:rPr>
            </w:pPr>
            <w:r>
              <w:rPr>
                <w:rFonts w:hint="eastAsia" w:ascii="Times New Roman" w:hAnsi="Times New Roman" w:eastAsia="宋体" w:cs="Times New Roman"/>
                <w:color w:val="auto"/>
                <w:sz w:val="24"/>
                <w:szCs w:val="24"/>
                <w:lang w:val="en-US" w:eastAsia="zh-CN"/>
              </w:rPr>
              <w:t>/</w:t>
            </w:r>
          </w:p>
        </w:tc>
        <w:tc>
          <w:tcPr>
            <w:tcW w:w="645" w:type="pct"/>
            <w:noWrap w:val="0"/>
            <w:vAlign w:val="center"/>
          </w:tcPr>
          <w:p>
            <w:pPr>
              <w:adjustRightInd w:val="0"/>
              <w:snapToGrid w:val="0"/>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32" w:type="pct"/>
            <w:noWrap w:val="0"/>
            <w:vAlign w:val="center"/>
          </w:tcPr>
          <w:p>
            <w:pPr>
              <w:adjustRightInd w:val="0"/>
              <w:snapToGrid w:val="0"/>
              <w:jc w:val="center"/>
              <w:rPr>
                <w:rFonts w:ascii="宋体" w:hAnsi="宋体" w:cs="宋体"/>
                <w:sz w:val="24"/>
                <w:szCs w:val="24"/>
              </w:rPr>
            </w:pPr>
            <w:r>
              <w:rPr>
                <w:rFonts w:hint="eastAsia" w:ascii="宋体" w:hAnsi="宋体" w:cs="宋体"/>
                <w:sz w:val="24"/>
                <w:szCs w:val="24"/>
              </w:rPr>
              <w:t>振动</w:t>
            </w:r>
          </w:p>
        </w:tc>
        <w:tc>
          <w:tcPr>
            <w:tcW w:w="1481" w:type="pct"/>
            <w:noWrap w:val="0"/>
            <w:vAlign w:val="center"/>
          </w:tcPr>
          <w:p>
            <w:pPr>
              <w:adjustRightInd w:val="0"/>
              <w:snapToGrid w:val="0"/>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w:t>
            </w:r>
          </w:p>
        </w:tc>
        <w:tc>
          <w:tcPr>
            <w:tcW w:w="876" w:type="pct"/>
            <w:noWrap w:val="0"/>
            <w:vAlign w:val="center"/>
          </w:tcPr>
          <w:p>
            <w:pPr>
              <w:adjustRightInd w:val="0"/>
              <w:snapToGrid w:val="0"/>
              <w:jc w:val="center"/>
              <w:rPr>
                <w:rFonts w:ascii="宋体" w:hAnsi="宋体" w:cs="宋体"/>
                <w:sz w:val="24"/>
                <w:szCs w:val="24"/>
              </w:rPr>
            </w:pPr>
            <w:r>
              <w:rPr>
                <w:rFonts w:hint="eastAsia" w:ascii="宋体" w:hAnsi="宋体" w:cs="宋体"/>
                <w:sz w:val="24"/>
                <w:szCs w:val="24"/>
                <w:lang w:val="en-US" w:eastAsia="zh-CN"/>
              </w:rPr>
              <w:t>/</w:t>
            </w:r>
          </w:p>
        </w:tc>
        <w:tc>
          <w:tcPr>
            <w:tcW w:w="964" w:type="pct"/>
            <w:noWrap w:val="0"/>
            <w:vAlign w:val="center"/>
          </w:tcPr>
          <w:p>
            <w:pPr>
              <w:adjustRightInd w:val="0"/>
              <w:snapToGrid w:val="0"/>
              <w:jc w:val="center"/>
              <w:rPr>
                <w:rFonts w:ascii="宋体" w:hAnsi="宋体" w:cs="宋体"/>
                <w:sz w:val="24"/>
                <w:szCs w:val="24"/>
              </w:rPr>
            </w:pPr>
            <w:r>
              <w:rPr>
                <w:rFonts w:hint="eastAsia" w:ascii="Times New Roman" w:hAnsi="Times New Roman" w:eastAsia="宋体" w:cs="Times New Roman"/>
                <w:color w:val="auto"/>
                <w:sz w:val="24"/>
                <w:szCs w:val="24"/>
                <w:lang w:val="en-US" w:eastAsia="zh-CN"/>
              </w:rPr>
              <w:t>/</w:t>
            </w:r>
          </w:p>
        </w:tc>
        <w:tc>
          <w:tcPr>
            <w:tcW w:w="645" w:type="pct"/>
            <w:noWrap w:val="0"/>
            <w:vAlign w:val="center"/>
          </w:tcPr>
          <w:p>
            <w:pPr>
              <w:adjustRightInd w:val="0"/>
              <w:snapToGrid w:val="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3" w:hRule="atLeast"/>
          <w:jc w:val="center"/>
        </w:trPr>
        <w:tc>
          <w:tcPr>
            <w:tcW w:w="1032" w:type="pct"/>
            <w:noWrap w:val="0"/>
            <w:vAlign w:val="center"/>
          </w:tcPr>
          <w:p>
            <w:pPr>
              <w:adjustRightInd w:val="0"/>
              <w:snapToGrid w:val="0"/>
              <w:jc w:val="center"/>
              <w:rPr>
                <w:rFonts w:ascii="宋体" w:hAnsi="宋体" w:cs="宋体"/>
                <w:sz w:val="24"/>
                <w:szCs w:val="24"/>
              </w:rPr>
            </w:pPr>
            <w:r>
              <w:rPr>
                <w:rFonts w:hint="eastAsia" w:ascii="宋体" w:hAnsi="宋体" w:cs="宋体"/>
                <w:sz w:val="24"/>
                <w:szCs w:val="24"/>
              </w:rPr>
              <w:t>大气环境</w:t>
            </w:r>
          </w:p>
        </w:tc>
        <w:tc>
          <w:tcPr>
            <w:tcW w:w="1481" w:type="pct"/>
            <w:noWrap w:val="0"/>
            <w:vAlign w:val="center"/>
          </w:tcPr>
          <w:p>
            <w:pPr>
              <w:adjustRightInd w:val="0"/>
              <w:snapToGrid w:val="0"/>
              <w:jc w:val="center"/>
              <w:rPr>
                <w:rFonts w:hint="eastAsia" w:ascii="宋体" w:hAnsi="宋体" w:cs="宋体"/>
                <w:sz w:val="24"/>
                <w:szCs w:val="24"/>
                <w:lang w:val="en-US" w:eastAsia="zh-CN"/>
              </w:rPr>
            </w:pPr>
            <w:r>
              <w:rPr>
                <w:rFonts w:hint="eastAsia" w:ascii="宋体" w:hAnsi="宋体" w:cs="宋体"/>
                <w:b/>
                <w:bCs/>
                <w:sz w:val="24"/>
                <w:szCs w:val="24"/>
                <w:lang w:val="en-US" w:eastAsia="zh-CN"/>
              </w:rPr>
              <w:t>施工扬尘：</w:t>
            </w:r>
            <w:r>
              <w:rPr>
                <w:rFonts w:hint="eastAsia" w:ascii="宋体" w:hAnsi="宋体" w:cs="宋体"/>
                <w:sz w:val="24"/>
                <w:szCs w:val="24"/>
                <w:lang w:val="en-US" w:eastAsia="zh-CN"/>
              </w:rPr>
              <w:t>定期洒水降尘、使用商品混凝土、湿法作业、建筑材料等进行防尘遮挡覆盖、设置围挡及喷淋措施等；</w:t>
            </w:r>
          </w:p>
          <w:p>
            <w:pPr>
              <w:adjustRightInd w:val="0"/>
              <w:snapToGrid w:val="0"/>
              <w:jc w:val="center"/>
              <w:rPr>
                <w:rFonts w:hint="eastAsia" w:ascii="宋体" w:hAnsi="宋体" w:eastAsia="宋体" w:cs="宋体"/>
                <w:sz w:val="24"/>
                <w:szCs w:val="24"/>
                <w:lang w:eastAsia="zh-CN"/>
              </w:rPr>
            </w:pPr>
            <w:r>
              <w:rPr>
                <w:rFonts w:hint="eastAsia" w:ascii="宋体" w:hAnsi="宋体" w:cs="宋体"/>
                <w:b/>
                <w:bCs/>
                <w:sz w:val="24"/>
                <w:szCs w:val="24"/>
                <w:lang w:val="en-US" w:eastAsia="zh-CN"/>
              </w:rPr>
              <w:t>道路运输扬尘：</w:t>
            </w:r>
            <w:r>
              <w:rPr>
                <w:rFonts w:hint="eastAsia" w:ascii="宋体" w:hAnsi="宋体" w:cs="宋体"/>
                <w:b w:val="0"/>
                <w:bCs w:val="0"/>
                <w:sz w:val="24"/>
                <w:szCs w:val="24"/>
                <w:lang w:val="en-US" w:eastAsia="zh-CN"/>
              </w:rPr>
              <w:t>洒水降尘、运输车辆加盖篷布等；降速行驶；</w:t>
            </w:r>
            <w:r>
              <w:rPr>
                <w:rFonts w:hint="eastAsia" w:ascii="宋体" w:hAnsi="宋体" w:cs="宋体"/>
                <w:b/>
                <w:bCs/>
                <w:sz w:val="24"/>
                <w:szCs w:val="24"/>
                <w:lang w:val="en-US" w:eastAsia="zh-CN"/>
              </w:rPr>
              <w:t>施工车辆及施工机械尾气：</w:t>
            </w:r>
            <w:r>
              <w:rPr>
                <w:rFonts w:hint="eastAsia" w:ascii="宋体" w:hAnsi="宋体" w:cs="宋体"/>
                <w:b w:val="0"/>
                <w:bCs w:val="0"/>
                <w:sz w:val="24"/>
                <w:szCs w:val="24"/>
                <w:lang w:val="en-US" w:eastAsia="zh-CN"/>
              </w:rPr>
              <w:t>燃油废气排放量小且场地较开阔、机动车定期检测尾气达标情况；</w:t>
            </w:r>
          </w:p>
        </w:tc>
        <w:tc>
          <w:tcPr>
            <w:tcW w:w="876" w:type="pct"/>
            <w:noWrap w:val="0"/>
            <w:vAlign w:val="center"/>
          </w:tcPr>
          <w:p>
            <w:pPr>
              <w:adjustRightInd w:val="0"/>
              <w:snapToGrid w:val="0"/>
              <w:jc w:val="center"/>
              <w:rPr>
                <w:rFonts w:hint="eastAsia"/>
                <w:color w:val="auto"/>
                <w:sz w:val="24"/>
                <w:szCs w:val="24"/>
                <w:lang w:eastAsia="zh-CN"/>
              </w:rPr>
            </w:pPr>
            <w:r>
              <w:rPr>
                <w:rFonts w:hint="eastAsia"/>
                <w:color w:val="auto"/>
                <w:sz w:val="24"/>
                <w:szCs w:val="24"/>
                <w:lang w:eastAsia="zh-CN"/>
              </w:rPr>
              <w:t>《四川省施工场地扬尘排放标准》（DB51</w:t>
            </w:r>
            <w:r>
              <w:rPr>
                <w:rFonts w:hint="eastAsia"/>
                <w:color w:val="auto"/>
                <w:sz w:val="24"/>
                <w:szCs w:val="24"/>
                <w:lang w:val="en-US" w:eastAsia="zh-CN"/>
              </w:rPr>
              <w:t>/</w:t>
            </w:r>
            <w:r>
              <w:rPr>
                <w:rFonts w:hint="eastAsia"/>
                <w:color w:val="auto"/>
                <w:sz w:val="24"/>
                <w:szCs w:val="24"/>
                <w:lang w:eastAsia="zh-CN"/>
              </w:rPr>
              <w:t>26</w:t>
            </w:r>
          </w:p>
          <w:p>
            <w:pPr>
              <w:adjustRightInd w:val="0"/>
              <w:snapToGrid w:val="0"/>
              <w:jc w:val="center"/>
              <w:rPr>
                <w:rFonts w:ascii="宋体" w:hAnsi="宋体" w:cs="宋体"/>
                <w:sz w:val="24"/>
                <w:szCs w:val="24"/>
              </w:rPr>
            </w:pPr>
            <w:r>
              <w:rPr>
                <w:rFonts w:hint="eastAsia"/>
                <w:color w:val="auto"/>
                <w:sz w:val="24"/>
                <w:szCs w:val="24"/>
                <w:lang w:eastAsia="zh-CN"/>
              </w:rPr>
              <w:t>82-2020）；区域大气环境质量</w:t>
            </w:r>
            <w:r>
              <w:rPr>
                <w:rFonts w:hint="default" w:ascii="Times New Roman" w:hAnsi="Times New Roman" w:cs="Times New Roman"/>
                <w:sz w:val="24"/>
                <w:szCs w:val="24"/>
                <w:lang w:val="en-US" w:eastAsia="zh-CN"/>
              </w:rPr>
              <w:t>满足《环境空气质量》（GB3095-2012）中的二级标准</w:t>
            </w:r>
          </w:p>
        </w:tc>
        <w:tc>
          <w:tcPr>
            <w:tcW w:w="964" w:type="pct"/>
            <w:noWrap w:val="0"/>
            <w:vAlign w:val="center"/>
          </w:tcPr>
          <w:p>
            <w:pPr>
              <w:adjustRightInd w:val="0"/>
              <w:snapToGrid w:val="0"/>
              <w:jc w:val="center"/>
              <w:rPr>
                <w:rFonts w:ascii="宋体" w:hAnsi="宋体" w:cs="宋体"/>
                <w:kern w:val="2"/>
                <w:sz w:val="24"/>
                <w:szCs w:val="24"/>
                <w:lang w:val="en-US" w:eastAsia="zh-CN" w:bidi="ar-SA"/>
              </w:rPr>
            </w:pPr>
            <w:r>
              <w:rPr>
                <w:rFonts w:hint="eastAsia" w:ascii="Times New Roman" w:hAnsi="Times New Roman" w:eastAsia="宋体" w:cs="Times New Roman"/>
                <w:color w:val="auto"/>
                <w:sz w:val="24"/>
                <w:szCs w:val="24"/>
                <w:lang w:val="en-US" w:eastAsia="zh-CN"/>
              </w:rPr>
              <w:t>/</w:t>
            </w:r>
          </w:p>
        </w:tc>
        <w:tc>
          <w:tcPr>
            <w:tcW w:w="645" w:type="pct"/>
            <w:noWrap w:val="0"/>
            <w:vAlign w:val="center"/>
          </w:tcPr>
          <w:p>
            <w:pPr>
              <w:adjustRightInd w:val="0"/>
              <w:snapToGrid w:val="0"/>
              <w:jc w:val="center"/>
              <w:rPr>
                <w:rFonts w:ascii="宋体" w:hAnsi="宋体" w:cs="宋体"/>
                <w:kern w:val="2"/>
                <w:sz w:val="24"/>
                <w:szCs w:val="24"/>
                <w:lang w:val="en-US" w:eastAsia="zh-CN" w:bidi="ar-SA"/>
              </w:rPr>
            </w:pPr>
            <w:r>
              <w:rPr>
                <w:rFonts w:hint="eastAsia" w:ascii="宋体" w:hAnsi="宋体" w:cs="宋体"/>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86" w:hRule="atLeast"/>
          <w:jc w:val="center"/>
        </w:trPr>
        <w:tc>
          <w:tcPr>
            <w:tcW w:w="1032" w:type="pct"/>
            <w:noWrap w:val="0"/>
            <w:vAlign w:val="center"/>
          </w:tcPr>
          <w:p>
            <w:pPr>
              <w:adjustRightInd w:val="0"/>
              <w:snapToGrid w:val="0"/>
              <w:jc w:val="center"/>
              <w:rPr>
                <w:rFonts w:ascii="宋体" w:hAnsi="宋体" w:cs="宋体"/>
                <w:sz w:val="24"/>
                <w:szCs w:val="24"/>
              </w:rPr>
            </w:pPr>
            <w:r>
              <w:rPr>
                <w:rFonts w:hint="eastAsia" w:ascii="宋体" w:hAnsi="宋体" w:cs="宋体"/>
                <w:sz w:val="24"/>
                <w:szCs w:val="24"/>
              </w:rPr>
              <w:t>固体废物</w:t>
            </w:r>
          </w:p>
        </w:tc>
        <w:tc>
          <w:tcPr>
            <w:tcW w:w="1481" w:type="pct"/>
            <w:noWrap w:val="0"/>
            <w:vAlign w:val="center"/>
          </w:tcPr>
          <w:p>
            <w:pPr>
              <w:jc w:val="center"/>
              <w:rPr>
                <w:rFonts w:hint="default"/>
                <w:sz w:val="24"/>
                <w:szCs w:val="24"/>
                <w:lang w:val="en-US" w:eastAsia="zh-CN"/>
              </w:rPr>
            </w:pPr>
            <w:r>
              <w:rPr>
                <w:rFonts w:hint="eastAsia" w:ascii="Times New Roman" w:hAnsi="Times New Roman" w:eastAsia="宋体" w:cs="Times New Roman"/>
                <w:color w:val="000000"/>
                <w:kern w:val="2"/>
                <w:sz w:val="24"/>
                <w:szCs w:val="24"/>
                <w:lang w:val="en-US" w:eastAsia="zh-CN" w:bidi="ar-SA"/>
              </w:rPr>
              <w:t>开挖土石方（含疏浚物）弃土用于工程河道回填。生活垃圾环卫部门清运。建筑垃圾运至</w:t>
            </w:r>
            <w:r>
              <w:rPr>
                <w:rFonts w:hint="default" w:ascii="Times New Roman" w:hAnsi="Times New Roman" w:eastAsia="宋体" w:cs="Times New Roman"/>
                <w:color w:val="000000"/>
                <w:kern w:val="2"/>
                <w:sz w:val="24"/>
                <w:szCs w:val="24"/>
                <w:lang w:val="en-US" w:eastAsia="zh-CN" w:bidi="ar-SA"/>
              </w:rPr>
              <w:t>指定的</w:t>
            </w:r>
            <w:r>
              <w:rPr>
                <w:rFonts w:hint="eastAsia" w:ascii="Times New Roman" w:hAnsi="Times New Roman" w:eastAsia="宋体" w:cs="Times New Roman"/>
                <w:color w:val="000000"/>
                <w:kern w:val="2"/>
                <w:sz w:val="24"/>
                <w:szCs w:val="24"/>
                <w:lang w:val="en-US" w:eastAsia="zh-CN" w:bidi="ar-SA"/>
              </w:rPr>
              <w:t>建渣</w:t>
            </w:r>
            <w:r>
              <w:rPr>
                <w:rFonts w:hint="default" w:ascii="Times New Roman" w:hAnsi="Times New Roman" w:eastAsia="宋体" w:cs="Times New Roman"/>
                <w:color w:val="000000"/>
                <w:kern w:val="2"/>
                <w:sz w:val="24"/>
                <w:szCs w:val="24"/>
                <w:lang w:val="en-US" w:eastAsia="zh-CN" w:bidi="ar-SA"/>
              </w:rPr>
              <w:t>场进行堆放</w:t>
            </w:r>
          </w:p>
        </w:tc>
        <w:tc>
          <w:tcPr>
            <w:tcW w:w="876" w:type="pct"/>
            <w:noWrap w:val="0"/>
            <w:vAlign w:val="center"/>
          </w:tcPr>
          <w:p>
            <w:pPr>
              <w:jc w:val="center"/>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处置合理，去向明确，做好相关台账记录</w:t>
            </w:r>
          </w:p>
        </w:tc>
        <w:tc>
          <w:tcPr>
            <w:tcW w:w="964" w:type="pct"/>
            <w:noWrap w:val="0"/>
            <w:vAlign w:val="center"/>
          </w:tcPr>
          <w:p>
            <w:pPr>
              <w:adjustRightInd w:val="0"/>
              <w:snapToGrid w:val="0"/>
              <w:jc w:val="center"/>
              <w:rPr>
                <w:rFonts w:hint="eastAsia" w:ascii="Times New Roman" w:hAnsi="Times New Roman" w:eastAsia="宋体" w:cs="Times New Roman"/>
                <w:color w:val="000000"/>
                <w:kern w:val="2"/>
                <w:sz w:val="24"/>
                <w:szCs w:val="24"/>
                <w:lang w:val="en-US" w:eastAsia="zh-CN" w:bidi="ar-SA"/>
              </w:rPr>
            </w:pPr>
            <w:r>
              <w:rPr>
                <w:rFonts w:hint="eastAsia" w:ascii="宋体" w:hAnsi="宋体" w:cs="宋体"/>
                <w:sz w:val="24"/>
                <w:szCs w:val="24"/>
                <w:lang w:val="en-US" w:eastAsia="zh-CN"/>
              </w:rPr>
              <w:t>/</w:t>
            </w:r>
          </w:p>
        </w:tc>
        <w:tc>
          <w:tcPr>
            <w:tcW w:w="645" w:type="pct"/>
            <w:noWrap w:val="0"/>
            <w:vAlign w:val="center"/>
          </w:tcPr>
          <w:p>
            <w:pPr>
              <w:adjustRightInd w:val="0"/>
              <w:snapToGrid w:val="0"/>
              <w:jc w:val="center"/>
              <w:rPr>
                <w:rFonts w:hint="default" w:ascii="Times New Roman" w:hAnsi="Times New Roman" w:eastAsia="宋体" w:cs="Times New Roman"/>
                <w:color w:val="000000"/>
                <w:kern w:val="2"/>
                <w:sz w:val="24"/>
                <w:szCs w:val="24"/>
                <w:lang w:val="en-US" w:eastAsia="zh-CN" w:bidi="ar-SA"/>
              </w:rPr>
            </w:pPr>
            <w:r>
              <w:rPr>
                <w:rFonts w:hint="eastAsia" w:ascii="宋体" w:hAnsi="宋体" w:cs="宋体"/>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032" w:type="pct"/>
            <w:noWrap w:val="0"/>
            <w:vAlign w:val="center"/>
          </w:tcPr>
          <w:p>
            <w:pPr>
              <w:adjustRightInd w:val="0"/>
              <w:snapToGrid w:val="0"/>
              <w:jc w:val="center"/>
              <w:rPr>
                <w:rFonts w:ascii="宋体" w:hAnsi="宋体" w:cs="宋体"/>
                <w:sz w:val="24"/>
                <w:szCs w:val="24"/>
              </w:rPr>
            </w:pPr>
            <w:r>
              <w:rPr>
                <w:rFonts w:hint="eastAsia" w:ascii="宋体" w:hAnsi="宋体" w:cs="宋体"/>
                <w:sz w:val="24"/>
                <w:szCs w:val="24"/>
              </w:rPr>
              <w:t>电磁环境</w:t>
            </w:r>
          </w:p>
        </w:tc>
        <w:tc>
          <w:tcPr>
            <w:tcW w:w="1481" w:type="pct"/>
            <w:noWrap w:val="0"/>
            <w:vAlign w:val="center"/>
          </w:tcPr>
          <w:p>
            <w:pPr>
              <w:adjustRightInd w:val="0"/>
              <w:snapToGrid w:val="0"/>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w:t>
            </w:r>
          </w:p>
        </w:tc>
        <w:tc>
          <w:tcPr>
            <w:tcW w:w="876" w:type="pct"/>
            <w:noWrap w:val="0"/>
            <w:vAlign w:val="center"/>
          </w:tcPr>
          <w:p>
            <w:pPr>
              <w:adjustRightInd w:val="0"/>
              <w:snapToGrid w:val="0"/>
              <w:jc w:val="center"/>
              <w:rPr>
                <w:rFonts w:ascii="宋体" w:hAnsi="宋体" w:cs="宋体"/>
                <w:sz w:val="24"/>
                <w:szCs w:val="24"/>
              </w:rPr>
            </w:pPr>
            <w:r>
              <w:rPr>
                <w:rFonts w:hint="eastAsia" w:ascii="宋体" w:hAnsi="宋体" w:cs="宋体"/>
                <w:sz w:val="24"/>
                <w:szCs w:val="24"/>
                <w:lang w:val="en-US" w:eastAsia="zh-CN"/>
              </w:rPr>
              <w:t>/</w:t>
            </w:r>
          </w:p>
        </w:tc>
        <w:tc>
          <w:tcPr>
            <w:tcW w:w="964" w:type="pct"/>
            <w:noWrap w:val="0"/>
            <w:vAlign w:val="center"/>
          </w:tcPr>
          <w:p>
            <w:pPr>
              <w:adjustRightInd w:val="0"/>
              <w:snapToGrid w:val="0"/>
              <w:jc w:val="center"/>
              <w:rPr>
                <w:rFonts w:ascii="宋体" w:hAnsi="宋体" w:cs="宋体"/>
                <w:sz w:val="24"/>
                <w:szCs w:val="24"/>
              </w:rPr>
            </w:pPr>
            <w:r>
              <w:rPr>
                <w:rFonts w:hint="eastAsia" w:ascii="宋体" w:hAnsi="宋体" w:cs="宋体"/>
                <w:sz w:val="24"/>
                <w:szCs w:val="24"/>
                <w:lang w:val="en-US" w:eastAsia="zh-CN"/>
              </w:rPr>
              <w:t>/</w:t>
            </w:r>
          </w:p>
        </w:tc>
        <w:tc>
          <w:tcPr>
            <w:tcW w:w="645" w:type="pct"/>
            <w:noWrap w:val="0"/>
            <w:vAlign w:val="center"/>
          </w:tcPr>
          <w:p>
            <w:pPr>
              <w:adjustRightInd w:val="0"/>
              <w:snapToGrid w:val="0"/>
              <w:jc w:val="center"/>
              <w:rPr>
                <w:rFonts w:ascii="宋体" w:hAnsi="宋体" w:cs="宋体"/>
                <w:sz w:val="24"/>
                <w:szCs w:val="24"/>
              </w:rPr>
            </w:pPr>
            <w:r>
              <w:rPr>
                <w:rFonts w:hint="eastAsia" w:ascii="宋体" w:hAnsi="宋体" w:cs="宋体"/>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6" w:hRule="atLeast"/>
          <w:jc w:val="center"/>
        </w:trPr>
        <w:tc>
          <w:tcPr>
            <w:tcW w:w="1032" w:type="pct"/>
            <w:noWrap w:val="0"/>
            <w:vAlign w:val="center"/>
          </w:tcPr>
          <w:p>
            <w:pPr>
              <w:adjustRightInd w:val="0"/>
              <w:snapToGrid w:val="0"/>
              <w:jc w:val="center"/>
              <w:rPr>
                <w:rFonts w:ascii="宋体" w:hAnsi="宋体" w:cs="宋体"/>
                <w:sz w:val="24"/>
                <w:szCs w:val="24"/>
              </w:rPr>
            </w:pPr>
            <w:r>
              <w:rPr>
                <w:rFonts w:hint="eastAsia" w:ascii="宋体" w:hAnsi="宋体" w:cs="宋体"/>
                <w:sz w:val="24"/>
                <w:szCs w:val="24"/>
              </w:rPr>
              <w:t>环境风险</w:t>
            </w:r>
          </w:p>
        </w:tc>
        <w:tc>
          <w:tcPr>
            <w:tcW w:w="1481" w:type="pct"/>
            <w:noWrap w:val="0"/>
            <w:vAlign w:val="center"/>
          </w:tcPr>
          <w:p>
            <w:pPr>
              <w:adjustRightInd w:val="0"/>
              <w:snapToGrid w:val="0"/>
              <w:jc w:val="center"/>
              <w:rPr>
                <w:rFonts w:ascii="宋体" w:hAnsi="宋体" w:cs="宋体"/>
                <w:sz w:val="24"/>
                <w:szCs w:val="24"/>
              </w:rPr>
            </w:pPr>
            <w:r>
              <w:rPr>
                <w:rFonts w:hint="eastAsia" w:ascii="宋体" w:hAnsi="宋体" w:cs="宋体"/>
                <w:sz w:val="24"/>
                <w:szCs w:val="24"/>
                <w:lang w:val="en-US" w:eastAsia="zh-CN"/>
              </w:rPr>
              <w:t>/</w:t>
            </w:r>
          </w:p>
        </w:tc>
        <w:tc>
          <w:tcPr>
            <w:tcW w:w="876" w:type="pct"/>
            <w:noWrap w:val="0"/>
            <w:vAlign w:val="center"/>
          </w:tcPr>
          <w:p>
            <w:pPr>
              <w:adjustRightInd w:val="0"/>
              <w:snapToGrid w:val="0"/>
              <w:jc w:val="center"/>
              <w:rPr>
                <w:rFonts w:ascii="宋体" w:hAnsi="宋体" w:cs="宋体"/>
                <w:sz w:val="24"/>
                <w:szCs w:val="24"/>
              </w:rPr>
            </w:pPr>
            <w:r>
              <w:rPr>
                <w:rFonts w:hint="eastAsia" w:ascii="宋体" w:hAnsi="宋体" w:cs="宋体"/>
                <w:sz w:val="24"/>
                <w:szCs w:val="24"/>
                <w:lang w:val="en-US" w:eastAsia="zh-CN"/>
              </w:rPr>
              <w:t>/</w:t>
            </w:r>
          </w:p>
        </w:tc>
        <w:tc>
          <w:tcPr>
            <w:tcW w:w="1775" w:type="dxa"/>
            <w:noWrap w:val="0"/>
            <w:vAlign w:val="center"/>
          </w:tcPr>
          <w:p>
            <w:pPr>
              <w:adjustRightInd w:val="0"/>
              <w:snapToGrid w:val="0"/>
              <w:jc w:val="center"/>
              <w:rPr>
                <w:rFonts w:ascii="宋体" w:hAnsi="宋体" w:cs="宋体"/>
                <w:sz w:val="24"/>
                <w:szCs w:val="24"/>
              </w:rPr>
            </w:pPr>
            <w:r>
              <w:rPr>
                <w:rFonts w:hint="eastAsia" w:ascii="宋体" w:hAnsi="宋体" w:cs="宋体"/>
                <w:sz w:val="24"/>
                <w:szCs w:val="24"/>
                <w:lang w:val="en-US" w:eastAsia="zh-CN"/>
              </w:rPr>
              <w:t>/</w:t>
            </w:r>
          </w:p>
        </w:tc>
        <w:tc>
          <w:tcPr>
            <w:tcW w:w="1187" w:type="dxa"/>
            <w:noWrap w:val="0"/>
            <w:vAlign w:val="center"/>
          </w:tcPr>
          <w:p>
            <w:pPr>
              <w:adjustRightInd w:val="0"/>
              <w:snapToGrid w:val="0"/>
              <w:jc w:val="center"/>
              <w:rPr>
                <w:rFonts w:ascii="宋体" w:hAnsi="宋体" w:cs="宋体"/>
                <w:sz w:val="24"/>
                <w:szCs w:val="24"/>
              </w:rPr>
            </w:pPr>
            <w:r>
              <w:rPr>
                <w:rFonts w:hint="eastAsia" w:ascii="宋体" w:hAnsi="宋体" w:cs="宋体"/>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032" w:type="pct"/>
            <w:noWrap w:val="0"/>
            <w:vAlign w:val="center"/>
          </w:tcPr>
          <w:p>
            <w:pPr>
              <w:adjustRightInd w:val="0"/>
              <w:snapToGrid w:val="0"/>
              <w:jc w:val="center"/>
              <w:rPr>
                <w:rFonts w:ascii="宋体" w:hAnsi="宋体" w:cs="宋体"/>
                <w:sz w:val="24"/>
                <w:szCs w:val="24"/>
              </w:rPr>
            </w:pPr>
            <w:r>
              <w:rPr>
                <w:rFonts w:hint="eastAsia" w:ascii="宋体" w:hAnsi="宋体" w:cs="宋体"/>
                <w:sz w:val="24"/>
                <w:szCs w:val="24"/>
              </w:rPr>
              <w:t>环境监测</w:t>
            </w:r>
          </w:p>
        </w:tc>
        <w:tc>
          <w:tcPr>
            <w:tcW w:w="1481" w:type="pct"/>
            <w:noWrap w:val="0"/>
            <w:vAlign w:val="center"/>
          </w:tcPr>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left"/>
              <w:rPr>
                <w:rFonts w:hint="eastAsia" w:ascii="Times New Roman" w:hAnsi="Times New Roman" w:eastAsia="宋体" w:cs="Times New Roman"/>
                <w:color w:val="auto"/>
                <w:sz w:val="24"/>
                <w:szCs w:val="24"/>
                <w:lang w:val="en-US" w:eastAsia="zh-CN"/>
              </w:rPr>
            </w:pPr>
            <w:r>
              <w:rPr>
                <w:rFonts w:hint="eastAsia" w:ascii="宋体" w:hAnsi="宋体" w:cs="宋体"/>
                <w:b/>
                <w:bCs/>
                <w:sz w:val="24"/>
                <w:szCs w:val="24"/>
                <w:lang w:val="en-US" w:eastAsia="zh-CN"/>
              </w:rPr>
              <w:t>废气：</w:t>
            </w:r>
            <w:r>
              <w:rPr>
                <w:rFonts w:hint="eastAsia" w:ascii="宋体" w:hAnsi="宋体" w:cs="宋体"/>
                <w:sz w:val="24"/>
                <w:szCs w:val="24"/>
                <w:lang w:val="en-US" w:eastAsia="zh-CN"/>
              </w:rPr>
              <w:t>建设单位在</w:t>
            </w:r>
            <w:r>
              <w:rPr>
                <w:rFonts w:hint="eastAsia" w:ascii="Times New Roman" w:hAnsi="Times New Roman" w:eastAsia="宋体" w:cs="Times New Roman"/>
                <w:color w:val="auto"/>
                <w:sz w:val="24"/>
                <w:szCs w:val="24"/>
                <w:lang w:val="en-US" w:eastAsia="zh-CN"/>
              </w:rPr>
              <w:t>施工场界范围内或下风向设置1个监测点，监测因子为TSP；监测时间：施工期内每季度监测一次，在施工时采样；</w:t>
            </w:r>
          </w:p>
          <w:p>
            <w:pPr>
              <w:pStyle w:val="17"/>
              <w:keepNext w:val="0"/>
              <w:keepLines w:val="0"/>
              <w:pageBreakBefore w:val="0"/>
              <w:widowControl w:val="0"/>
              <w:kinsoku/>
              <w:wordWrap/>
              <w:overflowPunct/>
              <w:topLinePunct w:val="0"/>
              <w:autoSpaceDE/>
              <w:autoSpaceDN/>
              <w:bidi w:val="0"/>
              <w:snapToGrid/>
              <w:spacing w:line="240" w:lineRule="auto"/>
              <w:ind w:left="0" w:leftChars="0" w:right="0" w:rightChars="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sz w:val="24"/>
                <w:szCs w:val="24"/>
                <w:lang w:val="en-US" w:eastAsia="zh-CN"/>
              </w:rPr>
              <w:t>废水：</w:t>
            </w:r>
            <w:r>
              <w:rPr>
                <w:rFonts w:hint="eastAsia" w:ascii="Times New Roman" w:hAnsi="Times New Roman" w:eastAsia="宋体" w:cs="Times New Roman"/>
                <w:color w:val="auto"/>
                <w:sz w:val="24"/>
                <w:szCs w:val="24"/>
                <w:lang w:val="en-US" w:eastAsia="zh-CN"/>
              </w:rPr>
              <w:t>建设单位在工程河道下游500m、1000m处设置监测点；监测因子：pH、SS、氨氮、BOD</w:t>
            </w:r>
            <w:r>
              <w:rPr>
                <w:rFonts w:hint="eastAsia" w:ascii="Times New Roman" w:hAnsi="Times New Roman" w:eastAsia="宋体" w:cs="Times New Roman"/>
                <w:color w:val="auto"/>
                <w:sz w:val="24"/>
                <w:szCs w:val="24"/>
                <w:vertAlign w:val="subscript"/>
                <w:lang w:val="en-US" w:eastAsia="zh-CN"/>
              </w:rPr>
              <w:t>5</w:t>
            </w:r>
            <w:r>
              <w:rPr>
                <w:rFonts w:hint="eastAsia" w:ascii="Times New Roman" w:hAnsi="Times New Roman" w:eastAsia="宋体" w:cs="Times New Roman"/>
                <w:color w:val="auto"/>
                <w:sz w:val="24"/>
                <w:szCs w:val="24"/>
                <w:lang w:val="en-US" w:eastAsia="zh-CN"/>
              </w:rPr>
              <w:t>、石油类；监测时间：施工期内每季度监测一次；</w:t>
            </w:r>
          </w:p>
          <w:p>
            <w:pPr>
              <w:adjustRightInd w:val="0"/>
              <w:snapToGrid w:val="0"/>
              <w:jc w:val="center"/>
              <w:rPr>
                <w:rFonts w:ascii="宋体" w:hAnsi="宋体" w:cs="宋体"/>
                <w:sz w:val="24"/>
                <w:szCs w:val="24"/>
              </w:rPr>
            </w:pPr>
            <w:r>
              <w:rPr>
                <w:rFonts w:hint="eastAsia" w:ascii="Times New Roman" w:hAnsi="Times New Roman" w:eastAsia="宋体" w:cs="Times New Roman"/>
                <w:b/>
                <w:bCs/>
                <w:color w:val="auto"/>
                <w:sz w:val="24"/>
                <w:szCs w:val="24"/>
                <w:lang w:val="en-US" w:eastAsia="zh-CN"/>
              </w:rPr>
              <w:t>噪声：</w:t>
            </w:r>
            <w:r>
              <w:rPr>
                <w:rFonts w:hint="eastAsia" w:ascii="Times New Roman" w:hAnsi="Times New Roman" w:eastAsia="宋体" w:cs="Times New Roman"/>
                <w:color w:val="auto"/>
                <w:sz w:val="24"/>
                <w:szCs w:val="24"/>
                <w:lang w:val="en-US" w:eastAsia="zh-CN"/>
              </w:rPr>
              <w:t>建设单位在周边200m范围内敏感点处设置监测点；监测时间：每季度1次，每次监测2天，昼夜各1次；</w:t>
            </w:r>
          </w:p>
        </w:tc>
        <w:tc>
          <w:tcPr>
            <w:tcW w:w="876" w:type="pct"/>
            <w:noWrap w:val="0"/>
            <w:vAlign w:val="center"/>
          </w:tcPr>
          <w:p>
            <w:pPr>
              <w:adjustRightInd w:val="0"/>
              <w:snapToGrid w:val="0"/>
              <w:jc w:val="center"/>
              <w:rPr>
                <w:rFonts w:ascii="宋体" w:hAnsi="宋体" w:cs="宋体"/>
                <w:sz w:val="24"/>
                <w:szCs w:val="24"/>
              </w:rPr>
            </w:pPr>
            <w:r>
              <w:rPr>
                <w:rFonts w:hint="eastAsia" w:ascii="Times New Roman" w:hAnsi="Times New Roman" w:eastAsia="宋体" w:cs="Times New Roman"/>
                <w:b/>
                <w:bCs/>
                <w:color w:val="auto"/>
                <w:sz w:val="24"/>
                <w:szCs w:val="24"/>
                <w:lang w:val="en-US" w:eastAsia="zh-CN"/>
              </w:rPr>
              <w:t>废气</w:t>
            </w:r>
            <w:r>
              <w:rPr>
                <w:rFonts w:hint="eastAsia" w:ascii="Times New Roman" w:hAnsi="Times New Roman" w:eastAsia="宋体" w:cs="Times New Roman"/>
                <w:color w:val="auto"/>
                <w:sz w:val="24"/>
                <w:szCs w:val="24"/>
                <w:lang w:val="en-US" w:eastAsia="zh-CN"/>
              </w:rPr>
              <w:t>满足《四川省施工场地扬尘排放标准》（DB51-2682-2020）；</w:t>
            </w:r>
            <w:r>
              <w:rPr>
                <w:rFonts w:hint="eastAsia" w:ascii="Times New Roman" w:hAnsi="Times New Roman" w:eastAsia="宋体" w:cs="Times New Roman"/>
                <w:b/>
                <w:bCs/>
                <w:color w:val="auto"/>
                <w:sz w:val="24"/>
                <w:szCs w:val="24"/>
                <w:lang w:val="en-US" w:eastAsia="zh-CN"/>
              </w:rPr>
              <w:t>地表水</w:t>
            </w:r>
            <w:r>
              <w:rPr>
                <w:rFonts w:hint="eastAsia" w:ascii="Times New Roman" w:hAnsi="Times New Roman" w:eastAsia="宋体" w:cs="Times New Roman"/>
                <w:color w:val="auto"/>
                <w:sz w:val="24"/>
                <w:szCs w:val="24"/>
                <w:lang w:val="en-US" w:eastAsia="zh-CN"/>
              </w:rPr>
              <w:t>满足</w:t>
            </w:r>
            <w:r>
              <w:rPr>
                <w:rFonts w:hint="eastAsia" w:ascii="Times New Roman" w:hAnsi="Times New Roman" w:eastAsia="宋体" w:cs="Times New Roman"/>
                <w:color w:val="auto"/>
                <w:sz w:val="24"/>
                <w:szCs w:val="24"/>
                <w:lang w:eastAsia="zh-CN"/>
              </w:rPr>
              <w:t>《地表水环境质量标准》(GB3838-2002)</w:t>
            </w:r>
            <w:r>
              <w:rPr>
                <w:rFonts w:hint="eastAsia" w:ascii="Times New Roman" w:hAnsi="Times New Roman" w:eastAsia="宋体" w:cs="Times New Roman"/>
                <w:color w:val="auto"/>
                <w:sz w:val="24"/>
                <w:szCs w:val="24"/>
                <w:lang w:val="en-US" w:eastAsia="zh-CN"/>
              </w:rPr>
              <w:t>中</w:t>
            </w:r>
            <w:r>
              <w:rPr>
                <w:rFonts w:hint="eastAsia" w:ascii="宋体" w:hAnsi="宋体" w:eastAsia="宋体" w:cs="宋体"/>
                <w:color w:val="auto"/>
                <w:sz w:val="24"/>
                <w:szCs w:val="24"/>
                <w:lang w:val="en-US" w:eastAsia="zh-CN"/>
              </w:rPr>
              <w:t>Ш</w:t>
            </w:r>
            <w:r>
              <w:rPr>
                <w:rFonts w:hint="eastAsia" w:hAnsi="宋体" w:eastAsia="宋体" w:cs="宋体"/>
                <w:color w:val="auto"/>
                <w:sz w:val="24"/>
                <w:szCs w:val="24"/>
                <w:lang w:val="en-US" w:eastAsia="zh-CN"/>
              </w:rPr>
              <w:t>类水域标准；</w:t>
            </w:r>
            <w:r>
              <w:rPr>
                <w:rFonts w:hint="eastAsia" w:hAnsi="宋体" w:eastAsia="宋体" w:cs="宋体"/>
                <w:b/>
                <w:bCs/>
                <w:color w:val="auto"/>
                <w:sz w:val="24"/>
                <w:szCs w:val="24"/>
                <w:lang w:val="en-US" w:eastAsia="zh-CN"/>
              </w:rPr>
              <w:t>声环境</w:t>
            </w:r>
            <w:r>
              <w:rPr>
                <w:rFonts w:hint="eastAsia" w:hAnsi="宋体" w:eastAsia="宋体" w:cs="宋体"/>
                <w:color w:val="auto"/>
                <w:sz w:val="24"/>
                <w:szCs w:val="24"/>
                <w:lang w:val="en-US" w:eastAsia="zh-CN"/>
              </w:rPr>
              <w:t>满足</w:t>
            </w:r>
            <w:r>
              <w:rPr>
                <w:rFonts w:hint="eastAsia" w:ascii="Times New Roman" w:hAnsi="Times New Roman" w:eastAsia="宋体" w:cs="Times New Roman"/>
                <w:color w:val="auto"/>
                <w:sz w:val="24"/>
                <w:szCs w:val="24"/>
                <w:lang w:eastAsia="zh-CN"/>
              </w:rPr>
              <w:t>《声环境质量标准》(GB3096-2008)</w:t>
            </w:r>
            <w:r>
              <w:rPr>
                <w:rFonts w:hint="eastAsia" w:ascii="Times New Roman" w:hAnsi="Times New Roman" w:eastAsia="宋体" w:cs="Times New Roman"/>
                <w:color w:val="auto"/>
                <w:sz w:val="24"/>
                <w:szCs w:val="24"/>
                <w:lang w:val="en-US" w:eastAsia="zh-CN"/>
              </w:rPr>
              <w:t>中2类标准</w:t>
            </w:r>
            <w:r>
              <w:rPr>
                <w:rFonts w:hint="eastAsia" w:hAnsi="宋体" w:eastAsia="宋体" w:cs="宋体"/>
                <w:color w:val="auto"/>
                <w:sz w:val="24"/>
                <w:szCs w:val="24"/>
                <w:lang w:val="en-US" w:eastAsia="zh-CN"/>
              </w:rPr>
              <w:t>；</w:t>
            </w:r>
          </w:p>
        </w:tc>
        <w:tc>
          <w:tcPr>
            <w:tcW w:w="964" w:type="pct"/>
            <w:noWrap w:val="0"/>
            <w:vAlign w:val="center"/>
          </w:tcPr>
          <w:p>
            <w:pPr>
              <w:adjustRightInd w:val="0"/>
              <w:snapToGrid w:val="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w:t>
            </w:r>
          </w:p>
        </w:tc>
        <w:tc>
          <w:tcPr>
            <w:tcW w:w="645" w:type="pct"/>
            <w:noWrap w:val="0"/>
            <w:vAlign w:val="center"/>
          </w:tcPr>
          <w:p>
            <w:pPr>
              <w:adjustRightInd w:val="0"/>
              <w:snapToGrid w:val="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032" w:type="pct"/>
            <w:noWrap w:val="0"/>
            <w:vAlign w:val="center"/>
          </w:tcPr>
          <w:p>
            <w:pPr>
              <w:adjustRightInd w:val="0"/>
              <w:snapToGrid w:val="0"/>
              <w:jc w:val="center"/>
              <w:rPr>
                <w:rFonts w:ascii="宋体" w:hAnsi="宋体" w:cs="宋体"/>
                <w:sz w:val="24"/>
                <w:szCs w:val="24"/>
              </w:rPr>
            </w:pPr>
            <w:r>
              <w:rPr>
                <w:rFonts w:hint="eastAsia" w:ascii="宋体" w:hAnsi="宋体" w:cs="宋体"/>
                <w:sz w:val="24"/>
                <w:szCs w:val="24"/>
              </w:rPr>
              <w:t>其他</w:t>
            </w:r>
          </w:p>
        </w:tc>
        <w:tc>
          <w:tcPr>
            <w:tcW w:w="1481" w:type="pct"/>
            <w:noWrap w:val="0"/>
            <w:vAlign w:val="center"/>
          </w:tcPr>
          <w:p>
            <w:pPr>
              <w:adjustRightInd w:val="0"/>
              <w:snapToGrid w:val="0"/>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w:t>
            </w:r>
          </w:p>
        </w:tc>
        <w:tc>
          <w:tcPr>
            <w:tcW w:w="876" w:type="pct"/>
            <w:noWrap w:val="0"/>
            <w:vAlign w:val="center"/>
          </w:tcPr>
          <w:p>
            <w:pPr>
              <w:adjustRightInd w:val="0"/>
              <w:snapToGrid w:val="0"/>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w:t>
            </w:r>
          </w:p>
        </w:tc>
        <w:tc>
          <w:tcPr>
            <w:tcW w:w="964" w:type="pct"/>
            <w:noWrap w:val="0"/>
            <w:vAlign w:val="center"/>
          </w:tcPr>
          <w:p>
            <w:pPr>
              <w:adjustRightInd w:val="0"/>
              <w:snapToGrid w:val="0"/>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w:t>
            </w:r>
          </w:p>
        </w:tc>
        <w:tc>
          <w:tcPr>
            <w:tcW w:w="645" w:type="pct"/>
            <w:noWrap w:val="0"/>
            <w:vAlign w:val="center"/>
          </w:tcPr>
          <w:p>
            <w:pPr>
              <w:adjustRightInd w:val="0"/>
              <w:snapToGrid w:val="0"/>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w:t>
            </w:r>
          </w:p>
        </w:tc>
      </w:tr>
    </w:tbl>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黑体" w:hAnsi="黑体" w:eastAsia="黑体"/>
          <w:snapToGrid w:val="0"/>
          <w:sz w:val="30"/>
          <w:szCs w:val="30"/>
        </w:rPr>
      </w:pPr>
      <w:r>
        <w:rPr>
          <w:rFonts w:ascii="黑体" w:hAnsi="黑体" w:eastAsia="黑体"/>
          <w:snapToGrid w:val="0"/>
          <w:sz w:val="30"/>
          <w:szCs w:val="30"/>
        </w:rPr>
        <w:br w:type="page"/>
      </w:r>
      <w:bookmarkStart w:id="98" w:name="_Toc1626"/>
      <w:r>
        <w:rPr>
          <w:rFonts w:hint="eastAsia" w:ascii="黑体" w:hAnsi="黑体" w:eastAsia="黑体"/>
          <w:snapToGrid w:val="0"/>
          <w:sz w:val="30"/>
          <w:szCs w:val="30"/>
          <w:lang w:val="en-US" w:eastAsia="zh-CN"/>
        </w:rPr>
        <w:t>七、</w:t>
      </w:r>
      <w:r>
        <w:rPr>
          <w:rFonts w:hint="eastAsia" w:ascii="黑体" w:hAnsi="黑体" w:eastAsia="黑体"/>
          <w:snapToGrid w:val="0"/>
          <w:sz w:val="30"/>
          <w:szCs w:val="30"/>
        </w:rPr>
        <w:t>结论</w:t>
      </w:r>
      <w:bookmarkEnd w:id="98"/>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ind w:firstLine="480" w:firstLineChars="200"/>
              <w:rPr>
                <w:rFonts w:hint="eastAsia"/>
                <w:sz w:val="24"/>
                <w:szCs w:val="24"/>
              </w:rPr>
            </w:pPr>
            <w:r>
              <w:rPr>
                <w:rFonts w:hint="eastAsia"/>
                <w:sz w:val="24"/>
                <w:szCs w:val="24"/>
              </w:rPr>
              <w:t>本项目为</w:t>
            </w:r>
            <w:r>
              <w:rPr>
                <w:rFonts w:hint="eastAsia" w:cs="Times New Roman"/>
                <w:sz w:val="24"/>
                <w:szCs w:val="24"/>
                <w:lang w:eastAsia="zh-CN"/>
              </w:rPr>
              <w:t>广元市昭化区重点采煤沉陷区生态环境综合治理项目</w:t>
            </w:r>
            <w:r>
              <w:rPr>
                <w:rFonts w:hint="eastAsia"/>
                <w:sz w:val="24"/>
                <w:szCs w:val="24"/>
              </w:rPr>
              <w:t>，符合国家产业政策，工程选址选线避开了环境敏感区域，选址选线合理。采取的生态保护和恢复措施可行，污染治理措施经济技术可行；风险防范措施可靠。在施工期和营运期，只要认真落实本报告表提出的各项污染防治、生态恢复、水土保持措施，对环境的影响能降到最低，环境风险属可接受水平。因此，从环境保护角度而言，本工程建设是可行的。</w:t>
            </w:r>
          </w:p>
          <w:p>
            <w:pPr>
              <w:pStyle w:val="26"/>
              <w:numPr>
                <w:ilvl w:val="0"/>
                <w:numId w:val="0"/>
              </w:numPr>
              <w:spacing w:before="192" w:beforeLines="80" w:beforeAutospacing="0"/>
              <w:jc w:val="both"/>
              <w:outlineLvl w:val="0"/>
              <w:rPr>
                <w:rFonts w:hint="eastAsia" w:ascii="黑体" w:hAnsi="黑体" w:eastAsia="黑体"/>
                <w:snapToGrid w:val="0"/>
                <w:sz w:val="21"/>
                <w:szCs w:val="21"/>
                <w:vertAlign w:val="baseline"/>
              </w:rPr>
            </w:pPr>
          </w:p>
          <w:p>
            <w:pPr>
              <w:pStyle w:val="26"/>
              <w:numPr>
                <w:ilvl w:val="0"/>
                <w:numId w:val="0"/>
              </w:numPr>
              <w:spacing w:before="192" w:beforeLines="80" w:beforeAutospacing="0"/>
              <w:jc w:val="both"/>
              <w:outlineLvl w:val="0"/>
              <w:rPr>
                <w:rFonts w:hint="eastAsia" w:ascii="黑体" w:hAnsi="黑体" w:eastAsia="黑体"/>
                <w:snapToGrid w:val="0"/>
                <w:sz w:val="21"/>
                <w:szCs w:val="21"/>
                <w:vertAlign w:val="baseline"/>
              </w:rPr>
            </w:pPr>
          </w:p>
          <w:p>
            <w:pPr>
              <w:pStyle w:val="26"/>
              <w:numPr>
                <w:ilvl w:val="0"/>
                <w:numId w:val="0"/>
              </w:numPr>
              <w:spacing w:before="192" w:beforeLines="80" w:beforeAutospacing="0"/>
              <w:jc w:val="both"/>
              <w:outlineLvl w:val="0"/>
              <w:rPr>
                <w:rFonts w:hint="eastAsia" w:ascii="黑体" w:hAnsi="黑体" w:eastAsia="黑体"/>
                <w:snapToGrid w:val="0"/>
                <w:sz w:val="21"/>
                <w:szCs w:val="21"/>
                <w:vertAlign w:val="baseline"/>
              </w:rPr>
            </w:pPr>
          </w:p>
          <w:p>
            <w:pPr>
              <w:pStyle w:val="26"/>
              <w:numPr>
                <w:ilvl w:val="0"/>
                <w:numId w:val="0"/>
              </w:numPr>
              <w:spacing w:before="192" w:beforeLines="80" w:beforeAutospacing="0"/>
              <w:jc w:val="both"/>
              <w:outlineLvl w:val="0"/>
              <w:rPr>
                <w:rFonts w:hint="eastAsia" w:ascii="黑体" w:hAnsi="黑体" w:eastAsia="黑体"/>
                <w:snapToGrid w:val="0"/>
                <w:sz w:val="21"/>
                <w:szCs w:val="21"/>
                <w:vertAlign w:val="baseline"/>
              </w:rPr>
            </w:pPr>
          </w:p>
          <w:p>
            <w:pPr>
              <w:pStyle w:val="26"/>
              <w:numPr>
                <w:ilvl w:val="0"/>
                <w:numId w:val="0"/>
              </w:numPr>
              <w:spacing w:before="192" w:beforeLines="80" w:beforeAutospacing="0"/>
              <w:jc w:val="both"/>
              <w:outlineLvl w:val="0"/>
              <w:rPr>
                <w:rFonts w:hint="eastAsia" w:ascii="黑体" w:hAnsi="黑体" w:eastAsia="黑体"/>
                <w:snapToGrid w:val="0"/>
                <w:sz w:val="21"/>
                <w:szCs w:val="21"/>
                <w:vertAlign w:val="baseline"/>
              </w:rPr>
            </w:pPr>
          </w:p>
          <w:p>
            <w:pPr>
              <w:pStyle w:val="26"/>
              <w:numPr>
                <w:ilvl w:val="0"/>
                <w:numId w:val="0"/>
              </w:numPr>
              <w:spacing w:before="192" w:beforeLines="80" w:beforeAutospacing="0"/>
              <w:jc w:val="both"/>
              <w:outlineLvl w:val="0"/>
              <w:rPr>
                <w:rFonts w:hint="eastAsia" w:ascii="黑体" w:hAnsi="黑体" w:eastAsia="黑体"/>
                <w:snapToGrid w:val="0"/>
                <w:sz w:val="21"/>
                <w:szCs w:val="21"/>
                <w:vertAlign w:val="baseline"/>
              </w:rPr>
            </w:pPr>
          </w:p>
          <w:p>
            <w:pPr>
              <w:pStyle w:val="26"/>
              <w:numPr>
                <w:ilvl w:val="0"/>
                <w:numId w:val="0"/>
              </w:numPr>
              <w:spacing w:before="192" w:beforeLines="80" w:beforeAutospacing="0"/>
              <w:jc w:val="both"/>
              <w:outlineLvl w:val="0"/>
              <w:rPr>
                <w:rFonts w:hint="eastAsia" w:ascii="黑体" w:hAnsi="黑体" w:eastAsia="黑体"/>
                <w:snapToGrid w:val="0"/>
                <w:sz w:val="21"/>
                <w:szCs w:val="21"/>
                <w:vertAlign w:val="baseline"/>
              </w:rPr>
            </w:pPr>
          </w:p>
          <w:p>
            <w:pPr>
              <w:pStyle w:val="26"/>
              <w:numPr>
                <w:ilvl w:val="0"/>
                <w:numId w:val="0"/>
              </w:numPr>
              <w:spacing w:before="192" w:beforeLines="80" w:beforeAutospacing="0"/>
              <w:jc w:val="both"/>
              <w:outlineLvl w:val="0"/>
              <w:rPr>
                <w:rFonts w:hint="eastAsia" w:ascii="黑体" w:hAnsi="黑体" w:eastAsia="黑体"/>
                <w:snapToGrid w:val="0"/>
                <w:sz w:val="21"/>
                <w:szCs w:val="21"/>
                <w:vertAlign w:val="baseline"/>
              </w:rPr>
            </w:pPr>
          </w:p>
          <w:p>
            <w:pPr>
              <w:pStyle w:val="26"/>
              <w:numPr>
                <w:ilvl w:val="0"/>
                <w:numId w:val="0"/>
              </w:numPr>
              <w:spacing w:before="192" w:beforeLines="80" w:beforeAutospacing="0"/>
              <w:jc w:val="both"/>
              <w:outlineLvl w:val="0"/>
              <w:rPr>
                <w:rFonts w:hint="eastAsia" w:ascii="黑体" w:hAnsi="黑体" w:eastAsia="黑体"/>
                <w:snapToGrid w:val="0"/>
                <w:sz w:val="21"/>
                <w:szCs w:val="21"/>
                <w:vertAlign w:val="baseline"/>
              </w:rPr>
            </w:pPr>
          </w:p>
          <w:p>
            <w:pPr>
              <w:pStyle w:val="26"/>
              <w:numPr>
                <w:ilvl w:val="0"/>
                <w:numId w:val="0"/>
              </w:numPr>
              <w:spacing w:before="192" w:beforeLines="80" w:beforeAutospacing="0"/>
              <w:jc w:val="both"/>
              <w:outlineLvl w:val="0"/>
              <w:rPr>
                <w:rFonts w:hint="eastAsia" w:ascii="黑体" w:hAnsi="黑体" w:eastAsia="黑体"/>
                <w:snapToGrid w:val="0"/>
                <w:sz w:val="21"/>
                <w:szCs w:val="21"/>
                <w:vertAlign w:val="baseline"/>
              </w:rPr>
            </w:pPr>
          </w:p>
          <w:p>
            <w:pPr>
              <w:pStyle w:val="26"/>
              <w:numPr>
                <w:ilvl w:val="0"/>
                <w:numId w:val="0"/>
              </w:numPr>
              <w:spacing w:before="192" w:beforeLines="80" w:beforeAutospacing="0"/>
              <w:jc w:val="both"/>
              <w:outlineLvl w:val="0"/>
              <w:rPr>
                <w:rFonts w:hint="eastAsia" w:ascii="黑体" w:hAnsi="黑体" w:eastAsia="黑体"/>
                <w:snapToGrid w:val="0"/>
                <w:sz w:val="21"/>
                <w:szCs w:val="21"/>
                <w:vertAlign w:val="baseline"/>
              </w:rPr>
            </w:pPr>
          </w:p>
          <w:p>
            <w:pPr>
              <w:pStyle w:val="26"/>
              <w:numPr>
                <w:ilvl w:val="0"/>
                <w:numId w:val="0"/>
              </w:numPr>
              <w:spacing w:before="192" w:beforeLines="80" w:beforeAutospacing="0"/>
              <w:jc w:val="both"/>
              <w:outlineLvl w:val="0"/>
              <w:rPr>
                <w:rFonts w:hint="eastAsia" w:ascii="黑体" w:hAnsi="黑体" w:eastAsia="黑体"/>
                <w:snapToGrid w:val="0"/>
                <w:sz w:val="21"/>
                <w:szCs w:val="21"/>
                <w:vertAlign w:val="baseline"/>
              </w:rPr>
            </w:pPr>
          </w:p>
          <w:p>
            <w:pPr>
              <w:pStyle w:val="26"/>
              <w:numPr>
                <w:ilvl w:val="0"/>
                <w:numId w:val="0"/>
              </w:numPr>
              <w:spacing w:before="192" w:beforeLines="80" w:beforeAutospacing="0"/>
              <w:jc w:val="both"/>
              <w:outlineLvl w:val="0"/>
              <w:rPr>
                <w:rFonts w:hint="eastAsia" w:ascii="黑体" w:hAnsi="黑体" w:eastAsia="黑体"/>
                <w:snapToGrid w:val="0"/>
                <w:sz w:val="21"/>
                <w:szCs w:val="21"/>
                <w:vertAlign w:val="baseline"/>
              </w:rPr>
            </w:pPr>
          </w:p>
          <w:p>
            <w:pPr>
              <w:pStyle w:val="26"/>
              <w:numPr>
                <w:ilvl w:val="0"/>
                <w:numId w:val="0"/>
              </w:numPr>
              <w:spacing w:before="192" w:beforeLines="80" w:beforeAutospacing="0"/>
              <w:jc w:val="both"/>
              <w:outlineLvl w:val="0"/>
              <w:rPr>
                <w:rFonts w:hint="eastAsia" w:ascii="黑体" w:hAnsi="黑体" w:eastAsia="黑体"/>
                <w:snapToGrid w:val="0"/>
                <w:sz w:val="21"/>
                <w:szCs w:val="21"/>
                <w:vertAlign w:val="baseline"/>
              </w:rPr>
            </w:pPr>
          </w:p>
          <w:p>
            <w:pPr>
              <w:pStyle w:val="26"/>
              <w:numPr>
                <w:ilvl w:val="0"/>
                <w:numId w:val="0"/>
              </w:numPr>
              <w:spacing w:before="192" w:beforeLines="80" w:beforeAutospacing="0"/>
              <w:jc w:val="both"/>
              <w:outlineLvl w:val="0"/>
              <w:rPr>
                <w:rFonts w:hint="eastAsia" w:ascii="黑体" w:hAnsi="黑体" w:eastAsia="黑体"/>
                <w:snapToGrid w:val="0"/>
                <w:sz w:val="21"/>
                <w:szCs w:val="21"/>
                <w:vertAlign w:val="baseline"/>
              </w:rPr>
            </w:pPr>
          </w:p>
          <w:p>
            <w:pPr>
              <w:pStyle w:val="26"/>
              <w:numPr>
                <w:ilvl w:val="0"/>
                <w:numId w:val="0"/>
              </w:numPr>
              <w:spacing w:before="192" w:beforeLines="80" w:beforeAutospacing="0"/>
              <w:jc w:val="both"/>
              <w:outlineLvl w:val="0"/>
              <w:rPr>
                <w:rFonts w:hint="eastAsia" w:ascii="黑体" w:hAnsi="黑体" w:eastAsia="黑体"/>
                <w:snapToGrid w:val="0"/>
                <w:sz w:val="30"/>
                <w:szCs w:val="30"/>
                <w:vertAlign w:val="baseline"/>
              </w:rPr>
            </w:pPr>
          </w:p>
          <w:p>
            <w:pPr>
              <w:pStyle w:val="26"/>
              <w:numPr>
                <w:ilvl w:val="0"/>
                <w:numId w:val="0"/>
              </w:numPr>
              <w:spacing w:before="192" w:beforeLines="80" w:beforeAutospacing="0"/>
              <w:jc w:val="both"/>
              <w:outlineLvl w:val="0"/>
              <w:rPr>
                <w:rFonts w:hint="eastAsia" w:ascii="黑体" w:hAnsi="黑体" w:eastAsia="黑体"/>
                <w:snapToGrid w:val="0"/>
                <w:sz w:val="30"/>
                <w:szCs w:val="30"/>
                <w:vertAlign w:val="baseline"/>
              </w:rPr>
            </w:pPr>
          </w:p>
        </w:tc>
      </w:tr>
    </w:tbl>
    <w:p>
      <w:pPr>
        <w:widowControl/>
        <w:adjustRightInd w:val="0"/>
        <w:snapToGrid w:val="0"/>
        <w:spacing w:before="192" w:beforeLines="80"/>
        <w:jc w:val="left"/>
        <w:rPr>
          <w:rFonts w:ascii="宋体"/>
        </w:rPr>
      </w:pPr>
    </w:p>
    <w:sectPr>
      <w:pgSz w:w="11906" w:h="16838"/>
      <w:pgMar w:top="1440" w:right="1800" w:bottom="1440" w:left="1800" w:header="851" w:footer="1077" w:gutter="0"/>
      <w:pgBorders>
        <w:top w:val="none" w:sz="0" w:space="0"/>
        <w:left w:val="none" w:sz="0" w:space="0"/>
        <w:bottom w:val="none" w:sz="0" w:space="0"/>
        <w:right w:val="none" w:sz="0" w:space="0"/>
      </w:pgBorders>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Malgun Gothic">
    <w:panose1 w:val="020B0503020000020004"/>
    <w:charset w:val="81"/>
    <w:family w:val="swiss"/>
    <w:pitch w:val="default"/>
    <w:sig w:usb0="9000002F" w:usb1="29D77CFB" w:usb2="00000012" w:usb3="00000000" w:csb0="00080001"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auto"/>
    <w:pitch w:val="default"/>
    <w:sig w:usb0="00000000" w:usb1="00000000" w:usb2="00000000" w:usb3="00000000" w:csb0="80000000" w:csb1="00000000"/>
  </w:font>
  <w:font w:name="新宋体">
    <w:panose1 w:val="02010609030101010101"/>
    <w:charset w:val="86"/>
    <w:family w:val="auto"/>
    <w:pitch w:val="default"/>
    <w:sig w:usb0="000002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rPr>
        <w:rStyle w:val="34"/>
      </w:rPr>
    </w:pPr>
    <w:r>
      <w:fldChar w:fldCharType="begin"/>
    </w:r>
    <w:r>
      <w:rPr>
        <w:rStyle w:val="34"/>
      </w:rPr>
      <w:instrText xml:space="preserve">PAGE  </w:instrText>
    </w:r>
    <w:r>
      <w:fldChar w:fldCharType="end"/>
    </w:r>
  </w:p>
  <w:p>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22</w:t>
                          </w:r>
                          <w:r>
                            <w:rPr>
                              <w:rFonts w:hint="eastAsia"/>
                              <w:lang w:eastAsia="zh-CN"/>
                            </w:rP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DcaqskBAACaAwAADgAAAGRycy9lMm9Eb2MueG1srVPNjtMwEL4j8Q6W&#10;79TZI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evKXHc4sTPP3+cf/05//5O&#10;llmfPkCNabcBE9Pw3g+4NbMf0JlpDyra/EVCBOOo7umirhwSEfnRarlaVRgSGJsviM/un4cI6YP0&#10;lmSjoRHHV1Tlx0+QxtQ5JVdz/kYbU0Zo3H8OxMwelnsfe8xWGnbDRGjn2xPy6XHyDXW46JSYjw6F&#10;zUsyG3E2drNxCFHvu7JFuR6Ed4eETZTecoURdiqMIyvspvXKO/HvvWTd/1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ANxqqyQEAAJoDAAAOAAAAAAAAAAEAIAAAAB4BAABkcnMvZTJvRG9j&#10;LnhtbFBLBQYAAAAABgAGAFkBAABZBQAAAAA=&#10;">
              <v:fill on="f" focussize="0,0"/>
              <v:stroke on="f"/>
              <v:imagedata o:title=""/>
              <o:lock v:ext="edit" aspectratio="f"/>
              <v:textbox inset="0mm,0mm,0mm,0mm" style="mso-fit-shape-to-text:t;">
                <w:txbxContent>
                  <w:p>
                    <w:pPr>
                      <w:pStyle w:val="2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22</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CEEF2B"/>
    <w:multiLevelType w:val="singleLevel"/>
    <w:tmpl w:val="86CEEF2B"/>
    <w:lvl w:ilvl="0" w:tentative="0">
      <w:start w:val="2"/>
      <w:numFmt w:val="chineseCounting"/>
      <w:suff w:val="nothing"/>
      <w:lvlText w:val="（%1）"/>
      <w:lvlJc w:val="left"/>
      <w:rPr>
        <w:rFonts w:hint="eastAsia"/>
      </w:rPr>
    </w:lvl>
  </w:abstractNum>
  <w:abstractNum w:abstractNumId="1">
    <w:nsid w:val="15147DF8"/>
    <w:multiLevelType w:val="singleLevel"/>
    <w:tmpl w:val="15147DF8"/>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2">
    <w:nsid w:val="2E675E67"/>
    <w:multiLevelType w:val="multilevel"/>
    <w:tmpl w:val="2E675E67"/>
    <w:lvl w:ilvl="0" w:tentative="0">
      <w:start w:val="1"/>
      <w:numFmt w:val="decimal"/>
      <w:lvlText w:val="%1."/>
      <w:lvlJc w:val="left"/>
      <w:pPr>
        <w:tabs>
          <w:tab w:val="left" w:pos="0"/>
        </w:tabs>
        <w:ind w:left="0" w:firstLine="0"/>
      </w:pPr>
      <w:rPr>
        <w:rFonts w:hint="eastAsia" w:ascii="宋体" w:eastAsia="宋体"/>
        <w:b/>
        <w:i w:val="0"/>
        <w:sz w:val="30"/>
      </w:rPr>
    </w:lvl>
    <w:lvl w:ilvl="1" w:tentative="0">
      <w:start w:val="1"/>
      <w:numFmt w:val="decimal"/>
      <w:pStyle w:val="63"/>
      <w:lvlText w:val="%1.%2."/>
      <w:lvlJc w:val="left"/>
      <w:pPr>
        <w:tabs>
          <w:tab w:val="left" w:pos="0"/>
        </w:tabs>
        <w:ind w:left="0" w:firstLine="0"/>
      </w:pPr>
      <w:rPr>
        <w:rFonts w:hint="default" w:ascii="Times New Roman" w:hAnsi="Times New Roman"/>
        <w:b w:val="0"/>
        <w:i w:val="0"/>
        <w:sz w:val="28"/>
      </w:rPr>
    </w:lvl>
    <w:lvl w:ilvl="2" w:tentative="0">
      <w:start w:val="1"/>
      <w:numFmt w:val="decimal"/>
      <w:lvlText w:val="%1.%2.%3."/>
      <w:lvlJc w:val="left"/>
      <w:pPr>
        <w:tabs>
          <w:tab w:val="left" w:pos="0"/>
        </w:tabs>
        <w:ind w:left="0" w:firstLine="0"/>
      </w:pPr>
      <w:rPr>
        <w:rFonts w:hint="default" w:ascii="Times New Roman" w:hAnsi="Times New Roman"/>
        <w:b w:val="0"/>
        <w:i w:val="0"/>
        <w:sz w:val="28"/>
      </w:rPr>
    </w:lvl>
    <w:lvl w:ilvl="3" w:tentative="0">
      <w:start w:val="1"/>
      <w:numFmt w:val="decimal"/>
      <w:lvlText w:val="%1.%2.%3.%4."/>
      <w:lvlJc w:val="left"/>
      <w:pPr>
        <w:tabs>
          <w:tab w:val="left" w:pos="0"/>
        </w:tabs>
        <w:ind w:left="0" w:firstLine="0"/>
      </w:pPr>
      <w:rPr>
        <w:rFonts w:hint="default" w:ascii="Times New Roman" w:hAnsi="Times New Roman"/>
        <w:b w:val="0"/>
        <w:i w:val="0"/>
        <w:sz w:val="28"/>
      </w:rPr>
    </w:lvl>
    <w:lvl w:ilvl="4" w:tentative="0">
      <w:start w:val="1"/>
      <w:numFmt w:val="decimal"/>
      <w:lvlText w:val="%1.%2.%3.%4.%5."/>
      <w:lvlJc w:val="left"/>
      <w:pPr>
        <w:tabs>
          <w:tab w:val="left" w:pos="0"/>
        </w:tabs>
        <w:ind w:left="0" w:firstLine="0"/>
      </w:pPr>
      <w:rPr>
        <w:rFonts w:hint="default" w:ascii="Times New Roman" w:hAnsi="Times New Roman"/>
        <w:b w:val="0"/>
        <w:i w:val="0"/>
        <w:sz w:val="24"/>
      </w:rPr>
    </w:lvl>
    <w:lvl w:ilvl="5" w:tentative="0">
      <w:start w:val="1"/>
      <w:numFmt w:val="decimal"/>
      <w:lvlText w:val="%1.%2.%3.%4.%5..%6"/>
      <w:lvlJc w:val="left"/>
      <w:pPr>
        <w:tabs>
          <w:tab w:val="left" w:pos="0"/>
        </w:tabs>
        <w:ind w:left="0" w:firstLine="0"/>
      </w:pPr>
      <w:rPr>
        <w:rFonts w:hint="eastAsia"/>
      </w:rPr>
    </w:lvl>
    <w:lvl w:ilvl="6" w:tentative="0">
      <w:start w:val="1"/>
      <w:numFmt w:val="decimal"/>
      <w:lvlText w:val="%1.%2.%3.%4.%5..%6.%7"/>
      <w:lvlJc w:val="left"/>
      <w:pPr>
        <w:tabs>
          <w:tab w:val="left" w:pos="0"/>
        </w:tabs>
        <w:ind w:left="0" w:firstLine="0"/>
      </w:pPr>
      <w:rPr>
        <w:rFonts w:hint="eastAsia"/>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abstractNum w:abstractNumId="3">
    <w:nsid w:val="3A452FBC"/>
    <w:multiLevelType w:val="multilevel"/>
    <w:tmpl w:val="3A452FBC"/>
    <w:lvl w:ilvl="0" w:tentative="0">
      <w:start w:val="1"/>
      <w:numFmt w:val="decimal"/>
      <w:lvlText w:val="%1"/>
      <w:lvlJc w:val="center"/>
      <w:pPr>
        <w:tabs>
          <w:tab w:val="left" w:pos="993"/>
        </w:tabs>
        <w:ind w:left="993" w:firstLine="0"/>
      </w:pPr>
      <w:rPr>
        <w:rFonts w:hint="eastAsia"/>
      </w:rPr>
    </w:lvl>
    <w:lvl w:ilvl="1" w:tentative="0">
      <w:start w:val="1"/>
      <w:numFmt w:val="decimal"/>
      <w:lvlText w:val="%1.%2"/>
      <w:lvlJc w:val="left"/>
      <w:pPr>
        <w:tabs>
          <w:tab w:val="left" w:pos="765"/>
        </w:tabs>
        <w:ind w:left="0" w:firstLine="0"/>
      </w:pPr>
      <w:rPr>
        <w:rFonts w:hint="default" w:ascii="Times New Roman" w:hAnsi="Times New Roman" w:eastAsia="黑体"/>
        <w:b w:val="0"/>
        <w:i w:val="0"/>
        <w:sz w:val="30"/>
      </w:rPr>
    </w:lvl>
    <w:lvl w:ilvl="2" w:tentative="0">
      <w:start w:val="1"/>
      <w:numFmt w:val="decimal"/>
      <w:lvlText w:val="%1.%2.%3"/>
      <w:lvlJc w:val="left"/>
      <w:pPr>
        <w:tabs>
          <w:tab w:val="left" w:pos="0"/>
        </w:tabs>
        <w:ind w:left="0" w:firstLine="0"/>
      </w:pPr>
      <w:rPr>
        <w:rFonts w:hint="default" w:ascii="Times New Roman" w:hAnsi="Times New Roman" w:eastAsia="黑体"/>
        <w:b w:val="0"/>
        <w:i w:val="0"/>
        <w:color w:val="auto"/>
        <w:sz w:val="28"/>
        <w:u w:val="none"/>
      </w:rPr>
    </w:lvl>
    <w:lvl w:ilvl="3" w:tentative="0">
      <w:start w:val="1"/>
      <w:numFmt w:val="decimal"/>
      <w:pStyle w:val="137"/>
      <w:lvlText w:val="%1.%2.%3.%4"/>
      <w:lvlJc w:val="left"/>
      <w:pPr>
        <w:tabs>
          <w:tab w:val="left" w:pos="0"/>
        </w:tabs>
        <w:ind w:left="0" w:firstLine="0"/>
      </w:pPr>
      <w:rPr>
        <w:rFonts w:hint="eastAsia"/>
      </w:rPr>
    </w:lvl>
    <w:lvl w:ilvl="4" w:tentative="0">
      <w:start w:val="1"/>
      <w:numFmt w:val="decimal"/>
      <w:lvlText w:val="%1.%2.%3.%4.%5"/>
      <w:lvlJc w:val="left"/>
      <w:pPr>
        <w:tabs>
          <w:tab w:val="left" w:pos="2356"/>
        </w:tabs>
        <w:ind w:left="2126" w:hanging="850"/>
      </w:pPr>
      <w:rPr>
        <w:rFonts w:hint="eastAsia"/>
      </w:rPr>
    </w:lvl>
    <w:lvl w:ilvl="5" w:tentative="0">
      <w:start w:val="1"/>
      <w:numFmt w:val="decimal"/>
      <w:lvlText w:val="%1.%2.%3.%4.%5.%6"/>
      <w:lvlJc w:val="left"/>
      <w:pPr>
        <w:tabs>
          <w:tab w:val="left" w:pos="3141"/>
        </w:tabs>
        <w:ind w:left="2835" w:hanging="1134"/>
      </w:pPr>
      <w:rPr>
        <w:rFonts w:hint="eastAsia"/>
      </w:rPr>
    </w:lvl>
    <w:lvl w:ilvl="6" w:tentative="0">
      <w:start w:val="1"/>
      <w:numFmt w:val="decimal"/>
      <w:lvlText w:val="%1.%2.%3.%4.%5.%6.%7"/>
      <w:lvlJc w:val="left"/>
      <w:pPr>
        <w:tabs>
          <w:tab w:val="left" w:pos="3566"/>
        </w:tabs>
        <w:ind w:left="3402" w:hanging="1276"/>
      </w:pPr>
      <w:rPr>
        <w:rFonts w:hint="eastAsia"/>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5137"/>
        </w:tabs>
        <w:ind w:left="4677" w:hanging="1700"/>
      </w:pPr>
      <w:rPr>
        <w:rFonts w:hint="eastAsia"/>
      </w:rPr>
    </w:lvl>
  </w:abstractNum>
  <w:abstractNum w:abstractNumId="4">
    <w:nsid w:val="3B6556AF"/>
    <w:multiLevelType w:val="multilevel"/>
    <w:tmpl w:val="3B6556AF"/>
    <w:lvl w:ilvl="0" w:tentative="0">
      <w:start w:val="1"/>
      <w:numFmt w:val="decimal"/>
      <w:suff w:val="nothing"/>
      <w:lvlText w:val="表%1  "/>
      <w:lvlJc w:val="left"/>
      <w:pPr>
        <w:ind w:left="0" w:firstLine="0"/>
      </w:pPr>
      <w:rPr>
        <w:rFonts w:hint="default" w:ascii="Times New Roman" w:hAnsi="Times New Roman"/>
      </w:rPr>
    </w:lvl>
    <w:lvl w:ilvl="1" w:tentative="0">
      <w:start w:val="1"/>
      <w:numFmt w:val="decimal"/>
      <w:suff w:val="space"/>
      <w:lvlText w:val="%2."/>
      <w:lvlJc w:val="left"/>
      <w:pPr>
        <w:ind w:left="0" w:firstLine="0"/>
      </w:pPr>
      <w:rPr>
        <w:rFonts w:hint="default" w:ascii="Times New Roman" w:hAnsi="Times New Roman"/>
      </w:rPr>
    </w:lvl>
    <w:lvl w:ilvl="2" w:tentative="0">
      <w:start w:val="1"/>
      <w:numFmt w:val="decimal"/>
      <w:suff w:val="space"/>
      <w:lvlText w:val="%2.%3"/>
      <w:lvlJc w:val="left"/>
      <w:pPr>
        <w:ind w:left="0" w:firstLine="0"/>
      </w:pPr>
      <w:rPr>
        <w:rFonts w:hint="default" w:ascii="Times New Roman" w:hAnsi="Times New Roman" w:eastAsia="宋体"/>
      </w:rPr>
    </w:lvl>
    <w:lvl w:ilvl="3" w:tentative="0">
      <w:start w:val="1"/>
      <w:numFmt w:val="decimal"/>
      <w:suff w:val="space"/>
      <w:lvlText w:val="%2.%3.%4"/>
      <w:lvlJc w:val="left"/>
      <w:pPr>
        <w:ind w:left="0" w:firstLine="0"/>
      </w:pPr>
      <w:rPr>
        <w:rFonts w:hint="default" w:ascii="Times New Roman" w:hAnsi="Times New Roman"/>
      </w:rPr>
    </w:lvl>
    <w:lvl w:ilvl="4" w:tentative="0">
      <w:start w:val="1"/>
      <w:numFmt w:val="decimal"/>
      <w:lvlText w:val="%1.%2.%3.%4.%5"/>
      <w:lvlJc w:val="left"/>
      <w:pPr>
        <w:tabs>
          <w:tab w:val="left" w:pos="1644"/>
        </w:tabs>
        <w:ind w:left="0" w:firstLine="0"/>
      </w:pPr>
      <w:rPr>
        <w:rFonts w:hint="eastAsia"/>
      </w:rPr>
    </w:lvl>
    <w:lvl w:ilvl="5" w:tentative="0">
      <w:start w:val="1"/>
      <w:numFmt w:val="decimal"/>
      <w:lvlRestart w:val="2"/>
      <w:pStyle w:val="78"/>
      <w:suff w:val="space"/>
      <w:lvlText w:val="表 %1.%2-%6"/>
      <w:lvlJc w:val="left"/>
      <w:pPr>
        <w:ind w:left="0" w:firstLine="0"/>
      </w:pPr>
      <w:rPr>
        <w:rFonts w:hint="default" w:ascii="Times New Roman" w:hAnsi="Times New Roman"/>
      </w:rPr>
    </w:lvl>
    <w:lvl w:ilvl="6" w:tentative="0">
      <w:start w:val="1"/>
      <w:numFmt w:val="decimal"/>
      <w:lvlRestart w:val="2"/>
      <w:suff w:val="space"/>
      <w:lvlText w:val="图 %1.%2-%7"/>
      <w:lvlJc w:val="left"/>
      <w:pPr>
        <w:ind w:left="0" w:firstLine="0"/>
      </w:pPr>
      <w:rPr>
        <w:rFonts w:hint="default" w:ascii="Times New Roman" w:hAnsi="Times New Roman" w:eastAsia="宋体"/>
        <w:b/>
        <w:i w:val="0"/>
        <w:sz w:val="21"/>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491F601F"/>
    <w:multiLevelType w:val="multilevel"/>
    <w:tmpl w:val="491F601F"/>
    <w:lvl w:ilvl="0" w:tentative="0">
      <w:start w:val="1"/>
      <w:numFmt w:val="decimal"/>
      <w:lvlText w:val="图1-%1"/>
      <w:lvlJc w:val="left"/>
      <w:pPr>
        <w:ind w:left="420" w:hanging="420"/>
      </w:pPr>
      <w:rPr>
        <w:rFonts w:hint="eastAsia"/>
        <w:b/>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5137B7E"/>
    <w:multiLevelType w:val="multilevel"/>
    <w:tmpl w:val="55137B7E"/>
    <w:lvl w:ilvl="0" w:tentative="0">
      <w:start w:val="1"/>
      <w:numFmt w:val="decimal"/>
      <w:suff w:val="space"/>
      <w:lvlText w:val="%1"/>
      <w:lvlJc w:val="left"/>
      <w:pPr>
        <w:ind w:left="0" w:firstLine="0"/>
      </w:pPr>
      <w:rPr>
        <w:rFonts w:hint="default" w:ascii="Arial" w:hAnsi="Arial" w:eastAsia="黑体"/>
        <w:b w:val="0"/>
        <w:i w:val="0"/>
        <w:sz w:val="36"/>
        <w:szCs w:val="32"/>
      </w:rPr>
    </w:lvl>
    <w:lvl w:ilvl="1" w:tentative="0">
      <w:start w:val="1"/>
      <w:numFmt w:val="decimal"/>
      <w:suff w:val="space"/>
      <w:lvlText w:val="%1.%2"/>
      <w:lvlJc w:val="left"/>
      <w:pPr>
        <w:ind w:left="0" w:firstLine="0"/>
      </w:pPr>
      <w:rPr>
        <w:rFonts w:hint="default" w:ascii="Arial" w:hAnsi="Arial" w:eastAsia="黑体"/>
        <w:b w:val="0"/>
        <w:i w:val="0"/>
        <w:color w:val="auto"/>
        <w:sz w:val="32"/>
        <w:szCs w:val="28"/>
        <w:u w:val="none"/>
      </w:rPr>
    </w:lvl>
    <w:lvl w:ilvl="2" w:tentative="0">
      <w:start w:val="1"/>
      <w:numFmt w:val="decimal"/>
      <w:suff w:val="space"/>
      <w:lvlText w:val="%1.%2.%3"/>
      <w:lvlJc w:val="left"/>
      <w:pPr>
        <w:ind w:left="0" w:firstLine="0"/>
      </w:pPr>
      <w:rPr>
        <w:rFonts w:hint="default" w:ascii="Arial" w:hAnsi="Arial" w:eastAsia="方正小标宋_GBK"/>
        <w:b w:val="0"/>
        <w:i w:val="0"/>
        <w:sz w:val="28"/>
        <w:szCs w:val="24"/>
      </w:rPr>
    </w:lvl>
    <w:lvl w:ilvl="3" w:tentative="0">
      <w:start w:val="1"/>
      <w:numFmt w:val="decimal"/>
      <w:suff w:val="space"/>
      <w:lvlText w:val="%1.%2.%3.%4"/>
      <w:lvlJc w:val="left"/>
      <w:pPr>
        <w:ind w:left="0" w:firstLine="0"/>
      </w:pPr>
      <w:rPr>
        <w:rFonts w:hint="default" w:ascii="Arial" w:hAnsi="Arial" w:eastAsia="宋体"/>
        <w:b w:val="0"/>
        <w:i w:val="0"/>
        <w:sz w:val="28"/>
      </w:rPr>
    </w:lvl>
    <w:lvl w:ilvl="4" w:tentative="0">
      <w:start w:val="1"/>
      <w:numFmt w:val="decimal"/>
      <w:suff w:val="nothing"/>
      <w:lvlText w:val="%5）"/>
      <w:lvlJc w:val="left"/>
      <w:pPr>
        <w:ind w:left="0" w:firstLine="0"/>
      </w:pPr>
      <w:rPr>
        <w:rFonts w:hint="default" w:ascii="Arial" w:hAnsi="Arial" w:eastAsia="楷体_GB2312"/>
        <w:b w:val="0"/>
        <w:i w:val="0"/>
        <w:sz w:val="28"/>
      </w:rPr>
    </w:lvl>
    <w:lvl w:ilvl="5" w:tentative="0">
      <w:start w:val="1"/>
      <w:numFmt w:val="decimal"/>
      <w:suff w:val="nothing"/>
      <w:lvlText w:val="（%6）"/>
      <w:lvlJc w:val="left"/>
      <w:pPr>
        <w:ind w:left="0" w:firstLine="0"/>
      </w:pPr>
      <w:rPr>
        <w:rFonts w:hint="default" w:ascii="Arial" w:hAnsi="Arial" w:eastAsia="仿宋_GB2312"/>
        <w:b w:val="0"/>
        <w:i w:val="0"/>
        <w:sz w:val="28"/>
      </w:rPr>
    </w:lvl>
    <w:lvl w:ilvl="6" w:tentative="0">
      <w:start w:val="1"/>
      <w:numFmt w:val="upperLetter"/>
      <w:suff w:val="nothing"/>
      <w:lvlText w:val="%7）"/>
      <w:lvlJc w:val="left"/>
      <w:pPr>
        <w:ind w:left="0" w:firstLine="0"/>
      </w:pPr>
      <w:rPr>
        <w:rFonts w:hint="default"/>
      </w:rPr>
    </w:lvl>
    <w:lvl w:ilvl="7" w:tentative="0">
      <w:start w:val="1"/>
      <w:numFmt w:val="decimal"/>
      <w:lvlRestart w:val="2"/>
      <w:pStyle w:val="122"/>
      <w:suff w:val="nothing"/>
      <w:lvlText w:val="图 %1.%2-%8 "/>
      <w:lvlJc w:val="left"/>
      <w:pPr>
        <w:ind w:left="0" w:firstLine="0"/>
      </w:pPr>
      <w:rPr>
        <w:rFonts w:hint="eastAsia" w:ascii="黑体" w:eastAsia="黑体"/>
        <w:b w:val="0"/>
        <w:i w:val="0"/>
        <w:vanish w:val="0"/>
        <w:sz w:val="24"/>
      </w:rPr>
    </w:lvl>
    <w:lvl w:ilvl="8" w:tentative="0">
      <w:start w:val="1"/>
      <w:numFmt w:val="decimal"/>
      <w:lvlRestart w:val="2"/>
      <w:pStyle w:val="114"/>
      <w:suff w:val="nothing"/>
      <w:lvlText w:val="表 %1.%2-%9 "/>
      <w:lvlJc w:val="left"/>
      <w:pPr>
        <w:ind w:left="4254" w:firstLine="0"/>
      </w:pPr>
      <w:rPr>
        <w:rFonts w:hint="eastAsia" w:ascii="黑体" w:hAnsi="黑体" w:eastAsia="黑体"/>
        <w:b w:val="0"/>
        <w:i w:val="0"/>
        <w:color w:val="auto"/>
        <w:sz w:val="24"/>
      </w:rPr>
    </w:lvl>
  </w:abstractNum>
  <w:abstractNum w:abstractNumId="7">
    <w:nsid w:val="7F744624"/>
    <w:multiLevelType w:val="multilevel"/>
    <w:tmpl w:val="7F744624"/>
    <w:lvl w:ilvl="0" w:tentative="0">
      <w:start w:val="1"/>
      <w:numFmt w:val="decimal"/>
      <w:lvlText w:val="%1"/>
      <w:lvlJc w:val="left"/>
      <w:pPr>
        <w:tabs>
          <w:tab w:val="left" w:pos="574"/>
        </w:tabs>
        <w:ind w:left="574" w:hanging="432"/>
      </w:pPr>
      <w:rPr>
        <w:rFonts w:hint="default" w:ascii="Times New Roman" w:hAnsi="Times New Roman" w:cs="Times New Roman"/>
      </w:rPr>
    </w:lvl>
    <w:lvl w:ilvl="1" w:tentative="0">
      <w:start w:val="1"/>
      <w:numFmt w:val="decimal"/>
      <w:lvlText w:val="%1.%2"/>
      <w:lvlJc w:val="left"/>
      <w:pPr>
        <w:tabs>
          <w:tab w:val="left" w:pos="3412"/>
        </w:tabs>
        <w:ind w:left="3412" w:hanging="576"/>
      </w:pPr>
      <w:rPr>
        <w:rFonts w:hint="default" w:ascii="Times New Roman" w:hAnsi="Times New Roman" w:cs="Times New Roman"/>
      </w:rPr>
    </w:lvl>
    <w:lvl w:ilvl="2" w:tentative="0">
      <w:start w:val="1"/>
      <w:numFmt w:val="decimal"/>
      <w:lvlText w:val="%1.%2.%3"/>
      <w:lvlJc w:val="left"/>
      <w:pPr>
        <w:tabs>
          <w:tab w:val="left" w:pos="1571"/>
        </w:tabs>
        <w:ind w:left="1571" w:hanging="720"/>
      </w:pPr>
      <w:rPr>
        <w:rFonts w:hint="default" w:ascii="Times New Roman" w:hAnsi="Times New Roman" w:cs="Times New Roman"/>
        <w:sz w:val="28"/>
      </w:rPr>
    </w:lvl>
    <w:lvl w:ilvl="3" w:tentative="0">
      <w:start w:val="1"/>
      <w:numFmt w:val="decimal"/>
      <w:pStyle w:val="6"/>
      <w:lvlText w:val="%1.%2.%3.%4"/>
      <w:lvlJc w:val="left"/>
      <w:pPr>
        <w:tabs>
          <w:tab w:val="left" w:pos="7386"/>
        </w:tabs>
        <w:ind w:left="7386" w:hanging="864"/>
      </w:pPr>
      <w:rPr>
        <w:rFonts w:hint="eastAsia"/>
      </w:rPr>
    </w:lvl>
    <w:lvl w:ilvl="4" w:tentative="0">
      <w:start w:val="1"/>
      <w:numFmt w:val="decimal"/>
      <w:lvlText w:val="%1.%2.%3.1.%5"/>
      <w:lvlJc w:val="left"/>
      <w:pPr>
        <w:tabs>
          <w:tab w:val="left" w:pos="1150"/>
        </w:tabs>
        <w:ind w:left="1150" w:hanging="1008"/>
      </w:pPr>
      <w:rPr>
        <w:rFonts w:hint="eastAsia"/>
      </w:rPr>
    </w:lvl>
    <w:lvl w:ilvl="5" w:tentative="0">
      <w:start w:val="1"/>
      <w:numFmt w:val="decimal"/>
      <w:lvlText w:val="%1.%2.%3.%4.%5.%6"/>
      <w:lvlJc w:val="left"/>
      <w:pPr>
        <w:tabs>
          <w:tab w:val="left" w:pos="1294"/>
        </w:tabs>
        <w:ind w:left="1294" w:hanging="1152"/>
      </w:pPr>
      <w:rPr>
        <w:rFonts w:hint="eastAsia"/>
      </w:rPr>
    </w:lvl>
    <w:lvl w:ilvl="6" w:tentative="0">
      <w:start w:val="1"/>
      <w:numFmt w:val="decimal"/>
      <w:lvlText w:val="%1.%2.%3.%4.%5.%6.%7"/>
      <w:lvlJc w:val="left"/>
      <w:pPr>
        <w:tabs>
          <w:tab w:val="left" w:pos="1438"/>
        </w:tabs>
        <w:ind w:left="1438" w:hanging="1296"/>
      </w:pPr>
      <w:rPr>
        <w:rFonts w:hint="eastAsia"/>
      </w:rPr>
    </w:lvl>
    <w:lvl w:ilvl="7" w:tentative="0">
      <w:start w:val="1"/>
      <w:numFmt w:val="decimal"/>
      <w:lvlText w:val="%1.%2.%3.%4.%5.%6.%7.%8"/>
      <w:lvlJc w:val="left"/>
      <w:pPr>
        <w:tabs>
          <w:tab w:val="left" w:pos="1582"/>
        </w:tabs>
        <w:ind w:left="1582" w:hanging="1440"/>
      </w:pPr>
      <w:rPr>
        <w:rFonts w:hint="eastAsia"/>
      </w:rPr>
    </w:lvl>
    <w:lvl w:ilvl="8" w:tentative="0">
      <w:start w:val="1"/>
      <w:numFmt w:val="decimal"/>
      <w:lvlText w:val="%1.%2.%3.%4.%5.%6.%7.%8.%9"/>
      <w:lvlJc w:val="left"/>
      <w:pPr>
        <w:tabs>
          <w:tab w:val="left" w:pos="1726"/>
        </w:tabs>
        <w:ind w:left="1726" w:hanging="1584"/>
      </w:pPr>
      <w:rPr>
        <w:rFonts w:hint="eastAsia"/>
      </w:rPr>
    </w:lvl>
  </w:abstractNum>
  <w:num w:numId="1">
    <w:abstractNumId w:val="7"/>
  </w:num>
  <w:num w:numId="2">
    <w:abstractNumId w:val="1"/>
  </w:num>
  <w:num w:numId="3">
    <w:abstractNumId w:val="2"/>
  </w:num>
  <w:num w:numId="4">
    <w:abstractNumId w:val="4"/>
  </w:num>
  <w:num w:numId="5">
    <w:abstractNumId w:val="6"/>
  </w:num>
  <w:num w:numId="6">
    <w:abstractNumId w:val="3"/>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hkMWU4Y2ZlMWRiODQ1NWM1YWZhMWQ3MGVjNmUwMzEifQ=="/>
  </w:docVars>
  <w:rsids>
    <w:rsidRoot w:val="00172A27"/>
    <w:rsid w:val="000004CB"/>
    <w:rsid w:val="00001CED"/>
    <w:rsid w:val="00001E67"/>
    <w:rsid w:val="00003CD8"/>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27A68"/>
    <w:rsid w:val="00140B13"/>
    <w:rsid w:val="00141B68"/>
    <w:rsid w:val="001466DA"/>
    <w:rsid w:val="00154DE1"/>
    <w:rsid w:val="00155B40"/>
    <w:rsid w:val="00157435"/>
    <w:rsid w:val="00163EEA"/>
    <w:rsid w:val="00167A07"/>
    <w:rsid w:val="00170158"/>
    <w:rsid w:val="0017046A"/>
    <w:rsid w:val="001704A3"/>
    <w:rsid w:val="0017504D"/>
    <w:rsid w:val="00177422"/>
    <w:rsid w:val="00184F10"/>
    <w:rsid w:val="00185546"/>
    <w:rsid w:val="0019146B"/>
    <w:rsid w:val="00194398"/>
    <w:rsid w:val="00194C24"/>
    <w:rsid w:val="001A7D2A"/>
    <w:rsid w:val="001B574C"/>
    <w:rsid w:val="001C0AF9"/>
    <w:rsid w:val="001C155A"/>
    <w:rsid w:val="001C48C0"/>
    <w:rsid w:val="001D28DD"/>
    <w:rsid w:val="001D6726"/>
    <w:rsid w:val="001F3347"/>
    <w:rsid w:val="001F4440"/>
    <w:rsid w:val="001F69E4"/>
    <w:rsid w:val="00206A65"/>
    <w:rsid w:val="00212D31"/>
    <w:rsid w:val="002130C7"/>
    <w:rsid w:val="002218A8"/>
    <w:rsid w:val="002225D2"/>
    <w:rsid w:val="0022306D"/>
    <w:rsid w:val="00226574"/>
    <w:rsid w:val="002278EC"/>
    <w:rsid w:val="002357C7"/>
    <w:rsid w:val="002367C4"/>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B00"/>
    <w:rsid w:val="002B7C44"/>
    <w:rsid w:val="002C1388"/>
    <w:rsid w:val="002C3C6A"/>
    <w:rsid w:val="002C6917"/>
    <w:rsid w:val="002D42DB"/>
    <w:rsid w:val="002E1F3A"/>
    <w:rsid w:val="002E298A"/>
    <w:rsid w:val="002F02A4"/>
    <w:rsid w:val="002F272B"/>
    <w:rsid w:val="002F7C6D"/>
    <w:rsid w:val="003027E4"/>
    <w:rsid w:val="0030332C"/>
    <w:rsid w:val="00312296"/>
    <w:rsid w:val="0031340E"/>
    <w:rsid w:val="00316464"/>
    <w:rsid w:val="0032073A"/>
    <w:rsid w:val="00321D8E"/>
    <w:rsid w:val="00322F71"/>
    <w:rsid w:val="00334996"/>
    <w:rsid w:val="00336969"/>
    <w:rsid w:val="00336C52"/>
    <w:rsid w:val="00341B3E"/>
    <w:rsid w:val="00341B42"/>
    <w:rsid w:val="00345154"/>
    <w:rsid w:val="0034560E"/>
    <w:rsid w:val="00350523"/>
    <w:rsid w:val="00352975"/>
    <w:rsid w:val="00356868"/>
    <w:rsid w:val="00356C8D"/>
    <w:rsid w:val="0036485B"/>
    <w:rsid w:val="00373B0D"/>
    <w:rsid w:val="00376988"/>
    <w:rsid w:val="00381A72"/>
    <w:rsid w:val="003A1948"/>
    <w:rsid w:val="003B152A"/>
    <w:rsid w:val="003B545B"/>
    <w:rsid w:val="003D3EE9"/>
    <w:rsid w:val="003E7681"/>
    <w:rsid w:val="003F0809"/>
    <w:rsid w:val="003F3000"/>
    <w:rsid w:val="003F611C"/>
    <w:rsid w:val="003F755C"/>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70FA6"/>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56364"/>
    <w:rsid w:val="0056064F"/>
    <w:rsid w:val="00561B84"/>
    <w:rsid w:val="00571D98"/>
    <w:rsid w:val="005720AE"/>
    <w:rsid w:val="0058030D"/>
    <w:rsid w:val="00582045"/>
    <w:rsid w:val="00590AE3"/>
    <w:rsid w:val="005918F1"/>
    <w:rsid w:val="005A06B7"/>
    <w:rsid w:val="005A1759"/>
    <w:rsid w:val="005D0369"/>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343AF"/>
    <w:rsid w:val="0063634A"/>
    <w:rsid w:val="0064250D"/>
    <w:rsid w:val="006535EB"/>
    <w:rsid w:val="00663016"/>
    <w:rsid w:val="006652DA"/>
    <w:rsid w:val="00674605"/>
    <w:rsid w:val="006748B8"/>
    <w:rsid w:val="0068535B"/>
    <w:rsid w:val="0068736E"/>
    <w:rsid w:val="00691DAE"/>
    <w:rsid w:val="0069290A"/>
    <w:rsid w:val="00697032"/>
    <w:rsid w:val="006975AC"/>
    <w:rsid w:val="006A15FB"/>
    <w:rsid w:val="006A72BF"/>
    <w:rsid w:val="006B332A"/>
    <w:rsid w:val="006B33BD"/>
    <w:rsid w:val="006C3F75"/>
    <w:rsid w:val="006D170E"/>
    <w:rsid w:val="006E06AF"/>
    <w:rsid w:val="006F1789"/>
    <w:rsid w:val="00706C5D"/>
    <w:rsid w:val="007118E6"/>
    <w:rsid w:val="007225C9"/>
    <w:rsid w:val="007313DE"/>
    <w:rsid w:val="00735CD7"/>
    <w:rsid w:val="00754034"/>
    <w:rsid w:val="00754BF1"/>
    <w:rsid w:val="00755A30"/>
    <w:rsid w:val="00755E1C"/>
    <w:rsid w:val="00756556"/>
    <w:rsid w:val="0076132B"/>
    <w:rsid w:val="007623AE"/>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FFB"/>
    <w:rsid w:val="00820568"/>
    <w:rsid w:val="00825B3B"/>
    <w:rsid w:val="00831A80"/>
    <w:rsid w:val="008332C8"/>
    <w:rsid w:val="00833743"/>
    <w:rsid w:val="008340A4"/>
    <w:rsid w:val="00836799"/>
    <w:rsid w:val="00837028"/>
    <w:rsid w:val="00837131"/>
    <w:rsid w:val="00845F57"/>
    <w:rsid w:val="008521E0"/>
    <w:rsid w:val="008525B0"/>
    <w:rsid w:val="008554BB"/>
    <w:rsid w:val="00867CBC"/>
    <w:rsid w:val="00876C30"/>
    <w:rsid w:val="00877017"/>
    <w:rsid w:val="008773C0"/>
    <w:rsid w:val="00880364"/>
    <w:rsid w:val="00886C4C"/>
    <w:rsid w:val="0088706D"/>
    <w:rsid w:val="0088711C"/>
    <w:rsid w:val="00892ECF"/>
    <w:rsid w:val="00892F06"/>
    <w:rsid w:val="00894285"/>
    <w:rsid w:val="008A40AE"/>
    <w:rsid w:val="008A4E19"/>
    <w:rsid w:val="008A67C5"/>
    <w:rsid w:val="008B22E1"/>
    <w:rsid w:val="008B3C78"/>
    <w:rsid w:val="008B4AE9"/>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72C7"/>
    <w:rsid w:val="009B0897"/>
    <w:rsid w:val="009D0852"/>
    <w:rsid w:val="009D1FBF"/>
    <w:rsid w:val="009E399C"/>
    <w:rsid w:val="009E43C1"/>
    <w:rsid w:val="009E7E95"/>
    <w:rsid w:val="009F116F"/>
    <w:rsid w:val="009F329E"/>
    <w:rsid w:val="009F7ED3"/>
    <w:rsid w:val="00A03607"/>
    <w:rsid w:val="00A047FF"/>
    <w:rsid w:val="00A04FEF"/>
    <w:rsid w:val="00A122CD"/>
    <w:rsid w:val="00A123D4"/>
    <w:rsid w:val="00A12A32"/>
    <w:rsid w:val="00A14248"/>
    <w:rsid w:val="00A14947"/>
    <w:rsid w:val="00A23DC5"/>
    <w:rsid w:val="00A34028"/>
    <w:rsid w:val="00A35568"/>
    <w:rsid w:val="00A37056"/>
    <w:rsid w:val="00A4358F"/>
    <w:rsid w:val="00A46F67"/>
    <w:rsid w:val="00A54AA1"/>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914"/>
    <w:rsid w:val="00AB5330"/>
    <w:rsid w:val="00AB7747"/>
    <w:rsid w:val="00AC2532"/>
    <w:rsid w:val="00AC4FC9"/>
    <w:rsid w:val="00AD1507"/>
    <w:rsid w:val="00AD5A70"/>
    <w:rsid w:val="00AD738B"/>
    <w:rsid w:val="00AE1BF4"/>
    <w:rsid w:val="00AE5D97"/>
    <w:rsid w:val="00AE6794"/>
    <w:rsid w:val="00B01110"/>
    <w:rsid w:val="00B02262"/>
    <w:rsid w:val="00B03CEC"/>
    <w:rsid w:val="00B04C32"/>
    <w:rsid w:val="00B1209F"/>
    <w:rsid w:val="00B12AD0"/>
    <w:rsid w:val="00B24F30"/>
    <w:rsid w:val="00B31ABF"/>
    <w:rsid w:val="00B335AE"/>
    <w:rsid w:val="00B37CE1"/>
    <w:rsid w:val="00B40ACF"/>
    <w:rsid w:val="00B46BAA"/>
    <w:rsid w:val="00B50B5F"/>
    <w:rsid w:val="00B54128"/>
    <w:rsid w:val="00B55826"/>
    <w:rsid w:val="00B60426"/>
    <w:rsid w:val="00B622DD"/>
    <w:rsid w:val="00B63522"/>
    <w:rsid w:val="00B76F1D"/>
    <w:rsid w:val="00B84805"/>
    <w:rsid w:val="00B91183"/>
    <w:rsid w:val="00B92A19"/>
    <w:rsid w:val="00B9544C"/>
    <w:rsid w:val="00BA29E9"/>
    <w:rsid w:val="00BB3618"/>
    <w:rsid w:val="00BC0C9E"/>
    <w:rsid w:val="00BC32DC"/>
    <w:rsid w:val="00BD1B51"/>
    <w:rsid w:val="00BD47F6"/>
    <w:rsid w:val="00BE2DA7"/>
    <w:rsid w:val="00BE2F48"/>
    <w:rsid w:val="00BE312D"/>
    <w:rsid w:val="00BE3966"/>
    <w:rsid w:val="00BE3FCA"/>
    <w:rsid w:val="00C05719"/>
    <w:rsid w:val="00C10578"/>
    <w:rsid w:val="00C17D62"/>
    <w:rsid w:val="00C21FDC"/>
    <w:rsid w:val="00C2476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6742D"/>
    <w:rsid w:val="00C763C9"/>
    <w:rsid w:val="00C80057"/>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E02CD"/>
    <w:rsid w:val="00CE10E9"/>
    <w:rsid w:val="00D0072E"/>
    <w:rsid w:val="00D15727"/>
    <w:rsid w:val="00D16332"/>
    <w:rsid w:val="00D24972"/>
    <w:rsid w:val="00D2515E"/>
    <w:rsid w:val="00D308ED"/>
    <w:rsid w:val="00D42415"/>
    <w:rsid w:val="00D56178"/>
    <w:rsid w:val="00D56CF0"/>
    <w:rsid w:val="00D56F5C"/>
    <w:rsid w:val="00D704B1"/>
    <w:rsid w:val="00D70B63"/>
    <w:rsid w:val="00D72B92"/>
    <w:rsid w:val="00D72ED4"/>
    <w:rsid w:val="00D73F61"/>
    <w:rsid w:val="00D754C0"/>
    <w:rsid w:val="00D776A2"/>
    <w:rsid w:val="00D801C4"/>
    <w:rsid w:val="00D90836"/>
    <w:rsid w:val="00D912E4"/>
    <w:rsid w:val="00D95896"/>
    <w:rsid w:val="00D95CC6"/>
    <w:rsid w:val="00DA2DA3"/>
    <w:rsid w:val="00DA6615"/>
    <w:rsid w:val="00DA76AE"/>
    <w:rsid w:val="00DB062F"/>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12D0"/>
    <w:rsid w:val="00E47CDB"/>
    <w:rsid w:val="00E50489"/>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940F2"/>
    <w:rsid w:val="00EB041C"/>
    <w:rsid w:val="00EC00EF"/>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61097"/>
    <w:rsid w:val="00F74345"/>
    <w:rsid w:val="00F74441"/>
    <w:rsid w:val="00F77F30"/>
    <w:rsid w:val="00F82589"/>
    <w:rsid w:val="00F82B19"/>
    <w:rsid w:val="00F90AA7"/>
    <w:rsid w:val="00F90D1C"/>
    <w:rsid w:val="00F9212D"/>
    <w:rsid w:val="00FA301A"/>
    <w:rsid w:val="00FA406A"/>
    <w:rsid w:val="00FA5CB6"/>
    <w:rsid w:val="00FC66AC"/>
    <w:rsid w:val="00FD18F4"/>
    <w:rsid w:val="00FD74B4"/>
    <w:rsid w:val="00FF6FCE"/>
    <w:rsid w:val="00FF7518"/>
    <w:rsid w:val="00FF7FD8"/>
    <w:rsid w:val="0104289E"/>
    <w:rsid w:val="01042F61"/>
    <w:rsid w:val="0108289B"/>
    <w:rsid w:val="010C5ED2"/>
    <w:rsid w:val="01192960"/>
    <w:rsid w:val="0125095C"/>
    <w:rsid w:val="012E6307"/>
    <w:rsid w:val="01404864"/>
    <w:rsid w:val="014304D3"/>
    <w:rsid w:val="015A050E"/>
    <w:rsid w:val="01794234"/>
    <w:rsid w:val="017B37F9"/>
    <w:rsid w:val="01886F8B"/>
    <w:rsid w:val="018C2F48"/>
    <w:rsid w:val="019A5E3B"/>
    <w:rsid w:val="019C7D86"/>
    <w:rsid w:val="01AC7D42"/>
    <w:rsid w:val="01AE4FA2"/>
    <w:rsid w:val="01B34B65"/>
    <w:rsid w:val="01B76077"/>
    <w:rsid w:val="01C53959"/>
    <w:rsid w:val="01E83291"/>
    <w:rsid w:val="01ED10B9"/>
    <w:rsid w:val="01EE7C08"/>
    <w:rsid w:val="01FE0F24"/>
    <w:rsid w:val="02185BFC"/>
    <w:rsid w:val="021A3207"/>
    <w:rsid w:val="021D6D81"/>
    <w:rsid w:val="021E36A6"/>
    <w:rsid w:val="021F57A4"/>
    <w:rsid w:val="02291553"/>
    <w:rsid w:val="022B673D"/>
    <w:rsid w:val="023432C6"/>
    <w:rsid w:val="02435D58"/>
    <w:rsid w:val="0246018D"/>
    <w:rsid w:val="024E3EAA"/>
    <w:rsid w:val="025E1939"/>
    <w:rsid w:val="0263187E"/>
    <w:rsid w:val="02646702"/>
    <w:rsid w:val="0266609A"/>
    <w:rsid w:val="027035DD"/>
    <w:rsid w:val="02761801"/>
    <w:rsid w:val="02896934"/>
    <w:rsid w:val="028E4AAC"/>
    <w:rsid w:val="02984359"/>
    <w:rsid w:val="02A11CC8"/>
    <w:rsid w:val="02A32BDA"/>
    <w:rsid w:val="02A348D5"/>
    <w:rsid w:val="02A563CB"/>
    <w:rsid w:val="02A7237C"/>
    <w:rsid w:val="02A85406"/>
    <w:rsid w:val="02A91F2E"/>
    <w:rsid w:val="02AB5DCE"/>
    <w:rsid w:val="02B4178E"/>
    <w:rsid w:val="02BF4F1C"/>
    <w:rsid w:val="02C761AC"/>
    <w:rsid w:val="02CA0F84"/>
    <w:rsid w:val="02D310CC"/>
    <w:rsid w:val="02E25347"/>
    <w:rsid w:val="02E332E6"/>
    <w:rsid w:val="02E80765"/>
    <w:rsid w:val="02E95887"/>
    <w:rsid w:val="02EA53AE"/>
    <w:rsid w:val="02F36BEA"/>
    <w:rsid w:val="030135D6"/>
    <w:rsid w:val="030B66E1"/>
    <w:rsid w:val="0320693B"/>
    <w:rsid w:val="0322293B"/>
    <w:rsid w:val="0327130A"/>
    <w:rsid w:val="032E3D80"/>
    <w:rsid w:val="033903D4"/>
    <w:rsid w:val="03392102"/>
    <w:rsid w:val="03496548"/>
    <w:rsid w:val="035606D4"/>
    <w:rsid w:val="03695A4F"/>
    <w:rsid w:val="036E7497"/>
    <w:rsid w:val="037543CC"/>
    <w:rsid w:val="038C2663"/>
    <w:rsid w:val="03940E25"/>
    <w:rsid w:val="03D0504E"/>
    <w:rsid w:val="03D86018"/>
    <w:rsid w:val="03D97E97"/>
    <w:rsid w:val="03EC4DFF"/>
    <w:rsid w:val="040B04C8"/>
    <w:rsid w:val="04123761"/>
    <w:rsid w:val="0415148D"/>
    <w:rsid w:val="04221E7C"/>
    <w:rsid w:val="04273FC6"/>
    <w:rsid w:val="04295C65"/>
    <w:rsid w:val="042B230B"/>
    <w:rsid w:val="043E4189"/>
    <w:rsid w:val="043F37C4"/>
    <w:rsid w:val="0441491B"/>
    <w:rsid w:val="044C05B9"/>
    <w:rsid w:val="0452645F"/>
    <w:rsid w:val="045B5644"/>
    <w:rsid w:val="0473727E"/>
    <w:rsid w:val="047A0570"/>
    <w:rsid w:val="048F4B47"/>
    <w:rsid w:val="04A55067"/>
    <w:rsid w:val="04B916D2"/>
    <w:rsid w:val="04D258F1"/>
    <w:rsid w:val="04D87A31"/>
    <w:rsid w:val="04DA436A"/>
    <w:rsid w:val="050526D6"/>
    <w:rsid w:val="05071DF0"/>
    <w:rsid w:val="05080B54"/>
    <w:rsid w:val="05125228"/>
    <w:rsid w:val="05143C3B"/>
    <w:rsid w:val="05163EB9"/>
    <w:rsid w:val="0523577D"/>
    <w:rsid w:val="052E6FD7"/>
    <w:rsid w:val="053426E8"/>
    <w:rsid w:val="054A465A"/>
    <w:rsid w:val="054D64D7"/>
    <w:rsid w:val="056428F7"/>
    <w:rsid w:val="056E3CFF"/>
    <w:rsid w:val="057253DE"/>
    <w:rsid w:val="05742AC8"/>
    <w:rsid w:val="05772978"/>
    <w:rsid w:val="057F575E"/>
    <w:rsid w:val="058705A3"/>
    <w:rsid w:val="058D548D"/>
    <w:rsid w:val="05A96926"/>
    <w:rsid w:val="05AA2469"/>
    <w:rsid w:val="05AA2A95"/>
    <w:rsid w:val="05AA458A"/>
    <w:rsid w:val="05B0639C"/>
    <w:rsid w:val="05B3725D"/>
    <w:rsid w:val="05BA3078"/>
    <w:rsid w:val="05CA4C12"/>
    <w:rsid w:val="05CF22BB"/>
    <w:rsid w:val="05D21CE0"/>
    <w:rsid w:val="05D743C6"/>
    <w:rsid w:val="05DF4CB4"/>
    <w:rsid w:val="05E07EBD"/>
    <w:rsid w:val="05E61F0E"/>
    <w:rsid w:val="05E97766"/>
    <w:rsid w:val="05EB7482"/>
    <w:rsid w:val="05F5149B"/>
    <w:rsid w:val="05F60B21"/>
    <w:rsid w:val="05F66DAF"/>
    <w:rsid w:val="05FD3D9A"/>
    <w:rsid w:val="06021912"/>
    <w:rsid w:val="060A6D32"/>
    <w:rsid w:val="061C624E"/>
    <w:rsid w:val="062E0431"/>
    <w:rsid w:val="06352F05"/>
    <w:rsid w:val="063E7D85"/>
    <w:rsid w:val="064162B5"/>
    <w:rsid w:val="064B5E8C"/>
    <w:rsid w:val="065215F2"/>
    <w:rsid w:val="0653675B"/>
    <w:rsid w:val="06585BB4"/>
    <w:rsid w:val="066170CB"/>
    <w:rsid w:val="066D30D1"/>
    <w:rsid w:val="066D4D16"/>
    <w:rsid w:val="06731C95"/>
    <w:rsid w:val="06734C69"/>
    <w:rsid w:val="068940BE"/>
    <w:rsid w:val="06A1555E"/>
    <w:rsid w:val="06A2419B"/>
    <w:rsid w:val="06AD11D4"/>
    <w:rsid w:val="06B04D68"/>
    <w:rsid w:val="06B35004"/>
    <w:rsid w:val="06BA540F"/>
    <w:rsid w:val="06D61840"/>
    <w:rsid w:val="06EC1F67"/>
    <w:rsid w:val="06EC27FB"/>
    <w:rsid w:val="06F60DF2"/>
    <w:rsid w:val="06FE09E2"/>
    <w:rsid w:val="07010108"/>
    <w:rsid w:val="070875E0"/>
    <w:rsid w:val="07180F92"/>
    <w:rsid w:val="07250FA1"/>
    <w:rsid w:val="07293586"/>
    <w:rsid w:val="07295285"/>
    <w:rsid w:val="07346689"/>
    <w:rsid w:val="07437A11"/>
    <w:rsid w:val="07472638"/>
    <w:rsid w:val="07482B8D"/>
    <w:rsid w:val="074D37FF"/>
    <w:rsid w:val="07533389"/>
    <w:rsid w:val="07553D0C"/>
    <w:rsid w:val="07754CF6"/>
    <w:rsid w:val="07770C56"/>
    <w:rsid w:val="078525B8"/>
    <w:rsid w:val="0789392C"/>
    <w:rsid w:val="079436F5"/>
    <w:rsid w:val="07982FD2"/>
    <w:rsid w:val="079F2C48"/>
    <w:rsid w:val="079F3C3F"/>
    <w:rsid w:val="07B47F0B"/>
    <w:rsid w:val="07B66106"/>
    <w:rsid w:val="07C23B99"/>
    <w:rsid w:val="07C3061A"/>
    <w:rsid w:val="07CC49F1"/>
    <w:rsid w:val="07D80008"/>
    <w:rsid w:val="07F6704E"/>
    <w:rsid w:val="080117CA"/>
    <w:rsid w:val="08025167"/>
    <w:rsid w:val="080A5CC5"/>
    <w:rsid w:val="082441F1"/>
    <w:rsid w:val="08282C34"/>
    <w:rsid w:val="08491DD2"/>
    <w:rsid w:val="084F5264"/>
    <w:rsid w:val="08583B9C"/>
    <w:rsid w:val="085E3A72"/>
    <w:rsid w:val="086904B7"/>
    <w:rsid w:val="086A7B46"/>
    <w:rsid w:val="087879DA"/>
    <w:rsid w:val="08882670"/>
    <w:rsid w:val="08965D35"/>
    <w:rsid w:val="08A26F0A"/>
    <w:rsid w:val="08AF1F37"/>
    <w:rsid w:val="08B50214"/>
    <w:rsid w:val="08B82A9D"/>
    <w:rsid w:val="08C1097E"/>
    <w:rsid w:val="08D533BD"/>
    <w:rsid w:val="08DC1901"/>
    <w:rsid w:val="08E22CAD"/>
    <w:rsid w:val="08E43D46"/>
    <w:rsid w:val="08E513BA"/>
    <w:rsid w:val="08EC7911"/>
    <w:rsid w:val="08ED3BBC"/>
    <w:rsid w:val="08ED6813"/>
    <w:rsid w:val="08EE3F51"/>
    <w:rsid w:val="08FA6093"/>
    <w:rsid w:val="08FB448D"/>
    <w:rsid w:val="090008F3"/>
    <w:rsid w:val="0901184B"/>
    <w:rsid w:val="09072C87"/>
    <w:rsid w:val="090C77B5"/>
    <w:rsid w:val="0910153C"/>
    <w:rsid w:val="091F2F80"/>
    <w:rsid w:val="0921487D"/>
    <w:rsid w:val="09215199"/>
    <w:rsid w:val="092217DD"/>
    <w:rsid w:val="09357979"/>
    <w:rsid w:val="093A13A7"/>
    <w:rsid w:val="093A7294"/>
    <w:rsid w:val="094364AA"/>
    <w:rsid w:val="09474CC0"/>
    <w:rsid w:val="094E092E"/>
    <w:rsid w:val="09563B20"/>
    <w:rsid w:val="095C2891"/>
    <w:rsid w:val="096556F5"/>
    <w:rsid w:val="096A768C"/>
    <w:rsid w:val="096B6B3F"/>
    <w:rsid w:val="0971259A"/>
    <w:rsid w:val="09747C2D"/>
    <w:rsid w:val="097C3BED"/>
    <w:rsid w:val="097C5689"/>
    <w:rsid w:val="09817028"/>
    <w:rsid w:val="09840EB4"/>
    <w:rsid w:val="09886B94"/>
    <w:rsid w:val="098D3E49"/>
    <w:rsid w:val="09914732"/>
    <w:rsid w:val="099428F6"/>
    <w:rsid w:val="09BC712E"/>
    <w:rsid w:val="09C31763"/>
    <w:rsid w:val="09CF74F0"/>
    <w:rsid w:val="09E3118D"/>
    <w:rsid w:val="09E35BEE"/>
    <w:rsid w:val="09E7273C"/>
    <w:rsid w:val="09F05B74"/>
    <w:rsid w:val="09F6402B"/>
    <w:rsid w:val="0A06080F"/>
    <w:rsid w:val="0A082B29"/>
    <w:rsid w:val="0A0B0B6B"/>
    <w:rsid w:val="0A0C355A"/>
    <w:rsid w:val="0A155C88"/>
    <w:rsid w:val="0A1B2282"/>
    <w:rsid w:val="0A2506AE"/>
    <w:rsid w:val="0A262E7B"/>
    <w:rsid w:val="0A2A32F0"/>
    <w:rsid w:val="0A2A61C9"/>
    <w:rsid w:val="0A316B5B"/>
    <w:rsid w:val="0A3834E2"/>
    <w:rsid w:val="0A3F4886"/>
    <w:rsid w:val="0A413770"/>
    <w:rsid w:val="0A463AF2"/>
    <w:rsid w:val="0A521511"/>
    <w:rsid w:val="0A5E078B"/>
    <w:rsid w:val="0A632487"/>
    <w:rsid w:val="0A6472CA"/>
    <w:rsid w:val="0A851B46"/>
    <w:rsid w:val="0A8A1036"/>
    <w:rsid w:val="0A9139A7"/>
    <w:rsid w:val="0A9B4912"/>
    <w:rsid w:val="0A9B60C1"/>
    <w:rsid w:val="0AA30D24"/>
    <w:rsid w:val="0AAA561F"/>
    <w:rsid w:val="0AB47551"/>
    <w:rsid w:val="0AB651C8"/>
    <w:rsid w:val="0AB8549D"/>
    <w:rsid w:val="0ABA0B19"/>
    <w:rsid w:val="0ADD15B9"/>
    <w:rsid w:val="0ADF6C1A"/>
    <w:rsid w:val="0AE06EF2"/>
    <w:rsid w:val="0AE53813"/>
    <w:rsid w:val="0AEF37D4"/>
    <w:rsid w:val="0AF409A1"/>
    <w:rsid w:val="0AF53A73"/>
    <w:rsid w:val="0AFE5B32"/>
    <w:rsid w:val="0B133A7F"/>
    <w:rsid w:val="0B1C31AF"/>
    <w:rsid w:val="0B3B2AD3"/>
    <w:rsid w:val="0B43003D"/>
    <w:rsid w:val="0B44428A"/>
    <w:rsid w:val="0B446EBD"/>
    <w:rsid w:val="0B4C5916"/>
    <w:rsid w:val="0B4E5D39"/>
    <w:rsid w:val="0B5F3729"/>
    <w:rsid w:val="0B6A554B"/>
    <w:rsid w:val="0B6D4811"/>
    <w:rsid w:val="0B701C6D"/>
    <w:rsid w:val="0B762525"/>
    <w:rsid w:val="0B7643CE"/>
    <w:rsid w:val="0B9311AD"/>
    <w:rsid w:val="0B9642B5"/>
    <w:rsid w:val="0B980AEF"/>
    <w:rsid w:val="0BAB7734"/>
    <w:rsid w:val="0BB51797"/>
    <w:rsid w:val="0BB81EB3"/>
    <w:rsid w:val="0BBB11FD"/>
    <w:rsid w:val="0BD27BF6"/>
    <w:rsid w:val="0BD97BE5"/>
    <w:rsid w:val="0BDB14EA"/>
    <w:rsid w:val="0BDE7703"/>
    <w:rsid w:val="0C025B2E"/>
    <w:rsid w:val="0C06102A"/>
    <w:rsid w:val="0C083EEC"/>
    <w:rsid w:val="0C0B15EE"/>
    <w:rsid w:val="0C0F3BBA"/>
    <w:rsid w:val="0C101A97"/>
    <w:rsid w:val="0C1D5952"/>
    <w:rsid w:val="0C2075C4"/>
    <w:rsid w:val="0C293D42"/>
    <w:rsid w:val="0C33611E"/>
    <w:rsid w:val="0C354B2A"/>
    <w:rsid w:val="0C3717EC"/>
    <w:rsid w:val="0C381B4F"/>
    <w:rsid w:val="0C4C095D"/>
    <w:rsid w:val="0C557234"/>
    <w:rsid w:val="0C5B19B7"/>
    <w:rsid w:val="0C6D0C75"/>
    <w:rsid w:val="0C755187"/>
    <w:rsid w:val="0C7F5C29"/>
    <w:rsid w:val="0C884441"/>
    <w:rsid w:val="0C935F60"/>
    <w:rsid w:val="0C9B4D85"/>
    <w:rsid w:val="0CC41AE9"/>
    <w:rsid w:val="0CC86123"/>
    <w:rsid w:val="0CE10B5C"/>
    <w:rsid w:val="0CE161ED"/>
    <w:rsid w:val="0CE417E5"/>
    <w:rsid w:val="0CFA16CE"/>
    <w:rsid w:val="0CFA5263"/>
    <w:rsid w:val="0D036424"/>
    <w:rsid w:val="0D0C4CF6"/>
    <w:rsid w:val="0D120949"/>
    <w:rsid w:val="0D186DD9"/>
    <w:rsid w:val="0D2371E8"/>
    <w:rsid w:val="0D5825DA"/>
    <w:rsid w:val="0D6114ED"/>
    <w:rsid w:val="0D814705"/>
    <w:rsid w:val="0D8A6A59"/>
    <w:rsid w:val="0D9D3A6C"/>
    <w:rsid w:val="0DAD6B30"/>
    <w:rsid w:val="0DB672E3"/>
    <w:rsid w:val="0DBA668E"/>
    <w:rsid w:val="0DBC1935"/>
    <w:rsid w:val="0DBF36CF"/>
    <w:rsid w:val="0DE32BDA"/>
    <w:rsid w:val="0DEC1021"/>
    <w:rsid w:val="0DEE1C05"/>
    <w:rsid w:val="0DFA1B3A"/>
    <w:rsid w:val="0DFF2CF3"/>
    <w:rsid w:val="0E0C4A71"/>
    <w:rsid w:val="0E0C5F2E"/>
    <w:rsid w:val="0E10223B"/>
    <w:rsid w:val="0E110D06"/>
    <w:rsid w:val="0E15506F"/>
    <w:rsid w:val="0E28729F"/>
    <w:rsid w:val="0E3078CC"/>
    <w:rsid w:val="0E376466"/>
    <w:rsid w:val="0E3B5B8C"/>
    <w:rsid w:val="0E3C182D"/>
    <w:rsid w:val="0E3D1282"/>
    <w:rsid w:val="0E6D6906"/>
    <w:rsid w:val="0E7425B8"/>
    <w:rsid w:val="0E7B6CC7"/>
    <w:rsid w:val="0E7D556C"/>
    <w:rsid w:val="0E8943A6"/>
    <w:rsid w:val="0E8D4B05"/>
    <w:rsid w:val="0E9161C3"/>
    <w:rsid w:val="0E983218"/>
    <w:rsid w:val="0EA65149"/>
    <w:rsid w:val="0EAA4D94"/>
    <w:rsid w:val="0EB245CB"/>
    <w:rsid w:val="0EB36278"/>
    <w:rsid w:val="0EBA4EBC"/>
    <w:rsid w:val="0EBB3568"/>
    <w:rsid w:val="0EBB66B2"/>
    <w:rsid w:val="0EC04F2B"/>
    <w:rsid w:val="0EC16B99"/>
    <w:rsid w:val="0EC828BE"/>
    <w:rsid w:val="0ECB5B2A"/>
    <w:rsid w:val="0ED124CB"/>
    <w:rsid w:val="0EDC5B67"/>
    <w:rsid w:val="0EE1512E"/>
    <w:rsid w:val="0EE22033"/>
    <w:rsid w:val="0EEC0DC2"/>
    <w:rsid w:val="0EF37BDA"/>
    <w:rsid w:val="0EF52062"/>
    <w:rsid w:val="0EFC7EE4"/>
    <w:rsid w:val="0EFF3DCF"/>
    <w:rsid w:val="0F007296"/>
    <w:rsid w:val="0F062C58"/>
    <w:rsid w:val="0F13775A"/>
    <w:rsid w:val="0F16187B"/>
    <w:rsid w:val="0F18108B"/>
    <w:rsid w:val="0F2A15F6"/>
    <w:rsid w:val="0F3B6597"/>
    <w:rsid w:val="0F455421"/>
    <w:rsid w:val="0F49029E"/>
    <w:rsid w:val="0F64521C"/>
    <w:rsid w:val="0F6F106F"/>
    <w:rsid w:val="0F76797D"/>
    <w:rsid w:val="0F815030"/>
    <w:rsid w:val="0F87262F"/>
    <w:rsid w:val="0F8A1D2A"/>
    <w:rsid w:val="0F960F8A"/>
    <w:rsid w:val="0F970920"/>
    <w:rsid w:val="0F9A112B"/>
    <w:rsid w:val="0F9D16D7"/>
    <w:rsid w:val="0F9E5121"/>
    <w:rsid w:val="0FA9058F"/>
    <w:rsid w:val="0FAF0436"/>
    <w:rsid w:val="0FB95C99"/>
    <w:rsid w:val="0FB972AB"/>
    <w:rsid w:val="0FBF7273"/>
    <w:rsid w:val="0FC20A15"/>
    <w:rsid w:val="0FC609ED"/>
    <w:rsid w:val="0FCA59BD"/>
    <w:rsid w:val="0FD47F87"/>
    <w:rsid w:val="0FD83F82"/>
    <w:rsid w:val="0FD8432C"/>
    <w:rsid w:val="0FE167E5"/>
    <w:rsid w:val="0FE857F4"/>
    <w:rsid w:val="0FFB5A5D"/>
    <w:rsid w:val="10033B33"/>
    <w:rsid w:val="10193C33"/>
    <w:rsid w:val="101F449B"/>
    <w:rsid w:val="1022193E"/>
    <w:rsid w:val="102345CA"/>
    <w:rsid w:val="102573CE"/>
    <w:rsid w:val="10300433"/>
    <w:rsid w:val="104A1DEF"/>
    <w:rsid w:val="105D089F"/>
    <w:rsid w:val="106357A6"/>
    <w:rsid w:val="106A13D6"/>
    <w:rsid w:val="106D2F64"/>
    <w:rsid w:val="107D226E"/>
    <w:rsid w:val="107F2102"/>
    <w:rsid w:val="10802D86"/>
    <w:rsid w:val="1084762C"/>
    <w:rsid w:val="10931BA4"/>
    <w:rsid w:val="10971053"/>
    <w:rsid w:val="10AE254B"/>
    <w:rsid w:val="10B63710"/>
    <w:rsid w:val="10B946F2"/>
    <w:rsid w:val="10C61E37"/>
    <w:rsid w:val="10C9379F"/>
    <w:rsid w:val="10D73A93"/>
    <w:rsid w:val="10DB3CF1"/>
    <w:rsid w:val="10DD38C2"/>
    <w:rsid w:val="10EF1D91"/>
    <w:rsid w:val="10F755EB"/>
    <w:rsid w:val="10F931CF"/>
    <w:rsid w:val="10FD4608"/>
    <w:rsid w:val="11000E06"/>
    <w:rsid w:val="11093132"/>
    <w:rsid w:val="11137C02"/>
    <w:rsid w:val="111553BA"/>
    <w:rsid w:val="111C2F7A"/>
    <w:rsid w:val="111E1B30"/>
    <w:rsid w:val="111E5CD4"/>
    <w:rsid w:val="111F3A66"/>
    <w:rsid w:val="112B5394"/>
    <w:rsid w:val="113013DE"/>
    <w:rsid w:val="11397DB3"/>
    <w:rsid w:val="11487BE0"/>
    <w:rsid w:val="114A7026"/>
    <w:rsid w:val="114D4650"/>
    <w:rsid w:val="115642F3"/>
    <w:rsid w:val="115D2A2D"/>
    <w:rsid w:val="11691456"/>
    <w:rsid w:val="11794BA7"/>
    <w:rsid w:val="11812B01"/>
    <w:rsid w:val="118626A0"/>
    <w:rsid w:val="118C461C"/>
    <w:rsid w:val="1192393D"/>
    <w:rsid w:val="11A3376A"/>
    <w:rsid w:val="11A808B7"/>
    <w:rsid w:val="11C13451"/>
    <w:rsid w:val="11D17898"/>
    <w:rsid w:val="11D73852"/>
    <w:rsid w:val="11DA60C7"/>
    <w:rsid w:val="11DA795D"/>
    <w:rsid w:val="11DC18A0"/>
    <w:rsid w:val="11DC2E1E"/>
    <w:rsid w:val="11E10193"/>
    <w:rsid w:val="11E35FA0"/>
    <w:rsid w:val="11E74778"/>
    <w:rsid w:val="11EC7DB7"/>
    <w:rsid w:val="11FE5709"/>
    <w:rsid w:val="12015D9F"/>
    <w:rsid w:val="12031105"/>
    <w:rsid w:val="120555A9"/>
    <w:rsid w:val="121827EE"/>
    <w:rsid w:val="122B06C2"/>
    <w:rsid w:val="123C1CED"/>
    <w:rsid w:val="12413AD1"/>
    <w:rsid w:val="124204D2"/>
    <w:rsid w:val="124A48B4"/>
    <w:rsid w:val="125360F2"/>
    <w:rsid w:val="12540465"/>
    <w:rsid w:val="12586E64"/>
    <w:rsid w:val="126A7A43"/>
    <w:rsid w:val="128839D5"/>
    <w:rsid w:val="12A23B2F"/>
    <w:rsid w:val="12A51024"/>
    <w:rsid w:val="12A856B4"/>
    <w:rsid w:val="12A95A37"/>
    <w:rsid w:val="12AC1C31"/>
    <w:rsid w:val="12D56A22"/>
    <w:rsid w:val="12D66562"/>
    <w:rsid w:val="12DB495F"/>
    <w:rsid w:val="12E73447"/>
    <w:rsid w:val="12F33B0D"/>
    <w:rsid w:val="12FB41EF"/>
    <w:rsid w:val="12FB43C3"/>
    <w:rsid w:val="12FF6FAE"/>
    <w:rsid w:val="13093385"/>
    <w:rsid w:val="1326410A"/>
    <w:rsid w:val="13286104"/>
    <w:rsid w:val="132E1ED8"/>
    <w:rsid w:val="13537D65"/>
    <w:rsid w:val="136C1A75"/>
    <w:rsid w:val="136E3E83"/>
    <w:rsid w:val="13715610"/>
    <w:rsid w:val="13752CDA"/>
    <w:rsid w:val="13842C8A"/>
    <w:rsid w:val="13951726"/>
    <w:rsid w:val="139E23CB"/>
    <w:rsid w:val="13A22CBE"/>
    <w:rsid w:val="13AB180F"/>
    <w:rsid w:val="13B02061"/>
    <w:rsid w:val="13B26812"/>
    <w:rsid w:val="13C4513A"/>
    <w:rsid w:val="13DA7CC2"/>
    <w:rsid w:val="13DE6E33"/>
    <w:rsid w:val="13E122F9"/>
    <w:rsid w:val="13E26DAE"/>
    <w:rsid w:val="13F13C0A"/>
    <w:rsid w:val="14022745"/>
    <w:rsid w:val="14046081"/>
    <w:rsid w:val="140559C8"/>
    <w:rsid w:val="14250EAC"/>
    <w:rsid w:val="14375409"/>
    <w:rsid w:val="14396509"/>
    <w:rsid w:val="1441568F"/>
    <w:rsid w:val="14425CC4"/>
    <w:rsid w:val="1447165C"/>
    <w:rsid w:val="144D05BF"/>
    <w:rsid w:val="144D51BB"/>
    <w:rsid w:val="14531BB7"/>
    <w:rsid w:val="145B0D52"/>
    <w:rsid w:val="146016CA"/>
    <w:rsid w:val="14681634"/>
    <w:rsid w:val="14693CD6"/>
    <w:rsid w:val="147437D5"/>
    <w:rsid w:val="147A11B2"/>
    <w:rsid w:val="147E6349"/>
    <w:rsid w:val="14857596"/>
    <w:rsid w:val="148C75FC"/>
    <w:rsid w:val="14952A13"/>
    <w:rsid w:val="14A31E53"/>
    <w:rsid w:val="14AD745C"/>
    <w:rsid w:val="14B43FFC"/>
    <w:rsid w:val="14B77FEC"/>
    <w:rsid w:val="14BB75C5"/>
    <w:rsid w:val="14BF09BB"/>
    <w:rsid w:val="14BF4707"/>
    <w:rsid w:val="14CA6402"/>
    <w:rsid w:val="14CF5677"/>
    <w:rsid w:val="14D91CEF"/>
    <w:rsid w:val="14D951E3"/>
    <w:rsid w:val="14E2166B"/>
    <w:rsid w:val="14F40715"/>
    <w:rsid w:val="14FC7E81"/>
    <w:rsid w:val="1503523A"/>
    <w:rsid w:val="151029C9"/>
    <w:rsid w:val="151D3E98"/>
    <w:rsid w:val="152534E4"/>
    <w:rsid w:val="15266C3A"/>
    <w:rsid w:val="15422432"/>
    <w:rsid w:val="154E25E1"/>
    <w:rsid w:val="1551544F"/>
    <w:rsid w:val="155930FC"/>
    <w:rsid w:val="155A7A6C"/>
    <w:rsid w:val="156C306A"/>
    <w:rsid w:val="156F170C"/>
    <w:rsid w:val="1572451A"/>
    <w:rsid w:val="157251D8"/>
    <w:rsid w:val="157D78AA"/>
    <w:rsid w:val="15853DFA"/>
    <w:rsid w:val="158C3386"/>
    <w:rsid w:val="159C51DE"/>
    <w:rsid w:val="15A46895"/>
    <w:rsid w:val="15A47CB0"/>
    <w:rsid w:val="15AF4501"/>
    <w:rsid w:val="15B16E81"/>
    <w:rsid w:val="15B54A5F"/>
    <w:rsid w:val="15B566D6"/>
    <w:rsid w:val="15B9511B"/>
    <w:rsid w:val="15CA3C1C"/>
    <w:rsid w:val="15CD7C63"/>
    <w:rsid w:val="15D343AF"/>
    <w:rsid w:val="15ED5CC6"/>
    <w:rsid w:val="15F35750"/>
    <w:rsid w:val="15F74469"/>
    <w:rsid w:val="15F911E4"/>
    <w:rsid w:val="15FE2215"/>
    <w:rsid w:val="16095069"/>
    <w:rsid w:val="16095254"/>
    <w:rsid w:val="160E05A2"/>
    <w:rsid w:val="16123B8A"/>
    <w:rsid w:val="1637005C"/>
    <w:rsid w:val="163A3F66"/>
    <w:rsid w:val="16407B18"/>
    <w:rsid w:val="16477314"/>
    <w:rsid w:val="164E1153"/>
    <w:rsid w:val="16502FC2"/>
    <w:rsid w:val="16552FC8"/>
    <w:rsid w:val="16631167"/>
    <w:rsid w:val="167577C6"/>
    <w:rsid w:val="167B12DD"/>
    <w:rsid w:val="16840D38"/>
    <w:rsid w:val="16890C93"/>
    <w:rsid w:val="169910AC"/>
    <w:rsid w:val="169A58FF"/>
    <w:rsid w:val="16AA51F3"/>
    <w:rsid w:val="16B56CBE"/>
    <w:rsid w:val="16BD5BDC"/>
    <w:rsid w:val="16C3078B"/>
    <w:rsid w:val="16D2739D"/>
    <w:rsid w:val="16D320A9"/>
    <w:rsid w:val="16EC45D6"/>
    <w:rsid w:val="17116E19"/>
    <w:rsid w:val="1714580D"/>
    <w:rsid w:val="17145E97"/>
    <w:rsid w:val="171B0A37"/>
    <w:rsid w:val="17270EB1"/>
    <w:rsid w:val="17317ACA"/>
    <w:rsid w:val="173449C2"/>
    <w:rsid w:val="174D25A2"/>
    <w:rsid w:val="175378C1"/>
    <w:rsid w:val="1757655C"/>
    <w:rsid w:val="17712E77"/>
    <w:rsid w:val="177130CD"/>
    <w:rsid w:val="17735226"/>
    <w:rsid w:val="178A67F0"/>
    <w:rsid w:val="178D6E96"/>
    <w:rsid w:val="178E3C24"/>
    <w:rsid w:val="179F7A69"/>
    <w:rsid w:val="17A02D6A"/>
    <w:rsid w:val="17A65D93"/>
    <w:rsid w:val="17AE5665"/>
    <w:rsid w:val="17AF2A52"/>
    <w:rsid w:val="17B04148"/>
    <w:rsid w:val="17B041C5"/>
    <w:rsid w:val="17C446F0"/>
    <w:rsid w:val="17D75BB4"/>
    <w:rsid w:val="17E03677"/>
    <w:rsid w:val="17FA7775"/>
    <w:rsid w:val="17FC5817"/>
    <w:rsid w:val="180C0568"/>
    <w:rsid w:val="182302CD"/>
    <w:rsid w:val="182B195D"/>
    <w:rsid w:val="183C1B7A"/>
    <w:rsid w:val="184E13D2"/>
    <w:rsid w:val="18500294"/>
    <w:rsid w:val="185E1ACD"/>
    <w:rsid w:val="18774559"/>
    <w:rsid w:val="188C6D34"/>
    <w:rsid w:val="18922A53"/>
    <w:rsid w:val="189F2684"/>
    <w:rsid w:val="18A706B9"/>
    <w:rsid w:val="18B872CD"/>
    <w:rsid w:val="18C13BE9"/>
    <w:rsid w:val="18C214E2"/>
    <w:rsid w:val="18CF1DB0"/>
    <w:rsid w:val="18D2504B"/>
    <w:rsid w:val="18D4569D"/>
    <w:rsid w:val="18E04BC5"/>
    <w:rsid w:val="18E64CC9"/>
    <w:rsid w:val="18ED042A"/>
    <w:rsid w:val="18F37BAC"/>
    <w:rsid w:val="18F51A1E"/>
    <w:rsid w:val="19085EEE"/>
    <w:rsid w:val="190A3EB9"/>
    <w:rsid w:val="1910169B"/>
    <w:rsid w:val="191B1330"/>
    <w:rsid w:val="191C6BC7"/>
    <w:rsid w:val="19247529"/>
    <w:rsid w:val="192A107F"/>
    <w:rsid w:val="192D03C1"/>
    <w:rsid w:val="193033B4"/>
    <w:rsid w:val="19316E46"/>
    <w:rsid w:val="193A7E55"/>
    <w:rsid w:val="193E7AF3"/>
    <w:rsid w:val="196073C5"/>
    <w:rsid w:val="19673B3A"/>
    <w:rsid w:val="196C711F"/>
    <w:rsid w:val="197233FA"/>
    <w:rsid w:val="19744700"/>
    <w:rsid w:val="197B45FC"/>
    <w:rsid w:val="197E25E6"/>
    <w:rsid w:val="197E67A6"/>
    <w:rsid w:val="19882C7F"/>
    <w:rsid w:val="198B5002"/>
    <w:rsid w:val="199C6E4A"/>
    <w:rsid w:val="19B32085"/>
    <w:rsid w:val="19B54858"/>
    <w:rsid w:val="19C536A4"/>
    <w:rsid w:val="19C81F0E"/>
    <w:rsid w:val="19CC6175"/>
    <w:rsid w:val="19D3273A"/>
    <w:rsid w:val="19E8413D"/>
    <w:rsid w:val="1A156DFA"/>
    <w:rsid w:val="1A1C26BD"/>
    <w:rsid w:val="1A1C66C0"/>
    <w:rsid w:val="1A2C385F"/>
    <w:rsid w:val="1A42393B"/>
    <w:rsid w:val="1A536AE0"/>
    <w:rsid w:val="1A5F4CD7"/>
    <w:rsid w:val="1A7A7C80"/>
    <w:rsid w:val="1A8850F6"/>
    <w:rsid w:val="1A8A4AF1"/>
    <w:rsid w:val="1A8B77D8"/>
    <w:rsid w:val="1A8E39B9"/>
    <w:rsid w:val="1A956267"/>
    <w:rsid w:val="1AAF2C96"/>
    <w:rsid w:val="1AC92800"/>
    <w:rsid w:val="1AD1532B"/>
    <w:rsid w:val="1AE14DA9"/>
    <w:rsid w:val="1B045FA6"/>
    <w:rsid w:val="1B046F80"/>
    <w:rsid w:val="1B090945"/>
    <w:rsid w:val="1B1073CA"/>
    <w:rsid w:val="1B1326B9"/>
    <w:rsid w:val="1B1846C1"/>
    <w:rsid w:val="1B2E2E9D"/>
    <w:rsid w:val="1B3267B5"/>
    <w:rsid w:val="1B394230"/>
    <w:rsid w:val="1B411758"/>
    <w:rsid w:val="1B4D4FFE"/>
    <w:rsid w:val="1B645C7B"/>
    <w:rsid w:val="1B675196"/>
    <w:rsid w:val="1B695508"/>
    <w:rsid w:val="1B69572F"/>
    <w:rsid w:val="1B733EB3"/>
    <w:rsid w:val="1B7A6F76"/>
    <w:rsid w:val="1B987EE6"/>
    <w:rsid w:val="1BA069C0"/>
    <w:rsid w:val="1BA313E4"/>
    <w:rsid w:val="1BB24F43"/>
    <w:rsid w:val="1BBB057D"/>
    <w:rsid w:val="1BBF334D"/>
    <w:rsid w:val="1BC25DC8"/>
    <w:rsid w:val="1BC64B6D"/>
    <w:rsid w:val="1BC846B4"/>
    <w:rsid w:val="1BD8381E"/>
    <w:rsid w:val="1BE14D8D"/>
    <w:rsid w:val="1BF40EC4"/>
    <w:rsid w:val="1BF45251"/>
    <w:rsid w:val="1BFA4295"/>
    <w:rsid w:val="1BFA595E"/>
    <w:rsid w:val="1C003DA0"/>
    <w:rsid w:val="1C116DC8"/>
    <w:rsid w:val="1C24354E"/>
    <w:rsid w:val="1C2C3A20"/>
    <w:rsid w:val="1C2E2412"/>
    <w:rsid w:val="1C322623"/>
    <w:rsid w:val="1C3774E8"/>
    <w:rsid w:val="1C3D11EF"/>
    <w:rsid w:val="1C4334CA"/>
    <w:rsid w:val="1C4D4B4E"/>
    <w:rsid w:val="1C5B2F23"/>
    <w:rsid w:val="1C5E7925"/>
    <w:rsid w:val="1C5F6E53"/>
    <w:rsid w:val="1C746C50"/>
    <w:rsid w:val="1C750BA0"/>
    <w:rsid w:val="1C7866C8"/>
    <w:rsid w:val="1C7A0CDB"/>
    <w:rsid w:val="1C7C14CD"/>
    <w:rsid w:val="1C7E2235"/>
    <w:rsid w:val="1C88175F"/>
    <w:rsid w:val="1C882F24"/>
    <w:rsid w:val="1C887FC8"/>
    <w:rsid w:val="1C9D4F1F"/>
    <w:rsid w:val="1C9F3389"/>
    <w:rsid w:val="1CA113B1"/>
    <w:rsid w:val="1CA200A4"/>
    <w:rsid w:val="1CA34AB3"/>
    <w:rsid w:val="1CAA3502"/>
    <w:rsid w:val="1CAE5691"/>
    <w:rsid w:val="1CB33542"/>
    <w:rsid w:val="1CBF09DD"/>
    <w:rsid w:val="1CC25DAD"/>
    <w:rsid w:val="1CC82992"/>
    <w:rsid w:val="1CE26F6E"/>
    <w:rsid w:val="1CE87CA8"/>
    <w:rsid w:val="1CEC0D57"/>
    <w:rsid w:val="1CF408C1"/>
    <w:rsid w:val="1D0655F6"/>
    <w:rsid w:val="1D1237CF"/>
    <w:rsid w:val="1D172655"/>
    <w:rsid w:val="1D26631B"/>
    <w:rsid w:val="1D2A7AA6"/>
    <w:rsid w:val="1D2E541B"/>
    <w:rsid w:val="1D370008"/>
    <w:rsid w:val="1D465491"/>
    <w:rsid w:val="1D570D89"/>
    <w:rsid w:val="1D5D1140"/>
    <w:rsid w:val="1D5F6196"/>
    <w:rsid w:val="1D6132A5"/>
    <w:rsid w:val="1D65262F"/>
    <w:rsid w:val="1D662C66"/>
    <w:rsid w:val="1D6D2048"/>
    <w:rsid w:val="1D874637"/>
    <w:rsid w:val="1D89537C"/>
    <w:rsid w:val="1D8D531E"/>
    <w:rsid w:val="1D8E56D5"/>
    <w:rsid w:val="1D960989"/>
    <w:rsid w:val="1DA82DC7"/>
    <w:rsid w:val="1DAB4947"/>
    <w:rsid w:val="1DAB5BE2"/>
    <w:rsid w:val="1DC16939"/>
    <w:rsid w:val="1DC22A1F"/>
    <w:rsid w:val="1DCE2C98"/>
    <w:rsid w:val="1DDA4176"/>
    <w:rsid w:val="1DDE2C63"/>
    <w:rsid w:val="1DE25C51"/>
    <w:rsid w:val="1DF5751C"/>
    <w:rsid w:val="1DFC5B17"/>
    <w:rsid w:val="1DFD5CF1"/>
    <w:rsid w:val="1E073507"/>
    <w:rsid w:val="1E105638"/>
    <w:rsid w:val="1E113E22"/>
    <w:rsid w:val="1E191553"/>
    <w:rsid w:val="1E2A31F8"/>
    <w:rsid w:val="1E2C6645"/>
    <w:rsid w:val="1E4029EB"/>
    <w:rsid w:val="1E4754C6"/>
    <w:rsid w:val="1E506462"/>
    <w:rsid w:val="1E523398"/>
    <w:rsid w:val="1E716B1C"/>
    <w:rsid w:val="1E7A43DA"/>
    <w:rsid w:val="1E854ACC"/>
    <w:rsid w:val="1E9D6C5D"/>
    <w:rsid w:val="1E9E48CD"/>
    <w:rsid w:val="1EA1218D"/>
    <w:rsid w:val="1EA66D7B"/>
    <w:rsid w:val="1EA96D55"/>
    <w:rsid w:val="1EB277FE"/>
    <w:rsid w:val="1EB30B6B"/>
    <w:rsid w:val="1EB708E1"/>
    <w:rsid w:val="1EBB4DC8"/>
    <w:rsid w:val="1EC93DF1"/>
    <w:rsid w:val="1ED27A8A"/>
    <w:rsid w:val="1ED31D0F"/>
    <w:rsid w:val="1EE0264A"/>
    <w:rsid w:val="1EE46566"/>
    <w:rsid w:val="1EE652CB"/>
    <w:rsid w:val="1EF265AA"/>
    <w:rsid w:val="1EFA74FD"/>
    <w:rsid w:val="1F003961"/>
    <w:rsid w:val="1F015720"/>
    <w:rsid w:val="1F085859"/>
    <w:rsid w:val="1F1005FA"/>
    <w:rsid w:val="1F3208BD"/>
    <w:rsid w:val="1F332D3B"/>
    <w:rsid w:val="1F343907"/>
    <w:rsid w:val="1F372738"/>
    <w:rsid w:val="1F416387"/>
    <w:rsid w:val="1F4C1D4F"/>
    <w:rsid w:val="1F5D5E42"/>
    <w:rsid w:val="1F6B25E2"/>
    <w:rsid w:val="1F6E04FE"/>
    <w:rsid w:val="1F6F48AA"/>
    <w:rsid w:val="1F717757"/>
    <w:rsid w:val="1F8232BD"/>
    <w:rsid w:val="1F895036"/>
    <w:rsid w:val="1F907800"/>
    <w:rsid w:val="1F945E97"/>
    <w:rsid w:val="1F9864A2"/>
    <w:rsid w:val="1FA4088E"/>
    <w:rsid w:val="1FA62E4E"/>
    <w:rsid w:val="1FAA4F9C"/>
    <w:rsid w:val="1FB8360B"/>
    <w:rsid w:val="1FBB00A0"/>
    <w:rsid w:val="1FBE2FA3"/>
    <w:rsid w:val="1FBF0530"/>
    <w:rsid w:val="1FC37D0C"/>
    <w:rsid w:val="1FCC5370"/>
    <w:rsid w:val="1FD942B3"/>
    <w:rsid w:val="1FE1667E"/>
    <w:rsid w:val="1FE7539E"/>
    <w:rsid w:val="1FEA3DF9"/>
    <w:rsid w:val="1FF11F2E"/>
    <w:rsid w:val="1FF35503"/>
    <w:rsid w:val="1FF554B9"/>
    <w:rsid w:val="20056B35"/>
    <w:rsid w:val="200E0B20"/>
    <w:rsid w:val="20252016"/>
    <w:rsid w:val="20293352"/>
    <w:rsid w:val="202D6FB3"/>
    <w:rsid w:val="20421BCC"/>
    <w:rsid w:val="2045316C"/>
    <w:rsid w:val="204C53F7"/>
    <w:rsid w:val="205413F0"/>
    <w:rsid w:val="206408E9"/>
    <w:rsid w:val="20654209"/>
    <w:rsid w:val="206C5785"/>
    <w:rsid w:val="20725642"/>
    <w:rsid w:val="207B087C"/>
    <w:rsid w:val="20906B15"/>
    <w:rsid w:val="20913EA3"/>
    <w:rsid w:val="20944636"/>
    <w:rsid w:val="209452B4"/>
    <w:rsid w:val="209606BF"/>
    <w:rsid w:val="2096149A"/>
    <w:rsid w:val="20963CB8"/>
    <w:rsid w:val="20A84CBF"/>
    <w:rsid w:val="20AD53F8"/>
    <w:rsid w:val="20AF03AD"/>
    <w:rsid w:val="20B07FB6"/>
    <w:rsid w:val="20B13077"/>
    <w:rsid w:val="20B82C37"/>
    <w:rsid w:val="20B97C0C"/>
    <w:rsid w:val="20C12B49"/>
    <w:rsid w:val="20C54101"/>
    <w:rsid w:val="20D03449"/>
    <w:rsid w:val="20D06B88"/>
    <w:rsid w:val="20E21BD6"/>
    <w:rsid w:val="20E44416"/>
    <w:rsid w:val="20E46B86"/>
    <w:rsid w:val="20E5000B"/>
    <w:rsid w:val="20E9590B"/>
    <w:rsid w:val="21030B2D"/>
    <w:rsid w:val="21047C6F"/>
    <w:rsid w:val="210C1386"/>
    <w:rsid w:val="21100E58"/>
    <w:rsid w:val="21161200"/>
    <w:rsid w:val="211C3549"/>
    <w:rsid w:val="21230108"/>
    <w:rsid w:val="212A795F"/>
    <w:rsid w:val="212B577E"/>
    <w:rsid w:val="213719DA"/>
    <w:rsid w:val="213B74B1"/>
    <w:rsid w:val="21402944"/>
    <w:rsid w:val="214948C5"/>
    <w:rsid w:val="215A2310"/>
    <w:rsid w:val="216563E3"/>
    <w:rsid w:val="21824C49"/>
    <w:rsid w:val="218757E7"/>
    <w:rsid w:val="218F0484"/>
    <w:rsid w:val="218F79C6"/>
    <w:rsid w:val="219056FC"/>
    <w:rsid w:val="2194183D"/>
    <w:rsid w:val="21A55277"/>
    <w:rsid w:val="21AD50EC"/>
    <w:rsid w:val="21AF50DC"/>
    <w:rsid w:val="21B04F3E"/>
    <w:rsid w:val="21B81C3C"/>
    <w:rsid w:val="21BA6214"/>
    <w:rsid w:val="21C13AB7"/>
    <w:rsid w:val="21CB709A"/>
    <w:rsid w:val="21D20BE6"/>
    <w:rsid w:val="21DA38AD"/>
    <w:rsid w:val="21DB7A31"/>
    <w:rsid w:val="21DE318A"/>
    <w:rsid w:val="21DE546E"/>
    <w:rsid w:val="21E17843"/>
    <w:rsid w:val="21E86246"/>
    <w:rsid w:val="21EF5B80"/>
    <w:rsid w:val="21F809A3"/>
    <w:rsid w:val="22062F07"/>
    <w:rsid w:val="221738E3"/>
    <w:rsid w:val="221E0D7A"/>
    <w:rsid w:val="222D74FE"/>
    <w:rsid w:val="223334A4"/>
    <w:rsid w:val="223406BF"/>
    <w:rsid w:val="22462D58"/>
    <w:rsid w:val="224751B2"/>
    <w:rsid w:val="22553E14"/>
    <w:rsid w:val="22576990"/>
    <w:rsid w:val="225808BC"/>
    <w:rsid w:val="22613FCE"/>
    <w:rsid w:val="22682C67"/>
    <w:rsid w:val="226E35B3"/>
    <w:rsid w:val="22971A9B"/>
    <w:rsid w:val="2298445A"/>
    <w:rsid w:val="229C4EAB"/>
    <w:rsid w:val="22A55F0C"/>
    <w:rsid w:val="22AC5653"/>
    <w:rsid w:val="22E643DC"/>
    <w:rsid w:val="22EE02C3"/>
    <w:rsid w:val="22F04107"/>
    <w:rsid w:val="230A6D04"/>
    <w:rsid w:val="230D2C81"/>
    <w:rsid w:val="2317747E"/>
    <w:rsid w:val="23272B92"/>
    <w:rsid w:val="232E3EF9"/>
    <w:rsid w:val="2336734B"/>
    <w:rsid w:val="233C1758"/>
    <w:rsid w:val="234465A5"/>
    <w:rsid w:val="2349235F"/>
    <w:rsid w:val="234937BA"/>
    <w:rsid w:val="234968F9"/>
    <w:rsid w:val="234A4E17"/>
    <w:rsid w:val="23537813"/>
    <w:rsid w:val="23573E5E"/>
    <w:rsid w:val="23697743"/>
    <w:rsid w:val="236F3B78"/>
    <w:rsid w:val="23760477"/>
    <w:rsid w:val="237D56F1"/>
    <w:rsid w:val="239A5ACD"/>
    <w:rsid w:val="23A22B57"/>
    <w:rsid w:val="23A84BAC"/>
    <w:rsid w:val="23AC0AAC"/>
    <w:rsid w:val="23B5214B"/>
    <w:rsid w:val="23BA0F60"/>
    <w:rsid w:val="23C553B9"/>
    <w:rsid w:val="23C73DF3"/>
    <w:rsid w:val="23C9259E"/>
    <w:rsid w:val="23D45556"/>
    <w:rsid w:val="23D4755F"/>
    <w:rsid w:val="23D60791"/>
    <w:rsid w:val="23E00B65"/>
    <w:rsid w:val="23E04E34"/>
    <w:rsid w:val="23E12F7B"/>
    <w:rsid w:val="23E27569"/>
    <w:rsid w:val="23E37824"/>
    <w:rsid w:val="24056B56"/>
    <w:rsid w:val="24140557"/>
    <w:rsid w:val="24247235"/>
    <w:rsid w:val="244C5609"/>
    <w:rsid w:val="246130CD"/>
    <w:rsid w:val="2462783D"/>
    <w:rsid w:val="24806415"/>
    <w:rsid w:val="248078A2"/>
    <w:rsid w:val="249C37FC"/>
    <w:rsid w:val="249C5955"/>
    <w:rsid w:val="249C75F0"/>
    <w:rsid w:val="249C7B3D"/>
    <w:rsid w:val="249E1601"/>
    <w:rsid w:val="24A90650"/>
    <w:rsid w:val="24AE22D9"/>
    <w:rsid w:val="24BB7B25"/>
    <w:rsid w:val="24BC5C6A"/>
    <w:rsid w:val="24D30A17"/>
    <w:rsid w:val="24D31996"/>
    <w:rsid w:val="24DE5348"/>
    <w:rsid w:val="24DF491B"/>
    <w:rsid w:val="24FC442D"/>
    <w:rsid w:val="25031F0A"/>
    <w:rsid w:val="25160733"/>
    <w:rsid w:val="252D53FE"/>
    <w:rsid w:val="253A68B3"/>
    <w:rsid w:val="25401198"/>
    <w:rsid w:val="2543586C"/>
    <w:rsid w:val="2551615B"/>
    <w:rsid w:val="255409B2"/>
    <w:rsid w:val="25544534"/>
    <w:rsid w:val="25570996"/>
    <w:rsid w:val="256005A1"/>
    <w:rsid w:val="256179AC"/>
    <w:rsid w:val="2564294D"/>
    <w:rsid w:val="25657A44"/>
    <w:rsid w:val="256741F8"/>
    <w:rsid w:val="25787ADA"/>
    <w:rsid w:val="257D4C26"/>
    <w:rsid w:val="259B56C9"/>
    <w:rsid w:val="25AE273E"/>
    <w:rsid w:val="25B13687"/>
    <w:rsid w:val="25B13D48"/>
    <w:rsid w:val="25C00316"/>
    <w:rsid w:val="25C71160"/>
    <w:rsid w:val="25D114DA"/>
    <w:rsid w:val="25D5458B"/>
    <w:rsid w:val="25D8741C"/>
    <w:rsid w:val="25E4504D"/>
    <w:rsid w:val="25E8380C"/>
    <w:rsid w:val="25EC2D81"/>
    <w:rsid w:val="25F07863"/>
    <w:rsid w:val="25F46230"/>
    <w:rsid w:val="26075C8A"/>
    <w:rsid w:val="260838A8"/>
    <w:rsid w:val="260B0136"/>
    <w:rsid w:val="263666E5"/>
    <w:rsid w:val="263826CA"/>
    <w:rsid w:val="264528BD"/>
    <w:rsid w:val="264A270C"/>
    <w:rsid w:val="264F7D5C"/>
    <w:rsid w:val="26575CA9"/>
    <w:rsid w:val="265B301F"/>
    <w:rsid w:val="26644136"/>
    <w:rsid w:val="2665408D"/>
    <w:rsid w:val="266A3D2E"/>
    <w:rsid w:val="26755D7E"/>
    <w:rsid w:val="26807A10"/>
    <w:rsid w:val="26820026"/>
    <w:rsid w:val="26826546"/>
    <w:rsid w:val="26855795"/>
    <w:rsid w:val="268D14CA"/>
    <w:rsid w:val="269D2CAB"/>
    <w:rsid w:val="269E470D"/>
    <w:rsid w:val="26A85209"/>
    <w:rsid w:val="26AB01A2"/>
    <w:rsid w:val="26B9663E"/>
    <w:rsid w:val="26C351A6"/>
    <w:rsid w:val="26C84271"/>
    <w:rsid w:val="26C86EC3"/>
    <w:rsid w:val="26E5137C"/>
    <w:rsid w:val="26E635E3"/>
    <w:rsid w:val="26EA240E"/>
    <w:rsid w:val="26EF797D"/>
    <w:rsid w:val="26F07964"/>
    <w:rsid w:val="270109AA"/>
    <w:rsid w:val="27085596"/>
    <w:rsid w:val="270B73BD"/>
    <w:rsid w:val="271D76A5"/>
    <w:rsid w:val="272054F0"/>
    <w:rsid w:val="272C382D"/>
    <w:rsid w:val="27397DCF"/>
    <w:rsid w:val="273D2DBC"/>
    <w:rsid w:val="2754035D"/>
    <w:rsid w:val="27567C23"/>
    <w:rsid w:val="275F2DF5"/>
    <w:rsid w:val="27606FB5"/>
    <w:rsid w:val="27662A09"/>
    <w:rsid w:val="27736C0F"/>
    <w:rsid w:val="27821A6E"/>
    <w:rsid w:val="278B04C3"/>
    <w:rsid w:val="278B2102"/>
    <w:rsid w:val="279A7729"/>
    <w:rsid w:val="279E5010"/>
    <w:rsid w:val="27AA650A"/>
    <w:rsid w:val="27AB3FA4"/>
    <w:rsid w:val="27AD008E"/>
    <w:rsid w:val="27B8245A"/>
    <w:rsid w:val="27BD29BA"/>
    <w:rsid w:val="27C42EEB"/>
    <w:rsid w:val="27C73B0C"/>
    <w:rsid w:val="27C751E3"/>
    <w:rsid w:val="27D15DD1"/>
    <w:rsid w:val="27D46A87"/>
    <w:rsid w:val="27EC05B0"/>
    <w:rsid w:val="27F11A89"/>
    <w:rsid w:val="27F32631"/>
    <w:rsid w:val="28023226"/>
    <w:rsid w:val="28034449"/>
    <w:rsid w:val="28071D46"/>
    <w:rsid w:val="280D4191"/>
    <w:rsid w:val="28143AD5"/>
    <w:rsid w:val="2818114F"/>
    <w:rsid w:val="281E78CF"/>
    <w:rsid w:val="28212452"/>
    <w:rsid w:val="282975B7"/>
    <w:rsid w:val="283862DD"/>
    <w:rsid w:val="2848164C"/>
    <w:rsid w:val="28503516"/>
    <w:rsid w:val="28547846"/>
    <w:rsid w:val="285C03FA"/>
    <w:rsid w:val="285F2E9D"/>
    <w:rsid w:val="28603A8F"/>
    <w:rsid w:val="28654498"/>
    <w:rsid w:val="28661037"/>
    <w:rsid w:val="28711B09"/>
    <w:rsid w:val="28743FA7"/>
    <w:rsid w:val="287519B1"/>
    <w:rsid w:val="28892655"/>
    <w:rsid w:val="28903F2D"/>
    <w:rsid w:val="289D4ECD"/>
    <w:rsid w:val="28A60CB9"/>
    <w:rsid w:val="28A76295"/>
    <w:rsid w:val="28AF2018"/>
    <w:rsid w:val="28BE2FB2"/>
    <w:rsid w:val="28CB7CB1"/>
    <w:rsid w:val="28CC40B0"/>
    <w:rsid w:val="28D044D1"/>
    <w:rsid w:val="28D47E89"/>
    <w:rsid w:val="28DE32D7"/>
    <w:rsid w:val="28E379BA"/>
    <w:rsid w:val="28F401C5"/>
    <w:rsid w:val="28F5274B"/>
    <w:rsid w:val="28FB4736"/>
    <w:rsid w:val="29130C3F"/>
    <w:rsid w:val="29206EB8"/>
    <w:rsid w:val="29212321"/>
    <w:rsid w:val="292D4A01"/>
    <w:rsid w:val="29305E23"/>
    <w:rsid w:val="29385895"/>
    <w:rsid w:val="293A0224"/>
    <w:rsid w:val="29505868"/>
    <w:rsid w:val="2952656A"/>
    <w:rsid w:val="295B7597"/>
    <w:rsid w:val="296A6077"/>
    <w:rsid w:val="296F7C84"/>
    <w:rsid w:val="29720991"/>
    <w:rsid w:val="297321A0"/>
    <w:rsid w:val="298044EA"/>
    <w:rsid w:val="29961C46"/>
    <w:rsid w:val="299F1D81"/>
    <w:rsid w:val="29A8500F"/>
    <w:rsid w:val="29A85D07"/>
    <w:rsid w:val="29C45EEC"/>
    <w:rsid w:val="29C60D99"/>
    <w:rsid w:val="29CC6B34"/>
    <w:rsid w:val="29D85C42"/>
    <w:rsid w:val="29D910BB"/>
    <w:rsid w:val="29DD0BB9"/>
    <w:rsid w:val="29E325E0"/>
    <w:rsid w:val="29E7129D"/>
    <w:rsid w:val="29FB12DB"/>
    <w:rsid w:val="2A122820"/>
    <w:rsid w:val="2A1B26D2"/>
    <w:rsid w:val="2A222665"/>
    <w:rsid w:val="2A254F9A"/>
    <w:rsid w:val="2A2E546F"/>
    <w:rsid w:val="2A3810D5"/>
    <w:rsid w:val="2A452503"/>
    <w:rsid w:val="2A4E0020"/>
    <w:rsid w:val="2A7C3429"/>
    <w:rsid w:val="2A821C91"/>
    <w:rsid w:val="2A830A7E"/>
    <w:rsid w:val="2A91663B"/>
    <w:rsid w:val="2AA12D19"/>
    <w:rsid w:val="2AA459DA"/>
    <w:rsid w:val="2AAB52EB"/>
    <w:rsid w:val="2AAF224F"/>
    <w:rsid w:val="2ABC4B97"/>
    <w:rsid w:val="2AC822B5"/>
    <w:rsid w:val="2AD900B3"/>
    <w:rsid w:val="2AE1768F"/>
    <w:rsid w:val="2AE26EA5"/>
    <w:rsid w:val="2AE52BBA"/>
    <w:rsid w:val="2AEF6E51"/>
    <w:rsid w:val="2AF146EF"/>
    <w:rsid w:val="2B006603"/>
    <w:rsid w:val="2B017A83"/>
    <w:rsid w:val="2B066776"/>
    <w:rsid w:val="2B0671B2"/>
    <w:rsid w:val="2B07446B"/>
    <w:rsid w:val="2B113242"/>
    <w:rsid w:val="2B116F22"/>
    <w:rsid w:val="2B144CE9"/>
    <w:rsid w:val="2B186729"/>
    <w:rsid w:val="2B3039FB"/>
    <w:rsid w:val="2B3D6742"/>
    <w:rsid w:val="2B49626D"/>
    <w:rsid w:val="2B4F4EE2"/>
    <w:rsid w:val="2B4F6CB9"/>
    <w:rsid w:val="2B510646"/>
    <w:rsid w:val="2B526DA0"/>
    <w:rsid w:val="2B5B6876"/>
    <w:rsid w:val="2B5D2CDD"/>
    <w:rsid w:val="2B5E7A35"/>
    <w:rsid w:val="2B67088A"/>
    <w:rsid w:val="2B6E5CB1"/>
    <w:rsid w:val="2B810FAD"/>
    <w:rsid w:val="2B997B3E"/>
    <w:rsid w:val="2B9F01E6"/>
    <w:rsid w:val="2BA53726"/>
    <w:rsid w:val="2BA936A8"/>
    <w:rsid w:val="2BA9628D"/>
    <w:rsid w:val="2BAD3D1D"/>
    <w:rsid w:val="2BB53F47"/>
    <w:rsid w:val="2BC06D5D"/>
    <w:rsid w:val="2BCE0B1C"/>
    <w:rsid w:val="2BD01BD6"/>
    <w:rsid w:val="2BD80235"/>
    <w:rsid w:val="2BDA33BF"/>
    <w:rsid w:val="2BDC40C2"/>
    <w:rsid w:val="2BE154CF"/>
    <w:rsid w:val="2BE56BC4"/>
    <w:rsid w:val="2BF325D5"/>
    <w:rsid w:val="2BF521EC"/>
    <w:rsid w:val="2BFA5904"/>
    <w:rsid w:val="2BFA703F"/>
    <w:rsid w:val="2C07333D"/>
    <w:rsid w:val="2C0C7E04"/>
    <w:rsid w:val="2C165F31"/>
    <w:rsid w:val="2C1B657E"/>
    <w:rsid w:val="2C1F45DB"/>
    <w:rsid w:val="2C25015D"/>
    <w:rsid w:val="2C2D359E"/>
    <w:rsid w:val="2C30759F"/>
    <w:rsid w:val="2C315A5A"/>
    <w:rsid w:val="2C317664"/>
    <w:rsid w:val="2C530F08"/>
    <w:rsid w:val="2C5923FC"/>
    <w:rsid w:val="2C6B25ED"/>
    <w:rsid w:val="2C6D3C9C"/>
    <w:rsid w:val="2C8212C4"/>
    <w:rsid w:val="2C847B57"/>
    <w:rsid w:val="2C8E0893"/>
    <w:rsid w:val="2C931228"/>
    <w:rsid w:val="2C9629ED"/>
    <w:rsid w:val="2C9A4664"/>
    <w:rsid w:val="2CB15F74"/>
    <w:rsid w:val="2CB77466"/>
    <w:rsid w:val="2CBA3157"/>
    <w:rsid w:val="2CBB1FF8"/>
    <w:rsid w:val="2CC009D5"/>
    <w:rsid w:val="2CD210A8"/>
    <w:rsid w:val="2CE16FD2"/>
    <w:rsid w:val="2CE63311"/>
    <w:rsid w:val="2CF52E9E"/>
    <w:rsid w:val="2CFF026D"/>
    <w:rsid w:val="2D0A3814"/>
    <w:rsid w:val="2D12351C"/>
    <w:rsid w:val="2D16511A"/>
    <w:rsid w:val="2D1E7B86"/>
    <w:rsid w:val="2D334C04"/>
    <w:rsid w:val="2D342C91"/>
    <w:rsid w:val="2D3C5B4F"/>
    <w:rsid w:val="2D4855A4"/>
    <w:rsid w:val="2D4D5E36"/>
    <w:rsid w:val="2D526224"/>
    <w:rsid w:val="2D646379"/>
    <w:rsid w:val="2D6D2CA9"/>
    <w:rsid w:val="2D744572"/>
    <w:rsid w:val="2D78397D"/>
    <w:rsid w:val="2D825AAF"/>
    <w:rsid w:val="2D90688D"/>
    <w:rsid w:val="2D974858"/>
    <w:rsid w:val="2D9E56F5"/>
    <w:rsid w:val="2D9F2828"/>
    <w:rsid w:val="2DA116CB"/>
    <w:rsid w:val="2DB15333"/>
    <w:rsid w:val="2DBA4FBF"/>
    <w:rsid w:val="2DD45D34"/>
    <w:rsid w:val="2DD52AD3"/>
    <w:rsid w:val="2DDC5A98"/>
    <w:rsid w:val="2DDD453B"/>
    <w:rsid w:val="2DE27953"/>
    <w:rsid w:val="2E057DF3"/>
    <w:rsid w:val="2E0932F8"/>
    <w:rsid w:val="2E0C48C3"/>
    <w:rsid w:val="2E287D3C"/>
    <w:rsid w:val="2E291366"/>
    <w:rsid w:val="2E33464C"/>
    <w:rsid w:val="2E3F7D6B"/>
    <w:rsid w:val="2E435964"/>
    <w:rsid w:val="2E477C4A"/>
    <w:rsid w:val="2E4C168F"/>
    <w:rsid w:val="2E51630E"/>
    <w:rsid w:val="2E537855"/>
    <w:rsid w:val="2E626CAC"/>
    <w:rsid w:val="2E667F96"/>
    <w:rsid w:val="2E6D288A"/>
    <w:rsid w:val="2E716616"/>
    <w:rsid w:val="2E773506"/>
    <w:rsid w:val="2E8226AB"/>
    <w:rsid w:val="2E844C76"/>
    <w:rsid w:val="2E860169"/>
    <w:rsid w:val="2E8B7E9A"/>
    <w:rsid w:val="2E8C4C18"/>
    <w:rsid w:val="2E9C112A"/>
    <w:rsid w:val="2EB134DB"/>
    <w:rsid w:val="2EB35C00"/>
    <w:rsid w:val="2EBF0158"/>
    <w:rsid w:val="2EC414D3"/>
    <w:rsid w:val="2EC9354D"/>
    <w:rsid w:val="2ED300C5"/>
    <w:rsid w:val="2ED36AEA"/>
    <w:rsid w:val="2EE311BF"/>
    <w:rsid w:val="2EED167B"/>
    <w:rsid w:val="2EF44C24"/>
    <w:rsid w:val="2EF621B5"/>
    <w:rsid w:val="2EF80073"/>
    <w:rsid w:val="2F0031C7"/>
    <w:rsid w:val="2F0857E8"/>
    <w:rsid w:val="2F0B5B3C"/>
    <w:rsid w:val="2F1B6608"/>
    <w:rsid w:val="2F1E141D"/>
    <w:rsid w:val="2F2D4BE2"/>
    <w:rsid w:val="2F4221DF"/>
    <w:rsid w:val="2F4A1AF7"/>
    <w:rsid w:val="2F4D18CB"/>
    <w:rsid w:val="2F4F6C48"/>
    <w:rsid w:val="2F630E31"/>
    <w:rsid w:val="2F6824F8"/>
    <w:rsid w:val="2F6B21B8"/>
    <w:rsid w:val="2F6C2125"/>
    <w:rsid w:val="2F707E77"/>
    <w:rsid w:val="2F7243AF"/>
    <w:rsid w:val="2F7C7D13"/>
    <w:rsid w:val="2F832C79"/>
    <w:rsid w:val="2F940C08"/>
    <w:rsid w:val="2FA01509"/>
    <w:rsid w:val="2FA359E3"/>
    <w:rsid w:val="2FAE1CA0"/>
    <w:rsid w:val="2FB87D75"/>
    <w:rsid w:val="2FCF00B5"/>
    <w:rsid w:val="2FD46808"/>
    <w:rsid w:val="2FDA7A31"/>
    <w:rsid w:val="2FDC2667"/>
    <w:rsid w:val="2FEA7002"/>
    <w:rsid w:val="2FED2049"/>
    <w:rsid w:val="2FEF2D58"/>
    <w:rsid w:val="2FEF773D"/>
    <w:rsid w:val="300372EC"/>
    <w:rsid w:val="3004727B"/>
    <w:rsid w:val="30133AFF"/>
    <w:rsid w:val="30277E9B"/>
    <w:rsid w:val="30330412"/>
    <w:rsid w:val="305257BF"/>
    <w:rsid w:val="30544D98"/>
    <w:rsid w:val="30574545"/>
    <w:rsid w:val="30580BC9"/>
    <w:rsid w:val="30656EFE"/>
    <w:rsid w:val="30680F64"/>
    <w:rsid w:val="306925D5"/>
    <w:rsid w:val="306D4DF9"/>
    <w:rsid w:val="308644BA"/>
    <w:rsid w:val="308F0958"/>
    <w:rsid w:val="309A1DA4"/>
    <w:rsid w:val="30A11056"/>
    <w:rsid w:val="30A65F60"/>
    <w:rsid w:val="30A85722"/>
    <w:rsid w:val="30AE0A89"/>
    <w:rsid w:val="30B26706"/>
    <w:rsid w:val="30BA7D9C"/>
    <w:rsid w:val="30C96F56"/>
    <w:rsid w:val="30CD7C09"/>
    <w:rsid w:val="30D06771"/>
    <w:rsid w:val="30DE27D9"/>
    <w:rsid w:val="30F21435"/>
    <w:rsid w:val="30F839EE"/>
    <w:rsid w:val="30FA3EE8"/>
    <w:rsid w:val="31014F98"/>
    <w:rsid w:val="31032BA0"/>
    <w:rsid w:val="311E2ED7"/>
    <w:rsid w:val="31203974"/>
    <w:rsid w:val="31214974"/>
    <w:rsid w:val="312229D7"/>
    <w:rsid w:val="313468A3"/>
    <w:rsid w:val="313A50A2"/>
    <w:rsid w:val="313F1D54"/>
    <w:rsid w:val="31450C0E"/>
    <w:rsid w:val="315A0EC3"/>
    <w:rsid w:val="315C449C"/>
    <w:rsid w:val="315F0D3B"/>
    <w:rsid w:val="316163E8"/>
    <w:rsid w:val="316604E5"/>
    <w:rsid w:val="316619A5"/>
    <w:rsid w:val="31790C44"/>
    <w:rsid w:val="317B2003"/>
    <w:rsid w:val="3184291B"/>
    <w:rsid w:val="31893124"/>
    <w:rsid w:val="318B45DB"/>
    <w:rsid w:val="319C52E2"/>
    <w:rsid w:val="31B82709"/>
    <w:rsid w:val="31CD12E7"/>
    <w:rsid w:val="31D4189F"/>
    <w:rsid w:val="31D827BB"/>
    <w:rsid w:val="31DD3386"/>
    <w:rsid w:val="31E24CC7"/>
    <w:rsid w:val="31FC7ADD"/>
    <w:rsid w:val="31FF1B29"/>
    <w:rsid w:val="32082272"/>
    <w:rsid w:val="32232DF9"/>
    <w:rsid w:val="32273FFA"/>
    <w:rsid w:val="322B5222"/>
    <w:rsid w:val="322B5C7F"/>
    <w:rsid w:val="32344418"/>
    <w:rsid w:val="323B24B5"/>
    <w:rsid w:val="323B3255"/>
    <w:rsid w:val="323F351E"/>
    <w:rsid w:val="32400B34"/>
    <w:rsid w:val="3245190D"/>
    <w:rsid w:val="326F25DA"/>
    <w:rsid w:val="327607CB"/>
    <w:rsid w:val="32982722"/>
    <w:rsid w:val="329C0C35"/>
    <w:rsid w:val="329E6876"/>
    <w:rsid w:val="32AB51EF"/>
    <w:rsid w:val="32B26F82"/>
    <w:rsid w:val="32C64DD3"/>
    <w:rsid w:val="32CA04D1"/>
    <w:rsid w:val="32DE4710"/>
    <w:rsid w:val="32E50032"/>
    <w:rsid w:val="32E567BA"/>
    <w:rsid w:val="32F82A26"/>
    <w:rsid w:val="33005147"/>
    <w:rsid w:val="330F4513"/>
    <w:rsid w:val="33144CBE"/>
    <w:rsid w:val="3318138F"/>
    <w:rsid w:val="331951B1"/>
    <w:rsid w:val="331B5A22"/>
    <w:rsid w:val="3321474F"/>
    <w:rsid w:val="33230DC0"/>
    <w:rsid w:val="33246253"/>
    <w:rsid w:val="33300259"/>
    <w:rsid w:val="333B4E6D"/>
    <w:rsid w:val="33401378"/>
    <w:rsid w:val="33444700"/>
    <w:rsid w:val="334932C0"/>
    <w:rsid w:val="335A1256"/>
    <w:rsid w:val="33642FFF"/>
    <w:rsid w:val="336A1A03"/>
    <w:rsid w:val="33780877"/>
    <w:rsid w:val="33851FBD"/>
    <w:rsid w:val="33936BE1"/>
    <w:rsid w:val="33936BE9"/>
    <w:rsid w:val="33942271"/>
    <w:rsid w:val="33946E38"/>
    <w:rsid w:val="33987C18"/>
    <w:rsid w:val="33A32518"/>
    <w:rsid w:val="33AB5912"/>
    <w:rsid w:val="33AC0E5D"/>
    <w:rsid w:val="33AF23E6"/>
    <w:rsid w:val="33B50A72"/>
    <w:rsid w:val="33B761D8"/>
    <w:rsid w:val="33C23683"/>
    <w:rsid w:val="33C377C1"/>
    <w:rsid w:val="33C37BAC"/>
    <w:rsid w:val="33C865A7"/>
    <w:rsid w:val="33CB0E6D"/>
    <w:rsid w:val="33D02513"/>
    <w:rsid w:val="33D14E78"/>
    <w:rsid w:val="33D62C50"/>
    <w:rsid w:val="33D934D4"/>
    <w:rsid w:val="33E006BF"/>
    <w:rsid w:val="33E85AE2"/>
    <w:rsid w:val="33F2765B"/>
    <w:rsid w:val="33F91151"/>
    <w:rsid w:val="33FE2F6A"/>
    <w:rsid w:val="34226C13"/>
    <w:rsid w:val="342B2D46"/>
    <w:rsid w:val="34336252"/>
    <w:rsid w:val="34400B95"/>
    <w:rsid w:val="3452003B"/>
    <w:rsid w:val="3457408B"/>
    <w:rsid w:val="346333BA"/>
    <w:rsid w:val="346C13EC"/>
    <w:rsid w:val="346F1551"/>
    <w:rsid w:val="34723A7C"/>
    <w:rsid w:val="34724F55"/>
    <w:rsid w:val="34741493"/>
    <w:rsid w:val="347E3B1B"/>
    <w:rsid w:val="347F3B84"/>
    <w:rsid w:val="34913824"/>
    <w:rsid w:val="34B117CB"/>
    <w:rsid w:val="34B6010F"/>
    <w:rsid w:val="34BB692A"/>
    <w:rsid w:val="34CB76C0"/>
    <w:rsid w:val="34CE3D56"/>
    <w:rsid w:val="34D10689"/>
    <w:rsid w:val="34D3744D"/>
    <w:rsid w:val="34D80167"/>
    <w:rsid w:val="34D85098"/>
    <w:rsid w:val="34EC713D"/>
    <w:rsid w:val="34ED0906"/>
    <w:rsid w:val="34ED11B4"/>
    <w:rsid w:val="34FF1D20"/>
    <w:rsid w:val="35047B50"/>
    <w:rsid w:val="35151BCA"/>
    <w:rsid w:val="351577C2"/>
    <w:rsid w:val="351D22B5"/>
    <w:rsid w:val="352C193F"/>
    <w:rsid w:val="353C66B7"/>
    <w:rsid w:val="35435566"/>
    <w:rsid w:val="355354F1"/>
    <w:rsid w:val="35610D3C"/>
    <w:rsid w:val="356A02C7"/>
    <w:rsid w:val="357153DC"/>
    <w:rsid w:val="35754580"/>
    <w:rsid w:val="3581539A"/>
    <w:rsid w:val="35857719"/>
    <w:rsid w:val="358C0289"/>
    <w:rsid w:val="359679FA"/>
    <w:rsid w:val="359D4C45"/>
    <w:rsid w:val="35A140D7"/>
    <w:rsid w:val="35A92C5E"/>
    <w:rsid w:val="35B3718D"/>
    <w:rsid w:val="35B7142B"/>
    <w:rsid w:val="35BA7967"/>
    <w:rsid w:val="35C1468B"/>
    <w:rsid w:val="35C85466"/>
    <w:rsid w:val="35D70A20"/>
    <w:rsid w:val="35D71F60"/>
    <w:rsid w:val="35ED2751"/>
    <w:rsid w:val="35F163A2"/>
    <w:rsid w:val="36074A7F"/>
    <w:rsid w:val="36114981"/>
    <w:rsid w:val="361657C7"/>
    <w:rsid w:val="361A49DF"/>
    <w:rsid w:val="36235CC6"/>
    <w:rsid w:val="36254E22"/>
    <w:rsid w:val="36382B58"/>
    <w:rsid w:val="364410A5"/>
    <w:rsid w:val="36487CA6"/>
    <w:rsid w:val="365D6525"/>
    <w:rsid w:val="36642C52"/>
    <w:rsid w:val="36757B2B"/>
    <w:rsid w:val="368B7D0C"/>
    <w:rsid w:val="368D50D9"/>
    <w:rsid w:val="36923549"/>
    <w:rsid w:val="369B41B1"/>
    <w:rsid w:val="369C607B"/>
    <w:rsid w:val="36AA05DC"/>
    <w:rsid w:val="36B40242"/>
    <w:rsid w:val="36B41D88"/>
    <w:rsid w:val="36B52D5D"/>
    <w:rsid w:val="36B75FBF"/>
    <w:rsid w:val="36BA3997"/>
    <w:rsid w:val="36BC3B61"/>
    <w:rsid w:val="36C74DC2"/>
    <w:rsid w:val="36CF54F4"/>
    <w:rsid w:val="36DF62F3"/>
    <w:rsid w:val="36E02B1F"/>
    <w:rsid w:val="36E14472"/>
    <w:rsid w:val="36EA24E2"/>
    <w:rsid w:val="36EC14EA"/>
    <w:rsid w:val="36F71753"/>
    <w:rsid w:val="36FB4891"/>
    <w:rsid w:val="36FE33C8"/>
    <w:rsid w:val="37053A8D"/>
    <w:rsid w:val="37053EF1"/>
    <w:rsid w:val="37146AB2"/>
    <w:rsid w:val="37197743"/>
    <w:rsid w:val="371A1994"/>
    <w:rsid w:val="3732237A"/>
    <w:rsid w:val="373B16A0"/>
    <w:rsid w:val="373C2F0A"/>
    <w:rsid w:val="3754164B"/>
    <w:rsid w:val="37551FA5"/>
    <w:rsid w:val="37646267"/>
    <w:rsid w:val="377F7514"/>
    <w:rsid w:val="378205A3"/>
    <w:rsid w:val="37864F31"/>
    <w:rsid w:val="378E3466"/>
    <w:rsid w:val="378F2DB2"/>
    <w:rsid w:val="37944EC2"/>
    <w:rsid w:val="37987B13"/>
    <w:rsid w:val="37AC53A4"/>
    <w:rsid w:val="37B557D1"/>
    <w:rsid w:val="37C326E0"/>
    <w:rsid w:val="37D45577"/>
    <w:rsid w:val="37DD4595"/>
    <w:rsid w:val="37F93DC2"/>
    <w:rsid w:val="38081D99"/>
    <w:rsid w:val="381F2C2C"/>
    <w:rsid w:val="38201B33"/>
    <w:rsid w:val="38295A4F"/>
    <w:rsid w:val="38472F93"/>
    <w:rsid w:val="38490850"/>
    <w:rsid w:val="3857693C"/>
    <w:rsid w:val="385D3FDA"/>
    <w:rsid w:val="3879653E"/>
    <w:rsid w:val="3888129B"/>
    <w:rsid w:val="38993F09"/>
    <w:rsid w:val="38A35FDD"/>
    <w:rsid w:val="38C17A7C"/>
    <w:rsid w:val="38CB5ED9"/>
    <w:rsid w:val="38CB7E83"/>
    <w:rsid w:val="38CD2693"/>
    <w:rsid w:val="38EA1A36"/>
    <w:rsid w:val="38EB30F4"/>
    <w:rsid w:val="38ED09BC"/>
    <w:rsid w:val="38ED0D2F"/>
    <w:rsid w:val="38F12CD3"/>
    <w:rsid w:val="38F94775"/>
    <w:rsid w:val="39213FE2"/>
    <w:rsid w:val="392938EC"/>
    <w:rsid w:val="39293BF7"/>
    <w:rsid w:val="392971ED"/>
    <w:rsid w:val="392A06D7"/>
    <w:rsid w:val="39452C69"/>
    <w:rsid w:val="394A00B9"/>
    <w:rsid w:val="395429C6"/>
    <w:rsid w:val="395A6BD0"/>
    <w:rsid w:val="39704062"/>
    <w:rsid w:val="39714868"/>
    <w:rsid w:val="39803A82"/>
    <w:rsid w:val="398114DD"/>
    <w:rsid w:val="398561F3"/>
    <w:rsid w:val="39857E1B"/>
    <w:rsid w:val="3989609D"/>
    <w:rsid w:val="398C0652"/>
    <w:rsid w:val="39A91C46"/>
    <w:rsid w:val="39AE6D04"/>
    <w:rsid w:val="39CB19BF"/>
    <w:rsid w:val="39D252E7"/>
    <w:rsid w:val="39D85C6A"/>
    <w:rsid w:val="39D964B0"/>
    <w:rsid w:val="39E401FF"/>
    <w:rsid w:val="39E7228A"/>
    <w:rsid w:val="39FA5736"/>
    <w:rsid w:val="39FC63C1"/>
    <w:rsid w:val="39FF7ADE"/>
    <w:rsid w:val="3A080D34"/>
    <w:rsid w:val="3A082C40"/>
    <w:rsid w:val="3A1669DE"/>
    <w:rsid w:val="3A196DF8"/>
    <w:rsid w:val="3A1E10CC"/>
    <w:rsid w:val="3A2775FE"/>
    <w:rsid w:val="3A2B0490"/>
    <w:rsid w:val="3A302301"/>
    <w:rsid w:val="3A406550"/>
    <w:rsid w:val="3A415495"/>
    <w:rsid w:val="3A544EED"/>
    <w:rsid w:val="3A5D5D98"/>
    <w:rsid w:val="3A6770C3"/>
    <w:rsid w:val="3A722FC7"/>
    <w:rsid w:val="3A7C577B"/>
    <w:rsid w:val="3A846159"/>
    <w:rsid w:val="3A8477F5"/>
    <w:rsid w:val="3A904B5E"/>
    <w:rsid w:val="3A9631CE"/>
    <w:rsid w:val="3AA94CC2"/>
    <w:rsid w:val="3AAA632A"/>
    <w:rsid w:val="3AAC45D9"/>
    <w:rsid w:val="3ABC6DEF"/>
    <w:rsid w:val="3ACD2627"/>
    <w:rsid w:val="3AD202BA"/>
    <w:rsid w:val="3AD27B5F"/>
    <w:rsid w:val="3AD74FC1"/>
    <w:rsid w:val="3AE87A08"/>
    <w:rsid w:val="3AEC1501"/>
    <w:rsid w:val="3AEC3866"/>
    <w:rsid w:val="3AF956A2"/>
    <w:rsid w:val="3B007433"/>
    <w:rsid w:val="3B141015"/>
    <w:rsid w:val="3B1641D1"/>
    <w:rsid w:val="3B1B4031"/>
    <w:rsid w:val="3B2553EF"/>
    <w:rsid w:val="3B3763D1"/>
    <w:rsid w:val="3B3904E9"/>
    <w:rsid w:val="3B451076"/>
    <w:rsid w:val="3B5149AF"/>
    <w:rsid w:val="3B543C1A"/>
    <w:rsid w:val="3B5F2483"/>
    <w:rsid w:val="3B655C1E"/>
    <w:rsid w:val="3B820032"/>
    <w:rsid w:val="3B863B0A"/>
    <w:rsid w:val="3B8F0F6B"/>
    <w:rsid w:val="3B901D6F"/>
    <w:rsid w:val="3B9F6B86"/>
    <w:rsid w:val="3BA10146"/>
    <w:rsid w:val="3BA12E36"/>
    <w:rsid w:val="3BA53BFB"/>
    <w:rsid w:val="3BAF5805"/>
    <w:rsid w:val="3BB04310"/>
    <w:rsid w:val="3BC13E21"/>
    <w:rsid w:val="3BC3634D"/>
    <w:rsid w:val="3BC577FD"/>
    <w:rsid w:val="3BC9666D"/>
    <w:rsid w:val="3BD1596B"/>
    <w:rsid w:val="3BD86AE4"/>
    <w:rsid w:val="3BE20810"/>
    <w:rsid w:val="3BEA3744"/>
    <w:rsid w:val="3BFA1528"/>
    <w:rsid w:val="3BFD60EE"/>
    <w:rsid w:val="3BFE5377"/>
    <w:rsid w:val="3C0469F6"/>
    <w:rsid w:val="3C25717C"/>
    <w:rsid w:val="3C2871B7"/>
    <w:rsid w:val="3C367400"/>
    <w:rsid w:val="3C462B50"/>
    <w:rsid w:val="3C4B0A23"/>
    <w:rsid w:val="3C4B79F8"/>
    <w:rsid w:val="3C5B78D5"/>
    <w:rsid w:val="3C636518"/>
    <w:rsid w:val="3C653D1F"/>
    <w:rsid w:val="3C7F20B1"/>
    <w:rsid w:val="3C915C0A"/>
    <w:rsid w:val="3C9F1297"/>
    <w:rsid w:val="3C9F682A"/>
    <w:rsid w:val="3CA10E2B"/>
    <w:rsid w:val="3CAB789A"/>
    <w:rsid w:val="3CAE0FBC"/>
    <w:rsid w:val="3CB2072F"/>
    <w:rsid w:val="3CB85140"/>
    <w:rsid w:val="3CC63636"/>
    <w:rsid w:val="3CC6780D"/>
    <w:rsid w:val="3CC923C9"/>
    <w:rsid w:val="3CD326D0"/>
    <w:rsid w:val="3CDA0861"/>
    <w:rsid w:val="3CDA245A"/>
    <w:rsid w:val="3CE24583"/>
    <w:rsid w:val="3CED06B3"/>
    <w:rsid w:val="3CEE0A37"/>
    <w:rsid w:val="3CF347A7"/>
    <w:rsid w:val="3CFE5D0C"/>
    <w:rsid w:val="3D0A19C4"/>
    <w:rsid w:val="3D110D2D"/>
    <w:rsid w:val="3D115741"/>
    <w:rsid w:val="3D2D46FC"/>
    <w:rsid w:val="3D2E1B64"/>
    <w:rsid w:val="3D3271F7"/>
    <w:rsid w:val="3D371DB6"/>
    <w:rsid w:val="3D514747"/>
    <w:rsid w:val="3D770078"/>
    <w:rsid w:val="3D7C736D"/>
    <w:rsid w:val="3D7F1AD6"/>
    <w:rsid w:val="3D860623"/>
    <w:rsid w:val="3D8C1AA8"/>
    <w:rsid w:val="3D9169FD"/>
    <w:rsid w:val="3DAB38B8"/>
    <w:rsid w:val="3DAD0144"/>
    <w:rsid w:val="3DBA60DF"/>
    <w:rsid w:val="3DBC362D"/>
    <w:rsid w:val="3DBD61FA"/>
    <w:rsid w:val="3DC6263E"/>
    <w:rsid w:val="3DCB6B42"/>
    <w:rsid w:val="3DD53C86"/>
    <w:rsid w:val="3DD6406F"/>
    <w:rsid w:val="3DD8768A"/>
    <w:rsid w:val="3DDD4424"/>
    <w:rsid w:val="3DE07B77"/>
    <w:rsid w:val="3DE66773"/>
    <w:rsid w:val="3DF11593"/>
    <w:rsid w:val="3DF30589"/>
    <w:rsid w:val="3E013BFB"/>
    <w:rsid w:val="3E017796"/>
    <w:rsid w:val="3E0B1114"/>
    <w:rsid w:val="3E13382F"/>
    <w:rsid w:val="3E140FB7"/>
    <w:rsid w:val="3E3F6733"/>
    <w:rsid w:val="3E404C38"/>
    <w:rsid w:val="3E4712D6"/>
    <w:rsid w:val="3E4A1862"/>
    <w:rsid w:val="3E4B6A56"/>
    <w:rsid w:val="3E50742A"/>
    <w:rsid w:val="3E525B8C"/>
    <w:rsid w:val="3E63000C"/>
    <w:rsid w:val="3E6B47AA"/>
    <w:rsid w:val="3E7A4A8E"/>
    <w:rsid w:val="3E802637"/>
    <w:rsid w:val="3E845633"/>
    <w:rsid w:val="3E904956"/>
    <w:rsid w:val="3EA245A7"/>
    <w:rsid w:val="3EBA4A25"/>
    <w:rsid w:val="3EBD5563"/>
    <w:rsid w:val="3EC71560"/>
    <w:rsid w:val="3ED207C1"/>
    <w:rsid w:val="3EE27523"/>
    <w:rsid w:val="3EE40E05"/>
    <w:rsid w:val="3EE80EDD"/>
    <w:rsid w:val="3EF53EA2"/>
    <w:rsid w:val="3F067277"/>
    <w:rsid w:val="3F082AA4"/>
    <w:rsid w:val="3F0B4831"/>
    <w:rsid w:val="3F1443BE"/>
    <w:rsid w:val="3F181DD1"/>
    <w:rsid w:val="3F296B45"/>
    <w:rsid w:val="3F33549C"/>
    <w:rsid w:val="3F373718"/>
    <w:rsid w:val="3F385A94"/>
    <w:rsid w:val="3F3A0721"/>
    <w:rsid w:val="3F3C0D16"/>
    <w:rsid w:val="3F4D2FAE"/>
    <w:rsid w:val="3F5601D6"/>
    <w:rsid w:val="3F660E74"/>
    <w:rsid w:val="3F6E01A8"/>
    <w:rsid w:val="3F6E3EB5"/>
    <w:rsid w:val="3F760304"/>
    <w:rsid w:val="3F8A13F6"/>
    <w:rsid w:val="3F917212"/>
    <w:rsid w:val="3F940DE3"/>
    <w:rsid w:val="3F971E75"/>
    <w:rsid w:val="3F9A535B"/>
    <w:rsid w:val="3F9F46CB"/>
    <w:rsid w:val="3FA00CFE"/>
    <w:rsid w:val="3FA54001"/>
    <w:rsid w:val="3FAF21A2"/>
    <w:rsid w:val="3FAF4771"/>
    <w:rsid w:val="3FB10F4B"/>
    <w:rsid w:val="3FB522C9"/>
    <w:rsid w:val="3FC31D2B"/>
    <w:rsid w:val="3FD47B9A"/>
    <w:rsid w:val="3FDE7B3D"/>
    <w:rsid w:val="3FED3F49"/>
    <w:rsid w:val="3FEF4EA0"/>
    <w:rsid w:val="3FF37B5B"/>
    <w:rsid w:val="3FFE4072"/>
    <w:rsid w:val="400472E4"/>
    <w:rsid w:val="4006605E"/>
    <w:rsid w:val="400941BE"/>
    <w:rsid w:val="400A200E"/>
    <w:rsid w:val="400B3CAB"/>
    <w:rsid w:val="40112738"/>
    <w:rsid w:val="40177F30"/>
    <w:rsid w:val="401B02F5"/>
    <w:rsid w:val="40371AA6"/>
    <w:rsid w:val="40475082"/>
    <w:rsid w:val="405B72D0"/>
    <w:rsid w:val="405C39AF"/>
    <w:rsid w:val="4067503E"/>
    <w:rsid w:val="406934C3"/>
    <w:rsid w:val="406A073B"/>
    <w:rsid w:val="406E761F"/>
    <w:rsid w:val="4077431B"/>
    <w:rsid w:val="407A6407"/>
    <w:rsid w:val="408426C4"/>
    <w:rsid w:val="408F48FA"/>
    <w:rsid w:val="4097401F"/>
    <w:rsid w:val="409B461D"/>
    <w:rsid w:val="409C6CCC"/>
    <w:rsid w:val="409E7105"/>
    <w:rsid w:val="40A87C35"/>
    <w:rsid w:val="40D402B9"/>
    <w:rsid w:val="40D442D5"/>
    <w:rsid w:val="40D9300D"/>
    <w:rsid w:val="40E00421"/>
    <w:rsid w:val="40FD70DE"/>
    <w:rsid w:val="41096935"/>
    <w:rsid w:val="41096974"/>
    <w:rsid w:val="412C4ADE"/>
    <w:rsid w:val="413746C9"/>
    <w:rsid w:val="41383F3A"/>
    <w:rsid w:val="41505B9A"/>
    <w:rsid w:val="41506AE5"/>
    <w:rsid w:val="41633095"/>
    <w:rsid w:val="41752ED6"/>
    <w:rsid w:val="417810E9"/>
    <w:rsid w:val="41800D2A"/>
    <w:rsid w:val="41887BC5"/>
    <w:rsid w:val="418D4B29"/>
    <w:rsid w:val="41915509"/>
    <w:rsid w:val="419903E6"/>
    <w:rsid w:val="419A6C02"/>
    <w:rsid w:val="419F28AB"/>
    <w:rsid w:val="419F6E7A"/>
    <w:rsid w:val="41A2657C"/>
    <w:rsid w:val="41A3554E"/>
    <w:rsid w:val="41A75EB4"/>
    <w:rsid w:val="41A81B6E"/>
    <w:rsid w:val="41B15DE2"/>
    <w:rsid w:val="41B921C8"/>
    <w:rsid w:val="41BA1D76"/>
    <w:rsid w:val="41DD6CCB"/>
    <w:rsid w:val="41DE137C"/>
    <w:rsid w:val="41E01E09"/>
    <w:rsid w:val="41F14DB7"/>
    <w:rsid w:val="41F204E4"/>
    <w:rsid w:val="41F523F1"/>
    <w:rsid w:val="41F567CC"/>
    <w:rsid w:val="41F70F71"/>
    <w:rsid w:val="41FB773E"/>
    <w:rsid w:val="42154C30"/>
    <w:rsid w:val="422762C6"/>
    <w:rsid w:val="42385731"/>
    <w:rsid w:val="423A3BCC"/>
    <w:rsid w:val="423A589B"/>
    <w:rsid w:val="42547CE6"/>
    <w:rsid w:val="425507C4"/>
    <w:rsid w:val="42620BF2"/>
    <w:rsid w:val="42631BDA"/>
    <w:rsid w:val="426410B1"/>
    <w:rsid w:val="428B4AE7"/>
    <w:rsid w:val="4290067A"/>
    <w:rsid w:val="42971A42"/>
    <w:rsid w:val="42A74C95"/>
    <w:rsid w:val="42B46503"/>
    <w:rsid w:val="42C347FE"/>
    <w:rsid w:val="42C73BCE"/>
    <w:rsid w:val="42EA607A"/>
    <w:rsid w:val="42EE10D9"/>
    <w:rsid w:val="42F001D2"/>
    <w:rsid w:val="42FF44B9"/>
    <w:rsid w:val="430904AE"/>
    <w:rsid w:val="430C1534"/>
    <w:rsid w:val="430C36C6"/>
    <w:rsid w:val="43276A0D"/>
    <w:rsid w:val="433A6FE6"/>
    <w:rsid w:val="433B4C96"/>
    <w:rsid w:val="433D67DD"/>
    <w:rsid w:val="43446379"/>
    <w:rsid w:val="4350713C"/>
    <w:rsid w:val="43557928"/>
    <w:rsid w:val="435F65D0"/>
    <w:rsid w:val="435F6A8B"/>
    <w:rsid w:val="436653E0"/>
    <w:rsid w:val="436B6A5A"/>
    <w:rsid w:val="436D6FF6"/>
    <w:rsid w:val="43716BE1"/>
    <w:rsid w:val="43805A31"/>
    <w:rsid w:val="439B527C"/>
    <w:rsid w:val="43A21745"/>
    <w:rsid w:val="43A87A95"/>
    <w:rsid w:val="43A908D0"/>
    <w:rsid w:val="43B5107B"/>
    <w:rsid w:val="43BC3767"/>
    <w:rsid w:val="43C957D5"/>
    <w:rsid w:val="43CB2AF7"/>
    <w:rsid w:val="43DE5E33"/>
    <w:rsid w:val="43E3236D"/>
    <w:rsid w:val="43E925AF"/>
    <w:rsid w:val="440033F0"/>
    <w:rsid w:val="44254E9B"/>
    <w:rsid w:val="442779A2"/>
    <w:rsid w:val="44286742"/>
    <w:rsid w:val="442C4939"/>
    <w:rsid w:val="443C6C3D"/>
    <w:rsid w:val="443C7DD7"/>
    <w:rsid w:val="44513484"/>
    <w:rsid w:val="44517513"/>
    <w:rsid w:val="44577F9C"/>
    <w:rsid w:val="445A512D"/>
    <w:rsid w:val="446A6ADA"/>
    <w:rsid w:val="447513F6"/>
    <w:rsid w:val="447646CB"/>
    <w:rsid w:val="44772DDD"/>
    <w:rsid w:val="447765B6"/>
    <w:rsid w:val="447D518D"/>
    <w:rsid w:val="448955B6"/>
    <w:rsid w:val="448B31D6"/>
    <w:rsid w:val="448E5EBA"/>
    <w:rsid w:val="449103A3"/>
    <w:rsid w:val="449124CB"/>
    <w:rsid w:val="44977808"/>
    <w:rsid w:val="449F26C0"/>
    <w:rsid w:val="449F6587"/>
    <w:rsid w:val="44AD4173"/>
    <w:rsid w:val="44AE768A"/>
    <w:rsid w:val="44B91791"/>
    <w:rsid w:val="44C43AEA"/>
    <w:rsid w:val="44CD14E0"/>
    <w:rsid w:val="44DB7A0B"/>
    <w:rsid w:val="44DD0C33"/>
    <w:rsid w:val="44E069FB"/>
    <w:rsid w:val="44E77F7A"/>
    <w:rsid w:val="44EB7D9A"/>
    <w:rsid w:val="44F1527E"/>
    <w:rsid w:val="4507206D"/>
    <w:rsid w:val="45072E25"/>
    <w:rsid w:val="450C2BD3"/>
    <w:rsid w:val="450C3D7B"/>
    <w:rsid w:val="45117A20"/>
    <w:rsid w:val="452102FC"/>
    <w:rsid w:val="452C40EF"/>
    <w:rsid w:val="452D6846"/>
    <w:rsid w:val="45384DDA"/>
    <w:rsid w:val="45406EE0"/>
    <w:rsid w:val="454E2604"/>
    <w:rsid w:val="45531935"/>
    <w:rsid w:val="455E4D4C"/>
    <w:rsid w:val="455F05B0"/>
    <w:rsid w:val="456060CC"/>
    <w:rsid w:val="45702042"/>
    <w:rsid w:val="45731655"/>
    <w:rsid w:val="4577318F"/>
    <w:rsid w:val="457E6E3A"/>
    <w:rsid w:val="45813408"/>
    <w:rsid w:val="458946E9"/>
    <w:rsid w:val="45955A82"/>
    <w:rsid w:val="45956F42"/>
    <w:rsid w:val="45A419D8"/>
    <w:rsid w:val="45A75451"/>
    <w:rsid w:val="45AA17A9"/>
    <w:rsid w:val="45AB12C0"/>
    <w:rsid w:val="45BB08D6"/>
    <w:rsid w:val="45D9219C"/>
    <w:rsid w:val="45ED1962"/>
    <w:rsid w:val="45F531B1"/>
    <w:rsid w:val="45FE4E20"/>
    <w:rsid w:val="4600560D"/>
    <w:rsid w:val="46085D8E"/>
    <w:rsid w:val="46120B35"/>
    <w:rsid w:val="461476CB"/>
    <w:rsid w:val="46192172"/>
    <w:rsid w:val="461E4420"/>
    <w:rsid w:val="46222263"/>
    <w:rsid w:val="4625037F"/>
    <w:rsid w:val="462F730D"/>
    <w:rsid w:val="46444C39"/>
    <w:rsid w:val="46515B5E"/>
    <w:rsid w:val="46533B82"/>
    <w:rsid w:val="46565198"/>
    <w:rsid w:val="46574DA3"/>
    <w:rsid w:val="465C2E52"/>
    <w:rsid w:val="46680B2B"/>
    <w:rsid w:val="46741939"/>
    <w:rsid w:val="468108CC"/>
    <w:rsid w:val="46822AE6"/>
    <w:rsid w:val="46840705"/>
    <w:rsid w:val="4687109E"/>
    <w:rsid w:val="46872775"/>
    <w:rsid w:val="468B0B0D"/>
    <w:rsid w:val="469B6F75"/>
    <w:rsid w:val="46A47303"/>
    <w:rsid w:val="46A82287"/>
    <w:rsid w:val="46A96A26"/>
    <w:rsid w:val="46AC4EE5"/>
    <w:rsid w:val="46AF79E8"/>
    <w:rsid w:val="46B5656F"/>
    <w:rsid w:val="46B62850"/>
    <w:rsid w:val="46B65DD1"/>
    <w:rsid w:val="46C136CE"/>
    <w:rsid w:val="46D955A7"/>
    <w:rsid w:val="46DA62C4"/>
    <w:rsid w:val="46E652CB"/>
    <w:rsid w:val="46EF7CD9"/>
    <w:rsid w:val="470A5108"/>
    <w:rsid w:val="47133957"/>
    <w:rsid w:val="471E449A"/>
    <w:rsid w:val="472854DF"/>
    <w:rsid w:val="47487260"/>
    <w:rsid w:val="474A108E"/>
    <w:rsid w:val="474C037E"/>
    <w:rsid w:val="4752713A"/>
    <w:rsid w:val="475E6A72"/>
    <w:rsid w:val="47702326"/>
    <w:rsid w:val="4776225F"/>
    <w:rsid w:val="4779329E"/>
    <w:rsid w:val="47795E10"/>
    <w:rsid w:val="478766B9"/>
    <w:rsid w:val="4795667F"/>
    <w:rsid w:val="47A05B4E"/>
    <w:rsid w:val="47A07E0C"/>
    <w:rsid w:val="47A87F49"/>
    <w:rsid w:val="47AC3F6A"/>
    <w:rsid w:val="47B306D9"/>
    <w:rsid w:val="47B85DC4"/>
    <w:rsid w:val="47C81860"/>
    <w:rsid w:val="47E238F3"/>
    <w:rsid w:val="47F24501"/>
    <w:rsid w:val="47F701A3"/>
    <w:rsid w:val="48011CE2"/>
    <w:rsid w:val="48013AAA"/>
    <w:rsid w:val="4809762E"/>
    <w:rsid w:val="48141382"/>
    <w:rsid w:val="4815120A"/>
    <w:rsid w:val="4815725F"/>
    <w:rsid w:val="48186073"/>
    <w:rsid w:val="481E265D"/>
    <w:rsid w:val="48255C23"/>
    <w:rsid w:val="482A4CC5"/>
    <w:rsid w:val="483B41A0"/>
    <w:rsid w:val="483E063A"/>
    <w:rsid w:val="483F3DA7"/>
    <w:rsid w:val="48465C22"/>
    <w:rsid w:val="485C4876"/>
    <w:rsid w:val="48616184"/>
    <w:rsid w:val="48626AD8"/>
    <w:rsid w:val="486B10AE"/>
    <w:rsid w:val="4870272E"/>
    <w:rsid w:val="48705934"/>
    <w:rsid w:val="4881613C"/>
    <w:rsid w:val="488F3112"/>
    <w:rsid w:val="48990D07"/>
    <w:rsid w:val="48AA2CAE"/>
    <w:rsid w:val="48BA5A88"/>
    <w:rsid w:val="48CA0EFF"/>
    <w:rsid w:val="48CB2E57"/>
    <w:rsid w:val="48DB29CB"/>
    <w:rsid w:val="48E02E14"/>
    <w:rsid w:val="48E178C5"/>
    <w:rsid w:val="48E379AA"/>
    <w:rsid w:val="48E55382"/>
    <w:rsid w:val="48ED2D5E"/>
    <w:rsid w:val="48F172FF"/>
    <w:rsid w:val="48F41201"/>
    <w:rsid w:val="48F92655"/>
    <w:rsid w:val="48FE5E3C"/>
    <w:rsid w:val="48FF7F18"/>
    <w:rsid w:val="490A11F4"/>
    <w:rsid w:val="490F582E"/>
    <w:rsid w:val="4915182F"/>
    <w:rsid w:val="49165A5E"/>
    <w:rsid w:val="4918463C"/>
    <w:rsid w:val="493F4B8B"/>
    <w:rsid w:val="494E41EC"/>
    <w:rsid w:val="49644D06"/>
    <w:rsid w:val="49723BB2"/>
    <w:rsid w:val="49725FD5"/>
    <w:rsid w:val="497B3D43"/>
    <w:rsid w:val="497B698B"/>
    <w:rsid w:val="497E0B45"/>
    <w:rsid w:val="498D183B"/>
    <w:rsid w:val="498E2156"/>
    <w:rsid w:val="49946966"/>
    <w:rsid w:val="499C3A23"/>
    <w:rsid w:val="49C86A75"/>
    <w:rsid w:val="49D1379D"/>
    <w:rsid w:val="49DC7715"/>
    <w:rsid w:val="49DD3DBB"/>
    <w:rsid w:val="49DD4AFA"/>
    <w:rsid w:val="49FE153D"/>
    <w:rsid w:val="4A023139"/>
    <w:rsid w:val="4A083CA1"/>
    <w:rsid w:val="4A086473"/>
    <w:rsid w:val="4A0A244E"/>
    <w:rsid w:val="4A242E05"/>
    <w:rsid w:val="4A2E56BF"/>
    <w:rsid w:val="4A3C49AB"/>
    <w:rsid w:val="4A63433B"/>
    <w:rsid w:val="4A68292A"/>
    <w:rsid w:val="4A684911"/>
    <w:rsid w:val="4A7B576F"/>
    <w:rsid w:val="4A847D62"/>
    <w:rsid w:val="4A8A2BC5"/>
    <w:rsid w:val="4A921FE5"/>
    <w:rsid w:val="4A9B0F38"/>
    <w:rsid w:val="4A9D34D5"/>
    <w:rsid w:val="4AAD14CE"/>
    <w:rsid w:val="4AAE1E06"/>
    <w:rsid w:val="4AAF43B5"/>
    <w:rsid w:val="4AB11DD7"/>
    <w:rsid w:val="4AB251CE"/>
    <w:rsid w:val="4AB62243"/>
    <w:rsid w:val="4AC1668C"/>
    <w:rsid w:val="4AD41FA4"/>
    <w:rsid w:val="4ADE6CE5"/>
    <w:rsid w:val="4AE354E2"/>
    <w:rsid w:val="4AF02B11"/>
    <w:rsid w:val="4AFE4963"/>
    <w:rsid w:val="4B1E4317"/>
    <w:rsid w:val="4B23593D"/>
    <w:rsid w:val="4B252D52"/>
    <w:rsid w:val="4B2A7F5C"/>
    <w:rsid w:val="4B3C14A4"/>
    <w:rsid w:val="4B4A6840"/>
    <w:rsid w:val="4B502953"/>
    <w:rsid w:val="4B552E90"/>
    <w:rsid w:val="4B58688C"/>
    <w:rsid w:val="4B615837"/>
    <w:rsid w:val="4B673DFA"/>
    <w:rsid w:val="4B7432FD"/>
    <w:rsid w:val="4B835663"/>
    <w:rsid w:val="4B906E4C"/>
    <w:rsid w:val="4B924146"/>
    <w:rsid w:val="4B9D3FFD"/>
    <w:rsid w:val="4B9E09EB"/>
    <w:rsid w:val="4BA44460"/>
    <w:rsid w:val="4BD82CDA"/>
    <w:rsid w:val="4BDB245B"/>
    <w:rsid w:val="4BDC5824"/>
    <w:rsid w:val="4BDD2708"/>
    <w:rsid w:val="4BE63946"/>
    <w:rsid w:val="4BEA3CC0"/>
    <w:rsid w:val="4BF462C9"/>
    <w:rsid w:val="4C064101"/>
    <w:rsid w:val="4C0B43E5"/>
    <w:rsid w:val="4C143855"/>
    <w:rsid w:val="4C185118"/>
    <w:rsid w:val="4C28152D"/>
    <w:rsid w:val="4C324AC2"/>
    <w:rsid w:val="4C325BB3"/>
    <w:rsid w:val="4C415A9F"/>
    <w:rsid w:val="4C4A0649"/>
    <w:rsid w:val="4C510CE9"/>
    <w:rsid w:val="4C552C8F"/>
    <w:rsid w:val="4C586279"/>
    <w:rsid w:val="4C5B3953"/>
    <w:rsid w:val="4C5E1DBD"/>
    <w:rsid w:val="4C657957"/>
    <w:rsid w:val="4C77755B"/>
    <w:rsid w:val="4C7824F4"/>
    <w:rsid w:val="4C8B5C63"/>
    <w:rsid w:val="4C8D4434"/>
    <w:rsid w:val="4C927AEB"/>
    <w:rsid w:val="4C95161C"/>
    <w:rsid w:val="4CA3476F"/>
    <w:rsid w:val="4CA4778A"/>
    <w:rsid w:val="4CA7107B"/>
    <w:rsid w:val="4CB26B97"/>
    <w:rsid w:val="4CCF23D6"/>
    <w:rsid w:val="4CD94C8D"/>
    <w:rsid w:val="4CE4286E"/>
    <w:rsid w:val="4CE470D3"/>
    <w:rsid w:val="4CF958C9"/>
    <w:rsid w:val="4CFA06AC"/>
    <w:rsid w:val="4D067E2A"/>
    <w:rsid w:val="4D07422A"/>
    <w:rsid w:val="4D0E25DE"/>
    <w:rsid w:val="4D17226A"/>
    <w:rsid w:val="4D174102"/>
    <w:rsid w:val="4D18715F"/>
    <w:rsid w:val="4D230A60"/>
    <w:rsid w:val="4D2578E2"/>
    <w:rsid w:val="4D26584C"/>
    <w:rsid w:val="4D3C2BE5"/>
    <w:rsid w:val="4D434D3C"/>
    <w:rsid w:val="4D455EE8"/>
    <w:rsid w:val="4D4F14E9"/>
    <w:rsid w:val="4D670ED8"/>
    <w:rsid w:val="4D6B4ADA"/>
    <w:rsid w:val="4D77122F"/>
    <w:rsid w:val="4D77590E"/>
    <w:rsid w:val="4D871343"/>
    <w:rsid w:val="4DA465F5"/>
    <w:rsid w:val="4DA61BD3"/>
    <w:rsid w:val="4DAA3CDC"/>
    <w:rsid w:val="4DAF04F5"/>
    <w:rsid w:val="4DCF5551"/>
    <w:rsid w:val="4DD14309"/>
    <w:rsid w:val="4DD91B41"/>
    <w:rsid w:val="4DDB28F5"/>
    <w:rsid w:val="4DEC4FB0"/>
    <w:rsid w:val="4DF36F5C"/>
    <w:rsid w:val="4DF647C8"/>
    <w:rsid w:val="4DFD3CA3"/>
    <w:rsid w:val="4E075D8A"/>
    <w:rsid w:val="4E0C1714"/>
    <w:rsid w:val="4E0F2772"/>
    <w:rsid w:val="4E120F55"/>
    <w:rsid w:val="4E152983"/>
    <w:rsid w:val="4E185BF9"/>
    <w:rsid w:val="4E1D7C47"/>
    <w:rsid w:val="4E20092E"/>
    <w:rsid w:val="4E247F68"/>
    <w:rsid w:val="4E2735B0"/>
    <w:rsid w:val="4E27680C"/>
    <w:rsid w:val="4E2E21AE"/>
    <w:rsid w:val="4E394271"/>
    <w:rsid w:val="4E42405B"/>
    <w:rsid w:val="4E4C3087"/>
    <w:rsid w:val="4E4D1E35"/>
    <w:rsid w:val="4E50753C"/>
    <w:rsid w:val="4E684520"/>
    <w:rsid w:val="4E6B5F6F"/>
    <w:rsid w:val="4E732BD8"/>
    <w:rsid w:val="4E742963"/>
    <w:rsid w:val="4E7B08F6"/>
    <w:rsid w:val="4E7C13F6"/>
    <w:rsid w:val="4E9E202D"/>
    <w:rsid w:val="4EAA726A"/>
    <w:rsid w:val="4EB10CCF"/>
    <w:rsid w:val="4EC103A0"/>
    <w:rsid w:val="4EC864D2"/>
    <w:rsid w:val="4ECE5638"/>
    <w:rsid w:val="4ED360BB"/>
    <w:rsid w:val="4EDA1EC2"/>
    <w:rsid w:val="4EE610BA"/>
    <w:rsid w:val="4EE70248"/>
    <w:rsid w:val="4EE847D9"/>
    <w:rsid w:val="4EEC35B9"/>
    <w:rsid w:val="4EEE5F0B"/>
    <w:rsid w:val="4EEF602D"/>
    <w:rsid w:val="4EF2231E"/>
    <w:rsid w:val="4EF57E8F"/>
    <w:rsid w:val="4F094E89"/>
    <w:rsid w:val="4F0C5B07"/>
    <w:rsid w:val="4F1418FD"/>
    <w:rsid w:val="4F286D2D"/>
    <w:rsid w:val="4F2E507C"/>
    <w:rsid w:val="4F311068"/>
    <w:rsid w:val="4F397A85"/>
    <w:rsid w:val="4F3F595A"/>
    <w:rsid w:val="4F4D4DAD"/>
    <w:rsid w:val="4F553BAE"/>
    <w:rsid w:val="4F5A29AD"/>
    <w:rsid w:val="4F5A2B11"/>
    <w:rsid w:val="4F5A5D20"/>
    <w:rsid w:val="4F5D0B17"/>
    <w:rsid w:val="4F6A776F"/>
    <w:rsid w:val="4F6C2425"/>
    <w:rsid w:val="4F6C7CB7"/>
    <w:rsid w:val="4F6D25A3"/>
    <w:rsid w:val="4F6E7837"/>
    <w:rsid w:val="4F7E340A"/>
    <w:rsid w:val="4F7F695D"/>
    <w:rsid w:val="4F8264AB"/>
    <w:rsid w:val="4F831438"/>
    <w:rsid w:val="4F86462F"/>
    <w:rsid w:val="4F88589A"/>
    <w:rsid w:val="4F891EA8"/>
    <w:rsid w:val="4F9272C0"/>
    <w:rsid w:val="4F937536"/>
    <w:rsid w:val="4F9A7E7F"/>
    <w:rsid w:val="4FA57446"/>
    <w:rsid w:val="4FB52729"/>
    <w:rsid w:val="4FB731B6"/>
    <w:rsid w:val="4FBB18FF"/>
    <w:rsid w:val="4FBF38AB"/>
    <w:rsid w:val="4FC35D3A"/>
    <w:rsid w:val="4FC404B3"/>
    <w:rsid w:val="4FC62A8C"/>
    <w:rsid w:val="4FD80AD6"/>
    <w:rsid w:val="4FE20F0D"/>
    <w:rsid w:val="4FE448B9"/>
    <w:rsid w:val="4FE900DE"/>
    <w:rsid w:val="4FEB0628"/>
    <w:rsid w:val="4FEE3E19"/>
    <w:rsid w:val="4FF50BDA"/>
    <w:rsid w:val="4FF639CE"/>
    <w:rsid w:val="50146D3A"/>
    <w:rsid w:val="50156B41"/>
    <w:rsid w:val="50156F01"/>
    <w:rsid w:val="502610E1"/>
    <w:rsid w:val="50272EC0"/>
    <w:rsid w:val="50357373"/>
    <w:rsid w:val="503C632F"/>
    <w:rsid w:val="503F66AD"/>
    <w:rsid w:val="504C7500"/>
    <w:rsid w:val="50504C4B"/>
    <w:rsid w:val="505077D9"/>
    <w:rsid w:val="505E3C66"/>
    <w:rsid w:val="50633C73"/>
    <w:rsid w:val="506444CC"/>
    <w:rsid w:val="506F06D6"/>
    <w:rsid w:val="50783044"/>
    <w:rsid w:val="507838A3"/>
    <w:rsid w:val="508B3AAE"/>
    <w:rsid w:val="508B3E41"/>
    <w:rsid w:val="508C0DBF"/>
    <w:rsid w:val="508E265E"/>
    <w:rsid w:val="50902167"/>
    <w:rsid w:val="509608BA"/>
    <w:rsid w:val="509C6E7C"/>
    <w:rsid w:val="509F0375"/>
    <w:rsid w:val="50A50B2F"/>
    <w:rsid w:val="50AC6663"/>
    <w:rsid w:val="50AE38DE"/>
    <w:rsid w:val="50B61E2B"/>
    <w:rsid w:val="50BC2332"/>
    <w:rsid w:val="50BE4ACE"/>
    <w:rsid w:val="50C51741"/>
    <w:rsid w:val="50CC0C97"/>
    <w:rsid w:val="50D07C01"/>
    <w:rsid w:val="50E002A1"/>
    <w:rsid w:val="50F82DA7"/>
    <w:rsid w:val="51015577"/>
    <w:rsid w:val="51073BDA"/>
    <w:rsid w:val="51087C13"/>
    <w:rsid w:val="5109041B"/>
    <w:rsid w:val="510F4A72"/>
    <w:rsid w:val="511F62C3"/>
    <w:rsid w:val="51226655"/>
    <w:rsid w:val="51252AD1"/>
    <w:rsid w:val="5126529C"/>
    <w:rsid w:val="512B65DC"/>
    <w:rsid w:val="512E0842"/>
    <w:rsid w:val="51314DE5"/>
    <w:rsid w:val="514A4FC2"/>
    <w:rsid w:val="51575ABD"/>
    <w:rsid w:val="515C1E92"/>
    <w:rsid w:val="515F4259"/>
    <w:rsid w:val="5162104E"/>
    <w:rsid w:val="51647DBF"/>
    <w:rsid w:val="51713BCD"/>
    <w:rsid w:val="517858A0"/>
    <w:rsid w:val="51862C40"/>
    <w:rsid w:val="51904E9C"/>
    <w:rsid w:val="519818E4"/>
    <w:rsid w:val="51994504"/>
    <w:rsid w:val="519B29A9"/>
    <w:rsid w:val="51AD69CA"/>
    <w:rsid w:val="51B8025E"/>
    <w:rsid w:val="51BC661F"/>
    <w:rsid w:val="51CF1155"/>
    <w:rsid w:val="51DA1A75"/>
    <w:rsid w:val="51E255AB"/>
    <w:rsid w:val="51E755CC"/>
    <w:rsid w:val="51F40D50"/>
    <w:rsid w:val="51F74AF7"/>
    <w:rsid w:val="51FF2D80"/>
    <w:rsid w:val="5212390A"/>
    <w:rsid w:val="5213134D"/>
    <w:rsid w:val="521326BF"/>
    <w:rsid w:val="521A23EF"/>
    <w:rsid w:val="52234D58"/>
    <w:rsid w:val="52245638"/>
    <w:rsid w:val="52292587"/>
    <w:rsid w:val="522A09E6"/>
    <w:rsid w:val="52316C84"/>
    <w:rsid w:val="523C325E"/>
    <w:rsid w:val="524F47C1"/>
    <w:rsid w:val="525D7450"/>
    <w:rsid w:val="526207CD"/>
    <w:rsid w:val="52656BB5"/>
    <w:rsid w:val="52700E2C"/>
    <w:rsid w:val="52946B31"/>
    <w:rsid w:val="52974CB9"/>
    <w:rsid w:val="52980075"/>
    <w:rsid w:val="52982FD4"/>
    <w:rsid w:val="52A82090"/>
    <w:rsid w:val="52AF1CB1"/>
    <w:rsid w:val="52CA5EFB"/>
    <w:rsid w:val="52CE77F1"/>
    <w:rsid w:val="52DC2188"/>
    <w:rsid w:val="52DF6E63"/>
    <w:rsid w:val="52E82906"/>
    <w:rsid w:val="52EA54FC"/>
    <w:rsid w:val="52EB7566"/>
    <w:rsid w:val="52FC6807"/>
    <w:rsid w:val="530622CA"/>
    <w:rsid w:val="53087D76"/>
    <w:rsid w:val="530C0930"/>
    <w:rsid w:val="53103CE9"/>
    <w:rsid w:val="53130A36"/>
    <w:rsid w:val="531B396E"/>
    <w:rsid w:val="531B7688"/>
    <w:rsid w:val="531C74F3"/>
    <w:rsid w:val="531D49D4"/>
    <w:rsid w:val="532A5619"/>
    <w:rsid w:val="532D6555"/>
    <w:rsid w:val="53326772"/>
    <w:rsid w:val="53481E3C"/>
    <w:rsid w:val="53482A7B"/>
    <w:rsid w:val="53485A95"/>
    <w:rsid w:val="53514940"/>
    <w:rsid w:val="53550001"/>
    <w:rsid w:val="535A136F"/>
    <w:rsid w:val="537A6536"/>
    <w:rsid w:val="538C1C36"/>
    <w:rsid w:val="539F79C2"/>
    <w:rsid w:val="53A039CC"/>
    <w:rsid w:val="53A1505A"/>
    <w:rsid w:val="53A5760C"/>
    <w:rsid w:val="53B836FB"/>
    <w:rsid w:val="53C228E3"/>
    <w:rsid w:val="53CD4C25"/>
    <w:rsid w:val="53ED1AC0"/>
    <w:rsid w:val="53EF5043"/>
    <w:rsid w:val="53F967D0"/>
    <w:rsid w:val="53FB5D41"/>
    <w:rsid w:val="53FD3A32"/>
    <w:rsid w:val="53FD4FFF"/>
    <w:rsid w:val="54014C5A"/>
    <w:rsid w:val="5406167A"/>
    <w:rsid w:val="54063E08"/>
    <w:rsid w:val="540F1AC3"/>
    <w:rsid w:val="54136C8C"/>
    <w:rsid w:val="54151D90"/>
    <w:rsid w:val="54163161"/>
    <w:rsid w:val="541E38FF"/>
    <w:rsid w:val="542D0747"/>
    <w:rsid w:val="543437E8"/>
    <w:rsid w:val="54487043"/>
    <w:rsid w:val="544D6CD9"/>
    <w:rsid w:val="544E79FB"/>
    <w:rsid w:val="54593798"/>
    <w:rsid w:val="54651930"/>
    <w:rsid w:val="546A780B"/>
    <w:rsid w:val="54760F82"/>
    <w:rsid w:val="547A6B40"/>
    <w:rsid w:val="547C335C"/>
    <w:rsid w:val="54885E9D"/>
    <w:rsid w:val="548A1FA3"/>
    <w:rsid w:val="549740DC"/>
    <w:rsid w:val="549C4FA6"/>
    <w:rsid w:val="549D7AB6"/>
    <w:rsid w:val="54AA7AF1"/>
    <w:rsid w:val="54BE518E"/>
    <w:rsid w:val="54CE0398"/>
    <w:rsid w:val="54DF466C"/>
    <w:rsid w:val="5500728E"/>
    <w:rsid w:val="550A19CC"/>
    <w:rsid w:val="550D01DB"/>
    <w:rsid w:val="5513135C"/>
    <w:rsid w:val="55252126"/>
    <w:rsid w:val="55285A9D"/>
    <w:rsid w:val="55476FF3"/>
    <w:rsid w:val="554963E3"/>
    <w:rsid w:val="554D00F8"/>
    <w:rsid w:val="55506364"/>
    <w:rsid w:val="55507518"/>
    <w:rsid w:val="555A6C86"/>
    <w:rsid w:val="556B3B21"/>
    <w:rsid w:val="556C4644"/>
    <w:rsid w:val="556C740F"/>
    <w:rsid w:val="557249FA"/>
    <w:rsid w:val="557B56D9"/>
    <w:rsid w:val="558B46CA"/>
    <w:rsid w:val="558F2934"/>
    <w:rsid w:val="55924429"/>
    <w:rsid w:val="5595591A"/>
    <w:rsid w:val="5596452C"/>
    <w:rsid w:val="559B174B"/>
    <w:rsid w:val="55A96305"/>
    <w:rsid w:val="55B22E73"/>
    <w:rsid w:val="55B25699"/>
    <w:rsid w:val="55B73B4B"/>
    <w:rsid w:val="55BD4A9D"/>
    <w:rsid w:val="55CA6E56"/>
    <w:rsid w:val="55CD617B"/>
    <w:rsid w:val="55CE0CF4"/>
    <w:rsid w:val="55D37D2F"/>
    <w:rsid w:val="55D60D54"/>
    <w:rsid w:val="55E32C78"/>
    <w:rsid w:val="55E532C8"/>
    <w:rsid w:val="55EA1C19"/>
    <w:rsid w:val="55EB58B5"/>
    <w:rsid w:val="56090A1A"/>
    <w:rsid w:val="56090D92"/>
    <w:rsid w:val="560E33F1"/>
    <w:rsid w:val="560F6ADA"/>
    <w:rsid w:val="561A7301"/>
    <w:rsid w:val="56287B9D"/>
    <w:rsid w:val="563B5881"/>
    <w:rsid w:val="56476188"/>
    <w:rsid w:val="565C086A"/>
    <w:rsid w:val="56625E5E"/>
    <w:rsid w:val="566C60C9"/>
    <w:rsid w:val="566C7A52"/>
    <w:rsid w:val="56742AFB"/>
    <w:rsid w:val="56920CFA"/>
    <w:rsid w:val="569E75AD"/>
    <w:rsid w:val="56AE1D62"/>
    <w:rsid w:val="56AE69BB"/>
    <w:rsid w:val="56B22A9C"/>
    <w:rsid w:val="56B52147"/>
    <w:rsid w:val="56B823A7"/>
    <w:rsid w:val="56B82A1F"/>
    <w:rsid w:val="56CB3989"/>
    <w:rsid w:val="56DB22A5"/>
    <w:rsid w:val="56DE2CF6"/>
    <w:rsid w:val="56E43867"/>
    <w:rsid w:val="56E87B1D"/>
    <w:rsid w:val="56FB1A97"/>
    <w:rsid w:val="56FD6EC4"/>
    <w:rsid w:val="571876BD"/>
    <w:rsid w:val="57192992"/>
    <w:rsid w:val="571B4617"/>
    <w:rsid w:val="571E640C"/>
    <w:rsid w:val="572D2765"/>
    <w:rsid w:val="57396513"/>
    <w:rsid w:val="575463CF"/>
    <w:rsid w:val="57617B38"/>
    <w:rsid w:val="576F0EC2"/>
    <w:rsid w:val="576F30E4"/>
    <w:rsid w:val="57710891"/>
    <w:rsid w:val="5775181D"/>
    <w:rsid w:val="577919AE"/>
    <w:rsid w:val="57831C29"/>
    <w:rsid w:val="578A5371"/>
    <w:rsid w:val="578C43F3"/>
    <w:rsid w:val="5792158D"/>
    <w:rsid w:val="579C0E4D"/>
    <w:rsid w:val="57A909E5"/>
    <w:rsid w:val="57AD4B1A"/>
    <w:rsid w:val="57B15E3C"/>
    <w:rsid w:val="57B442E2"/>
    <w:rsid w:val="57B72A76"/>
    <w:rsid w:val="57BA78F8"/>
    <w:rsid w:val="57E25E47"/>
    <w:rsid w:val="57F91EA6"/>
    <w:rsid w:val="57FA72FC"/>
    <w:rsid w:val="580F73EE"/>
    <w:rsid w:val="58143EAA"/>
    <w:rsid w:val="58270D5F"/>
    <w:rsid w:val="58492119"/>
    <w:rsid w:val="584F380A"/>
    <w:rsid w:val="58505DDF"/>
    <w:rsid w:val="585B0EC1"/>
    <w:rsid w:val="58C136C4"/>
    <w:rsid w:val="58C50177"/>
    <w:rsid w:val="58E34D5F"/>
    <w:rsid w:val="58E77EE1"/>
    <w:rsid w:val="58F14D59"/>
    <w:rsid w:val="58FF20AC"/>
    <w:rsid w:val="59092468"/>
    <w:rsid w:val="590B38CD"/>
    <w:rsid w:val="590E2A97"/>
    <w:rsid w:val="590E62D1"/>
    <w:rsid w:val="591341F7"/>
    <w:rsid w:val="59152620"/>
    <w:rsid w:val="591F6915"/>
    <w:rsid w:val="59293E30"/>
    <w:rsid w:val="5946024A"/>
    <w:rsid w:val="59516914"/>
    <w:rsid w:val="596B3357"/>
    <w:rsid w:val="596C3CC0"/>
    <w:rsid w:val="5972389E"/>
    <w:rsid w:val="597933D0"/>
    <w:rsid w:val="597B1220"/>
    <w:rsid w:val="598066E1"/>
    <w:rsid w:val="598123F6"/>
    <w:rsid w:val="59902CBE"/>
    <w:rsid w:val="59A02D88"/>
    <w:rsid w:val="59A7716B"/>
    <w:rsid w:val="59AB7A42"/>
    <w:rsid w:val="59CB189B"/>
    <w:rsid w:val="59D02DF9"/>
    <w:rsid w:val="59D24F7D"/>
    <w:rsid w:val="59D47816"/>
    <w:rsid w:val="59D52D49"/>
    <w:rsid w:val="59D97250"/>
    <w:rsid w:val="59DF20EA"/>
    <w:rsid w:val="59EC02EB"/>
    <w:rsid w:val="59EC62DD"/>
    <w:rsid w:val="59F4366C"/>
    <w:rsid w:val="5A043B75"/>
    <w:rsid w:val="5A0C0DB2"/>
    <w:rsid w:val="5A1F221C"/>
    <w:rsid w:val="5A2501FD"/>
    <w:rsid w:val="5A270C97"/>
    <w:rsid w:val="5A317BD1"/>
    <w:rsid w:val="5A3C747D"/>
    <w:rsid w:val="5A491F24"/>
    <w:rsid w:val="5A5556E3"/>
    <w:rsid w:val="5A581FC4"/>
    <w:rsid w:val="5A6934C3"/>
    <w:rsid w:val="5A7335C0"/>
    <w:rsid w:val="5A763A35"/>
    <w:rsid w:val="5AAD3084"/>
    <w:rsid w:val="5ABA2024"/>
    <w:rsid w:val="5ABE2233"/>
    <w:rsid w:val="5AC05564"/>
    <w:rsid w:val="5AC62B0E"/>
    <w:rsid w:val="5AC867D0"/>
    <w:rsid w:val="5AC94533"/>
    <w:rsid w:val="5ADA2891"/>
    <w:rsid w:val="5AEB1175"/>
    <w:rsid w:val="5AF00BF4"/>
    <w:rsid w:val="5B0C6FD3"/>
    <w:rsid w:val="5B0E1EA4"/>
    <w:rsid w:val="5B276D18"/>
    <w:rsid w:val="5B5079B9"/>
    <w:rsid w:val="5B530CF3"/>
    <w:rsid w:val="5B572B60"/>
    <w:rsid w:val="5B5D291E"/>
    <w:rsid w:val="5B636F94"/>
    <w:rsid w:val="5B7536EF"/>
    <w:rsid w:val="5B75568B"/>
    <w:rsid w:val="5B79092C"/>
    <w:rsid w:val="5B8571CB"/>
    <w:rsid w:val="5B873FD2"/>
    <w:rsid w:val="5B9174E6"/>
    <w:rsid w:val="5B9C0462"/>
    <w:rsid w:val="5BA62787"/>
    <w:rsid w:val="5BA81AB7"/>
    <w:rsid w:val="5BB42DF8"/>
    <w:rsid w:val="5BB57EB5"/>
    <w:rsid w:val="5BBF345E"/>
    <w:rsid w:val="5BC474A4"/>
    <w:rsid w:val="5BDF5D95"/>
    <w:rsid w:val="5BE5250A"/>
    <w:rsid w:val="5BE56ECC"/>
    <w:rsid w:val="5BEC101F"/>
    <w:rsid w:val="5BEE7F01"/>
    <w:rsid w:val="5BF37FD1"/>
    <w:rsid w:val="5BF42D21"/>
    <w:rsid w:val="5BFA0158"/>
    <w:rsid w:val="5BFC5507"/>
    <w:rsid w:val="5C017B18"/>
    <w:rsid w:val="5C0432D1"/>
    <w:rsid w:val="5C162F66"/>
    <w:rsid w:val="5C184442"/>
    <w:rsid w:val="5C190553"/>
    <w:rsid w:val="5C1B2BD2"/>
    <w:rsid w:val="5C2000BF"/>
    <w:rsid w:val="5C205654"/>
    <w:rsid w:val="5C315155"/>
    <w:rsid w:val="5C374A7B"/>
    <w:rsid w:val="5C3D510A"/>
    <w:rsid w:val="5C5B683D"/>
    <w:rsid w:val="5C5D3B30"/>
    <w:rsid w:val="5C6151F9"/>
    <w:rsid w:val="5C6D4268"/>
    <w:rsid w:val="5C706673"/>
    <w:rsid w:val="5C81090B"/>
    <w:rsid w:val="5C83377C"/>
    <w:rsid w:val="5C834FA2"/>
    <w:rsid w:val="5CAB29EF"/>
    <w:rsid w:val="5CB7169D"/>
    <w:rsid w:val="5CBD0E01"/>
    <w:rsid w:val="5CCC58C2"/>
    <w:rsid w:val="5CCE7F48"/>
    <w:rsid w:val="5CF558C0"/>
    <w:rsid w:val="5CF910D4"/>
    <w:rsid w:val="5CF940C8"/>
    <w:rsid w:val="5CFD1C71"/>
    <w:rsid w:val="5D0046DB"/>
    <w:rsid w:val="5D064365"/>
    <w:rsid w:val="5D086F12"/>
    <w:rsid w:val="5D0B399B"/>
    <w:rsid w:val="5D211A62"/>
    <w:rsid w:val="5D220FA6"/>
    <w:rsid w:val="5D255011"/>
    <w:rsid w:val="5D3669B8"/>
    <w:rsid w:val="5D3E7B77"/>
    <w:rsid w:val="5D472C1E"/>
    <w:rsid w:val="5D495087"/>
    <w:rsid w:val="5D4D3ECA"/>
    <w:rsid w:val="5D50047E"/>
    <w:rsid w:val="5D5D05D0"/>
    <w:rsid w:val="5D62232B"/>
    <w:rsid w:val="5D646CEB"/>
    <w:rsid w:val="5D6C2965"/>
    <w:rsid w:val="5D6C4CB6"/>
    <w:rsid w:val="5D6D6C04"/>
    <w:rsid w:val="5D71653D"/>
    <w:rsid w:val="5D72433F"/>
    <w:rsid w:val="5D725FE8"/>
    <w:rsid w:val="5D7B3F6F"/>
    <w:rsid w:val="5D7F4566"/>
    <w:rsid w:val="5D8147F8"/>
    <w:rsid w:val="5D85677D"/>
    <w:rsid w:val="5D8D18E2"/>
    <w:rsid w:val="5D962B04"/>
    <w:rsid w:val="5D9E0984"/>
    <w:rsid w:val="5DA91B71"/>
    <w:rsid w:val="5DA954A6"/>
    <w:rsid w:val="5DAC1C18"/>
    <w:rsid w:val="5DBE03EF"/>
    <w:rsid w:val="5DCC5203"/>
    <w:rsid w:val="5DD84488"/>
    <w:rsid w:val="5DDA406A"/>
    <w:rsid w:val="5DDC5CDC"/>
    <w:rsid w:val="5DDD6F67"/>
    <w:rsid w:val="5DED1942"/>
    <w:rsid w:val="5DF34145"/>
    <w:rsid w:val="5DF87A0F"/>
    <w:rsid w:val="5DFD057B"/>
    <w:rsid w:val="5E266F44"/>
    <w:rsid w:val="5E2F06A8"/>
    <w:rsid w:val="5E5152F5"/>
    <w:rsid w:val="5E52246C"/>
    <w:rsid w:val="5E571DDE"/>
    <w:rsid w:val="5E59185B"/>
    <w:rsid w:val="5E600080"/>
    <w:rsid w:val="5E605937"/>
    <w:rsid w:val="5E634861"/>
    <w:rsid w:val="5E645AAE"/>
    <w:rsid w:val="5E70340D"/>
    <w:rsid w:val="5E781E48"/>
    <w:rsid w:val="5E977A86"/>
    <w:rsid w:val="5E9A3023"/>
    <w:rsid w:val="5EA352FE"/>
    <w:rsid w:val="5EC56770"/>
    <w:rsid w:val="5EC75C6E"/>
    <w:rsid w:val="5ED40AA2"/>
    <w:rsid w:val="5ED6557C"/>
    <w:rsid w:val="5EFA78EF"/>
    <w:rsid w:val="5EFD43E4"/>
    <w:rsid w:val="5F0040F7"/>
    <w:rsid w:val="5F036053"/>
    <w:rsid w:val="5F05301C"/>
    <w:rsid w:val="5F061C08"/>
    <w:rsid w:val="5F0C2421"/>
    <w:rsid w:val="5F107111"/>
    <w:rsid w:val="5F1A2B43"/>
    <w:rsid w:val="5F1D63FD"/>
    <w:rsid w:val="5F311724"/>
    <w:rsid w:val="5F323DA7"/>
    <w:rsid w:val="5F3719A4"/>
    <w:rsid w:val="5F3B1AB9"/>
    <w:rsid w:val="5F6166E1"/>
    <w:rsid w:val="5F6B60CA"/>
    <w:rsid w:val="5F7E6977"/>
    <w:rsid w:val="5F7F6242"/>
    <w:rsid w:val="5F8262FC"/>
    <w:rsid w:val="5F863F15"/>
    <w:rsid w:val="5F8A3C60"/>
    <w:rsid w:val="5F8D7E07"/>
    <w:rsid w:val="5F94096E"/>
    <w:rsid w:val="5F9C7192"/>
    <w:rsid w:val="5FA03CA2"/>
    <w:rsid w:val="5FB75261"/>
    <w:rsid w:val="5FB837BB"/>
    <w:rsid w:val="5FD00F87"/>
    <w:rsid w:val="5FD87C1B"/>
    <w:rsid w:val="5FE062CA"/>
    <w:rsid w:val="5FEF64C1"/>
    <w:rsid w:val="5FF12F37"/>
    <w:rsid w:val="5FF55230"/>
    <w:rsid w:val="60014D14"/>
    <w:rsid w:val="60185ABE"/>
    <w:rsid w:val="602707F5"/>
    <w:rsid w:val="602C66B4"/>
    <w:rsid w:val="60356E0B"/>
    <w:rsid w:val="603A4405"/>
    <w:rsid w:val="603A7BA5"/>
    <w:rsid w:val="604228EE"/>
    <w:rsid w:val="60677395"/>
    <w:rsid w:val="606D0F17"/>
    <w:rsid w:val="608241E4"/>
    <w:rsid w:val="60894BDD"/>
    <w:rsid w:val="608C02CA"/>
    <w:rsid w:val="6098646F"/>
    <w:rsid w:val="60A702A7"/>
    <w:rsid w:val="60AC6569"/>
    <w:rsid w:val="60AD7D64"/>
    <w:rsid w:val="60B30E49"/>
    <w:rsid w:val="60B4797B"/>
    <w:rsid w:val="60D7659D"/>
    <w:rsid w:val="60E4252A"/>
    <w:rsid w:val="60ED01A2"/>
    <w:rsid w:val="60ED61D8"/>
    <w:rsid w:val="60F277A9"/>
    <w:rsid w:val="610879AC"/>
    <w:rsid w:val="610A35DC"/>
    <w:rsid w:val="610E4751"/>
    <w:rsid w:val="61135D92"/>
    <w:rsid w:val="611A0631"/>
    <w:rsid w:val="612D60C7"/>
    <w:rsid w:val="612D6CD7"/>
    <w:rsid w:val="614C60BA"/>
    <w:rsid w:val="614F01FA"/>
    <w:rsid w:val="6158274B"/>
    <w:rsid w:val="61596D21"/>
    <w:rsid w:val="61625142"/>
    <w:rsid w:val="61644046"/>
    <w:rsid w:val="616A4B93"/>
    <w:rsid w:val="616A72F5"/>
    <w:rsid w:val="617F2236"/>
    <w:rsid w:val="617F4720"/>
    <w:rsid w:val="61843176"/>
    <w:rsid w:val="6185519A"/>
    <w:rsid w:val="61934D76"/>
    <w:rsid w:val="61961722"/>
    <w:rsid w:val="61B72DAC"/>
    <w:rsid w:val="61BC63D8"/>
    <w:rsid w:val="61BF1511"/>
    <w:rsid w:val="61C452A8"/>
    <w:rsid w:val="61D56D8B"/>
    <w:rsid w:val="61D60E15"/>
    <w:rsid w:val="61D7660B"/>
    <w:rsid w:val="61E950E5"/>
    <w:rsid w:val="61ED3A4D"/>
    <w:rsid w:val="61FF7A6E"/>
    <w:rsid w:val="62042D1A"/>
    <w:rsid w:val="62093304"/>
    <w:rsid w:val="620A3196"/>
    <w:rsid w:val="620F4D85"/>
    <w:rsid w:val="621137B8"/>
    <w:rsid w:val="62364782"/>
    <w:rsid w:val="623849C5"/>
    <w:rsid w:val="62396931"/>
    <w:rsid w:val="623E51BC"/>
    <w:rsid w:val="6243717D"/>
    <w:rsid w:val="624E78E3"/>
    <w:rsid w:val="62512F90"/>
    <w:rsid w:val="62516FE2"/>
    <w:rsid w:val="62592A9A"/>
    <w:rsid w:val="62677696"/>
    <w:rsid w:val="626D3A3C"/>
    <w:rsid w:val="62777E08"/>
    <w:rsid w:val="62784FA0"/>
    <w:rsid w:val="62B36013"/>
    <w:rsid w:val="62B72B0D"/>
    <w:rsid w:val="62BE382F"/>
    <w:rsid w:val="62C15D69"/>
    <w:rsid w:val="62C5021A"/>
    <w:rsid w:val="62C721FD"/>
    <w:rsid w:val="62C752CD"/>
    <w:rsid w:val="62DE1413"/>
    <w:rsid w:val="62F2615B"/>
    <w:rsid w:val="62F569AF"/>
    <w:rsid w:val="62F6339D"/>
    <w:rsid w:val="62FE0016"/>
    <w:rsid w:val="63005077"/>
    <w:rsid w:val="630148F1"/>
    <w:rsid w:val="63060DD6"/>
    <w:rsid w:val="63063460"/>
    <w:rsid w:val="63076FB9"/>
    <w:rsid w:val="630A1D4C"/>
    <w:rsid w:val="6310119B"/>
    <w:rsid w:val="6311470C"/>
    <w:rsid w:val="63116A1B"/>
    <w:rsid w:val="63122079"/>
    <w:rsid w:val="63206E90"/>
    <w:rsid w:val="63214EC6"/>
    <w:rsid w:val="63261306"/>
    <w:rsid w:val="632D32CF"/>
    <w:rsid w:val="632E33DD"/>
    <w:rsid w:val="632E5CC8"/>
    <w:rsid w:val="632F799F"/>
    <w:rsid w:val="6331738B"/>
    <w:rsid w:val="63504DDD"/>
    <w:rsid w:val="635652A9"/>
    <w:rsid w:val="6356570E"/>
    <w:rsid w:val="635C3954"/>
    <w:rsid w:val="635D5E7F"/>
    <w:rsid w:val="63697DBD"/>
    <w:rsid w:val="637118D2"/>
    <w:rsid w:val="637A5831"/>
    <w:rsid w:val="63896A2F"/>
    <w:rsid w:val="638A50B0"/>
    <w:rsid w:val="63933A8E"/>
    <w:rsid w:val="639A042D"/>
    <w:rsid w:val="63A41DB1"/>
    <w:rsid w:val="63A7023D"/>
    <w:rsid w:val="63AB730B"/>
    <w:rsid w:val="63BA7453"/>
    <w:rsid w:val="63BC05C7"/>
    <w:rsid w:val="63D40BE9"/>
    <w:rsid w:val="63D6392B"/>
    <w:rsid w:val="63DA31AF"/>
    <w:rsid w:val="63DF0CF7"/>
    <w:rsid w:val="63E0211F"/>
    <w:rsid w:val="63E11D57"/>
    <w:rsid w:val="63E50A46"/>
    <w:rsid w:val="63F1363E"/>
    <w:rsid w:val="64053194"/>
    <w:rsid w:val="640A49BA"/>
    <w:rsid w:val="641527EE"/>
    <w:rsid w:val="641C66A3"/>
    <w:rsid w:val="64236B66"/>
    <w:rsid w:val="642A3466"/>
    <w:rsid w:val="643337CE"/>
    <w:rsid w:val="64370A32"/>
    <w:rsid w:val="645D3037"/>
    <w:rsid w:val="645F22F1"/>
    <w:rsid w:val="647C3499"/>
    <w:rsid w:val="64996351"/>
    <w:rsid w:val="64A17BFE"/>
    <w:rsid w:val="64B14BA9"/>
    <w:rsid w:val="64B47D86"/>
    <w:rsid w:val="64C33A18"/>
    <w:rsid w:val="64D20A3E"/>
    <w:rsid w:val="64D24810"/>
    <w:rsid w:val="64DE2694"/>
    <w:rsid w:val="65034826"/>
    <w:rsid w:val="6518798D"/>
    <w:rsid w:val="651F5481"/>
    <w:rsid w:val="652A0907"/>
    <w:rsid w:val="652E32A1"/>
    <w:rsid w:val="65373578"/>
    <w:rsid w:val="653B3312"/>
    <w:rsid w:val="653D37DE"/>
    <w:rsid w:val="653F0F24"/>
    <w:rsid w:val="65460EC2"/>
    <w:rsid w:val="655D53F6"/>
    <w:rsid w:val="655E6C9C"/>
    <w:rsid w:val="656D4A90"/>
    <w:rsid w:val="657B3F09"/>
    <w:rsid w:val="65883159"/>
    <w:rsid w:val="6591666A"/>
    <w:rsid w:val="6593399A"/>
    <w:rsid w:val="65946678"/>
    <w:rsid w:val="65A1419E"/>
    <w:rsid w:val="65B41D95"/>
    <w:rsid w:val="65BB185D"/>
    <w:rsid w:val="65C154C1"/>
    <w:rsid w:val="65C92F13"/>
    <w:rsid w:val="65DF7D84"/>
    <w:rsid w:val="65EB6DE9"/>
    <w:rsid w:val="65F24CA4"/>
    <w:rsid w:val="65FC6640"/>
    <w:rsid w:val="65FD5C4A"/>
    <w:rsid w:val="66046ADB"/>
    <w:rsid w:val="660A30BE"/>
    <w:rsid w:val="661048AF"/>
    <w:rsid w:val="661A285A"/>
    <w:rsid w:val="661C7C12"/>
    <w:rsid w:val="661D4CBA"/>
    <w:rsid w:val="661F082B"/>
    <w:rsid w:val="66292B1C"/>
    <w:rsid w:val="66297DDE"/>
    <w:rsid w:val="663A05DD"/>
    <w:rsid w:val="663B0E9F"/>
    <w:rsid w:val="663D0CBA"/>
    <w:rsid w:val="663E77CC"/>
    <w:rsid w:val="664359D3"/>
    <w:rsid w:val="66456B14"/>
    <w:rsid w:val="66484B04"/>
    <w:rsid w:val="66517A45"/>
    <w:rsid w:val="66530F72"/>
    <w:rsid w:val="66542C50"/>
    <w:rsid w:val="665E59F0"/>
    <w:rsid w:val="665E7C06"/>
    <w:rsid w:val="66633BD4"/>
    <w:rsid w:val="66695E4D"/>
    <w:rsid w:val="66776F05"/>
    <w:rsid w:val="66796237"/>
    <w:rsid w:val="667A3A53"/>
    <w:rsid w:val="668A44CB"/>
    <w:rsid w:val="669D6081"/>
    <w:rsid w:val="66AC1F74"/>
    <w:rsid w:val="66B3686E"/>
    <w:rsid w:val="66B6094F"/>
    <w:rsid w:val="66B94B2F"/>
    <w:rsid w:val="66BD66B2"/>
    <w:rsid w:val="66C23BCB"/>
    <w:rsid w:val="66C2416B"/>
    <w:rsid w:val="66D2656B"/>
    <w:rsid w:val="66D502DE"/>
    <w:rsid w:val="66DF2D48"/>
    <w:rsid w:val="66E77BCB"/>
    <w:rsid w:val="66EF5488"/>
    <w:rsid w:val="66F70267"/>
    <w:rsid w:val="670B6EC2"/>
    <w:rsid w:val="672947C6"/>
    <w:rsid w:val="67387A8A"/>
    <w:rsid w:val="673905FB"/>
    <w:rsid w:val="673F2C7A"/>
    <w:rsid w:val="674B2013"/>
    <w:rsid w:val="675D29B6"/>
    <w:rsid w:val="67653B22"/>
    <w:rsid w:val="677352EC"/>
    <w:rsid w:val="67792A43"/>
    <w:rsid w:val="677B135A"/>
    <w:rsid w:val="67816D01"/>
    <w:rsid w:val="679D096F"/>
    <w:rsid w:val="67A1381A"/>
    <w:rsid w:val="67A1639C"/>
    <w:rsid w:val="67A811A0"/>
    <w:rsid w:val="67B347B7"/>
    <w:rsid w:val="67B5667F"/>
    <w:rsid w:val="67BE1E4C"/>
    <w:rsid w:val="67D174AC"/>
    <w:rsid w:val="67DD05A3"/>
    <w:rsid w:val="67E10ABE"/>
    <w:rsid w:val="67E24216"/>
    <w:rsid w:val="67E2560A"/>
    <w:rsid w:val="67EC3604"/>
    <w:rsid w:val="67FC0F04"/>
    <w:rsid w:val="67FE03DD"/>
    <w:rsid w:val="67FF5F21"/>
    <w:rsid w:val="680819A7"/>
    <w:rsid w:val="680E533F"/>
    <w:rsid w:val="68122B92"/>
    <w:rsid w:val="68177AA8"/>
    <w:rsid w:val="681C4D4D"/>
    <w:rsid w:val="681F6961"/>
    <w:rsid w:val="68267F7E"/>
    <w:rsid w:val="684A40DC"/>
    <w:rsid w:val="684B71A1"/>
    <w:rsid w:val="684F788D"/>
    <w:rsid w:val="685F3C79"/>
    <w:rsid w:val="68610A2F"/>
    <w:rsid w:val="686E6425"/>
    <w:rsid w:val="68805514"/>
    <w:rsid w:val="68811B1E"/>
    <w:rsid w:val="689D0CC3"/>
    <w:rsid w:val="68A117D7"/>
    <w:rsid w:val="68A31427"/>
    <w:rsid w:val="68B85C29"/>
    <w:rsid w:val="68BE1ED8"/>
    <w:rsid w:val="68C12320"/>
    <w:rsid w:val="68C5249B"/>
    <w:rsid w:val="68C76595"/>
    <w:rsid w:val="68C8685C"/>
    <w:rsid w:val="68CA190F"/>
    <w:rsid w:val="68E676D3"/>
    <w:rsid w:val="68E74220"/>
    <w:rsid w:val="68FA44E8"/>
    <w:rsid w:val="691B7ADF"/>
    <w:rsid w:val="6924705D"/>
    <w:rsid w:val="692A43A0"/>
    <w:rsid w:val="6932462F"/>
    <w:rsid w:val="693C1E44"/>
    <w:rsid w:val="69452FFD"/>
    <w:rsid w:val="694C371B"/>
    <w:rsid w:val="694E2071"/>
    <w:rsid w:val="696737FD"/>
    <w:rsid w:val="696B2176"/>
    <w:rsid w:val="696B3728"/>
    <w:rsid w:val="697904AA"/>
    <w:rsid w:val="697A3B33"/>
    <w:rsid w:val="699557B7"/>
    <w:rsid w:val="699D6561"/>
    <w:rsid w:val="699E2456"/>
    <w:rsid w:val="69AE2AF2"/>
    <w:rsid w:val="69CA1471"/>
    <w:rsid w:val="69CB6100"/>
    <w:rsid w:val="69CC2D5F"/>
    <w:rsid w:val="69CF3386"/>
    <w:rsid w:val="69D367D5"/>
    <w:rsid w:val="69DB11F0"/>
    <w:rsid w:val="69DC2E99"/>
    <w:rsid w:val="69FA1AA0"/>
    <w:rsid w:val="69FC3768"/>
    <w:rsid w:val="69FF040D"/>
    <w:rsid w:val="6A0A082C"/>
    <w:rsid w:val="6A1D4BAA"/>
    <w:rsid w:val="6A1E29CD"/>
    <w:rsid w:val="6A2314D7"/>
    <w:rsid w:val="6A25031F"/>
    <w:rsid w:val="6A2A5BE2"/>
    <w:rsid w:val="6A310B6B"/>
    <w:rsid w:val="6A432D3D"/>
    <w:rsid w:val="6A45268D"/>
    <w:rsid w:val="6A493A85"/>
    <w:rsid w:val="6A4E6403"/>
    <w:rsid w:val="6A551657"/>
    <w:rsid w:val="6A55629E"/>
    <w:rsid w:val="6A5A06A8"/>
    <w:rsid w:val="6A5B1F3D"/>
    <w:rsid w:val="6A62524E"/>
    <w:rsid w:val="6A67537D"/>
    <w:rsid w:val="6A7C1FA8"/>
    <w:rsid w:val="6A803125"/>
    <w:rsid w:val="6A822DBA"/>
    <w:rsid w:val="6A8A403E"/>
    <w:rsid w:val="6A996078"/>
    <w:rsid w:val="6A9B3101"/>
    <w:rsid w:val="6A9C7880"/>
    <w:rsid w:val="6AA555CC"/>
    <w:rsid w:val="6AA9397F"/>
    <w:rsid w:val="6AB515F2"/>
    <w:rsid w:val="6ABC081B"/>
    <w:rsid w:val="6ADC4C4B"/>
    <w:rsid w:val="6AE65423"/>
    <w:rsid w:val="6AEF4178"/>
    <w:rsid w:val="6AF52FE5"/>
    <w:rsid w:val="6B0E6C60"/>
    <w:rsid w:val="6B2A2BEB"/>
    <w:rsid w:val="6B314234"/>
    <w:rsid w:val="6B322639"/>
    <w:rsid w:val="6B3E0BA2"/>
    <w:rsid w:val="6B4C7830"/>
    <w:rsid w:val="6B6662DF"/>
    <w:rsid w:val="6B6F04C7"/>
    <w:rsid w:val="6B8328B4"/>
    <w:rsid w:val="6B8532E1"/>
    <w:rsid w:val="6B8A610D"/>
    <w:rsid w:val="6B9C3F28"/>
    <w:rsid w:val="6BA00653"/>
    <w:rsid w:val="6BBC766B"/>
    <w:rsid w:val="6BD11ABB"/>
    <w:rsid w:val="6BD36BA2"/>
    <w:rsid w:val="6BD7142C"/>
    <w:rsid w:val="6BE760EB"/>
    <w:rsid w:val="6BEE6EDD"/>
    <w:rsid w:val="6BF16BEF"/>
    <w:rsid w:val="6C042137"/>
    <w:rsid w:val="6C0A4A88"/>
    <w:rsid w:val="6C1345D3"/>
    <w:rsid w:val="6C15759D"/>
    <w:rsid w:val="6C176F20"/>
    <w:rsid w:val="6C2410DC"/>
    <w:rsid w:val="6C260483"/>
    <w:rsid w:val="6C2C1605"/>
    <w:rsid w:val="6C364467"/>
    <w:rsid w:val="6C442CEA"/>
    <w:rsid w:val="6C5472FD"/>
    <w:rsid w:val="6C574E8A"/>
    <w:rsid w:val="6C636C38"/>
    <w:rsid w:val="6C63764C"/>
    <w:rsid w:val="6C65455B"/>
    <w:rsid w:val="6C6A523B"/>
    <w:rsid w:val="6C6B63DA"/>
    <w:rsid w:val="6C886EC5"/>
    <w:rsid w:val="6C9258CE"/>
    <w:rsid w:val="6C9D722C"/>
    <w:rsid w:val="6CA66599"/>
    <w:rsid w:val="6CA97B87"/>
    <w:rsid w:val="6CAE6602"/>
    <w:rsid w:val="6CC02718"/>
    <w:rsid w:val="6CC04BE3"/>
    <w:rsid w:val="6CC71B9D"/>
    <w:rsid w:val="6CDB1F84"/>
    <w:rsid w:val="6CDE55FB"/>
    <w:rsid w:val="6CE400D1"/>
    <w:rsid w:val="6CEC76C6"/>
    <w:rsid w:val="6CF15391"/>
    <w:rsid w:val="6CF52360"/>
    <w:rsid w:val="6CF66919"/>
    <w:rsid w:val="6CF7036A"/>
    <w:rsid w:val="6D0A112E"/>
    <w:rsid w:val="6D0F6766"/>
    <w:rsid w:val="6D15510F"/>
    <w:rsid w:val="6D1776E0"/>
    <w:rsid w:val="6D206844"/>
    <w:rsid w:val="6D236170"/>
    <w:rsid w:val="6D395D33"/>
    <w:rsid w:val="6D3D378D"/>
    <w:rsid w:val="6D400CF9"/>
    <w:rsid w:val="6D447F4D"/>
    <w:rsid w:val="6D4E3163"/>
    <w:rsid w:val="6D525124"/>
    <w:rsid w:val="6D5923D1"/>
    <w:rsid w:val="6D697A83"/>
    <w:rsid w:val="6D775EC9"/>
    <w:rsid w:val="6D776E2A"/>
    <w:rsid w:val="6D7B05DF"/>
    <w:rsid w:val="6D864504"/>
    <w:rsid w:val="6D8E440B"/>
    <w:rsid w:val="6D9E7B37"/>
    <w:rsid w:val="6DA001BB"/>
    <w:rsid w:val="6DA52974"/>
    <w:rsid w:val="6DAB3E02"/>
    <w:rsid w:val="6DAD4ABF"/>
    <w:rsid w:val="6DAF5C84"/>
    <w:rsid w:val="6DB34098"/>
    <w:rsid w:val="6DB545B6"/>
    <w:rsid w:val="6DC223E1"/>
    <w:rsid w:val="6DCE060B"/>
    <w:rsid w:val="6DE81A45"/>
    <w:rsid w:val="6DF36B58"/>
    <w:rsid w:val="6DFF3321"/>
    <w:rsid w:val="6E091F24"/>
    <w:rsid w:val="6E137CE9"/>
    <w:rsid w:val="6E153366"/>
    <w:rsid w:val="6E1804DE"/>
    <w:rsid w:val="6E1B015A"/>
    <w:rsid w:val="6E343628"/>
    <w:rsid w:val="6E3C6672"/>
    <w:rsid w:val="6E3C7F33"/>
    <w:rsid w:val="6E4375A0"/>
    <w:rsid w:val="6E4D3F71"/>
    <w:rsid w:val="6E514CED"/>
    <w:rsid w:val="6E54478B"/>
    <w:rsid w:val="6E5929E1"/>
    <w:rsid w:val="6E5D1ED2"/>
    <w:rsid w:val="6E5F6668"/>
    <w:rsid w:val="6E6365EC"/>
    <w:rsid w:val="6E675ED4"/>
    <w:rsid w:val="6E687A08"/>
    <w:rsid w:val="6E720EF7"/>
    <w:rsid w:val="6E79491A"/>
    <w:rsid w:val="6E7E714A"/>
    <w:rsid w:val="6E845C11"/>
    <w:rsid w:val="6E9B0FAA"/>
    <w:rsid w:val="6EAC6B55"/>
    <w:rsid w:val="6EAE048D"/>
    <w:rsid w:val="6EB16648"/>
    <w:rsid w:val="6EB563D5"/>
    <w:rsid w:val="6EBA2826"/>
    <w:rsid w:val="6EBC3683"/>
    <w:rsid w:val="6ECF7DEB"/>
    <w:rsid w:val="6ED2073E"/>
    <w:rsid w:val="6ED453B7"/>
    <w:rsid w:val="6ED72D90"/>
    <w:rsid w:val="6EDF241B"/>
    <w:rsid w:val="6EEC74FF"/>
    <w:rsid w:val="6EF328E2"/>
    <w:rsid w:val="6EF67933"/>
    <w:rsid w:val="6EFC5030"/>
    <w:rsid w:val="6F027CB2"/>
    <w:rsid w:val="6F141DF4"/>
    <w:rsid w:val="6F2002D6"/>
    <w:rsid w:val="6F206085"/>
    <w:rsid w:val="6F217BED"/>
    <w:rsid w:val="6F225983"/>
    <w:rsid w:val="6F2424A1"/>
    <w:rsid w:val="6F396ED7"/>
    <w:rsid w:val="6F440636"/>
    <w:rsid w:val="6F502163"/>
    <w:rsid w:val="6F520552"/>
    <w:rsid w:val="6F584A7B"/>
    <w:rsid w:val="6F604E45"/>
    <w:rsid w:val="6F6D3A65"/>
    <w:rsid w:val="6F7558DB"/>
    <w:rsid w:val="6F7A6186"/>
    <w:rsid w:val="6F8832E5"/>
    <w:rsid w:val="6F90156B"/>
    <w:rsid w:val="6F925F1C"/>
    <w:rsid w:val="6F9F1515"/>
    <w:rsid w:val="6FA0651C"/>
    <w:rsid w:val="6FA1553F"/>
    <w:rsid w:val="6FAE4BBF"/>
    <w:rsid w:val="6FAE72B9"/>
    <w:rsid w:val="6FC86B47"/>
    <w:rsid w:val="6FCD6153"/>
    <w:rsid w:val="6FD245EC"/>
    <w:rsid w:val="6FD615F9"/>
    <w:rsid w:val="6FD7050F"/>
    <w:rsid w:val="6FE313DC"/>
    <w:rsid w:val="6FE36F78"/>
    <w:rsid w:val="6FE40306"/>
    <w:rsid w:val="6FE8380A"/>
    <w:rsid w:val="6FFC5590"/>
    <w:rsid w:val="6FFF397A"/>
    <w:rsid w:val="700972F4"/>
    <w:rsid w:val="70102D1B"/>
    <w:rsid w:val="701254CC"/>
    <w:rsid w:val="701463A0"/>
    <w:rsid w:val="70255C6F"/>
    <w:rsid w:val="702B423A"/>
    <w:rsid w:val="70301DA3"/>
    <w:rsid w:val="70311CDA"/>
    <w:rsid w:val="7031465E"/>
    <w:rsid w:val="70475BD8"/>
    <w:rsid w:val="704F3E86"/>
    <w:rsid w:val="7057635D"/>
    <w:rsid w:val="705A4B17"/>
    <w:rsid w:val="706449BB"/>
    <w:rsid w:val="706711B9"/>
    <w:rsid w:val="706D1DD0"/>
    <w:rsid w:val="70732C10"/>
    <w:rsid w:val="707616C1"/>
    <w:rsid w:val="707A455C"/>
    <w:rsid w:val="70856B87"/>
    <w:rsid w:val="70901812"/>
    <w:rsid w:val="709639C7"/>
    <w:rsid w:val="70984B35"/>
    <w:rsid w:val="70AE2D8A"/>
    <w:rsid w:val="70BC5734"/>
    <w:rsid w:val="70C24AFC"/>
    <w:rsid w:val="70C45394"/>
    <w:rsid w:val="70C81A15"/>
    <w:rsid w:val="70D527EE"/>
    <w:rsid w:val="70DD3A7E"/>
    <w:rsid w:val="70F226AB"/>
    <w:rsid w:val="70FC3008"/>
    <w:rsid w:val="710B6B66"/>
    <w:rsid w:val="710E663B"/>
    <w:rsid w:val="71144278"/>
    <w:rsid w:val="71153587"/>
    <w:rsid w:val="71305EAA"/>
    <w:rsid w:val="7131159B"/>
    <w:rsid w:val="71357D85"/>
    <w:rsid w:val="713B35CD"/>
    <w:rsid w:val="7145059E"/>
    <w:rsid w:val="71461139"/>
    <w:rsid w:val="71466B33"/>
    <w:rsid w:val="714919B8"/>
    <w:rsid w:val="71531E93"/>
    <w:rsid w:val="715B5300"/>
    <w:rsid w:val="715F4BD7"/>
    <w:rsid w:val="716A1602"/>
    <w:rsid w:val="716D58B8"/>
    <w:rsid w:val="716F217B"/>
    <w:rsid w:val="716F517F"/>
    <w:rsid w:val="71773B78"/>
    <w:rsid w:val="717D1981"/>
    <w:rsid w:val="718568EB"/>
    <w:rsid w:val="7194016A"/>
    <w:rsid w:val="719639DF"/>
    <w:rsid w:val="7198715D"/>
    <w:rsid w:val="71A0251C"/>
    <w:rsid w:val="71A47B5B"/>
    <w:rsid w:val="71AA10AF"/>
    <w:rsid w:val="71B12CEF"/>
    <w:rsid w:val="71B748BA"/>
    <w:rsid w:val="71BA7031"/>
    <w:rsid w:val="71CC3270"/>
    <w:rsid w:val="71D27F8A"/>
    <w:rsid w:val="71D654A9"/>
    <w:rsid w:val="71D857AD"/>
    <w:rsid w:val="71E43507"/>
    <w:rsid w:val="71E90FA1"/>
    <w:rsid w:val="71EC44C3"/>
    <w:rsid w:val="71EE5457"/>
    <w:rsid w:val="71F744C6"/>
    <w:rsid w:val="71F960CF"/>
    <w:rsid w:val="721019C0"/>
    <w:rsid w:val="72184FBF"/>
    <w:rsid w:val="721B7028"/>
    <w:rsid w:val="721B7A73"/>
    <w:rsid w:val="722B7DE3"/>
    <w:rsid w:val="72355690"/>
    <w:rsid w:val="723E3379"/>
    <w:rsid w:val="72410E25"/>
    <w:rsid w:val="72467F71"/>
    <w:rsid w:val="72512BBA"/>
    <w:rsid w:val="725D01CA"/>
    <w:rsid w:val="725D0CD4"/>
    <w:rsid w:val="72641156"/>
    <w:rsid w:val="72703CF0"/>
    <w:rsid w:val="728A53F6"/>
    <w:rsid w:val="728A6354"/>
    <w:rsid w:val="728D3D66"/>
    <w:rsid w:val="729349AA"/>
    <w:rsid w:val="72950216"/>
    <w:rsid w:val="729B10FC"/>
    <w:rsid w:val="729B468C"/>
    <w:rsid w:val="72A31B25"/>
    <w:rsid w:val="72AB2F28"/>
    <w:rsid w:val="72C411FB"/>
    <w:rsid w:val="72CA3E97"/>
    <w:rsid w:val="72D72AA5"/>
    <w:rsid w:val="72E615DF"/>
    <w:rsid w:val="72F73F0D"/>
    <w:rsid w:val="72F9354F"/>
    <w:rsid w:val="730205D1"/>
    <w:rsid w:val="73040E2F"/>
    <w:rsid w:val="730B48EC"/>
    <w:rsid w:val="730F1427"/>
    <w:rsid w:val="731D481E"/>
    <w:rsid w:val="731F5D5E"/>
    <w:rsid w:val="733F0EF8"/>
    <w:rsid w:val="733F1BEF"/>
    <w:rsid w:val="734351B8"/>
    <w:rsid w:val="73450F7B"/>
    <w:rsid w:val="734D6CCC"/>
    <w:rsid w:val="73554EF8"/>
    <w:rsid w:val="73566F5F"/>
    <w:rsid w:val="73667A39"/>
    <w:rsid w:val="736B3FC7"/>
    <w:rsid w:val="73726B6C"/>
    <w:rsid w:val="73747D3F"/>
    <w:rsid w:val="737B64F0"/>
    <w:rsid w:val="738C06CF"/>
    <w:rsid w:val="73A519F6"/>
    <w:rsid w:val="73B22B9E"/>
    <w:rsid w:val="73BA1061"/>
    <w:rsid w:val="73C95ABE"/>
    <w:rsid w:val="73CC62EA"/>
    <w:rsid w:val="73D13230"/>
    <w:rsid w:val="73D64320"/>
    <w:rsid w:val="73F6720A"/>
    <w:rsid w:val="73F75591"/>
    <w:rsid w:val="73FE23C7"/>
    <w:rsid w:val="74032913"/>
    <w:rsid w:val="74070179"/>
    <w:rsid w:val="74131C35"/>
    <w:rsid w:val="741E793C"/>
    <w:rsid w:val="74236E72"/>
    <w:rsid w:val="74294F9B"/>
    <w:rsid w:val="742D7267"/>
    <w:rsid w:val="74366ADF"/>
    <w:rsid w:val="743763E2"/>
    <w:rsid w:val="743A1C08"/>
    <w:rsid w:val="74484558"/>
    <w:rsid w:val="74563AA3"/>
    <w:rsid w:val="746153C2"/>
    <w:rsid w:val="747B6F33"/>
    <w:rsid w:val="747C19BD"/>
    <w:rsid w:val="74800F99"/>
    <w:rsid w:val="748966F6"/>
    <w:rsid w:val="74937836"/>
    <w:rsid w:val="749822D4"/>
    <w:rsid w:val="749F6D4E"/>
    <w:rsid w:val="74B411AC"/>
    <w:rsid w:val="74B66837"/>
    <w:rsid w:val="74CB6C70"/>
    <w:rsid w:val="74D75815"/>
    <w:rsid w:val="74DC6E23"/>
    <w:rsid w:val="74E96450"/>
    <w:rsid w:val="75134C02"/>
    <w:rsid w:val="751B039F"/>
    <w:rsid w:val="751E4FEA"/>
    <w:rsid w:val="7537351B"/>
    <w:rsid w:val="754C6AFA"/>
    <w:rsid w:val="754E1735"/>
    <w:rsid w:val="75514E58"/>
    <w:rsid w:val="75570923"/>
    <w:rsid w:val="755878DB"/>
    <w:rsid w:val="755C42E4"/>
    <w:rsid w:val="755E5270"/>
    <w:rsid w:val="75685D11"/>
    <w:rsid w:val="75752676"/>
    <w:rsid w:val="757F51A8"/>
    <w:rsid w:val="75847BAC"/>
    <w:rsid w:val="758D10DF"/>
    <w:rsid w:val="758D75E2"/>
    <w:rsid w:val="758E14B4"/>
    <w:rsid w:val="759074F1"/>
    <w:rsid w:val="759F5204"/>
    <w:rsid w:val="75A00178"/>
    <w:rsid w:val="75AE237B"/>
    <w:rsid w:val="75AF7DB4"/>
    <w:rsid w:val="75B4228C"/>
    <w:rsid w:val="75B6388B"/>
    <w:rsid w:val="75B95A27"/>
    <w:rsid w:val="75BB6383"/>
    <w:rsid w:val="75BC5FD6"/>
    <w:rsid w:val="75BF3BF3"/>
    <w:rsid w:val="75EE4F74"/>
    <w:rsid w:val="75EE69AD"/>
    <w:rsid w:val="75FA312C"/>
    <w:rsid w:val="76094B51"/>
    <w:rsid w:val="761D3DBA"/>
    <w:rsid w:val="762A37EC"/>
    <w:rsid w:val="762D31D7"/>
    <w:rsid w:val="762F780C"/>
    <w:rsid w:val="763C7418"/>
    <w:rsid w:val="766B0D3C"/>
    <w:rsid w:val="76714822"/>
    <w:rsid w:val="767260B9"/>
    <w:rsid w:val="76791AFF"/>
    <w:rsid w:val="76885423"/>
    <w:rsid w:val="768B2693"/>
    <w:rsid w:val="76906D01"/>
    <w:rsid w:val="7697677B"/>
    <w:rsid w:val="769F2767"/>
    <w:rsid w:val="76A71E68"/>
    <w:rsid w:val="76C43C44"/>
    <w:rsid w:val="76C6679E"/>
    <w:rsid w:val="76CA3E38"/>
    <w:rsid w:val="76D732C8"/>
    <w:rsid w:val="76EB461C"/>
    <w:rsid w:val="76ED2133"/>
    <w:rsid w:val="76F03DEF"/>
    <w:rsid w:val="76FC47C2"/>
    <w:rsid w:val="771A0944"/>
    <w:rsid w:val="77280CF0"/>
    <w:rsid w:val="772E5985"/>
    <w:rsid w:val="77312A67"/>
    <w:rsid w:val="77466F33"/>
    <w:rsid w:val="774E2707"/>
    <w:rsid w:val="774F5FDC"/>
    <w:rsid w:val="77576801"/>
    <w:rsid w:val="77604D68"/>
    <w:rsid w:val="77606F54"/>
    <w:rsid w:val="77664FC0"/>
    <w:rsid w:val="776971F6"/>
    <w:rsid w:val="77750F35"/>
    <w:rsid w:val="77762421"/>
    <w:rsid w:val="77771D6C"/>
    <w:rsid w:val="778D1665"/>
    <w:rsid w:val="77932521"/>
    <w:rsid w:val="77976493"/>
    <w:rsid w:val="779A2CA6"/>
    <w:rsid w:val="779D0696"/>
    <w:rsid w:val="77C13CFE"/>
    <w:rsid w:val="77C91AEA"/>
    <w:rsid w:val="77CB23BD"/>
    <w:rsid w:val="77E50500"/>
    <w:rsid w:val="77EE506E"/>
    <w:rsid w:val="77F137F7"/>
    <w:rsid w:val="77F23E28"/>
    <w:rsid w:val="77F327FF"/>
    <w:rsid w:val="77FE37DE"/>
    <w:rsid w:val="78000A95"/>
    <w:rsid w:val="780F09F4"/>
    <w:rsid w:val="78197D23"/>
    <w:rsid w:val="781B46B8"/>
    <w:rsid w:val="783D5555"/>
    <w:rsid w:val="78406F90"/>
    <w:rsid w:val="78414C98"/>
    <w:rsid w:val="78436778"/>
    <w:rsid w:val="7845320E"/>
    <w:rsid w:val="785038D6"/>
    <w:rsid w:val="786524D5"/>
    <w:rsid w:val="78655109"/>
    <w:rsid w:val="786734A7"/>
    <w:rsid w:val="786A6B50"/>
    <w:rsid w:val="787A4C47"/>
    <w:rsid w:val="78870795"/>
    <w:rsid w:val="7896631F"/>
    <w:rsid w:val="789C4F47"/>
    <w:rsid w:val="78A90480"/>
    <w:rsid w:val="78A92E81"/>
    <w:rsid w:val="78AE2E32"/>
    <w:rsid w:val="78AF2A31"/>
    <w:rsid w:val="78BC3C78"/>
    <w:rsid w:val="78C54784"/>
    <w:rsid w:val="78D3115A"/>
    <w:rsid w:val="78F17709"/>
    <w:rsid w:val="790B0660"/>
    <w:rsid w:val="79155452"/>
    <w:rsid w:val="791A392B"/>
    <w:rsid w:val="791F4F16"/>
    <w:rsid w:val="792611E2"/>
    <w:rsid w:val="793C4EC3"/>
    <w:rsid w:val="793D272E"/>
    <w:rsid w:val="793E3860"/>
    <w:rsid w:val="793F45D5"/>
    <w:rsid w:val="79416C66"/>
    <w:rsid w:val="796764CC"/>
    <w:rsid w:val="797A45B8"/>
    <w:rsid w:val="797B2FBE"/>
    <w:rsid w:val="79811327"/>
    <w:rsid w:val="798A6796"/>
    <w:rsid w:val="7996241A"/>
    <w:rsid w:val="799A2995"/>
    <w:rsid w:val="799B24D7"/>
    <w:rsid w:val="79B66982"/>
    <w:rsid w:val="79C16403"/>
    <w:rsid w:val="79CE7939"/>
    <w:rsid w:val="79D7471A"/>
    <w:rsid w:val="79DF1B9E"/>
    <w:rsid w:val="79E73AB4"/>
    <w:rsid w:val="79E9200E"/>
    <w:rsid w:val="79F85EE5"/>
    <w:rsid w:val="79FC6402"/>
    <w:rsid w:val="7A063D78"/>
    <w:rsid w:val="7A126F61"/>
    <w:rsid w:val="7A364017"/>
    <w:rsid w:val="7A3955A3"/>
    <w:rsid w:val="7A581FC9"/>
    <w:rsid w:val="7A592E53"/>
    <w:rsid w:val="7A5C1E8E"/>
    <w:rsid w:val="7A5F72A3"/>
    <w:rsid w:val="7A705678"/>
    <w:rsid w:val="7A716C53"/>
    <w:rsid w:val="7A725D81"/>
    <w:rsid w:val="7A7C57B3"/>
    <w:rsid w:val="7A7F7B35"/>
    <w:rsid w:val="7A801E61"/>
    <w:rsid w:val="7A8265E1"/>
    <w:rsid w:val="7A826A24"/>
    <w:rsid w:val="7A893DC2"/>
    <w:rsid w:val="7A8D3FF1"/>
    <w:rsid w:val="7A9D1960"/>
    <w:rsid w:val="7AA13204"/>
    <w:rsid w:val="7AA64C46"/>
    <w:rsid w:val="7AB92830"/>
    <w:rsid w:val="7AC529FC"/>
    <w:rsid w:val="7ACD1BC7"/>
    <w:rsid w:val="7ACF0F1F"/>
    <w:rsid w:val="7AD82DFD"/>
    <w:rsid w:val="7ADD01BA"/>
    <w:rsid w:val="7ADD03B0"/>
    <w:rsid w:val="7AE07A90"/>
    <w:rsid w:val="7AE70472"/>
    <w:rsid w:val="7AEA0801"/>
    <w:rsid w:val="7B0F5D51"/>
    <w:rsid w:val="7B0F764C"/>
    <w:rsid w:val="7B1C60E4"/>
    <w:rsid w:val="7B275463"/>
    <w:rsid w:val="7B2E5832"/>
    <w:rsid w:val="7B355FA2"/>
    <w:rsid w:val="7B3760CC"/>
    <w:rsid w:val="7B3A5ABF"/>
    <w:rsid w:val="7B3F011F"/>
    <w:rsid w:val="7B45228E"/>
    <w:rsid w:val="7B4822E7"/>
    <w:rsid w:val="7B4A1F0A"/>
    <w:rsid w:val="7B5310F7"/>
    <w:rsid w:val="7B5825F2"/>
    <w:rsid w:val="7B5B148D"/>
    <w:rsid w:val="7B615F76"/>
    <w:rsid w:val="7B686D42"/>
    <w:rsid w:val="7B6C31C2"/>
    <w:rsid w:val="7B713ACD"/>
    <w:rsid w:val="7B782024"/>
    <w:rsid w:val="7B7C2CD5"/>
    <w:rsid w:val="7B82089E"/>
    <w:rsid w:val="7B841746"/>
    <w:rsid w:val="7BA075A1"/>
    <w:rsid w:val="7BA20B3D"/>
    <w:rsid w:val="7BA51957"/>
    <w:rsid w:val="7BB57EDF"/>
    <w:rsid w:val="7BBA05F6"/>
    <w:rsid w:val="7BBA3EF8"/>
    <w:rsid w:val="7BC7212D"/>
    <w:rsid w:val="7BD34993"/>
    <w:rsid w:val="7BDF22FB"/>
    <w:rsid w:val="7BF537AF"/>
    <w:rsid w:val="7BFA4465"/>
    <w:rsid w:val="7BFB68B5"/>
    <w:rsid w:val="7BFD24DA"/>
    <w:rsid w:val="7C07497C"/>
    <w:rsid w:val="7C126048"/>
    <w:rsid w:val="7C170B9E"/>
    <w:rsid w:val="7C236081"/>
    <w:rsid w:val="7C2F2CC2"/>
    <w:rsid w:val="7C300AFD"/>
    <w:rsid w:val="7C3429AE"/>
    <w:rsid w:val="7C342EC3"/>
    <w:rsid w:val="7C3A4159"/>
    <w:rsid w:val="7C3F4AA8"/>
    <w:rsid w:val="7C485582"/>
    <w:rsid w:val="7C522BDD"/>
    <w:rsid w:val="7C617084"/>
    <w:rsid w:val="7C6723BA"/>
    <w:rsid w:val="7C784C66"/>
    <w:rsid w:val="7C7C7C89"/>
    <w:rsid w:val="7C8147D7"/>
    <w:rsid w:val="7C867944"/>
    <w:rsid w:val="7C970637"/>
    <w:rsid w:val="7C9E19F1"/>
    <w:rsid w:val="7C9E685C"/>
    <w:rsid w:val="7CA038F5"/>
    <w:rsid w:val="7CA54764"/>
    <w:rsid w:val="7CBF6373"/>
    <w:rsid w:val="7CCA0B85"/>
    <w:rsid w:val="7CCA72A0"/>
    <w:rsid w:val="7CCD2E08"/>
    <w:rsid w:val="7CF37EC7"/>
    <w:rsid w:val="7D0239FF"/>
    <w:rsid w:val="7D176E70"/>
    <w:rsid w:val="7D2868BB"/>
    <w:rsid w:val="7D2B4911"/>
    <w:rsid w:val="7D413E22"/>
    <w:rsid w:val="7D457E7D"/>
    <w:rsid w:val="7D537FE0"/>
    <w:rsid w:val="7D5757A0"/>
    <w:rsid w:val="7D583937"/>
    <w:rsid w:val="7D5D7374"/>
    <w:rsid w:val="7D5E40CD"/>
    <w:rsid w:val="7D600DE3"/>
    <w:rsid w:val="7D693BED"/>
    <w:rsid w:val="7D6A0E48"/>
    <w:rsid w:val="7D6B4EBE"/>
    <w:rsid w:val="7D6C6115"/>
    <w:rsid w:val="7D743FF4"/>
    <w:rsid w:val="7D7957E4"/>
    <w:rsid w:val="7D7B092C"/>
    <w:rsid w:val="7D930960"/>
    <w:rsid w:val="7DA61983"/>
    <w:rsid w:val="7DBF0149"/>
    <w:rsid w:val="7DCA304A"/>
    <w:rsid w:val="7DDA3023"/>
    <w:rsid w:val="7DE65378"/>
    <w:rsid w:val="7E126B7E"/>
    <w:rsid w:val="7E1D480C"/>
    <w:rsid w:val="7E252AAB"/>
    <w:rsid w:val="7E29404E"/>
    <w:rsid w:val="7E31045B"/>
    <w:rsid w:val="7E384743"/>
    <w:rsid w:val="7E442505"/>
    <w:rsid w:val="7E4E4766"/>
    <w:rsid w:val="7E4E5954"/>
    <w:rsid w:val="7E541A54"/>
    <w:rsid w:val="7E67781E"/>
    <w:rsid w:val="7E6E7609"/>
    <w:rsid w:val="7E936A2E"/>
    <w:rsid w:val="7E9B2AF9"/>
    <w:rsid w:val="7EAB439D"/>
    <w:rsid w:val="7EB37587"/>
    <w:rsid w:val="7EB908D9"/>
    <w:rsid w:val="7EBB1136"/>
    <w:rsid w:val="7EC05B98"/>
    <w:rsid w:val="7EED2D6F"/>
    <w:rsid w:val="7EEF486E"/>
    <w:rsid w:val="7EF60B64"/>
    <w:rsid w:val="7EF879DD"/>
    <w:rsid w:val="7F0D43B8"/>
    <w:rsid w:val="7F0F484C"/>
    <w:rsid w:val="7F123119"/>
    <w:rsid w:val="7F4B4BD0"/>
    <w:rsid w:val="7F513218"/>
    <w:rsid w:val="7F513DF3"/>
    <w:rsid w:val="7F536BC7"/>
    <w:rsid w:val="7F546A5A"/>
    <w:rsid w:val="7F5F1C7E"/>
    <w:rsid w:val="7F743577"/>
    <w:rsid w:val="7F9D652E"/>
    <w:rsid w:val="7FA21A2B"/>
    <w:rsid w:val="7FA21DC4"/>
    <w:rsid w:val="7FB02C20"/>
    <w:rsid w:val="7FB630E5"/>
    <w:rsid w:val="7FBF3957"/>
    <w:rsid w:val="7FC11BAB"/>
    <w:rsid w:val="7FC22FA8"/>
    <w:rsid w:val="7FCB4DE1"/>
    <w:rsid w:val="7FD11FDD"/>
    <w:rsid w:val="7FD30D35"/>
    <w:rsid w:val="7FD72EE7"/>
    <w:rsid w:val="7FDC519A"/>
    <w:rsid w:val="7FDC63D4"/>
    <w:rsid w:val="7FE04729"/>
    <w:rsid w:val="7FE47E50"/>
    <w:rsid w:val="7FFA674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iPriority="0" w:semiHidden="0" w:name="heading 4" w:locked="1"/>
    <w:lsdException w:qFormat="1"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qFormat="1" w:unhideWhenUsed="0" w:uiPriority="0" w:semiHidden="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ocked="1"/>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unhideWhenUsed="0" w:uiPriority="0" w:semiHidden="0" w:name="Strong" w:locked="1"/>
    <w:lsdException w:qFormat="1"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autoRedefine/>
    <w:qFormat/>
    <w:locked/>
    <w:uiPriority w:val="0"/>
    <w:pPr>
      <w:keepNext/>
      <w:keepLines/>
      <w:spacing w:line="360" w:lineRule="auto"/>
      <w:jc w:val="left"/>
      <w:outlineLvl w:val="1"/>
    </w:pPr>
    <w:rPr>
      <w:rFonts w:ascii="Arial" w:hAnsi="Arial" w:eastAsia="黑体"/>
      <w:bCs/>
      <w:sz w:val="28"/>
      <w:szCs w:val="32"/>
    </w:rPr>
  </w:style>
  <w:style w:type="paragraph" w:styleId="5">
    <w:name w:val="heading 3"/>
    <w:basedOn w:val="1"/>
    <w:next w:val="1"/>
    <w:autoRedefine/>
    <w:qFormat/>
    <w:locked/>
    <w:uiPriority w:val="0"/>
    <w:pPr>
      <w:keepNext/>
      <w:keepLines/>
      <w:spacing w:before="260" w:after="260" w:line="416" w:lineRule="auto"/>
      <w:outlineLvl w:val="2"/>
    </w:pPr>
    <w:rPr>
      <w:b/>
      <w:bCs/>
      <w:sz w:val="32"/>
      <w:szCs w:val="32"/>
    </w:rPr>
  </w:style>
  <w:style w:type="paragraph" w:styleId="6">
    <w:name w:val="heading 4"/>
    <w:basedOn w:val="1"/>
    <w:next w:val="7"/>
    <w:autoRedefine/>
    <w:unhideWhenUsed/>
    <w:qFormat/>
    <w:locked/>
    <w:uiPriority w:val="0"/>
    <w:pPr>
      <w:keepNext/>
      <w:keepLines/>
      <w:numPr>
        <w:ilvl w:val="3"/>
        <w:numId w:val="1"/>
      </w:numPr>
      <w:tabs>
        <w:tab w:val="left" w:pos="377"/>
      </w:tabs>
      <w:spacing w:before="280" w:beforeLines="0" w:beforeAutospacing="0" w:after="290" w:afterLines="0" w:afterAutospacing="0" w:line="372" w:lineRule="auto"/>
      <w:ind w:left="7386" w:hanging="864"/>
      <w:outlineLvl w:val="3"/>
    </w:pPr>
    <w:rPr>
      <w:rFonts w:ascii="Arial" w:hAnsi="Arial" w:eastAsia="黑体"/>
      <w:b/>
      <w:sz w:val="28"/>
    </w:rPr>
  </w:style>
  <w:style w:type="paragraph" w:styleId="9">
    <w:name w:val="heading 5"/>
    <w:basedOn w:val="1"/>
    <w:next w:val="1"/>
    <w:autoRedefine/>
    <w:qFormat/>
    <w:locked/>
    <w:uiPriority w:val="0"/>
    <w:pPr>
      <w:keepNext/>
      <w:keepLines/>
      <w:autoSpaceDE w:val="0"/>
      <w:autoSpaceDN w:val="0"/>
      <w:adjustRightInd w:val="0"/>
      <w:spacing w:line="288" w:lineRule="auto"/>
      <w:jc w:val="left"/>
      <w:textAlignment w:val="baseline"/>
      <w:outlineLvl w:val="4"/>
    </w:pPr>
    <w:rPr>
      <w:b/>
      <w:kern w:val="0"/>
      <w:sz w:val="24"/>
      <w:szCs w:val="20"/>
    </w:rPr>
  </w:style>
  <w:style w:type="paragraph" w:styleId="10">
    <w:name w:val="heading 9"/>
    <w:basedOn w:val="1"/>
    <w:next w:val="1"/>
    <w:autoRedefine/>
    <w:qFormat/>
    <w:locked/>
    <w:uiPriority w:val="0"/>
    <w:pPr>
      <w:keepNext/>
      <w:keepLines/>
      <w:autoSpaceDE w:val="0"/>
      <w:autoSpaceDN w:val="0"/>
      <w:adjustRightInd w:val="0"/>
      <w:spacing w:before="240" w:after="64" w:line="320" w:lineRule="auto"/>
      <w:jc w:val="left"/>
      <w:textAlignment w:val="baseline"/>
      <w:outlineLvl w:val="8"/>
    </w:pPr>
    <w:rPr>
      <w:rFonts w:ascii="Arial" w:hAnsi="Arial" w:eastAsia="黑体"/>
      <w:kern w:val="0"/>
      <w:szCs w:val="20"/>
    </w:rPr>
  </w:style>
  <w:style w:type="character" w:default="1" w:styleId="32">
    <w:name w:val="Default Paragraph Font"/>
    <w:link w:val="33"/>
    <w:autoRedefine/>
    <w:semiHidden/>
    <w:qFormat/>
    <w:uiPriority w:val="0"/>
    <w:rPr>
      <w:rFonts w:ascii="Times New Roman" w:hAnsi="Times New Roman" w:eastAsia="仿宋_GB2312"/>
      <w:kern w:val="2"/>
    </w:rPr>
  </w:style>
  <w:style w:type="table" w:default="1" w:styleId="30">
    <w:name w:val="Normal Table"/>
    <w:autoRedefine/>
    <w:semiHidden/>
    <w:qFormat/>
    <w:uiPriority w:val="0"/>
    <w:tblPr>
      <w:tblCellMar>
        <w:top w:w="0" w:type="dxa"/>
        <w:left w:w="108" w:type="dxa"/>
        <w:bottom w:w="0" w:type="dxa"/>
        <w:right w:w="108" w:type="dxa"/>
      </w:tblCellMar>
    </w:tblPr>
  </w:style>
  <w:style w:type="paragraph" w:styleId="2">
    <w:name w:val="Normal Indent"/>
    <w:basedOn w:val="1"/>
    <w:autoRedefine/>
    <w:qFormat/>
    <w:uiPriority w:val="0"/>
    <w:pPr>
      <w:ind w:firstLine="420"/>
    </w:pPr>
    <w:rPr>
      <w:sz w:val="28"/>
      <w:szCs w:val="20"/>
    </w:rPr>
  </w:style>
  <w:style w:type="paragraph" w:customStyle="1" w:styleId="7">
    <w:name w:val="中文段落（P）"/>
    <w:basedOn w:val="8"/>
    <w:link w:val="39"/>
    <w:autoRedefine/>
    <w:qFormat/>
    <w:uiPriority w:val="0"/>
    <w:pPr>
      <w:tabs>
        <w:tab w:val="left" w:pos="420"/>
      </w:tabs>
      <w:spacing w:after="0" w:line="540" w:lineRule="atLeast"/>
      <w:ind w:firstLine="560" w:firstLineChars="200"/>
    </w:pPr>
    <w:rPr>
      <w:rFonts w:eastAsia="仿宋_GB2312" w:cs="Arial Unicode MS"/>
      <w:sz w:val="28"/>
      <w:szCs w:val="28"/>
    </w:rPr>
  </w:style>
  <w:style w:type="paragraph" w:styleId="8">
    <w:name w:val="Body Text"/>
    <w:basedOn w:val="1"/>
    <w:next w:val="1"/>
    <w:link w:val="38"/>
    <w:autoRedefine/>
    <w:qFormat/>
    <w:uiPriority w:val="0"/>
    <w:pPr>
      <w:widowControl/>
      <w:snapToGrid w:val="0"/>
      <w:spacing w:before="60" w:after="160" w:line="259" w:lineRule="auto"/>
      <w:ind w:right="113"/>
    </w:pPr>
    <w:rPr>
      <w:kern w:val="0"/>
      <w:sz w:val="18"/>
      <w:szCs w:val="18"/>
    </w:rPr>
  </w:style>
  <w:style w:type="paragraph" w:styleId="11">
    <w:name w:val="caption"/>
    <w:basedOn w:val="1"/>
    <w:next w:val="1"/>
    <w:autoRedefine/>
    <w:qFormat/>
    <w:locked/>
    <w:uiPriority w:val="0"/>
    <w:pPr>
      <w:spacing w:line="240" w:lineRule="auto"/>
      <w:ind w:firstLine="0" w:firstLineChars="0"/>
      <w:jc w:val="center"/>
    </w:pPr>
    <w:rPr>
      <w:b/>
    </w:rPr>
  </w:style>
  <w:style w:type="paragraph" w:styleId="12">
    <w:name w:val="annotation text"/>
    <w:basedOn w:val="1"/>
    <w:link w:val="40"/>
    <w:autoRedefine/>
    <w:semiHidden/>
    <w:qFormat/>
    <w:uiPriority w:val="0"/>
    <w:pPr>
      <w:jc w:val="left"/>
    </w:pPr>
    <w:rPr>
      <w:kern w:val="0"/>
      <w:sz w:val="20"/>
    </w:rPr>
  </w:style>
  <w:style w:type="paragraph" w:styleId="13">
    <w:name w:val="Salutation"/>
    <w:basedOn w:val="1"/>
    <w:next w:val="1"/>
    <w:autoRedefine/>
    <w:qFormat/>
    <w:uiPriority w:val="0"/>
    <w:rPr>
      <w:rFonts w:ascii="Calibri" w:hAnsi="Calibri"/>
    </w:rPr>
  </w:style>
  <w:style w:type="paragraph" w:styleId="14">
    <w:name w:val="Body Text Indent"/>
    <w:basedOn w:val="1"/>
    <w:next w:val="15"/>
    <w:link w:val="41"/>
    <w:autoRedefine/>
    <w:semiHidden/>
    <w:qFormat/>
    <w:uiPriority w:val="0"/>
    <w:pPr>
      <w:spacing w:after="120"/>
      <w:ind w:left="420" w:leftChars="200"/>
    </w:pPr>
  </w:style>
  <w:style w:type="paragraph" w:customStyle="1" w:styleId="15">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styleId="16">
    <w:name w:val="Block Text"/>
    <w:basedOn w:val="1"/>
    <w:autoRedefine/>
    <w:qFormat/>
    <w:uiPriority w:val="0"/>
    <w:pPr>
      <w:spacing w:line="320" w:lineRule="exact"/>
      <w:ind w:left="113" w:right="113"/>
      <w:jc w:val="center"/>
    </w:pPr>
    <w:rPr>
      <w:b/>
      <w:sz w:val="13"/>
      <w:szCs w:val="15"/>
    </w:rPr>
  </w:style>
  <w:style w:type="paragraph" w:styleId="17">
    <w:name w:val="Plain Text"/>
    <w:basedOn w:val="1"/>
    <w:autoRedefine/>
    <w:qFormat/>
    <w:uiPriority w:val="0"/>
    <w:rPr>
      <w:rFonts w:ascii="宋体" w:hAnsi="Courier New" w:cs="Courier New"/>
      <w:szCs w:val="21"/>
    </w:rPr>
  </w:style>
  <w:style w:type="paragraph" w:styleId="18">
    <w:name w:val="List Bullet 5"/>
    <w:basedOn w:val="1"/>
    <w:autoRedefine/>
    <w:qFormat/>
    <w:uiPriority w:val="0"/>
    <w:pPr>
      <w:numPr>
        <w:ilvl w:val="0"/>
        <w:numId w:val="2"/>
      </w:numPr>
    </w:pPr>
  </w:style>
  <w:style w:type="paragraph" w:styleId="19">
    <w:name w:val="Date"/>
    <w:basedOn w:val="1"/>
    <w:next w:val="1"/>
    <w:link w:val="42"/>
    <w:autoRedefine/>
    <w:qFormat/>
    <w:uiPriority w:val="0"/>
    <w:pPr>
      <w:ind w:left="100" w:leftChars="2500"/>
    </w:pPr>
    <w:rPr>
      <w:kern w:val="0"/>
      <w:sz w:val="20"/>
    </w:rPr>
  </w:style>
  <w:style w:type="paragraph" w:styleId="20">
    <w:name w:val="Body Text Indent 2"/>
    <w:basedOn w:val="1"/>
    <w:next w:val="1"/>
    <w:autoRedefine/>
    <w:qFormat/>
    <w:uiPriority w:val="0"/>
    <w:pPr>
      <w:spacing w:after="120" w:afterLines="0" w:line="480" w:lineRule="auto"/>
      <w:ind w:left="420" w:leftChars="200"/>
    </w:pPr>
  </w:style>
  <w:style w:type="paragraph" w:styleId="21">
    <w:name w:val="Balloon Text"/>
    <w:basedOn w:val="1"/>
    <w:link w:val="43"/>
    <w:autoRedefine/>
    <w:semiHidden/>
    <w:qFormat/>
    <w:uiPriority w:val="0"/>
    <w:rPr>
      <w:sz w:val="18"/>
      <w:szCs w:val="18"/>
    </w:rPr>
  </w:style>
  <w:style w:type="paragraph" w:styleId="22">
    <w:name w:val="footer"/>
    <w:basedOn w:val="1"/>
    <w:link w:val="44"/>
    <w:autoRedefine/>
    <w:qFormat/>
    <w:uiPriority w:val="0"/>
    <w:pPr>
      <w:tabs>
        <w:tab w:val="center" w:pos="4153"/>
        <w:tab w:val="right" w:pos="8306"/>
      </w:tabs>
      <w:snapToGrid w:val="0"/>
      <w:jc w:val="left"/>
    </w:pPr>
    <w:rPr>
      <w:sz w:val="18"/>
      <w:szCs w:val="18"/>
    </w:rPr>
  </w:style>
  <w:style w:type="paragraph" w:styleId="23">
    <w:name w:val="header"/>
    <w:basedOn w:val="1"/>
    <w:next w:val="1"/>
    <w:link w:val="45"/>
    <w:autoRedefine/>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autoRedefine/>
    <w:qFormat/>
    <w:locked/>
    <w:uiPriority w:val="0"/>
  </w:style>
  <w:style w:type="paragraph" w:styleId="25">
    <w:name w:val="Subtitle"/>
    <w:basedOn w:val="1"/>
    <w:next w:val="1"/>
    <w:autoRedefine/>
    <w:qFormat/>
    <w:locked/>
    <w:uiPriority w:val="0"/>
    <w:pPr>
      <w:spacing w:line="240" w:lineRule="auto"/>
      <w:ind w:firstLine="0" w:firstLineChars="0"/>
      <w:jc w:val="left"/>
    </w:pPr>
    <w:rPr>
      <w:b/>
      <w:sz w:val="28"/>
    </w:rPr>
  </w:style>
  <w:style w:type="paragraph" w:styleId="26">
    <w:name w:val="Normal (Web)"/>
    <w:basedOn w:val="1"/>
    <w:next w:val="1"/>
    <w:link w:val="46"/>
    <w:autoRedefine/>
    <w:qFormat/>
    <w:uiPriority w:val="0"/>
    <w:pPr>
      <w:widowControl/>
      <w:spacing w:before="100" w:beforeAutospacing="1" w:after="100" w:afterAutospacing="1"/>
      <w:jc w:val="left"/>
    </w:pPr>
    <w:rPr>
      <w:rFonts w:ascii="宋体" w:hAnsi="宋体"/>
      <w:kern w:val="0"/>
      <w:sz w:val="24"/>
    </w:rPr>
  </w:style>
  <w:style w:type="paragraph" w:styleId="27">
    <w:name w:val="annotation subject"/>
    <w:basedOn w:val="12"/>
    <w:next w:val="12"/>
    <w:link w:val="47"/>
    <w:autoRedefine/>
    <w:semiHidden/>
    <w:qFormat/>
    <w:uiPriority w:val="0"/>
    <w:rPr>
      <w:b/>
      <w:bCs/>
    </w:rPr>
  </w:style>
  <w:style w:type="paragraph" w:styleId="28">
    <w:name w:val="Body Text First Indent"/>
    <w:basedOn w:val="8"/>
    <w:autoRedefine/>
    <w:qFormat/>
    <w:uiPriority w:val="0"/>
    <w:pPr>
      <w:spacing w:after="120" w:afterLines="0"/>
      <w:ind w:firstLine="420" w:firstLineChars="100"/>
    </w:pPr>
    <w:rPr>
      <w:sz w:val="21"/>
      <w:szCs w:val="24"/>
    </w:rPr>
  </w:style>
  <w:style w:type="paragraph" w:styleId="29">
    <w:name w:val="Body Text First Indent 2"/>
    <w:basedOn w:val="14"/>
    <w:next w:val="1"/>
    <w:autoRedefine/>
    <w:qFormat/>
    <w:uiPriority w:val="0"/>
    <w:pPr>
      <w:tabs>
        <w:tab w:val="left" w:pos="420"/>
        <w:tab w:val="left" w:pos="870"/>
        <w:tab w:val="left" w:pos="3150"/>
      </w:tabs>
      <w:autoSpaceDE w:val="0"/>
      <w:autoSpaceDN w:val="0"/>
      <w:adjustRightInd w:val="0"/>
      <w:spacing w:after="0" w:line="360" w:lineRule="auto"/>
      <w:ind w:left="0" w:leftChars="0" w:firstLine="567"/>
      <w:textAlignment w:val="baseline"/>
    </w:pPr>
    <w:rPr>
      <w:rFonts w:ascii="宋体"/>
      <w:sz w:val="24"/>
      <w:szCs w:val="28"/>
    </w:rPr>
  </w:style>
  <w:style w:type="table" w:styleId="31">
    <w:name w:val="Table Grid"/>
    <w:basedOn w:val="30"/>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3">
    <w:name w:val="Char Char Char1 Char Char Char Char"/>
    <w:basedOn w:val="1"/>
    <w:link w:val="32"/>
    <w:autoRedefine/>
    <w:qFormat/>
    <w:uiPriority w:val="0"/>
    <w:pPr>
      <w:widowControl w:val="0"/>
      <w:spacing w:line="360" w:lineRule="auto"/>
      <w:ind w:firstLine="200" w:firstLineChars="200"/>
      <w:jc w:val="both"/>
    </w:pPr>
    <w:rPr>
      <w:rFonts w:ascii="Times New Roman" w:hAnsi="Times New Roman" w:eastAsia="仿宋_GB2312"/>
      <w:kern w:val="2"/>
    </w:rPr>
  </w:style>
  <w:style w:type="character" w:styleId="34">
    <w:name w:val="page number"/>
    <w:basedOn w:val="32"/>
    <w:autoRedefine/>
    <w:qFormat/>
    <w:uiPriority w:val="0"/>
  </w:style>
  <w:style w:type="character" w:styleId="35">
    <w:name w:val="Emphasis"/>
    <w:basedOn w:val="32"/>
    <w:autoRedefine/>
    <w:qFormat/>
    <w:locked/>
    <w:uiPriority w:val="0"/>
    <w:rPr>
      <w:i/>
      <w:iCs/>
    </w:rPr>
  </w:style>
  <w:style w:type="character" w:styleId="36">
    <w:name w:val="Hyperlink"/>
    <w:basedOn w:val="32"/>
    <w:autoRedefine/>
    <w:qFormat/>
    <w:uiPriority w:val="99"/>
    <w:rPr>
      <w:color w:val="0000FF"/>
      <w:u w:val="single"/>
    </w:rPr>
  </w:style>
  <w:style w:type="character" w:styleId="37">
    <w:name w:val="annotation reference"/>
    <w:basedOn w:val="32"/>
    <w:autoRedefine/>
    <w:semiHidden/>
    <w:qFormat/>
    <w:uiPriority w:val="0"/>
    <w:rPr>
      <w:sz w:val="21"/>
    </w:rPr>
  </w:style>
  <w:style w:type="character" w:customStyle="1" w:styleId="38">
    <w:name w:val="Body Text Char"/>
    <w:link w:val="8"/>
    <w:autoRedefine/>
    <w:qFormat/>
    <w:locked/>
    <w:uiPriority w:val="0"/>
    <w:rPr>
      <w:sz w:val="18"/>
    </w:rPr>
  </w:style>
  <w:style w:type="character" w:customStyle="1" w:styleId="39">
    <w:name w:val="中文段落（P） 字符"/>
    <w:link w:val="7"/>
    <w:autoRedefine/>
    <w:qFormat/>
    <w:uiPriority w:val="0"/>
    <w:rPr>
      <w:rFonts w:eastAsia="仿宋_GB2312" w:cs="Arial Unicode MS"/>
      <w:sz w:val="28"/>
      <w:szCs w:val="28"/>
    </w:rPr>
  </w:style>
  <w:style w:type="character" w:customStyle="1" w:styleId="40">
    <w:name w:val="Comment Text Char"/>
    <w:link w:val="12"/>
    <w:autoRedefine/>
    <w:qFormat/>
    <w:locked/>
    <w:uiPriority w:val="0"/>
    <w:rPr>
      <w:rFonts w:ascii="Times New Roman" w:hAnsi="Times New Roman" w:eastAsia="宋体"/>
      <w:sz w:val="24"/>
    </w:rPr>
  </w:style>
  <w:style w:type="character" w:customStyle="1" w:styleId="41">
    <w:name w:val="Body Text Indent Char"/>
    <w:basedOn w:val="32"/>
    <w:link w:val="14"/>
    <w:autoRedefine/>
    <w:semiHidden/>
    <w:qFormat/>
    <w:locked/>
    <w:uiPriority w:val="0"/>
    <w:rPr>
      <w:rFonts w:ascii="Times New Roman" w:hAnsi="Times New Roman" w:eastAsia="宋体" w:cs="Times New Roman"/>
      <w:sz w:val="24"/>
      <w:szCs w:val="24"/>
    </w:rPr>
  </w:style>
  <w:style w:type="character" w:customStyle="1" w:styleId="42">
    <w:name w:val="Date Char"/>
    <w:link w:val="19"/>
    <w:autoRedefine/>
    <w:qFormat/>
    <w:locked/>
    <w:uiPriority w:val="0"/>
    <w:rPr>
      <w:rFonts w:ascii="Times New Roman" w:hAnsi="Times New Roman" w:eastAsia="宋体"/>
      <w:sz w:val="24"/>
    </w:rPr>
  </w:style>
  <w:style w:type="character" w:customStyle="1" w:styleId="43">
    <w:name w:val="Balloon Text Char"/>
    <w:basedOn w:val="32"/>
    <w:link w:val="21"/>
    <w:autoRedefine/>
    <w:semiHidden/>
    <w:qFormat/>
    <w:locked/>
    <w:uiPriority w:val="0"/>
    <w:rPr>
      <w:rFonts w:ascii="Times New Roman" w:hAnsi="Times New Roman" w:eastAsia="宋体" w:cs="Times New Roman"/>
      <w:sz w:val="18"/>
      <w:szCs w:val="18"/>
    </w:rPr>
  </w:style>
  <w:style w:type="character" w:customStyle="1" w:styleId="44">
    <w:name w:val="Footer Char"/>
    <w:basedOn w:val="32"/>
    <w:link w:val="22"/>
    <w:autoRedefine/>
    <w:qFormat/>
    <w:locked/>
    <w:uiPriority w:val="0"/>
    <w:rPr>
      <w:rFonts w:cs="Times New Roman"/>
      <w:sz w:val="18"/>
      <w:szCs w:val="18"/>
    </w:rPr>
  </w:style>
  <w:style w:type="character" w:customStyle="1" w:styleId="45">
    <w:name w:val="Header Char"/>
    <w:basedOn w:val="32"/>
    <w:link w:val="23"/>
    <w:autoRedefine/>
    <w:qFormat/>
    <w:locked/>
    <w:uiPriority w:val="0"/>
    <w:rPr>
      <w:rFonts w:cs="Times New Roman"/>
      <w:sz w:val="18"/>
      <w:szCs w:val="18"/>
    </w:rPr>
  </w:style>
  <w:style w:type="character" w:customStyle="1" w:styleId="46">
    <w:name w:val="Normal (Web) Char"/>
    <w:link w:val="26"/>
    <w:autoRedefine/>
    <w:qFormat/>
    <w:locked/>
    <w:uiPriority w:val="0"/>
    <w:rPr>
      <w:rFonts w:ascii="宋体" w:hAnsi="宋体" w:eastAsia="宋体"/>
      <w:sz w:val="24"/>
    </w:rPr>
  </w:style>
  <w:style w:type="character" w:customStyle="1" w:styleId="47">
    <w:name w:val="Comment Subject Char"/>
    <w:basedOn w:val="40"/>
    <w:link w:val="27"/>
    <w:autoRedefine/>
    <w:semiHidden/>
    <w:qFormat/>
    <w:locked/>
    <w:uiPriority w:val="0"/>
    <w:rPr>
      <w:rFonts w:cs="Times New Roman"/>
      <w:b/>
      <w:bCs/>
      <w:kern w:val="2"/>
      <w:szCs w:val="24"/>
    </w:rPr>
  </w:style>
  <w:style w:type="character" w:customStyle="1" w:styleId="48">
    <w:name w:val="日期 字符"/>
    <w:basedOn w:val="32"/>
    <w:autoRedefine/>
    <w:semiHidden/>
    <w:qFormat/>
    <w:uiPriority w:val="0"/>
    <w:rPr>
      <w:rFonts w:ascii="Times New Roman" w:hAnsi="Times New Roman" w:eastAsia="宋体" w:cs="Times New Roman"/>
      <w:sz w:val="24"/>
      <w:szCs w:val="24"/>
    </w:rPr>
  </w:style>
  <w:style w:type="character" w:customStyle="1" w:styleId="49">
    <w:name w:val="表格 Char"/>
    <w:link w:val="50"/>
    <w:autoRedefine/>
    <w:qFormat/>
    <w:locked/>
    <w:uiPriority w:val="0"/>
    <w:rPr>
      <w:rFonts w:ascii="宋体"/>
      <w:sz w:val="21"/>
    </w:rPr>
  </w:style>
  <w:style w:type="paragraph" w:customStyle="1" w:styleId="50">
    <w:name w:val="表格"/>
    <w:basedOn w:val="1"/>
    <w:next w:val="1"/>
    <w:link w:val="49"/>
    <w:autoRedefine/>
    <w:qFormat/>
    <w:uiPriority w:val="0"/>
    <w:pPr>
      <w:adjustRightInd w:val="0"/>
      <w:snapToGrid w:val="0"/>
      <w:spacing w:beforeLines="10" w:afterLines="10" w:line="259" w:lineRule="auto"/>
      <w:jc w:val="center"/>
    </w:pPr>
    <w:rPr>
      <w:rFonts w:ascii="宋体"/>
      <w:kern w:val="0"/>
      <w:sz w:val="20"/>
      <w:szCs w:val="21"/>
    </w:rPr>
  </w:style>
  <w:style w:type="character" w:customStyle="1" w:styleId="51">
    <w:name w:val="fontstyle01"/>
    <w:basedOn w:val="32"/>
    <w:autoRedefine/>
    <w:qFormat/>
    <w:uiPriority w:val="0"/>
    <w:rPr>
      <w:rFonts w:hint="eastAsia" w:ascii="宋体" w:hAnsi="宋体" w:eastAsia="宋体"/>
      <w:color w:val="000000"/>
      <w:sz w:val="24"/>
      <w:szCs w:val="24"/>
    </w:rPr>
  </w:style>
  <w:style w:type="character" w:customStyle="1" w:styleId="52">
    <w:name w:val="正文文本 字符1"/>
    <w:basedOn w:val="32"/>
    <w:autoRedefine/>
    <w:semiHidden/>
    <w:qFormat/>
    <w:uiPriority w:val="0"/>
    <w:rPr>
      <w:rFonts w:ascii="Times New Roman" w:hAnsi="Times New Roman" w:eastAsia="宋体" w:cs="Times New Roman"/>
      <w:sz w:val="24"/>
      <w:szCs w:val="24"/>
    </w:rPr>
  </w:style>
  <w:style w:type="character" w:customStyle="1" w:styleId="53">
    <w:name w:val="正文缩进2字符 字符"/>
    <w:basedOn w:val="32"/>
    <w:link w:val="54"/>
    <w:autoRedefine/>
    <w:qFormat/>
    <w:uiPriority w:val="0"/>
  </w:style>
  <w:style w:type="paragraph" w:customStyle="1" w:styleId="54">
    <w:name w:val="正文缩进2字符"/>
    <w:basedOn w:val="1"/>
    <w:link w:val="53"/>
    <w:autoRedefine/>
    <w:qFormat/>
    <w:uiPriority w:val="0"/>
  </w:style>
  <w:style w:type="character" w:customStyle="1" w:styleId="55">
    <w:name w:val="普通(网站) Char"/>
    <w:autoRedefine/>
    <w:qFormat/>
    <w:locked/>
    <w:uiPriority w:val="0"/>
    <w:rPr>
      <w:rFonts w:ascii="宋体" w:hAnsi="宋体" w:eastAsia="宋体"/>
      <w:sz w:val="24"/>
    </w:rPr>
  </w:style>
  <w:style w:type="character" w:customStyle="1" w:styleId="56">
    <w:name w:val="批注文字 字符1"/>
    <w:basedOn w:val="32"/>
    <w:autoRedefine/>
    <w:semiHidden/>
    <w:qFormat/>
    <w:uiPriority w:val="0"/>
    <w:rPr>
      <w:rFonts w:ascii="Times New Roman" w:hAnsi="Times New Roman" w:eastAsia="宋体" w:cs="Times New Roman"/>
      <w:sz w:val="24"/>
      <w:szCs w:val="24"/>
    </w:rPr>
  </w:style>
  <w:style w:type="paragraph" w:customStyle="1" w:styleId="57">
    <w:name w:val="表格填充1"/>
    <w:basedOn w:val="1"/>
    <w:autoRedefine/>
    <w:qFormat/>
    <w:uiPriority w:val="0"/>
    <w:pPr>
      <w:jc w:val="center"/>
    </w:pPr>
    <w:rPr>
      <w:snapToGrid w:val="0"/>
      <w:sz w:val="30"/>
      <w:szCs w:val="18"/>
    </w:rPr>
  </w:style>
  <w:style w:type="paragraph" w:customStyle="1" w:styleId="58">
    <w:name w:val="正文-龙池"/>
    <w:basedOn w:val="1"/>
    <w:autoRedefine/>
    <w:qFormat/>
    <w:uiPriority w:val="0"/>
    <w:pPr>
      <w:autoSpaceDE w:val="0"/>
      <w:autoSpaceDN w:val="0"/>
      <w:adjustRightInd w:val="0"/>
      <w:spacing w:line="360" w:lineRule="auto"/>
      <w:ind w:firstLine="480" w:firstLineChars="200"/>
      <w:contextualSpacing/>
    </w:pPr>
    <w:rPr>
      <w:kern w:val="0"/>
      <w:sz w:val="24"/>
      <w:szCs w:val="24"/>
    </w:rPr>
  </w:style>
  <w:style w:type="paragraph" w:customStyle="1" w:styleId="59">
    <w:name w:val="+++ 表头"/>
    <w:basedOn w:val="1"/>
    <w:autoRedefine/>
    <w:qFormat/>
    <w:uiPriority w:val="0"/>
    <w:pPr>
      <w:spacing w:line="360" w:lineRule="auto"/>
      <w:jc w:val="center"/>
    </w:pPr>
    <w:rPr>
      <w:rFonts w:cs="宋体"/>
      <w:b/>
      <w:bCs/>
      <w:color w:val="99CC00"/>
      <w:sz w:val="24"/>
    </w:rPr>
  </w:style>
  <w:style w:type="paragraph" w:customStyle="1" w:styleId="60">
    <w:name w:val="表内容"/>
    <w:basedOn w:val="1"/>
    <w:next w:val="1"/>
    <w:autoRedefine/>
    <w:qFormat/>
    <w:uiPriority w:val="0"/>
    <w:pPr>
      <w:spacing w:line="260" w:lineRule="exact"/>
      <w:jc w:val="center"/>
    </w:pPr>
    <w:rPr>
      <w:rFonts w:hint="eastAsia" w:ascii="Malgun Gothic" w:hAnsi="Malgun Gothic"/>
      <w:color w:val="000000"/>
      <w:sz w:val="20"/>
      <w:szCs w:val="22"/>
    </w:rPr>
  </w:style>
  <w:style w:type="paragraph" w:customStyle="1" w:styleId="61">
    <w:name w:val="Table Paragraph"/>
    <w:basedOn w:val="1"/>
    <w:autoRedefine/>
    <w:qFormat/>
    <w:uiPriority w:val="1"/>
    <w:pPr>
      <w:jc w:val="center"/>
    </w:pPr>
    <w:rPr>
      <w:rFonts w:ascii="宋体" w:hAnsi="宋体" w:cs="宋体"/>
      <w:kern w:val="0"/>
      <w:sz w:val="22"/>
      <w:szCs w:val="22"/>
      <w:lang w:eastAsia="en-US"/>
    </w:rPr>
  </w:style>
  <w:style w:type="paragraph" w:customStyle="1" w:styleId="62">
    <w:name w:val="W正文"/>
    <w:basedOn w:val="1"/>
    <w:autoRedefine/>
    <w:qFormat/>
    <w:uiPriority w:val="0"/>
    <w:pPr>
      <w:adjustRightInd w:val="0"/>
      <w:snapToGrid w:val="0"/>
      <w:spacing w:line="360" w:lineRule="auto"/>
      <w:ind w:firstLine="200" w:firstLineChars="200"/>
    </w:pPr>
    <w:rPr>
      <w:kern w:val="0"/>
      <w:sz w:val="24"/>
      <w:szCs w:val="20"/>
    </w:rPr>
  </w:style>
  <w:style w:type="paragraph" w:customStyle="1" w:styleId="63">
    <w:name w:val="标题 21"/>
    <w:basedOn w:val="1"/>
    <w:next w:val="1"/>
    <w:autoRedefine/>
    <w:qFormat/>
    <w:uiPriority w:val="0"/>
    <w:pPr>
      <w:keepNext/>
      <w:keepLines/>
      <w:numPr>
        <w:ilvl w:val="1"/>
        <w:numId w:val="3"/>
      </w:numPr>
      <w:spacing w:line="360" w:lineRule="auto"/>
      <w:outlineLvl w:val="1"/>
    </w:pPr>
    <w:rPr>
      <w:rFonts w:eastAsia="黑体"/>
      <w:bCs/>
      <w:sz w:val="24"/>
    </w:rPr>
  </w:style>
  <w:style w:type="paragraph" w:customStyle="1" w:styleId="64">
    <w:name w:val="1、正文"/>
    <w:basedOn w:val="1"/>
    <w:autoRedefine/>
    <w:qFormat/>
    <w:uiPriority w:val="0"/>
    <w:pPr>
      <w:spacing w:line="360" w:lineRule="auto"/>
      <w:ind w:firstLine="480" w:firstLineChars="200"/>
    </w:pPr>
    <w:rPr>
      <w:sz w:val="24"/>
    </w:rPr>
  </w:style>
  <w:style w:type="paragraph" w:customStyle="1" w:styleId="65">
    <w:name w:val="妇幼正文"/>
    <w:basedOn w:val="1"/>
    <w:autoRedefine/>
    <w:qFormat/>
    <w:uiPriority w:val="0"/>
    <w:pPr>
      <w:adjustRightInd w:val="0"/>
      <w:spacing w:line="360" w:lineRule="auto"/>
      <w:ind w:firstLine="480" w:firstLineChars="200"/>
    </w:pPr>
    <w:rPr>
      <w:color w:val="000000"/>
      <w:sz w:val="24"/>
    </w:rPr>
  </w:style>
  <w:style w:type="paragraph" w:customStyle="1" w:styleId="66">
    <w:name w:val="表、图名"/>
    <w:basedOn w:val="1"/>
    <w:autoRedefine/>
    <w:qFormat/>
    <w:uiPriority w:val="0"/>
    <w:pPr>
      <w:adjustRightInd w:val="0"/>
      <w:snapToGrid w:val="0"/>
      <w:ind w:left="-6"/>
      <w:jc w:val="center"/>
    </w:pPr>
    <w:rPr>
      <w:rFonts w:ascii="黑体" w:hAnsi="宋体" w:eastAsia="黑体"/>
      <w:color w:val="000000"/>
      <w:szCs w:val="28"/>
    </w:rPr>
  </w:style>
  <w:style w:type="paragraph" w:customStyle="1" w:styleId="67">
    <w:name w:val="正文_4"/>
    <w:autoRedefine/>
    <w:qFormat/>
    <w:uiPriority w:val="0"/>
    <w:pPr>
      <w:widowControl w:val="0"/>
      <w:jc w:val="both"/>
    </w:pPr>
    <w:rPr>
      <w:rFonts w:ascii="Calibri" w:hAnsi="Calibri" w:eastAsia="宋体" w:cs="Times New Roman"/>
      <w:kern w:val="2"/>
      <w:sz w:val="21"/>
      <w:lang w:val="en-US" w:eastAsia="zh-CN" w:bidi="ar-SA"/>
    </w:rPr>
  </w:style>
  <w:style w:type="paragraph" w:customStyle="1" w:styleId="68">
    <w:name w:val="p0"/>
    <w:autoRedefine/>
    <w:qFormat/>
    <w:uiPriority w:val="0"/>
    <w:rPr>
      <w:rFonts w:ascii="Calibri" w:hAnsi="Calibri" w:eastAsia="宋体" w:cs="宋体"/>
      <w:szCs w:val="21"/>
      <w:lang w:val="en-US" w:eastAsia="zh-CN" w:bidi="ar-SA"/>
    </w:rPr>
  </w:style>
  <w:style w:type="paragraph" w:styleId="69">
    <w:name w:val="List Paragraph"/>
    <w:basedOn w:val="1"/>
    <w:autoRedefine/>
    <w:qFormat/>
    <w:uiPriority w:val="1"/>
    <w:pPr>
      <w:ind w:left="1319" w:hanging="601"/>
    </w:pPr>
    <w:rPr>
      <w:rFonts w:ascii="宋体" w:hAnsi="宋体" w:eastAsia="宋体" w:cs="宋体"/>
      <w:lang w:val="zh-CN" w:eastAsia="zh-CN" w:bidi="zh-CN"/>
    </w:rPr>
  </w:style>
  <w:style w:type="paragraph" w:customStyle="1" w:styleId="70">
    <w:name w:val="1、图名"/>
    <w:basedOn w:val="2"/>
    <w:autoRedefine/>
    <w:qFormat/>
    <w:uiPriority w:val="0"/>
    <w:pPr>
      <w:ind w:firstLine="0" w:firstLineChars="0"/>
      <w:jc w:val="center"/>
    </w:pPr>
    <w:rPr>
      <w:b/>
      <w:szCs w:val="21"/>
      <w:lang w:eastAsia="zh-CN"/>
    </w:rPr>
  </w:style>
  <w:style w:type="paragraph" w:customStyle="1" w:styleId="71">
    <w:name w:val="环科院正文 Char Char"/>
    <w:basedOn w:val="1"/>
    <w:autoRedefine/>
    <w:qFormat/>
    <w:uiPriority w:val="0"/>
    <w:pPr>
      <w:spacing w:line="300" w:lineRule="auto"/>
      <w:ind w:firstLine="480" w:firstLineChars="200"/>
      <w:jc w:val="both"/>
    </w:pPr>
    <w:rPr>
      <w:rFonts w:ascii="宋体" w:hAnsi="宋体"/>
      <w:bCs/>
      <w:kern w:val="0"/>
      <w:sz w:val="24"/>
    </w:rPr>
  </w:style>
  <w:style w:type="paragraph" w:customStyle="1" w:styleId="72">
    <w:name w:val="5正文"/>
    <w:basedOn w:val="1"/>
    <w:autoRedefine/>
    <w:qFormat/>
    <w:uiPriority w:val="0"/>
    <w:pPr>
      <w:ind w:firstLine="480"/>
      <w:jc w:val="left"/>
    </w:pPr>
    <w:rPr>
      <w:color w:val="000000"/>
      <w:kern w:val="0"/>
      <w:szCs w:val="24"/>
      <w:lang w:val="en-GB"/>
    </w:rPr>
  </w:style>
  <w:style w:type="paragraph" w:customStyle="1" w:styleId="73">
    <w:name w:val="Default"/>
    <w:autoRedefine/>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customStyle="1" w:styleId="74">
    <w:name w:val="表名"/>
    <w:basedOn w:val="1"/>
    <w:next w:val="1"/>
    <w:autoRedefine/>
    <w:qFormat/>
    <w:uiPriority w:val="0"/>
    <w:pPr>
      <w:tabs>
        <w:tab w:val="left" w:pos="1350"/>
      </w:tabs>
      <w:autoSpaceDE w:val="0"/>
      <w:autoSpaceDN w:val="0"/>
      <w:adjustRightInd w:val="0"/>
      <w:snapToGrid w:val="0"/>
      <w:spacing w:line="320" w:lineRule="exact"/>
      <w:jc w:val="center"/>
    </w:pPr>
    <w:rPr>
      <w:b/>
      <w:shd w:val="clear" w:color="auto" w:fill="FFFFFF"/>
    </w:rPr>
  </w:style>
  <w:style w:type="paragraph" w:customStyle="1" w:styleId="75">
    <w:name w:val="正文_5"/>
    <w:autoRedefine/>
    <w:qFormat/>
    <w:uiPriority w:val="0"/>
    <w:pPr>
      <w:widowControl w:val="0"/>
      <w:jc w:val="both"/>
    </w:pPr>
    <w:rPr>
      <w:rFonts w:ascii="Calibri" w:hAnsi="Calibri" w:eastAsia="宋体" w:cs="Times New Roman"/>
      <w:kern w:val="2"/>
      <w:sz w:val="21"/>
      <w:lang w:val="en-US" w:eastAsia="zh-CN" w:bidi="ar-SA"/>
    </w:rPr>
  </w:style>
  <w:style w:type="paragraph" w:customStyle="1" w:styleId="76">
    <w:name w:val="表"/>
    <w:basedOn w:val="1"/>
    <w:next w:val="1"/>
    <w:autoRedefine/>
    <w:qFormat/>
    <w:uiPriority w:val="0"/>
    <w:pPr>
      <w:spacing w:before="156" w:beforeLines="50" w:after="156" w:afterLines="50" w:line="240" w:lineRule="exact"/>
      <w:jc w:val="center"/>
    </w:pPr>
    <w:rPr>
      <w:rFonts w:ascii="宋体" w:hAnsi="宋体"/>
    </w:rPr>
  </w:style>
  <w:style w:type="paragraph" w:customStyle="1" w:styleId="77">
    <w:name w:val="报告"/>
    <w:basedOn w:val="1"/>
    <w:autoRedefine/>
    <w:qFormat/>
    <w:uiPriority w:val="0"/>
    <w:pPr>
      <w:autoSpaceDE w:val="0"/>
      <w:autoSpaceDN w:val="0"/>
      <w:adjustRightInd w:val="0"/>
      <w:spacing w:line="360" w:lineRule="auto"/>
      <w:ind w:firstLine="505"/>
      <w:jc w:val="left"/>
      <w:textAlignment w:val="baseline"/>
    </w:pPr>
    <w:rPr>
      <w:kern w:val="0"/>
      <w:sz w:val="24"/>
      <w:szCs w:val="20"/>
    </w:rPr>
  </w:style>
  <w:style w:type="paragraph" w:customStyle="1" w:styleId="78">
    <w:name w:val="表标题名"/>
    <w:basedOn w:val="74"/>
    <w:autoRedefine/>
    <w:qFormat/>
    <w:uiPriority w:val="0"/>
    <w:pPr>
      <w:numPr>
        <w:ilvl w:val="5"/>
        <w:numId w:val="4"/>
      </w:numPr>
    </w:pPr>
    <w:rPr>
      <w:rFonts w:cs="Times New Roman"/>
    </w:rPr>
  </w:style>
  <w:style w:type="paragraph" w:customStyle="1" w:styleId="79">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80">
    <w:name w:val="正文（标准）"/>
    <w:basedOn w:val="1"/>
    <w:autoRedefine/>
    <w:qFormat/>
    <w:uiPriority w:val="0"/>
    <w:pPr>
      <w:adjustRightInd w:val="0"/>
    </w:pPr>
    <w:rPr>
      <w:rFonts w:eastAsia="宋体" w:cs="Times New Roman"/>
      <w:sz w:val="24"/>
      <w:szCs w:val="30"/>
    </w:rPr>
  </w:style>
  <w:style w:type="paragraph" w:customStyle="1" w:styleId="81">
    <w:name w:val="B正文"/>
    <w:basedOn w:val="1"/>
    <w:next w:val="1"/>
    <w:autoRedefine/>
    <w:qFormat/>
    <w:uiPriority w:val="0"/>
    <w:pPr>
      <w:widowControl/>
      <w:adjustRightInd w:val="0"/>
      <w:snapToGrid w:val="0"/>
      <w:spacing w:line="360" w:lineRule="auto"/>
      <w:ind w:firstLine="200" w:firstLineChars="200"/>
    </w:pPr>
    <w:rPr>
      <w:rFonts w:ascii="宋体" w:hAnsi="宋体" w:cs="宋体"/>
      <w:szCs w:val="22"/>
    </w:rPr>
  </w:style>
  <w:style w:type="paragraph" w:customStyle="1" w:styleId="82">
    <w:name w:val="表1"/>
    <w:basedOn w:val="1"/>
    <w:autoRedefine/>
    <w:qFormat/>
    <w:uiPriority w:val="0"/>
    <w:pPr>
      <w:adjustRightInd w:val="0"/>
      <w:snapToGrid w:val="0"/>
      <w:jc w:val="center"/>
      <w:textAlignment w:val="center"/>
    </w:pPr>
    <w:rPr>
      <w:rFonts w:eastAsia="楷体_GB2312"/>
      <w:kern w:val="0"/>
      <w:sz w:val="24"/>
      <w:szCs w:val="20"/>
    </w:rPr>
  </w:style>
  <w:style w:type="paragraph" w:customStyle="1" w:styleId="83">
    <w:name w:val="我的正文重点"/>
    <w:autoRedefine/>
    <w:qFormat/>
    <w:uiPriority w:val="0"/>
    <w:pPr>
      <w:widowControl w:val="0"/>
      <w:overflowPunct w:val="0"/>
      <w:autoSpaceDE w:val="0"/>
      <w:autoSpaceDN w:val="0"/>
      <w:jc w:val="left"/>
    </w:pPr>
    <w:rPr>
      <w:rFonts w:ascii="Times New Roman" w:hAnsi="Times New Roman" w:eastAsia="宋体" w:cs="Times New Roman"/>
      <w:kern w:val="2"/>
      <w:sz w:val="21"/>
      <w:szCs w:val="24"/>
      <w:lang w:val="en-US" w:eastAsia="zh-CN" w:bidi="ar-SA"/>
    </w:rPr>
  </w:style>
  <w:style w:type="paragraph" w:customStyle="1" w:styleId="84">
    <w:name w:val="1正文版式"/>
    <w:basedOn w:val="1"/>
    <w:autoRedefine/>
    <w:qFormat/>
    <w:uiPriority w:val="0"/>
    <w:pPr>
      <w:tabs>
        <w:tab w:val="left" w:pos="3514"/>
      </w:tabs>
      <w:ind w:firstLine="200" w:firstLineChars="200"/>
    </w:pPr>
    <w:rPr>
      <w:rFonts w:eastAsia="仿宋"/>
      <w:szCs w:val="20"/>
    </w:rPr>
  </w:style>
  <w:style w:type="paragraph" w:customStyle="1" w:styleId="85">
    <w:name w:val="1.正文"/>
    <w:autoRedefine/>
    <w:qFormat/>
    <w:uiPriority w:val="0"/>
    <w:pPr>
      <w:spacing w:line="360" w:lineRule="auto"/>
      <w:ind w:firstLine="200" w:firstLineChars="200"/>
    </w:pPr>
    <w:rPr>
      <w:rFonts w:ascii="Times New Roman" w:hAnsi="Times New Roman" w:eastAsia="宋体" w:cs="Times New Roman"/>
      <w:color w:val="000000"/>
      <w:sz w:val="24"/>
      <w:szCs w:val="24"/>
      <w:lang w:val="en-US" w:eastAsia="zh-CN" w:bidi="ar-SA"/>
    </w:rPr>
  </w:style>
  <w:style w:type="paragraph" w:customStyle="1" w:styleId="86">
    <w:name w:val="款正文（科宏）"/>
    <w:next w:val="1"/>
    <w:autoRedefine/>
    <w:qFormat/>
    <w:uiPriority w:val="0"/>
    <w:pPr>
      <w:widowControl w:val="0"/>
      <w:tabs>
        <w:tab w:val="left" w:pos="927"/>
      </w:tabs>
      <w:spacing w:line="360" w:lineRule="auto"/>
      <w:ind w:firstLine="567"/>
      <w:jc w:val="both"/>
    </w:pPr>
    <w:rPr>
      <w:rFonts w:ascii="Arial" w:hAnsi="Arial" w:eastAsia="仿宋_GB2312" w:cs="Times New Roman"/>
      <w:sz w:val="28"/>
      <w:lang w:val="en-US" w:eastAsia="zh-CN" w:bidi="ar-SA"/>
    </w:rPr>
  </w:style>
  <w:style w:type="paragraph" w:customStyle="1" w:styleId="87">
    <w:name w:val="1 正文"/>
    <w:basedOn w:val="1"/>
    <w:autoRedefine/>
    <w:qFormat/>
    <w:uiPriority w:val="0"/>
    <w:pPr>
      <w:tabs>
        <w:tab w:val="left" w:pos="3514"/>
      </w:tabs>
      <w:ind w:firstLine="200" w:firstLineChars="200"/>
    </w:pPr>
    <w:rPr>
      <w:rFonts w:eastAsia="仿宋"/>
    </w:rPr>
  </w:style>
  <w:style w:type="paragraph" w:customStyle="1" w:styleId="88">
    <w:name w:val="表题-t"/>
    <w:basedOn w:val="89"/>
    <w:autoRedefine/>
    <w:qFormat/>
    <w:uiPriority w:val="0"/>
    <w:pPr>
      <w:spacing w:before="50" w:beforeLines="50"/>
      <w:jc w:val="center"/>
    </w:pPr>
    <w:rPr>
      <w:rFonts w:ascii="Times New Roman" w:hAnsi="Times New Roman"/>
      <w:b/>
    </w:rPr>
  </w:style>
  <w:style w:type="paragraph" w:customStyle="1" w:styleId="89">
    <w:name w:val="表文-t"/>
    <w:basedOn w:val="1"/>
    <w:autoRedefine/>
    <w:qFormat/>
    <w:uiPriority w:val="0"/>
    <w:pPr>
      <w:spacing w:line="240" w:lineRule="auto"/>
      <w:ind w:firstLine="0" w:firstLineChars="0"/>
      <w:jc w:val="left"/>
    </w:pPr>
    <w:rPr>
      <w:rFonts w:ascii="Times New Roman" w:hAnsi="Times New Roman"/>
      <w:sz w:val="21"/>
    </w:rPr>
  </w:style>
  <w:style w:type="paragraph" w:customStyle="1" w:styleId="90">
    <w:name w:val="正文（科宏）"/>
    <w:autoRedefine/>
    <w:qFormat/>
    <w:uiPriority w:val="0"/>
    <w:pPr>
      <w:jc w:val="both"/>
    </w:pPr>
    <w:rPr>
      <w:rFonts w:ascii="Arial" w:hAnsi="Arial" w:eastAsia="仿宋_GB2312" w:cs="Times New Roman"/>
      <w:sz w:val="21"/>
      <w:lang w:val="en-US" w:eastAsia="zh-CN" w:bidi="ar-SA"/>
    </w:rPr>
  </w:style>
  <w:style w:type="paragraph" w:customStyle="1" w:styleId="91">
    <w:name w:val="正文(首缩进)"/>
    <w:basedOn w:val="1"/>
    <w:autoRedefine/>
    <w:qFormat/>
    <w:uiPriority w:val="0"/>
    <w:pPr>
      <w:spacing w:before="25" w:beforeLines="25" w:after="25" w:afterLines="25" w:line="420" w:lineRule="auto"/>
      <w:ind w:firstLine="200" w:firstLineChars="200"/>
    </w:pPr>
    <w:rPr>
      <w:sz w:val="28"/>
      <w:szCs w:val="28"/>
    </w:rPr>
  </w:style>
  <w:style w:type="paragraph" w:customStyle="1" w:styleId="92">
    <w:name w:val="表编号"/>
    <w:basedOn w:val="1"/>
    <w:autoRedefine/>
    <w:qFormat/>
    <w:uiPriority w:val="0"/>
    <w:pPr>
      <w:spacing w:line="276" w:lineRule="auto"/>
      <w:jc w:val="center"/>
    </w:pPr>
    <w:rPr>
      <w:rFonts w:eastAsia="仿宋"/>
      <w:b/>
      <w:szCs w:val="20"/>
    </w:rPr>
  </w:style>
  <w:style w:type="paragraph" w:customStyle="1" w:styleId="93">
    <w:name w:val="表格格式"/>
    <w:basedOn w:val="1"/>
    <w:next w:val="1"/>
    <w:autoRedefine/>
    <w:qFormat/>
    <w:uiPriority w:val="0"/>
    <w:pPr>
      <w:spacing w:line="240" w:lineRule="auto"/>
      <w:jc w:val="center"/>
    </w:pPr>
    <w:rPr>
      <w:rFonts w:eastAsia="仿宋"/>
      <w:sz w:val="20"/>
      <w:szCs w:val="22"/>
    </w:rPr>
  </w:style>
  <w:style w:type="paragraph" w:customStyle="1" w:styleId="94">
    <w:name w:val="环科院插图标题"/>
    <w:basedOn w:val="1"/>
    <w:autoRedefine/>
    <w:qFormat/>
    <w:uiPriority w:val="0"/>
    <w:pPr>
      <w:adjustRightInd w:val="0"/>
      <w:snapToGrid w:val="0"/>
      <w:spacing w:before="156" w:beforeLines="50"/>
      <w:jc w:val="center"/>
    </w:pPr>
    <w:rPr>
      <w:rFonts w:ascii="Calibri" w:hAnsi="宋体" w:cs="Times New Roman"/>
      <w:b/>
      <w:sz w:val="21"/>
      <w:szCs w:val="21"/>
    </w:rPr>
  </w:style>
  <w:style w:type="paragraph" w:customStyle="1" w:styleId="95">
    <w:name w:val="表文"/>
    <w:basedOn w:val="1"/>
    <w:next w:val="1"/>
    <w:autoRedefine/>
    <w:qFormat/>
    <w:uiPriority w:val="0"/>
    <w:pPr>
      <w:widowControl/>
      <w:spacing w:line="240" w:lineRule="auto"/>
      <w:jc w:val="center"/>
    </w:pPr>
    <w:rPr>
      <w:kern w:val="0"/>
      <w:sz w:val="18"/>
      <w:szCs w:val="18"/>
    </w:rPr>
  </w:style>
  <w:style w:type="paragraph" w:customStyle="1" w:styleId="96">
    <w:name w:val="文本"/>
    <w:basedOn w:val="1"/>
    <w:autoRedefine/>
    <w:qFormat/>
    <w:uiPriority w:val="0"/>
    <w:pPr>
      <w:widowControl/>
    </w:pPr>
    <w:rPr>
      <w:rFonts w:cs="宋体"/>
      <w:color w:val="000000"/>
      <w:kern w:val="0"/>
      <w:szCs w:val="24"/>
    </w:rPr>
  </w:style>
  <w:style w:type="paragraph" w:customStyle="1" w:styleId="97">
    <w:name w:val="表题"/>
    <w:basedOn w:val="1"/>
    <w:next w:val="98"/>
    <w:autoRedefine/>
    <w:qFormat/>
    <w:uiPriority w:val="0"/>
    <w:pPr>
      <w:spacing w:line="276" w:lineRule="auto"/>
      <w:jc w:val="center"/>
    </w:pPr>
    <w:rPr>
      <w:rFonts w:eastAsia="仿宋"/>
      <w:b/>
      <w:kern w:val="0"/>
      <w:szCs w:val="20"/>
    </w:rPr>
  </w:style>
  <w:style w:type="paragraph" w:customStyle="1" w:styleId="98">
    <w:name w:val="正文 文本"/>
    <w:basedOn w:val="1"/>
    <w:autoRedefine/>
    <w:qFormat/>
    <w:uiPriority w:val="0"/>
    <w:pPr>
      <w:ind w:firstLine="480"/>
    </w:pPr>
    <w:rPr>
      <w:kern w:val="0"/>
      <w:szCs w:val="20"/>
    </w:rPr>
  </w:style>
  <w:style w:type="paragraph" w:customStyle="1" w:styleId="99">
    <w:name w:val="节标题（科宏）"/>
    <w:next w:val="1"/>
    <w:autoRedefine/>
    <w:qFormat/>
    <w:uiPriority w:val="0"/>
    <w:pPr>
      <w:widowControl w:val="0"/>
      <w:spacing w:before="50" w:beforeLines="50" w:after="50" w:afterLines="50" w:line="360" w:lineRule="auto"/>
      <w:jc w:val="center"/>
      <w:outlineLvl w:val="1"/>
    </w:pPr>
    <w:rPr>
      <w:rFonts w:ascii="Arial" w:hAnsi="Arial" w:eastAsia="仿宋_GB2312" w:cs="Times New Roman"/>
      <w:b/>
      <w:sz w:val="30"/>
      <w:lang w:val="en-US" w:eastAsia="zh-CN" w:bidi="ar-SA"/>
    </w:rPr>
  </w:style>
  <w:style w:type="paragraph" w:customStyle="1" w:styleId="100">
    <w:name w:val="22222正文内容"/>
    <w:basedOn w:val="1"/>
    <w:autoRedefine/>
    <w:qFormat/>
    <w:uiPriority w:val="0"/>
    <w:pPr>
      <w:widowControl/>
      <w:adjustRightInd w:val="0"/>
      <w:snapToGrid w:val="0"/>
      <w:spacing w:line="360" w:lineRule="auto"/>
      <w:ind w:firstLine="480" w:firstLineChars="200"/>
    </w:pPr>
    <w:rPr>
      <w:rFonts w:ascii="宋体" w:hAnsi="宋体"/>
      <w:bCs/>
      <w:color w:val="000000"/>
      <w:kern w:val="0"/>
      <w:sz w:val="24"/>
      <w:szCs w:val="21"/>
    </w:rPr>
  </w:style>
  <w:style w:type="paragraph" w:customStyle="1" w:styleId="101">
    <w:name w:val="正文（首行缩进两字）"/>
    <w:basedOn w:val="1"/>
    <w:autoRedefine/>
    <w:qFormat/>
    <w:uiPriority w:val="0"/>
    <w:pPr>
      <w:autoSpaceDE w:val="0"/>
      <w:autoSpaceDN w:val="0"/>
      <w:adjustRightInd w:val="0"/>
      <w:snapToGrid w:val="0"/>
      <w:spacing w:line="360" w:lineRule="auto"/>
      <w:ind w:firstLine="560" w:firstLineChars="200"/>
    </w:pPr>
    <w:rPr>
      <w:rFonts w:ascii="Arial" w:hAnsi="Arial" w:eastAsia="仿宋_GB2312" w:cs="Arial"/>
      <w:bCs/>
      <w:color w:val="000000"/>
      <w:kern w:val="11"/>
      <w:sz w:val="28"/>
      <w:szCs w:val="28"/>
    </w:rPr>
  </w:style>
  <w:style w:type="paragraph" w:customStyle="1" w:styleId="102">
    <w:name w:val="段落"/>
    <w:basedOn w:val="1"/>
    <w:autoRedefine/>
    <w:qFormat/>
    <w:uiPriority w:val="0"/>
    <w:pPr>
      <w:spacing w:line="440" w:lineRule="exact"/>
      <w:ind w:firstLine="480" w:firstLineChars="200"/>
    </w:pPr>
    <w:rPr>
      <w:rFonts w:ascii="宋体" w:hAnsi="宋体"/>
      <w:color w:val="000000"/>
      <w:kern w:val="0"/>
      <w:sz w:val="24"/>
    </w:rPr>
  </w:style>
  <w:style w:type="paragraph" w:customStyle="1" w:styleId="103">
    <w:name w:val="表内文字3"/>
    <w:basedOn w:val="1"/>
    <w:autoRedefine/>
    <w:qFormat/>
    <w:uiPriority w:val="0"/>
    <w:pPr>
      <w:spacing w:line="0" w:lineRule="atLeast"/>
      <w:jc w:val="center"/>
    </w:pPr>
    <w:rPr>
      <w:kern w:val="0"/>
      <w:szCs w:val="20"/>
    </w:rPr>
  </w:style>
  <w:style w:type="paragraph" w:customStyle="1" w:styleId="104">
    <w:name w:val="报告书正文"/>
    <w:basedOn w:val="20"/>
    <w:autoRedefine/>
    <w:qFormat/>
    <w:uiPriority w:val="0"/>
    <w:pPr>
      <w:tabs>
        <w:tab w:val="left" w:pos="6300"/>
      </w:tabs>
      <w:spacing w:after="0" w:line="360" w:lineRule="auto"/>
      <w:ind w:left="0" w:leftChars="0" w:firstLine="482" w:firstLineChars="200"/>
    </w:pPr>
    <w:rPr>
      <w:b/>
      <w:color w:val="FF0000"/>
      <w:kern w:val="28"/>
      <w:sz w:val="24"/>
    </w:rPr>
  </w:style>
  <w:style w:type="paragraph" w:customStyle="1" w:styleId="105">
    <w:name w:val="报告表正文"/>
    <w:basedOn w:val="1"/>
    <w:autoRedefine/>
    <w:qFormat/>
    <w:uiPriority w:val="0"/>
    <w:pPr>
      <w:adjustRightInd w:val="0"/>
      <w:spacing w:line="312" w:lineRule="auto"/>
      <w:ind w:left="113" w:right="113" w:firstLine="482"/>
      <w:jc w:val="left"/>
      <w:textAlignment w:val="baseline"/>
    </w:pPr>
    <w:rPr>
      <w:kern w:val="0"/>
      <w:sz w:val="24"/>
      <w:szCs w:val="20"/>
    </w:rPr>
  </w:style>
  <w:style w:type="paragraph" w:customStyle="1" w:styleId="106">
    <w:name w:val="正文00"/>
    <w:basedOn w:val="1"/>
    <w:autoRedefine/>
    <w:qFormat/>
    <w:uiPriority w:val="0"/>
    <w:pPr>
      <w:keepNext w:val="0"/>
      <w:keepLines w:val="0"/>
      <w:widowControl/>
      <w:suppressLineNumbers w:val="0"/>
      <w:overflowPunct w:val="0"/>
      <w:topLinePunct/>
      <w:adjustRightInd w:val="0"/>
      <w:snapToGrid w:val="0"/>
      <w:spacing w:before="0" w:beforeAutospacing="0" w:after="0" w:afterAutospacing="0" w:line="460" w:lineRule="exact"/>
      <w:ind w:left="0" w:right="0" w:firstLine="200" w:firstLineChars="200"/>
      <w:jc w:val="both"/>
    </w:pPr>
    <w:rPr>
      <w:rFonts w:hint="default" w:ascii="Times New Roman" w:hAnsi="Times New Roman" w:eastAsia="宋体" w:cs="Times New Roman"/>
      <w:snapToGrid/>
      <w:color w:val="0000FF"/>
      <w:kern w:val="2"/>
      <w:sz w:val="24"/>
      <w:szCs w:val="24"/>
      <w:lang w:val="en-US" w:eastAsia="zh-CN" w:bidi="ar"/>
    </w:rPr>
  </w:style>
  <w:style w:type="paragraph" w:customStyle="1" w:styleId="107">
    <w:name w:val="样式 样式 样式 表头 + 段前: 0.5 行 段后: 0.5 行 + 段后: 0.5 行 + 段前: 0.5 行"/>
    <w:basedOn w:val="108"/>
    <w:autoRedefine/>
    <w:qFormat/>
    <w:uiPriority w:val="0"/>
    <w:pPr>
      <w:spacing w:before="120"/>
    </w:pPr>
  </w:style>
  <w:style w:type="paragraph" w:customStyle="1" w:styleId="108">
    <w:name w:val="样式 样式 表头 + 段前: 0.5 行 段后: 0.5 行 + 段后: 0.5 行"/>
    <w:basedOn w:val="109"/>
    <w:autoRedefine/>
    <w:qFormat/>
    <w:uiPriority w:val="0"/>
    <w:pPr>
      <w:spacing w:before="50" w:afterLines="0"/>
    </w:pPr>
  </w:style>
  <w:style w:type="paragraph" w:customStyle="1" w:styleId="109">
    <w:name w:val="样式 表头 + 段前: 0.5 行 段后: 0.5 行"/>
    <w:basedOn w:val="110"/>
    <w:autoRedefine/>
    <w:qFormat/>
    <w:uiPriority w:val="0"/>
    <w:pPr>
      <w:spacing w:before="120" w:after="0"/>
    </w:pPr>
    <w:rPr>
      <w:rFonts w:cs="宋体"/>
      <w:szCs w:val="20"/>
    </w:rPr>
  </w:style>
  <w:style w:type="paragraph" w:customStyle="1" w:styleId="110">
    <w:name w:val="表头"/>
    <w:basedOn w:val="111"/>
    <w:autoRedefine/>
    <w:qFormat/>
    <w:uiPriority w:val="0"/>
    <w:pPr>
      <w:adjustRightInd w:val="0"/>
      <w:spacing w:after="120" w:afterLines="0" w:line="360" w:lineRule="auto"/>
      <w:ind w:right="-113"/>
      <w:jc w:val="center"/>
      <w:textAlignment w:val="baseline"/>
    </w:pPr>
    <w:rPr>
      <w:rFonts w:ascii="宋体"/>
      <w:kern w:val="0"/>
      <w:sz w:val="26"/>
      <w:szCs w:val="20"/>
    </w:rPr>
  </w:style>
  <w:style w:type="paragraph" w:customStyle="1" w:styleId="111">
    <w:name w:val="正正"/>
    <w:basedOn w:val="1"/>
    <w:autoRedefine/>
    <w:qFormat/>
    <w:uiPriority w:val="0"/>
    <w:pPr>
      <w:spacing w:line="312" w:lineRule="auto"/>
      <w:ind w:firstLine="200" w:firstLineChars="200"/>
    </w:pPr>
  </w:style>
  <w:style w:type="paragraph" w:customStyle="1" w:styleId="112">
    <w:name w:val="WPSOffice手动目录 1"/>
    <w:autoRedefine/>
    <w:qFormat/>
    <w:uiPriority w:val="0"/>
    <w:pPr>
      <w:ind w:leftChars="0"/>
    </w:pPr>
    <w:rPr>
      <w:rFonts w:ascii="Times New Roman" w:hAnsi="Times New Roman" w:eastAsia="宋体" w:cs="Times New Roman"/>
      <w:sz w:val="20"/>
      <w:szCs w:val="20"/>
    </w:rPr>
  </w:style>
  <w:style w:type="paragraph" w:customStyle="1" w:styleId="113">
    <w:name w:val="正文标题1，2"/>
    <w:basedOn w:val="1"/>
    <w:autoRedefine/>
    <w:qFormat/>
    <w:uiPriority w:val="0"/>
    <w:pPr>
      <w:adjustRightInd w:val="0"/>
    </w:pPr>
    <w:rPr>
      <w:rFonts w:eastAsia="黑体"/>
      <w:b/>
      <w:szCs w:val="20"/>
    </w:rPr>
  </w:style>
  <w:style w:type="paragraph" w:customStyle="1" w:styleId="114">
    <w:name w:val="表名（B)"/>
    <w:basedOn w:val="1"/>
    <w:next w:val="1"/>
    <w:autoRedefine/>
    <w:qFormat/>
    <w:uiPriority w:val="0"/>
    <w:pPr>
      <w:keepNext/>
      <w:numPr>
        <w:ilvl w:val="8"/>
        <w:numId w:val="5"/>
      </w:numPr>
      <w:tabs>
        <w:tab w:val="center" w:pos="4515"/>
        <w:tab w:val="right" w:pos="8925"/>
      </w:tabs>
      <w:spacing w:before="50" w:beforeLines="50" w:after="60" w:line="560" w:lineRule="exact"/>
      <w:ind w:left="0"/>
      <w:jc w:val="center"/>
      <w:outlineLvl w:val="8"/>
    </w:pPr>
    <w:rPr>
      <w:rFonts w:ascii="黑体" w:hAnsi="Arial" w:eastAsia="黑体" w:cs="Arial"/>
      <w:sz w:val="24"/>
      <w:szCs w:val="20"/>
    </w:rPr>
  </w:style>
  <w:style w:type="paragraph" w:customStyle="1" w:styleId="115">
    <w:name w:val="表格小五"/>
    <w:autoRedefine/>
    <w:qFormat/>
    <w:uiPriority w:val="0"/>
    <w:pPr>
      <w:spacing w:line="280" w:lineRule="exact"/>
      <w:jc w:val="center"/>
    </w:pPr>
    <w:rPr>
      <w:rFonts w:ascii="Times New Roman" w:hAnsi="Times New Roman" w:eastAsia="楷体_GB2312" w:cs="Times New Roman"/>
      <w:sz w:val="18"/>
      <w:szCs w:val="24"/>
      <w:lang w:val="en-US" w:eastAsia="zh-CN" w:bidi="ar-SA"/>
    </w:rPr>
  </w:style>
  <w:style w:type="table" w:customStyle="1" w:styleId="116">
    <w:name w:val="上下粗线"/>
    <w:basedOn w:val="30"/>
    <w:autoRedefine/>
    <w:qFormat/>
    <w:uiPriority w:val="99"/>
    <w:pPr>
      <w:jc w:val="center"/>
    </w:pPr>
    <w:rPr>
      <w:rFonts w:eastAsia="仿宋_GB2312"/>
      <w:sz w:val="21"/>
    </w:rPr>
    <w:tblPr>
      <w:tblBorders>
        <w:top w:val="single" w:color="auto" w:sz="12" w:space="0"/>
        <w:bottom w:val="single" w:color="auto" w:sz="12" w:space="0"/>
        <w:insideH w:val="single" w:color="auto" w:sz="4" w:space="0"/>
        <w:insideV w:val="single" w:color="auto" w:sz="4" w:space="0"/>
      </w:tblBorders>
    </w:tblPr>
    <w:tcPr>
      <w:vAlign w:val="center"/>
    </w:tcPr>
  </w:style>
  <w:style w:type="paragraph" w:customStyle="1" w:styleId="117">
    <w:name w:val="正文 宋体"/>
    <w:basedOn w:val="8"/>
    <w:autoRedefine/>
    <w:qFormat/>
    <w:uiPriority w:val="0"/>
    <w:pPr>
      <w:spacing w:after="0" w:line="360" w:lineRule="auto"/>
      <w:ind w:firstLine="480" w:firstLineChars="200"/>
    </w:pPr>
    <w:rPr>
      <w:rFonts w:ascii="宋体" w:hAnsi="宋体" w:cs="宋体"/>
      <w:sz w:val="24"/>
    </w:rPr>
  </w:style>
  <w:style w:type="paragraph" w:customStyle="1" w:styleId="118">
    <w:name w:val="表名（文字）"/>
    <w:basedOn w:val="114"/>
    <w:autoRedefine/>
    <w:qFormat/>
    <w:uiPriority w:val="0"/>
    <w:pPr>
      <w:widowControl/>
      <w:numPr>
        <w:ilvl w:val="0"/>
        <w:numId w:val="0"/>
      </w:numPr>
      <w:spacing w:before="0" w:beforeLines="0" w:after="0" w:line="440" w:lineRule="exact"/>
    </w:pPr>
  </w:style>
  <w:style w:type="paragraph" w:customStyle="1" w:styleId="119">
    <w:name w:val="表格五号"/>
    <w:autoRedefine/>
    <w:qFormat/>
    <w:uiPriority w:val="0"/>
    <w:pPr>
      <w:spacing w:line="280" w:lineRule="exact"/>
      <w:contextualSpacing/>
      <w:jc w:val="center"/>
    </w:pPr>
    <w:rPr>
      <w:rFonts w:ascii="Times New Roman" w:hAnsi="Times New Roman" w:eastAsia="楷体_GB2312" w:cs="Times New Roman"/>
      <w:sz w:val="21"/>
      <w:szCs w:val="24"/>
      <w:lang w:val="en-US" w:eastAsia="zh-CN" w:bidi="ar-SA"/>
    </w:rPr>
  </w:style>
  <w:style w:type="paragraph" w:customStyle="1" w:styleId="120">
    <w:name w:val="综合规划正文格式"/>
    <w:basedOn w:val="1"/>
    <w:autoRedefine/>
    <w:qFormat/>
    <w:uiPriority w:val="0"/>
    <w:pPr>
      <w:spacing w:line="360" w:lineRule="auto"/>
      <w:ind w:firstLine="200" w:firstLineChars="200"/>
      <w:jc w:val="left"/>
    </w:pPr>
    <w:rPr>
      <w:kern w:val="0"/>
      <w:sz w:val="24"/>
    </w:rPr>
  </w:style>
  <w:style w:type="paragraph" w:customStyle="1" w:styleId="121">
    <w:name w:val="插图（T）"/>
    <w:basedOn w:val="1"/>
    <w:next w:val="122"/>
    <w:autoRedefine/>
    <w:qFormat/>
    <w:uiPriority w:val="0"/>
    <w:pPr>
      <w:jc w:val="center"/>
    </w:pPr>
  </w:style>
  <w:style w:type="paragraph" w:customStyle="1" w:styleId="122">
    <w:name w:val="图名（I）"/>
    <w:basedOn w:val="1"/>
    <w:next w:val="7"/>
    <w:autoRedefine/>
    <w:qFormat/>
    <w:uiPriority w:val="0"/>
    <w:pPr>
      <w:numPr>
        <w:ilvl w:val="7"/>
        <w:numId w:val="5"/>
      </w:numPr>
      <w:tabs>
        <w:tab w:val="center" w:pos="4515"/>
        <w:tab w:val="right" w:pos="8925"/>
      </w:tabs>
      <w:spacing w:after="120"/>
      <w:jc w:val="center"/>
      <w:outlineLvl w:val="7"/>
    </w:pPr>
    <w:rPr>
      <w:rFonts w:ascii="黑体" w:hAnsi="Arial" w:eastAsia="黑体" w:cs="Arial"/>
      <w:sz w:val="24"/>
      <w:szCs w:val="20"/>
    </w:rPr>
  </w:style>
  <w:style w:type="paragraph" w:customStyle="1" w:styleId="123">
    <w:name w:val="样式4"/>
    <w:basedOn w:val="8"/>
    <w:autoRedefine/>
    <w:qFormat/>
    <w:uiPriority w:val="0"/>
    <w:pPr>
      <w:spacing w:line="360" w:lineRule="auto"/>
      <w:ind w:firstLine="480" w:firstLineChars="200"/>
    </w:pPr>
    <w:rPr>
      <w:rFonts w:ascii="Arial" w:hAnsi="Arial"/>
      <w:bCs/>
      <w:sz w:val="24"/>
    </w:rPr>
  </w:style>
  <w:style w:type="paragraph" w:customStyle="1" w:styleId="124">
    <w:name w:val="正文01"/>
    <w:basedOn w:val="1"/>
    <w:autoRedefine/>
    <w:qFormat/>
    <w:uiPriority w:val="0"/>
    <w:pPr>
      <w:spacing w:before="60" w:line="460" w:lineRule="exact"/>
      <w:ind w:firstLine="200" w:firstLineChars="200"/>
    </w:pPr>
    <w:rPr>
      <w:sz w:val="24"/>
      <w:szCs w:val="20"/>
    </w:rPr>
  </w:style>
  <w:style w:type="paragraph" w:customStyle="1" w:styleId="125">
    <w:name w:val="xyb自建正文"/>
    <w:next w:val="1"/>
    <w:autoRedefine/>
    <w:qFormat/>
    <w:uiPriority w:val="0"/>
    <w:pPr>
      <w:widowControl w:val="0"/>
      <w:tabs>
        <w:tab w:val="left" w:pos="1440"/>
        <w:tab w:val="left" w:pos="8280"/>
      </w:tabs>
      <w:spacing w:line="360" w:lineRule="auto"/>
      <w:ind w:firstLine="200" w:firstLineChars="200"/>
      <w:jc w:val="both"/>
    </w:pPr>
    <w:rPr>
      <w:rFonts w:ascii="宋体" w:hAnsi="Times New Roman" w:eastAsia="宋体" w:cs="Times New Roman"/>
      <w:spacing w:val="-2"/>
      <w:sz w:val="24"/>
      <w:lang w:val="en-US" w:eastAsia="zh-CN" w:bidi="ar-SA"/>
    </w:rPr>
  </w:style>
  <w:style w:type="paragraph" w:customStyle="1" w:styleId="126">
    <w:name w:val="表头O"/>
    <w:basedOn w:val="1"/>
    <w:autoRedefine/>
    <w:qFormat/>
    <w:uiPriority w:val="0"/>
    <w:pPr>
      <w:spacing w:before="156" w:beforeLines="50" w:line="240" w:lineRule="atLeast"/>
      <w:jc w:val="center"/>
    </w:pPr>
    <w:rPr>
      <w:rFonts w:ascii="Times New Roman" w:hAnsi="Times New Roman"/>
      <w:b/>
      <w:sz w:val="24"/>
    </w:rPr>
  </w:style>
  <w:style w:type="paragraph" w:customStyle="1" w:styleId="127">
    <w:name w:val="样式2"/>
    <w:basedOn w:val="1"/>
    <w:autoRedefine/>
    <w:qFormat/>
    <w:uiPriority w:val="0"/>
    <w:pPr>
      <w:adjustRightInd w:val="0"/>
      <w:ind w:left="170"/>
      <w:jc w:val="left"/>
      <w:textAlignment w:val="baseline"/>
    </w:pPr>
    <w:rPr>
      <w:b/>
      <w:kern w:val="0"/>
      <w:sz w:val="24"/>
      <w:szCs w:val="20"/>
    </w:rPr>
  </w:style>
  <w:style w:type="paragraph" w:customStyle="1" w:styleId="128">
    <w:name w:val="H表格样式"/>
    <w:basedOn w:val="1"/>
    <w:autoRedefine/>
    <w:qFormat/>
    <w:uiPriority w:val="0"/>
    <w:pPr>
      <w:adjustRightInd w:val="0"/>
      <w:snapToGrid w:val="0"/>
      <w:spacing w:line="240" w:lineRule="auto"/>
      <w:ind w:firstLine="0" w:firstLineChars="0"/>
      <w:jc w:val="center"/>
    </w:pPr>
    <w:rPr>
      <w:color w:val="000000"/>
      <w:kern w:val="0"/>
      <w:sz w:val="21"/>
    </w:rPr>
  </w:style>
  <w:style w:type="paragraph" w:customStyle="1" w:styleId="129">
    <w:name w:val="文本正文专用"/>
    <w:basedOn w:val="1"/>
    <w:autoRedefine/>
    <w:qFormat/>
    <w:uiPriority w:val="0"/>
    <w:pPr>
      <w:spacing w:line="360" w:lineRule="auto"/>
      <w:ind w:firstLine="480" w:firstLineChars="200"/>
    </w:pPr>
    <w:rPr>
      <w:sz w:val="24"/>
    </w:rPr>
  </w:style>
  <w:style w:type="paragraph" w:customStyle="1" w:styleId="130">
    <w:name w:val="标题3"/>
    <w:basedOn w:val="5"/>
    <w:autoRedefine/>
    <w:qFormat/>
    <w:uiPriority w:val="0"/>
    <w:pPr>
      <w:spacing w:beforeLines="100" w:afterLines="100"/>
    </w:pPr>
    <w:rPr>
      <w:rFonts w:eastAsia="仿宋"/>
      <w:sz w:val="32"/>
    </w:rPr>
  </w:style>
  <w:style w:type="paragraph" w:customStyle="1" w:styleId="131">
    <w:name w:val="Normal_0_0"/>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table" w:customStyle="1" w:styleId="132">
    <w:name w:val="Table Grid_0"/>
    <w:basedOn w:val="30"/>
    <w:autoRedefine/>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
    <w:name w:val="Table Normal"/>
    <w:autoRedefine/>
    <w:unhideWhenUsed/>
    <w:qFormat/>
    <w:uiPriority w:val="2"/>
    <w:tblPr>
      <w:tblCellMar>
        <w:top w:w="0" w:type="dxa"/>
        <w:left w:w="0" w:type="dxa"/>
        <w:bottom w:w="0" w:type="dxa"/>
        <w:right w:w="0" w:type="dxa"/>
      </w:tblCellMar>
    </w:tblPr>
  </w:style>
  <w:style w:type="paragraph" w:customStyle="1" w:styleId="134">
    <w:name w:val="x正文"/>
    <w:basedOn w:val="1"/>
    <w:autoRedefine/>
    <w:qFormat/>
    <w:uiPriority w:val="0"/>
    <w:pPr>
      <w:spacing w:line="360" w:lineRule="auto"/>
      <w:ind w:firstLine="480"/>
    </w:pPr>
  </w:style>
  <w:style w:type="paragraph" w:customStyle="1" w:styleId="135">
    <w:name w:val="样式 样式 样式 样式 首行缩进:  2 字符 行距: 1.5 倍行距 + 首行缩进:  2 字符1 + 首行缩进:  2 字符..."/>
    <w:basedOn w:val="136"/>
    <w:autoRedefine/>
    <w:qFormat/>
    <w:uiPriority w:val="0"/>
  </w:style>
  <w:style w:type="paragraph" w:customStyle="1" w:styleId="136">
    <w:name w:val="样式 样式 样式 首行缩进:  2 字符 行距: 1.5 倍行距 + 首行缩进:  2 字符1 + 首行缩进:  2 字符"/>
    <w:basedOn w:val="1"/>
    <w:autoRedefine/>
    <w:qFormat/>
    <w:uiPriority w:val="0"/>
    <w:pPr>
      <w:spacing w:line="560" w:lineRule="exact"/>
      <w:ind w:firstLine="200" w:firstLineChars="200"/>
    </w:pPr>
    <w:rPr>
      <w:rFonts w:ascii="仿宋_GB2312" w:eastAsia="仿宋_GB2312" w:cs="宋体"/>
      <w:sz w:val="28"/>
      <w:szCs w:val="20"/>
    </w:rPr>
  </w:style>
  <w:style w:type="paragraph" w:customStyle="1" w:styleId="137">
    <w:name w:val="标题4"/>
    <w:basedOn w:val="1"/>
    <w:autoRedefine/>
    <w:qFormat/>
    <w:uiPriority w:val="0"/>
    <w:pPr>
      <w:numPr>
        <w:ilvl w:val="3"/>
        <w:numId w:val="6"/>
      </w:numPr>
      <w:spacing w:before="240" w:after="120"/>
      <w:ind w:firstLine="0" w:firstLineChars="0"/>
      <w:jc w:val="left"/>
      <w:outlineLvl w:val="3"/>
    </w:pPr>
    <w:rPr>
      <w:rFonts w:ascii="Times New Roman" w:hAnsi="Times New Roman" w:eastAsia="黑体"/>
      <w:b/>
    </w:rPr>
  </w:style>
  <w:style w:type="paragraph" w:customStyle="1" w:styleId="138">
    <w:name w:val="Table Text"/>
    <w:basedOn w:val="1"/>
    <w:autoRedefine/>
    <w:semiHidden/>
    <w:qFormat/>
    <w:uiPriority w:val="0"/>
    <w:rPr>
      <w:rFonts w:ascii="Times New Roman" w:hAnsi="Times New Roman" w:eastAsia="Times New Roman" w:cs="Times New Roman"/>
      <w:sz w:val="20"/>
      <w:szCs w:val="20"/>
      <w:lang w:val="en-US" w:eastAsia="en-US" w:bidi="ar-SA"/>
    </w:rPr>
  </w:style>
  <w:style w:type="paragraph" w:customStyle="1" w:styleId="139">
    <w:name w:val="Normal_0"/>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8.jpe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微软中国</Company>
  <Pages>106</Pages>
  <Words>57303</Words>
  <Characters>62231</Characters>
  <Lines>9</Lines>
  <Paragraphs>2</Paragraphs>
  <TotalTime>51</TotalTime>
  <ScaleCrop>false</ScaleCrop>
  <LinksUpToDate>false</LinksUpToDate>
  <CharactersWithSpaces>62794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点点窝窝</cp:lastModifiedBy>
  <cp:lastPrinted>2022-04-29T01:47:00Z</cp:lastPrinted>
  <dcterms:modified xsi:type="dcterms:W3CDTF">2024-04-23T03:28:58Z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2094D5EE3926470580E0C5C2E505DC9D_13</vt:lpwstr>
  </property>
  <property fmtid="{D5CDD505-2E9C-101B-9397-08002B2CF9AE}" pid="4" name="commondata">
    <vt:lpwstr>eyJoZGlkIjoiMTM4MTlmNDFlYTJhY2Y0Y2Y2ZGQ2ZDk0ZWQ1ZGE0MTUifQ==</vt:lpwstr>
  </property>
</Properties>
</file>