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colors3.xml" ContentType="application/vnd.ms-office.chartcolorstyle+xml"/>
  <Override PartName="/word/charts/colors4.xml" ContentType="application/vnd.ms-office.chartcolorstyle+xml"/>
  <Override PartName="/word/charts/colors5.xml" ContentType="application/vnd.ms-office.chartcolorstyle+xml"/>
  <Override PartName="/word/charts/colors6.xml" ContentType="application/vnd.ms-office.chartcolorstyle+xml"/>
  <Override PartName="/word/charts/style1.xml" ContentType="application/vnd.ms-office.chartstyle+xml"/>
  <Override PartName="/word/charts/style2.xml" ContentType="application/vnd.ms-office.chartstyle+xml"/>
  <Override PartName="/word/charts/style3.xml" ContentType="application/vnd.ms-office.chartstyle+xml"/>
  <Override PartName="/word/charts/style4.xml" ContentType="application/vnd.ms-office.chartstyle+xml"/>
  <Override PartName="/word/charts/style5.xml" ContentType="application/vnd.ms-office.chartstyle+xml"/>
  <Override PartName="/word/charts/style6.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ageBreakBefore w:val="0"/>
        <w:kinsoku/>
        <w:wordWrap/>
        <w:overflowPunct/>
        <w:topLinePunct w:val="0"/>
        <w:bidi w:val="0"/>
        <w:spacing w:line="576" w:lineRule="exact"/>
        <w:jc w:val="center"/>
        <w:textAlignment w:val="auto"/>
        <w:outlineLvl w:val="9"/>
        <w:rPr>
          <w:rFonts w:ascii="微软雅黑" w:hAnsi="宋体" w:eastAsia="微软雅黑"/>
          <w:color w:val="auto"/>
          <w:sz w:val="72"/>
          <w:szCs w:val="72"/>
          <w:highlight w:val="none"/>
        </w:rPr>
      </w:pPr>
      <w:bookmarkStart w:id="0" w:name="_Toc15396475"/>
      <w:bookmarkStart w:id="1" w:name="_Toc15378441"/>
      <w:bookmarkStart w:id="2" w:name="_Toc15377193"/>
      <w:bookmarkStart w:id="3" w:name="_Toc15396597"/>
      <w:bookmarkStart w:id="4" w:name="_Toc15377425"/>
      <w:bookmarkStart w:id="5" w:name="_Toc15306267"/>
    </w:p>
    <w:p>
      <w:pPr>
        <w:pageBreakBefore w:val="0"/>
        <w:kinsoku/>
        <w:wordWrap/>
        <w:overflowPunct/>
        <w:topLinePunct w:val="0"/>
        <w:bidi w:val="0"/>
        <w:spacing w:line="576" w:lineRule="exact"/>
        <w:jc w:val="center"/>
        <w:textAlignment w:val="auto"/>
        <w:outlineLvl w:val="9"/>
        <w:rPr>
          <w:rFonts w:ascii="微软雅黑" w:hAnsi="宋体" w:eastAsia="微软雅黑"/>
          <w:color w:val="auto"/>
          <w:sz w:val="72"/>
          <w:szCs w:val="72"/>
          <w:highlight w:val="none"/>
        </w:rPr>
      </w:pPr>
    </w:p>
    <w:p>
      <w:pPr>
        <w:pageBreakBefore w:val="0"/>
        <w:kinsoku/>
        <w:wordWrap/>
        <w:overflowPunct/>
        <w:topLinePunct w:val="0"/>
        <w:bidi w:val="0"/>
        <w:spacing w:line="576" w:lineRule="exact"/>
        <w:jc w:val="center"/>
        <w:textAlignment w:val="auto"/>
        <w:outlineLvl w:val="9"/>
        <w:rPr>
          <w:rFonts w:ascii="微软雅黑" w:hAnsi="宋体" w:eastAsia="微软雅黑"/>
          <w:color w:val="auto"/>
          <w:sz w:val="72"/>
          <w:szCs w:val="72"/>
          <w:highlight w:val="none"/>
        </w:rPr>
      </w:pPr>
    </w:p>
    <w:p>
      <w:pPr>
        <w:keepNext w:val="0"/>
        <w:keepLines w:val="0"/>
        <w:pageBreakBefore w:val="0"/>
        <w:widowControl w:val="0"/>
        <w:kinsoku/>
        <w:wordWrap/>
        <w:overflowPunct/>
        <w:topLinePunct w:val="0"/>
        <w:autoSpaceDE/>
        <w:autoSpaceDN/>
        <w:bidi w:val="0"/>
        <w:adjustRightInd w:val="0"/>
        <w:snapToGrid w:val="0"/>
        <w:spacing w:line="604" w:lineRule="exact"/>
        <w:jc w:val="center"/>
        <w:textAlignment w:val="auto"/>
        <w:outlineLvl w:val="9"/>
        <w:rPr>
          <w:rFonts w:hint="eastAsia" w:ascii="方正小标宋简体" w:hAnsi="方正小标宋简体" w:eastAsia="方正小标宋简体" w:cs="方正小标宋简体"/>
          <w:color w:val="auto"/>
          <w:sz w:val="52"/>
          <w:szCs w:val="52"/>
          <w:highlight w:val="none"/>
        </w:rPr>
      </w:pPr>
    </w:p>
    <w:p>
      <w:pPr>
        <w:keepNext w:val="0"/>
        <w:keepLines w:val="0"/>
        <w:pageBreakBefore w:val="0"/>
        <w:widowControl w:val="0"/>
        <w:kinsoku/>
        <w:wordWrap/>
        <w:overflowPunct/>
        <w:topLinePunct w:val="0"/>
        <w:autoSpaceDE/>
        <w:autoSpaceDN/>
        <w:bidi w:val="0"/>
        <w:adjustRightInd w:val="0"/>
        <w:snapToGrid w:val="0"/>
        <w:spacing w:line="604" w:lineRule="exact"/>
        <w:jc w:val="center"/>
        <w:textAlignment w:val="auto"/>
        <w:outlineLvl w:val="0"/>
        <w:rPr>
          <w:rFonts w:hint="eastAsia" w:ascii="方正小标宋简体" w:hAnsi="方正小标宋简体" w:eastAsia="方正小标宋简体" w:cs="方正小标宋简体"/>
          <w:color w:val="auto"/>
          <w:sz w:val="52"/>
          <w:szCs w:val="52"/>
          <w:highlight w:val="none"/>
        </w:rPr>
      </w:pPr>
      <w:bookmarkStart w:id="6" w:name="_Toc23659"/>
      <w:bookmarkStart w:id="7" w:name="_Toc5133"/>
      <w:bookmarkStart w:id="8" w:name="_Toc23722"/>
      <w:r>
        <w:rPr>
          <w:rFonts w:hint="eastAsia" w:ascii="方正小标宋简体" w:hAnsi="方正小标宋简体" w:eastAsia="方正小标宋简体" w:cs="方正小标宋简体"/>
          <w:color w:val="auto"/>
          <w:sz w:val="52"/>
          <w:szCs w:val="52"/>
          <w:highlight w:val="none"/>
        </w:rPr>
        <w:t>20</w:t>
      </w:r>
      <w:r>
        <w:rPr>
          <w:rFonts w:hint="eastAsia" w:ascii="方正小标宋简体" w:hAnsi="方正小标宋简体" w:eastAsia="方正小标宋简体" w:cs="方正小标宋简体"/>
          <w:color w:val="auto"/>
          <w:sz w:val="52"/>
          <w:szCs w:val="52"/>
          <w:highlight w:val="none"/>
          <w:lang w:val="en-US" w:eastAsia="zh-CN"/>
        </w:rPr>
        <w:t>22</w:t>
      </w:r>
      <w:r>
        <w:rPr>
          <w:rFonts w:hint="eastAsia" w:ascii="方正小标宋简体" w:hAnsi="方正小标宋简体" w:eastAsia="方正小标宋简体" w:cs="方正小标宋简体"/>
          <w:color w:val="auto"/>
          <w:sz w:val="52"/>
          <w:szCs w:val="52"/>
          <w:highlight w:val="none"/>
        </w:rPr>
        <w:t>年度</w:t>
      </w:r>
      <w:bookmarkEnd w:id="0"/>
      <w:bookmarkEnd w:id="1"/>
      <w:bookmarkEnd w:id="2"/>
      <w:bookmarkEnd w:id="3"/>
      <w:bookmarkEnd w:id="4"/>
      <w:bookmarkEnd w:id="6"/>
      <w:bookmarkEnd w:id="7"/>
      <w:bookmarkEnd w:id="8"/>
    </w:p>
    <w:p>
      <w:pPr>
        <w:keepNext w:val="0"/>
        <w:keepLines w:val="0"/>
        <w:pageBreakBefore w:val="0"/>
        <w:widowControl w:val="0"/>
        <w:kinsoku/>
        <w:wordWrap/>
        <w:overflowPunct/>
        <w:topLinePunct w:val="0"/>
        <w:autoSpaceDE/>
        <w:autoSpaceDN/>
        <w:bidi w:val="0"/>
        <w:adjustRightInd w:val="0"/>
        <w:snapToGrid w:val="0"/>
        <w:spacing w:line="604" w:lineRule="exact"/>
        <w:jc w:val="center"/>
        <w:textAlignment w:val="auto"/>
        <w:outlineLvl w:val="9"/>
        <w:rPr>
          <w:rFonts w:hint="eastAsia" w:ascii="方正小标宋简体" w:hAnsi="方正小标宋简体" w:eastAsia="方正小标宋简体" w:cs="方正小标宋简体"/>
          <w:color w:val="auto"/>
          <w:sz w:val="52"/>
          <w:szCs w:val="52"/>
          <w:highlight w:val="none"/>
        </w:rPr>
      </w:pPr>
    </w:p>
    <w:p>
      <w:pPr>
        <w:keepNext w:val="0"/>
        <w:keepLines w:val="0"/>
        <w:pageBreakBefore w:val="0"/>
        <w:widowControl w:val="0"/>
        <w:kinsoku/>
        <w:wordWrap/>
        <w:overflowPunct/>
        <w:topLinePunct w:val="0"/>
        <w:autoSpaceDE/>
        <w:autoSpaceDN/>
        <w:bidi w:val="0"/>
        <w:adjustRightInd w:val="0"/>
        <w:snapToGrid w:val="0"/>
        <w:spacing w:line="604" w:lineRule="exact"/>
        <w:jc w:val="center"/>
        <w:textAlignment w:val="auto"/>
        <w:outlineLvl w:val="0"/>
        <w:rPr>
          <w:rFonts w:hint="eastAsia" w:ascii="方正小标宋简体" w:hAnsi="方正小标宋简体" w:eastAsia="方正小标宋简体" w:cs="方正小标宋简体"/>
          <w:color w:val="auto"/>
          <w:sz w:val="52"/>
          <w:szCs w:val="52"/>
          <w:highlight w:val="none"/>
        </w:rPr>
      </w:pPr>
      <w:bookmarkStart w:id="9" w:name="_Toc15378442"/>
      <w:bookmarkStart w:id="10" w:name="_Toc15396598"/>
      <w:bookmarkStart w:id="11" w:name="_Toc6265"/>
      <w:bookmarkStart w:id="12" w:name="_Toc27601"/>
      <w:bookmarkStart w:id="13" w:name="_Toc4973"/>
      <w:bookmarkStart w:id="14" w:name="_Toc15377194"/>
      <w:bookmarkStart w:id="15" w:name="_Toc15396476"/>
      <w:bookmarkStart w:id="16" w:name="_Toc15377426"/>
      <w:r>
        <w:rPr>
          <w:rFonts w:hint="eastAsia" w:ascii="方正小标宋简体" w:hAnsi="方正小标宋简体" w:eastAsia="方正小标宋简体" w:cs="方正小标宋简体"/>
          <w:color w:val="auto"/>
          <w:sz w:val="52"/>
          <w:szCs w:val="52"/>
          <w:highlight w:val="none"/>
        </w:rPr>
        <w:t>四川</w:t>
      </w:r>
      <w:bookmarkEnd w:id="5"/>
      <w:bookmarkStart w:id="17" w:name="_Toc15306268"/>
      <w:r>
        <w:rPr>
          <w:rFonts w:hint="eastAsia" w:ascii="方正小标宋简体" w:hAnsi="方正小标宋简体" w:eastAsia="方正小标宋简体" w:cs="方正小标宋简体"/>
          <w:color w:val="auto"/>
          <w:sz w:val="52"/>
          <w:szCs w:val="52"/>
          <w:highlight w:val="none"/>
          <w:lang w:eastAsia="zh-CN"/>
        </w:rPr>
        <w:t>省广元市昭化区人力资源和社会保障局</w:t>
      </w:r>
      <w:r>
        <w:rPr>
          <w:rFonts w:hint="eastAsia" w:ascii="方正小标宋简体" w:hAnsi="方正小标宋简体" w:eastAsia="方正小标宋简体" w:cs="方正小标宋简体"/>
          <w:color w:val="auto"/>
          <w:sz w:val="52"/>
          <w:szCs w:val="52"/>
          <w:highlight w:val="none"/>
        </w:rPr>
        <w:t>部门决算</w:t>
      </w:r>
      <w:bookmarkEnd w:id="9"/>
      <w:bookmarkEnd w:id="10"/>
      <w:bookmarkEnd w:id="11"/>
      <w:bookmarkEnd w:id="12"/>
      <w:bookmarkEnd w:id="13"/>
      <w:bookmarkEnd w:id="14"/>
      <w:bookmarkEnd w:id="15"/>
      <w:bookmarkEnd w:id="16"/>
      <w:bookmarkEnd w:id="17"/>
    </w:p>
    <w:p>
      <w:pPr>
        <w:pageBreakBefore w:val="0"/>
        <w:widowControl/>
        <w:kinsoku/>
        <w:wordWrap/>
        <w:overflowPunct/>
        <w:topLinePunct w:val="0"/>
        <w:bidi w:val="0"/>
        <w:spacing w:line="576" w:lineRule="exact"/>
        <w:jc w:val="center"/>
        <w:textAlignment w:val="auto"/>
        <w:rPr>
          <w:rFonts w:ascii="黑体" w:hAnsi="黑体" w:eastAsia="黑体"/>
          <w:color w:val="auto"/>
          <w:sz w:val="48"/>
          <w:szCs w:val="48"/>
          <w:highlight w:val="none"/>
        </w:rPr>
      </w:pPr>
      <w:r>
        <w:rPr>
          <w:rFonts w:ascii="微软雅黑" w:hAnsi="宋体" w:eastAsia="微软雅黑"/>
          <w:color w:val="auto"/>
          <w:sz w:val="36"/>
          <w:szCs w:val="36"/>
          <w:highlight w:val="none"/>
        </w:rPr>
        <w:br w:type="page"/>
      </w:r>
      <w:r>
        <w:rPr>
          <w:rFonts w:hint="eastAsia" w:ascii="黑体" w:hAnsi="黑体" w:eastAsia="黑体"/>
          <w:color w:val="auto"/>
          <w:sz w:val="48"/>
          <w:szCs w:val="48"/>
          <w:highlight w:val="none"/>
        </w:rPr>
        <w:t>目录</w:t>
      </w:r>
    </w:p>
    <w:p>
      <w:pPr>
        <w:pageBreakBefore w:val="0"/>
        <w:widowControl/>
        <w:kinsoku/>
        <w:wordWrap/>
        <w:overflowPunct/>
        <w:topLinePunct w:val="0"/>
        <w:bidi w:val="0"/>
        <w:spacing w:line="576" w:lineRule="exact"/>
        <w:jc w:val="center"/>
        <w:textAlignment w:val="auto"/>
        <w:rPr>
          <w:rFonts w:ascii="黑体" w:hAnsi="黑体" w:eastAsia="黑体" w:cstheme="minorBidi"/>
          <w:color w:val="auto"/>
          <w:sz w:val="28"/>
          <w:szCs w:val="28"/>
          <w:highlight w:val="none"/>
        </w:rPr>
      </w:pPr>
    </w:p>
    <w:p>
      <w:pPr>
        <w:pStyle w:val="13"/>
        <w:pageBreakBefore w:val="0"/>
        <w:kinsoku/>
        <w:wordWrap/>
        <w:overflowPunct/>
        <w:topLinePunct w:val="0"/>
        <w:bidi w:val="0"/>
        <w:spacing w:line="576" w:lineRule="exact"/>
        <w:textAlignment w:val="auto"/>
        <w:rPr>
          <w:color w:val="auto"/>
          <w:highlight w:val="none"/>
        </w:rPr>
      </w:pPr>
      <w:r>
        <w:rPr>
          <w:rFonts w:hint="eastAsia"/>
          <w:color w:val="auto"/>
          <w:highlight w:val="none"/>
        </w:rPr>
        <w:t>公开时间：20</w:t>
      </w:r>
      <w:r>
        <w:rPr>
          <w:rFonts w:hint="eastAsia"/>
          <w:color w:val="auto"/>
          <w:highlight w:val="none"/>
          <w:lang w:val="en-US" w:eastAsia="zh-CN"/>
        </w:rPr>
        <w:t>23</w:t>
      </w:r>
      <w:r>
        <w:rPr>
          <w:rFonts w:hint="eastAsia"/>
          <w:color w:val="auto"/>
          <w:highlight w:val="none"/>
        </w:rPr>
        <w:t>年</w:t>
      </w:r>
      <w:r>
        <w:rPr>
          <w:rFonts w:hint="eastAsia"/>
          <w:color w:val="auto"/>
          <w:highlight w:val="none"/>
          <w:lang w:val="en-US" w:eastAsia="zh-CN"/>
        </w:rPr>
        <w:t>9</w:t>
      </w:r>
      <w:r>
        <w:rPr>
          <w:rFonts w:hint="eastAsia"/>
          <w:color w:val="auto"/>
          <w:highlight w:val="none"/>
        </w:rPr>
        <w:t>月</w:t>
      </w:r>
      <w:r>
        <w:rPr>
          <w:rFonts w:hint="eastAsia"/>
          <w:color w:val="auto"/>
          <w:highlight w:val="none"/>
          <w:lang w:val="en-US" w:eastAsia="zh-CN"/>
        </w:rPr>
        <w:t>27</w:t>
      </w:r>
      <w:r>
        <w:rPr>
          <w:rFonts w:hint="eastAsia"/>
          <w:color w:val="auto"/>
          <w:highlight w:val="none"/>
        </w:rPr>
        <w:t>日</w:t>
      </w:r>
    </w:p>
    <w:sdt>
      <w:sdtPr>
        <w:rPr>
          <w:rFonts w:ascii="宋体" w:hAnsi="宋体" w:eastAsia="宋体" w:cs="Times New Roman"/>
          <w:kern w:val="2"/>
          <w:sz w:val="21"/>
          <w:szCs w:val="24"/>
          <w:highlight w:val="none"/>
          <w:lang w:val="en-US" w:eastAsia="zh-CN" w:bidi="ar-SA"/>
        </w:rPr>
        <w:id w:val="147458654"/>
        <w15:color w:val="DBDBDB"/>
        <w:docPartObj>
          <w:docPartGallery w:val="Table of Contents"/>
          <w:docPartUnique/>
        </w:docPartObj>
      </w:sdtPr>
      <w:sdtEndPr>
        <w:rPr>
          <w:rFonts w:ascii="宋体" w:hAnsi="宋体" w:eastAsia="宋体" w:cs="Times New Roman"/>
          <w:b/>
          <w:kern w:val="2"/>
          <w:sz w:val="21"/>
          <w:szCs w:val="24"/>
          <w:highlight w:val="none"/>
          <w:lang w:val="en-US" w:eastAsia="zh-CN" w:bidi="ar-SA"/>
        </w:rPr>
      </w:sdtEndPr>
      <w:sdtContent>
        <w:p>
          <w:pPr>
            <w:keepNext w:val="0"/>
            <w:keepLines w:val="0"/>
            <w:pageBreakBefore w:val="0"/>
            <w:widowControl w:val="0"/>
            <w:kinsoku/>
            <w:wordWrap/>
            <w:overflowPunct/>
            <w:topLinePunct w:val="0"/>
            <w:autoSpaceDE/>
            <w:autoSpaceDN/>
            <w:bidi w:val="0"/>
            <w:adjustRightInd/>
            <w:snapToGrid/>
            <w:spacing w:line="510" w:lineRule="exact"/>
            <w:textAlignment w:val="auto"/>
            <w:rPr>
              <w:rFonts w:ascii="Times New Roman" w:hAnsi="Times New Roman" w:eastAsia="宋体" w:cs="Times New Roman"/>
              <w:kern w:val="2"/>
              <w:sz w:val="21"/>
              <w:szCs w:val="24"/>
              <w:highlight w:val="none"/>
              <w:lang w:val="en-US" w:eastAsia="zh-CN" w:bidi="ar-SA"/>
            </w:rPr>
          </w:pPr>
          <w:r>
            <w:rPr>
              <w:highlight w:val="none"/>
            </w:rPr>
            <w:fldChar w:fldCharType="begin"/>
          </w:r>
          <w:r>
            <w:rPr>
              <w:highlight w:val="none"/>
            </w:rPr>
            <w:instrText xml:space="preserve">TOC \o "1-2" \h \u </w:instrText>
          </w:r>
          <w:r>
            <w:rPr>
              <w:highlight w:val="none"/>
            </w:rPr>
            <w:fldChar w:fldCharType="separate"/>
          </w:r>
        </w:p>
        <w:p>
          <w:pPr>
            <w:pStyle w:val="13"/>
            <w:keepNext w:val="0"/>
            <w:keepLines w:val="0"/>
            <w:pageBreakBefore w:val="0"/>
            <w:widowControl w:val="0"/>
            <w:tabs>
              <w:tab w:val="right" w:leader="dot" w:pos="8845"/>
              <w:tab w:val="clear" w:pos="8296"/>
            </w:tabs>
            <w:kinsoku/>
            <w:wordWrap/>
            <w:overflowPunct/>
            <w:topLinePunct w:val="0"/>
            <w:autoSpaceDE/>
            <w:autoSpaceDN/>
            <w:bidi w:val="0"/>
            <w:adjustRightInd/>
            <w:snapToGrid/>
            <w:spacing w:line="510" w:lineRule="exact"/>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highlight w:val="none"/>
            </w:rPr>
            <w:fldChar w:fldCharType="begin"/>
          </w:r>
          <w:r>
            <w:rPr>
              <w:rFonts w:hint="eastAsia" w:ascii="仿宋_GB2312" w:hAnsi="仿宋_GB2312" w:eastAsia="仿宋_GB2312" w:cs="仿宋_GB2312"/>
              <w:sz w:val="28"/>
              <w:szCs w:val="28"/>
              <w:highlight w:val="none"/>
            </w:rPr>
            <w:instrText xml:space="preserve"> HYPERLINK \l _Toc17887 </w:instrText>
          </w:r>
          <w:r>
            <w:rPr>
              <w:rFonts w:hint="eastAsia" w:ascii="仿宋_GB2312" w:hAnsi="仿宋_GB2312" w:eastAsia="仿宋_GB2312" w:cs="仿宋_GB2312"/>
              <w:sz w:val="28"/>
              <w:szCs w:val="28"/>
              <w:highlight w:val="none"/>
            </w:rPr>
            <w:fldChar w:fldCharType="separate"/>
          </w:r>
          <w:r>
            <w:rPr>
              <w:rFonts w:hint="eastAsia" w:ascii="仿宋_GB2312" w:hAnsi="仿宋_GB2312" w:eastAsia="仿宋_GB2312" w:cs="仿宋_GB2312"/>
              <w:sz w:val="28"/>
              <w:szCs w:val="28"/>
              <w:highlight w:val="none"/>
            </w:rPr>
            <w:t xml:space="preserve">第一部分 </w:t>
          </w:r>
          <w:r>
            <w:rPr>
              <w:rFonts w:hint="eastAsia" w:ascii="仿宋_GB2312" w:hAnsi="仿宋_GB2312" w:eastAsia="仿宋_GB2312" w:cs="仿宋_GB2312"/>
              <w:bCs w:val="0"/>
              <w:sz w:val="28"/>
              <w:szCs w:val="28"/>
              <w:highlight w:val="none"/>
            </w:rPr>
            <w:t>部门概况</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_Toc17887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1</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highlight w:val="none"/>
            </w:rPr>
            <w:fldChar w:fldCharType="end"/>
          </w:r>
        </w:p>
        <w:p>
          <w:pPr>
            <w:pStyle w:val="14"/>
            <w:keepNext w:val="0"/>
            <w:keepLines w:val="0"/>
            <w:pageBreakBefore w:val="0"/>
            <w:widowControl w:val="0"/>
            <w:tabs>
              <w:tab w:val="right" w:leader="dot" w:pos="8845"/>
              <w:tab w:val="clear" w:pos="8296"/>
            </w:tabs>
            <w:kinsoku/>
            <w:wordWrap/>
            <w:overflowPunct/>
            <w:topLinePunct w:val="0"/>
            <w:autoSpaceDE/>
            <w:autoSpaceDN/>
            <w:bidi w:val="0"/>
            <w:adjustRightInd/>
            <w:snapToGrid/>
            <w:spacing w:line="510" w:lineRule="exact"/>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highlight w:val="none"/>
            </w:rPr>
            <w:fldChar w:fldCharType="begin"/>
          </w:r>
          <w:r>
            <w:rPr>
              <w:rFonts w:hint="eastAsia" w:ascii="仿宋_GB2312" w:hAnsi="仿宋_GB2312" w:eastAsia="仿宋_GB2312" w:cs="仿宋_GB2312"/>
              <w:sz w:val="28"/>
              <w:szCs w:val="28"/>
              <w:highlight w:val="none"/>
            </w:rPr>
            <w:instrText xml:space="preserve"> HYPERLINK \l _Toc13592 </w:instrText>
          </w:r>
          <w:r>
            <w:rPr>
              <w:rFonts w:hint="eastAsia" w:ascii="仿宋_GB2312" w:hAnsi="仿宋_GB2312" w:eastAsia="仿宋_GB2312" w:cs="仿宋_GB2312"/>
              <w:sz w:val="28"/>
              <w:szCs w:val="28"/>
              <w:highlight w:val="none"/>
            </w:rPr>
            <w:fldChar w:fldCharType="separate"/>
          </w:r>
          <w:r>
            <w:rPr>
              <w:rFonts w:hint="eastAsia" w:ascii="仿宋_GB2312" w:hAnsi="仿宋_GB2312" w:eastAsia="仿宋_GB2312" w:cs="仿宋_GB2312"/>
              <w:bCs w:val="0"/>
              <w:sz w:val="28"/>
              <w:szCs w:val="28"/>
            </w:rPr>
            <w:t>一</w:t>
          </w:r>
          <w:r>
            <w:rPr>
              <w:rFonts w:hint="eastAsia" w:ascii="仿宋_GB2312" w:hAnsi="仿宋_GB2312" w:eastAsia="仿宋_GB2312" w:cs="仿宋_GB2312"/>
              <w:bCs w:val="0"/>
              <w:sz w:val="28"/>
              <w:szCs w:val="28"/>
              <w:lang w:eastAsia="zh-CN"/>
            </w:rPr>
            <w:t>、</w:t>
          </w:r>
          <w:r>
            <w:rPr>
              <w:rFonts w:hint="eastAsia" w:ascii="仿宋_GB2312" w:hAnsi="仿宋_GB2312" w:eastAsia="仿宋_GB2312" w:cs="仿宋_GB2312"/>
              <w:sz w:val="28"/>
              <w:szCs w:val="28"/>
              <w:highlight w:val="none"/>
              <w:lang w:eastAsia="zh-CN"/>
            </w:rPr>
            <w:t>部门职责</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_Toc13592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1</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highlight w:val="none"/>
            </w:rPr>
            <w:fldChar w:fldCharType="end"/>
          </w:r>
        </w:p>
        <w:p>
          <w:pPr>
            <w:pStyle w:val="14"/>
            <w:keepNext w:val="0"/>
            <w:keepLines w:val="0"/>
            <w:pageBreakBefore w:val="0"/>
            <w:widowControl w:val="0"/>
            <w:tabs>
              <w:tab w:val="right" w:leader="dot" w:pos="8845"/>
              <w:tab w:val="clear" w:pos="8296"/>
            </w:tabs>
            <w:kinsoku/>
            <w:wordWrap/>
            <w:overflowPunct/>
            <w:topLinePunct w:val="0"/>
            <w:autoSpaceDE/>
            <w:autoSpaceDN/>
            <w:bidi w:val="0"/>
            <w:adjustRightInd/>
            <w:snapToGrid/>
            <w:spacing w:line="510" w:lineRule="exact"/>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highlight w:val="none"/>
            </w:rPr>
            <w:fldChar w:fldCharType="begin"/>
          </w:r>
          <w:r>
            <w:rPr>
              <w:rFonts w:hint="eastAsia" w:ascii="仿宋_GB2312" w:hAnsi="仿宋_GB2312" w:eastAsia="仿宋_GB2312" w:cs="仿宋_GB2312"/>
              <w:sz w:val="28"/>
              <w:szCs w:val="28"/>
              <w:highlight w:val="none"/>
            </w:rPr>
            <w:instrText xml:space="preserve"> HYPERLINK \l _Toc19185 </w:instrText>
          </w:r>
          <w:r>
            <w:rPr>
              <w:rFonts w:hint="eastAsia" w:ascii="仿宋_GB2312" w:hAnsi="仿宋_GB2312" w:eastAsia="仿宋_GB2312" w:cs="仿宋_GB2312"/>
              <w:sz w:val="28"/>
              <w:szCs w:val="28"/>
              <w:highlight w:val="none"/>
            </w:rPr>
            <w:fldChar w:fldCharType="separate"/>
          </w:r>
          <w:r>
            <w:rPr>
              <w:rFonts w:hint="eastAsia" w:ascii="仿宋_GB2312" w:hAnsi="仿宋_GB2312" w:eastAsia="仿宋_GB2312" w:cs="仿宋_GB2312"/>
              <w:sz w:val="28"/>
              <w:szCs w:val="28"/>
              <w:highlight w:val="none"/>
            </w:rPr>
            <w:t>二、机</w:t>
          </w:r>
          <w:r>
            <w:rPr>
              <w:rFonts w:hint="eastAsia" w:ascii="仿宋_GB2312" w:hAnsi="仿宋_GB2312" w:eastAsia="仿宋_GB2312" w:cs="仿宋_GB2312"/>
              <w:bCs w:val="0"/>
              <w:sz w:val="28"/>
              <w:szCs w:val="28"/>
              <w:highlight w:val="none"/>
            </w:rPr>
            <w:t>构设置</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_Toc19185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4</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highlight w:val="none"/>
            </w:rPr>
            <w:fldChar w:fldCharType="end"/>
          </w:r>
        </w:p>
        <w:p>
          <w:pPr>
            <w:pStyle w:val="13"/>
            <w:keepNext w:val="0"/>
            <w:keepLines w:val="0"/>
            <w:pageBreakBefore w:val="0"/>
            <w:widowControl w:val="0"/>
            <w:tabs>
              <w:tab w:val="right" w:leader="dot" w:pos="8845"/>
              <w:tab w:val="clear" w:pos="8296"/>
            </w:tabs>
            <w:kinsoku/>
            <w:wordWrap/>
            <w:overflowPunct/>
            <w:topLinePunct w:val="0"/>
            <w:autoSpaceDE/>
            <w:autoSpaceDN/>
            <w:bidi w:val="0"/>
            <w:adjustRightInd/>
            <w:snapToGrid/>
            <w:spacing w:line="510" w:lineRule="exact"/>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highlight w:val="none"/>
            </w:rPr>
            <w:fldChar w:fldCharType="begin"/>
          </w:r>
          <w:r>
            <w:rPr>
              <w:rFonts w:hint="eastAsia" w:ascii="仿宋_GB2312" w:hAnsi="仿宋_GB2312" w:eastAsia="仿宋_GB2312" w:cs="仿宋_GB2312"/>
              <w:sz w:val="28"/>
              <w:szCs w:val="28"/>
              <w:highlight w:val="none"/>
            </w:rPr>
            <w:instrText xml:space="preserve"> HYPERLINK \l _Toc3011 </w:instrText>
          </w:r>
          <w:r>
            <w:rPr>
              <w:rFonts w:hint="eastAsia" w:ascii="仿宋_GB2312" w:hAnsi="仿宋_GB2312" w:eastAsia="仿宋_GB2312" w:cs="仿宋_GB2312"/>
              <w:sz w:val="28"/>
              <w:szCs w:val="28"/>
              <w:highlight w:val="none"/>
            </w:rPr>
            <w:fldChar w:fldCharType="separate"/>
          </w:r>
          <w:r>
            <w:rPr>
              <w:rFonts w:hint="eastAsia" w:ascii="仿宋_GB2312" w:hAnsi="仿宋_GB2312" w:eastAsia="仿宋_GB2312" w:cs="仿宋_GB2312"/>
              <w:bCs/>
              <w:sz w:val="28"/>
              <w:szCs w:val="28"/>
              <w:highlight w:val="none"/>
            </w:rPr>
            <w:t xml:space="preserve">第二部分 </w:t>
          </w:r>
          <w:r>
            <w:rPr>
              <w:rFonts w:hint="eastAsia" w:ascii="仿宋_GB2312" w:hAnsi="仿宋_GB2312" w:eastAsia="仿宋_GB2312" w:cs="仿宋_GB2312"/>
              <w:bCs/>
              <w:sz w:val="28"/>
              <w:szCs w:val="28"/>
              <w:highlight w:val="none"/>
              <w:lang w:val="en-US" w:eastAsia="zh-CN"/>
            </w:rPr>
            <w:t>2022年度</w:t>
          </w:r>
          <w:r>
            <w:rPr>
              <w:rFonts w:hint="eastAsia" w:ascii="仿宋_GB2312" w:hAnsi="仿宋_GB2312" w:eastAsia="仿宋_GB2312" w:cs="仿宋_GB2312"/>
              <w:bCs/>
              <w:sz w:val="28"/>
              <w:szCs w:val="28"/>
              <w:highlight w:val="none"/>
            </w:rPr>
            <w:t>部门决算情况说明</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_Toc3011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5</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highlight w:val="none"/>
            </w:rPr>
            <w:fldChar w:fldCharType="end"/>
          </w:r>
        </w:p>
        <w:p>
          <w:pPr>
            <w:pStyle w:val="14"/>
            <w:keepNext w:val="0"/>
            <w:keepLines w:val="0"/>
            <w:pageBreakBefore w:val="0"/>
            <w:widowControl w:val="0"/>
            <w:tabs>
              <w:tab w:val="right" w:leader="dot" w:pos="8845"/>
              <w:tab w:val="clear" w:pos="8296"/>
            </w:tabs>
            <w:kinsoku/>
            <w:wordWrap/>
            <w:overflowPunct/>
            <w:topLinePunct w:val="0"/>
            <w:autoSpaceDE/>
            <w:autoSpaceDN/>
            <w:bidi w:val="0"/>
            <w:adjustRightInd/>
            <w:snapToGrid/>
            <w:spacing w:line="510" w:lineRule="exact"/>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highlight w:val="none"/>
            </w:rPr>
            <w:fldChar w:fldCharType="begin"/>
          </w:r>
          <w:r>
            <w:rPr>
              <w:rFonts w:hint="eastAsia" w:ascii="仿宋_GB2312" w:hAnsi="仿宋_GB2312" w:eastAsia="仿宋_GB2312" w:cs="仿宋_GB2312"/>
              <w:sz w:val="28"/>
              <w:szCs w:val="28"/>
              <w:highlight w:val="none"/>
            </w:rPr>
            <w:instrText xml:space="preserve"> HYPERLINK \l _Toc31592 </w:instrText>
          </w:r>
          <w:r>
            <w:rPr>
              <w:rFonts w:hint="eastAsia" w:ascii="仿宋_GB2312" w:hAnsi="仿宋_GB2312" w:eastAsia="仿宋_GB2312" w:cs="仿宋_GB2312"/>
              <w:sz w:val="28"/>
              <w:szCs w:val="28"/>
              <w:highlight w:val="none"/>
            </w:rPr>
            <w:fldChar w:fldCharType="separate"/>
          </w:r>
          <w:r>
            <w:rPr>
              <w:rFonts w:hint="eastAsia" w:ascii="仿宋_GB2312" w:hAnsi="仿宋_GB2312" w:eastAsia="仿宋_GB2312" w:cs="仿宋_GB2312"/>
              <w:sz w:val="28"/>
              <w:szCs w:val="28"/>
            </w:rPr>
            <w:t>一、</w:t>
          </w:r>
          <w:r>
            <w:rPr>
              <w:rFonts w:hint="eastAsia" w:ascii="仿宋_GB2312" w:hAnsi="仿宋_GB2312" w:eastAsia="仿宋_GB2312" w:cs="仿宋_GB2312"/>
              <w:sz w:val="28"/>
              <w:szCs w:val="28"/>
              <w:highlight w:val="none"/>
            </w:rPr>
            <w:t>收入支出决算总体情况说明</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_Toc31592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5</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highlight w:val="none"/>
            </w:rPr>
            <w:fldChar w:fldCharType="end"/>
          </w:r>
        </w:p>
        <w:p>
          <w:pPr>
            <w:pStyle w:val="14"/>
            <w:keepNext w:val="0"/>
            <w:keepLines w:val="0"/>
            <w:pageBreakBefore w:val="0"/>
            <w:widowControl w:val="0"/>
            <w:tabs>
              <w:tab w:val="right" w:leader="dot" w:pos="8845"/>
              <w:tab w:val="clear" w:pos="8296"/>
            </w:tabs>
            <w:kinsoku/>
            <w:wordWrap/>
            <w:overflowPunct/>
            <w:topLinePunct w:val="0"/>
            <w:autoSpaceDE/>
            <w:autoSpaceDN/>
            <w:bidi w:val="0"/>
            <w:adjustRightInd/>
            <w:snapToGrid/>
            <w:spacing w:line="510" w:lineRule="exact"/>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highlight w:val="none"/>
            </w:rPr>
            <w:fldChar w:fldCharType="begin"/>
          </w:r>
          <w:r>
            <w:rPr>
              <w:rFonts w:hint="eastAsia" w:ascii="仿宋_GB2312" w:hAnsi="仿宋_GB2312" w:eastAsia="仿宋_GB2312" w:cs="仿宋_GB2312"/>
              <w:sz w:val="28"/>
              <w:szCs w:val="28"/>
              <w:highlight w:val="none"/>
            </w:rPr>
            <w:instrText xml:space="preserve"> HYPERLINK \l _Toc10905 </w:instrText>
          </w:r>
          <w:r>
            <w:rPr>
              <w:rFonts w:hint="eastAsia" w:ascii="仿宋_GB2312" w:hAnsi="仿宋_GB2312" w:eastAsia="仿宋_GB2312" w:cs="仿宋_GB2312"/>
              <w:sz w:val="28"/>
              <w:szCs w:val="28"/>
              <w:highlight w:val="none"/>
            </w:rPr>
            <w:fldChar w:fldCharType="separate"/>
          </w:r>
          <w:r>
            <w:rPr>
              <w:rFonts w:hint="eastAsia" w:ascii="仿宋_GB2312" w:hAnsi="仿宋_GB2312" w:eastAsia="仿宋_GB2312" w:cs="仿宋_GB2312"/>
              <w:sz w:val="28"/>
              <w:szCs w:val="28"/>
            </w:rPr>
            <w:t>二、</w:t>
          </w:r>
          <w:r>
            <w:rPr>
              <w:rFonts w:hint="eastAsia" w:ascii="仿宋_GB2312" w:hAnsi="仿宋_GB2312" w:eastAsia="仿宋_GB2312" w:cs="仿宋_GB2312"/>
              <w:sz w:val="28"/>
              <w:szCs w:val="28"/>
              <w:highlight w:val="none"/>
            </w:rPr>
            <w:t>收入决算情况说明</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_Toc10905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5</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highlight w:val="none"/>
            </w:rPr>
            <w:fldChar w:fldCharType="end"/>
          </w:r>
        </w:p>
        <w:p>
          <w:pPr>
            <w:pStyle w:val="14"/>
            <w:keepNext w:val="0"/>
            <w:keepLines w:val="0"/>
            <w:pageBreakBefore w:val="0"/>
            <w:widowControl w:val="0"/>
            <w:tabs>
              <w:tab w:val="right" w:leader="dot" w:pos="8845"/>
              <w:tab w:val="clear" w:pos="8296"/>
            </w:tabs>
            <w:kinsoku/>
            <w:wordWrap/>
            <w:overflowPunct/>
            <w:topLinePunct w:val="0"/>
            <w:autoSpaceDE/>
            <w:autoSpaceDN/>
            <w:bidi w:val="0"/>
            <w:adjustRightInd/>
            <w:snapToGrid/>
            <w:spacing w:line="510" w:lineRule="exact"/>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highlight w:val="none"/>
            </w:rPr>
            <w:fldChar w:fldCharType="begin"/>
          </w:r>
          <w:r>
            <w:rPr>
              <w:rFonts w:hint="eastAsia" w:ascii="仿宋_GB2312" w:hAnsi="仿宋_GB2312" w:eastAsia="仿宋_GB2312" w:cs="仿宋_GB2312"/>
              <w:sz w:val="28"/>
              <w:szCs w:val="28"/>
              <w:highlight w:val="none"/>
            </w:rPr>
            <w:instrText xml:space="preserve"> HYPERLINK \l _Toc9556 </w:instrText>
          </w:r>
          <w:r>
            <w:rPr>
              <w:rFonts w:hint="eastAsia" w:ascii="仿宋_GB2312" w:hAnsi="仿宋_GB2312" w:eastAsia="仿宋_GB2312" w:cs="仿宋_GB2312"/>
              <w:sz w:val="28"/>
              <w:szCs w:val="28"/>
              <w:highlight w:val="none"/>
            </w:rPr>
            <w:fldChar w:fldCharType="separate"/>
          </w:r>
          <w:r>
            <w:rPr>
              <w:rFonts w:hint="eastAsia" w:ascii="仿宋_GB2312" w:hAnsi="仿宋_GB2312" w:eastAsia="仿宋_GB2312" w:cs="仿宋_GB2312"/>
              <w:sz w:val="28"/>
              <w:szCs w:val="28"/>
            </w:rPr>
            <w:t>三、</w:t>
          </w:r>
          <w:r>
            <w:rPr>
              <w:rFonts w:hint="eastAsia" w:ascii="仿宋_GB2312" w:hAnsi="仿宋_GB2312" w:eastAsia="仿宋_GB2312" w:cs="仿宋_GB2312"/>
              <w:sz w:val="28"/>
              <w:szCs w:val="28"/>
              <w:highlight w:val="none"/>
            </w:rPr>
            <w:t>支出决算情况说明</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_Toc9556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6</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highlight w:val="none"/>
            </w:rPr>
            <w:fldChar w:fldCharType="end"/>
          </w:r>
        </w:p>
        <w:p>
          <w:pPr>
            <w:pStyle w:val="14"/>
            <w:keepNext w:val="0"/>
            <w:keepLines w:val="0"/>
            <w:pageBreakBefore w:val="0"/>
            <w:widowControl w:val="0"/>
            <w:tabs>
              <w:tab w:val="right" w:leader="dot" w:pos="8845"/>
              <w:tab w:val="clear" w:pos="8296"/>
            </w:tabs>
            <w:kinsoku/>
            <w:wordWrap/>
            <w:overflowPunct/>
            <w:topLinePunct w:val="0"/>
            <w:autoSpaceDE/>
            <w:autoSpaceDN/>
            <w:bidi w:val="0"/>
            <w:adjustRightInd/>
            <w:snapToGrid/>
            <w:spacing w:line="510" w:lineRule="exact"/>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highlight w:val="none"/>
            </w:rPr>
            <w:fldChar w:fldCharType="begin"/>
          </w:r>
          <w:r>
            <w:rPr>
              <w:rFonts w:hint="eastAsia" w:ascii="仿宋_GB2312" w:hAnsi="仿宋_GB2312" w:eastAsia="仿宋_GB2312" w:cs="仿宋_GB2312"/>
              <w:sz w:val="28"/>
              <w:szCs w:val="28"/>
              <w:highlight w:val="none"/>
            </w:rPr>
            <w:instrText xml:space="preserve"> HYPERLINK \l _Toc21548 </w:instrText>
          </w:r>
          <w:r>
            <w:rPr>
              <w:rFonts w:hint="eastAsia" w:ascii="仿宋_GB2312" w:hAnsi="仿宋_GB2312" w:eastAsia="仿宋_GB2312" w:cs="仿宋_GB2312"/>
              <w:sz w:val="28"/>
              <w:szCs w:val="28"/>
              <w:highlight w:val="none"/>
            </w:rPr>
            <w:fldChar w:fldCharType="separate"/>
          </w:r>
          <w:r>
            <w:rPr>
              <w:rFonts w:hint="eastAsia" w:ascii="仿宋_GB2312" w:hAnsi="仿宋_GB2312" w:eastAsia="仿宋_GB2312" w:cs="仿宋_GB2312"/>
              <w:sz w:val="28"/>
              <w:szCs w:val="28"/>
              <w:highlight w:val="none"/>
            </w:rPr>
            <w:t>四、财政拨款收入支出决算总体情况说明</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_Toc21548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6</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highlight w:val="none"/>
            </w:rPr>
            <w:fldChar w:fldCharType="end"/>
          </w:r>
        </w:p>
        <w:p>
          <w:pPr>
            <w:pStyle w:val="14"/>
            <w:keepNext w:val="0"/>
            <w:keepLines w:val="0"/>
            <w:pageBreakBefore w:val="0"/>
            <w:widowControl w:val="0"/>
            <w:tabs>
              <w:tab w:val="right" w:leader="dot" w:pos="8845"/>
              <w:tab w:val="clear" w:pos="8296"/>
            </w:tabs>
            <w:kinsoku/>
            <w:wordWrap/>
            <w:overflowPunct/>
            <w:topLinePunct w:val="0"/>
            <w:autoSpaceDE/>
            <w:autoSpaceDN/>
            <w:bidi w:val="0"/>
            <w:adjustRightInd/>
            <w:snapToGrid/>
            <w:spacing w:line="510" w:lineRule="exact"/>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highlight w:val="none"/>
            </w:rPr>
            <w:fldChar w:fldCharType="begin"/>
          </w:r>
          <w:r>
            <w:rPr>
              <w:rFonts w:hint="eastAsia" w:ascii="仿宋_GB2312" w:hAnsi="仿宋_GB2312" w:eastAsia="仿宋_GB2312" w:cs="仿宋_GB2312"/>
              <w:sz w:val="28"/>
              <w:szCs w:val="28"/>
              <w:highlight w:val="none"/>
            </w:rPr>
            <w:instrText xml:space="preserve"> HYPERLINK \l _Toc699 </w:instrText>
          </w:r>
          <w:r>
            <w:rPr>
              <w:rFonts w:hint="eastAsia" w:ascii="仿宋_GB2312" w:hAnsi="仿宋_GB2312" w:eastAsia="仿宋_GB2312" w:cs="仿宋_GB2312"/>
              <w:sz w:val="28"/>
              <w:szCs w:val="28"/>
              <w:highlight w:val="none"/>
            </w:rPr>
            <w:fldChar w:fldCharType="separate"/>
          </w:r>
          <w:r>
            <w:rPr>
              <w:rFonts w:hint="eastAsia" w:ascii="仿宋_GB2312" w:hAnsi="仿宋_GB2312" w:eastAsia="仿宋_GB2312" w:cs="仿宋_GB2312"/>
              <w:sz w:val="28"/>
              <w:szCs w:val="28"/>
              <w:highlight w:val="none"/>
            </w:rPr>
            <w:t>五、一般公共预算财政拨款支出决算情况说明</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_Toc699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6</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highlight w:val="none"/>
            </w:rPr>
            <w:fldChar w:fldCharType="end"/>
          </w:r>
        </w:p>
        <w:p>
          <w:pPr>
            <w:pStyle w:val="14"/>
            <w:keepNext w:val="0"/>
            <w:keepLines w:val="0"/>
            <w:pageBreakBefore w:val="0"/>
            <w:widowControl w:val="0"/>
            <w:tabs>
              <w:tab w:val="right" w:leader="dot" w:pos="8845"/>
              <w:tab w:val="clear" w:pos="8296"/>
            </w:tabs>
            <w:kinsoku/>
            <w:wordWrap/>
            <w:overflowPunct/>
            <w:topLinePunct w:val="0"/>
            <w:autoSpaceDE/>
            <w:autoSpaceDN/>
            <w:bidi w:val="0"/>
            <w:adjustRightInd/>
            <w:snapToGrid/>
            <w:spacing w:line="510" w:lineRule="exact"/>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highlight w:val="none"/>
            </w:rPr>
            <w:fldChar w:fldCharType="begin"/>
          </w:r>
          <w:r>
            <w:rPr>
              <w:rFonts w:hint="eastAsia" w:ascii="仿宋_GB2312" w:hAnsi="仿宋_GB2312" w:eastAsia="仿宋_GB2312" w:cs="仿宋_GB2312"/>
              <w:sz w:val="28"/>
              <w:szCs w:val="28"/>
              <w:highlight w:val="none"/>
            </w:rPr>
            <w:instrText xml:space="preserve"> HYPERLINK \l _Toc15674 </w:instrText>
          </w:r>
          <w:r>
            <w:rPr>
              <w:rFonts w:hint="eastAsia" w:ascii="仿宋_GB2312" w:hAnsi="仿宋_GB2312" w:eastAsia="仿宋_GB2312" w:cs="仿宋_GB2312"/>
              <w:sz w:val="28"/>
              <w:szCs w:val="28"/>
              <w:highlight w:val="none"/>
            </w:rPr>
            <w:fldChar w:fldCharType="separate"/>
          </w:r>
          <w:r>
            <w:rPr>
              <w:rFonts w:hint="eastAsia" w:ascii="仿宋_GB2312" w:hAnsi="仿宋_GB2312" w:eastAsia="仿宋_GB2312" w:cs="仿宋_GB2312"/>
              <w:bCs/>
              <w:sz w:val="28"/>
              <w:szCs w:val="28"/>
              <w:highlight w:val="none"/>
            </w:rPr>
            <w:t>（一）一般公共预算财政拨款支出决算总体情况</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_Toc15674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6</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highlight w:val="none"/>
            </w:rPr>
            <w:fldChar w:fldCharType="end"/>
          </w:r>
        </w:p>
        <w:p>
          <w:pPr>
            <w:pStyle w:val="14"/>
            <w:keepNext w:val="0"/>
            <w:keepLines w:val="0"/>
            <w:pageBreakBefore w:val="0"/>
            <w:widowControl w:val="0"/>
            <w:tabs>
              <w:tab w:val="right" w:leader="dot" w:pos="8845"/>
              <w:tab w:val="clear" w:pos="8296"/>
            </w:tabs>
            <w:kinsoku/>
            <w:wordWrap/>
            <w:overflowPunct/>
            <w:topLinePunct w:val="0"/>
            <w:autoSpaceDE/>
            <w:autoSpaceDN/>
            <w:bidi w:val="0"/>
            <w:adjustRightInd/>
            <w:snapToGrid/>
            <w:spacing w:line="510" w:lineRule="exact"/>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highlight w:val="none"/>
            </w:rPr>
            <w:fldChar w:fldCharType="begin"/>
          </w:r>
          <w:r>
            <w:rPr>
              <w:rFonts w:hint="eastAsia" w:ascii="仿宋_GB2312" w:hAnsi="仿宋_GB2312" w:eastAsia="仿宋_GB2312" w:cs="仿宋_GB2312"/>
              <w:sz w:val="28"/>
              <w:szCs w:val="28"/>
              <w:highlight w:val="none"/>
            </w:rPr>
            <w:instrText xml:space="preserve"> HYPERLINK \l _Toc5355 </w:instrText>
          </w:r>
          <w:r>
            <w:rPr>
              <w:rFonts w:hint="eastAsia" w:ascii="仿宋_GB2312" w:hAnsi="仿宋_GB2312" w:eastAsia="仿宋_GB2312" w:cs="仿宋_GB2312"/>
              <w:sz w:val="28"/>
              <w:szCs w:val="28"/>
              <w:highlight w:val="none"/>
            </w:rPr>
            <w:fldChar w:fldCharType="separate"/>
          </w:r>
          <w:r>
            <w:rPr>
              <w:rFonts w:hint="eastAsia" w:ascii="仿宋_GB2312" w:hAnsi="仿宋_GB2312" w:eastAsia="仿宋_GB2312" w:cs="仿宋_GB2312"/>
              <w:bCs/>
              <w:sz w:val="28"/>
              <w:szCs w:val="28"/>
              <w:highlight w:val="none"/>
            </w:rPr>
            <w:t>（二）一般公共预算财政拨款支出决算结构情况</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_Toc5355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7</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highlight w:val="none"/>
            </w:rPr>
            <w:fldChar w:fldCharType="end"/>
          </w:r>
        </w:p>
        <w:p>
          <w:pPr>
            <w:pStyle w:val="14"/>
            <w:keepNext w:val="0"/>
            <w:keepLines w:val="0"/>
            <w:pageBreakBefore w:val="0"/>
            <w:widowControl w:val="0"/>
            <w:tabs>
              <w:tab w:val="right" w:leader="dot" w:pos="8845"/>
              <w:tab w:val="clear" w:pos="8296"/>
            </w:tabs>
            <w:kinsoku/>
            <w:wordWrap/>
            <w:overflowPunct/>
            <w:topLinePunct w:val="0"/>
            <w:autoSpaceDE/>
            <w:autoSpaceDN/>
            <w:bidi w:val="0"/>
            <w:adjustRightInd/>
            <w:snapToGrid/>
            <w:spacing w:line="510" w:lineRule="exact"/>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highlight w:val="none"/>
            </w:rPr>
            <w:fldChar w:fldCharType="begin"/>
          </w:r>
          <w:r>
            <w:rPr>
              <w:rFonts w:hint="eastAsia" w:ascii="仿宋_GB2312" w:hAnsi="仿宋_GB2312" w:eastAsia="仿宋_GB2312" w:cs="仿宋_GB2312"/>
              <w:sz w:val="28"/>
              <w:szCs w:val="28"/>
              <w:highlight w:val="none"/>
            </w:rPr>
            <w:instrText xml:space="preserve"> HYPERLINK \l _Toc11065 </w:instrText>
          </w:r>
          <w:r>
            <w:rPr>
              <w:rFonts w:hint="eastAsia" w:ascii="仿宋_GB2312" w:hAnsi="仿宋_GB2312" w:eastAsia="仿宋_GB2312" w:cs="仿宋_GB2312"/>
              <w:sz w:val="28"/>
              <w:szCs w:val="28"/>
              <w:highlight w:val="none"/>
            </w:rPr>
            <w:fldChar w:fldCharType="separate"/>
          </w:r>
          <w:r>
            <w:rPr>
              <w:rFonts w:hint="eastAsia" w:ascii="仿宋_GB2312" w:hAnsi="仿宋_GB2312" w:eastAsia="仿宋_GB2312" w:cs="仿宋_GB2312"/>
              <w:bCs/>
              <w:sz w:val="28"/>
              <w:szCs w:val="28"/>
              <w:highlight w:val="none"/>
            </w:rPr>
            <w:t>（三）一般公共预算财政拨款支出决算具体情况</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_Toc11065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7</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highlight w:val="none"/>
            </w:rPr>
            <w:fldChar w:fldCharType="end"/>
          </w:r>
        </w:p>
        <w:p>
          <w:pPr>
            <w:pStyle w:val="14"/>
            <w:keepNext w:val="0"/>
            <w:keepLines w:val="0"/>
            <w:pageBreakBefore w:val="0"/>
            <w:widowControl w:val="0"/>
            <w:tabs>
              <w:tab w:val="right" w:leader="dot" w:pos="8845"/>
              <w:tab w:val="clear" w:pos="8296"/>
            </w:tabs>
            <w:kinsoku/>
            <w:wordWrap/>
            <w:overflowPunct/>
            <w:topLinePunct w:val="0"/>
            <w:autoSpaceDE/>
            <w:autoSpaceDN/>
            <w:bidi w:val="0"/>
            <w:adjustRightInd/>
            <w:snapToGrid/>
            <w:spacing w:line="510" w:lineRule="exact"/>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highlight w:val="none"/>
            </w:rPr>
            <w:fldChar w:fldCharType="begin"/>
          </w:r>
          <w:r>
            <w:rPr>
              <w:rFonts w:hint="eastAsia" w:ascii="仿宋_GB2312" w:hAnsi="仿宋_GB2312" w:eastAsia="仿宋_GB2312" w:cs="仿宋_GB2312"/>
              <w:sz w:val="28"/>
              <w:szCs w:val="28"/>
              <w:highlight w:val="none"/>
            </w:rPr>
            <w:instrText xml:space="preserve"> HYPERLINK \l _Toc14176 </w:instrText>
          </w:r>
          <w:r>
            <w:rPr>
              <w:rFonts w:hint="eastAsia" w:ascii="仿宋_GB2312" w:hAnsi="仿宋_GB2312" w:eastAsia="仿宋_GB2312" w:cs="仿宋_GB2312"/>
              <w:sz w:val="28"/>
              <w:szCs w:val="28"/>
              <w:highlight w:val="none"/>
            </w:rPr>
            <w:fldChar w:fldCharType="separate"/>
          </w:r>
          <w:r>
            <w:rPr>
              <w:rFonts w:hint="eastAsia" w:ascii="仿宋_GB2312" w:hAnsi="仿宋_GB2312" w:eastAsia="仿宋_GB2312" w:cs="仿宋_GB2312"/>
              <w:sz w:val="28"/>
              <w:szCs w:val="28"/>
              <w:highlight w:val="none"/>
            </w:rPr>
            <w:t>六、一般公共预算财政拨款基本支出决算情况说明</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_Toc14176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9</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highlight w:val="none"/>
            </w:rPr>
            <w:fldChar w:fldCharType="end"/>
          </w:r>
        </w:p>
        <w:p>
          <w:pPr>
            <w:pStyle w:val="14"/>
            <w:keepNext w:val="0"/>
            <w:keepLines w:val="0"/>
            <w:pageBreakBefore w:val="0"/>
            <w:widowControl w:val="0"/>
            <w:tabs>
              <w:tab w:val="right" w:leader="dot" w:pos="8845"/>
              <w:tab w:val="clear" w:pos="8296"/>
            </w:tabs>
            <w:kinsoku/>
            <w:wordWrap/>
            <w:overflowPunct/>
            <w:topLinePunct w:val="0"/>
            <w:autoSpaceDE/>
            <w:autoSpaceDN/>
            <w:bidi w:val="0"/>
            <w:adjustRightInd/>
            <w:snapToGrid/>
            <w:spacing w:line="510" w:lineRule="exact"/>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highlight w:val="none"/>
            </w:rPr>
            <w:fldChar w:fldCharType="begin"/>
          </w:r>
          <w:r>
            <w:rPr>
              <w:rFonts w:hint="eastAsia" w:ascii="仿宋_GB2312" w:hAnsi="仿宋_GB2312" w:eastAsia="仿宋_GB2312" w:cs="仿宋_GB2312"/>
              <w:sz w:val="28"/>
              <w:szCs w:val="28"/>
              <w:highlight w:val="none"/>
            </w:rPr>
            <w:instrText xml:space="preserve"> HYPERLINK \l _Toc28714 </w:instrText>
          </w:r>
          <w:r>
            <w:rPr>
              <w:rFonts w:hint="eastAsia" w:ascii="仿宋_GB2312" w:hAnsi="仿宋_GB2312" w:eastAsia="仿宋_GB2312" w:cs="仿宋_GB2312"/>
              <w:sz w:val="28"/>
              <w:szCs w:val="28"/>
              <w:highlight w:val="none"/>
            </w:rPr>
            <w:fldChar w:fldCharType="separate"/>
          </w:r>
          <w:r>
            <w:rPr>
              <w:rFonts w:hint="eastAsia" w:ascii="仿宋_GB2312" w:hAnsi="仿宋_GB2312" w:eastAsia="仿宋_GB2312" w:cs="仿宋_GB2312"/>
              <w:sz w:val="28"/>
              <w:szCs w:val="28"/>
              <w:highlight w:val="none"/>
            </w:rPr>
            <w:t>七、财政拨款“三公”经费支出决算情况说明</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_Toc28714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10</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highlight w:val="none"/>
            </w:rPr>
            <w:fldChar w:fldCharType="end"/>
          </w:r>
        </w:p>
        <w:p>
          <w:pPr>
            <w:pStyle w:val="14"/>
            <w:keepNext w:val="0"/>
            <w:keepLines w:val="0"/>
            <w:pageBreakBefore w:val="0"/>
            <w:widowControl w:val="0"/>
            <w:tabs>
              <w:tab w:val="right" w:leader="dot" w:pos="8845"/>
              <w:tab w:val="clear" w:pos="8296"/>
            </w:tabs>
            <w:kinsoku/>
            <w:wordWrap/>
            <w:overflowPunct/>
            <w:topLinePunct w:val="0"/>
            <w:autoSpaceDE/>
            <w:autoSpaceDN/>
            <w:bidi w:val="0"/>
            <w:adjustRightInd/>
            <w:snapToGrid/>
            <w:spacing w:line="510" w:lineRule="exact"/>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highlight w:val="none"/>
            </w:rPr>
            <w:fldChar w:fldCharType="begin"/>
          </w:r>
          <w:r>
            <w:rPr>
              <w:rFonts w:hint="eastAsia" w:ascii="仿宋_GB2312" w:hAnsi="仿宋_GB2312" w:eastAsia="仿宋_GB2312" w:cs="仿宋_GB2312"/>
              <w:sz w:val="28"/>
              <w:szCs w:val="28"/>
              <w:highlight w:val="none"/>
            </w:rPr>
            <w:instrText xml:space="preserve"> HYPERLINK \l _Toc3772 </w:instrText>
          </w:r>
          <w:r>
            <w:rPr>
              <w:rFonts w:hint="eastAsia" w:ascii="仿宋_GB2312" w:hAnsi="仿宋_GB2312" w:eastAsia="仿宋_GB2312" w:cs="仿宋_GB2312"/>
              <w:sz w:val="28"/>
              <w:szCs w:val="28"/>
              <w:highlight w:val="none"/>
            </w:rPr>
            <w:fldChar w:fldCharType="separate"/>
          </w:r>
          <w:r>
            <w:rPr>
              <w:rFonts w:hint="eastAsia" w:ascii="仿宋_GB2312" w:hAnsi="仿宋_GB2312" w:eastAsia="仿宋_GB2312" w:cs="仿宋_GB2312"/>
              <w:bCs/>
              <w:sz w:val="28"/>
              <w:szCs w:val="28"/>
              <w:highlight w:val="none"/>
            </w:rPr>
            <w:t>（一）“三公”经费财政拨款支出决算总体情况说明</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_Toc3772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10</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highlight w:val="none"/>
            </w:rPr>
            <w:fldChar w:fldCharType="end"/>
          </w:r>
        </w:p>
        <w:p>
          <w:pPr>
            <w:pStyle w:val="14"/>
            <w:keepNext w:val="0"/>
            <w:keepLines w:val="0"/>
            <w:pageBreakBefore w:val="0"/>
            <w:widowControl w:val="0"/>
            <w:tabs>
              <w:tab w:val="right" w:leader="dot" w:pos="8845"/>
              <w:tab w:val="clear" w:pos="8296"/>
            </w:tabs>
            <w:kinsoku/>
            <w:wordWrap/>
            <w:overflowPunct/>
            <w:topLinePunct w:val="0"/>
            <w:autoSpaceDE/>
            <w:autoSpaceDN/>
            <w:bidi w:val="0"/>
            <w:adjustRightInd/>
            <w:snapToGrid/>
            <w:spacing w:line="510" w:lineRule="exact"/>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highlight w:val="none"/>
            </w:rPr>
            <w:fldChar w:fldCharType="begin"/>
          </w:r>
          <w:r>
            <w:rPr>
              <w:rFonts w:hint="eastAsia" w:ascii="仿宋_GB2312" w:hAnsi="仿宋_GB2312" w:eastAsia="仿宋_GB2312" w:cs="仿宋_GB2312"/>
              <w:sz w:val="28"/>
              <w:szCs w:val="28"/>
              <w:highlight w:val="none"/>
            </w:rPr>
            <w:instrText xml:space="preserve"> HYPERLINK \l _Toc30250 </w:instrText>
          </w:r>
          <w:r>
            <w:rPr>
              <w:rFonts w:hint="eastAsia" w:ascii="仿宋_GB2312" w:hAnsi="仿宋_GB2312" w:eastAsia="仿宋_GB2312" w:cs="仿宋_GB2312"/>
              <w:sz w:val="28"/>
              <w:szCs w:val="28"/>
              <w:highlight w:val="none"/>
            </w:rPr>
            <w:fldChar w:fldCharType="separate"/>
          </w:r>
          <w:r>
            <w:rPr>
              <w:rFonts w:hint="eastAsia" w:ascii="仿宋_GB2312" w:hAnsi="仿宋_GB2312" w:eastAsia="仿宋_GB2312" w:cs="仿宋_GB2312"/>
              <w:bCs/>
              <w:sz w:val="28"/>
              <w:szCs w:val="28"/>
              <w:highlight w:val="none"/>
            </w:rPr>
            <w:t>（二）“三公”经费财政拨款支出决算具体情况说明</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_Toc30250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10</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highlight w:val="none"/>
            </w:rPr>
            <w:fldChar w:fldCharType="end"/>
          </w:r>
        </w:p>
        <w:p>
          <w:pPr>
            <w:pStyle w:val="14"/>
            <w:keepNext w:val="0"/>
            <w:keepLines w:val="0"/>
            <w:pageBreakBefore w:val="0"/>
            <w:widowControl w:val="0"/>
            <w:tabs>
              <w:tab w:val="right" w:leader="dot" w:pos="8845"/>
              <w:tab w:val="clear" w:pos="8296"/>
            </w:tabs>
            <w:kinsoku/>
            <w:wordWrap/>
            <w:overflowPunct/>
            <w:topLinePunct w:val="0"/>
            <w:autoSpaceDE/>
            <w:autoSpaceDN/>
            <w:bidi w:val="0"/>
            <w:adjustRightInd/>
            <w:snapToGrid/>
            <w:spacing w:line="510" w:lineRule="exact"/>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highlight w:val="none"/>
            </w:rPr>
            <w:fldChar w:fldCharType="begin"/>
          </w:r>
          <w:r>
            <w:rPr>
              <w:rFonts w:hint="eastAsia" w:ascii="仿宋_GB2312" w:hAnsi="仿宋_GB2312" w:eastAsia="仿宋_GB2312" w:cs="仿宋_GB2312"/>
              <w:sz w:val="28"/>
              <w:szCs w:val="28"/>
              <w:highlight w:val="none"/>
            </w:rPr>
            <w:instrText xml:space="preserve"> HYPERLINK \l _Toc23717 </w:instrText>
          </w:r>
          <w:r>
            <w:rPr>
              <w:rFonts w:hint="eastAsia" w:ascii="仿宋_GB2312" w:hAnsi="仿宋_GB2312" w:eastAsia="仿宋_GB2312" w:cs="仿宋_GB2312"/>
              <w:sz w:val="28"/>
              <w:szCs w:val="28"/>
              <w:highlight w:val="none"/>
            </w:rPr>
            <w:fldChar w:fldCharType="separate"/>
          </w:r>
          <w:r>
            <w:rPr>
              <w:rFonts w:hint="eastAsia" w:ascii="仿宋_GB2312" w:hAnsi="仿宋_GB2312" w:eastAsia="仿宋_GB2312" w:cs="仿宋_GB2312"/>
              <w:sz w:val="28"/>
              <w:szCs w:val="28"/>
              <w:highlight w:val="none"/>
            </w:rPr>
            <w:t>八、政府性基金预算支出决算情况说明</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_Toc23717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11</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highlight w:val="none"/>
            </w:rPr>
            <w:fldChar w:fldCharType="end"/>
          </w:r>
        </w:p>
        <w:p>
          <w:pPr>
            <w:pStyle w:val="14"/>
            <w:keepNext w:val="0"/>
            <w:keepLines w:val="0"/>
            <w:pageBreakBefore w:val="0"/>
            <w:widowControl w:val="0"/>
            <w:tabs>
              <w:tab w:val="right" w:leader="dot" w:pos="8845"/>
              <w:tab w:val="clear" w:pos="8296"/>
            </w:tabs>
            <w:kinsoku/>
            <w:wordWrap/>
            <w:overflowPunct/>
            <w:topLinePunct w:val="0"/>
            <w:autoSpaceDE/>
            <w:autoSpaceDN/>
            <w:bidi w:val="0"/>
            <w:adjustRightInd/>
            <w:snapToGrid/>
            <w:spacing w:line="510" w:lineRule="exact"/>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highlight w:val="none"/>
            </w:rPr>
            <w:fldChar w:fldCharType="begin"/>
          </w:r>
          <w:r>
            <w:rPr>
              <w:rFonts w:hint="eastAsia" w:ascii="仿宋_GB2312" w:hAnsi="仿宋_GB2312" w:eastAsia="仿宋_GB2312" w:cs="仿宋_GB2312"/>
              <w:sz w:val="28"/>
              <w:szCs w:val="28"/>
              <w:highlight w:val="none"/>
            </w:rPr>
            <w:instrText xml:space="preserve"> HYPERLINK \l _Toc24661 </w:instrText>
          </w:r>
          <w:r>
            <w:rPr>
              <w:rFonts w:hint="eastAsia" w:ascii="仿宋_GB2312" w:hAnsi="仿宋_GB2312" w:eastAsia="仿宋_GB2312" w:cs="仿宋_GB2312"/>
              <w:sz w:val="28"/>
              <w:szCs w:val="28"/>
              <w:highlight w:val="none"/>
            </w:rPr>
            <w:fldChar w:fldCharType="separate"/>
          </w:r>
          <w:r>
            <w:rPr>
              <w:rFonts w:hint="eastAsia" w:ascii="仿宋_GB2312" w:hAnsi="仿宋_GB2312" w:eastAsia="仿宋_GB2312" w:cs="仿宋_GB2312"/>
              <w:sz w:val="28"/>
              <w:szCs w:val="28"/>
            </w:rPr>
            <w:t xml:space="preserve">九、 </w:t>
          </w:r>
          <w:r>
            <w:rPr>
              <w:rFonts w:hint="eastAsia" w:ascii="仿宋_GB2312" w:hAnsi="仿宋_GB2312" w:eastAsia="仿宋_GB2312" w:cs="仿宋_GB2312"/>
              <w:sz w:val="28"/>
              <w:szCs w:val="28"/>
              <w:highlight w:val="none"/>
            </w:rPr>
            <w:t>国有资本经营预算支出决算情况说明</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_Toc24661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12</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highlight w:val="none"/>
            </w:rPr>
            <w:fldChar w:fldCharType="end"/>
          </w:r>
        </w:p>
        <w:p>
          <w:pPr>
            <w:pStyle w:val="14"/>
            <w:keepNext w:val="0"/>
            <w:keepLines w:val="0"/>
            <w:pageBreakBefore w:val="0"/>
            <w:widowControl w:val="0"/>
            <w:tabs>
              <w:tab w:val="right" w:leader="dot" w:pos="8845"/>
              <w:tab w:val="clear" w:pos="8296"/>
            </w:tabs>
            <w:kinsoku/>
            <w:wordWrap/>
            <w:overflowPunct/>
            <w:topLinePunct w:val="0"/>
            <w:autoSpaceDE/>
            <w:autoSpaceDN/>
            <w:bidi w:val="0"/>
            <w:adjustRightInd/>
            <w:snapToGrid/>
            <w:spacing w:line="510" w:lineRule="exact"/>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highlight w:val="none"/>
            </w:rPr>
            <w:fldChar w:fldCharType="begin"/>
          </w:r>
          <w:r>
            <w:rPr>
              <w:rFonts w:hint="eastAsia" w:ascii="仿宋_GB2312" w:hAnsi="仿宋_GB2312" w:eastAsia="仿宋_GB2312" w:cs="仿宋_GB2312"/>
              <w:sz w:val="28"/>
              <w:szCs w:val="28"/>
              <w:highlight w:val="none"/>
            </w:rPr>
            <w:instrText xml:space="preserve"> HYPERLINK \l _Toc18317 </w:instrText>
          </w:r>
          <w:r>
            <w:rPr>
              <w:rFonts w:hint="eastAsia" w:ascii="仿宋_GB2312" w:hAnsi="仿宋_GB2312" w:eastAsia="仿宋_GB2312" w:cs="仿宋_GB2312"/>
              <w:sz w:val="28"/>
              <w:szCs w:val="28"/>
              <w:highlight w:val="none"/>
            </w:rPr>
            <w:fldChar w:fldCharType="separate"/>
          </w:r>
          <w:r>
            <w:rPr>
              <w:rFonts w:hint="eastAsia" w:ascii="仿宋_GB2312" w:hAnsi="仿宋_GB2312" w:eastAsia="仿宋_GB2312" w:cs="仿宋_GB2312"/>
              <w:sz w:val="28"/>
              <w:szCs w:val="28"/>
            </w:rPr>
            <w:t xml:space="preserve">十、 </w:t>
          </w:r>
          <w:r>
            <w:rPr>
              <w:rFonts w:hint="eastAsia" w:ascii="仿宋_GB2312" w:hAnsi="仿宋_GB2312" w:eastAsia="仿宋_GB2312" w:cs="仿宋_GB2312"/>
              <w:sz w:val="28"/>
              <w:szCs w:val="28"/>
              <w:highlight w:val="none"/>
            </w:rPr>
            <w:t>其他重要事项的情况说明</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_Toc18317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12</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highlight w:val="none"/>
            </w:rPr>
            <w:fldChar w:fldCharType="end"/>
          </w:r>
        </w:p>
        <w:p>
          <w:pPr>
            <w:pStyle w:val="14"/>
            <w:keepNext w:val="0"/>
            <w:keepLines w:val="0"/>
            <w:pageBreakBefore w:val="0"/>
            <w:widowControl w:val="0"/>
            <w:tabs>
              <w:tab w:val="right" w:leader="dot" w:pos="8845"/>
              <w:tab w:val="clear" w:pos="8296"/>
            </w:tabs>
            <w:kinsoku/>
            <w:wordWrap/>
            <w:overflowPunct/>
            <w:topLinePunct w:val="0"/>
            <w:autoSpaceDE/>
            <w:autoSpaceDN/>
            <w:bidi w:val="0"/>
            <w:adjustRightInd/>
            <w:snapToGrid/>
            <w:spacing w:line="510" w:lineRule="exact"/>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highlight w:val="none"/>
            </w:rPr>
            <w:fldChar w:fldCharType="begin"/>
          </w:r>
          <w:r>
            <w:rPr>
              <w:rFonts w:hint="eastAsia" w:ascii="仿宋_GB2312" w:hAnsi="仿宋_GB2312" w:eastAsia="仿宋_GB2312" w:cs="仿宋_GB2312"/>
              <w:sz w:val="28"/>
              <w:szCs w:val="28"/>
              <w:highlight w:val="none"/>
            </w:rPr>
            <w:instrText xml:space="preserve"> HYPERLINK \l _Toc13306 </w:instrText>
          </w:r>
          <w:r>
            <w:rPr>
              <w:rFonts w:hint="eastAsia" w:ascii="仿宋_GB2312" w:hAnsi="仿宋_GB2312" w:eastAsia="仿宋_GB2312" w:cs="仿宋_GB2312"/>
              <w:sz w:val="28"/>
              <w:szCs w:val="28"/>
              <w:highlight w:val="none"/>
            </w:rPr>
            <w:fldChar w:fldCharType="separate"/>
          </w:r>
          <w:r>
            <w:rPr>
              <w:rFonts w:hint="eastAsia" w:ascii="仿宋_GB2312" w:hAnsi="仿宋_GB2312" w:eastAsia="仿宋_GB2312" w:cs="仿宋_GB2312"/>
              <w:bCs/>
              <w:sz w:val="28"/>
              <w:szCs w:val="28"/>
              <w:highlight w:val="none"/>
            </w:rPr>
            <w:t>（一）机关运行经费支出情况</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_Toc13306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12</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highlight w:val="none"/>
            </w:rPr>
            <w:fldChar w:fldCharType="end"/>
          </w:r>
        </w:p>
        <w:p>
          <w:pPr>
            <w:pStyle w:val="14"/>
            <w:keepNext w:val="0"/>
            <w:keepLines w:val="0"/>
            <w:pageBreakBefore w:val="0"/>
            <w:widowControl w:val="0"/>
            <w:tabs>
              <w:tab w:val="right" w:leader="dot" w:pos="8845"/>
              <w:tab w:val="clear" w:pos="8296"/>
            </w:tabs>
            <w:kinsoku/>
            <w:wordWrap/>
            <w:overflowPunct/>
            <w:topLinePunct w:val="0"/>
            <w:autoSpaceDE/>
            <w:autoSpaceDN/>
            <w:bidi w:val="0"/>
            <w:adjustRightInd/>
            <w:snapToGrid/>
            <w:spacing w:line="510" w:lineRule="exact"/>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highlight w:val="none"/>
            </w:rPr>
            <w:fldChar w:fldCharType="begin"/>
          </w:r>
          <w:r>
            <w:rPr>
              <w:rFonts w:hint="eastAsia" w:ascii="仿宋_GB2312" w:hAnsi="仿宋_GB2312" w:eastAsia="仿宋_GB2312" w:cs="仿宋_GB2312"/>
              <w:sz w:val="28"/>
              <w:szCs w:val="28"/>
              <w:highlight w:val="none"/>
            </w:rPr>
            <w:instrText xml:space="preserve"> HYPERLINK \l _Toc23976 </w:instrText>
          </w:r>
          <w:r>
            <w:rPr>
              <w:rFonts w:hint="eastAsia" w:ascii="仿宋_GB2312" w:hAnsi="仿宋_GB2312" w:eastAsia="仿宋_GB2312" w:cs="仿宋_GB2312"/>
              <w:sz w:val="28"/>
              <w:szCs w:val="28"/>
              <w:highlight w:val="none"/>
            </w:rPr>
            <w:fldChar w:fldCharType="separate"/>
          </w:r>
          <w:r>
            <w:rPr>
              <w:rFonts w:hint="eastAsia" w:ascii="仿宋_GB2312" w:hAnsi="仿宋_GB2312" w:eastAsia="仿宋_GB2312" w:cs="仿宋_GB2312"/>
              <w:bCs/>
              <w:sz w:val="28"/>
              <w:szCs w:val="28"/>
              <w:highlight w:val="none"/>
            </w:rPr>
            <w:t>（二）政府采购支出情况</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_Toc23976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12</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highlight w:val="none"/>
            </w:rPr>
            <w:fldChar w:fldCharType="end"/>
          </w:r>
        </w:p>
        <w:p>
          <w:pPr>
            <w:pStyle w:val="14"/>
            <w:keepNext w:val="0"/>
            <w:keepLines w:val="0"/>
            <w:pageBreakBefore w:val="0"/>
            <w:widowControl w:val="0"/>
            <w:tabs>
              <w:tab w:val="right" w:leader="dot" w:pos="8845"/>
              <w:tab w:val="clear" w:pos="8296"/>
            </w:tabs>
            <w:kinsoku/>
            <w:wordWrap/>
            <w:overflowPunct/>
            <w:topLinePunct w:val="0"/>
            <w:autoSpaceDE/>
            <w:autoSpaceDN/>
            <w:bidi w:val="0"/>
            <w:adjustRightInd/>
            <w:snapToGrid/>
            <w:spacing w:line="510" w:lineRule="exact"/>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highlight w:val="none"/>
            </w:rPr>
            <w:fldChar w:fldCharType="begin"/>
          </w:r>
          <w:r>
            <w:rPr>
              <w:rFonts w:hint="eastAsia" w:ascii="仿宋_GB2312" w:hAnsi="仿宋_GB2312" w:eastAsia="仿宋_GB2312" w:cs="仿宋_GB2312"/>
              <w:sz w:val="28"/>
              <w:szCs w:val="28"/>
              <w:highlight w:val="none"/>
            </w:rPr>
            <w:instrText xml:space="preserve"> HYPERLINK \l _Toc21550 </w:instrText>
          </w:r>
          <w:r>
            <w:rPr>
              <w:rFonts w:hint="eastAsia" w:ascii="仿宋_GB2312" w:hAnsi="仿宋_GB2312" w:eastAsia="仿宋_GB2312" w:cs="仿宋_GB2312"/>
              <w:sz w:val="28"/>
              <w:szCs w:val="28"/>
              <w:highlight w:val="none"/>
            </w:rPr>
            <w:fldChar w:fldCharType="separate"/>
          </w:r>
          <w:r>
            <w:rPr>
              <w:rFonts w:hint="eastAsia" w:ascii="仿宋_GB2312" w:hAnsi="仿宋_GB2312" w:eastAsia="仿宋_GB2312" w:cs="仿宋_GB2312"/>
              <w:bCs/>
              <w:sz w:val="28"/>
              <w:szCs w:val="28"/>
              <w:highlight w:val="none"/>
            </w:rPr>
            <w:t>（三）国有资产占有使用情况</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_Toc21550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12</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highlight w:val="none"/>
            </w:rPr>
            <w:fldChar w:fldCharType="end"/>
          </w:r>
        </w:p>
        <w:p>
          <w:pPr>
            <w:pStyle w:val="14"/>
            <w:keepNext w:val="0"/>
            <w:keepLines w:val="0"/>
            <w:pageBreakBefore w:val="0"/>
            <w:widowControl w:val="0"/>
            <w:tabs>
              <w:tab w:val="right" w:leader="dot" w:pos="8845"/>
              <w:tab w:val="clear" w:pos="8296"/>
            </w:tabs>
            <w:kinsoku/>
            <w:wordWrap/>
            <w:overflowPunct/>
            <w:topLinePunct w:val="0"/>
            <w:autoSpaceDE/>
            <w:autoSpaceDN/>
            <w:bidi w:val="0"/>
            <w:adjustRightInd/>
            <w:snapToGrid/>
            <w:spacing w:line="510" w:lineRule="exact"/>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highlight w:val="none"/>
            </w:rPr>
            <w:fldChar w:fldCharType="begin"/>
          </w:r>
          <w:r>
            <w:rPr>
              <w:rFonts w:hint="eastAsia" w:ascii="仿宋_GB2312" w:hAnsi="仿宋_GB2312" w:eastAsia="仿宋_GB2312" w:cs="仿宋_GB2312"/>
              <w:sz w:val="28"/>
              <w:szCs w:val="28"/>
              <w:highlight w:val="none"/>
            </w:rPr>
            <w:instrText xml:space="preserve"> HYPERLINK \l _Toc5276 </w:instrText>
          </w:r>
          <w:r>
            <w:rPr>
              <w:rFonts w:hint="eastAsia" w:ascii="仿宋_GB2312" w:hAnsi="仿宋_GB2312" w:eastAsia="仿宋_GB2312" w:cs="仿宋_GB2312"/>
              <w:sz w:val="28"/>
              <w:szCs w:val="28"/>
              <w:highlight w:val="none"/>
            </w:rPr>
            <w:fldChar w:fldCharType="separate"/>
          </w:r>
          <w:r>
            <w:rPr>
              <w:rFonts w:hint="eastAsia" w:ascii="仿宋_GB2312" w:hAnsi="仿宋_GB2312" w:eastAsia="仿宋_GB2312" w:cs="仿宋_GB2312"/>
              <w:bCs/>
              <w:sz w:val="28"/>
              <w:szCs w:val="28"/>
              <w:highlight w:val="none"/>
            </w:rPr>
            <w:t>（四）预算绩效管理情况</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_Toc5276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12</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highlight w:val="none"/>
            </w:rPr>
            <w:fldChar w:fldCharType="end"/>
          </w:r>
        </w:p>
        <w:p>
          <w:pPr>
            <w:pStyle w:val="13"/>
            <w:keepNext w:val="0"/>
            <w:keepLines w:val="0"/>
            <w:pageBreakBefore w:val="0"/>
            <w:widowControl w:val="0"/>
            <w:tabs>
              <w:tab w:val="right" w:leader="dot" w:pos="8845"/>
              <w:tab w:val="clear" w:pos="8296"/>
            </w:tabs>
            <w:kinsoku/>
            <w:wordWrap/>
            <w:overflowPunct/>
            <w:topLinePunct w:val="0"/>
            <w:autoSpaceDE/>
            <w:autoSpaceDN/>
            <w:bidi w:val="0"/>
            <w:adjustRightInd/>
            <w:snapToGrid/>
            <w:spacing w:line="510" w:lineRule="exact"/>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highlight w:val="none"/>
            </w:rPr>
            <w:fldChar w:fldCharType="begin"/>
          </w:r>
          <w:r>
            <w:rPr>
              <w:rFonts w:hint="eastAsia" w:ascii="仿宋_GB2312" w:hAnsi="仿宋_GB2312" w:eastAsia="仿宋_GB2312" w:cs="仿宋_GB2312"/>
              <w:sz w:val="28"/>
              <w:szCs w:val="28"/>
              <w:highlight w:val="none"/>
            </w:rPr>
            <w:instrText xml:space="preserve"> HYPERLINK \l _Toc11074 </w:instrText>
          </w:r>
          <w:r>
            <w:rPr>
              <w:rFonts w:hint="eastAsia" w:ascii="仿宋_GB2312" w:hAnsi="仿宋_GB2312" w:eastAsia="仿宋_GB2312" w:cs="仿宋_GB2312"/>
              <w:sz w:val="28"/>
              <w:szCs w:val="28"/>
              <w:highlight w:val="none"/>
            </w:rPr>
            <w:fldChar w:fldCharType="separate"/>
          </w:r>
          <w:r>
            <w:rPr>
              <w:rFonts w:hint="eastAsia" w:ascii="仿宋_GB2312" w:hAnsi="仿宋_GB2312" w:eastAsia="仿宋_GB2312" w:cs="仿宋_GB2312"/>
              <w:sz w:val="28"/>
              <w:szCs w:val="28"/>
            </w:rPr>
            <w:t xml:space="preserve">第三部分 </w:t>
          </w:r>
          <w:r>
            <w:rPr>
              <w:rFonts w:hint="eastAsia" w:ascii="仿宋_GB2312" w:hAnsi="仿宋_GB2312" w:eastAsia="仿宋_GB2312" w:cs="仿宋_GB2312"/>
              <w:sz w:val="28"/>
              <w:szCs w:val="28"/>
              <w:highlight w:val="none"/>
            </w:rPr>
            <w:t>名词解释</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_Toc11074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14</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highlight w:val="none"/>
            </w:rPr>
            <w:fldChar w:fldCharType="end"/>
          </w:r>
        </w:p>
        <w:p>
          <w:pPr>
            <w:pStyle w:val="13"/>
            <w:keepNext w:val="0"/>
            <w:keepLines w:val="0"/>
            <w:pageBreakBefore w:val="0"/>
            <w:widowControl w:val="0"/>
            <w:tabs>
              <w:tab w:val="right" w:leader="dot" w:pos="8845"/>
              <w:tab w:val="clear" w:pos="8296"/>
            </w:tabs>
            <w:kinsoku/>
            <w:wordWrap/>
            <w:overflowPunct/>
            <w:topLinePunct w:val="0"/>
            <w:autoSpaceDE/>
            <w:autoSpaceDN/>
            <w:bidi w:val="0"/>
            <w:adjustRightInd/>
            <w:snapToGrid/>
            <w:spacing w:line="510" w:lineRule="exact"/>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highlight w:val="none"/>
            </w:rPr>
            <w:fldChar w:fldCharType="begin"/>
          </w:r>
          <w:r>
            <w:rPr>
              <w:rFonts w:hint="eastAsia" w:ascii="仿宋_GB2312" w:hAnsi="仿宋_GB2312" w:eastAsia="仿宋_GB2312" w:cs="仿宋_GB2312"/>
              <w:sz w:val="28"/>
              <w:szCs w:val="28"/>
              <w:highlight w:val="none"/>
            </w:rPr>
            <w:instrText xml:space="preserve"> HYPERLINK \l _Toc21426 </w:instrText>
          </w:r>
          <w:r>
            <w:rPr>
              <w:rFonts w:hint="eastAsia" w:ascii="仿宋_GB2312" w:hAnsi="仿宋_GB2312" w:eastAsia="仿宋_GB2312" w:cs="仿宋_GB2312"/>
              <w:sz w:val="28"/>
              <w:szCs w:val="28"/>
              <w:highlight w:val="none"/>
            </w:rPr>
            <w:fldChar w:fldCharType="separate"/>
          </w:r>
          <w:r>
            <w:rPr>
              <w:rFonts w:hint="eastAsia" w:ascii="仿宋_GB2312" w:hAnsi="仿宋_GB2312" w:eastAsia="仿宋_GB2312" w:cs="仿宋_GB2312"/>
              <w:sz w:val="28"/>
              <w:szCs w:val="28"/>
              <w:highlight w:val="none"/>
            </w:rPr>
            <w:t>第四部分 附件</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_Toc21426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18</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highlight w:val="none"/>
            </w:rPr>
            <w:fldChar w:fldCharType="end"/>
          </w:r>
        </w:p>
        <w:p>
          <w:pPr>
            <w:pStyle w:val="14"/>
            <w:keepNext w:val="0"/>
            <w:keepLines w:val="0"/>
            <w:pageBreakBefore w:val="0"/>
            <w:widowControl w:val="0"/>
            <w:tabs>
              <w:tab w:val="right" w:leader="dot" w:pos="8845"/>
              <w:tab w:val="clear" w:pos="8296"/>
            </w:tabs>
            <w:kinsoku/>
            <w:wordWrap/>
            <w:overflowPunct/>
            <w:topLinePunct w:val="0"/>
            <w:autoSpaceDE/>
            <w:autoSpaceDN/>
            <w:bidi w:val="0"/>
            <w:adjustRightInd/>
            <w:snapToGrid/>
            <w:spacing w:line="510" w:lineRule="exact"/>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highlight w:val="none"/>
            </w:rPr>
            <w:fldChar w:fldCharType="begin"/>
          </w:r>
          <w:r>
            <w:rPr>
              <w:rFonts w:hint="eastAsia" w:ascii="仿宋_GB2312" w:hAnsi="仿宋_GB2312" w:eastAsia="仿宋_GB2312" w:cs="仿宋_GB2312"/>
              <w:sz w:val="28"/>
              <w:szCs w:val="28"/>
              <w:highlight w:val="none"/>
            </w:rPr>
            <w:instrText xml:space="preserve"> HYPERLINK \l _Toc30892 </w:instrText>
          </w:r>
          <w:r>
            <w:rPr>
              <w:rFonts w:hint="eastAsia" w:ascii="仿宋_GB2312" w:hAnsi="仿宋_GB2312" w:eastAsia="仿宋_GB2312" w:cs="仿宋_GB2312"/>
              <w:sz w:val="28"/>
              <w:szCs w:val="28"/>
              <w:highlight w:val="none"/>
            </w:rPr>
            <w:fldChar w:fldCharType="separate"/>
          </w:r>
          <w:r>
            <w:rPr>
              <w:rFonts w:hint="eastAsia" w:ascii="仿宋_GB2312" w:hAnsi="仿宋_GB2312" w:eastAsia="仿宋_GB2312" w:cs="仿宋_GB2312"/>
              <w:bCs/>
              <w:sz w:val="28"/>
              <w:szCs w:val="28"/>
              <w:highlight w:val="none"/>
              <w:shd w:val="clear" w:color="auto" w:fill="FFFFFF"/>
              <w:lang w:val="en-US" w:eastAsia="zh-CN"/>
            </w:rPr>
            <w:t xml:space="preserve">附件1 </w:t>
          </w:r>
          <w:r>
            <w:rPr>
              <w:rFonts w:hint="eastAsia" w:ascii="仿宋_GB2312" w:hAnsi="仿宋_GB2312" w:eastAsia="仿宋_GB2312" w:cs="仿宋_GB2312"/>
              <w:sz w:val="28"/>
              <w:szCs w:val="28"/>
              <w:highlight w:val="none"/>
            </w:rPr>
            <w:fldChar w:fldCharType="end"/>
          </w:r>
          <w:r>
            <w:rPr>
              <w:rFonts w:hint="eastAsia" w:ascii="仿宋_GB2312" w:hAnsi="仿宋_GB2312" w:eastAsia="仿宋_GB2312" w:cs="仿宋_GB2312"/>
              <w:sz w:val="28"/>
              <w:szCs w:val="28"/>
              <w:highlight w:val="none"/>
              <w:lang w:val="en-US" w:eastAsia="zh-CN"/>
            </w:rPr>
            <w:t xml:space="preserve"> </w:t>
          </w:r>
          <w:r>
            <w:rPr>
              <w:rFonts w:hint="eastAsia" w:ascii="仿宋_GB2312" w:hAnsi="仿宋_GB2312" w:eastAsia="仿宋_GB2312" w:cs="仿宋_GB2312"/>
              <w:sz w:val="28"/>
              <w:szCs w:val="28"/>
              <w:highlight w:val="none"/>
            </w:rPr>
            <w:fldChar w:fldCharType="begin"/>
          </w:r>
          <w:r>
            <w:rPr>
              <w:rFonts w:hint="eastAsia" w:ascii="仿宋_GB2312" w:hAnsi="仿宋_GB2312" w:eastAsia="仿宋_GB2312" w:cs="仿宋_GB2312"/>
              <w:sz w:val="28"/>
              <w:szCs w:val="28"/>
              <w:highlight w:val="none"/>
            </w:rPr>
            <w:instrText xml:space="preserve"> HYPERLINK \l _Toc12123 </w:instrText>
          </w:r>
          <w:r>
            <w:rPr>
              <w:rFonts w:hint="eastAsia" w:ascii="仿宋_GB2312" w:hAnsi="仿宋_GB2312" w:eastAsia="仿宋_GB2312" w:cs="仿宋_GB2312"/>
              <w:sz w:val="28"/>
              <w:szCs w:val="28"/>
              <w:highlight w:val="none"/>
            </w:rPr>
            <w:fldChar w:fldCharType="separate"/>
          </w:r>
          <w:r>
            <w:rPr>
              <w:rFonts w:hint="eastAsia" w:ascii="仿宋_GB2312" w:hAnsi="仿宋_GB2312" w:eastAsia="仿宋_GB2312" w:cs="仿宋_GB2312"/>
              <w:sz w:val="28"/>
              <w:szCs w:val="28"/>
              <w:highlight w:val="none"/>
              <w:lang w:val="en-US" w:eastAsia="zh-CN"/>
            </w:rPr>
            <w:t>广元市昭化区人力资源和社会保障局部门整体</w:t>
          </w:r>
          <w:r>
            <w:rPr>
              <w:rFonts w:hint="eastAsia" w:ascii="仿宋_GB2312" w:hAnsi="仿宋_GB2312" w:eastAsia="仿宋_GB2312" w:cs="仿宋_GB2312"/>
              <w:sz w:val="28"/>
              <w:szCs w:val="28"/>
              <w:highlight w:val="none"/>
            </w:rPr>
            <w:fldChar w:fldCharType="end"/>
          </w:r>
          <w:r>
            <w:rPr>
              <w:rFonts w:hint="eastAsia" w:ascii="仿宋_GB2312" w:hAnsi="仿宋_GB2312" w:eastAsia="仿宋_GB2312" w:cs="仿宋_GB2312"/>
              <w:sz w:val="28"/>
              <w:szCs w:val="28"/>
              <w:highlight w:val="none"/>
            </w:rPr>
            <w:fldChar w:fldCharType="begin"/>
          </w:r>
          <w:r>
            <w:rPr>
              <w:rFonts w:hint="eastAsia" w:ascii="仿宋_GB2312" w:hAnsi="仿宋_GB2312" w:eastAsia="仿宋_GB2312" w:cs="仿宋_GB2312"/>
              <w:sz w:val="28"/>
              <w:szCs w:val="28"/>
              <w:highlight w:val="none"/>
            </w:rPr>
            <w:instrText xml:space="preserve"> HYPERLINK \l _Toc18118 </w:instrText>
          </w:r>
          <w:r>
            <w:rPr>
              <w:rFonts w:hint="eastAsia" w:ascii="仿宋_GB2312" w:hAnsi="仿宋_GB2312" w:eastAsia="仿宋_GB2312" w:cs="仿宋_GB2312"/>
              <w:sz w:val="28"/>
              <w:szCs w:val="28"/>
              <w:highlight w:val="none"/>
            </w:rPr>
            <w:fldChar w:fldCharType="separate"/>
          </w:r>
          <w:r>
            <w:rPr>
              <w:rFonts w:hint="eastAsia" w:ascii="仿宋_GB2312" w:hAnsi="仿宋_GB2312" w:eastAsia="仿宋_GB2312" w:cs="仿宋_GB2312"/>
              <w:sz w:val="28"/>
              <w:szCs w:val="28"/>
              <w:highlight w:val="none"/>
              <w:lang w:val="en-US" w:eastAsia="zh-CN"/>
            </w:rPr>
            <w:t>支出绩效目标（自评表）</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_Toc18118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26</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highlight w:val="none"/>
            </w:rPr>
            <w:fldChar w:fldCharType="end"/>
          </w:r>
        </w:p>
        <w:p>
          <w:pPr>
            <w:pStyle w:val="14"/>
            <w:keepNext w:val="0"/>
            <w:keepLines w:val="0"/>
            <w:pageBreakBefore w:val="0"/>
            <w:widowControl w:val="0"/>
            <w:tabs>
              <w:tab w:val="right" w:leader="dot" w:pos="8845"/>
              <w:tab w:val="clear" w:pos="8296"/>
            </w:tabs>
            <w:kinsoku/>
            <w:wordWrap/>
            <w:overflowPunct/>
            <w:topLinePunct w:val="0"/>
            <w:autoSpaceDE/>
            <w:autoSpaceDN/>
            <w:bidi w:val="0"/>
            <w:adjustRightInd/>
            <w:snapToGrid/>
            <w:spacing w:line="510" w:lineRule="exact"/>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highlight w:val="none"/>
            </w:rPr>
            <w:fldChar w:fldCharType="begin"/>
          </w:r>
          <w:r>
            <w:rPr>
              <w:rFonts w:hint="eastAsia" w:ascii="仿宋_GB2312" w:hAnsi="仿宋_GB2312" w:eastAsia="仿宋_GB2312" w:cs="仿宋_GB2312"/>
              <w:sz w:val="28"/>
              <w:szCs w:val="28"/>
              <w:highlight w:val="none"/>
            </w:rPr>
            <w:instrText xml:space="preserve"> HYPERLINK \l _Toc28562 </w:instrText>
          </w:r>
          <w:r>
            <w:rPr>
              <w:rFonts w:hint="eastAsia" w:ascii="仿宋_GB2312" w:hAnsi="仿宋_GB2312" w:eastAsia="仿宋_GB2312" w:cs="仿宋_GB2312"/>
              <w:sz w:val="28"/>
              <w:szCs w:val="28"/>
              <w:highlight w:val="none"/>
            </w:rPr>
            <w:fldChar w:fldCharType="separate"/>
          </w:r>
          <w:r>
            <w:rPr>
              <w:rFonts w:hint="eastAsia" w:ascii="仿宋_GB2312" w:hAnsi="仿宋_GB2312" w:eastAsia="仿宋_GB2312" w:cs="仿宋_GB2312"/>
              <w:bCs/>
              <w:sz w:val="28"/>
              <w:szCs w:val="28"/>
              <w:highlight w:val="none"/>
              <w:shd w:val="clear" w:color="auto" w:fill="FFFFFF"/>
              <w:lang w:val="en-US" w:eastAsia="zh-CN"/>
            </w:rPr>
            <w:t>附件2</w:t>
          </w:r>
          <w:r>
            <w:rPr>
              <w:rFonts w:hint="eastAsia" w:ascii="仿宋_GB2312" w:hAnsi="仿宋_GB2312" w:eastAsia="仿宋_GB2312" w:cs="仿宋_GB2312"/>
              <w:sz w:val="28"/>
              <w:szCs w:val="28"/>
              <w:highlight w:val="none"/>
            </w:rPr>
            <w:fldChar w:fldCharType="end"/>
          </w:r>
          <w:r>
            <w:rPr>
              <w:rFonts w:hint="eastAsia" w:ascii="仿宋_GB2312" w:hAnsi="仿宋_GB2312" w:eastAsia="仿宋_GB2312" w:cs="仿宋_GB2312"/>
              <w:sz w:val="28"/>
              <w:szCs w:val="28"/>
              <w:highlight w:val="none"/>
              <w:lang w:val="en-US" w:eastAsia="zh-CN"/>
            </w:rPr>
            <w:t xml:space="preserve">  </w:t>
          </w:r>
          <w:r>
            <w:rPr>
              <w:rFonts w:hint="eastAsia" w:ascii="仿宋_GB2312" w:hAnsi="仿宋_GB2312" w:eastAsia="仿宋_GB2312" w:cs="仿宋_GB2312"/>
              <w:sz w:val="28"/>
              <w:szCs w:val="28"/>
              <w:highlight w:val="none"/>
            </w:rPr>
            <w:fldChar w:fldCharType="begin"/>
          </w:r>
          <w:r>
            <w:rPr>
              <w:rFonts w:hint="eastAsia" w:ascii="仿宋_GB2312" w:hAnsi="仿宋_GB2312" w:eastAsia="仿宋_GB2312" w:cs="仿宋_GB2312"/>
              <w:sz w:val="28"/>
              <w:szCs w:val="28"/>
              <w:highlight w:val="none"/>
            </w:rPr>
            <w:instrText xml:space="preserve"> HYPERLINK \l _Toc1200 </w:instrText>
          </w:r>
          <w:r>
            <w:rPr>
              <w:rFonts w:hint="eastAsia" w:ascii="仿宋_GB2312" w:hAnsi="仿宋_GB2312" w:eastAsia="仿宋_GB2312" w:cs="仿宋_GB2312"/>
              <w:sz w:val="28"/>
              <w:szCs w:val="28"/>
              <w:highlight w:val="none"/>
            </w:rPr>
            <w:fldChar w:fldCharType="separate"/>
          </w:r>
          <w:r>
            <w:rPr>
              <w:rFonts w:hint="eastAsia" w:ascii="仿宋_GB2312" w:hAnsi="仿宋_GB2312" w:eastAsia="仿宋_GB2312" w:cs="仿宋_GB2312"/>
              <w:sz w:val="28"/>
              <w:szCs w:val="28"/>
              <w:highlight w:val="none"/>
              <w:lang w:val="en-US" w:eastAsia="zh-CN"/>
            </w:rPr>
            <w:t>广元市昭化区人力资源和社会保障局东西部协作稳岗就业促进项目支出自评报告（自评表）</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_Toc1200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29</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highlight w:val="none"/>
            </w:rPr>
            <w:fldChar w:fldCharType="end"/>
          </w:r>
        </w:p>
        <w:p>
          <w:pPr>
            <w:pStyle w:val="14"/>
            <w:keepNext w:val="0"/>
            <w:keepLines w:val="0"/>
            <w:pageBreakBefore w:val="0"/>
            <w:widowControl w:val="0"/>
            <w:tabs>
              <w:tab w:val="right" w:leader="dot" w:pos="8845"/>
              <w:tab w:val="clear" w:pos="8296"/>
            </w:tabs>
            <w:kinsoku/>
            <w:wordWrap/>
            <w:overflowPunct/>
            <w:topLinePunct w:val="0"/>
            <w:autoSpaceDE/>
            <w:autoSpaceDN/>
            <w:bidi w:val="0"/>
            <w:adjustRightInd/>
            <w:snapToGrid/>
            <w:spacing w:line="510" w:lineRule="exact"/>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highlight w:val="none"/>
            </w:rPr>
            <w:fldChar w:fldCharType="begin"/>
          </w:r>
          <w:r>
            <w:rPr>
              <w:rFonts w:hint="eastAsia" w:ascii="仿宋_GB2312" w:hAnsi="仿宋_GB2312" w:eastAsia="仿宋_GB2312" w:cs="仿宋_GB2312"/>
              <w:sz w:val="28"/>
              <w:szCs w:val="28"/>
              <w:highlight w:val="none"/>
            </w:rPr>
            <w:instrText xml:space="preserve"> HYPERLINK \l _Toc16578 </w:instrText>
          </w:r>
          <w:r>
            <w:rPr>
              <w:rFonts w:hint="eastAsia" w:ascii="仿宋_GB2312" w:hAnsi="仿宋_GB2312" w:eastAsia="仿宋_GB2312" w:cs="仿宋_GB2312"/>
              <w:sz w:val="28"/>
              <w:szCs w:val="28"/>
              <w:highlight w:val="none"/>
            </w:rPr>
            <w:fldChar w:fldCharType="separate"/>
          </w:r>
          <w:r>
            <w:rPr>
              <w:rFonts w:hint="eastAsia" w:ascii="仿宋_GB2312" w:hAnsi="仿宋_GB2312" w:eastAsia="仿宋_GB2312" w:cs="仿宋_GB2312"/>
              <w:bCs/>
              <w:sz w:val="28"/>
              <w:szCs w:val="28"/>
              <w:highlight w:val="none"/>
              <w:shd w:val="clear" w:color="auto" w:fill="FFFFFF"/>
              <w:lang w:val="en-US" w:eastAsia="zh-CN"/>
            </w:rPr>
            <w:t>附件3  广元市昭化区人力资源和社会保障局就业创业资金项目支出自评报告（自评表）</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_Toc16578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34</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highlight w:val="none"/>
            </w:rPr>
            <w:fldChar w:fldCharType="end"/>
          </w:r>
        </w:p>
        <w:p>
          <w:pPr>
            <w:pStyle w:val="14"/>
            <w:keepNext w:val="0"/>
            <w:keepLines w:val="0"/>
            <w:pageBreakBefore w:val="0"/>
            <w:widowControl w:val="0"/>
            <w:tabs>
              <w:tab w:val="right" w:leader="dot" w:pos="8845"/>
              <w:tab w:val="clear" w:pos="8296"/>
            </w:tabs>
            <w:kinsoku/>
            <w:wordWrap/>
            <w:overflowPunct/>
            <w:topLinePunct w:val="0"/>
            <w:autoSpaceDE/>
            <w:autoSpaceDN/>
            <w:bidi w:val="0"/>
            <w:adjustRightInd/>
            <w:snapToGrid/>
            <w:spacing w:line="510" w:lineRule="exact"/>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highlight w:val="none"/>
            </w:rPr>
            <w:fldChar w:fldCharType="begin"/>
          </w:r>
          <w:r>
            <w:rPr>
              <w:rFonts w:hint="eastAsia" w:ascii="仿宋_GB2312" w:hAnsi="仿宋_GB2312" w:eastAsia="仿宋_GB2312" w:cs="仿宋_GB2312"/>
              <w:sz w:val="28"/>
              <w:szCs w:val="28"/>
              <w:highlight w:val="none"/>
            </w:rPr>
            <w:instrText xml:space="preserve"> HYPERLINK \l _Toc23674 </w:instrText>
          </w:r>
          <w:r>
            <w:rPr>
              <w:rFonts w:hint="eastAsia" w:ascii="仿宋_GB2312" w:hAnsi="仿宋_GB2312" w:eastAsia="仿宋_GB2312" w:cs="仿宋_GB2312"/>
              <w:sz w:val="28"/>
              <w:szCs w:val="28"/>
              <w:highlight w:val="none"/>
            </w:rPr>
            <w:fldChar w:fldCharType="separate"/>
          </w:r>
          <w:r>
            <w:rPr>
              <w:rFonts w:hint="eastAsia" w:ascii="仿宋_GB2312" w:hAnsi="仿宋_GB2312" w:eastAsia="仿宋_GB2312" w:cs="仿宋_GB2312"/>
              <w:bCs/>
              <w:sz w:val="28"/>
              <w:szCs w:val="28"/>
              <w:highlight w:val="none"/>
              <w:shd w:val="clear" w:color="auto" w:fill="FFFFFF"/>
              <w:lang w:val="en-US" w:eastAsia="zh-CN"/>
            </w:rPr>
            <w:t>附件4</w:t>
          </w:r>
          <w:r>
            <w:rPr>
              <w:rFonts w:hint="eastAsia" w:ascii="仿宋_GB2312" w:hAnsi="仿宋_GB2312" w:eastAsia="仿宋_GB2312" w:cs="仿宋_GB2312"/>
              <w:sz w:val="28"/>
              <w:szCs w:val="28"/>
              <w:highlight w:val="none"/>
            </w:rPr>
            <w:fldChar w:fldCharType="end"/>
          </w:r>
          <w:r>
            <w:rPr>
              <w:rFonts w:hint="eastAsia" w:ascii="仿宋_GB2312" w:hAnsi="仿宋_GB2312" w:eastAsia="仿宋_GB2312" w:cs="仿宋_GB2312"/>
              <w:sz w:val="28"/>
              <w:szCs w:val="28"/>
              <w:highlight w:val="none"/>
              <w:lang w:val="en-US" w:eastAsia="zh-CN"/>
            </w:rPr>
            <w:t xml:space="preserve">  </w:t>
          </w:r>
          <w:r>
            <w:rPr>
              <w:rFonts w:hint="eastAsia" w:ascii="仿宋_GB2312" w:hAnsi="仿宋_GB2312" w:eastAsia="仿宋_GB2312" w:cs="仿宋_GB2312"/>
              <w:sz w:val="28"/>
              <w:szCs w:val="28"/>
              <w:highlight w:val="none"/>
            </w:rPr>
            <w:fldChar w:fldCharType="begin"/>
          </w:r>
          <w:r>
            <w:rPr>
              <w:rFonts w:hint="eastAsia" w:ascii="仿宋_GB2312" w:hAnsi="仿宋_GB2312" w:eastAsia="仿宋_GB2312" w:cs="仿宋_GB2312"/>
              <w:sz w:val="28"/>
              <w:szCs w:val="28"/>
              <w:highlight w:val="none"/>
            </w:rPr>
            <w:instrText xml:space="preserve"> HYPERLINK \l _Toc4852 </w:instrText>
          </w:r>
          <w:r>
            <w:rPr>
              <w:rFonts w:hint="eastAsia" w:ascii="仿宋_GB2312" w:hAnsi="仿宋_GB2312" w:eastAsia="仿宋_GB2312" w:cs="仿宋_GB2312"/>
              <w:sz w:val="28"/>
              <w:szCs w:val="28"/>
              <w:highlight w:val="none"/>
            </w:rPr>
            <w:fldChar w:fldCharType="separate"/>
          </w:r>
          <w:r>
            <w:rPr>
              <w:rFonts w:hint="eastAsia" w:ascii="仿宋_GB2312" w:hAnsi="仿宋_GB2312" w:eastAsia="仿宋_GB2312" w:cs="仿宋_GB2312"/>
              <w:kern w:val="0"/>
              <w:sz w:val="28"/>
              <w:szCs w:val="28"/>
              <w:highlight w:val="none"/>
              <w:lang w:val="en-US" w:eastAsia="zh-CN" w:bidi="ar-SA"/>
            </w:rPr>
            <w:t>广元市昭化区人力资源和社会保障局招商引资工作经费项目支出自评报告（自评表）</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_Toc4852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41</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highlight w:val="none"/>
            </w:rPr>
            <w:fldChar w:fldCharType="end"/>
          </w:r>
        </w:p>
        <w:p>
          <w:pPr>
            <w:pStyle w:val="14"/>
            <w:keepNext w:val="0"/>
            <w:keepLines w:val="0"/>
            <w:pageBreakBefore w:val="0"/>
            <w:widowControl w:val="0"/>
            <w:tabs>
              <w:tab w:val="right" w:leader="dot" w:pos="8845"/>
              <w:tab w:val="clear" w:pos="8296"/>
            </w:tabs>
            <w:kinsoku/>
            <w:wordWrap/>
            <w:overflowPunct/>
            <w:topLinePunct w:val="0"/>
            <w:autoSpaceDE/>
            <w:autoSpaceDN/>
            <w:bidi w:val="0"/>
            <w:adjustRightInd/>
            <w:snapToGrid/>
            <w:spacing w:line="510" w:lineRule="exact"/>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highlight w:val="none"/>
            </w:rPr>
            <w:fldChar w:fldCharType="begin"/>
          </w:r>
          <w:r>
            <w:rPr>
              <w:rFonts w:hint="eastAsia" w:ascii="仿宋_GB2312" w:hAnsi="仿宋_GB2312" w:eastAsia="仿宋_GB2312" w:cs="仿宋_GB2312"/>
              <w:sz w:val="28"/>
              <w:szCs w:val="28"/>
              <w:highlight w:val="none"/>
            </w:rPr>
            <w:instrText xml:space="preserve"> HYPERLINK \l _Toc9811 </w:instrText>
          </w:r>
          <w:r>
            <w:rPr>
              <w:rFonts w:hint="eastAsia" w:ascii="仿宋_GB2312" w:hAnsi="仿宋_GB2312" w:eastAsia="仿宋_GB2312" w:cs="仿宋_GB2312"/>
              <w:sz w:val="28"/>
              <w:szCs w:val="28"/>
              <w:highlight w:val="none"/>
            </w:rPr>
            <w:fldChar w:fldCharType="separate"/>
          </w:r>
          <w:r>
            <w:rPr>
              <w:rFonts w:hint="eastAsia" w:ascii="仿宋_GB2312" w:hAnsi="仿宋_GB2312" w:eastAsia="仿宋_GB2312" w:cs="仿宋_GB2312"/>
              <w:bCs/>
              <w:sz w:val="28"/>
              <w:szCs w:val="28"/>
              <w:highlight w:val="none"/>
              <w:shd w:val="clear" w:color="auto" w:fill="FFFFFF"/>
              <w:lang w:val="en-US" w:eastAsia="zh-CN"/>
            </w:rPr>
            <w:t>附件5</w:t>
          </w:r>
          <w:r>
            <w:rPr>
              <w:rFonts w:hint="eastAsia" w:ascii="仿宋_GB2312" w:hAnsi="仿宋_GB2312" w:eastAsia="仿宋_GB2312" w:cs="仿宋_GB2312"/>
              <w:sz w:val="28"/>
              <w:szCs w:val="28"/>
              <w:highlight w:val="none"/>
            </w:rPr>
            <w:fldChar w:fldCharType="end"/>
          </w:r>
          <w:r>
            <w:rPr>
              <w:rFonts w:hint="eastAsia" w:ascii="仿宋_GB2312" w:hAnsi="仿宋_GB2312" w:eastAsia="仿宋_GB2312" w:cs="仿宋_GB2312"/>
              <w:sz w:val="28"/>
              <w:szCs w:val="28"/>
              <w:highlight w:val="none"/>
              <w:lang w:val="en-US" w:eastAsia="zh-CN"/>
            </w:rPr>
            <w:t xml:space="preserve">  </w:t>
          </w:r>
          <w:r>
            <w:rPr>
              <w:rFonts w:hint="eastAsia" w:ascii="仿宋_GB2312" w:hAnsi="仿宋_GB2312" w:eastAsia="仿宋_GB2312" w:cs="仿宋_GB2312"/>
              <w:sz w:val="28"/>
              <w:szCs w:val="28"/>
              <w:highlight w:val="none"/>
            </w:rPr>
            <w:fldChar w:fldCharType="begin"/>
          </w:r>
          <w:r>
            <w:rPr>
              <w:rFonts w:hint="eastAsia" w:ascii="仿宋_GB2312" w:hAnsi="仿宋_GB2312" w:eastAsia="仿宋_GB2312" w:cs="仿宋_GB2312"/>
              <w:sz w:val="28"/>
              <w:szCs w:val="28"/>
              <w:highlight w:val="none"/>
            </w:rPr>
            <w:instrText xml:space="preserve"> HYPERLINK \l _Toc3265 </w:instrText>
          </w:r>
          <w:r>
            <w:rPr>
              <w:rFonts w:hint="eastAsia" w:ascii="仿宋_GB2312" w:hAnsi="仿宋_GB2312" w:eastAsia="仿宋_GB2312" w:cs="仿宋_GB2312"/>
              <w:sz w:val="28"/>
              <w:szCs w:val="28"/>
              <w:highlight w:val="none"/>
            </w:rPr>
            <w:fldChar w:fldCharType="separate"/>
          </w:r>
          <w:r>
            <w:rPr>
              <w:rFonts w:hint="eastAsia" w:ascii="仿宋_GB2312" w:hAnsi="仿宋_GB2312" w:eastAsia="仿宋_GB2312" w:cs="仿宋_GB2312"/>
              <w:sz w:val="28"/>
              <w:szCs w:val="28"/>
              <w:highlight w:val="none"/>
              <w:lang w:val="en-US" w:eastAsia="zh-CN"/>
            </w:rPr>
            <w:t>广元市昭化区人力资源和社会保障局</w:t>
          </w:r>
          <w:r>
            <w:rPr>
              <w:rFonts w:hint="eastAsia" w:ascii="仿宋_GB2312" w:hAnsi="仿宋_GB2312" w:eastAsia="仿宋_GB2312" w:cs="仿宋_GB2312"/>
              <w:sz w:val="28"/>
              <w:szCs w:val="28"/>
              <w:highlight w:val="none"/>
              <w:lang w:val="zh-CN" w:eastAsia="zh-CN"/>
            </w:rPr>
            <w:t>公开引进高层次人才和招聘急需紧缺专业人才工作经费项目支出自评报告</w:t>
          </w:r>
          <w:r>
            <w:rPr>
              <w:rFonts w:hint="eastAsia" w:ascii="仿宋_GB2312" w:hAnsi="仿宋_GB2312" w:eastAsia="仿宋_GB2312" w:cs="仿宋_GB2312"/>
              <w:sz w:val="28"/>
              <w:szCs w:val="28"/>
              <w:highlight w:val="none"/>
              <w:lang w:val="en-US" w:eastAsia="zh-CN"/>
            </w:rPr>
            <w:t>(自评表）</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_Toc3265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46</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highlight w:val="none"/>
            </w:rPr>
            <w:fldChar w:fldCharType="end"/>
          </w:r>
        </w:p>
        <w:p>
          <w:pPr>
            <w:pStyle w:val="14"/>
            <w:keepNext w:val="0"/>
            <w:keepLines w:val="0"/>
            <w:pageBreakBefore w:val="0"/>
            <w:widowControl w:val="0"/>
            <w:tabs>
              <w:tab w:val="right" w:leader="dot" w:pos="8845"/>
              <w:tab w:val="clear" w:pos="8296"/>
            </w:tabs>
            <w:kinsoku/>
            <w:wordWrap/>
            <w:overflowPunct/>
            <w:topLinePunct w:val="0"/>
            <w:autoSpaceDE/>
            <w:autoSpaceDN/>
            <w:bidi w:val="0"/>
            <w:adjustRightInd/>
            <w:snapToGrid/>
            <w:spacing w:line="510" w:lineRule="exact"/>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highlight w:val="none"/>
            </w:rPr>
            <w:fldChar w:fldCharType="begin"/>
          </w:r>
          <w:r>
            <w:rPr>
              <w:rFonts w:hint="eastAsia" w:ascii="仿宋_GB2312" w:hAnsi="仿宋_GB2312" w:eastAsia="仿宋_GB2312" w:cs="仿宋_GB2312"/>
              <w:sz w:val="28"/>
              <w:szCs w:val="28"/>
              <w:highlight w:val="none"/>
            </w:rPr>
            <w:instrText xml:space="preserve"> HYPERLINK \l _Toc26886 </w:instrText>
          </w:r>
          <w:r>
            <w:rPr>
              <w:rFonts w:hint="eastAsia" w:ascii="仿宋_GB2312" w:hAnsi="仿宋_GB2312" w:eastAsia="仿宋_GB2312" w:cs="仿宋_GB2312"/>
              <w:sz w:val="28"/>
              <w:szCs w:val="28"/>
              <w:highlight w:val="none"/>
            </w:rPr>
            <w:fldChar w:fldCharType="separate"/>
          </w:r>
          <w:r>
            <w:rPr>
              <w:rFonts w:hint="eastAsia" w:ascii="仿宋_GB2312" w:hAnsi="仿宋_GB2312" w:eastAsia="仿宋_GB2312" w:cs="仿宋_GB2312"/>
              <w:bCs/>
              <w:sz w:val="28"/>
              <w:szCs w:val="28"/>
              <w:highlight w:val="none"/>
              <w:shd w:val="clear" w:color="auto" w:fill="FFFFFF"/>
              <w:lang w:val="en-US" w:eastAsia="zh-CN"/>
            </w:rPr>
            <w:t>附件6</w:t>
          </w:r>
          <w:r>
            <w:rPr>
              <w:rFonts w:hint="eastAsia" w:ascii="仿宋_GB2312" w:hAnsi="仿宋_GB2312" w:eastAsia="仿宋_GB2312" w:cs="仿宋_GB2312"/>
              <w:sz w:val="28"/>
              <w:szCs w:val="28"/>
              <w:highlight w:val="none"/>
            </w:rPr>
            <w:fldChar w:fldCharType="end"/>
          </w:r>
          <w:r>
            <w:rPr>
              <w:rFonts w:hint="eastAsia" w:ascii="仿宋_GB2312" w:hAnsi="仿宋_GB2312" w:eastAsia="仿宋_GB2312" w:cs="仿宋_GB2312"/>
              <w:sz w:val="28"/>
              <w:szCs w:val="28"/>
              <w:highlight w:val="none"/>
            </w:rPr>
            <w:fldChar w:fldCharType="begin"/>
          </w:r>
          <w:r>
            <w:rPr>
              <w:rFonts w:hint="eastAsia" w:ascii="仿宋_GB2312" w:hAnsi="仿宋_GB2312" w:eastAsia="仿宋_GB2312" w:cs="仿宋_GB2312"/>
              <w:sz w:val="28"/>
              <w:szCs w:val="28"/>
              <w:highlight w:val="none"/>
            </w:rPr>
            <w:instrText xml:space="preserve"> HYPERLINK \l _Toc4599 </w:instrText>
          </w:r>
          <w:r>
            <w:rPr>
              <w:rFonts w:hint="eastAsia" w:ascii="仿宋_GB2312" w:hAnsi="仿宋_GB2312" w:eastAsia="仿宋_GB2312" w:cs="仿宋_GB2312"/>
              <w:sz w:val="28"/>
              <w:szCs w:val="28"/>
              <w:highlight w:val="none"/>
            </w:rPr>
            <w:fldChar w:fldCharType="separate"/>
          </w:r>
          <w:r>
            <w:rPr>
              <w:rFonts w:hint="eastAsia" w:ascii="仿宋_GB2312" w:hAnsi="仿宋_GB2312" w:eastAsia="仿宋_GB2312" w:cs="仿宋_GB2312"/>
              <w:sz w:val="28"/>
              <w:szCs w:val="28"/>
              <w:highlight w:val="none"/>
              <w:lang w:val="en-US" w:eastAsia="zh-CN"/>
            </w:rPr>
            <w:t>广元市昭化区人力资源和社会保障局</w:t>
          </w:r>
          <w:r>
            <w:rPr>
              <w:rFonts w:hint="eastAsia" w:ascii="仿宋_GB2312" w:hAnsi="仿宋_GB2312" w:eastAsia="仿宋_GB2312" w:cs="仿宋_GB2312"/>
              <w:sz w:val="28"/>
              <w:szCs w:val="28"/>
              <w:highlight w:val="none"/>
              <w:lang w:val="zh-CN" w:eastAsia="zh-CN"/>
            </w:rPr>
            <w:t>普惠金融发展专项资金项目支出自评报告（自评表）</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_Toc4599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52</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highlight w:val="none"/>
            </w:rPr>
            <w:fldChar w:fldCharType="end"/>
          </w:r>
        </w:p>
        <w:p>
          <w:pPr>
            <w:pStyle w:val="13"/>
            <w:keepNext w:val="0"/>
            <w:keepLines w:val="0"/>
            <w:pageBreakBefore w:val="0"/>
            <w:widowControl w:val="0"/>
            <w:tabs>
              <w:tab w:val="right" w:leader="dot" w:pos="8845"/>
              <w:tab w:val="clear" w:pos="8296"/>
            </w:tabs>
            <w:kinsoku/>
            <w:wordWrap/>
            <w:overflowPunct/>
            <w:topLinePunct w:val="0"/>
            <w:autoSpaceDE/>
            <w:autoSpaceDN/>
            <w:bidi w:val="0"/>
            <w:adjustRightInd/>
            <w:snapToGrid/>
            <w:spacing w:line="510" w:lineRule="exact"/>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highlight w:val="none"/>
            </w:rPr>
            <w:fldChar w:fldCharType="begin"/>
          </w:r>
          <w:r>
            <w:rPr>
              <w:rFonts w:hint="eastAsia" w:ascii="仿宋_GB2312" w:hAnsi="仿宋_GB2312" w:eastAsia="仿宋_GB2312" w:cs="仿宋_GB2312"/>
              <w:sz w:val="28"/>
              <w:szCs w:val="28"/>
              <w:highlight w:val="none"/>
            </w:rPr>
            <w:instrText xml:space="preserve"> HYPERLINK \l _Toc22679 </w:instrText>
          </w:r>
          <w:r>
            <w:rPr>
              <w:rFonts w:hint="eastAsia" w:ascii="仿宋_GB2312" w:hAnsi="仿宋_GB2312" w:eastAsia="仿宋_GB2312" w:cs="仿宋_GB2312"/>
              <w:sz w:val="28"/>
              <w:szCs w:val="28"/>
              <w:highlight w:val="none"/>
            </w:rPr>
            <w:fldChar w:fldCharType="separate"/>
          </w:r>
          <w:r>
            <w:rPr>
              <w:rFonts w:hint="eastAsia" w:ascii="仿宋_GB2312" w:hAnsi="仿宋_GB2312" w:eastAsia="仿宋_GB2312" w:cs="仿宋_GB2312"/>
              <w:sz w:val="28"/>
              <w:szCs w:val="28"/>
              <w:highlight w:val="none"/>
            </w:rPr>
            <w:t>第五部分 附表</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_Toc22679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59</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highlight w:val="none"/>
            </w:rPr>
            <w:fldChar w:fldCharType="end"/>
          </w:r>
        </w:p>
        <w:p>
          <w:pPr>
            <w:pStyle w:val="14"/>
            <w:keepNext w:val="0"/>
            <w:keepLines w:val="0"/>
            <w:pageBreakBefore w:val="0"/>
            <w:widowControl w:val="0"/>
            <w:tabs>
              <w:tab w:val="right" w:leader="dot" w:pos="8845"/>
              <w:tab w:val="clear" w:pos="8296"/>
            </w:tabs>
            <w:kinsoku/>
            <w:wordWrap/>
            <w:overflowPunct/>
            <w:topLinePunct w:val="0"/>
            <w:autoSpaceDE/>
            <w:autoSpaceDN/>
            <w:bidi w:val="0"/>
            <w:adjustRightInd/>
            <w:snapToGrid/>
            <w:spacing w:line="510" w:lineRule="exact"/>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highlight w:val="none"/>
            </w:rPr>
            <w:fldChar w:fldCharType="begin"/>
          </w:r>
          <w:r>
            <w:rPr>
              <w:rFonts w:hint="eastAsia" w:ascii="仿宋_GB2312" w:hAnsi="仿宋_GB2312" w:eastAsia="仿宋_GB2312" w:cs="仿宋_GB2312"/>
              <w:sz w:val="28"/>
              <w:szCs w:val="28"/>
              <w:highlight w:val="none"/>
            </w:rPr>
            <w:instrText xml:space="preserve"> HYPERLINK \l _Toc4172 </w:instrText>
          </w:r>
          <w:r>
            <w:rPr>
              <w:rFonts w:hint="eastAsia" w:ascii="仿宋_GB2312" w:hAnsi="仿宋_GB2312" w:eastAsia="仿宋_GB2312" w:cs="仿宋_GB2312"/>
              <w:sz w:val="28"/>
              <w:szCs w:val="28"/>
              <w:highlight w:val="none"/>
            </w:rPr>
            <w:fldChar w:fldCharType="separate"/>
          </w:r>
          <w:r>
            <w:rPr>
              <w:rFonts w:hint="eastAsia" w:ascii="仿宋_GB2312" w:hAnsi="仿宋_GB2312" w:eastAsia="仿宋_GB2312" w:cs="仿宋_GB2312"/>
              <w:sz w:val="28"/>
              <w:szCs w:val="28"/>
              <w:highlight w:val="none"/>
            </w:rPr>
            <w:t>一、收</w:t>
          </w:r>
          <w:r>
            <w:rPr>
              <w:rFonts w:hint="eastAsia" w:ascii="仿宋_GB2312" w:hAnsi="仿宋_GB2312" w:eastAsia="仿宋_GB2312" w:cs="仿宋_GB2312"/>
              <w:bCs w:val="0"/>
              <w:sz w:val="28"/>
              <w:szCs w:val="28"/>
              <w:highlight w:val="none"/>
            </w:rPr>
            <w:t>入支出决算总表</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_Toc4172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59</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highlight w:val="none"/>
            </w:rPr>
            <w:fldChar w:fldCharType="end"/>
          </w:r>
        </w:p>
        <w:p>
          <w:pPr>
            <w:pStyle w:val="14"/>
            <w:keepNext w:val="0"/>
            <w:keepLines w:val="0"/>
            <w:pageBreakBefore w:val="0"/>
            <w:widowControl w:val="0"/>
            <w:tabs>
              <w:tab w:val="right" w:leader="dot" w:pos="8845"/>
              <w:tab w:val="clear" w:pos="8296"/>
            </w:tabs>
            <w:kinsoku/>
            <w:wordWrap/>
            <w:overflowPunct/>
            <w:topLinePunct w:val="0"/>
            <w:autoSpaceDE/>
            <w:autoSpaceDN/>
            <w:bidi w:val="0"/>
            <w:adjustRightInd/>
            <w:snapToGrid/>
            <w:spacing w:line="510" w:lineRule="exact"/>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highlight w:val="none"/>
            </w:rPr>
            <w:fldChar w:fldCharType="begin"/>
          </w:r>
          <w:r>
            <w:rPr>
              <w:rFonts w:hint="eastAsia" w:ascii="仿宋_GB2312" w:hAnsi="仿宋_GB2312" w:eastAsia="仿宋_GB2312" w:cs="仿宋_GB2312"/>
              <w:sz w:val="28"/>
              <w:szCs w:val="28"/>
              <w:highlight w:val="none"/>
            </w:rPr>
            <w:instrText xml:space="preserve"> HYPERLINK \l _Toc5787 </w:instrText>
          </w:r>
          <w:r>
            <w:rPr>
              <w:rFonts w:hint="eastAsia" w:ascii="仿宋_GB2312" w:hAnsi="仿宋_GB2312" w:eastAsia="仿宋_GB2312" w:cs="仿宋_GB2312"/>
              <w:sz w:val="28"/>
              <w:szCs w:val="28"/>
              <w:highlight w:val="none"/>
            </w:rPr>
            <w:fldChar w:fldCharType="separate"/>
          </w:r>
          <w:r>
            <w:rPr>
              <w:rFonts w:hint="eastAsia" w:ascii="仿宋_GB2312" w:hAnsi="仿宋_GB2312" w:eastAsia="仿宋_GB2312" w:cs="仿宋_GB2312"/>
              <w:sz w:val="28"/>
              <w:szCs w:val="28"/>
              <w:highlight w:val="none"/>
            </w:rPr>
            <w:t>二、收</w:t>
          </w:r>
          <w:r>
            <w:rPr>
              <w:rFonts w:hint="eastAsia" w:ascii="仿宋_GB2312" w:hAnsi="仿宋_GB2312" w:eastAsia="仿宋_GB2312" w:cs="仿宋_GB2312"/>
              <w:bCs w:val="0"/>
              <w:sz w:val="28"/>
              <w:szCs w:val="28"/>
              <w:highlight w:val="none"/>
            </w:rPr>
            <w:t>入决算表</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_Toc5787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59</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highlight w:val="none"/>
            </w:rPr>
            <w:fldChar w:fldCharType="end"/>
          </w:r>
        </w:p>
        <w:p>
          <w:pPr>
            <w:pStyle w:val="14"/>
            <w:keepNext w:val="0"/>
            <w:keepLines w:val="0"/>
            <w:pageBreakBefore w:val="0"/>
            <w:widowControl w:val="0"/>
            <w:tabs>
              <w:tab w:val="right" w:leader="dot" w:pos="8845"/>
              <w:tab w:val="clear" w:pos="8296"/>
            </w:tabs>
            <w:kinsoku/>
            <w:wordWrap/>
            <w:overflowPunct/>
            <w:topLinePunct w:val="0"/>
            <w:autoSpaceDE/>
            <w:autoSpaceDN/>
            <w:bidi w:val="0"/>
            <w:adjustRightInd/>
            <w:snapToGrid/>
            <w:spacing w:line="510" w:lineRule="exact"/>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highlight w:val="none"/>
            </w:rPr>
            <w:fldChar w:fldCharType="begin"/>
          </w:r>
          <w:r>
            <w:rPr>
              <w:rFonts w:hint="eastAsia" w:ascii="仿宋_GB2312" w:hAnsi="仿宋_GB2312" w:eastAsia="仿宋_GB2312" w:cs="仿宋_GB2312"/>
              <w:sz w:val="28"/>
              <w:szCs w:val="28"/>
              <w:highlight w:val="none"/>
            </w:rPr>
            <w:instrText xml:space="preserve"> HYPERLINK \l _Toc19160 </w:instrText>
          </w:r>
          <w:r>
            <w:rPr>
              <w:rFonts w:hint="eastAsia" w:ascii="仿宋_GB2312" w:hAnsi="仿宋_GB2312" w:eastAsia="仿宋_GB2312" w:cs="仿宋_GB2312"/>
              <w:sz w:val="28"/>
              <w:szCs w:val="28"/>
              <w:highlight w:val="none"/>
            </w:rPr>
            <w:fldChar w:fldCharType="separate"/>
          </w:r>
          <w:r>
            <w:rPr>
              <w:rFonts w:hint="eastAsia" w:ascii="仿宋_GB2312" w:hAnsi="仿宋_GB2312" w:eastAsia="仿宋_GB2312" w:cs="仿宋_GB2312"/>
              <w:bCs w:val="0"/>
              <w:sz w:val="28"/>
              <w:szCs w:val="28"/>
              <w:highlight w:val="none"/>
            </w:rPr>
            <w:t>三、</w:t>
          </w:r>
          <w:r>
            <w:rPr>
              <w:rFonts w:hint="eastAsia" w:ascii="仿宋_GB2312" w:hAnsi="仿宋_GB2312" w:eastAsia="仿宋_GB2312" w:cs="仿宋_GB2312"/>
              <w:sz w:val="28"/>
              <w:szCs w:val="28"/>
              <w:highlight w:val="none"/>
            </w:rPr>
            <w:t>支</w:t>
          </w:r>
          <w:r>
            <w:rPr>
              <w:rFonts w:hint="eastAsia" w:ascii="仿宋_GB2312" w:hAnsi="仿宋_GB2312" w:eastAsia="仿宋_GB2312" w:cs="仿宋_GB2312"/>
              <w:bCs w:val="0"/>
              <w:sz w:val="28"/>
              <w:szCs w:val="28"/>
              <w:highlight w:val="none"/>
            </w:rPr>
            <w:t>出决算表</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_Toc19160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59</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highlight w:val="none"/>
            </w:rPr>
            <w:fldChar w:fldCharType="end"/>
          </w:r>
        </w:p>
        <w:p>
          <w:pPr>
            <w:pStyle w:val="14"/>
            <w:keepNext w:val="0"/>
            <w:keepLines w:val="0"/>
            <w:pageBreakBefore w:val="0"/>
            <w:widowControl w:val="0"/>
            <w:tabs>
              <w:tab w:val="right" w:leader="dot" w:pos="8845"/>
              <w:tab w:val="clear" w:pos="8296"/>
            </w:tabs>
            <w:kinsoku/>
            <w:wordWrap/>
            <w:overflowPunct/>
            <w:topLinePunct w:val="0"/>
            <w:autoSpaceDE/>
            <w:autoSpaceDN/>
            <w:bidi w:val="0"/>
            <w:adjustRightInd/>
            <w:snapToGrid/>
            <w:spacing w:line="510" w:lineRule="exact"/>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highlight w:val="none"/>
            </w:rPr>
            <w:fldChar w:fldCharType="begin"/>
          </w:r>
          <w:r>
            <w:rPr>
              <w:rFonts w:hint="eastAsia" w:ascii="仿宋_GB2312" w:hAnsi="仿宋_GB2312" w:eastAsia="仿宋_GB2312" w:cs="仿宋_GB2312"/>
              <w:sz w:val="28"/>
              <w:szCs w:val="28"/>
              <w:highlight w:val="none"/>
            </w:rPr>
            <w:instrText xml:space="preserve"> HYPERLINK \l _Toc10838 </w:instrText>
          </w:r>
          <w:r>
            <w:rPr>
              <w:rFonts w:hint="eastAsia" w:ascii="仿宋_GB2312" w:hAnsi="仿宋_GB2312" w:eastAsia="仿宋_GB2312" w:cs="仿宋_GB2312"/>
              <w:sz w:val="28"/>
              <w:szCs w:val="28"/>
              <w:highlight w:val="none"/>
            </w:rPr>
            <w:fldChar w:fldCharType="separate"/>
          </w:r>
          <w:r>
            <w:rPr>
              <w:rFonts w:hint="eastAsia" w:ascii="仿宋_GB2312" w:hAnsi="仿宋_GB2312" w:eastAsia="仿宋_GB2312" w:cs="仿宋_GB2312"/>
              <w:bCs w:val="0"/>
              <w:sz w:val="28"/>
              <w:szCs w:val="28"/>
              <w:highlight w:val="none"/>
            </w:rPr>
            <w:t>四、</w:t>
          </w:r>
          <w:r>
            <w:rPr>
              <w:rFonts w:hint="eastAsia" w:ascii="仿宋_GB2312" w:hAnsi="仿宋_GB2312" w:eastAsia="仿宋_GB2312" w:cs="仿宋_GB2312"/>
              <w:sz w:val="28"/>
              <w:szCs w:val="28"/>
              <w:highlight w:val="none"/>
            </w:rPr>
            <w:t>财</w:t>
          </w:r>
          <w:r>
            <w:rPr>
              <w:rFonts w:hint="eastAsia" w:ascii="仿宋_GB2312" w:hAnsi="仿宋_GB2312" w:eastAsia="仿宋_GB2312" w:cs="仿宋_GB2312"/>
              <w:bCs w:val="0"/>
              <w:sz w:val="28"/>
              <w:szCs w:val="28"/>
              <w:highlight w:val="none"/>
            </w:rPr>
            <w:t>政拨款收入支出决算总表</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_Toc10838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59</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highlight w:val="none"/>
            </w:rPr>
            <w:fldChar w:fldCharType="end"/>
          </w:r>
        </w:p>
        <w:p>
          <w:pPr>
            <w:pStyle w:val="14"/>
            <w:keepNext w:val="0"/>
            <w:keepLines w:val="0"/>
            <w:pageBreakBefore w:val="0"/>
            <w:widowControl w:val="0"/>
            <w:tabs>
              <w:tab w:val="right" w:leader="dot" w:pos="8845"/>
              <w:tab w:val="clear" w:pos="8296"/>
            </w:tabs>
            <w:kinsoku/>
            <w:wordWrap/>
            <w:overflowPunct/>
            <w:topLinePunct w:val="0"/>
            <w:autoSpaceDE/>
            <w:autoSpaceDN/>
            <w:bidi w:val="0"/>
            <w:adjustRightInd/>
            <w:snapToGrid/>
            <w:spacing w:line="510" w:lineRule="exact"/>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highlight w:val="none"/>
            </w:rPr>
            <w:fldChar w:fldCharType="begin"/>
          </w:r>
          <w:r>
            <w:rPr>
              <w:rFonts w:hint="eastAsia" w:ascii="仿宋_GB2312" w:hAnsi="仿宋_GB2312" w:eastAsia="仿宋_GB2312" w:cs="仿宋_GB2312"/>
              <w:sz w:val="28"/>
              <w:szCs w:val="28"/>
              <w:highlight w:val="none"/>
            </w:rPr>
            <w:instrText xml:space="preserve"> HYPERLINK \l _Toc25130 </w:instrText>
          </w:r>
          <w:r>
            <w:rPr>
              <w:rFonts w:hint="eastAsia" w:ascii="仿宋_GB2312" w:hAnsi="仿宋_GB2312" w:eastAsia="仿宋_GB2312" w:cs="仿宋_GB2312"/>
              <w:sz w:val="28"/>
              <w:szCs w:val="28"/>
              <w:highlight w:val="none"/>
            </w:rPr>
            <w:fldChar w:fldCharType="separate"/>
          </w:r>
          <w:r>
            <w:rPr>
              <w:rFonts w:hint="eastAsia" w:ascii="仿宋_GB2312" w:hAnsi="仿宋_GB2312" w:eastAsia="仿宋_GB2312" w:cs="仿宋_GB2312"/>
              <w:bCs w:val="0"/>
              <w:sz w:val="28"/>
              <w:szCs w:val="28"/>
              <w:highlight w:val="none"/>
            </w:rPr>
            <w:t>五、</w:t>
          </w:r>
          <w:r>
            <w:rPr>
              <w:rFonts w:hint="eastAsia" w:ascii="仿宋_GB2312" w:hAnsi="仿宋_GB2312" w:eastAsia="仿宋_GB2312" w:cs="仿宋_GB2312"/>
              <w:sz w:val="28"/>
              <w:szCs w:val="28"/>
              <w:highlight w:val="none"/>
            </w:rPr>
            <w:t>财</w:t>
          </w:r>
          <w:r>
            <w:rPr>
              <w:rFonts w:hint="eastAsia" w:ascii="仿宋_GB2312" w:hAnsi="仿宋_GB2312" w:eastAsia="仿宋_GB2312" w:cs="仿宋_GB2312"/>
              <w:bCs w:val="0"/>
              <w:sz w:val="28"/>
              <w:szCs w:val="28"/>
              <w:highlight w:val="none"/>
            </w:rPr>
            <w:t>政拨款支出决算明细表</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_Toc25130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59</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highlight w:val="none"/>
            </w:rPr>
            <w:fldChar w:fldCharType="end"/>
          </w:r>
        </w:p>
        <w:p>
          <w:pPr>
            <w:pStyle w:val="14"/>
            <w:keepNext w:val="0"/>
            <w:keepLines w:val="0"/>
            <w:pageBreakBefore w:val="0"/>
            <w:widowControl w:val="0"/>
            <w:tabs>
              <w:tab w:val="right" w:leader="dot" w:pos="8845"/>
              <w:tab w:val="clear" w:pos="8296"/>
            </w:tabs>
            <w:kinsoku/>
            <w:wordWrap/>
            <w:overflowPunct/>
            <w:topLinePunct w:val="0"/>
            <w:autoSpaceDE/>
            <w:autoSpaceDN/>
            <w:bidi w:val="0"/>
            <w:adjustRightInd/>
            <w:snapToGrid/>
            <w:spacing w:line="510" w:lineRule="exact"/>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highlight w:val="none"/>
            </w:rPr>
            <w:fldChar w:fldCharType="begin"/>
          </w:r>
          <w:r>
            <w:rPr>
              <w:rFonts w:hint="eastAsia" w:ascii="仿宋_GB2312" w:hAnsi="仿宋_GB2312" w:eastAsia="仿宋_GB2312" w:cs="仿宋_GB2312"/>
              <w:sz w:val="28"/>
              <w:szCs w:val="28"/>
              <w:highlight w:val="none"/>
            </w:rPr>
            <w:instrText xml:space="preserve"> HYPERLINK \l _Toc5878 </w:instrText>
          </w:r>
          <w:r>
            <w:rPr>
              <w:rFonts w:hint="eastAsia" w:ascii="仿宋_GB2312" w:hAnsi="仿宋_GB2312" w:eastAsia="仿宋_GB2312" w:cs="仿宋_GB2312"/>
              <w:sz w:val="28"/>
              <w:szCs w:val="28"/>
              <w:highlight w:val="none"/>
            </w:rPr>
            <w:fldChar w:fldCharType="separate"/>
          </w:r>
          <w:r>
            <w:rPr>
              <w:rFonts w:hint="eastAsia" w:ascii="仿宋_GB2312" w:hAnsi="仿宋_GB2312" w:eastAsia="仿宋_GB2312" w:cs="仿宋_GB2312"/>
              <w:bCs w:val="0"/>
              <w:sz w:val="28"/>
              <w:szCs w:val="28"/>
              <w:highlight w:val="none"/>
            </w:rPr>
            <w:t>六、</w:t>
          </w:r>
          <w:r>
            <w:rPr>
              <w:rFonts w:hint="eastAsia" w:ascii="仿宋_GB2312" w:hAnsi="仿宋_GB2312" w:eastAsia="仿宋_GB2312" w:cs="仿宋_GB2312"/>
              <w:sz w:val="28"/>
              <w:szCs w:val="28"/>
              <w:highlight w:val="none"/>
            </w:rPr>
            <w:t>一</w:t>
          </w:r>
          <w:r>
            <w:rPr>
              <w:rFonts w:hint="eastAsia" w:ascii="仿宋_GB2312" w:hAnsi="仿宋_GB2312" w:eastAsia="仿宋_GB2312" w:cs="仿宋_GB2312"/>
              <w:bCs w:val="0"/>
              <w:sz w:val="28"/>
              <w:szCs w:val="28"/>
              <w:highlight w:val="none"/>
            </w:rPr>
            <w:t>般公共预算财政拨款支出决算表</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_Toc5878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59</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highlight w:val="none"/>
            </w:rPr>
            <w:fldChar w:fldCharType="end"/>
          </w:r>
        </w:p>
        <w:p>
          <w:pPr>
            <w:pStyle w:val="14"/>
            <w:keepNext w:val="0"/>
            <w:keepLines w:val="0"/>
            <w:pageBreakBefore w:val="0"/>
            <w:widowControl w:val="0"/>
            <w:tabs>
              <w:tab w:val="right" w:leader="dot" w:pos="8845"/>
              <w:tab w:val="clear" w:pos="8296"/>
            </w:tabs>
            <w:kinsoku/>
            <w:wordWrap/>
            <w:overflowPunct/>
            <w:topLinePunct w:val="0"/>
            <w:autoSpaceDE/>
            <w:autoSpaceDN/>
            <w:bidi w:val="0"/>
            <w:adjustRightInd/>
            <w:snapToGrid/>
            <w:spacing w:line="510" w:lineRule="exact"/>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highlight w:val="none"/>
            </w:rPr>
            <w:fldChar w:fldCharType="begin"/>
          </w:r>
          <w:r>
            <w:rPr>
              <w:rFonts w:hint="eastAsia" w:ascii="仿宋_GB2312" w:hAnsi="仿宋_GB2312" w:eastAsia="仿宋_GB2312" w:cs="仿宋_GB2312"/>
              <w:sz w:val="28"/>
              <w:szCs w:val="28"/>
              <w:highlight w:val="none"/>
            </w:rPr>
            <w:instrText xml:space="preserve"> HYPERLINK \l _Toc1584 </w:instrText>
          </w:r>
          <w:r>
            <w:rPr>
              <w:rFonts w:hint="eastAsia" w:ascii="仿宋_GB2312" w:hAnsi="仿宋_GB2312" w:eastAsia="仿宋_GB2312" w:cs="仿宋_GB2312"/>
              <w:sz w:val="28"/>
              <w:szCs w:val="28"/>
              <w:highlight w:val="none"/>
            </w:rPr>
            <w:fldChar w:fldCharType="separate"/>
          </w:r>
          <w:r>
            <w:rPr>
              <w:rFonts w:hint="eastAsia" w:ascii="仿宋_GB2312" w:hAnsi="仿宋_GB2312" w:eastAsia="仿宋_GB2312" w:cs="仿宋_GB2312"/>
              <w:bCs w:val="0"/>
              <w:sz w:val="28"/>
              <w:szCs w:val="28"/>
              <w:highlight w:val="none"/>
            </w:rPr>
            <w:t>七、</w:t>
          </w:r>
          <w:r>
            <w:rPr>
              <w:rFonts w:hint="eastAsia" w:ascii="仿宋_GB2312" w:hAnsi="仿宋_GB2312" w:eastAsia="仿宋_GB2312" w:cs="仿宋_GB2312"/>
              <w:sz w:val="28"/>
              <w:szCs w:val="28"/>
              <w:highlight w:val="none"/>
            </w:rPr>
            <w:t>一</w:t>
          </w:r>
          <w:r>
            <w:rPr>
              <w:rFonts w:hint="eastAsia" w:ascii="仿宋_GB2312" w:hAnsi="仿宋_GB2312" w:eastAsia="仿宋_GB2312" w:cs="仿宋_GB2312"/>
              <w:bCs w:val="0"/>
              <w:sz w:val="28"/>
              <w:szCs w:val="28"/>
              <w:highlight w:val="none"/>
            </w:rPr>
            <w:t>般公共预算财政拨款支出决算明细表</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_Toc1584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59</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highlight w:val="none"/>
            </w:rPr>
            <w:fldChar w:fldCharType="end"/>
          </w:r>
        </w:p>
        <w:p>
          <w:pPr>
            <w:pStyle w:val="14"/>
            <w:keepNext w:val="0"/>
            <w:keepLines w:val="0"/>
            <w:pageBreakBefore w:val="0"/>
            <w:widowControl w:val="0"/>
            <w:tabs>
              <w:tab w:val="right" w:leader="dot" w:pos="8845"/>
              <w:tab w:val="clear" w:pos="8296"/>
            </w:tabs>
            <w:kinsoku/>
            <w:wordWrap/>
            <w:overflowPunct/>
            <w:topLinePunct w:val="0"/>
            <w:autoSpaceDE/>
            <w:autoSpaceDN/>
            <w:bidi w:val="0"/>
            <w:adjustRightInd/>
            <w:snapToGrid/>
            <w:spacing w:line="510" w:lineRule="exact"/>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highlight w:val="none"/>
            </w:rPr>
            <w:fldChar w:fldCharType="begin"/>
          </w:r>
          <w:r>
            <w:rPr>
              <w:rFonts w:hint="eastAsia" w:ascii="仿宋_GB2312" w:hAnsi="仿宋_GB2312" w:eastAsia="仿宋_GB2312" w:cs="仿宋_GB2312"/>
              <w:sz w:val="28"/>
              <w:szCs w:val="28"/>
              <w:highlight w:val="none"/>
            </w:rPr>
            <w:instrText xml:space="preserve"> HYPERLINK \l _Toc26710 </w:instrText>
          </w:r>
          <w:r>
            <w:rPr>
              <w:rFonts w:hint="eastAsia" w:ascii="仿宋_GB2312" w:hAnsi="仿宋_GB2312" w:eastAsia="仿宋_GB2312" w:cs="仿宋_GB2312"/>
              <w:sz w:val="28"/>
              <w:szCs w:val="28"/>
              <w:highlight w:val="none"/>
            </w:rPr>
            <w:fldChar w:fldCharType="separate"/>
          </w:r>
          <w:r>
            <w:rPr>
              <w:rFonts w:hint="eastAsia" w:ascii="仿宋_GB2312" w:hAnsi="仿宋_GB2312" w:eastAsia="仿宋_GB2312" w:cs="仿宋_GB2312"/>
              <w:bCs w:val="0"/>
              <w:sz w:val="28"/>
              <w:szCs w:val="28"/>
              <w:highlight w:val="none"/>
            </w:rPr>
            <w:t>八、</w:t>
          </w:r>
          <w:r>
            <w:rPr>
              <w:rFonts w:hint="eastAsia" w:ascii="仿宋_GB2312" w:hAnsi="仿宋_GB2312" w:eastAsia="仿宋_GB2312" w:cs="仿宋_GB2312"/>
              <w:sz w:val="28"/>
              <w:szCs w:val="28"/>
              <w:highlight w:val="none"/>
            </w:rPr>
            <w:t>一</w:t>
          </w:r>
          <w:r>
            <w:rPr>
              <w:rFonts w:hint="eastAsia" w:ascii="仿宋_GB2312" w:hAnsi="仿宋_GB2312" w:eastAsia="仿宋_GB2312" w:cs="仿宋_GB2312"/>
              <w:bCs w:val="0"/>
              <w:sz w:val="28"/>
              <w:szCs w:val="28"/>
              <w:highlight w:val="none"/>
            </w:rPr>
            <w:t>般公共预算财政拨款基本支出决算表</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_Toc26710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59</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highlight w:val="none"/>
            </w:rPr>
            <w:fldChar w:fldCharType="end"/>
          </w:r>
        </w:p>
        <w:p>
          <w:pPr>
            <w:pStyle w:val="14"/>
            <w:keepNext w:val="0"/>
            <w:keepLines w:val="0"/>
            <w:pageBreakBefore w:val="0"/>
            <w:widowControl w:val="0"/>
            <w:tabs>
              <w:tab w:val="right" w:leader="dot" w:pos="8845"/>
              <w:tab w:val="clear" w:pos="8296"/>
            </w:tabs>
            <w:kinsoku/>
            <w:wordWrap/>
            <w:overflowPunct/>
            <w:topLinePunct w:val="0"/>
            <w:autoSpaceDE/>
            <w:autoSpaceDN/>
            <w:bidi w:val="0"/>
            <w:adjustRightInd/>
            <w:snapToGrid/>
            <w:spacing w:line="510" w:lineRule="exact"/>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highlight w:val="none"/>
            </w:rPr>
            <w:fldChar w:fldCharType="begin"/>
          </w:r>
          <w:r>
            <w:rPr>
              <w:rFonts w:hint="eastAsia" w:ascii="仿宋_GB2312" w:hAnsi="仿宋_GB2312" w:eastAsia="仿宋_GB2312" w:cs="仿宋_GB2312"/>
              <w:sz w:val="28"/>
              <w:szCs w:val="28"/>
              <w:highlight w:val="none"/>
            </w:rPr>
            <w:instrText xml:space="preserve"> HYPERLINK \l _Toc26709 </w:instrText>
          </w:r>
          <w:r>
            <w:rPr>
              <w:rFonts w:hint="eastAsia" w:ascii="仿宋_GB2312" w:hAnsi="仿宋_GB2312" w:eastAsia="仿宋_GB2312" w:cs="仿宋_GB2312"/>
              <w:sz w:val="28"/>
              <w:szCs w:val="28"/>
              <w:highlight w:val="none"/>
            </w:rPr>
            <w:fldChar w:fldCharType="separate"/>
          </w:r>
          <w:r>
            <w:rPr>
              <w:rFonts w:hint="eastAsia" w:ascii="仿宋_GB2312" w:hAnsi="仿宋_GB2312" w:eastAsia="仿宋_GB2312" w:cs="仿宋_GB2312"/>
              <w:bCs w:val="0"/>
              <w:sz w:val="28"/>
              <w:szCs w:val="28"/>
              <w:highlight w:val="none"/>
            </w:rPr>
            <w:t>九、</w:t>
          </w:r>
          <w:r>
            <w:rPr>
              <w:rFonts w:hint="eastAsia" w:ascii="仿宋_GB2312" w:hAnsi="仿宋_GB2312" w:eastAsia="仿宋_GB2312" w:cs="仿宋_GB2312"/>
              <w:sz w:val="28"/>
              <w:szCs w:val="28"/>
              <w:highlight w:val="none"/>
            </w:rPr>
            <w:t>一</w:t>
          </w:r>
          <w:r>
            <w:rPr>
              <w:rFonts w:hint="eastAsia" w:ascii="仿宋_GB2312" w:hAnsi="仿宋_GB2312" w:eastAsia="仿宋_GB2312" w:cs="仿宋_GB2312"/>
              <w:bCs w:val="0"/>
              <w:sz w:val="28"/>
              <w:szCs w:val="28"/>
              <w:highlight w:val="none"/>
            </w:rPr>
            <w:t>般公共预算财政拨款项目支出决算表</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_Toc26709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59</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highlight w:val="none"/>
            </w:rPr>
            <w:fldChar w:fldCharType="end"/>
          </w:r>
        </w:p>
        <w:p>
          <w:pPr>
            <w:pStyle w:val="14"/>
            <w:keepNext w:val="0"/>
            <w:keepLines w:val="0"/>
            <w:pageBreakBefore w:val="0"/>
            <w:widowControl w:val="0"/>
            <w:tabs>
              <w:tab w:val="right" w:leader="dot" w:pos="8845"/>
              <w:tab w:val="clear" w:pos="8296"/>
            </w:tabs>
            <w:kinsoku/>
            <w:wordWrap/>
            <w:overflowPunct/>
            <w:topLinePunct w:val="0"/>
            <w:autoSpaceDE/>
            <w:autoSpaceDN/>
            <w:bidi w:val="0"/>
            <w:adjustRightInd/>
            <w:snapToGrid/>
            <w:spacing w:line="510" w:lineRule="exact"/>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highlight w:val="none"/>
            </w:rPr>
            <w:fldChar w:fldCharType="begin"/>
          </w:r>
          <w:r>
            <w:rPr>
              <w:rFonts w:hint="eastAsia" w:ascii="仿宋_GB2312" w:hAnsi="仿宋_GB2312" w:eastAsia="仿宋_GB2312" w:cs="仿宋_GB2312"/>
              <w:sz w:val="28"/>
              <w:szCs w:val="28"/>
              <w:highlight w:val="none"/>
            </w:rPr>
            <w:instrText xml:space="preserve"> HYPERLINK \l _Toc4916 </w:instrText>
          </w:r>
          <w:r>
            <w:rPr>
              <w:rFonts w:hint="eastAsia" w:ascii="仿宋_GB2312" w:hAnsi="仿宋_GB2312" w:eastAsia="仿宋_GB2312" w:cs="仿宋_GB2312"/>
              <w:sz w:val="28"/>
              <w:szCs w:val="28"/>
              <w:highlight w:val="none"/>
            </w:rPr>
            <w:fldChar w:fldCharType="separate"/>
          </w:r>
          <w:r>
            <w:rPr>
              <w:rFonts w:hint="eastAsia" w:ascii="仿宋_GB2312" w:hAnsi="仿宋_GB2312" w:eastAsia="仿宋_GB2312" w:cs="仿宋_GB2312"/>
              <w:bCs w:val="0"/>
              <w:sz w:val="28"/>
              <w:szCs w:val="28"/>
              <w:highlight w:val="none"/>
            </w:rPr>
            <w:t>十、</w:t>
          </w:r>
          <w:r>
            <w:rPr>
              <w:rFonts w:hint="eastAsia" w:ascii="仿宋_GB2312" w:hAnsi="仿宋_GB2312" w:eastAsia="仿宋_GB2312" w:cs="仿宋_GB2312"/>
              <w:sz w:val="28"/>
              <w:szCs w:val="28"/>
              <w:highlight w:val="none"/>
            </w:rPr>
            <w:t>政</w:t>
          </w:r>
          <w:r>
            <w:rPr>
              <w:rFonts w:hint="eastAsia" w:ascii="仿宋_GB2312" w:hAnsi="仿宋_GB2312" w:eastAsia="仿宋_GB2312" w:cs="仿宋_GB2312"/>
              <w:bCs w:val="0"/>
              <w:sz w:val="28"/>
              <w:szCs w:val="28"/>
              <w:highlight w:val="none"/>
            </w:rPr>
            <w:t>府性基金预算财政拨款收入支出决算表</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_Toc4916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59</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highlight w:val="none"/>
            </w:rPr>
            <w:fldChar w:fldCharType="end"/>
          </w:r>
        </w:p>
        <w:p>
          <w:pPr>
            <w:pStyle w:val="14"/>
            <w:keepNext w:val="0"/>
            <w:keepLines w:val="0"/>
            <w:pageBreakBefore w:val="0"/>
            <w:widowControl w:val="0"/>
            <w:tabs>
              <w:tab w:val="right" w:leader="dot" w:pos="8845"/>
              <w:tab w:val="clear" w:pos="8296"/>
            </w:tabs>
            <w:kinsoku/>
            <w:wordWrap/>
            <w:overflowPunct/>
            <w:topLinePunct w:val="0"/>
            <w:autoSpaceDE/>
            <w:autoSpaceDN/>
            <w:bidi w:val="0"/>
            <w:adjustRightInd/>
            <w:snapToGrid/>
            <w:spacing w:line="510" w:lineRule="exact"/>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highlight w:val="none"/>
            </w:rPr>
            <w:fldChar w:fldCharType="begin"/>
          </w:r>
          <w:r>
            <w:rPr>
              <w:rFonts w:hint="eastAsia" w:ascii="仿宋_GB2312" w:hAnsi="仿宋_GB2312" w:eastAsia="仿宋_GB2312" w:cs="仿宋_GB2312"/>
              <w:sz w:val="28"/>
              <w:szCs w:val="28"/>
              <w:highlight w:val="none"/>
            </w:rPr>
            <w:instrText xml:space="preserve"> HYPERLINK \l _Toc30582 </w:instrText>
          </w:r>
          <w:r>
            <w:rPr>
              <w:rFonts w:hint="eastAsia" w:ascii="仿宋_GB2312" w:hAnsi="仿宋_GB2312" w:eastAsia="仿宋_GB2312" w:cs="仿宋_GB2312"/>
              <w:sz w:val="28"/>
              <w:szCs w:val="28"/>
              <w:highlight w:val="none"/>
            </w:rPr>
            <w:fldChar w:fldCharType="separate"/>
          </w:r>
          <w:r>
            <w:rPr>
              <w:rFonts w:hint="eastAsia" w:ascii="仿宋_GB2312" w:hAnsi="仿宋_GB2312" w:eastAsia="仿宋_GB2312" w:cs="仿宋_GB2312"/>
              <w:bCs w:val="0"/>
              <w:sz w:val="28"/>
              <w:szCs w:val="28"/>
              <w:highlight w:val="none"/>
            </w:rPr>
            <w:t>十一、</w:t>
          </w:r>
          <w:r>
            <w:rPr>
              <w:rFonts w:hint="eastAsia" w:ascii="仿宋_GB2312" w:hAnsi="仿宋_GB2312" w:eastAsia="仿宋_GB2312" w:cs="仿宋_GB2312"/>
              <w:sz w:val="28"/>
              <w:szCs w:val="28"/>
              <w:highlight w:val="none"/>
            </w:rPr>
            <w:t>国</w:t>
          </w:r>
          <w:r>
            <w:rPr>
              <w:rFonts w:hint="eastAsia" w:ascii="仿宋_GB2312" w:hAnsi="仿宋_GB2312" w:eastAsia="仿宋_GB2312" w:cs="仿宋_GB2312"/>
              <w:bCs w:val="0"/>
              <w:sz w:val="28"/>
              <w:szCs w:val="28"/>
              <w:highlight w:val="none"/>
            </w:rPr>
            <w:t>有资本经营预算</w:t>
          </w:r>
          <w:r>
            <w:rPr>
              <w:rFonts w:hint="eastAsia" w:ascii="仿宋_GB2312" w:hAnsi="仿宋_GB2312" w:eastAsia="仿宋_GB2312" w:cs="仿宋_GB2312"/>
              <w:bCs w:val="0"/>
              <w:sz w:val="28"/>
              <w:szCs w:val="28"/>
              <w:highlight w:val="none"/>
              <w:lang w:eastAsia="zh-CN"/>
            </w:rPr>
            <w:t>财政拨款收入</w:t>
          </w:r>
          <w:r>
            <w:rPr>
              <w:rFonts w:hint="eastAsia" w:ascii="仿宋_GB2312" w:hAnsi="仿宋_GB2312" w:eastAsia="仿宋_GB2312" w:cs="仿宋_GB2312"/>
              <w:bCs w:val="0"/>
              <w:sz w:val="28"/>
              <w:szCs w:val="28"/>
              <w:highlight w:val="none"/>
            </w:rPr>
            <w:t>支出决算表</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_Toc30582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59</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highlight w:val="none"/>
            </w:rPr>
            <w:fldChar w:fldCharType="end"/>
          </w:r>
        </w:p>
        <w:p>
          <w:pPr>
            <w:pStyle w:val="14"/>
            <w:keepNext w:val="0"/>
            <w:keepLines w:val="0"/>
            <w:pageBreakBefore w:val="0"/>
            <w:widowControl w:val="0"/>
            <w:tabs>
              <w:tab w:val="right" w:leader="dot" w:pos="8845"/>
              <w:tab w:val="clear" w:pos="8296"/>
            </w:tabs>
            <w:kinsoku/>
            <w:wordWrap/>
            <w:overflowPunct/>
            <w:topLinePunct w:val="0"/>
            <w:autoSpaceDE/>
            <w:autoSpaceDN/>
            <w:bidi w:val="0"/>
            <w:adjustRightInd/>
            <w:snapToGrid/>
            <w:spacing w:line="510" w:lineRule="exact"/>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highlight w:val="none"/>
            </w:rPr>
            <w:fldChar w:fldCharType="begin"/>
          </w:r>
          <w:r>
            <w:rPr>
              <w:rFonts w:hint="eastAsia" w:ascii="仿宋_GB2312" w:hAnsi="仿宋_GB2312" w:eastAsia="仿宋_GB2312" w:cs="仿宋_GB2312"/>
              <w:sz w:val="28"/>
              <w:szCs w:val="28"/>
              <w:highlight w:val="none"/>
            </w:rPr>
            <w:instrText xml:space="preserve"> HYPERLINK \l _Toc11200 </w:instrText>
          </w:r>
          <w:r>
            <w:rPr>
              <w:rFonts w:hint="eastAsia" w:ascii="仿宋_GB2312" w:hAnsi="仿宋_GB2312" w:eastAsia="仿宋_GB2312" w:cs="仿宋_GB2312"/>
              <w:sz w:val="28"/>
              <w:szCs w:val="28"/>
              <w:highlight w:val="none"/>
            </w:rPr>
            <w:fldChar w:fldCharType="separate"/>
          </w:r>
          <w:r>
            <w:rPr>
              <w:rFonts w:hint="eastAsia" w:ascii="仿宋_GB2312" w:hAnsi="仿宋_GB2312" w:eastAsia="仿宋_GB2312" w:cs="仿宋_GB2312"/>
              <w:bCs w:val="0"/>
              <w:sz w:val="28"/>
              <w:szCs w:val="28"/>
              <w:highlight w:val="none"/>
            </w:rPr>
            <w:t>十二、</w:t>
          </w:r>
          <w:r>
            <w:rPr>
              <w:rFonts w:hint="eastAsia" w:ascii="仿宋_GB2312" w:hAnsi="仿宋_GB2312" w:eastAsia="仿宋_GB2312" w:cs="仿宋_GB2312"/>
              <w:bCs w:val="0"/>
              <w:sz w:val="28"/>
              <w:szCs w:val="28"/>
              <w:highlight w:val="none"/>
              <w:lang w:eastAsia="zh-CN"/>
            </w:rPr>
            <w:t>国有资本经营预算财政拨款支出决算表</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_Toc11200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59</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highlight w:val="none"/>
            </w:rPr>
            <w:fldChar w:fldCharType="end"/>
          </w:r>
        </w:p>
        <w:p>
          <w:pPr>
            <w:pStyle w:val="14"/>
            <w:keepNext w:val="0"/>
            <w:keepLines w:val="0"/>
            <w:pageBreakBefore w:val="0"/>
            <w:widowControl w:val="0"/>
            <w:tabs>
              <w:tab w:val="right" w:leader="dot" w:pos="8845"/>
              <w:tab w:val="clear" w:pos="8296"/>
            </w:tabs>
            <w:kinsoku/>
            <w:wordWrap/>
            <w:overflowPunct/>
            <w:topLinePunct w:val="0"/>
            <w:autoSpaceDE/>
            <w:autoSpaceDN/>
            <w:bidi w:val="0"/>
            <w:adjustRightInd/>
            <w:snapToGrid/>
            <w:spacing w:line="510" w:lineRule="exact"/>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highlight w:val="none"/>
            </w:rPr>
            <w:fldChar w:fldCharType="begin"/>
          </w:r>
          <w:r>
            <w:rPr>
              <w:rFonts w:hint="eastAsia" w:ascii="仿宋_GB2312" w:hAnsi="仿宋_GB2312" w:eastAsia="仿宋_GB2312" w:cs="仿宋_GB2312"/>
              <w:sz w:val="28"/>
              <w:szCs w:val="28"/>
              <w:highlight w:val="none"/>
            </w:rPr>
            <w:instrText xml:space="preserve"> HYPERLINK \l _Toc31906 </w:instrText>
          </w:r>
          <w:r>
            <w:rPr>
              <w:rFonts w:hint="eastAsia" w:ascii="仿宋_GB2312" w:hAnsi="仿宋_GB2312" w:eastAsia="仿宋_GB2312" w:cs="仿宋_GB2312"/>
              <w:sz w:val="28"/>
              <w:szCs w:val="28"/>
              <w:highlight w:val="none"/>
            </w:rPr>
            <w:fldChar w:fldCharType="separate"/>
          </w:r>
          <w:r>
            <w:rPr>
              <w:rFonts w:hint="eastAsia" w:ascii="仿宋_GB2312" w:hAnsi="仿宋_GB2312" w:eastAsia="仿宋_GB2312" w:cs="仿宋_GB2312"/>
              <w:bCs w:val="0"/>
              <w:sz w:val="28"/>
              <w:szCs w:val="28"/>
              <w:highlight w:val="none"/>
            </w:rPr>
            <w:t>十三、</w:t>
          </w:r>
          <w:r>
            <w:rPr>
              <w:rFonts w:hint="eastAsia" w:ascii="仿宋_GB2312" w:hAnsi="仿宋_GB2312" w:eastAsia="仿宋_GB2312" w:cs="仿宋_GB2312"/>
              <w:bCs w:val="0"/>
              <w:sz w:val="28"/>
              <w:szCs w:val="28"/>
              <w:highlight w:val="none"/>
              <w:lang w:eastAsia="zh-CN"/>
            </w:rPr>
            <w:t>财政拨款“三公”经费支出决算表</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_Toc31906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59</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highlight w:val="none"/>
            </w:rPr>
            <w:fldChar w:fldCharType="end"/>
          </w:r>
        </w:p>
        <w:p>
          <w:pPr>
            <w:keepNext w:val="0"/>
            <w:keepLines w:val="0"/>
            <w:pageBreakBefore w:val="0"/>
            <w:widowControl w:val="0"/>
            <w:kinsoku/>
            <w:wordWrap/>
            <w:overflowPunct/>
            <w:topLinePunct w:val="0"/>
            <w:autoSpaceDE/>
            <w:autoSpaceDN/>
            <w:bidi w:val="0"/>
            <w:adjustRightInd/>
            <w:snapToGrid/>
            <w:spacing w:before="0" w:beforeLines="0" w:after="0" w:afterLines="0" w:line="510" w:lineRule="exact"/>
            <w:ind w:left="0" w:leftChars="0" w:right="0" w:rightChars="0" w:firstLine="0" w:firstLineChars="0"/>
            <w:jc w:val="both"/>
            <w:textAlignment w:val="auto"/>
            <w:rPr>
              <w:highlight w:val="none"/>
            </w:rPr>
          </w:pPr>
          <w:r>
            <w:rPr>
              <w:highlight w:val="none"/>
            </w:rPr>
            <w:fldChar w:fldCharType="end"/>
          </w:r>
        </w:p>
      </w:sdtContent>
    </w:sdt>
    <w:p>
      <w:pPr>
        <w:pStyle w:val="3"/>
        <w:pageBreakBefore w:val="0"/>
        <w:kinsoku/>
        <w:wordWrap/>
        <w:overflowPunct/>
        <w:topLinePunct w:val="0"/>
        <w:bidi w:val="0"/>
        <w:spacing w:line="576" w:lineRule="exact"/>
        <w:jc w:val="center"/>
        <w:textAlignment w:val="auto"/>
        <w:rPr>
          <w:rFonts w:hint="eastAsia" w:ascii="黑体" w:hAnsi="黑体" w:eastAsia="黑体"/>
          <w:b w:val="0"/>
          <w:color w:val="auto"/>
          <w:highlight w:val="none"/>
        </w:rPr>
        <w:sectPr>
          <w:headerReference r:id="rId3" w:type="default"/>
          <w:footerReference r:id="rId4" w:type="default"/>
          <w:pgSz w:w="11906" w:h="16838"/>
          <w:pgMar w:top="1984" w:right="1474" w:bottom="1871" w:left="1587" w:header="851" w:footer="992" w:gutter="0"/>
          <w:pgNumType w:fmt="decimal" w:start="1"/>
          <w:cols w:space="0" w:num="1"/>
          <w:titlePg/>
          <w:rtlGutter w:val="0"/>
          <w:docGrid w:type="lines" w:linePitch="312" w:charSpace="0"/>
        </w:sectPr>
      </w:pPr>
    </w:p>
    <w:p>
      <w:pPr>
        <w:pStyle w:val="3"/>
        <w:pageBreakBefore w:val="0"/>
        <w:kinsoku/>
        <w:wordWrap/>
        <w:overflowPunct/>
        <w:topLinePunct w:val="0"/>
        <w:bidi w:val="0"/>
        <w:spacing w:line="576" w:lineRule="exact"/>
        <w:jc w:val="center"/>
        <w:textAlignment w:val="auto"/>
        <w:rPr>
          <w:rStyle w:val="28"/>
          <w:rFonts w:ascii="黑体" w:hAnsi="黑体" w:eastAsia="黑体"/>
          <w:b/>
          <w:bCs w:val="0"/>
          <w:color w:val="auto"/>
          <w:highlight w:val="none"/>
        </w:rPr>
      </w:pPr>
      <w:bookmarkStart w:id="18" w:name="_Toc17887"/>
      <w:r>
        <w:rPr>
          <w:rFonts w:hint="eastAsia" w:ascii="黑体" w:hAnsi="黑体" w:eastAsia="黑体"/>
          <w:b w:val="0"/>
          <w:color w:val="auto"/>
          <w:highlight w:val="none"/>
        </w:rPr>
        <w:t xml:space="preserve">第一部分 </w:t>
      </w:r>
      <w:r>
        <w:rPr>
          <w:rStyle w:val="28"/>
          <w:rFonts w:hint="eastAsia" w:ascii="黑体" w:hAnsi="黑体" w:eastAsia="黑体"/>
          <w:b w:val="0"/>
          <w:bCs w:val="0"/>
          <w:color w:val="auto"/>
          <w:highlight w:val="none"/>
        </w:rPr>
        <w:t>部门概况</w:t>
      </w:r>
      <w:bookmarkEnd w:id="18"/>
    </w:p>
    <w:p>
      <w:pPr>
        <w:pageBreakBefore w:val="0"/>
        <w:widowControl/>
        <w:kinsoku/>
        <w:wordWrap/>
        <w:overflowPunct/>
        <w:topLinePunct w:val="0"/>
        <w:bidi w:val="0"/>
        <w:spacing w:line="576" w:lineRule="exact"/>
        <w:jc w:val="left"/>
        <w:textAlignment w:val="auto"/>
        <w:rPr>
          <w:rFonts w:ascii="黑体" w:eastAsia="黑体"/>
          <w:color w:val="auto"/>
          <w:sz w:val="32"/>
          <w:szCs w:val="32"/>
          <w:highlight w:val="none"/>
        </w:rPr>
      </w:pPr>
    </w:p>
    <w:p>
      <w:pPr>
        <w:pStyle w:val="4"/>
        <w:pageBreakBefore w:val="0"/>
        <w:numPr>
          <w:ilvl w:val="0"/>
          <w:numId w:val="1"/>
        </w:numPr>
        <w:kinsoku/>
        <w:wordWrap/>
        <w:overflowPunct/>
        <w:topLinePunct w:val="0"/>
        <w:bidi w:val="0"/>
        <w:spacing w:line="576" w:lineRule="exact"/>
        <w:textAlignment w:val="auto"/>
        <w:rPr>
          <w:rFonts w:hint="eastAsia" w:ascii="楷体_GB2312" w:hAnsi="楷体_GB2312" w:eastAsia="楷体_GB2312" w:cs="楷体_GB2312"/>
          <w:b w:val="0"/>
          <w:bCs w:val="0"/>
          <w:sz w:val="32"/>
          <w:szCs w:val="32"/>
          <w:highlight w:val="none"/>
        </w:rPr>
      </w:pPr>
      <w:bookmarkStart w:id="19" w:name="_Toc13592"/>
      <w:r>
        <w:rPr>
          <w:rFonts w:hint="eastAsia" w:ascii="黑体" w:hAnsi="黑体" w:eastAsia="黑体"/>
          <w:b w:val="0"/>
          <w:color w:val="auto"/>
          <w:highlight w:val="none"/>
          <w:lang w:eastAsia="zh-CN"/>
        </w:rPr>
        <w:t>部门职责</w:t>
      </w:r>
      <w:bookmarkEnd w:id="19"/>
    </w:p>
    <w:p>
      <w:pPr>
        <w:pageBreakBefore w:val="0"/>
        <w:kinsoku/>
        <w:wordWrap/>
        <w:overflowPunct/>
        <w:topLinePunct w:val="0"/>
        <w:bidi w:val="0"/>
        <w:spacing w:line="576" w:lineRule="exact"/>
        <w:ind w:firstLine="800" w:firstLineChars="250"/>
        <w:textAlignment w:val="auto"/>
        <w:rPr>
          <w:rFonts w:hint="eastAsia" w:ascii="仿宋" w:hAnsi="仿宋" w:eastAsia="仿宋"/>
          <w:color w:val="auto"/>
          <w:sz w:val="32"/>
          <w:szCs w:val="32"/>
          <w:highlight w:val="none"/>
        </w:rPr>
      </w:pPr>
      <w:r>
        <w:rPr>
          <w:rFonts w:hint="eastAsia" w:ascii="仿宋" w:hAnsi="仿宋" w:eastAsia="仿宋"/>
          <w:color w:val="auto"/>
          <w:sz w:val="32"/>
          <w:szCs w:val="32"/>
          <w:highlight w:val="none"/>
          <w:lang w:eastAsia="zh-CN"/>
        </w:rPr>
        <w:t>（</w:t>
      </w:r>
      <w:r>
        <w:rPr>
          <w:rFonts w:hint="eastAsia" w:ascii="仿宋" w:hAnsi="仿宋" w:eastAsia="仿宋"/>
          <w:color w:val="auto"/>
          <w:sz w:val="32"/>
          <w:szCs w:val="32"/>
          <w:highlight w:val="none"/>
          <w:lang w:val="en-US" w:eastAsia="zh-CN"/>
        </w:rPr>
        <w:t>1</w:t>
      </w:r>
      <w:r>
        <w:rPr>
          <w:rFonts w:hint="eastAsia" w:ascii="仿宋" w:hAnsi="仿宋" w:eastAsia="仿宋"/>
          <w:color w:val="auto"/>
          <w:sz w:val="32"/>
          <w:szCs w:val="32"/>
          <w:highlight w:val="none"/>
          <w:lang w:eastAsia="zh-CN"/>
        </w:rPr>
        <w:t>）</w:t>
      </w:r>
      <w:r>
        <w:rPr>
          <w:rFonts w:hint="eastAsia" w:ascii="仿宋" w:hAnsi="仿宋" w:eastAsia="仿宋"/>
          <w:color w:val="auto"/>
          <w:sz w:val="32"/>
          <w:szCs w:val="32"/>
          <w:highlight w:val="none"/>
        </w:rPr>
        <w:t>贯彻执行国家、省、市人力资源和社会保障工作的相关法律、法规、规章和政策，拟订全区人力资源和社会保障事业发展规划、政策并组织实施和监督检查。</w:t>
      </w:r>
    </w:p>
    <w:p>
      <w:pPr>
        <w:pageBreakBefore w:val="0"/>
        <w:kinsoku/>
        <w:wordWrap/>
        <w:overflowPunct/>
        <w:topLinePunct w:val="0"/>
        <w:bidi w:val="0"/>
        <w:spacing w:line="576" w:lineRule="exact"/>
        <w:ind w:firstLine="800" w:firstLineChars="250"/>
        <w:textAlignment w:val="auto"/>
        <w:rPr>
          <w:rFonts w:hint="eastAsia" w:ascii="仿宋" w:hAnsi="仿宋" w:eastAsia="仿宋"/>
          <w:color w:val="auto"/>
          <w:sz w:val="32"/>
          <w:szCs w:val="32"/>
          <w:highlight w:val="none"/>
        </w:rPr>
      </w:pPr>
      <w:r>
        <w:rPr>
          <w:rFonts w:hint="eastAsia" w:ascii="仿宋" w:hAnsi="仿宋" w:eastAsia="仿宋"/>
          <w:color w:val="auto"/>
          <w:sz w:val="32"/>
          <w:szCs w:val="32"/>
          <w:highlight w:val="none"/>
        </w:rPr>
        <w:t>（2）拟订全区人力资源市场发展规划和人力资源流动政策并组织实施，建立全区统一规范的人力资源市场，促进人力资源合理流动、有效配置。</w:t>
      </w:r>
    </w:p>
    <w:p>
      <w:pPr>
        <w:pageBreakBefore w:val="0"/>
        <w:kinsoku/>
        <w:wordWrap/>
        <w:overflowPunct/>
        <w:topLinePunct w:val="0"/>
        <w:bidi w:val="0"/>
        <w:spacing w:line="576" w:lineRule="exact"/>
        <w:ind w:firstLine="800" w:firstLineChars="250"/>
        <w:textAlignment w:val="auto"/>
        <w:rPr>
          <w:rFonts w:hint="eastAsia" w:ascii="仿宋" w:hAnsi="仿宋" w:eastAsia="仿宋"/>
          <w:color w:val="auto"/>
          <w:sz w:val="32"/>
          <w:szCs w:val="32"/>
          <w:highlight w:val="none"/>
        </w:rPr>
      </w:pPr>
      <w:r>
        <w:rPr>
          <w:rFonts w:hint="eastAsia" w:ascii="仿宋" w:hAnsi="仿宋" w:eastAsia="仿宋"/>
          <w:color w:val="auto"/>
          <w:sz w:val="32"/>
          <w:szCs w:val="32"/>
          <w:highlight w:val="none"/>
        </w:rPr>
        <w:t>（3）负责促进就业工作。拟订统筹城乡的就业发展规划和政策，完善公共就业创业服务体系，拟订并组织落实创业、就业援助制度，完善职业资格制度，统筹建立面向城乡劳动者的职业培训制度，牵头落实高校毕业生就业政策。</w:t>
      </w:r>
    </w:p>
    <w:p>
      <w:pPr>
        <w:pageBreakBefore w:val="0"/>
        <w:kinsoku/>
        <w:wordWrap/>
        <w:overflowPunct/>
        <w:topLinePunct w:val="0"/>
        <w:bidi w:val="0"/>
        <w:spacing w:line="576" w:lineRule="exact"/>
        <w:ind w:firstLine="800" w:firstLineChars="250"/>
        <w:textAlignment w:val="auto"/>
        <w:rPr>
          <w:rFonts w:hint="eastAsia" w:ascii="仿宋" w:hAnsi="仿宋" w:eastAsia="仿宋"/>
          <w:color w:val="auto"/>
          <w:sz w:val="32"/>
          <w:szCs w:val="32"/>
          <w:highlight w:val="none"/>
        </w:rPr>
      </w:pPr>
      <w:r>
        <w:rPr>
          <w:rFonts w:hint="eastAsia" w:ascii="仿宋" w:hAnsi="仿宋" w:eastAsia="仿宋"/>
          <w:color w:val="auto"/>
          <w:sz w:val="32"/>
          <w:szCs w:val="32"/>
          <w:highlight w:val="none"/>
        </w:rPr>
        <w:t>（4）统筹建立覆盖城乡的多层次社会保障体系。贯彻落实社会保险政策和标准、养老保险全国统筹办法和全国统一的养老、失业、工伤保险关系转续办法。组织拟订基本养老、企业年金、职业年金、失业、工伤保险基金管理和监督制度，编制全区社会保险基金决算草案。会同有关部门实施全民参保计划。拟订人力资源和社会保障信息化建设总体规划、年度计划，拟订相关制度、标准和规范并组织实施。指导、督促企业参加工伤保险。</w:t>
      </w:r>
    </w:p>
    <w:p>
      <w:pPr>
        <w:pageBreakBefore w:val="0"/>
        <w:kinsoku/>
        <w:wordWrap/>
        <w:overflowPunct/>
        <w:topLinePunct w:val="0"/>
        <w:bidi w:val="0"/>
        <w:spacing w:line="576" w:lineRule="exact"/>
        <w:ind w:firstLine="800" w:firstLineChars="250"/>
        <w:textAlignment w:val="auto"/>
        <w:rPr>
          <w:rFonts w:hint="eastAsia" w:ascii="仿宋" w:hAnsi="仿宋" w:eastAsia="仿宋"/>
          <w:color w:val="auto"/>
          <w:sz w:val="32"/>
          <w:szCs w:val="32"/>
          <w:highlight w:val="none"/>
        </w:rPr>
      </w:pPr>
      <w:r>
        <w:rPr>
          <w:rFonts w:hint="eastAsia" w:ascii="仿宋" w:hAnsi="仿宋" w:eastAsia="仿宋"/>
          <w:color w:val="auto"/>
          <w:sz w:val="32"/>
          <w:szCs w:val="32"/>
          <w:highlight w:val="none"/>
        </w:rPr>
        <w:t>（5）负责全区就业、失业、社会保险基金预测预警和信息引导，拟订应对预案，实施预防、调节和控制，保持就业形势稳定和社会保险基金总体收支平衡。</w:t>
      </w:r>
    </w:p>
    <w:p>
      <w:pPr>
        <w:pageBreakBefore w:val="0"/>
        <w:kinsoku/>
        <w:wordWrap/>
        <w:overflowPunct/>
        <w:topLinePunct w:val="0"/>
        <w:bidi w:val="0"/>
        <w:spacing w:line="576" w:lineRule="exact"/>
        <w:ind w:firstLine="800" w:firstLineChars="250"/>
        <w:textAlignment w:val="auto"/>
        <w:rPr>
          <w:rFonts w:hint="eastAsia" w:ascii="仿宋" w:hAnsi="仿宋" w:eastAsia="仿宋"/>
          <w:color w:val="auto"/>
          <w:sz w:val="32"/>
          <w:szCs w:val="32"/>
          <w:highlight w:val="none"/>
        </w:rPr>
      </w:pPr>
      <w:r>
        <w:rPr>
          <w:rFonts w:hint="eastAsia" w:ascii="仿宋" w:hAnsi="仿宋" w:eastAsia="仿宋"/>
          <w:color w:val="auto"/>
          <w:sz w:val="32"/>
          <w:szCs w:val="32"/>
          <w:highlight w:val="none"/>
        </w:rPr>
        <w:t>（6）贯彻落实劳动人事争议调解仲裁制度，完善劳动关系协调机制，贯彻落实职工工作时间、休息休假和假期制度，拟订消除非法使用童工政策和女工、未成年工的特殊劳动保护政策。依法督促用人单位在劳动用工、合同签订与履约时，载明劳动保护、劳动条件和职业危害防护等条款。组织实施劳动监察，协调劳动者维权工作，依法查处有关案件。</w:t>
      </w:r>
    </w:p>
    <w:p>
      <w:pPr>
        <w:pageBreakBefore w:val="0"/>
        <w:kinsoku/>
        <w:wordWrap/>
        <w:overflowPunct/>
        <w:topLinePunct w:val="0"/>
        <w:bidi w:val="0"/>
        <w:spacing w:line="576" w:lineRule="exact"/>
        <w:ind w:firstLine="800" w:firstLineChars="250"/>
        <w:textAlignment w:val="auto"/>
        <w:rPr>
          <w:rFonts w:hint="eastAsia" w:ascii="仿宋" w:hAnsi="仿宋" w:eastAsia="仿宋"/>
          <w:color w:val="auto"/>
          <w:sz w:val="32"/>
          <w:szCs w:val="32"/>
          <w:highlight w:val="none"/>
        </w:rPr>
      </w:pPr>
      <w:r>
        <w:rPr>
          <w:rFonts w:hint="eastAsia" w:ascii="仿宋" w:hAnsi="仿宋" w:eastAsia="仿宋"/>
          <w:color w:val="auto"/>
          <w:sz w:val="32"/>
          <w:szCs w:val="32"/>
          <w:highlight w:val="none"/>
        </w:rPr>
        <w:t>（7）牵头推进深化职称制度改革，贯彻落实专业技术人员管理、继续教育等政策，负责高层次专业技术人才选拔和培养工作，拟订高层次专业技术人才、紧缺急需人才来昭（回昭）工作或定居政策。组织拟订技能人才培养、评价、使用和激励制度。贯彻落实职业资格制度，健全职业技能多元化评价政策。指导监督各级各类技工学校、民办职业培训机构按国家、省、市有关规定履行安全管理责任。</w:t>
      </w:r>
    </w:p>
    <w:p>
      <w:pPr>
        <w:pageBreakBefore w:val="0"/>
        <w:kinsoku/>
        <w:wordWrap/>
        <w:overflowPunct/>
        <w:topLinePunct w:val="0"/>
        <w:bidi w:val="0"/>
        <w:spacing w:line="576" w:lineRule="exact"/>
        <w:ind w:firstLine="800" w:firstLineChars="250"/>
        <w:textAlignment w:val="auto"/>
        <w:rPr>
          <w:rFonts w:hint="eastAsia" w:ascii="仿宋" w:hAnsi="仿宋" w:eastAsia="仿宋"/>
          <w:color w:val="auto"/>
          <w:sz w:val="32"/>
          <w:szCs w:val="32"/>
          <w:highlight w:val="none"/>
        </w:rPr>
      </w:pPr>
      <w:r>
        <w:rPr>
          <w:rFonts w:hint="eastAsia" w:ascii="仿宋" w:hAnsi="仿宋" w:eastAsia="仿宋"/>
          <w:color w:val="auto"/>
          <w:sz w:val="32"/>
          <w:szCs w:val="32"/>
          <w:highlight w:val="none"/>
        </w:rPr>
        <w:t>（8）会同有关部门指导事业单位人事制度改革，按照管理权限负责规范事业单位岗位设置、公开招聘、聘用合同等人事综合管理工作，贯彻落实事业单位人员和机关工勤人员管理政策，将安全生产责任履行情况作为事业单位工作人员奖惩、考核的重要内容。</w:t>
      </w:r>
    </w:p>
    <w:p>
      <w:pPr>
        <w:pageBreakBefore w:val="0"/>
        <w:kinsoku/>
        <w:wordWrap/>
        <w:overflowPunct/>
        <w:topLinePunct w:val="0"/>
        <w:bidi w:val="0"/>
        <w:spacing w:line="576" w:lineRule="exact"/>
        <w:ind w:firstLine="800" w:firstLineChars="250"/>
        <w:textAlignment w:val="auto"/>
        <w:rPr>
          <w:rFonts w:hint="eastAsia" w:ascii="仿宋" w:hAnsi="仿宋" w:eastAsia="仿宋"/>
          <w:color w:val="auto"/>
          <w:sz w:val="32"/>
          <w:szCs w:val="32"/>
          <w:highlight w:val="none"/>
        </w:rPr>
      </w:pPr>
      <w:r>
        <w:rPr>
          <w:rFonts w:hint="eastAsia" w:ascii="仿宋" w:hAnsi="仿宋" w:eastAsia="仿宋"/>
          <w:color w:val="auto"/>
          <w:sz w:val="32"/>
          <w:szCs w:val="32"/>
          <w:highlight w:val="none"/>
        </w:rPr>
        <w:t>（9）贯彻执行事业单位人员工资收入分配政策和企业职工工资收入分配调控政策，贯彻落实企事业单位人员工资正常增长和支付保障政策，贯彻执行企事业单位人员福利和离退休政策。</w:t>
      </w:r>
    </w:p>
    <w:p>
      <w:pPr>
        <w:pageBreakBefore w:val="0"/>
        <w:kinsoku/>
        <w:wordWrap/>
        <w:overflowPunct/>
        <w:topLinePunct w:val="0"/>
        <w:bidi w:val="0"/>
        <w:spacing w:line="576" w:lineRule="exact"/>
        <w:ind w:firstLine="800" w:firstLineChars="250"/>
        <w:textAlignment w:val="auto"/>
        <w:rPr>
          <w:rFonts w:hint="eastAsia" w:ascii="仿宋" w:hAnsi="仿宋" w:eastAsia="仿宋"/>
          <w:color w:val="auto"/>
          <w:sz w:val="32"/>
          <w:szCs w:val="32"/>
          <w:highlight w:val="none"/>
        </w:rPr>
      </w:pPr>
      <w:r>
        <w:rPr>
          <w:rFonts w:hint="eastAsia" w:ascii="仿宋" w:hAnsi="仿宋" w:eastAsia="仿宋"/>
          <w:color w:val="auto"/>
          <w:sz w:val="32"/>
          <w:szCs w:val="32"/>
          <w:highlight w:val="none"/>
        </w:rPr>
        <w:t>（10）组织实施国家表彰奖励制度，综合管理政府奖励表彰工作，承担评比达标表彰等工作，根据授权承办以区委、区政府名义开展的奖励表彰活动。承办提请区人大常委会和区政府决定的人事任免事项。</w:t>
      </w:r>
    </w:p>
    <w:p>
      <w:pPr>
        <w:pageBreakBefore w:val="0"/>
        <w:kinsoku/>
        <w:wordWrap/>
        <w:overflowPunct/>
        <w:topLinePunct w:val="0"/>
        <w:bidi w:val="0"/>
        <w:spacing w:line="576" w:lineRule="exact"/>
        <w:ind w:firstLine="800" w:firstLineChars="250"/>
        <w:textAlignment w:val="auto"/>
        <w:rPr>
          <w:rFonts w:hint="eastAsia" w:ascii="仿宋" w:hAnsi="仿宋" w:eastAsia="仿宋"/>
          <w:color w:val="auto"/>
          <w:sz w:val="32"/>
          <w:szCs w:val="32"/>
          <w:highlight w:val="none"/>
        </w:rPr>
      </w:pPr>
      <w:r>
        <w:rPr>
          <w:rFonts w:hint="eastAsia" w:ascii="仿宋" w:hAnsi="仿宋" w:eastAsia="仿宋"/>
          <w:color w:val="auto"/>
          <w:sz w:val="32"/>
          <w:szCs w:val="32"/>
          <w:highlight w:val="none"/>
        </w:rPr>
        <w:t>（11）贯彻执行农民工工作相关政策和规划，协调解决重点难点问题，维护农民工合法权益。负责将安全生产纳入农民工技能培训内容。</w:t>
      </w:r>
    </w:p>
    <w:p>
      <w:pPr>
        <w:pageBreakBefore w:val="0"/>
        <w:kinsoku/>
        <w:wordWrap/>
        <w:overflowPunct/>
        <w:topLinePunct w:val="0"/>
        <w:bidi w:val="0"/>
        <w:spacing w:line="576" w:lineRule="exact"/>
        <w:ind w:firstLine="800" w:firstLineChars="250"/>
        <w:textAlignment w:val="auto"/>
        <w:rPr>
          <w:rFonts w:hint="eastAsia" w:ascii="仿宋" w:hAnsi="仿宋" w:eastAsia="仿宋"/>
          <w:color w:val="auto"/>
          <w:sz w:val="32"/>
          <w:szCs w:val="32"/>
          <w:highlight w:val="none"/>
        </w:rPr>
      </w:pPr>
      <w:r>
        <w:rPr>
          <w:rFonts w:hint="eastAsia" w:ascii="仿宋" w:hAnsi="仿宋" w:eastAsia="仿宋"/>
          <w:color w:val="auto"/>
          <w:sz w:val="32"/>
          <w:szCs w:val="32"/>
          <w:highlight w:val="none"/>
        </w:rPr>
        <w:t>（12）负责人力资源和社会保障领域内的对外交流与合作工作。</w:t>
      </w:r>
    </w:p>
    <w:p>
      <w:pPr>
        <w:pageBreakBefore w:val="0"/>
        <w:kinsoku/>
        <w:wordWrap/>
        <w:overflowPunct/>
        <w:topLinePunct w:val="0"/>
        <w:bidi w:val="0"/>
        <w:spacing w:line="576" w:lineRule="exact"/>
        <w:ind w:firstLine="800" w:firstLineChars="250"/>
        <w:textAlignment w:val="auto"/>
        <w:rPr>
          <w:rFonts w:hint="eastAsia" w:ascii="仿宋" w:hAnsi="仿宋" w:eastAsia="仿宋"/>
          <w:color w:val="auto"/>
          <w:sz w:val="32"/>
          <w:szCs w:val="32"/>
          <w:highlight w:val="none"/>
        </w:rPr>
      </w:pPr>
      <w:r>
        <w:rPr>
          <w:rFonts w:hint="eastAsia" w:ascii="仿宋" w:hAnsi="仿宋" w:eastAsia="仿宋"/>
          <w:color w:val="auto"/>
          <w:sz w:val="32"/>
          <w:szCs w:val="32"/>
          <w:highlight w:val="none"/>
        </w:rPr>
        <w:t>（13）承担职责范围内的安全生产和职业健康、生态环境保护、审批服务便民化等工作。</w:t>
      </w:r>
    </w:p>
    <w:p>
      <w:pPr>
        <w:pageBreakBefore w:val="0"/>
        <w:kinsoku/>
        <w:wordWrap/>
        <w:overflowPunct/>
        <w:topLinePunct w:val="0"/>
        <w:bidi w:val="0"/>
        <w:spacing w:line="576" w:lineRule="exact"/>
        <w:ind w:firstLine="800" w:firstLineChars="250"/>
        <w:textAlignment w:val="auto"/>
        <w:rPr>
          <w:rFonts w:hint="eastAsia" w:ascii="仿宋" w:hAnsi="仿宋" w:eastAsia="仿宋"/>
          <w:color w:val="auto"/>
          <w:sz w:val="32"/>
          <w:szCs w:val="32"/>
          <w:highlight w:val="none"/>
        </w:rPr>
      </w:pPr>
      <w:r>
        <w:rPr>
          <w:rFonts w:hint="eastAsia" w:ascii="仿宋" w:hAnsi="仿宋" w:eastAsia="仿宋"/>
          <w:color w:val="auto"/>
          <w:sz w:val="32"/>
          <w:szCs w:val="32"/>
          <w:highlight w:val="none"/>
        </w:rPr>
        <w:t>（14）完成区委、区政府交办的其他任务。</w:t>
      </w:r>
    </w:p>
    <w:p>
      <w:pPr>
        <w:pageBreakBefore w:val="0"/>
        <w:kinsoku/>
        <w:wordWrap/>
        <w:overflowPunct/>
        <w:topLinePunct w:val="0"/>
        <w:bidi w:val="0"/>
        <w:spacing w:line="576" w:lineRule="exact"/>
        <w:ind w:firstLine="800" w:firstLineChars="250"/>
        <w:textAlignment w:val="auto"/>
        <w:rPr>
          <w:rFonts w:hint="eastAsia" w:ascii="仿宋" w:hAnsi="仿宋" w:eastAsia="仿宋"/>
          <w:color w:val="auto"/>
          <w:sz w:val="32"/>
          <w:szCs w:val="32"/>
          <w:highlight w:val="none"/>
        </w:rPr>
      </w:pPr>
      <w:r>
        <w:rPr>
          <w:rFonts w:hint="eastAsia" w:ascii="仿宋" w:hAnsi="仿宋" w:eastAsia="仿宋"/>
          <w:color w:val="auto"/>
          <w:sz w:val="32"/>
          <w:szCs w:val="32"/>
          <w:highlight w:val="none"/>
        </w:rPr>
        <w:t>（15）职能转变。深入推进简政放权、放管结合、优化服务改革，进一步减少行政审批事项，规范和优化对外办理事项，贯彻落实国家职业资格目录清单管理制度，加强事中事后监管，创新就业和社会保障等公共服务方式，加强信息共享，提高公共服务水平。</w:t>
      </w:r>
    </w:p>
    <w:p>
      <w:pPr>
        <w:pageBreakBefore w:val="0"/>
        <w:kinsoku/>
        <w:wordWrap/>
        <w:overflowPunct/>
        <w:topLinePunct w:val="0"/>
        <w:bidi w:val="0"/>
        <w:spacing w:line="576" w:lineRule="exact"/>
        <w:ind w:firstLine="800" w:firstLineChars="250"/>
        <w:textAlignment w:val="auto"/>
        <w:rPr>
          <w:rFonts w:hint="eastAsia" w:ascii="仿宋" w:hAnsi="仿宋" w:eastAsia="仿宋"/>
          <w:color w:val="auto"/>
          <w:sz w:val="32"/>
          <w:szCs w:val="32"/>
          <w:highlight w:val="none"/>
        </w:rPr>
      </w:pPr>
      <w:r>
        <w:rPr>
          <w:rFonts w:hint="eastAsia" w:ascii="仿宋" w:hAnsi="仿宋" w:eastAsia="仿宋"/>
          <w:color w:val="auto"/>
          <w:sz w:val="32"/>
          <w:szCs w:val="32"/>
          <w:highlight w:val="none"/>
        </w:rPr>
        <w:t>（16）有关职责分工。高校毕业生就业政策由区人力资源社会保障局牵头，会同教育等部门拟订。高校毕业生离校前的就业指导和服务工作，由教育部门负责；高校毕业生离校后的就业指导和服务工作，由区人力资源社会保障局负责。</w:t>
      </w:r>
    </w:p>
    <w:p>
      <w:pPr>
        <w:pStyle w:val="4"/>
        <w:pageBreakBefore w:val="0"/>
        <w:kinsoku/>
        <w:wordWrap/>
        <w:overflowPunct/>
        <w:topLinePunct w:val="0"/>
        <w:bidi w:val="0"/>
        <w:spacing w:line="576" w:lineRule="exact"/>
        <w:textAlignment w:val="auto"/>
        <w:rPr>
          <w:rStyle w:val="29"/>
          <w:b w:val="0"/>
          <w:bCs w:val="0"/>
          <w:color w:val="auto"/>
          <w:highlight w:val="none"/>
        </w:rPr>
      </w:pPr>
      <w:bookmarkStart w:id="20" w:name="_Toc15396601"/>
      <w:bookmarkStart w:id="21" w:name="_Toc15377200"/>
      <w:bookmarkStart w:id="22" w:name="_Toc19185"/>
      <w:r>
        <w:rPr>
          <w:rFonts w:hint="eastAsia" w:ascii="黑体" w:eastAsia="黑体"/>
          <w:b w:val="0"/>
          <w:color w:val="auto"/>
          <w:highlight w:val="none"/>
        </w:rPr>
        <w:t>二、</w:t>
      </w:r>
      <w:r>
        <w:rPr>
          <w:rFonts w:hint="eastAsia" w:ascii="黑体" w:hAnsi="黑体" w:eastAsia="黑体"/>
          <w:b w:val="0"/>
          <w:color w:val="auto"/>
          <w:highlight w:val="none"/>
        </w:rPr>
        <w:t>机</w:t>
      </w:r>
      <w:r>
        <w:rPr>
          <w:rStyle w:val="29"/>
          <w:rFonts w:hint="eastAsia" w:ascii="黑体" w:hAnsi="黑体" w:eastAsia="黑体"/>
          <w:b w:val="0"/>
          <w:bCs w:val="0"/>
          <w:color w:val="auto"/>
          <w:highlight w:val="none"/>
        </w:rPr>
        <w:t>构设置</w:t>
      </w:r>
      <w:bookmarkEnd w:id="20"/>
      <w:bookmarkEnd w:id="21"/>
      <w:bookmarkEnd w:id="22"/>
    </w:p>
    <w:p>
      <w:pPr>
        <w:pageBreakBefore w:val="0"/>
        <w:kinsoku/>
        <w:wordWrap/>
        <w:overflowPunct/>
        <w:topLinePunct w:val="0"/>
        <w:bidi w:val="0"/>
        <w:spacing w:line="576" w:lineRule="exact"/>
        <w:ind w:firstLine="800" w:firstLineChars="250"/>
        <w:textAlignment w:val="auto"/>
        <w:rPr>
          <w:rFonts w:hint="eastAsia" w:ascii="仿宋" w:hAnsi="仿宋" w:eastAsia="仿宋"/>
          <w:color w:val="auto"/>
          <w:sz w:val="32"/>
          <w:szCs w:val="32"/>
          <w:highlight w:val="none"/>
          <w:lang w:eastAsia="zh-CN"/>
        </w:rPr>
      </w:pPr>
      <w:r>
        <w:rPr>
          <w:rFonts w:hint="eastAsia" w:ascii="仿宋" w:hAnsi="仿宋" w:eastAsia="仿宋"/>
          <w:color w:val="auto"/>
          <w:sz w:val="32"/>
          <w:szCs w:val="32"/>
          <w:highlight w:val="none"/>
          <w:lang w:eastAsia="zh-CN"/>
        </w:rPr>
        <w:t>广元市昭化区人力资源和社会保障局为一级预算单位，无下属二级预算单位。</w:t>
      </w:r>
    </w:p>
    <w:p>
      <w:pPr>
        <w:pageBreakBefore w:val="0"/>
        <w:kinsoku/>
        <w:wordWrap/>
        <w:overflowPunct/>
        <w:topLinePunct w:val="0"/>
        <w:bidi w:val="0"/>
        <w:spacing w:line="576" w:lineRule="exact"/>
        <w:ind w:firstLine="800" w:firstLineChars="250"/>
        <w:textAlignment w:val="auto"/>
        <w:rPr>
          <w:rFonts w:ascii="仿宋" w:hAnsi="仿宋" w:eastAsia="仿宋"/>
          <w:color w:val="auto"/>
          <w:sz w:val="32"/>
          <w:szCs w:val="32"/>
          <w:highlight w:val="none"/>
        </w:rPr>
      </w:pPr>
      <w:r>
        <w:rPr>
          <w:rFonts w:hint="eastAsia" w:ascii="仿宋" w:hAnsi="仿宋" w:eastAsia="仿宋"/>
          <w:color w:val="auto"/>
          <w:sz w:val="32"/>
          <w:szCs w:val="32"/>
          <w:highlight w:val="none"/>
          <w:lang w:eastAsia="zh-CN"/>
        </w:rPr>
        <w:t>截止</w:t>
      </w:r>
      <w:r>
        <w:rPr>
          <w:rFonts w:hint="eastAsia" w:ascii="仿宋" w:hAnsi="仿宋" w:eastAsia="仿宋"/>
          <w:color w:val="auto"/>
          <w:sz w:val="32"/>
          <w:szCs w:val="32"/>
          <w:highlight w:val="none"/>
          <w:lang w:val="en-US" w:eastAsia="zh-CN"/>
        </w:rPr>
        <w:t>2022年末，区人社局</w:t>
      </w:r>
      <w:r>
        <w:rPr>
          <w:rFonts w:ascii="仿宋" w:hAnsi="仿宋" w:eastAsia="仿宋"/>
          <w:color w:val="auto"/>
          <w:sz w:val="32"/>
          <w:szCs w:val="32"/>
          <w:highlight w:val="none"/>
        </w:rPr>
        <w:t>行政单位1个，下属二级单位7个，其中行政单位0个，参照公务员法管理的事业单位</w:t>
      </w:r>
      <w:r>
        <w:rPr>
          <w:rFonts w:hint="eastAsia" w:ascii="仿宋" w:hAnsi="仿宋" w:eastAsia="仿宋"/>
          <w:color w:val="auto"/>
          <w:sz w:val="32"/>
          <w:szCs w:val="32"/>
          <w:highlight w:val="none"/>
          <w:lang w:val="en-US" w:eastAsia="zh-CN"/>
        </w:rPr>
        <w:t>3</w:t>
      </w:r>
      <w:r>
        <w:rPr>
          <w:rFonts w:ascii="仿宋" w:hAnsi="仿宋" w:eastAsia="仿宋"/>
          <w:color w:val="auto"/>
          <w:sz w:val="32"/>
          <w:szCs w:val="32"/>
          <w:highlight w:val="none"/>
        </w:rPr>
        <w:t>个，其他事业单位</w:t>
      </w:r>
      <w:r>
        <w:rPr>
          <w:rFonts w:hint="eastAsia" w:ascii="仿宋" w:hAnsi="仿宋" w:eastAsia="仿宋"/>
          <w:color w:val="auto"/>
          <w:sz w:val="32"/>
          <w:szCs w:val="32"/>
          <w:highlight w:val="none"/>
          <w:lang w:val="en-US" w:eastAsia="zh-CN"/>
        </w:rPr>
        <w:t>4</w:t>
      </w:r>
      <w:r>
        <w:rPr>
          <w:rFonts w:ascii="仿宋" w:hAnsi="仿宋" w:eastAsia="仿宋"/>
          <w:color w:val="auto"/>
          <w:sz w:val="32"/>
          <w:szCs w:val="32"/>
          <w:highlight w:val="none"/>
        </w:rPr>
        <w:t>个。包括：广元市昭化区就业服务中心、广元市昭化区社会保险事务中心、广元市昭化区劳动人事争议仲裁院、广元市昭化区劳动保障监察大队、广元市昭化区农民工服务中心、广元市昭化区人才交流中心、广元市昭化区就业培训中心。</w:t>
      </w:r>
    </w:p>
    <w:p>
      <w:pPr>
        <w:pageBreakBefore w:val="0"/>
        <w:widowControl/>
        <w:kinsoku/>
        <w:wordWrap/>
        <w:overflowPunct/>
        <w:topLinePunct w:val="0"/>
        <w:bidi w:val="0"/>
        <w:spacing w:line="576" w:lineRule="exact"/>
        <w:jc w:val="left"/>
        <w:textAlignment w:val="auto"/>
        <w:rPr>
          <w:rFonts w:ascii="仿宋" w:hAnsi="仿宋" w:eastAsia="仿宋"/>
          <w:color w:val="auto"/>
          <w:kern w:val="0"/>
          <w:sz w:val="32"/>
          <w:szCs w:val="32"/>
          <w:highlight w:val="none"/>
        </w:rPr>
      </w:pPr>
      <w:r>
        <w:rPr>
          <w:rFonts w:ascii="仿宋" w:hAnsi="仿宋" w:eastAsia="仿宋"/>
          <w:color w:val="auto"/>
          <w:sz w:val="32"/>
          <w:szCs w:val="32"/>
          <w:highlight w:val="none"/>
        </w:rPr>
        <w:br w:type="page"/>
      </w:r>
    </w:p>
    <w:p>
      <w:pPr>
        <w:pStyle w:val="3"/>
        <w:pageBreakBefore w:val="0"/>
        <w:kinsoku/>
        <w:wordWrap/>
        <w:overflowPunct/>
        <w:topLinePunct w:val="0"/>
        <w:bidi w:val="0"/>
        <w:spacing w:line="576" w:lineRule="exact"/>
        <w:ind w:right="440"/>
        <w:jc w:val="center"/>
        <w:textAlignment w:val="auto"/>
        <w:rPr>
          <w:rStyle w:val="28"/>
          <w:rFonts w:ascii="黑体" w:hAnsi="黑体" w:eastAsia="黑体"/>
          <w:b w:val="0"/>
          <w:bCs/>
          <w:color w:val="auto"/>
          <w:highlight w:val="none"/>
        </w:rPr>
      </w:pPr>
      <w:bookmarkStart w:id="23" w:name="_Toc15377204"/>
      <w:bookmarkStart w:id="24" w:name="_Toc15396602"/>
      <w:bookmarkStart w:id="25" w:name="_Toc3011"/>
      <w:r>
        <w:rPr>
          <w:rFonts w:hint="eastAsia" w:ascii="黑体" w:hAnsi="黑体" w:eastAsia="黑体"/>
          <w:b w:val="0"/>
          <w:bCs/>
          <w:color w:val="auto"/>
          <w:highlight w:val="none"/>
        </w:rPr>
        <w:t xml:space="preserve">第二部分 </w:t>
      </w:r>
      <w:r>
        <w:rPr>
          <w:rFonts w:hint="eastAsia" w:ascii="黑体" w:hAnsi="黑体" w:eastAsia="黑体"/>
          <w:b w:val="0"/>
          <w:bCs/>
          <w:color w:val="auto"/>
          <w:highlight w:val="none"/>
          <w:lang w:val="en-US" w:eastAsia="zh-CN"/>
        </w:rPr>
        <w:t>2022年度</w:t>
      </w:r>
      <w:r>
        <w:rPr>
          <w:rStyle w:val="28"/>
          <w:rFonts w:hint="eastAsia" w:ascii="黑体" w:hAnsi="黑体" w:eastAsia="黑体"/>
          <w:b w:val="0"/>
          <w:bCs/>
          <w:color w:val="auto"/>
          <w:highlight w:val="none"/>
        </w:rPr>
        <w:t>部门决算情况说明</w:t>
      </w:r>
      <w:bookmarkEnd w:id="23"/>
      <w:bookmarkEnd w:id="24"/>
      <w:bookmarkEnd w:id="25"/>
    </w:p>
    <w:p>
      <w:pPr>
        <w:pageBreakBefore w:val="0"/>
        <w:kinsoku/>
        <w:wordWrap/>
        <w:overflowPunct/>
        <w:topLinePunct w:val="0"/>
        <w:bidi w:val="0"/>
        <w:spacing w:line="576" w:lineRule="exact"/>
        <w:textAlignment w:val="auto"/>
        <w:rPr>
          <w:color w:val="auto"/>
          <w:highlight w:val="none"/>
        </w:rPr>
      </w:pPr>
    </w:p>
    <w:p>
      <w:pPr>
        <w:pStyle w:val="27"/>
        <w:pageBreakBefore w:val="0"/>
        <w:numPr>
          <w:ilvl w:val="0"/>
          <w:numId w:val="2"/>
        </w:numPr>
        <w:kinsoku/>
        <w:wordWrap/>
        <w:overflowPunct/>
        <w:topLinePunct w:val="0"/>
        <w:bidi w:val="0"/>
        <w:spacing w:line="576" w:lineRule="exact"/>
        <w:ind w:firstLineChars="0"/>
        <w:textAlignment w:val="auto"/>
        <w:outlineLvl w:val="1"/>
        <w:rPr>
          <w:rStyle w:val="29"/>
          <w:rFonts w:ascii="黑体" w:hAnsi="黑体" w:eastAsia="黑体"/>
          <w:b w:val="0"/>
          <w:color w:val="auto"/>
          <w:highlight w:val="none"/>
        </w:rPr>
      </w:pPr>
      <w:bookmarkStart w:id="26" w:name="_Toc31592"/>
      <w:bookmarkStart w:id="27" w:name="_Toc15377205"/>
      <w:bookmarkStart w:id="28" w:name="_Toc15396603"/>
      <w:r>
        <w:rPr>
          <w:rFonts w:hint="eastAsia" w:ascii="黑体" w:hAnsi="黑体" w:eastAsia="黑体"/>
          <w:color w:val="auto"/>
          <w:sz w:val="32"/>
          <w:szCs w:val="32"/>
          <w:highlight w:val="none"/>
        </w:rPr>
        <w:t>收</w:t>
      </w:r>
      <w:r>
        <w:rPr>
          <w:rStyle w:val="29"/>
          <w:rFonts w:hint="eastAsia" w:ascii="黑体" w:hAnsi="黑体" w:eastAsia="黑体"/>
          <w:b w:val="0"/>
          <w:color w:val="auto"/>
          <w:highlight w:val="none"/>
        </w:rPr>
        <w:t>入支出决算总体情况说明</w:t>
      </w:r>
      <w:bookmarkEnd w:id="26"/>
      <w:bookmarkEnd w:id="27"/>
      <w:bookmarkEnd w:id="28"/>
    </w:p>
    <w:p>
      <w:pPr>
        <w:pageBreakBefore w:val="0"/>
        <w:kinsoku/>
        <w:wordWrap/>
        <w:overflowPunct/>
        <w:topLinePunct w:val="0"/>
        <w:bidi w:val="0"/>
        <w:spacing w:line="576" w:lineRule="exact"/>
        <w:ind w:firstLine="640" w:firstLineChars="200"/>
        <w:textAlignment w:val="auto"/>
        <w:rPr>
          <w:rFonts w:hint="eastAsia" w:ascii="仿宋" w:hAnsi="仿宋" w:eastAsia="仿宋"/>
          <w:color w:val="auto"/>
          <w:sz w:val="32"/>
          <w:szCs w:val="32"/>
          <w:highlight w:val="none"/>
          <w:lang w:eastAsia="zh-CN"/>
        </w:rPr>
      </w:pPr>
      <w:r>
        <w:rPr>
          <w:rFonts w:hint="eastAsia" w:ascii="仿宋" w:hAnsi="仿宋" w:eastAsia="仿宋"/>
          <w:color w:val="auto"/>
          <w:sz w:val="32"/>
          <w:szCs w:val="32"/>
          <w:highlight w:val="none"/>
        </w:rPr>
        <w:t>20</w:t>
      </w:r>
      <w:r>
        <w:rPr>
          <w:rFonts w:hint="eastAsia" w:ascii="仿宋" w:hAnsi="仿宋" w:eastAsia="仿宋"/>
          <w:color w:val="auto"/>
          <w:sz w:val="32"/>
          <w:szCs w:val="32"/>
          <w:highlight w:val="none"/>
          <w:lang w:val="en-US" w:eastAsia="zh-CN"/>
        </w:rPr>
        <w:t>22</w:t>
      </w:r>
      <w:r>
        <w:rPr>
          <w:rFonts w:hint="eastAsia" w:ascii="仿宋" w:hAnsi="仿宋" w:eastAsia="仿宋"/>
          <w:color w:val="auto"/>
          <w:sz w:val="32"/>
          <w:szCs w:val="32"/>
          <w:highlight w:val="none"/>
        </w:rPr>
        <w:t>年度收、支总计</w:t>
      </w:r>
      <w:r>
        <w:rPr>
          <w:rFonts w:hint="eastAsia" w:ascii="仿宋" w:hAnsi="仿宋" w:eastAsia="仿宋"/>
          <w:color w:val="auto"/>
          <w:sz w:val="32"/>
          <w:szCs w:val="32"/>
          <w:highlight w:val="none"/>
          <w:lang w:val="en-US" w:eastAsia="zh-CN"/>
        </w:rPr>
        <w:t>4228.88</w:t>
      </w:r>
      <w:r>
        <w:rPr>
          <w:rFonts w:hint="eastAsia" w:ascii="仿宋" w:hAnsi="仿宋" w:eastAsia="仿宋"/>
          <w:color w:val="auto"/>
          <w:sz w:val="32"/>
          <w:szCs w:val="32"/>
          <w:highlight w:val="none"/>
        </w:rPr>
        <w:t>万元。与20</w:t>
      </w:r>
      <w:r>
        <w:rPr>
          <w:rFonts w:hint="eastAsia" w:ascii="仿宋" w:hAnsi="仿宋" w:eastAsia="仿宋"/>
          <w:color w:val="auto"/>
          <w:sz w:val="32"/>
          <w:szCs w:val="32"/>
          <w:highlight w:val="none"/>
          <w:lang w:val="en-US" w:eastAsia="zh-CN"/>
        </w:rPr>
        <w:t>21</w:t>
      </w:r>
      <w:r>
        <w:rPr>
          <w:rFonts w:hint="eastAsia" w:ascii="仿宋" w:hAnsi="仿宋" w:eastAsia="仿宋"/>
          <w:color w:val="auto"/>
          <w:sz w:val="32"/>
          <w:szCs w:val="32"/>
          <w:highlight w:val="none"/>
        </w:rPr>
        <w:t>年相比，收、支总计各增加</w:t>
      </w:r>
      <w:r>
        <w:rPr>
          <w:rFonts w:hint="eastAsia" w:ascii="仿宋" w:hAnsi="仿宋" w:eastAsia="仿宋"/>
          <w:color w:val="auto"/>
          <w:sz w:val="32"/>
          <w:szCs w:val="32"/>
          <w:highlight w:val="none"/>
          <w:lang w:val="en-US" w:eastAsia="zh-CN"/>
        </w:rPr>
        <w:t>429.95</w:t>
      </w:r>
      <w:r>
        <w:rPr>
          <w:rFonts w:hint="eastAsia" w:ascii="仿宋" w:hAnsi="仿宋" w:eastAsia="仿宋"/>
          <w:color w:val="auto"/>
          <w:sz w:val="32"/>
          <w:szCs w:val="32"/>
          <w:highlight w:val="none"/>
        </w:rPr>
        <w:t>万元，增长</w:t>
      </w:r>
      <w:r>
        <w:rPr>
          <w:rFonts w:hint="eastAsia" w:ascii="仿宋" w:hAnsi="仿宋" w:eastAsia="仿宋"/>
          <w:color w:val="auto"/>
          <w:sz w:val="32"/>
          <w:szCs w:val="32"/>
          <w:highlight w:val="none"/>
          <w:lang w:val="en-US" w:eastAsia="zh-CN"/>
        </w:rPr>
        <w:t>11.31</w:t>
      </w:r>
      <w:r>
        <w:rPr>
          <w:rFonts w:ascii="仿宋" w:hAnsi="仿宋" w:eastAsia="仿宋"/>
          <w:color w:val="auto"/>
          <w:sz w:val="32"/>
          <w:szCs w:val="32"/>
          <w:highlight w:val="none"/>
        </w:rPr>
        <w:t>%</w:t>
      </w:r>
      <w:r>
        <w:rPr>
          <w:rFonts w:hint="eastAsia" w:ascii="仿宋" w:hAnsi="仿宋" w:eastAsia="仿宋"/>
          <w:color w:val="auto"/>
          <w:sz w:val="32"/>
          <w:szCs w:val="32"/>
          <w:highlight w:val="none"/>
        </w:rPr>
        <w:t>。主要变动原因是</w:t>
      </w:r>
      <w:r>
        <w:rPr>
          <w:rFonts w:hint="eastAsia" w:ascii="仿宋" w:hAnsi="仿宋" w:eastAsia="仿宋"/>
          <w:color w:val="auto"/>
          <w:sz w:val="32"/>
          <w:szCs w:val="32"/>
          <w:highlight w:val="none"/>
          <w:lang w:val="en-US" w:eastAsia="zh-CN"/>
        </w:rPr>
        <w:t>2022年新增就业创业补助资金项目</w:t>
      </w:r>
      <w:r>
        <w:rPr>
          <w:rFonts w:hint="eastAsia" w:ascii="仿宋" w:hAnsi="仿宋" w:eastAsia="仿宋"/>
          <w:color w:val="auto"/>
          <w:sz w:val="32"/>
          <w:szCs w:val="32"/>
          <w:highlight w:val="none"/>
          <w:lang w:eastAsia="zh-CN"/>
        </w:rPr>
        <w:t>。</w:t>
      </w:r>
    </w:p>
    <w:p>
      <w:pPr>
        <w:pageBreakBefore w:val="0"/>
        <w:kinsoku/>
        <w:wordWrap/>
        <w:overflowPunct/>
        <w:topLinePunct w:val="0"/>
        <w:bidi w:val="0"/>
        <w:spacing w:line="576" w:lineRule="exact"/>
        <w:ind w:firstLine="420" w:firstLineChars="200"/>
        <w:textAlignment w:val="auto"/>
        <w:rPr>
          <w:rFonts w:hint="eastAsia" w:ascii="仿宋" w:hAnsi="仿宋" w:eastAsia="仿宋"/>
          <w:color w:val="auto"/>
          <w:sz w:val="32"/>
          <w:szCs w:val="32"/>
          <w:highlight w:val="none"/>
        </w:rPr>
      </w:pPr>
      <w:r>
        <w:rPr>
          <w:highlight w:val="none"/>
        </w:rPr>
        <w:drawing>
          <wp:anchor distT="0" distB="0" distL="114300" distR="114300" simplePos="0" relativeHeight="251659264" behindDoc="0" locked="0" layoutInCell="1" allowOverlap="1">
            <wp:simplePos x="0" y="0"/>
            <wp:positionH relativeFrom="column">
              <wp:posOffset>80645</wp:posOffset>
            </wp:positionH>
            <wp:positionV relativeFrom="paragraph">
              <wp:posOffset>272415</wp:posOffset>
            </wp:positionV>
            <wp:extent cx="3063875" cy="1601470"/>
            <wp:effectExtent l="4445" t="4445" r="17780" b="13335"/>
            <wp:wrapNone/>
            <wp:docPr id="4"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anchor>
        </w:drawing>
      </w:r>
    </w:p>
    <w:p>
      <w:pPr>
        <w:pageBreakBefore w:val="0"/>
        <w:kinsoku/>
        <w:wordWrap/>
        <w:overflowPunct/>
        <w:topLinePunct w:val="0"/>
        <w:bidi w:val="0"/>
        <w:spacing w:line="576" w:lineRule="exact"/>
        <w:ind w:firstLine="640" w:firstLineChars="200"/>
        <w:textAlignment w:val="auto"/>
        <w:rPr>
          <w:rFonts w:hint="eastAsia" w:ascii="仿宋" w:hAnsi="仿宋" w:eastAsia="仿宋"/>
          <w:color w:val="auto"/>
          <w:sz w:val="32"/>
          <w:szCs w:val="32"/>
          <w:highlight w:val="none"/>
        </w:rPr>
      </w:pPr>
    </w:p>
    <w:p>
      <w:pPr>
        <w:pageBreakBefore w:val="0"/>
        <w:kinsoku/>
        <w:wordWrap/>
        <w:overflowPunct/>
        <w:topLinePunct w:val="0"/>
        <w:bidi w:val="0"/>
        <w:spacing w:line="576" w:lineRule="exact"/>
        <w:ind w:firstLine="640" w:firstLineChars="200"/>
        <w:textAlignment w:val="auto"/>
        <w:rPr>
          <w:rFonts w:hint="eastAsia" w:ascii="仿宋" w:hAnsi="仿宋" w:eastAsia="仿宋"/>
          <w:color w:val="auto"/>
          <w:sz w:val="32"/>
          <w:szCs w:val="32"/>
          <w:highlight w:val="none"/>
        </w:rPr>
      </w:pPr>
    </w:p>
    <w:p>
      <w:pPr>
        <w:pageBreakBefore w:val="0"/>
        <w:kinsoku/>
        <w:wordWrap/>
        <w:overflowPunct/>
        <w:topLinePunct w:val="0"/>
        <w:bidi w:val="0"/>
        <w:spacing w:line="576" w:lineRule="exact"/>
        <w:ind w:firstLine="640" w:firstLineChars="200"/>
        <w:textAlignment w:val="auto"/>
        <w:rPr>
          <w:rFonts w:hint="eastAsia" w:ascii="仿宋" w:hAnsi="仿宋" w:eastAsia="仿宋"/>
          <w:color w:val="auto"/>
          <w:sz w:val="32"/>
          <w:szCs w:val="32"/>
          <w:highlight w:val="none"/>
        </w:rPr>
      </w:pPr>
    </w:p>
    <w:p>
      <w:pPr>
        <w:pageBreakBefore w:val="0"/>
        <w:kinsoku/>
        <w:wordWrap/>
        <w:overflowPunct/>
        <w:topLinePunct w:val="0"/>
        <w:bidi w:val="0"/>
        <w:spacing w:line="576" w:lineRule="exact"/>
        <w:ind w:firstLine="640" w:firstLineChars="200"/>
        <w:textAlignment w:val="auto"/>
        <w:rPr>
          <w:rFonts w:hint="eastAsia" w:ascii="仿宋" w:hAnsi="仿宋" w:eastAsia="仿宋"/>
          <w:color w:val="auto"/>
          <w:sz w:val="32"/>
          <w:szCs w:val="32"/>
          <w:highlight w:val="none"/>
        </w:rPr>
      </w:pPr>
    </w:p>
    <w:p>
      <w:pPr>
        <w:pageBreakBefore w:val="0"/>
        <w:kinsoku/>
        <w:wordWrap/>
        <w:overflowPunct/>
        <w:topLinePunct w:val="0"/>
        <w:bidi w:val="0"/>
        <w:spacing w:line="576" w:lineRule="exact"/>
        <w:textAlignment w:val="auto"/>
        <w:rPr>
          <w:rFonts w:ascii="仿宋_GB2312" w:eastAsia="仿宋_GB2312"/>
          <w:color w:val="auto"/>
          <w:sz w:val="32"/>
          <w:szCs w:val="32"/>
          <w:highlight w:val="none"/>
        </w:rPr>
      </w:pPr>
      <w:r>
        <w:rPr>
          <w:rFonts w:hint="eastAsia" w:ascii="仿宋" w:hAnsi="仿宋" w:eastAsia="仿宋"/>
          <w:color w:val="auto"/>
          <w:sz w:val="32"/>
          <w:szCs w:val="32"/>
          <w:highlight w:val="none"/>
        </w:rPr>
        <w:t>（图</w:t>
      </w:r>
      <w:r>
        <w:rPr>
          <w:rFonts w:ascii="仿宋" w:hAnsi="仿宋" w:eastAsia="仿宋"/>
          <w:color w:val="auto"/>
          <w:sz w:val="32"/>
          <w:szCs w:val="32"/>
          <w:highlight w:val="none"/>
        </w:rPr>
        <w:t>1</w:t>
      </w:r>
      <w:r>
        <w:rPr>
          <w:rFonts w:hint="eastAsia" w:ascii="仿宋" w:hAnsi="仿宋" w:eastAsia="仿宋"/>
          <w:color w:val="auto"/>
          <w:sz w:val="32"/>
          <w:szCs w:val="32"/>
          <w:highlight w:val="none"/>
        </w:rPr>
        <w:t>：收、支决算总计变动情况图）</w:t>
      </w:r>
    </w:p>
    <w:p>
      <w:pPr>
        <w:pStyle w:val="27"/>
        <w:pageBreakBefore w:val="0"/>
        <w:numPr>
          <w:ilvl w:val="0"/>
          <w:numId w:val="2"/>
        </w:numPr>
        <w:kinsoku/>
        <w:wordWrap/>
        <w:overflowPunct/>
        <w:topLinePunct w:val="0"/>
        <w:bidi w:val="0"/>
        <w:spacing w:line="576" w:lineRule="exact"/>
        <w:ind w:firstLineChars="0"/>
        <w:textAlignment w:val="auto"/>
        <w:outlineLvl w:val="1"/>
        <w:rPr>
          <w:rStyle w:val="29"/>
          <w:rFonts w:ascii="黑体" w:hAnsi="黑体" w:eastAsia="黑体"/>
          <w:b w:val="0"/>
          <w:color w:val="auto"/>
          <w:highlight w:val="none"/>
        </w:rPr>
      </w:pPr>
      <w:bookmarkStart w:id="29" w:name="_Toc10905"/>
      <w:bookmarkStart w:id="30" w:name="_Toc15377206"/>
      <w:bookmarkStart w:id="31" w:name="_Toc15396604"/>
      <w:r>
        <w:rPr>
          <w:rFonts w:hint="eastAsia" w:ascii="黑体" w:hAnsi="黑体" w:eastAsia="黑体"/>
          <w:color w:val="auto"/>
          <w:sz w:val="32"/>
          <w:szCs w:val="32"/>
          <w:highlight w:val="none"/>
        </w:rPr>
        <w:t>收</w:t>
      </w:r>
      <w:r>
        <w:rPr>
          <w:rStyle w:val="29"/>
          <w:rFonts w:hint="eastAsia" w:ascii="黑体" w:hAnsi="黑体" w:eastAsia="黑体"/>
          <w:b w:val="0"/>
          <w:color w:val="auto"/>
          <w:highlight w:val="none"/>
        </w:rPr>
        <w:t>入决算情况说明</w:t>
      </w:r>
      <w:bookmarkEnd w:id="29"/>
      <w:bookmarkEnd w:id="30"/>
      <w:bookmarkEnd w:id="31"/>
    </w:p>
    <w:p>
      <w:pPr>
        <w:pageBreakBefore w:val="0"/>
        <w:kinsoku/>
        <w:wordWrap/>
        <w:overflowPunct/>
        <w:topLinePunct w:val="0"/>
        <w:bidi w:val="0"/>
        <w:spacing w:line="576" w:lineRule="exact"/>
        <w:ind w:firstLine="640" w:firstLineChars="200"/>
        <w:textAlignment w:val="auto"/>
        <w:outlineLvl w:val="9"/>
        <w:rPr>
          <w:rFonts w:hint="eastAsia" w:ascii="仿宋" w:hAnsi="仿宋" w:eastAsia="仿宋"/>
          <w:color w:val="auto"/>
          <w:sz w:val="32"/>
          <w:szCs w:val="32"/>
          <w:highlight w:val="none"/>
          <w:lang w:eastAsia="zh-CN"/>
        </w:rPr>
      </w:pPr>
      <w:bookmarkStart w:id="32" w:name="_Toc6278"/>
      <w:r>
        <w:rPr>
          <w:rFonts w:ascii="仿宋" w:hAnsi="仿宋" w:eastAsia="仿宋"/>
          <w:color w:val="auto"/>
          <w:sz w:val="32"/>
          <w:szCs w:val="32"/>
          <w:highlight w:val="none"/>
        </w:rPr>
        <w:t>20</w:t>
      </w:r>
      <w:r>
        <w:rPr>
          <w:rFonts w:hint="eastAsia" w:ascii="仿宋" w:hAnsi="仿宋" w:eastAsia="仿宋"/>
          <w:color w:val="auto"/>
          <w:sz w:val="32"/>
          <w:szCs w:val="32"/>
          <w:highlight w:val="none"/>
          <w:lang w:val="en-US" w:eastAsia="zh-CN"/>
        </w:rPr>
        <w:t>22</w:t>
      </w:r>
      <w:r>
        <w:rPr>
          <w:rFonts w:hint="eastAsia" w:ascii="仿宋" w:hAnsi="仿宋" w:eastAsia="仿宋"/>
          <w:color w:val="auto"/>
          <w:sz w:val="32"/>
          <w:szCs w:val="32"/>
          <w:highlight w:val="none"/>
        </w:rPr>
        <w:t>年本年收入合计</w:t>
      </w:r>
      <w:r>
        <w:rPr>
          <w:rFonts w:hint="eastAsia" w:ascii="仿宋" w:hAnsi="仿宋" w:eastAsia="仿宋"/>
          <w:color w:val="auto"/>
          <w:sz w:val="32"/>
          <w:szCs w:val="32"/>
          <w:highlight w:val="none"/>
          <w:lang w:val="en-US" w:eastAsia="zh-CN"/>
        </w:rPr>
        <w:t>4228.88</w:t>
      </w:r>
      <w:r>
        <w:rPr>
          <w:rFonts w:hint="eastAsia" w:ascii="仿宋" w:hAnsi="仿宋" w:eastAsia="仿宋"/>
          <w:color w:val="auto"/>
          <w:sz w:val="32"/>
          <w:szCs w:val="32"/>
          <w:highlight w:val="none"/>
        </w:rPr>
        <w:t>万元，其中：一般公共预算财政拨款收入</w:t>
      </w:r>
      <w:r>
        <w:rPr>
          <w:rFonts w:hint="eastAsia" w:ascii="仿宋" w:hAnsi="仿宋" w:eastAsia="仿宋"/>
          <w:color w:val="auto"/>
          <w:sz w:val="32"/>
          <w:szCs w:val="32"/>
          <w:highlight w:val="none"/>
          <w:lang w:val="en-US" w:eastAsia="zh-CN"/>
        </w:rPr>
        <w:t>4228.88</w:t>
      </w:r>
      <w:r>
        <w:rPr>
          <w:rFonts w:hint="eastAsia" w:ascii="仿宋" w:hAnsi="仿宋" w:eastAsia="仿宋"/>
          <w:color w:val="auto"/>
          <w:sz w:val="32"/>
          <w:szCs w:val="32"/>
          <w:highlight w:val="none"/>
        </w:rPr>
        <w:t>万元，占</w:t>
      </w:r>
      <w:r>
        <w:rPr>
          <w:rFonts w:hint="eastAsia" w:ascii="仿宋" w:hAnsi="仿宋" w:eastAsia="仿宋"/>
          <w:color w:val="auto"/>
          <w:sz w:val="32"/>
          <w:szCs w:val="32"/>
          <w:highlight w:val="none"/>
          <w:lang w:val="en-US" w:eastAsia="zh-CN"/>
        </w:rPr>
        <w:t>100</w:t>
      </w:r>
      <w:r>
        <w:rPr>
          <w:rFonts w:ascii="仿宋" w:hAnsi="仿宋" w:eastAsia="仿宋"/>
          <w:color w:val="auto"/>
          <w:sz w:val="32"/>
          <w:szCs w:val="32"/>
          <w:highlight w:val="none"/>
        </w:rPr>
        <w:t>%</w:t>
      </w:r>
      <w:r>
        <w:rPr>
          <w:rFonts w:hint="eastAsia" w:ascii="仿宋" w:hAnsi="仿宋" w:eastAsia="仿宋"/>
          <w:color w:val="auto"/>
          <w:sz w:val="32"/>
          <w:szCs w:val="32"/>
          <w:highlight w:val="none"/>
          <w:lang w:eastAsia="zh-CN"/>
        </w:rPr>
        <w:t>。</w:t>
      </w:r>
      <w:bookmarkEnd w:id="32"/>
    </w:p>
    <w:p>
      <w:pPr>
        <w:pageBreakBefore w:val="0"/>
        <w:kinsoku/>
        <w:wordWrap/>
        <w:overflowPunct/>
        <w:topLinePunct w:val="0"/>
        <w:bidi w:val="0"/>
        <w:spacing w:line="576" w:lineRule="exact"/>
        <w:textAlignment w:val="auto"/>
        <w:outlineLvl w:val="9"/>
        <w:rPr>
          <w:rFonts w:ascii="仿宋" w:hAnsi="仿宋" w:eastAsia="仿宋"/>
          <w:color w:val="auto"/>
          <w:sz w:val="32"/>
          <w:szCs w:val="32"/>
          <w:highlight w:val="none"/>
        </w:rPr>
      </w:pPr>
      <w:r>
        <w:rPr>
          <w:highlight w:val="none"/>
        </w:rPr>
        <w:drawing>
          <wp:anchor distT="0" distB="0" distL="114300" distR="114300" simplePos="0" relativeHeight="251660288" behindDoc="0" locked="0" layoutInCell="1" allowOverlap="1">
            <wp:simplePos x="0" y="0"/>
            <wp:positionH relativeFrom="column">
              <wp:posOffset>81280</wp:posOffset>
            </wp:positionH>
            <wp:positionV relativeFrom="paragraph">
              <wp:posOffset>268605</wp:posOffset>
            </wp:positionV>
            <wp:extent cx="3445510" cy="1983105"/>
            <wp:effectExtent l="5080" t="4445" r="16510" b="12700"/>
            <wp:wrapNone/>
            <wp:docPr id="12" name="图表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anchor>
        </w:drawing>
      </w:r>
    </w:p>
    <w:p>
      <w:pPr>
        <w:pageBreakBefore w:val="0"/>
        <w:kinsoku/>
        <w:wordWrap/>
        <w:overflowPunct/>
        <w:topLinePunct w:val="0"/>
        <w:bidi w:val="0"/>
        <w:spacing w:line="576" w:lineRule="exact"/>
        <w:ind w:firstLine="640" w:firstLineChars="200"/>
        <w:textAlignment w:val="auto"/>
        <w:rPr>
          <w:rFonts w:hint="eastAsia" w:ascii="仿宋" w:hAnsi="仿宋" w:eastAsia="仿宋"/>
          <w:color w:val="auto"/>
          <w:sz w:val="32"/>
          <w:szCs w:val="32"/>
          <w:highlight w:val="none"/>
        </w:rPr>
      </w:pPr>
    </w:p>
    <w:p>
      <w:pPr>
        <w:pageBreakBefore w:val="0"/>
        <w:kinsoku/>
        <w:wordWrap/>
        <w:overflowPunct/>
        <w:topLinePunct w:val="0"/>
        <w:bidi w:val="0"/>
        <w:spacing w:line="576" w:lineRule="exact"/>
        <w:ind w:firstLine="640" w:firstLineChars="200"/>
        <w:textAlignment w:val="auto"/>
        <w:rPr>
          <w:rFonts w:hint="eastAsia" w:ascii="仿宋" w:hAnsi="仿宋" w:eastAsia="仿宋"/>
          <w:color w:val="auto"/>
          <w:sz w:val="32"/>
          <w:szCs w:val="32"/>
          <w:highlight w:val="none"/>
        </w:rPr>
      </w:pPr>
    </w:p>
    <w:p>
      <w:pPr>
        <w:pageBreakBefore w:val="0"/>
        <w:kinsoku/>
        <w:wordWrap/>
        <w:overflowPunct/>
        <w:topLinePunct w:val="0"/>
        <w:bidi w:val="0"/>
        <w:spacing w:line="576" w:lineRule="exact"/>
        <w:ind w:firstLine="640" w:firstLineChars="200"/>
        <w:textAlignment w:val="auto"/>
        <w:rPr>
          <w:rFonts w:hint="eastAsia" w:ascii="仿宋" w:hAnsi="仿宋" w:eastAsia="仿宋"/>
          <w:color w:val="auto"/>
          <w:sz w:val="32"/>
          <w:szCs w:val="32"/>
          <w:highlight w:val="none"/>
        </w:rPr>
      </w:pPr>
    </w:p>
    <w:p>
      <w:pPr>
        <w:pageBreakBefore w:val="0"/>
        <w:kinsoku/>
        <w:wordWrap/>
        <w:overflowPunct/>
        <w:topLinePunct w:val="0"/>
        <w:bidi w:val="0"/>
        <w:spacing w:line="576" w:lineRule="exact"/>
        <w:ind w:firstLine="640" w:firstLineChars="200"/>
        <w:textAlignment w:val="auto"/>
        <w:rPr>
          <w:rFonts w:hint="eastAsia" w:ascii="仿宋" w:hAnsi="仿宋" w:eastAsia="仿宋"/>
          <w:color w:val="auto"/>
          <w:sz w:val="32"/>
          <w:szCs w:val="32"/>
          <w:highlight w:val="none"/>
        </w:rPr>
      </w:pPr>
    </w:p>
    <w:p>
      <w:pPr>
        <w:pageBreakBefore w:val="0"/>
        <w:kinsoku/>
        <w:wordWrap/>
        <w:overflowPunct/>
        <w:topLinePunct w:val="0"/>
        <w:bidi w:val="0"/>
        <w:spacing w:line="576" w:lineRule="exact"/>
        <w:ind w:firstLine="640" w:firstLineChars="200"/>
        <w:textAlignment w:val="auto"/>
        <w:rPr>
          <w:rFonts w:hint="eastAsia" w:ascii="仿宋" w:hAnsi="仿宋" w:eastAsia="仿宋"/>
          <w:color w:val="auto"/>
          <w:sz w:val="32"/>
          <w:szCs w:val="32"/>
          <w:highlight w:val="none"/>
        </w:rPr>
      </w:pPr>
    </w:p>
    <w:p>
      <w:pPr>
        <w:pageBreakBefore w:val="0"/>
        <w:kinsoku/>
        <w:wordWrap/>
        <w:overflowPunct/>
        <w:topLinePunct w:val="0"/>
        <w:bidi w:val="0"/>
        <w:spacing w:line="576" w:lineRule="exact"/>
        <w:ind w:firstLine="640" w:firstLineChars="200"/>
        <w:textAlignment w:val="auto"/>
        <w:rPr>
          <w:rFonts w:ascii="仿宋_GB2312" w:eastAsia="仿宋_GB2312"/>
          <w:color w:val="auto"/>
          <w:sz w:val="32"/>
          <w:szCs w:val="32"/>
          <w:highlight w:val="none"/>
        </w:rPr>
      </w:pPr>
      <w:r>
        <w:rPr>
          <w:rFonts w:hint="eastAsia" w:ascii="仿宋" w:hAnsi="仿宋" w:eastAsia="仿宋"/>
          <w:color w:val="auto"/>
          <w:sz w:val="32"/>
          <w:szCs w:val="32"/>
          <w:highlight w:val="none"/>
        </w:rPr>
        <w:t>（图2：收入决算结构图）</w:t>
      </w:r>
    </w:p>
    <w:p>
      <w:pPr>
        <w:pStyle w:val="27"/>
        <w:pageBreakBefore w:val="0"/>
        <w:numPr>
          <w:ilvl w:val="0"/>
          <w:numId w:val="2"/>
        </w:numPr>
        <w:kinsoku/>
        <w:wordWrap/>
        <w:overflowPunct/>
        <w:topLinePunct w:val="0"/>
        <w:bidi w:val="0"/>
        <w:spacing w:line="576" w:lineRule="exact"/>
        <w:ind w:firstLineChars="0"/>
        <w:textAlignment w:val="auto"/>
        <w:outlineLvl w:val="1"/>
        <w:rPr>
          <w:rStyle w:val="29"/>
          <w:rFonts w:ascii="黑体" w:hAnsi="黑体" w:eastAsia="黑体"/>
          <w:b w:val="0"/>
          <w:color w:val="auto"/>
          <w:highlight w:val="none"/>
        </w:rPr>
      </w:pPr>
      <w:bookmarkStart w:id="33" w:name="_Toc15396605"/>
      <w:bookmarkStart w:id="34" w:name="_Toc15377207"/>
      <w:bookmarkStart w:id="35" w:name="_Toc9556"/>
      <w:r>
        <w:rPr>
          <w:rFonts w:hint="eastAsia" w:ascii="黑体" w:hAnsi="黑体" w:eastAsia="黑体"/>
          <w:color w:val="auto"/>
          <w:sz w:val="32"/>
          <w:szCs w:val="32"/>
          <w:highlight w:val="none"/>
        </w:rPr>
        <w:t>支</w:t>
      </w:r>
      <w:r>
        <w:rPr>
          <w:rStyle w:val="29"/>
          <w:rFonts w:hint="eastAsia" w:ascii="黑体" w:hAnsi="黑体" w:eastAsia="黑体"/>
          <w:b w:val="0"/>
          <w:color w:val="auto"/>
          <w:highlight w:val="none"/>
        </w:rPr>
        <w:t>出决算情况说明</w:t>
      </w:r>
      <w:bookmarkEnd w:id="33"/>
      <w:bookmarkEnd w:id="34"/>
      <w:bookmarkEnd w:id="35"/>
    </w:p>
    <w:p>
      <w:pPr>
        <w:pageBreakBefore w:val="0"/>
        <w:kinsoku/>
        <w:wordWrap/>
        <w:overflowPunct/>
        <w:topLinePunct w:val="0"/>
        <w:bidi w:val="0"/>
        <w:spacing w:line="576" w:lineRule="exact"/>
        <w:ind w:firstLine="640" w:firstLineChars="200"/>
        <w:textAlignment w:val="auto"/>
        <w:outlineLvl w:val="9"/>
        <w:rPr>
          <w:rFonts w:ascii="仿宋" w:hAnsi="仿宋" w:eastAsia="仿宋"/>
          <w:color w:val="auto"/>
          <w:sz w:val="32"/>
          <w:szCs w:val="32"/>
          <w:highlight w:val="none"/>
        </w:rPr>
      </w:pPr>
      <w:bookmarkStart w:id="36" w:name="_Toc2317"/>
      <w:r>
        <w:rPr>
          <w:rFonts w:ascii="仿宋" w:hAnsi="仿宋" w:eastAsia="仿宋"/>
          <w:color w:val="auto"/>
          <w:sz w:val="32"/>
          <w:szCs w:val="32"/>
          <w:highlight w:val="none"/>
        </w:rPr>
        <w:t>20</w:t>
      </w:r>
      <w:r>
        <w:rPr>
          <w:rFonts w:hint="eastAsia" w:ascii="仿宋" w:hAnsi="仿宋" w:eastAsia="仿宋"/>
          <w:color w:val="auto"/>
          <w:sz w:val="32"/>
          <w:szCs w:val="32"/>
          <w:highlight w:val="none"/>
          <w:lang w:val="en-US" w:eastAsia="zh-CN"/>
        </w:rPr>
        <w:t>22</w:t>
      </w:r>
      <w:r>
        <w:rPr>
          <w:rFonts w:hint="eastAsia" w:ascii="仿宋" w:hAnsi="仿宋" w:eastAsia="仿宋"/>
          <w:color w:val="auto"/>
          <w:sz w:val="32"/>
          <w:szCs w:val="32"/>
          <w:highlight w:val="none"/>
        </w:rPr>
        <w:t>年本年支出合计</w:t>
      </w:r>
      <w:r>
        <w:rPr>
          <w:rFonts w:hint="eastAsia" w:ascii="仿宋" w:hAnsi="仿宋" w:eastAsia="仿宋"/>
          <w:color w:val="auto"/>
          <w:sz w:val="32"/>
          <w:szCs w:val="32"/>
          <w:highlight w:val="none"/>
          <w:lang w:val="en-US" w:eastAsia="zh-CN"/>
        </w:rPr>
        <w:t>4228.88</w:t>
      </w:r>
      <w:r>
        <w:rPr>
          <w:rFonts w:hint="eastAsia" w:ascii="仿宋" w:hAnsi="仿宋" w:eastAsia="仿宋"/>
          <w:color w:val="auto"/>
          <w:sz w:val="32"/>
          <w:szCs w:val="32"/>
          <w:highlight w:val="none"/>
        </w:rPr>
        <w:t>万元，其中：基本支出</w:t>
      </w:r>
      <w:r>
        <w:rPr>
          <w:rFonts w:hint="eastAsia" w:ascii="仿宋" w:hAnsi="仿宋" w:eastAsia="仿宋"/>
          <w:color w:val="auto"/>
          <w:sz w:val="32"/>
          <w:szCs w:val="32"/>
          <w:highlight w:val="none"/>
          <w:lang w:val="en-US" w:eastAsia="zh-CN"/>
        </w:rPr>
        <w:t>1016.40</w:t>
      </w:r>
      <w:r>
        <w:rPr>
          <w:rFonts w:hint="eastAsia" w:ascii="仿宋" w:hAnsi="仿宋" w:eastAsia="仿宋"/>
          <w:color w:val="auto"/>
          <w:sz w:val="32"/>
          <w:szCs w:val="32"/>
          <w:highlight w:val="none"/>
        </w:rPr>
        <w:t>万元，占</w:t>
      </w:r>
      <w:r>
        <w:rPr>
          <w:rFonts w:hint="eastAsia" w:ascii="仿宋" w:hAnsi="仿宋" w:eastAsia="仿宋"/>
          <w:color w:val="auto"/>
          <w:sz w:val="32"/>
          <w:szCs w:val="32"/>
          <w:highlight w:val="none"/>
          <w:lang w:val="en-US" w:eastAsia="zh-CN"/>
        </w:rPr>
        <w:t>24</w:t>
      </w:r>
      <w:r>
        <w:rPr>
          <w:rFonts w:ascii="仿宋" w:hAnsi="仿宋" w:eastAsia="仿宋"/>
          <w:color w:val="auto"/>
          <w:sz w:val="32"/>
          <w:szCs w:val="32"/>
          <w:highlight w:val="none"/>
        </w:rPr>
        <w:t>%</w:t>
      </w:r>
      <w:r>
        <w:rPr>
          <w:rFonts w:hint="eastAsia" w:ascii="仿宋" w:hAnsi="仿宋" w:eastAsia="仿宋"/>
          <w:color w:val="auto"/>
          <w:sz w:val="32"/>
          <w:szCs w:val="32"/>
          <w:highlight w:val="none"/>
        </w:rPr>
        <w:t>；项目支出</w:t>
      </w:r>
      <w:r>
        <w:rPr>
          <w:rFonts w:hint="eastAsia" w:ascii="仿宋" w:hAnsi="仿宋" w:eastAsia="仿宋"/>
          <w:color w:val="auto"/>
          <w:sz w:val="32"/>
          <w:szCs w:val="32"/>
          <w:highlight w:val="none"/>
          <w:lang w:val="en-US" w:eastAsia="zh-CN"/>
        </w:rPr>
        <w:t>3212.48</w:t>
      </w:r>
      <w:r>
        <w:rPr>
          <w:rFonts w:hint="eastAsia" w:ascii="仿宋" w:hAnsi="仿宋" w:eastAsia="仿宋"/>
          <w:color w:val="auto"/>
          <w:sz w:val="32"/>
          <w:szCs w:val="32"/>
          <w:highlight w:val="none"/>
        </w:rPr>
        <w:t>万元，占</w:t>
      </w:r>
      <w:r>
        <w:rPr>
          <w:rFonts w:hint="eastAsia" w:ascii="仿宋" w:hAnsi="仿宋" w:eastAsia="仿宋"/>
          <w:color w:val="auto"/>
          <w:sz w:val="32"/>
          <w:szCs w:val="32"/>
          <w:highlight w:val="none"/>
          <w:lang w:val="en-US" w:eastAsia="zh-CN"/>
        </w:rPr>
        <w:t>76</w:t>
      </w:r>
      <w:r>
        <w:rPr>
          <w:rFonts w:ascii="仿宋" w:hAnsi="仿宋" w:eastAsia="仿宋"/>
          <w:color w:val="auto"/>
          <w:sz w:val="32"/>
          <w:szCs w:val="32"/>
          <w:highlight w:val="none"/>
        </w:rPr>
        <w:t>%</w:t>
      </w:r>
      <w:r>
        <w:rPr>
          <w:rFonts w:hint="eastAsia" w:ascii="仿宋" w:hAnsi="仿宋" w:eastAsia="仿宋"/>
          <w:color w:val="auto"/>
          <w:sz w:val="32"/>
          <w:szCs w:val="32"/>
          <w:highlight w:val="none"/>
        </w:rPr>
        <w:t>；</w:t>
      </w:r>
      <w:bookmarkEnd w:id="36"/>
    </w:p>
    <w:p>
      <w:pPr>
        <w:pageBreakBefore w:val="0"/>
        <w:kinsoku/>
        <w:wordWrap/>
        <w:overflowPunct/>
        <w:topLinePunct w:val="0"/>
        <w:bidi w:val="0"/>
        <w:spacing w:line="576" w:lineRule="exact"/>
        <w:ind w:firstLine="640"/>
        <w:textAlignment w:val="auto"/>
        <w:rPr>
          <w:rFonts w:ascii="仿宋" w:hAnsi="仿宋" w:eastAsia="仿宋"/>
          <w:color w:val="auto"/>
          <w:sz w:val="32"/>
          <w:szCs w:val="32"/>
          <w:highlight w:val="none"/>
          <w:shd w:val="pct10" w:color="auto" w:fill="FFFFFF"/>
        </w:rPr>
      </w:pPr>
      <w:r>
        <w:rPr>
          <w:highlight w:val="none"/>
        </w:rPr>
        <w:drawing>
          <wp:anchor distT="0" distB="0" distL="114300" distR="114300" simplePos="0" relativeHeight="251661312" behindDoc="0" locked="0" layoutInCell="1" allowOverlap="1">
            <wp:simplePos x="0" y="0"/>
            <wp:positionH relativeFrom="column">
              <wp:posOffset>252095</wp:posOffset>
            </wp:positionH>
            <wp:positionV relativeFrom="paragraph">
              <wp:posOffset>272415</wp:posOffset>
            </wp:positionV>
            <wp:extent cx="3274695" cy="1973580"/>
            <wp:effectExtent l="4445" t="4445" r="16510" b="22225"/>
            <wp:wrapNone/>
            <wp:docPr id="1" name="图表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anchor>
        </w:drawing>
      </w:r>
    </w:p>
    <w:p>
      <w:pPr>
        <w:pageBreakBefore w:val="0"/>
        <w:kinsoku/>
        <w:wordWrap/>
        <w:overflowPunct/>
        <w:topLinePunct w:val="0"/>
        <w:bidi w:val="0"/>
        <w:spacing w:line="576" w:lineRule="exact"/>
        <w:ind w:firstLine="640" w:firstLineChars="200"/>
        <w:textAlignment w:val="auto"/>
        <w:rPr>
          <w:rFonts w:hint="eastAsia" w:ascii="仿宋" w:hAnsi="仿宋" w:eastAsia="仿宋"/>
          <w:color w:val="auto"/>
          <w:sz w:val="32"/>
          <w:szCs w:val="32"/>
          <w:highlight w:val="none"/>
        </w:rPr>
      </w:pPr>
    </w:p>
    <w:p>
      <w:pPr>
        <w:pageBreakBefore w:val="0"/>
        <w:kinsoku/>
        <w:wordWrap/>
        <w:overflowPunct/>
        <w:topLinePunct w:val="0"/>
        <w:bidi w:val="0"/>
        <w:spacing w:line="576" w:lineRule="exact"/>
        <w:ind w:firstLine="640" w:firstLineChars="200"/>
        <w:textAlignment w:val="auto"/>
        <w:rPr>
          <w:rFonts w:hint="eastAsia" w:ascii="仿宋" w:hAnsi="仿宋" w:eastAsia="仿宋"/>
          <w:color w:val="auto"/>
          <w:sz w:val="32"/>
          <w:szCs w:val="32"/>
          <w:highlight w:val="none"/>
        </w:rPr>
      </w:pPr>
    </w:p>
    <w:p>
      <w:pPr>
        <w:pageBreakBefore w:val="0"/>
        <w:kinsoku/>
        <w:wordWrap/>
        <w:overflowPunct/>
        <w:topLinePunct w:val="0"/>
        <w:bidi w:val="0"/>
        <w:spacing w:line="576" w:lineRule="exact"/>
        <w:ind w:firstLine="640" w:firstLineChars="200"/>
        <w:textAlignment w:val="auto"/>
        <w:rPr>
          <w:rFonts w:hint="eastAsia" w:ascii="仿宋" w:hAnsi="仿宋" w:eastAsia="仿宋"/>
          <w:color w:val="auto"/>
          <w:sz w:val="32"/>
          <w:szCs w:val="32"/>
          <w:highlight w:val="none"/>
        </w:rPr>
      </w:pPr>
    </w:p>
    <w:p>
      <w:pPr>
        <w:pageBreakBefore w:val="0"/>
        <w:kinsoku/>
        <w:wordWrap/>
        <w:overflowPunct/>
        <w:topLinePunct w:val="0"/>
        <w:bidi w:val="0"/>
        <w:spacing w:line="576" w:lineRule="exact"/>
        <w:textAlignment w:val="auto"/>
        <w:rPr>
          <w:rFonts w:hint="eastAsia" w:ascii="仿宋" w:hAnsi="仿宋" w:eastAsia="仿宋"/>
          <w:color w:val="auto"/>
          <w:sz w:val="32"/>
          <w:szCs w:val="32"/>
          <w:highlight w:val="none"/>
        </w:rPr>
      </w:pPr>
    </w:p>
    <w:p>
      <w:pPr>
        <w:pageBreakBefore w:val="0"/>
        <w:kinsoku/>
        <w:wordWrap/>
        <w:overflowPunct/>
        <w:topLinePunct w:val="0"/>
        <w:bidi w:val="0"/>
        <w:spacing w:line="576" w:lineRule="exact"/>
        <w:ind w:firstLine="640" w:firstLineChars="200"/>
        <w:textAlignment w:val="auto"/>
        <w:rPr>
          <w:rFonts w:hint="eastAsia" w:ascii="仿宋" w:hAnsi="仿宋" w:eastAsia="仿宋"/>
          <w:color w:val="auto"/>
          <w:sz w:val="32"/>
          <w:szCs w:val="32"/>
          <w:highlight w:val="none"/>
        </w:rPr>
      </w:pPr>
    </w:p>
    <w:p>
      <w:pPr>
        <w:pageBreakBefore w:val="0"/>
        <w:kinsoku/>
        <w:wordWrap/>
        <w:overflowPunct/>
        <w:topLinePunct w:val="0"/>
        <w:bidi w:val="0"/>
        <w:spacing w:line="576" w:lineRule="exact"/>
        <w:ind w:firstLine="640" w:firstLineChars="200"/>
        <w:textAlignment w:val="auto"/>
        <w:rPr>
          <w:rFonts w:ascii="仿宋_GB2312" w:eastAsia="仿宋_GB2312"/>
          <w:color w:val="auto"/>
          <w:sz w:val="32"/>
          <w:szCs w:val="32"/>
          <w:highlight w:val="none"/>
        </w:rPr>
      </w:pPr>
      <w:r>
        <w:rPr>
          <w:rFonts w:hint="eastAsia" w:ascii="仿宋" w:hAnsi="仿宋" w:eastAsia="仿宋"/>
          <w:color w:val="auto"/>
          <w:sz w:val="32"/>
          <w:szCs w:val="32"/>
          <w:highlight w:val="none"/>
        </w:rPr>
        <w:t>（图3：支出决算结构图）</w:t>
      </w:r>
    </w:p>
    <w:p>
      <w:pPr>
        <w:pageBreakBefore w:val="0"/>
        <w:kinsoku/>
        <w:wordWrap/>
        <w:overflowPunct/>
        <w:topLinePunct w:val="0"/>
        <w:bidi w:val="0"/>
        <w:spacing w:line="576" w:lineRule="exact"/>
        <w:ind w:firstLine="640" w:firstLineChars="200"/>
        <w:textAlignment w:val="auto"/>
        <w:outlineLvl w:val="1"/>
        <w:rPr>
          <w:rStyle w:val="29"/>
          <w:rFonts w:ascii="黑体" w:hAnsi="黑体" w:eastAsia="黑体"/>
          <w:b w:val="0"/>
          <w:color w:val="auto"/>
          <w:highlight w:val="none"/>
        </w:rPr>
      </w:pPr>
      <w:bookmarkStart w:id="37" w:name="_Toc15377208"/>
      <w:bookmarkStart w:id="38" w:name="_Toc21548"/>
      <w:bookmarkStart w:id="39" w:name="_Toc15396606"/>
      <w:r>
        <w:rPr>
          <w:rFonts w:hint="eastAsia" w:ascii="黑体" w:hAnsi="黑体" w:eastAsia="黑体"/>
          <w:color w:val="auto"/>
          <w:sz w:val="32"/>
          <w:szCs w:val="32"/>
          <w:highlight w:val="none"/>
        </w:rPr>
        <w:t>四、财</w:t>
      </w:r>
      <w:r>
        <w:rPr>
          <w:rStyle w:val="29"/>
          <w:rFonts w:hint="eastAsia" w:ascii="黑体" w:hAnsi="黑体" w:eastAsia="黑体"/>
          <w:b w:val="0"/>
          <w:color w:val="auto"/>
          <w:highlight w:val="none"/>
        </w:rPr>
        <w:t>政拨款收入支出决算总体情况说明</w:t>
      </w:r>
      <w:bookmarkEnd w:id="37"/>
      <w:bookmarkEnd w:id="38"/>
      <w:bookmarkEnd w:id="39"/>
    </w:p>
    <w:p>
      <w:pPr>
        <w:pageBreakBefore w:val="0"/>
        <w:kinsoku/>
        <w:wordWrap/>
        <w:overflowPunct/>
        <w:topLinePunct w:val="0"/>
        <w:bidi w:val="0"/>
        <w:spacing w:line="576" w:lineRule="exact"/>
        <w:ind w:firstLine="640"/>
        <w:textAlignment w:val="auto"/>
        <w:rPr>
          <w:rFonts w:ascii="仿宋" w:hAnsi="仿宋" w:eastAsia="仿宋"/>
          <w:b/>
          <w:color w:val="auto"/>
          <w:sz w:val="32"/>
          <w:szCs w:val="32"/>
          <w:highlight w:val="none"/>
        </w:rPr>
      </w:pPr>
      <w:r>
        <w:rPr>
          <w:rFonts w:ascii="仿宋" w:hAnsi="仿宋" w:eastAsia="仿宋"/>
          <w:color w:val="auto"/>
          <w:sz w:val="32"/>
          <w:szCs w:val="32"/>
          <w:highlight w:val="none"/>
        </w:rPr>
        <w:t>20</w:t>
      </w:r>
      <w:r>
        <w:rPr>
          <w:rFonts w:hint="eastAsia" w:ascii="仿宋" w:hAnsi="仿宋" w:eastAsia="仿宋"/>
          <w:color w:val="auto"/>
          <w:sz w:val="32"/>
          <w:szCs w:val="32"/>
          <w:highlight w:val="none"/>
          <w:lang w:val="en-US" w:eastAsia="zh-CN"/>
        </w:rPr>
        <w:t>22</w:t>
      </w:r>
      <w:r>
        <w:rPr>
          <w:rFonts w:hint="eastAsia" w:ascii="仿宋" w:hAnsi="仿宋" w:eastAsia="仿宋"/>
          <w:color w:val="auto"/>
          <w:sz w:val="32"/>
          <w:szCs w:val="32"/>
          <w:highlight w:val="none"/>
        </w:rPr>
        <w:t>年财政拨款收、支总计</w:t>
      </w:r>
      <w:r>
        <w:rPr>
          <w:rFonts w:hint="eastAsia" w:ascii="仿宋" w:hAnsi="仿宋" w:eastAsia="仿宋"/>
          <w:color w:val="auto"/>
          <w:sz w:val="32"/>
          <w:szCs w:val="32"/>
          <w:highlight w:val="none"/>
          <w:lang w:val="en-US" w:eastAsia="zh-CN"/>
        </w:rPr>
        <w:t>4228.88</w:t>
      </w:r>
      <w:r>
        <w:rPr>
          <w:rFonts w:hint="eastAsia" w:ascii="仿宋" w:hAnsi="仿宋" w:eastAsia="仿宋"/>
          <w:color w:val="auto"/>
          <w:sz w:val="32"/>
          <w:szCs w:val="32"/>
          <w:highlight w:val="none"/>
        </w:rPr>
        <w:t>万元。与</w:t>
      </w:r>
      <w:r>
        <w:rPr>
          <w:rFonts w:ascii="仿宋" w:hAnsi="仿宋" w:eastAsia="仿宋"/>
          <w:color w:val="auto"/>
          <w:sz w:val="32"/>
          <w:szCs w:val="32"/>
          <w:highlight w:val="none"/>
        </w:rPr>
        <w:t>20</w:t>
      </w:r>
      <w:r>
        <w:rPr>
          <w:rFonts w:hint="eastAsia" w:ascii="仿宋" w:hAnsi="仿宋" w:eastAsia="仿宋"/>
          <w:color w:val="auto"/>
          <w:sz w:val="32"/>
          <w:szCs w:val="32"/>
          <w:highlight w:val="none"/>
          <w:lang w:val="en-US" w:eastAsia="zh-CN"/>
        </w:rPr>
        <w:t>21</w:t>
      </w:r>
      <w:r>
        <w:rPr>
          <w:rFonts w:hint="eastAsia" w:ascii="仿宋" w:hAnsi="仿宋" w:eastAsia="仿宋"/>
          <w:color w:val="auto"/>
          <w:sz w:val="32"/>
          <w:szCs w:val="32"/>
          <w:highlight w:val="none"/>
        </w:rPr>
        <w:t>年相比，财政拨款收、支总计各增加</w:t>
      </w:r>
      <w:r>
        <w:rPr>
          <w:rFonts w:hint="eastAsia" w:ascii="仿宋" w:hAnsi="仿宋" w:eastAsia="仿宋"/>
          <w:color w:val="auto"/>
          <w:sz w:val="32"/>
          <w:szCs w:val="32"/>
          <w:highlight w:val="none"/>
          <w:lang w:val="en-US" w:eastAsia="zh-CN"/>
        </w:rPr>
        <w:t>429.95</w:t>
      </w:r>
      <w:r>
        <w:rPr>
          <w:rFonts w:hint="eastAsia" w:ascii="仿宋" w:hAnsi="仿宋" w:eastAsia="仿宋"/>
          <w:color w:val="auto"/>
          <w:sz w:val="32"/>
          <w:szCs w:val="32"/>
          <w:highlight w:val="none"/>
        </w:rPr>
        <w:t>万元，增长</w:t>
      </w:r>
      <w:r>
        <w:rPr>
          <w:rFonts w:hint="eastAsia" w:ascii="仿宋" w:hAnsi="仿宋" w:eastAsia="仿宋"/>
          <w:color w:val="auto"/>
          <w:sz w:val="32"/>
          <w:szCs w:val="32"/>
          <w:highlight w:val="none"/>
          <w:lang w:val="en-US" w:eastAsia="zh-CN"/>
        </w:rPr>
        <w:t>11.31</w:t>
      </w:r>
      <w:r>
        <w:rPr>
          <w:rFonts w:ascii="仿宋" w:hAnsi="仿宋" w:eastAsia="仿宋"/>
          <w:color w:val="auto"/>
          <w:sz w:val="32"/>
          <w:szCs w:val="32"/>
          <w:highlight w:val="none"/>
        </w:rPr>
        <w:t>%</w:t>
      </w:r>
      <w:r>
        <w:rPr>
          <w:rFonts w:hint="eastAsia" w:ascii="仿宋" w:hAnsi="仿宋" w:eastAsia="仿宋"/>
          <w:color w:val="auto"/>
          <w:sz w:val="32"/>
          <w:szCs w:val="32"/>
          <w:highlight w:val="none"/>
        </w:rPr>
        <w:t>。主要变动原因是</w:t>
      </w:r>
      <w:r>
        <w:rPr>
          <w:rFonts w:hint="eastAsia" w:ascii="仿宋" w:hAnsi="仿宋" w:eastAsia="仿宋"/>
          <w:color w:val="auto"/>
          <w:sz w:val="32"/>
          <w:szCs w:val="32"/>
          <w:highlight w:val="none"/>
          <w:lang w:val="en-US" w:eastAsia="zh-CN"/>
        </w:rPr>
        <w:t>2022年</w:t>
      </w:r>
      <w:r>
        <w:rPr>
          <w:rFonts w:hint="eastAsia" w:ascii="仿宋" w:hAnsi="仿宋" w:eastAsia="仿宋"/>
          <w:color w:val="auto"/>
          <w:sz w:val="32"/>
          <w:szCs w:val="32"/>
          <w:highlight w:val="none"/>
        </w:rPr>
        <w:t>新增人员8人，人员经费</w:t>
      </w:r>
      <w:r>
        <w:rPr>
          <w:rFonts w:hint="eastAsia" w:ascii="仿宋" w:hAnsi="仿宋" w:eastAsia="仿宋"/>
          <w:color w:val="auto"/>
          <w:sz w:val="32"/>
          <w:szCs w:val="32"/>
          <w:highlight w:val="none"/>
          <w:lang w:eastAsia="zh-CN"/>
        </w:rPr>
        <w:t>和定额公用经费</w:t>
      </w:r>
      <w:r>
        <w:rPr>
          <w:rFonts w:hint="eastAsia" w:ascii="仿宋" w:hAnsi="仿宋" w:eastAsia="仿宋"/>
          <w:color w:val="auto"/>
          <w:sz w:val="32"/>
          <w:szCs w:val="32"/>
          <w:highlight w:val="none"/>
        </w:rPr>
        <w:t>增加</w:t>
      </w:r>
      <w:r>
        <w:rPr>
          <w:rFonts w:hint="eastAsia" w:ascii="仿宋" w:hAnsi="仿宋" w:eastAsia="仿宋"/>
          <w:color w:val="auto"/>
          <w:sz w:val="32"/>
          <w:szCs w:val="32"/>
          <w:highlight w:val="none"/>
          <w:lang w:eastAsia="zh-CN"/>
        </w:rPr>
        <w:t>。</w:t>
      </w:r>
    </w:p>
    <w:p>
      <w:pPr>
        <w:pageBreakBefore w:val="0"/>
        <w:kinsoku/>
        <w:wordWrap/>
        <w:overflowPunct/>
        <w:topLinePunct w:val="0"/>
        <w:bidi w:val="0"/>
        <w:spacing w:line="576" w:lineRule="exact"/>
        <w:textAlignment w:val="auto"/>
        <w:rPr>
          <w:rFonts w:ascii="仿宋" w:hAnsi="仿宋" w:eastAsia="仿宋"/>
          <w:color w:val="auto"/>
          <w:sz w:val="32"/>
          <w:szCs w:val="32"/>
          <w:highlight w:val="none"/>
        </w:rPr>
      </w:pPr>
      <w:r>
        <w:rPr>
          <w:highlight w:val="none"/>
        </w:rPr>
        <w:drawing>
          <wp:anchor distT="0" distB="0" distL="114300" distR="114300" simplePos="0" relativeHeight="251662336" behindDoc="0" locked="0" layoutInCell="1" allowOverlap="1">
            <wp:simplePos x="0" y="0"/>
            <wp:positionH relativeFrom="column">
              <wp:posOffset>270510</wp:posOffset>
            </wp:positionH>
            <wp:positionV relativeFrom="paragraph">
              <wp:posOffset>116205</wp:posOffset>
            </wp:positionV>
            <wp:extent cx="2950210" cy="1487170"/>
            <wp:effectExtent l="4445" t="4445" r="17145" b="13335"/>
            <wp:wrapNone/>
            <wp:docPr id="2"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anchor>
        </w:drawing>
      </w:r>
    </w:p>
    <w:p>
      <w:pPr>
        <w:pageBreakBefore w:val="0"/>
        <w:kinsoku/>
        <w:wordWrap/>
        <w:overflowPunct/>
        <w:topLinePunct w:val="0"/>
        <w:bidi w:val="0"/>
        <w:spacing w:line="576" w:lineRule="exact"/>
        <w:ind w:firstLine="640" w:firstLineChars="200"/>
        <w:textAlignment w:val="auto"/>
        <w:rPr>
          <w:rFonts w:hint="eastAsia" w:ascii="仿宋" w:hAnsi="仿宋" w:eastAsia="仿宋"/>
          <w:color w:val="auto"/>
          <w:sz w:val="32"/>
          <w:szCs w:val="32"/>
          <w:highlight w:val="none"/>
        </w:rPr>
      </w:pPr>
    </w:p>
    <w:p>
      <w:pPr>
        <w:pageBreakBefore w:val="0"/>
        <w:kinsoku/>
        <w:wordWrap/>
        <w:overflowPunct/>
        <w:topLinePunct w:val="0"/>
        <w:bidi w:val="0"/>
        <w:spacing w:line="576" w:lineRule="exact"/>
        <w:ind w:firstLine="640" w:firstLineChars="200"/>
        <w:textAlignment w:val="auto"/>
        <w:rPr>
          <w:rFonts w:hint="eastAsia" w:ascii="仿宋" w:hAnsi="仿宋" w:eastAsia="仿宋"/>
          <w:color w:val="auto"/>
          <w:sz w:val="32"/>
          <w:szCs w:val="32"/>
          <w:highlight w:val="none"/>
        </w:rPr>
      </w:pPr>
    </w:p>
    <w:p>
      <w:pPr>
        <w:pStyle w:val="6"/>
        <w:rPr>
          <w:rFonts w:hint="eastAsia"/>
          <w:highlight w:val="none"/>
        </w:rPr>
      </w:pPr>
    </w:p>
    <w:p>
      <w:pPr>
        <w:pageBreakBefore w:val="0"/>
        <w:kinsoku/>
        <w:wordWrap/>
        <w:overflowPunct/>
        <w:topLinePunct w:val="0"/>
        <w:bidi w:val="0"/>
        <w:spacing w:line="576" w:lineRule="exact"/>
        <w:ind w:firstLine="640" w:firstLineChars="200"/>
        <w:textAlignment w:val="auto"/>
        <w:rPr>
          <w:rFonts w:ascii="仿宋" w:hAnsi="仿宋" w:eastAsia="仿宋"/>
          <w:b/>
          <w:color w:val="auto"/>
          <w:sz w:val="32"/>
          <w:szCs w:val="32"/>
          <w:highlight w:val="none"/>
        </w:rPr>
      </w:pPr>
      <w:r>
        <w:rPr>
          <w:rFonts w:hint="eastAsia" w:ascii="仿宋" w:hAnsi="仿宋" w:eastAsia="仿宋"/>
          <w:color w:val="auto"/>
          <w:sz w:val="32"/>
          <w:szCs w:val="32"/>
          <w:highlight w:val="none"/>
        </w:rPr>
        <w:t>（图4：财政拨款收、支决算总计变动情况）</w:t>
      </w:r>
    </w:p>
    <w:p>
      <w:pPr>
        <w:pageBreakBefore w:val="0"/>
        <w:kinsoku/>
        <w:wordWrap/>
        <w:overflowPunct/>
        <w:topLinePunct w:val="0"/>
        <w:bidi w:val="0"/>
        <w:spacing w:line="576" w:lineRule="exact"/>
        <w:ind w:firstLine="640" w:firstLineChars="200"/>
        <w:textAlignment w:val="auto"/>
        <w:outlineLvl w:val="1"/>
        <w:rPr>
          <w:rStyle w:val="29"/>
          <w:rFonts w:ascii="黑体" w:hAnsi="黑体" w:eastAsia="黑体"/>
          <w:b w:val="0"/>
          <w:color w:val="auto"/>
          <w:highlight w:val="none"/>
        </w:rPr>
      </w:pPr>
      <w:bookmarkStart w:id="40" w:name="_Toc699"/>
      <w:bookmarkStart w:id="41" w:name="_Toc15396607"/>
      <w:bookmarkStart w:id="42" w:name="_Toc15377209"/>
      <w:r>
        <w:rPr>
          <w:rFonts w:hint="eastAsia" w:ascii="黑体" w:hAnsi="黑体" w:eastAsia="黑体"/>
          <w:color w:val="auto"/>
          <w:sz w:val="32"/>
          <w:szCs w:val="32"/>
          <w:highlight w:val="none"/>
        </w:rPr>
        <w:t>五、</w:t>
      </w:r>
      <w:r>
        <w:rPr>
          <w:rFonts w:hint="eastAsia" w:ascii="黑体" w:hAnsi="黑体" w:eastAsia="黑体"/>
          <w:b/>
          <w:color w:val="auto"/>
          <w:sz w:val="32"/>
          <w:szCs w:val="32"/>
          <w:highlight w:val="none"/>
        </w:rPr>
        <w:t>一</w:t>
      </w:r>
      <w:r>
        <w:rPr>
          <w:rStyle w:val="29"/>
          <w:rFonts w:hint="eastAsia" w:ascii="黑体" w:hAnsi="黑体" w:eastAsia="黑体"/>
          <w:b w:val="0"/>
          <w:color w:val="auto"/>
          <w:highlight w:val="none"/>
        </w:rPr>
        <w:t>般公共预算财政拨款支出决算情况说明</w:t>
      </w:r>
      <w:bookmarkEnd w:id="40"/>
      <w:bookmarkEnd w:id="41"/>
      <w:bookmarkEnd w:id="42"/>
    </w:p>
    <w:p>
      <w:pPr>
        <w:pageBreakBefore w:val="0"/>
        <w:kinsoku/>
        <w:wordWrap/>
        <w:overflowPunct/>
        <w:topLinePunct w:val="0"/>
        <w:bidi w:val="0"/>
        <w:spacing w:line="576" w:lineRule="exact"/>
        <w:ind w:firstLine="640" w:firstLineChars="200"/>
        <w:textAlignment w:val="auto"/>
        <w:outlineLvl w:val="1"/>
        <w:rPr>
          <w:rFonts w:hint="eastAsia" w:ascii="黑体" w:hAnsi="黑体" w:eastAsia="黑体"/>
          <w:b w:val="0"/>
          <w:bCs/>
          <w:color w:val="auto"/>
          <w:sz w:val="32"/>
          <w:szCs w:val="32"/>
          <w:highlight w:val="none"/>
        </w:rPr>
      </w:pPr>
      <w:bookmarkStart w:id="43" w:name="_Toc15377210"/>
      <w:bookmarkStart w:id="44" w:name="_Toc15674"/>
      <w:r>
        <w:rPr>
          <w:rFonts w:hint="eastAsia" w:ascii="黑体" w:hAnsi="黑体" w:eastAsia="黑体"/>
          <w:b w:val="0"/>
          <w:bCs/>
          <w:color w:val="auto"/>
          <w:sz w:val="32"/>
          <w:szCs w:val="32"/>
          <w:highlight w:val="none"/>
        </w:rPr>
        <w:t>（一）一般公共预算财政拨款支出决算总体情况</w:t>
      </w:r>
      <w:bookmarkEnd w:id="43"/>
      <w:bookmarkEnd w:id="44"/>
    </w:p>
    <w:p>
      <w:pPr>
        <w:pageBreakBefore w:val="0"/>
        <w:kinsoku/>
        <w:wordWrap/>
        <w:overflowPunct/>
        <w:topLinePunct w:val="0"/>
        <w:bidi w:val="0"/>
        <w:spacing w:line="576" w:lineRule="exact"/>
        <w:ind w:firstLine="640"/>
        <w:textAlignment w:val="auto"/>
        <w:rPr>
          <w:rFonts w:hint="eastAsia" w:ascii="仿宋" w:hAnsi="仿宋" w:eastAsia="仿宋"/>
          <w:color w:val="auto"/>
          <w:sz w:val="32"/>
          <w:szCs w:val="32"/>
          <w:highlight w:val="none"/>
          <w:lang w:eastAsia="zh-CN"/>
        </w:rPr>
      </w:pPr>
      <w:r>
        <w:rPr>
          <w:rFonts w:ascii="仿宋" w:hAnsi="仿宋" w:eastAsia="仿宋"/>
          <w:color w:val="auto"/>
          <w:sz w:val="32"/>
          <w:szCs w:val="32"/>
          <w:highlight w:val="none"/>
        </w:rPr>
        <w:t>20</w:t>
      </w:r>
      <w:r>
        <w:rPr>
          <w:rFonts w:hint="eastAsia" w:ascii="仿宋" w:hAnsi="仿宋" w:eastAsia="仿宋"/>
          <w:color w:val="auto"/>
          <w:sz w:val="32"/>
          <w:szCs w:val="32"/>
          <w:highlight w:val="none"/>
          <w:lang w:val="en-US" w:eastAsia="zh-CN"/>
        </w:rPr>
        <w:t>22</w:t>
      </w:r>
      <w:r>
        <w:rPr>
          <w:rFonts w:hint="eastAsia" w:ascii="仿宋" w:hAnsi="仿宋" w:eastAsia="仿宋"/>
          <w:color w:val="auto"/>
          <w:sz w:val="32"/>
          <w:szCs w:val="32"/>
          <w:highlight w:val="none"/>
        </w:rPr>
        <w:t>年一般公共预算财政拨款支出</w:t>
      </w:r>
      <w:r>
        <w:rPr>
          <w:rFonts w:hint="eastAsia" w:ascii="仿宋" w:hAnsi="仿宋" w:eastAsia="仿宋"/>
          <w:color w:val="auto"/>
          <w:sz w:val="32"/>
          <w:szCs w:val="32"/>
          <w:highlight w:val="none"/>
          <w:lang w:val="en-US" w:eastAsia="zh-CN"/>
        </w:rPr>
        <w:t>4228.88</w:t>
      </w:r>
      <w:r>
        <w:rPr>
          <w:rFonts w:hint="eastAsia" w:ascii="仿宋" w:hAnsi="仿宋" w:eastAsia="仿宋"/>
          <w:color w:val="auto"/>
          <w:sz w:val="32"/>
          <w:szCs w:val="32"/>
          <w:highlight w:val="none"/>
        </w:rPr>
        <w:t>万元，占本年支出合计的</w:t>
      </w:r>
      <w:r>
        <w:rPr>
          <w:rFonts w:hint="eastAsia" w:ascii="仿宋" w:hAnsi="仿宋" w:eastAsia="仿宋"/>
          <w:color w:val="auto"/>
          <w:sz w:val="32"/>
          <w:szCs w:val="32"/>
          <w:highlight w:val="none"/>
          <w:lang w:val="en-US" w:eastAsia="zh-CN"/>
        </w:rPr>
        <w:t>100</w:t>
      </w:r>
      <w:r>
        <w:rPr>
          <w:rFonts w:ascii="仿宋" w:hAnsi="仿宋" w:eastAsia="仿宋"/>
          <w:color w:val="auto"/>
          <w:sz w:val="32"/>
          <w:szCs w:val="32"/>
          <w:highlight w:val="none"/>
        </w:rPr>
        <w:t>%</w:t>
      </w:r>
      <w:r>
        <w:rPr>
          <w:rFonts w:hint="eastAsia" w:ascii="仿宋" w:hAnsi="仿宋" w:eastAsia="仿宋"/>
          <w:color w:val="auto"/>
          <w:sz w:val="32"/>
          <w:szCs w:val="32"/>
          <w:highlight w:val="none"/>
        </w:rPr>
        <w:t>。与</w:t>
      </w:r>
      <w:r>
        <w:rPr>
          <w:rFonts w:ascii="仿宋" w:hAnsi="仿宋" w:eastAsia="仿宋"/>
          <w:color w:val="auto"/>
          <w:sz w:val="32"/>
          <w:szCs w:val="32"/>
          <w:highlight w:val="none"/>
        </w:rPr>
        <w:t>20</w:t>
      </w:r>
      <w:r>
        <w:rPr>
          <w:rFonts w:hint="eastAsia" w:ascii="仿宋" w:hAnsi="仿宋" w:eastAsia="仿宋"/>
          <w:color w:val="auto"/>
          <w:sz w:val="32"/>
          <w:szCs w:val="32"/>
          <w:highlight w:val="none"/>
          <w:lang w:val="en-US" w:eastAsia="zh-CN"/>
        </w:rPr>
        <w:t>21</w:t>
      </w:r>
      <w:r>
        <w:rPr>
          <w:rFonts w:hint="eastAsia" w:ascii="仿宋" w:hAnsi="仿宋" w:eastAsia="仿宋"/>
          <w:color w:val="auto"/>
          <w:sz w:val="32"/>
          <w:szCs w:val="32"/>
          <w:highlight w:val="none"/>
        </w:rPr>
        <w:t>年相比，一般公共预算财政拨款</w:t>
      </w:r>
      <w:r>
        <w:rPr>
          <w:rFonts w:hint="eastAsia" w:ascii="仿宋" w:hAnsi="仿宋" w:eastAsia="仿宋"/>
          <w:color w:val="auto"/>
          <w:sz w:val="32"/>
          <w:szCs w:val="32"/>
          <w:highlight w:val="none"/>
          <w:lang w:eastAsia="zh-CN"/>
        </w:rPr>
        <w:t>支出</w:t>
      </w:r>
      <w:r>
        <w:rPr>
          <w:rFonts w:hint="eastAsia" w:ascii="仿宋" w:hAnsi="仿宋" w:eastAsia="仿宋"/>
          <w:color w:val="auto"/>
          <w:sz w:val="32"/>
          <w:szCs w:val="32"/>
          <w:highlight w:val="none"/>
        </w:rPr>
        <w:t>增加</w:t>
      </w:r>
      <w:r>
        <w:rPr>
          <w:rFonts w:hint="eastAsia" w:ascii="仿宋" w:hAnsi="仿宋" w:eastAsia="仿宋"/>
          <w:color w:val="auto"/>
          <w:sz w:val="32"/>
          <w:szCs w:val="32"/>
          <w:highlight w:val="none"/>
          <w:lang w:val="en-US" w:eastAsia="zh-CN"/>
        </w:rPr>
        <w:t>429.95</w:t>
      </w:r>
      <w:r>
        <w:rPr>
          <w:rFonts w:hint="eastAsia" w:ascii="仿宋" w:hAnsi="仿宋" w:eastAsia="仿宋"/>
          <w:color w:val="auto"/>
          <w:sz w:val="32"/>
          <w:szCs w:val="32"/>
          <w:highlight w:val="none"/>
        </w:rPr>
        <w:t>万元，增长</w:t>
      </w:r>
      <w:r>
        <w:rPr>
          <w:rFonts w:hint="eastAsia" w:ascii="仿宋" w:hAnsi="仿宋" w:eastAsia="仿宋"/>
          <w:color w:val="auto"/>
          <w:sz w:val="32"/>
          <w:szCs w:val="32"/>
          <w:highlight w:val="none"/>
          <w:lang w:val="en-US" w:eastAsia="zh-CN"/>
        </w:rPr>
        <w:t>11.31</w:t>
      </w:r>
      <w:r>
        <w:rPr>
          <w:rFonts w:ascii="仿宋" w:hAnsi="仿宋" w:eastAsia="仿宋"/>
          <w:color w:val="auto"/>
          <w:sz w:val="32"/>
          <w:szCs w:val="32"/>
          <w:highlight w:val="none"/>
        </w:rPr>
        <w:t>%</w:t>
      </w:r>
      <w:r>
        <w:rPr>
          <w:rFonts w:hint="eastAsia" w:ascii="仿宋" w:hAnsi="仿宋" w:eastAsia="仿宋"/>
          <w:color w:val="auto"/>
          <w:sz w:val="32"/>
          <w:szCs w:val="32"/>
          <w:highlight w:val="none"/>
        </w:rPr>
        <w:t>。主要变动原因是</w:t>
      </w:r>
      <w:r>
        <w:rPr>
          <w:rFonts w:hint="eastAsia" w:ascii="仿宋" w:hAnsi="仿宋" w:eastAsia="仿宋"/>
          <w:color w:val="auto"/>
          <w:sz w:val="32"/>
          <w:szCs w:val="32"/>
          <w:highlight w:val="none"/>
          <w:lang w:val="en-US" w:eastAsia="zh-CN"/>
        </w:rPr>
        <w:t>2022年</w:t>
      </w:r>
      <w:r>
        <w:rPr>
          <w:rFonts w:hint="eastAsia" w:ascii="仿宋" w:hAnsi="仿宋" w:eastAsia="仿宋"/>
          <w:color w:val="auto"/>
          <w:sz w:val="32"/>
          <w:szCs w:val="32"/>
          <w:highlight w:val="none"/>
        </w:rPr>
        <w:t>新增人员8人，人员经费</w:t>
      </w:r>
      <w:r>
        <w:rPr>
          <w:rFonts w:hint="eastAsia" w:ascii="仿宋" w:hAnsi="仿宋" w:eastAsia="仿宋"/>
          <w:color w:val="auto"/>
          <w:sz w:val="32"/>
          <w:szCs w:val="32"/>
          <w:highlight w:val="none"/>
          <w:lang w:eastAsia="zh-CN"/>
        </w:rPr>
        <w:t>和定额公用经费</w:t>
      </w:r>
      <w:r>
        <w:rPr>
          <w:rFonts w:hint="eastAsia" w:ascii="仿宋" w:hAnsi="仿宋" w:eastAsia="仿宋"/>
          <w:color w:val="auto"/>
          <w:sz w:val="32"/>
          <w:szCs w:val="32"/>
          <w:highlight w:val="none"/>
        </w:rPr>
        <w:t>增加</w:t>
      </w:r>
      <w:r>
        <w:rPr>
          <w:rFonts w:hint="eastAsia" w:ascii="仿宋" w:hAnsi="仿宋" w:eastAsia="仿宋"/>
          <w:color w:val="auto"/>
          <w:sz w:val="32"/>
          <w:szCs w:val="32"/>
          <w:highlight w:val="none"/>
          <w:lang w:eastAsia="zh-CN"/>
        </w:rPr>
        <w:t>。</w:t>
      </w:r>
    </w:p>
    <w:p>
      <w:pPr>
        <w:pageBreakBefore w:val="0"/>
        <w:kinsoku/>
        <w:wordWrap/>
        <w:overflowPunct/>
        <w:topLinePunct w:val="0"/>
        <w:bidi w:val="0"/>
        <w:spacing w:line="576" w:lineRule="exact"/>
        <w:textAlignment w:val="auto"/>
        <w:rPr>
          <w:rFonts w:ascii="仿宋" w:hAnsi="仿宋" w:eastAsia="仿宋"/>
          <w:color w:val="auto"/>
          <w:sz w:val="32"/>
          <w:szCs w:val="32"/>
          <w:highlight w:val="none"/>
        </w:rPr>
      </w:pPr>
      <w:r>
        <w:rPr>
          <w:highlight w:val="none"/>
        </w:rPr>
        <w:drawing>
          <wp:anchor distT="0" distB="0" distL="114300" distR="114300" simplePos="0" relativeHeight="251663360" behindDoc="0" locked="0" layoutInCell="1" allowOverlap="1">
            <wp:simplePos x="0" y="0"/>
            <wp:positionH relativeFrom="column">
              <wp:posOffset>459105</wp:posOffset>
            </wp:positionH>
            <wp:positionV relativeFrom="paragraph">
              <wp:posOffset>361315</wp:posOffset>
            </wp:positionV>
            <wp:extent cx="2950210" cy="1487170"/>
            <wp:effectExtent l="4445" t="4445" r="17145" b="13335"/>
            <wp:wrapNone/>
            <wp:docPr id="3"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anchor>
        </w:drawing>
      </w:r>
    </w:p>
    <w:p>
      <w:pPr>
        <w:pageBreakBefore w:val="0"/>
        <w:kinsoku/>
        <w:wordWrap/>
        <w:overflowPunct/>
        <w:topLinePunct w:val="0"/>
        <w:bidi w:val="0"/>
        <w:spacing w:line="576" w:lineRule="exact"/>
        <w:ind w:firstLine="640" w:firstLineChars="200"/>
        <w:textAlignment w:val="auto"/>
        <w:rPr>
          <w:rFonts w:hint="eastAsia" w:ascii="仿宋" w:hAnsi="仿宋" w:eastAsia="仿宋"/>
          <w:color w:val="auto"/>
          <w:sz w:val="32"/>
          <w:szCs w:val="32"/>
          <w:highlight w:val="none"/>
        </w:rPr>
      </w:pPr>
    </w:p>
    <w:p>
      <w:pPr>
        <w:pageBreakBefore w:val="0"/>
        <w:kinsoku/>
        <w:wordWrap/>
        <w:overflowPunct/>
        <w:topLinePunct w:val="0"/>
        <w:bidi w:val="0"/>
        <w:spacing w:line="576" w:lineRule="exact"/>
        <w:ind w:firstLine="640" w:firstLineChars="200"/>
        <w:textAlignment w:val="auto"/>
        <w:rPr>
          <w:rFonts w:hint="eastAsia" w:ascii="仿宋" w:hAnsi="仿宋" w:eastAsia="仿宋"/>
          <w:color w:val="auto"/>
          <w:sz w:val="32"/>
          <w:szCs w:val="32"/>
          <w:highlight w:val="none"/>
        </w:rPr>
      </w:pPr>
    </w:p>
    <w:p>
      <w:pPr>
        <w:pageBreakBefore w:val="0"/>
        <w:kinsoku/>
        <w:wordWrap/>
        <w:overflowPunct/>
        <w:topLinePunct w:val="0"/>
        <w:bidi w:val="0"/>
        <w:spacing w:line="576" w:lineRule="exact"/>
        <w:ind w:firstLine="640" w:firstLineChars="200"/>
        <w:textAlignment w:val="auto"/>
        <w:rPr>
          <w:rFonts w:hint="eastAsia" w:ascii="仿宋" w:hAnsi="仿宋" w:eastAsia="仿宋"/>
          <w:color w:val="auto"/>
          <w:sz w:val="32"/>
          <w:szCs w:val="32"/>
          <w:highlight w:val="none"/>
        </w:rPr>
      </w:pPr>
    </w:p>
    <w:p>
      <w:pPr>
        <w:pageBreakBefore w:val="0"/>
        <w:kinsoku/>
        <w:wordWrap/>
        <w:overflowPunct/>
        <w:topLinePunct w:val="0"/>
        <w:bidi w:val="0"/>
        <w:spacing w:line="576" w:lineRule="exact"/>
        <w:ind w:firstLine="640" w:firstLineChars="200"/>
        <w:textAlignment w:val="auto"/>
        <w:rPr>
          <w:rFonts w:hint="eastAsia" w:ascii="仿宋" w:hAnsi="仿宋" w:eastAsia="仿宋"/>
          <w:color w:val="auto"/>
          <w:sz w:val="32"/>
          <w:szCs w:val="32"/>
          <w:highlight w:val="none"/>
        </w:rPr>
      </w:pPr>
    </w:p>
    <w:p>
      <w:pPr>
        <w:pageBreakBefore w:val="0"/>
        <w:kinsoku/>
        <w:wordWrap/>
        <w:overflowPunct/>
        <w:topLinePunct w:val="0"/>
        <w:bidi w:val="0"/>
        <w:spacing w:line="576" w:lineRule="exact"/>
        <w:ind w:firstLine="640" w:firstLineChars="200"/>
        <w:textAlignment w:val="auto"/>
        <w:rPr>
          <w:rFonts w:hint="eastAsia" w:ascii="仿宋" w:hAnsi="仿宋" w:eastAsia="仿宋"/>
          <w:color w:val="auto"/>
          <w:sz w:val="32"/>
          <w:szCs w:val="32"/>
          <w:highlight w:val="none"/>
        </w:rPr>
      </w:pPr>
      <w:r>
        <w:rPr>
          <w:rFonts w:hint="eastAsia" w:ascii="仿宋" w:hAnsi="仿宋" w:eastAsia="仿宋"/>
          <w:color w:val="auto"/>
          <w:sz w:val="32"/>
          <w:szCs w:val="32"/>
          <w:highlight w:val="none"/>
        </w:rPr>
        <w:t>（图5：一般公共预算财政拨款支出决算变动情况）</w:t>
      </w:r>
      <w:bookmarkStart w:id="45" w:name="_Toc15377211"/>
    </w:p>
    <w:p>
      <w:pPr>
        <w:pageBreakBefore w:val="0"/>
        <w:kinsoku/>
        <w:wordWrap/>
        <w:overflowPunct/>
        <w:topLinePunct w:val="0"/>
        <w:bidi w:val="0"/>
        <w:spacing w:line="576" w:lineRule="exact"/>
        <w:ind w:firstLine="640" w:firstLineChars="200"/>
        <w:textAlignment w:val="auto"/>
        <w:outlineLvl w:val="1"/>
        <w:rPr>
          <w:rFonts w:hint="eastAsia" w:ascii="黑体" w:hAnsi="黑体" w:eastAsia="黑体"/>
          <w:b w:val="0"/>
          <w:bCs/>
          <w:color w:val="auto"/>
          <w:sz w:val="32"/>
          <w:szCs w:val="32"/>
          <w:highlight w:val="none"/>
        </w:rPr>
      </w:pPr>
      <w:bookmarkStart w:id="46" w:name="_Toc5355"/>
      <w:r>
        <w:rPr>
          <w:rFonts w:hint="eastAsia" w:ascii="黑体" w:hAnsi="黑体" w:eastAsia="黑体"/>
          <w:b w:val="0"/>
          <w:bCs/>
          <w:color w:val="auto"/>
          <w:sz w:val="32"/>
          <w:szCs w:val="32"/>
          <w:highlight w:val="none"/>
        </w:rPr>
        <w:t>（二）一般公共预算财政拨款支出决算结构情况</w:t>
      </w:r>
      <w:bookmarkEnd w:id="45"/>
      <w:bookmarkEnd w:id="46"/>
    </w:p>
    <w:p>
      <w:pPr>
        <w:pageBreakBefore w:val="0"/>
        <w:kinsoku/>
        <w:wordWrap/>
        <w:overflowPunct/>
        <w:topLinePunct w:val="0"/>
        <w:bidi w:val="0"/>
        <w:spacing w:line="576" w:lineRule="exact"/>
        <w:ind w:firstLine="640"/>
        <w:textAlignment w:val="auto"/>
        <w:rPr>
          <w:rFonts w:hint="eastAsia" w:ascii="仿宋" w:hAnsi="仿宋" w:eastAsia="仿宋"/>
          <w:color w:val="auto"/>
          <w:sz w:val="32"/>
          <w:szCs w:val="32"/>
          <w:highlight w:val="none"/>
        </w:rPr>
      </w:pPr>
      <w:r>
        <w:rPr>
          <w:rFonts w:ascii="仿宋" w:hAnsi="仿宋" w:eastAsia="仿宋"/>
          <w:color w:val="auto"/>
          <w:sz w:val="32"/>
          <w:szCs w:val="32"/>
          <w:highlight w:val="none"/>
        </w:rPr>
        <w:t>20</w:t>
      </w:r>
      <w:r>
        <w:rPr>
          <w:rFonts w:hint="eastAsia" w:ascii="仿宋" w:hAnsi="仿宋" w:eastAsia="仿宋"/>
          <w:color w:val="auto"/>
          <w:sz w:val="32"/>
          <w:szCs w:val="32"/>
          <w:highlight w:val="none"/>
          <w:lang w:val="en-US" w:eastAsia="zh-CN"/>
        </w:rPr>
        <w:t>22</w:t>
      </w:r>
      <w:r>
        <w:rPr>
          <w:rFonts w:hint="eastAsia" w:ascii="仿宋" w:hAnsi="仿宋" w:eastAsia="仿宋"/>
          <w:color w:val="auto"/>
          <w:sz w:val="32"/>
          <w:szCs w:val="32"/>
          <w:highlight w:val="none"/>
        </w:rPr>
        <w:t>年一般公共预算财政拨款支出</w:t>
      </w:r>
      <w:r>
        <w:rPr>
          <w:rFonts w:hint="eastAsia" w:ascii="仿宋" w:hAnsi="仿宋" w:eastAsia="仿宋"/>
          <w:color w:val="auto"/>
          <w:sz w:val="32"/>
          <w:szCs w:val="32"/>
          <w:highlight w:val="none"/>
          <w:lang w:val="en-US" w:eastAsia="zh-CN"/>
        </w:rPr>
        <w:t>4228.88</w:t>
      </w:r>
      <w:r>
        <w:rPr>
          <w:rFonts w:hint="eastAsia" w:ascii="仿宋" w:hAnsi="仿宋" w:eastAsia="仿宋"/>
          <w:color w:val="auto"/>
          <w:sz w:val="32"/>
          <w:szCs w:val="32"/>
          <w:highlight w:val="none"/>
        </w:rPr>
        <w:t>万元，主要用于以下方面</w:t>
      </w:r>
      <w:r>
        <w:rPr>
          <w:rFonts w:ascii="仿宋" w:hAnsi="仿宋" w:eastAsia="仿宋"/>
          <w:color w:val="auto"/>
          <w:sz w:val="32"/>
          <w:szCs w:val="32"/>
          <w:highlight w:val="none"/>
        </w:rPr>
        <w:t>:</w:t>
      </w:r>
      <w:r>
        <w:rPr>
          <w:rFonts w:hint="eastAsia" w:ascii="仿宋" w:hAnsi="仿宋" w:eastAsia="仿宋"/>
          <w:b/>
          <w:color w:val="auto"/>
          <w:sz w:val="32"/>
          <w:szCs w:val="32"/>
          <w:highlight w:val="none"/>
        </w:rPr>
        <w:t>社会保障和就业</w:t>
      </w:r>
      <w:r>
        <w:rPr>
          <w:rFonts w:hint="eastAsia" w:ascii="仿宋" w:hAnsi="仿宋" w:eastAsia="仿宋"/>
          <w:b/>
          <w:bCs/>
          <w:color w:val="auto"/>
          <w:sz w:val="32"/>
          <w:szCs w:val="32"/>
          <w:highlight w:val="none"/>
        </w:rPr>
        <w:t>支出</w:t>
      </w:r>
      <w:r>
        <w:rPr>
          <w:rFonts w:hint="eastAsia" w:ascii="仿宋" w:hAnsi="仿宋" w:eastAsia="仿宋"/>
          <w:b/>
          <w:bCs/>
          <w:color w:val="auto"/>
          <w:sz w:val="32"/>
          <w:szCs w:val="32"/>
          <w:highlight w:val="none"/>
          <w:lang w:val="en-US" w:eastAsia="zh-CN"/>
        </w:rPr>
        <w:t>3763.76</w:t>
      </w:r>
      <w:r>
        <w:rPr>
          <w:rFonts w:hint="eastAsia" w:ascii="仿宋" w:hAnsi="仿宋" w:eastAsia="仿宋"/>
          <w:color w:val="auto"/>
          <w:sz w:val="32"/>
          <w:szCs w:val="32"/>
          <w:highlight w:val="none"/>
        </w:rPr>
        <w:t>万元，占</w:t>
      </w:r>
      <w:r>
        <w:rPr>
          <w:rFonts w:hint="eastAsia" w:ascii="仿宋" w:hAnsi="仿宋" w:eastAsia="仿宋"/>
          <w:color w:val="auto"/>
          <w:sz w:val="32"/>
          <w:szCs w:val="32"/>
          <w:highlight w:val="none"/>
          <w:lang w:val="en-US" w:eastAsia="zh-CN"/>
        </w:rPr>
        <w:t>89</w:t>
      </w:r>
      <w:r>
        <w:rPr>
          <w:rFonts w:ascii="仿宋" w:hAnsi="仿宋" w:eastAsia="仿宋"/>
          <w:color w:val="auto"/>
          <w:sz w:val="32"/>
          <w:szCs w:val="32"/>
          <w:highlight w:val="none"/>
        </w:rPr>
        <w:t>%</w:t>
      </w:r>
      <w:r>
        <w:rPr>
          <w:rFonts w:hint="eastAsia" w:ascii="仿宋" w:hAnsi="仿宋" w:eastAsia="仿宋"/>
          <w:color w:val="auto"/>
          <w:sz w:val="32"/>
          <w:szCs w:val="32"/>
          <w:highlight w:val="none"/>
        </w:rPr>
        <w:t>；</w:t>
      </w:r>
      <w:r>
        <w:rPr>
          <w:rFonts w:hint="eastAsia" w:ascii="仿宋" w:hAnsi="仿宋" w:eastAsia="仿宋"/>
          <w:b/>
          <w:bCs/>
          <w:color w:val="auto"/>
          <w:sz w:val="32"/>
          <w:szCs w:val="32"/>
          <w:highlight w:val="none"/>
        </w:rPr>
        <w:t>卫生健康支出</w:t>
      </w:r>
      <w:r>
        <w:rPr>
          <w:rFonts w:hint="eastAsia" w:ascii="仿宋" w:hAnsi="仿宋" w:eastAsia="仿宋"/>
          <w:b/>
          <w:bCs/>
          <w:color w:val="auto"/>
          <w:sz w:val="32"/>
          <w:szCs w:val="32"/>
          <w:highlight w:val="none"/>
          <w:lang w:val="en-US" w:eastAsia="zh-CN"/>
        </w:rPr>
        <w:t>44.24</w:t>
      </w:r>
      <w:r>
        <w:rPr>
          <w:rFonts w:hint="eastAsia" w:ascii="仿宋" w:hAnsi="仿宋" w:eastAsia="仿宋"/>
          <w:color w:val="auto"/>
          <w:sz w:val="32"/>
          <w:szCs w:val="32"/>
          <w:highlight w:val="none"/>
        </w:rPr>
        <w:t>万元，占</w:t>
      </w:r>
      <w:r>
        <w:rPr>
          <w:rFonts w:hint="eastAsia" w:ascii="仿宋" w:hAnsi="仿宋" w:eastAsia="仿宋"/>
          <w:color w:val="auto"/>
          <w:sz w:val="32"/>
          <w:szCs w:val="32"/>
          <w:highlight w:val="none"/>
          <w:lang w:val="en-US" w:eastAsia="zh-CN"/>
        </w:rPr>
        <w:t>1</w:t>
      </w:r>
      <w:r>
        <w:rPr>
          <w:rFonts w:ascii="仿宋" w:hAnsi="仿宋" w:eastAsia="仿宋"/>
          <w:color w:val="auto"/>
          <w:sz w:val="32"/>
          <w:szCs w:val="32"/>
          <w:highlight w:val="none"/>
        </w:rPr>
        <w:t>%</w:t>
      </w:r>
      <w:r>
        <w:rPr>
          <w:rFonts w:hint="eastAsia" w:ascii="仿宋" w:hAnsi="仿宋" w:eastAsia="仿宋"/>
          <w:color w:val="auto"/>
          <w:sz w:val="32"/>
          <w:szCs w:val="32"/>
          <w:highlight w:val="none"/>
        </w:rPr>
        <w:t>；</w:t>
      </w:r>
      <w:r>
        <w:rPr>
          <w:rFonts w:hint="eastAsia" w:ascii="仿宋" w:hAnsi="仿宋" w:eastAsia="仿宋"/>
          <w:color w:val="auto"/>
          <w:sz w:val="32"/>
          <w:szCs w:val="32"/>
          <w:highlight w:val="none"/>
          <w:lang w:eastAsia="zh-CN"/>
        </w:rPr>
        <w:t>农村水支出</w:t>
      </w:r>
      <w:r>
        <w:rPr>
          <w:rFonts w:hint="eastAsia" w:ascii="仿宋" w:hAnsi="仿宋" w:eastAsia="仿宋"/>
          <w:color w:val="auto"/>
          <w:sz w:val="32"/>
          <w:szCs w:val="32"/>
          <w:highlight w:val="none"/>
          <w:lang w:val="en-US" w:eastAsia="zh-CN"/>
        </w:rPr>
        <w:t>342.88万元，占8%；</w:t>
      </w:r>
      <w:r>
        <w:rPr>
          <w:rFonts w:hint="eastAsia" w:ascii="仿宋" w:hAnsi="仿宋" w:eastAsia="仿宋"/>
          <w:b/>
          <w:bCs/>
          <w:color w:val="auto"/>
          <w:sz w:val="32"/>
          <w:szCs w:val="32"/>
          <w:highlight w:val="none"/>
        </w:rPr>
        <w:t>住房保障支出</w:t>
      </w:r>
      <w:r>
        <w:rPr>
          <w:rFonts w:hint="eastAsia" w:ascii="仿宋" w:hAnsi="仿宋" w:eastAsia="仿宋"/>
          <w:b/>
          <w:bCs/>
          <w:color w:val="auto"/>
          <w:sz w:val="32"/>
          <w:szCs w:val="32"/>
          <w:highlight w:val="none"/>
          <w:lang w:val="en-US" w:eastAsia="zh-CN"/>
        </w:rPr>
        <w:t>77.99</w:t>
      </w:r>
      <w:r>
        <w:rPr>
          <w:rFonts w:hint="eastAsia" w:ascii="仿宋" w:hAnsi="仿宋" w:eastAsia="仿宋"/>
          <w:color w:val="auto"/>
          <w:sz w:val="32"/>
          <w:szCs w:val="32"/>
          <w:highlight w:val="none"/>
        </w:rPr>
        <w:t>万元</w:t>
      </w:r>
      <w:r>
        <w:rPr>
          <w:rFonts w:hint="eastAsia" w:ascii="仿宋" w:hAnsi="仿宋" w:eastAsia="仿宋"/>
          <w:color w:val="auto"/>
          <w:sz w:val="32"/>
          <w:szCs w:val="32"/>
          <w:highlight w:val="none"/>
          <w:lang w:eastAsia="zh-CN"/>
        </w:rPr>
        <w:t>，</w:t>
      </w:r>
      <w:r>
        <w:rPr>
          <w:rFonts w:hint="eastAsia" w:ascii="仿宋" w:hAnsi="仿宋" w:eastAsia="仿宋"/>
          <w:color w:val="auto"/>
          <w:sz w:val="32"/>
          <w:szCs w:val="32"/>
          <w:highlight w:val="none"/>
        </w:rPr>
        <w:t>占</w:t>
      </w:r>
      <w:r>
        <w:rPr>
          <w:rFonts w:hint="eastAsia" w:ascii="仿宋" w:hAnsi="仿宋" w:eastAsia="仿宋"/>
          <w:color w:val="auto"/>
          <w:sz w:val="32"/>
          <w:szCs w:val="32"/>
          <w:highlight w:val="none"/>
          <w:lang w:val="en-US" w:eastAsia="zh-CN"/>
        </w:rPr>
        <w:t>2</w:t>
      </w:r>
      <w:r>
        <w:rPr>
          <w:rFonts w:ascii="仿宋" w:hAnsi="仿宋" w:eastAsia="仿宋"/>
          <w:color w:val="auto"/>
          <w:sz w:val="32"/>
          <w:szCs w:val="32"/>
          <w:highlight w:val="none"/>
        </w:rPr>
        <w:t>%</w:t>
      </w:r>
      <w:r>
        <w:rPr>
          <w:rFonts w:hint="eastAsia" w:ascii="仿宋" w:hAnsi="仿宋" w:eastAsia="仿宋"/>
          <w:color w:val="auto"/>
          <w:sz w:val="32"/>
          <w:szCs w:val="32"/>
          <w:highlight w:val="none"/>
        </w:rPr>
        <w:t>。</w:t>
      </w:r>
    </w:p>
    <w:p>
      <w:pPr>
        <w:pageBreakBefore w:val="0"/>
        <w:kinsoku/>
        <w:wordWrap/>
        <w:overflowPunct/>
        <w:topLinePunct w:val="0"/>
        <w:bidi w:val="0"/>
        <w:spacing w:line="576" w:lineRule="exact"/>
        <w:ind w:firstLine="640"/>
        <w:textAlignment w:val="auto"/>
        <w:rPr>
          <w:rFonts w:ascii="仿宋" w:hAnsi="仿宋" w:eastAsia="仿宋"/>
          <w:color w:val="auto"/>
          <w:sz w:val="32"/>
          <w:szCs w:val="32"/>
          <w:highlight w:val="none"/>
        </w:rPr>
      </w:pPr>
      <w:r>
        <w:rPr>
          <w:highlight w:val="none"/>
        </w:rPr>
        <w:drawing>
          <wp:anchor distT="0" distB="0" distL="114300" distR="114300" simplePos="0" relativeHeight="251664384" behindDoc="0" locked="0" layoutInCell="1" allowOverlap="1">
            <wp:simplePos x="0" y="0"/>
            <wp:positionH relativeFrom="column">
              <wp:posOffset>433070</wp:posOffset>
            </wp:positionH>
            <wp:positionV relativeFrom="paragraph">
              <wp:posOffset>34925</wp:posOffset>
            </wp:positionV>
            <wp:extent cx="3397250" cy="1905635"/>
            <wp:effectExtent l="5080" t="4445" r="7620" b="13970"/>
            <wp:wrapNone/>
            <wp:docPr id="5"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anchor>
        </w:drawing>
      </w:r>
    </w:p>
    <w:p>
      <w:pPr>
        <w:pageBreakBefore w:val="0"/>
        <w:kinsoku/>
        <w:wordWrap/>
        <w:overflowPunct/>
        <w:topLinePunct w:val="0"/>
        <w:bidi w:val="0"/>
        <w:spacing w:line="576" w:lineRule="exact"/>
        <w:ind w:firstLine="640" w:firstLineChars="200"/>
        <w:textAlignment w:val="auto"/>
        <w:rPr>
          <w:rFonts w:hint="eastAsia" w:ascii="仿宋" w:hAnsi="仿宋" w:eastAsia="仿宋"/>
          <w:color w:val="auto"/>
          <w:sz w:val="32"/>
          <w:szCs w:val="32"/>
          <w:highlight w:val="none"/>
        </w:rPr>
      </w:pPr>
    </w:p>
    <w:p>
      <w:pPr>
        <w:pageBreakBefore w:val="0"/>
        <w:kinsoku/>
        <w:wordWrap/>
        <w:overflowPunct/>
        <w:topLinePunct w:val="0"/>
        <w:bidi w:val="0"/>
        <w:spacing w:line="576" w:lineRule="exact"/>
        <w:ind w:firstLine="640" w:firstLineChars="200"/>
        <w:textAlignment w:val="auto"/>
        <w:rPr>
          <w:rFonts w:hint="eastAsia" w:ascii="仿宋" w:hAnsi="仿宋" w:eastAsia="仿宋"/>
          <w:color w:val="auto"/>
          <w:sz w:val="32"/>
          <w:szCs w:val="32"/>
          <w:highlight w:val="none"/>
        </w:rPr>
      </w:pPr>
    </w:p>
    <w:p>
      <w:pPr>
        <w:pageBreakBefore w:val="0"/>
        <w:kinsoku/>
        <w:wordWrap/>
        <w:overflowPunct/>
        <w:topLinePunct w:val="0"/>
        <w:bidi w:val="0"/>
        <w:spacing w:line="576" w:lineRule="exact"/>
        <w:ind w:firstLine="640" w:firstLineChars="200"/>
        <w:textAlignment w:val="auto"/>
        <w:rPr>
          <w:rFonts w:hint="eastAsia" w:ascii="仿宋" w:hAnsi="仿宋" w:eastAsia="仿宋"/>
          <w:color w:val="auto"/>
          <w:sz w:val="32"/>
          <w:szCs w:val="32"/>
          <w:highlight w:val="none"/>
        </w:rPr>
      </w:pPr>
    </w:p>
    <w:p>
      <w:pPr>
        <w:pageBreakBefore w:val="0"/>
        <w:kinsoku/>
        <w:wordWrap/>
        <w:overflowPunct/>
        <w:topLinePunct w:val="0"/>
        <w:bidi w:val="0"/>
        <w:spacing w:line="576" w:lineRule="exact"/>
        <w:ind w:firstLine="640" w:firstLineChars="200"/>
        <w:textAlignment w:val="auto"/>
        <w:rPr>
          <w:rFonts w:hint="eastAsia" w:ascii="仿宋" w:hAnsi="仿宋" w:eastAsia="仿宋"/>
          <w:color w:val="auto"/>
          <w:sz w:val="32"/>
          <w:szCs w:val="32"/>
          <w:highlight w:val="none"/>
        </w:rPr>
      </w:pPr>
    </w:p>
    <w:p>
      <w:pPr>
        <w:pageBreakBefore w:val="0"/>
        <w:kinsoku/>
        <w:wordWrap/>
        <w:overflowPunct/>
        <w:topLinePunct w:val="0"/>
        <w:bidi w:val="0"/>
        <w:spacing w:line="576" w:lineRule="exact"/>
        <w:ind w:firstLine="640" w:firstLineChars="200"/>
        <w:textAlignment w:val="auto"/>
        <w:rPr>
          <w:rFonts w:ascii="仿宋" w:hAnsi="仿宋" w:eastAsia="仿宋"/>
          <w:color w:val="auto"/>
          <w:sz w:val="32"/>
          <w:szCs w:val="32"/>
          <w:highlight w:val="none"/>
        </w:rPr>
      </w:pPr>
      <w:r>
        <w:rPr>
          <w:rFonts w:hint="eastAsia" w:ascii="仿宋" w:hAnsi="仿宋" w:eastAsia="仿宋"/>
          <w:color w:val="auto"/>
          <w:sz w:val="32"/>
          <w:szCs w:val="32"/>
          <w:highlight w:val="none"/>
        </w:rPr>
        <w:t>（图6：一般公共预算财政拨款支出决算结构）</w:t>
      </w:r>
    </w:p>
    <w:p>
      <w:pPr>
        <w:pageBreakBefore w:val="0"/>
        <w:kinsoku/>
        <w:wordWrap/>
        <w:overflowPunct/>
        <w:topLinePunct w:val="0"/>
        <w:bidi w:val="0"/>
        <w:spacing w:line="576" w:lineRule="exact"/>
        <w:ind w:firstLine="640" w:firstLineChars="200"/>
        <w:textAlignment w:val="auto"/>
        <w:outlineLvl w:val="1"/>
        <w:rPr>
          <w:rFonts w:hint="eastAsia" w:ascii="黑体" w:hAnsi="黑体" w:eastAsia="黑体"/>
          <w:b w:val="0"/>
          <w:bCs/>
          <w:color w:val="auto"/>
          <w:sz w:val="32"/>
          <w:szCs w:val="32"/>
          <w:highlight w:val="none"/>
        </w:rPr>
      </w:pPr>
      <w:bookmarkStart w:id="47" w:name="_Toc11065"/>
      <w:bookmarkStart w:id="48" w:name="_Toc15377212"/>
      <w:r>
        <w:rPr>
          <w:rFonts w:hint="eastAsia" w:ascii="黑体" w:hAnsi="黑体" w:eastAsia="黑体"/>
          <w:b w:val="0"/>
          <w:bCs/>
          <w:color w:val="auto"/>
          <w:sz w:val="32"/>
          <w:szCs w:val="32"/>
          <w:highlight w:val="none"/>
        </w:rPr>
        <w:t>（三）一般公共预算财政拨款支出决算具体情况</w:t>
      </w:r>
      <w:bookmarkEnd w:id="47"/>
      <w:bookmarkEnd w:id="48"/>
    </w:p>
    <w:p>
      <w:pPr>
        <w:pageBreakBefore w:val="0"/>
        <w:kinsoku/>
        <w:wordWrap/>
        <w:overflowPunct/>
        <w:topLinePunct w:val="0"/>
        <w:bidi w:val="0"/>
        <w:spacing w:line="576" w:lineRule="exact"/>
        <w:ind w:firstLine="643" w:firstLineChars="200"/>
        <w:textAlignment w:val="auto"/>
        <w:outlineLvl w:val="9"/>
        <w:rPr>
          <w:rFonts w:ascii="仿宋" w:hAnsi="仿宋" w:eastAsia="仿宋"/>
          <w:color w:val="auto"/>
          <w:sz w:val="32"/>
          <w:szCs w:val="32"/>
          <w:highlight w:val="none"/>
        </w:rPr>
      </w:pPr>
      <w:bookmarkStart w:id="49" w:name="_Toc15377213"/>
      <w:bookmarkStart w:id="50" w:name="_Toc15378460"/>
      <w:bookmarkStart w:id="51" w:name="_Toc15377444"/>
      <w:bookmarkStart w:id="52" w:name="_Toc21688"/>
      <w:r>
        <w:rPr>
          <w:rFonts w:hint="eastAsia" w:ascii="仿宋" w:hAnsi="仿宋" w:eastAsia="仿宋"/>
          <w:b/>
          <w:color w:val="auto"/>
          <w:sz w:val="32"/>
          <w:szCs w:val="32"/>
          <w:highlight w:val="none"/>
        </w:rPr>
        <w:t>20</w:t>
      </w:r>
      <w:r>
        <w:rPr>
          <w:rFonts w:hint="eastAsia" w:ascii="仿宋" w:hAnsi="仿宋" w:eastAsia="仿宋"/>
          <w:b/>
          <w:color w:val="auto"/>
          <w:sz w:val="32"/>
          <w:szCs w:val="32"/>
          <w:highlight w:val="none"/>
          <w:lang w:val="en-US" w:eastAsia="zh-CN"/>
        </w:rPr>
        <w:t>22</w:t>
      </w:r>
      <w:r>
        <w:rPr>
          <w:rFonts w:hint="eastAsia" w:ascii="仿宋" w:hAnsi="仿宋" w:eastAsia="仿宋"/>
          <w:b/>
          <w:color w:val="auto"/>
          <w:sz w:val="32"/>
          <w:szCs w:val="32"/>
          <w:highlight w:val="none"/>
        </w:rPr>
        <w:t>年</w:t>
      </w:r>
      <w:r>
        <w:rPr>
          <w:rFonts w:hint="eastAsia" w:ascii="仿宋" w:hAnsi="仿宋" w:eastAsia="仿宋"/>
          <w:b/>
          <w:color w:val="auto"/>
          <w:sz w:val="32"/>
          <w:szCs w:val="32"/>
          <w:highlight w:val="none"/>
          <w:lang w:eastAsia="zh-CN"/>
        </w:rPr>
        <w:t>一</w:t>
      </w:r>
      <w:r>
        <w:rPr>
          <w:rFonts w:hint="eastAsia" w:ascii="仿宋" w:hAnsi="仿宋" w:eastAsia="仿宋"/>
          <w:b/>
          <w:color w:val="auto"/>
          <w:sz w:val="32"/>
          <w:szCs w:val="32"/>
          <w:highlight w:val="none"/>
        </w:rPr>
        <w:t>般公共预算支出决算数为</w:t>
      </w:r>
      <w:r>
        <w:rPr>
          <w:rFonts w:hint="eastAsia" w:ascii="仿宋" w:hAnsi="仿宋" w:eastAsia="仿宋"/>
          <w:b/>
          <w:color w:val="auto"/>
          <w:sz w:val="32"/>
          <w:szCs w:val="32"/>
          <w:highlight w:val="none"/>
          <w:lang w:val="en-US" w:eastAsia="zh-CN"/>
        </w:rPr>
        <w:t>4228.88万元</w:t>
      </w:r>
      <w:r>
        <w:rPr>
          <w:rFonts w:hint="eastAsia" w:ascii="仿宋" w:hAnsi="仿宋" w:eastAsia="仿宋"/>
          <w:color w:val="auto"/>
          <w:sz w:val="32"/>
          <w:szCs w:val="32"/>
          <w:highlight w:val="none"/>
        </w:rPr>
        <w:t>，</w:t>
      </w:r>
      <w:r>
        <w:rPr>
          <w:rStyle w:val="18"/>
          <w:rFonts w:hint="eastAsia" w:ascii="仿宋" w:hAnsi="仿宋" w:eastAsia="仿宋"/>
          <w:bCs/>
          <w:color w:val="auto"/>
          <w:sz w:val="32"/>
          <w:szCs w:val="32"/>
          <w:highlight w:val="none"/>
        </w:rPr>
        <w:t>完成预算</w:t>
      </w:r>
      <w:r>
        <w:rPr>
          <w:rStyle w:val="18"/>
          <w:rFonts w:hint="eastAsia" w:ascii="仿宋" w:hAnsi="仿宋" w:eastAsia="仿宋"/>
          <w:bCs/>
          <w:color w:val="auto"/>
          <w:sz w:val="32"/>
          <w:szCs w:val="32"/>
          <w:highlight w:val="none"/>
          <w:lang w:val="en-US" w:eastAsia="zh-CN"/>
        </w:rPr>
        <w:t>100</w:t>
      </w:r>
      <w:r>
        <w:rPr>
          <w:rStyle w:val="18"/>
          <w:rFonts w:ascii="仿宋" w:hAnsi="仿宋" w:eastAsia="仿宋"/>
          <w:bCs/>
          <w:color w:val="auto"/>
          <w:sz w:val="32"/>
          <w:szCs w:val="32"/>
          <w:highlight w:val="none"/>
        </w:rPr>
        <w:t>%</w:t>
      </w:r>
      <w:r>
        <w:rPr>
          <w:rStyle w:val="18"/>
          <w:rFonts w:hint="eastAsia" w:ascii="仿宋" w:hAnsi="仿宋" w:eastAsia="仿宋"/>
          <w:bCs/>
          <w:color w:val="auto"/>
          <w:sz w:val="32"/>
          <w:szCs w:val="32"/>
          <w:highlight w:val="none"/>
        </w:rPr>
        <w:t>。其中：</w:t>
      </w:r>
      <w:bookmarkEnd w:id="49"/>
      <w:bookmarkEnd w:id="50"/>
      <w:bookmarkEnd w:id="51"/>
      <w:bookmarkEnd w:id="52"/>
    </w:p>
    <w:p>
      <w:pPr>
        <w:pageBreakBefore w:val="0"/>
        <w:kinsoku/>
        <w:wordWrap/>
        <w:overflowPunct/>
        <w:topLinePunct w:val="0"/>
        <w:bidi w:val="0"/>
        <w:spacing w:line="576" w:lineRule="exact"/>
        <w:ind w:firstLine="643" w:firstLineChars="200"/>
        <w:textAlignment w:val="auto"/>
        <w:rPr>
          <w:rFonts w:ascii="仿宋" w:hAnsi="仿宋" w:eastAsia="仿宋"/>
          <w:b/>
          <w:color w:val="auto"/>
          <w:sz w:val="32"/>
          <w:szCs w:val="32"/>
          <w:highlight w:val="none"/>
        </w:rPr>
      </w:pPr>
      <w:r>
        <w:rPr>
          <w:rStyle w:val="18"/>
          <w:rFonts w:hint="eastAsia" w:ascii="仿宋" w:hAnsi="仿宋" w:eastAsia="仿宋"/>
          <w:bCs/>
          <w:color w:val="auto"/>
          <w:sz w:val="32"/>
          <w:szCs w:val="32"/>
          <w:highlight w:val="none"/>
          <w:lang w:val="en-US" w:eastAsia="zh-CN"/>
        </w:rPr>
        <w:t>1</w:t>
      </w:r>
      <w:r>
        <w:rPr>
          <w:rStyle w:val="18"/>
          <w:rFonts w:ascii="仿宋" w:hAnsi="仿宋" w:eastAsia="仿宋"/>
          <w:bCs/>
          <w:color w:val="auto"/>
          <w:sz w:val="32"/>
          <w:szCs w:val="32"/>
          <w:highlight w:val="none"/>
        </w:rPr>
        <w:t>.</w:t>
      </w:r>
      <w:r>
        <w:rPr>
          <w:rStyle w:val="18"/>
          <w:rFonts w:hint="eastAsia" w:ascii="仿宋" w:hAnsi="仿宋" w:eastAsia="仿宋"/>
          <w:bCs/>
          <w:color w:val="auto"/>
          <w:sz w:val="32"/>
          <w:szCs w:val="32"/>
          <w:highlight w:val="none"/>
        </w:rPr>
        <w:t>社会保障和就业</w:t>
      </w:r>
      <w:r>
        <w:rPr>
          <w:rStyle w:val="18"/>
          <w:rFonts w:hint="eastAsia" w:ascii="仿宋" w:hAnsi="仿宋" w:eastAsia="仿宋"/>
          <w:bCs/>
          <w:color w:val="auto"/>
          <w:sz w:val="32"/>
          <w:szCs w:val="32"/>
          <w:highlight w:val="none"/>
          <w:lang w:eastAsia="zh-CN"/>
        </w:rPr>
        <w:t>支出</w:t>
      </w:r>
      <w:r>
        <w:rPr>
          <w:rStyle w:val="18"/>
          <w:rFonts w:hint="eastAsia" w:ascii="仿宋" w:hAnsi="仿宋" w:eastAsia="仿宋"/>
          <w:bCs/>
          <w:color w:val="auto"/>
          <w:sz w:val="32"/>
          <w:szCs w:val="32"/>
          <w:highlight w:val="none"/>
        </w:rPr>
        <w:t>（类）</w:t>
      </w:r>
      <w:r>
        <w:rPr>
          <w:rStyle w:val="18"/>
          <w:rFonts w:hint="eastAsia" w:ascii="仿宋" w:hAnsi="仿宋" w:eastAsia="仿宋"/>
          <w:bCs/>
          <w:color w:val="auto"/>
          <w:sz w:val="32"/>
          <w:szCs w:val="32"/>
          <w:highlight w:val="none"/>
          <w:lang w:eastAsia="zh-CN"/>
        </w:rPr>
        <w:t>人力资源和社会保障管理事务</w:t>
      </w:r>
      <w:r>
        <w:rPr>
          <w:rStyle w:val="18"/>
          <w:rFonts w:hint="eastAsia" w:ascii="仿宋" w:hAnsi="仿宋" w:eastAsia="仿宋"/>
          <w:bCs/>
          <w:color w:val="auto"/>
          <w:sz w:val="32"/>
          <w:szCs w:val="32"/>
          <w:highlight w:val="none"/>
        </w:rPr>
        <w:t>（款）</w:t>
      </w:r>
      <w:r>
        <w:rPr>
          <w:rStyle w:val="18"/>
          <w:rFonts w:hint="eastAsia" w:ascii="仿宋" w:hAnsi="仿宋" w:eastAsia="仿宋"/>
          <w:bCs/>
          <w:color w:val="auto"/>
          <w:sz w:val="32"/>
          <w:szCs w:val="32"/>
          <w:highlight w:val="none"/>
          <w:lang w:eastAsia="zh-CN"/>
        </w:rPr>
        <w:t>行政运行</w:t>
      </w:r>
      <w:r>
        <w:rPr>
          <w:rStyle w:val="18"/>
          <w:rFonts w:hint="eastAsia" w:ascii="仿宋" w:hAnsi="仿宋" w:eastAsia="仿宋"/>
          <w:bCs/>
          <w:color w:val="auto"/>
          <w:sz w:val="32"/>
          <w:szCs w:val="32"/>
          <w:highlight w:val="none"/>
        </w:rPr>
        <w:t>（项）</w:t>
      </w:r>
      <w:r>
        <w:rPr>
          <w:rStyle w:val="18"/>
          <w:rFonts w:ascii="仿宋" w:hAnsi="仿宋" w:eastAsia="仿宋"/>
          <w:bCs/>
          <w:color w:val="auto"/>
          <w:sz w:val="32"/>
          <w:szCs w:val="32"/>
          <w:highlight w:val="none"/>
        </w:rPr>
        <w:t>:</w:t>
      </w:r>
      <w:r>
        <w:rPr>
          <w:rStyle w:val="18"/>
          <w:rFonts w:ascii="仿宋" w:hAnsi="仿宋" w:eastAsia="仿宋"/>
          <w:b w:val="0"/>
          <w:bCs/>
          <w:color w:val="auto"/>
          <w:sz w:val="32"/>
          <w:szCs w:val="32"/>
          <w:highlight w:val="none"/>
        </w:rPr>
        <w:t xml:space="preserve"> </w:t>
      </w:r>
      <w:r>
        <w:rPr>
          <w:rStyle w:val="18"/>
          <w:rFonts w:hint="eastAsia" w:ascii="仿宋" w:hAnsi="仿宋" w:eastAsia="仿宋"/>
          <w:b w:val="0"/>
          <w:bCs/>
          <w:color w:val="auto"/>
          <w:sz w:val="32"/>
          <w:szCs w:val="32"/>
          <w:highlight w:val="none"/>
        </w:rPr>
        <w:t>支出决算为</w:t>
      </w:r>
      <w:r>
        <w:rPr>
          <w:rStyle w:val="18"/>
          <w:rFonts w:hint="eastAsia" w:ascii="仿宋" w:hAnsi="仿宋" w:eastAsia="仿宋"/>
          <w:b w:val="0"/>
          <w:bCs/>
          <w:color w:val="auto"/>
          <w:sz w:val="32"/>
          <w:szCs w:val="32"/>
          <w:highlight w:val="none"/>
          <w:lang w:val="en-US" w:eastAsia="zh-CN"/>
        </w:rPr>
        <w:t>738.90</w:t>
      </w:r>
      <w:r>
        <w:rPr>
          <w:rStyle w:val="18"/>
          <w:rFonts w:hint="eastAsia" w:ascii="仿宋" w:hAnsi="仿宋" w:eastAsia="仿宋"/>
          <w:b w:val="0"/>
          <w:bCs/>
          <w:color w:val="auto"/>
          <w:sz w:val="32"/>
          <w:szCs w:val="32"/>
          <w:highlight w:val="none"/>
        </w:rPr>
        <w:t>万元，完成预算</w:t>
      </w:r>
      <w:r>
        <w:rPr>
          <w:rStyle w:val="18"/>
          <w:rFonts w:hint="eastAsia" w:ascii="仿宋" w:hAnsi="仿宋" w:eastAsia="仿宋"/>
          <w:b w:val="0"/>
          <w:bCs/>
          <w:color w:val="auto"/>
          <w:sz w:val="32"/>
          <w:szCs w:val="32"/>
          <w:highlight w:val="none"/>
          <w:lang w:val="en-US" w:eastAsia="zh-CN"/>
        </w:rPr>
        <w:t>100</w:t>
      </w:r>
      <w:r>
        <w:rPr>
          <w:rStyle w:val="18"/>
          <w:rFonts w:ascii="仿宋" w:hAnsi="仿宋" w:eastAsia="仿宋"/>
          <w:b w:val="0"/>
          <w:bCs/>
          <w:color w:val="auto"/>
          <w:sz w:val="32"/>
          <w:szCs w:val="32"/>
          <w:highlight w:val="none"/>
        </w:rPr>
        <w:t>%</w:t>
      </w:r>
      <w:r>
        <w:rPr>
          <w:rStyle w:val="18"/>
          <w:rFonts w:hint="eastAsia" w:ascii="仿宋" w:hAnsi="仿宋" w:eastAsia="仿宋"/>
          <w:b w:val="0"/>
          <w:bCs/>
          <w:color w:val="auto"/>
          <w:sz w:val="32"/>
          <w:szCs w:val="32"/>
          <w:highlight w:val="none"/>
          <w:lang w:eastAsia="zh-CN"/>
        </w:rPr>
        <w:t>。</w:t>
      </w:r>
    </w:p>
    <w:p>
      <w:pPr>
        <w:pageBreakBefore w:val="0"/>
        <w:kinsoku/>
        <w:wordWrap/>
        <w:overflowPunct/>
        <w:topLinePunct w:val="0"/>
        <w:bidi w:val="0"/>
        <w:spacing w:line="576" w:lineRule="exact"/>
        <w:ind w:firstLine="643" w:firstLineChars="200"/>
        <w:textAlignment w:val="auto"/>
        <w:rPr>
          <w:rStyle w:val="18"/>
          <w:rFonts w:hint="default" w:ascii="仿宋" w:hAnsi="仿宋" w:eastAsia="仿宋"/>
          <w:b w:val="0"/>
          <w:bCs w:val="0"/>
          <w:color w:val="auto"/>
          <w:sz w:val="32"/>
          <w:szCs w:val="32"/>
          <w:highlight w:val="none"/>
          <w:lang w:val="en-US" w:eastAsia="zh-CN"/>
        </w:rPr>
      </w:pPr>
      <w:r>
        <w:rPr>
          <w:rStyle w:val="18"/>
          <w:rFonts w:hint="eastAsia" w:ascii="仿宋" w:hAnsi="仿宋" w:eastAsia="仿宋"/>
          <w:bCs/>
          <w:color w:val="auto"/>
          <w:sz w:val="32"/>
          <w:szCs w:val="32"/>
          <w:highlight w:val="none"/>
          <w:lang w:val="en-US" w:eastAsia="zh-CN"/>
        </w:rPr>
        <w:t>2.</w:t>
      </w:r>
      <w:r>
        <w:rPr>
          <w:rStyle w:val="18"/>
          <w:rFonts w:hint="eastAsia" w:ascii="仿宋" w:hAnsi="仿宋" w:eastAsia="仿宋"/>
          <w:bCs/>
          <w:color w:val="auto"/>
          <w:sz w:val="32"/>
          <w:szCs w:val="32"/>
          <w:highlight w:val="none"/>
        </w:rPr>
        <w:t>社会保障和就业</w:t>
      </w:r>
      <w:r>
        <w:rPr>
          <w:rStyle w:val="18"/>
          <w:rFonts w:hint="eastAsia" w:ascii="仿宋" w:hAnsi="仿宋" w:eastAsia="仿宋"/>
          <w:bCs/>
          <w:color w:val="auto"/>
          <w:sz w:val="32"/>
          <w:szCs w:val="32"/>
          <w:highlight w:val="none"/>
          <w:lang w:eastAsia="zh-CN"/>
        </w:rPr>
        <w:t>支出</w:t>
      </w:r>
      <w:r>
        <w:rPr>
          <w:rStyle w:val="18"/>
          <w:rFonts w:hint="eastAsia" w:ascii="仿宋" w:hAnsi="仿宋" w:eastAsia="仿宋"/>
          <w:bCs/>
          <w:color w:val="auto"/>
          <w:sz w:val="32"/>
          <w:szCs w:val="32"/>
          <w:highlight w:val="none"/>
        </w:rPr>
        <w:t>（类）</w:t>
      </w:r>
      <w:r>
        <w:rPr>
          <w:rStyle w:val="18"/>
          <w:rFonts w:hint="eastAsia" w:ascii="仿宋" w:hAnsi="仿宋" w:eastAsia="仿宋"/>
          <w:bCs/>
          <w:color w:val="auto"/>
          <w:sz w:val="32"/>
          <w:szCs w:val="32"/>
          <w:highlight w:val="none"/>
          <w:lang w:eastAsia="zh-CN"/>
        </w:rPr>
        <w:t>人力资源和社会保障管理事务</w:t>
      </w:r>
      <w:r>
        <w:rPr>
          <w:rStyle w:val="18"/>
          <w:rFonts w:hint="eastAsia" w:ascii="仿宋" w:hAnsi="仿宋" w:eastAsia="仿宋"/>
          <w:bCs/>
          <w:color w:val="auto"/>
          <w:sz w:val="32"/>
          <w:szCs w:val="32"/>
          <w:highlight w:val="none"/>
        </w:rPr>
        <w:t>（款）</w:t>
      </w:r>
      <w:r>
        <w:rPr>
          <w:rStyle w:val="18"/>
          <w:rFonts w:hint="eastAsia" w:ascii="仿宋" w:hAnsi="仿宋" w:eastAsia="仿宋"/>
          <w:bCs/>
          <w:color w:val="auto"/>
          <w:sz w:val="32"/>
          <w:szCs w:val="32"/>
          <w:highlight w:val="none"/>
          <w:lang w:eastAsia="zh-CN"/>
        </w:rPr>
        <w:t>综合业务管理</w:t>
      </w:r>
      <w:r>
        <w:rPr>
          <w:rStyle w:val="18"/>
          <w:rFonts w:hint="eastAsia" w:ascii="仿宋" w:hAnsi="仿宋" w:eastAsia="仿宋"/>
          <w:bCs/>
          <w:color w:val="auto"/>
          <w:sz w:val="32"/>
          <w:szCs w:val="32"/>
          <w:highlight w:val="none"/>
        </w:rPr>
        <w:t>（项）</w:t>
      </w:r>
      <w:r>
        <w:rPr>
          <w:rStyle w:val="18"/>
          <w:rFonts w:ascii="仿宋" w:hAnsi="仿宋" w:eastAsia="仿宋"/>
          <w:bCs/>
          <w:color w:val="auto"/>
          <w:sz w:val="32"/>
          <w:szCs w:val="32"/>
          <w:highlight w:val="none"/>
        </w:rPr>
        <w:t>:</w:t>
      </w:r>
      <w:r>
        <w:rPr>
          <w:rStyle w:val="18"/>
          <w:rFonts w:hint="eastAsia" w:ascii="仿宋" w:hAnsi="仿宋" w:eastAsia="仿宋"/>
          <w:b w:val="0"/>
          <w:bCs w:val="0"/>
          <w:color w:val="auto"/>
          <w:sz w:val="32"/>
          <w:szCs w:val="32"/>
          <w:highlight w:val="none"/>
          <w:lang w:eastAsia="zh-CN"/>
        </w:rPr>
        <w:t>支出决算为</w:t>
      </w:r>
      <w:r>
        <w:rPr>
          <w:rStyle w:val="18"/>
          <w:rFonts w:hint="eastAsia" w:ascii="仿宋" w:hAnsi="仿宋" w:eastAsia="仿宋"/>
          <w:b w:val="0"/>
          <w:bCs w:val="0"/>
          <w:color w:val="auto"/>
          <w:sz w:val="32"/>
          <w:szCs w:val="32"/>
          <w:highlight w:val="none"/>
          <w:lang w:val="en-US" w:eastAsia="zh-CN"/>
        </w:rPr>
        <w:t>29.50万元，完成预算100%。</w:t>
      </w:r>
    </w:p>
    <w:p>
      <w:pPr>
        <w:pageBreakBefore w:val="0"/>
        <w:kinsoku/>
        <w:wordWrap/>
        <w:overflowPunct/>
        <w:topLinePunct w:val="0"/>
        <w:bidi w:val="0"/>
        <w:spacing w:line="576" w:lineRule="exact"/>
        <w:ind w:firstLine="643" w:firstLineChars="200"/>
        <w:textAlignment w:val="auto"/>
        <w:rPr>
          <w:rStyle w:val="18"/>
          <w:rFonts w:hint="default" w:ascii="仿宋" w:hAnsi="仿宋" w:eastAsia="仿宋"/>
          <w:b w:val="0"/>
          <w:bCs w:val="0"/>
          <w:color w:val="auto"/>
          <w:sz w:val="32"/>
          <w:szCs w:val="32"/>
          <w:highlight w:val="none"/>
          <w:lang w:val="en-US" w:eastAsia="zh-CN"/>
        </w:rPr>
      </w:pPr>
      <w:r>
        <w:rPr>
          <w:rStyle w:val="18"/>
          <w:rFonts w:hint="eastAsia" w:ascii="仿宋" w:hAnsi="仿宋" w:eastAsia="仿宋"/>
          <w:bCs/>
          <w:color w:val="auto"/>
          <w:sz w:val="32"/>
          <w:szCs w:val="32"/>
          <w:highlight w:val="none"/>
          <w:lang w:val="en-US" w:eastAsia="zh-CN"/>
        </w:rPr>
        <w:t>3.</w:t>
      </w:r>
      <w:r>
        <w:rPr>
          <w:rStyle w:val="18"/>
          <w:rFonts w:hint="eastAsia" w:ascii="仿宋" w:hAnsi="仿宋" w:eastAsia="仿宋"/>
          <w:bCs/>
          <w:color w:val="auto"/>
          <w:sz w:val="32"/>
          <w:szCs w:val="32"/>
          <w:highlight w:val="none"/>
        </w:rPr>
        <w:t>社会保障和就业</w:t>
      </w:r>
      <w:r>
        <w:rPr>
          <w:rStyle w:val="18"/>
          <w:rFonts w:hint="eastAsia" w:ascii="仿宋" w:hAnsi="仿宋" w:eastAsia="仿宋"/>
          <w:bCs/>
          <w:color w:val="auto"/>
          <w:sz w:val="32"/>
          <w:szCs w:val="32"/>
          <w:highlight w:val="none"/>
          <w:lang w:eastAsia="zh-CN"/>
        </w:rPr>
        <w:t>支出</w:t>
      </w:r>
      <w:r>
        <w:rPr>
          <w:rStyle w:val="18"/>
          <w:rFonts w:hint="eastAsia" w:ascii="仿宋" w:hAnsi="仿宋" w:eastAsia="仿宋"/>
          <w:bCs/>
          <w:color w:val="auto"/>
          <w:sz w:val="32"/>
          <w:szCs w:val="32"/>
          <w:highlight w:val="none"/>
        </w:rPr>
        <w:t>（类）</w:t>
      </w:r>
      <w:r>
        <w:rPr>
          <w:rStyle w:val="18"/>
          <w:rFonts w:hint="eastAsia" w:ascii="仿宋" w:hAnsi="仿宋" w:eastAsia="仿宋"/>
          <w:bCs/>
          <w:color w:val="auto"/>
          <w:sz w:val="32"/>
          <w:szCs w:val="32"/>
          <w:highlight w:val="none"/>
          <w:lang w:eastAsia="zh-CN"/>
        </w:rPr>
        <w:t>人力资源和社会保障管理事务</w:t>
      </w:r>
      <w:r>
        <w:rPr>
          <w:rStyle w:val="18"/>
          <w:rFonts w:hint="eastAsia" w:ascii="仿宋" w:hAnsi="仿宋" w:eastAsia="仿宋"/>
          <w:bCs/>
          <w:color w:val="auto"/>
          <w:sz w:val="32"/>
          <w:szCs w:val="32"/>
          <w:highlight w:val="none"/>
        </w:rPr>
        <w:t>（款）</w:t>
      </w:r>
      <w:r>
        <w:rPr>
          <w:rStyle w:val="18"/>
          <w:rFonts w:hint="eastAsia" w:ascii="仿宋" w:hAnsi="仿宋" w:eastAsia="仿宋"/>
          <w:bCs/>
          <w:color w:val="auto"/>
          <w:sz w:val="32"/>
          <w:szCs w:val="32"/>
          <w:highlight w:val="none"/>
          <w:lang w:eastAsia="zh-CN"/>
        </w:rPr>
        <w:t>劳动保障监察</w:t>
      </w:r>
      <w:r>
        <w:rPr>
          <w:rStyle w:val="18"/>
          <w:rFonts w:hint="eastAsia" w:ascii="仿宋" w:hAnsi="仿宋" w:eastAsia="仿宋"/>
          <w:bCs/>
          <w:color w:val="auto"/>
          <w:sz w:val="32"/>
          <w:szCs w:val="32"/>
          <w:highlight w:val="none"/>
        </w:rPr>
        <w:t>（项）</w:t>
      </w:r>
      <w:r>
        <w:rPr>
          <w:rStyle w:val="18"/>
          <w:rFonts w:ascii="仿宋" w:hAnsi="仿宋" w:eastAsia="仿宋"/>
          <w:bCs/>
          <w:color w:val="auto"/>
          <w:sz w:val="32"/>
          <w:szCs w:val="32"/>
          <w:highlight w:val="none"/>
        </w:rPr>
        <w:t>:</w:t>
      </w:r>
      <w:r>
        <w:rPr>
          <w:rStyle w:val="18"/>
          <w:rFonts w:hint="eastAsia" w:ascii="仿宋" w:hAnsi="仿宋" w:eastAsia="仿宋"/>
          <w:b w:val="0"/>
          <w:bCs w:val="0"/>
          <w:color w:val="auto"/>
          <w:sz w:val="32"/>
          <w:szCs w:val="32"/>
          <w:highlight w:val="none"/>
          <w:lang w:eastAsia="zh-CN"/>
        </w:rPr>
        <w:t>支出决算为</w:t>
      </w:r>
      <w:r>
        <w:rPr>
          <w:rStyle w:val="18"/>
          <w:rFonts w:hint="eastAsia" w:ascii="仿宋" w:hAnsi="仿宋" w:eastAsia="仿宋"/>
          <w:b w:val="0"/>
          <w:bCs w:val="0"/>
          <w:color w:val="auto"/>
          <w:sz w:val="32"/>
          <w:szCs w:val="32"/>
          <w:highlight w:val="none"/>
          <w:lang w:val="en-US" w:eastAsia="zh-CN"/>
        </w:rPr>
        <w:t>19.50万元，完成预算100%。</w:t>
      </w:r>
    </w:p>
    <w:p>
      <w:pPr>
        <w:pageBreakBefore w:val="0"/>
        <w:kinsoku/>
        <w:wordWrap/>
        <w:overflowPunct/>
        <w:topLinePunct w:val="0"/>
        <w:bidi w:val="0"/>
        <w:spacing w:line="576" w:lineRule="exact"/>
        <w:ind w:firstLine="643" w:firstLineChars="200"/>
        <w:textAlignment w:val="auto"/>
        <w:rPr>
          <w:rStyle w:val="18"/>
          <w:rFonts w:hint="default" w:ascii="仿宋" w:hAnsi="仿宋" w:eastAsia="仿宋"/>
          <w:b w:val="0"/>
          <w:bCs w:val="0"/>
          <w:color w:val="auto"/>
          <w:sz w:val="32"/>
          <w:szCs w:val="32"/>
          <w:highlight w:val="none"/>
          <w:lang w:val="en-US" w:eastAsia="zh-CN"/>
        </w:rPr>
      </w:pPr>
      <w:r>
        <w:rPr>
          <w:rStyle w:val="18"/>
          <w:rFonts w:hint="eastAsia" w:ascii="仿宋" w:hAnsi="仿宋" w:eastAsia="仿宋"/>
          <w:bCs/>
          <w:color w:val="auto"/>
          <w:sz w:val="32"/>
          <w:szCs w:val="32"/>
          <w:highlight w:val="none"/>
          <w:lang w:val="en-US" w:eastAsia="zh-CN"/>
        </w:rPr>
        <w:t>4.</w:t>
      </w:r>
      <w:r>
        <w:rPr>
          <w:rStyle w:val="18"/>
          <w:rFonts w:hint="eastAsia" w:ascii="仿宋" w:hAnsi="仿宋" w:eastAsia="仿宋"/>
          <w:bCs/>
          <w:color w:val="auto"/>
          <w:sz w:val="32"/>
          <w:szCs w:val="32"/>
          <w:highlight w:val="none"/>
        </w:rPr>
        <w:t>社会保障和就业</w:t>
      </w:r>
      <w:r>
        <w:rPr>
          <w:rStyle w:val="18"/>
          <w:rFonts w:hint="eastAsia" w:ascii="仿宋" w:hAnsi="仿宋" w:eastAsia="仿宋"/>
          <w:bCs/>
          <w:color w:val="auto"/>
          <w:sz w:val="32"/>
          <w:szCs w:val="32"/>
          <w:highlight w:val="none"/>
          <w:lang w:eastAsia="zh-CN"/>
        </w:rPr>
        <w:t>支出</w:t>
      </w:r>
      <w:r>
        <w:rPr>
          <w:rStyle w:val="18"/>
          <w:rFonts w:hint="eastAsia" w:ascii="仿宋" w:hAnsi="仿宋" w:eastAsia="仿宋"/>
          <w:bCs/>
          <w:color w:val="auto"/>
          <w:sz w:val="32"/>
          <w:szCs w:val="32"/>
          <w:highlight w:val="none"/>
        </w:rPr>
        <w:t>（类）</w:t>
      </w:r>
      <w:r>
        <w:rPr>
          <w:rStyle w:val="18"/>
          <w:rFonts w:hint="eastAsia" w:ascii="仿宋" w:hAnsi="仿宋" w:eastAsia="仿宋"/>
          <w:bCs/>
          <w:color w:val="auto"/>
          <w:sz w:val="32"/>
          <w:szCs w:val="32"/>
          <w:highlight w:val="none"/>
          <w:lang w:eastAsia="zh-CN"/>
        </w:rPr>
        <w:t>人力资源和社会保障管理事务</w:t>
      </w:r>
      <w:r>
        <w:rPr>
          <w:rStyle w:val="18"/>
          <w:rFonts w:hint="eastAsia" w:ascii="仿宋" w:hAnsi="仿宋" w:eastAsia="仿宋"/>
          <w:bCs/>
          <w:color w:val="auto"/>
          <w:sz w:val="32"/>
          <w:szCs w:val="32"/>
          <w:highlight w:val="none"/>
        </w:rPr>
        <w:t>（款）</w:t>
      </w:r>
      <w:r>
        <w:rPr>
          <w:rStyle w:val="18"/>
          <w:rFonts w:hint="eastAsia" w:ascii="仿宋" w:hAnsi="仿宋" w:eastAsia="仿宋"/>
          <w:bCs/>
          <w:color w:val="auto"/>
          <w:sz w:val="32"/>
          <w:szCs w:val="32"/>
          <w:highlight w:val="none"/>
          <w:lang w:eastAsia="zh-CN"/>
        </w:rPr>
        <w:t>就业管理事务</w:t>
      </w:r>
      <w:r>
        <w:rPr>
          <w:rStyle w:val="18"/>
          <w:rFonts w:hint="eastAsia" w:ascii="仿宋" w:hAnsi="仿宋" w:eastAsia="仿宋"/>
          <w:bCs/>
          <w:color w:val="auto"/>
          <w:sz w:val="32"/>
          <w:szCs w:val="32"/>
          <w:highlight w:val="none"/>
        </w:rPr>
        <w:t>（项）</w:t>
      </w:r>
      <w:r>
        <w:rPr>
          <w:rStyle w:val="18"/>
          <w:rFonts w:ascii="仿宋" w:hAnsi="仿宋" w:eastAsia="仿宋"/>
          <w:bCs/>
          <w:color w:val="auto"/>
          <w:sz w:val="32"/>
          <w:szCs w:val="32"/>
          <w:highlight w:val="none"/>
        </w:rPr>
        <w:t>:</w:t>
      </w:r>
      <w:r>
        <w:rPr>
          <w:rStyle w:val="18"/>
          <w:rFonts w:hint="eastAsia" w:ascii="仿宋" w:hAnsi="仿宋" w:eastAsia="仿宋"/>
          <w:b w:val="0"/>
          <w:bCs w:val="0"/>
          <w:color w:val="auto"/>
          <w:sz w:val="32"/>
          <w:szCs w:val="32"/>
          <w:highlight w:val="none"/>
          <w:lang w:eastAsia="zh-CN"/>
        </w:rPr>
        <w:t>支出决算为</w:t>
      </w:r>
      <w:r>
        <w:rPr>
          <w:rStyle w:val="18"/>
          <w:rFonts w:hint="eastAsia" w:ascii="仿宋" w:hAnsi="仿宋" w:eastAsia="仿宋"/>
          <w:b w:val="0"/>
          <w:bCs w:val="0"/>
          <w:color w:val="auto"/>
          <w:sz w:val="32"/>
          <w:szCs w:val="32"/>
          <w:highlight w:val="none"/>
          <w:lang w:val="en-US" w:eastAsia="zh-CN"/>
        </w:rPr>
        <w:t>69.50万元，完成预算100%。</w:t>
      </w:r>
    </w:p>
    <w:p>
      <w:pPr>
        <w:pageBreakBefore w:val="0"/>
        <w:kinsoku/>
        <w:wordWrap/>
        <w:overflowPunct/>
        <w:topLinePunct w:val="0"/>
        <w:bidi w:val="0"/>
        <w:spacing w:line="576" w:lineRule="exact"/>
        <w:ind w:firstLine="643" w:firstLineChars="200"/>
        <w:textAlignment w:val="auto"/>
        <w:rPr>
          <w:rStyle w:val="18"/>
          <w:rFonts w:hint="default" w:ascii="仿宋" w:hAnsi="仿宋" w:eastAsia="仿宋"/>
          <w:b w:val="0"/>
          <w:bCs w:val="0"/>
          <w:color w:val="auto"/>
          <w:sz w:val="32"/>
          <w:szCs w:val="32"/>
          <w:highlight w:val="none"/>
          <w:lang w:val="en-US" w:eastAsia="zh-CN"/>
        </w:rPr>
      </w:pPr>
      <w:r>
        <w:rPr>
          <w:rStyle w:val="18"/>
          <w:rFonts w:hint="eastAsia" w:ascii="仿宋" w:hAnsi="仿宋" w:eastAsia="仿宋"/>
          <w:bCs/>
          <w:color w:val="auto"/>
          <w:sz w:val="32"/>
          <w:szCs w:val="32"/>
          <w:highlight w:val="none"/>
          <w:lang w:val="en-US" w:eastAsia="zh-CN"/>
        </w:rPr>
        <w:t>5.</w:t>
      </w:r>
      <w:r>
        <w:rPr>
          <w:rStyle w:val="18"/>
          <w:rFonts w:hint="eastAsia" w:ascii="仿宋" w:hAnsi="仿宋" w:eastAsia="仿宋"/>
          <w:bCs/>
          <w:color w:val="auto"/>
          <w:sz w:val="32"/>
          <w:szCs w:val="32"/>
          <w:highlight w:val="none"/>
        </w:rPr>
        <w:t>社会保障和就业</w:t>
      </w:r>
      <w:r>
        <w:rPr>
          <w:rStyle w:val="18"/>
          <w:rFonts w:hint="eastAsia" w:ascii="仿宋" w:hAnsi="仿宋" w:eastAsia="仿宋"/>
          <w:bCs/>
          <w:color w:val="auto"/>
          <w:sz w:val="32"/>
          <w:szCs w:val="32"/>
          <w:highlight w:val="none"/>
          <w:lang w:eastAsia="zh-CN"/>
        </w:rPr>
        <w:t>支出</w:t>
      </w:r>
      <w:r>
        <w:rPr>
          <w:rStyle w:val="18"/>
          <w:rFonts w:hint="eastAsia" w:ascii="仿宋" w:hAnsi="仿宋" w:eastAsia="仿宋"/>
          <w:bCs/>
          <w:color w:val="auto"/>
          <w:sz w:val="32"/>
          <w:szCs w:val="32"/>
          <w:highlight w:val="none"/>
        </w:rPr>
        <w:t>（类）</w:t>
      </w:r>
      <w:r>
        <w:rPr>
          <w:rStyle w:val="18"/>
          <w:rFonts w:hint="eastAsia" w:ascii="仿宋" w:hAnsi="仿宋" w:eastAsia="仿宋"/>
          <w:bCs/>
          <w:color w:val="auto"/>
          <w:sz w:val="32"/>
          <w:szCs w:val="32"/>
          <w:highlight w:val="none"/>
          <w:lang w:eastAsia="zh-CN"/>
        </w:rPr>
        <w:t>人力资源和社会保障管理事务</w:t>
      </w:r>
      <w:r>
        <w:rPr>
          <w:rStyle w:val="18"/>
          <w:rFonts w:hint="eastAsia" w:ascii="仿宋" w:hAnsi="仿宋" w:eastAsia="仿宋"/>
          <w:bCs/>
          <w:color w:val="auto"/>
          <w:sz w:val="32"/>
          <w:szCs w:val="32"/>
          <w:highlight w:val="none"/>
        </w:rPr>
        <w:t>（款）</w:t>
      </w:r>
      <w:r>
        <w:rPr>
          <w:rStyle w:val="18"/>
          <w:rFonts w:hint="eastAsia" w:ascii="仿宋" w:hAnsi="仿宋" w:eastAsia="仿宋"/>
          <w:bCs/>
          <w:color w:val="auto"/>
          <w:sz w:val="32"/>
          <w:szCs w:val="32"/>
          <w:highlight w:val="none"/>
          <w:lang w:eastAsia="zh-CN"/>
        </w:rPr>
        <w:t>信息化建设</w:t>
      </w:r>
      <w:r>
        <w:rPr>
          <w:rStyle w:val="18"/>
          <w:rFonts w:hint="eastAsia" w:ascii="仿宋" w:hAnsi="仿宋" w:eastAsia="仿宋"/>
          <w:bCs/>
          <w:color w:val="auto"/>
          <w:sz w:val="32"/>
          <w:szCs w:val="32"/>
          <w:highlight w:val="none"/>
        </w:rPr>
        <w:t>（项）</w:t>
      </w:r>
      <w:r>
        <w:rPr>
          <w:rStyle w:val="18"/>
          <w:rFonts w:ascii="仿宋" w:hAnsi="仿宋" w:eastAsia="仿宋"/>
          <w:bCs/>
          <w:color w:val="auto"/>
          <w:sz w:val="32"/>
          <w:szCs w:val="32"/>
          <w:highlight w:val="none"/>
        </w:rPr>
        <w:t>:</w:t>
      </w:r>
      <w:r>
        <w:rPr>
          <w:rStyle w:val="18"/>
          <w:rFonts w:hint="eastAsia" w:ascii="仿宋" w:hAnsi="仿宋" w:eastAsia="仿宋"/>
          <w:b w:val="0"/>
          <w:bCs w:val="0"/>
          <w:color w:val="auto"/>
          <w:sz w:val="32"/>
          <w:szCs w:val="32"/>
          <w:highlight w:val="none"/>
          <w:lang w:eastAsia="zh-CN"/>
        </w:rPr>
        <w:t>支出决算为</w:t>
      </w:r>
      <w:r>
        <w:rPr>
          <w:rStyle w:val="18"/>
          <w:rFonts w:hint="eastAsia" w:ascii="仿宋" w:hAnsi="仿宋" w:eastAsia="仿宋"/>
          <w:b w:val="0"/>
          <w:bCs w:val="0"/>
          <w:color w:val="auto"/>
          <w:sz w:val="32"/>
          <w:szCs w:val="32"/>
          <w:highlight w:val="none"/>
          <w:lang w:val="en-US" w:eastAsia="zh-CN"/>
        </w:rPr>
        <w:t>10万元，完成预算100%。</w:t>
      </w:r>
    </w:p>
    <w:p>
      <w:pPr>
        <w:pageBreakBefore w:val="0"/>
        <w:kinsoku/>
        <w:wordWrap/>
        <w:overflowPunct/>
        <w:topLinePunct w:val="0"/>
        <w:bidi w:val="0"/>
        <w:spacing w:line="576" w:lineRule="exact"/>
        <w:ind w:firstLine="643" w:firstLineChars="200"/>
        <w:textAlignment w:val="auto"/>
        <w:rPr>
          <w:rStyle w:val="18"/>
          <w:rFonts w:hint="default" w:ascii="仿宋" w:hAnsi="仿宋" w:eastAsia="仿宋"/>
          <w:b w:val="0"/>
          <w:bCs w:val="0"/>
          <w:color w:val="auto"/>
          <w:sz w:val="32"/>
          <w:szCs w:val="32"/>
          <w:highlight w:val="none"/>
          <w:lang w:val="en-US" w:eastAsia="zh-CN"/>
        </w:rPr>
      </w:pPr>
      <w:r>
        <w:rPr>
          <w:rStyle w:val="18"/>
          <w:rFonts w:hint="eastAsia" w:ascii="仿宋" w:hAnsi="仿宋" w:eastAsia="仿宋"/>
          <w:bCs/>
          <w:color w:val="auto"/>
          <w:sz w:val="32"/>
          <w:szCs w:val="32"/>
          <w:highlight w:val="none"/>
          <w:lang w:val="en-US" w:eastAsia="zh-CN"/>
        </w:rPr>
        <w:t>6.</w:t>
      </w:r>
      <w:r>
        <w:rPr>
          <w:rStyle w:val="18"/>
          <w:rFonts w:hint="eastAsia" w:ascii="仿宋" w:hAnsi="仿宋" w:eastAsia="仿宋"/>
          <w:bCs/>
          <w:color w:val="auto"/>
          <w:sz w:val="32"/>
          <w:szCs w:val="32"/>
          <w:highlight w:val="none"/>
        </w:rPr>
        <w:t>社会保障和就业</w:t>
      </w:r>
      <w:r>
        <w:rPr>
          <w:rStyle w:val="18"/>
          <w:rFonts w:hint="eastAsia" w:ascii="仿宋" w:hAnsi="仿宋" w:eastAsia="仿宋"/>
          <w:bCs/>
          <w:color w:val="auto"/>
          <w:sz w:val="32"/>
          <w:szCs w:val="32"/>
          <w:highlight w:val="none"/>
          <w:lang w:eastAsia="zh-CN"/>
        </w:rPr>
        <w:t>支出</w:t>
      </w:r>
      <w:r>
        <w:rPr>
          <w:rStyle w:val="18"/>
          <w:rFonts w:hint="eastAsia" w:ascii="仿宋" w:hAnsi="仿宋" w:eastAsia="仿宋"/>
          <w:bCs/>
          <w:color w:val="auto"/>
          <w:sz w:val="32"/>
          <w:szCs w:val="32"/>
          <w:highlight w:val="none"/>
        </w:rPr>
        <w:t>（类）</w:t>
      </w:r>
      <w:r>
        <w:rPr>
          <w:rStyle w:val="18"/>
          <w:rFonts w:hint="eastAsia" w:ascii="仿宋" w:hAnsi="仿宋" w:eastAsia="仿宋"/>
          <w:bCs/>
          <w:color w:val="auto"/>
          <w:sz w:val="32"/>
          <w:szCs w:val="32"/>
          <w:highlight w:val="none"/>
          <w:lang w:eastAsia="zh-CN"/>
        </w:rPr>
        <w:t>人力资源和社会保障管理事务</w:t>
      </w:r>
      <w:r>
        <w:rPr>
          <w:rStyle w:val="18"/>
          <w:rFonts w:hint="eastAsia" w:ascii="仿宋" w:hAnsi="仿宋" w:eastAsia="仿宋"/>
          <w:bCs/>
          <w:color w:val="auto"/>
          <w:sz w:val="32"/>
          <w:szCs w:val="32"/>
          <w:highlight w:val="none"/>
        </w:rPr>
        <w:t>（款）</w:t>
      </w:r>
      <w:r>
        <w:rPr>
          <w:rStyle w:val="18"/>
          <w:rFonts w:hint="eastAsia" w:ascii="仿宋" w:hAnsi="仿宋" w:eastAsia="仿宋"/>
          <w:bCs/>
          <w:color w:val="auto"/>
          <w:sz w:val="32"/>
          <w:szCs w:val="32"/>
          <w:highlight w:val="none"/>
          <w:lang w:eastAsia="zh-CN"/>
        </w:rPr>
        <w:t>社会保险经办机构</w:t>
      </w:r>
      <w:r>
        <w:rPr>
          <w:rStyle w:val="18"/>
          <w:rFonts w:hint="eastAsia" w:ascii="仿宋" w:hAnsi="仿宋" w:eastAsia="仿宋"/>
          <w:bCs/>
          <w:color w:val="auto"/>
          <w:sz w:val="32"/>
          <w:szCs w:val="32"/>
          <w:highlight w:val="none"/>
        </w:rPr>
        <w:t>（项）</w:t>
      </w:r>
      <w:r>
        <w:rPr>
          <w:rStyle w:val="18"/>
          <w:rFonts w:ascii="仿宋" w:hAnsi="仿宋" w:eastAsia="仿宋"/>
          <w:bCs/>
          <w:color w:val="auto"/>
          <w:sz w:val="32"/>
          <w:szCs w:val="32"/>
          <w:highlight w:val="none"/>
        </w:rPr>
        <w:t>:</w:t>
      </w:r>
      <w:r>
        <w:rPr>
          <w:rStyle w:val="18"/>
          <w:rFonts w:hint="eastAsia" w:ascii="仿宋" w:hAnsi="仿宋" w:eastAsia="仿宋"/>
          <w:b w:val="0"/>
          <w:bCs w:val="0"/>
          <w:color w:val="auto"/>
          <w:sz w:val="32"/>
          <w:szCs w:val="32"/>
          <w:highlight w:val="none"/>
          <w:lang w:eastAsia="zh-CN"/>
        </w:rPr>
        <w:t>支出决算为</w:t>
      </w:r>
      <w:r>
        <w:rPr>
          <w:rStyle w:val="18"/>
          <w:rFonts w:hint="eastAsia" w:ascii="仿宋" w:hAnsi="仿宋" w:eastAsia="仿宋"/>
          <w:b w:val="0"/>
          <w:bCs w:val="0"/>
          <w:color w:val="auto"/>
          <w:sz w:val="32"/>
          <w:szCs w:val="32"/>
          <w:highlight w:val="none"/>
          <w:lang w:val="en-US" w:eastAsia="zh-CN"/>
        </w:rPr>
        <w:t>29.50万元，完成预算100%。</w:t>
      </w:r>
    </w:p>
    <w:p>
      <w:pPr>
        <w:pageBreakBefore w:val="0"/>
        <w:kinsoku/>
        <w:wordWrap/>
        <w:overflowPunct/>
        <w:topLinePunct w:val="0"/>
        <w:bidi w:val="0"/>
        <w:spacing w:line="576" w:lineRule="exact"/>
        <w:ind w:firstLine="643" w:firstLineChars="200"/>
        <w:textAlignment w:val="auto"/>
        <w:rPr>
          <w:rStyle w:val="18"/>
          <w:rFonts w:hint="default" w:ascii="仿宋" w:hAnsi="仿宋" w:eastAsia="仿宋"/>
          <w:b w:val="0"/>
          <w:bCs w:val="0"/>
          <w:color w:val="auto"/>
          <w:sz w:val="32"/>
          <w:szCs w:val="32"/>
          <w:highlight w:val="none"/>
          <w:lang w:val="en-US" w:eastAsia="zh-CN"/>
        </w:rPr>
      </w:pPr>
      <w:r>
        <w:rPr>
          <w:rStyle w:val="18"/>
          <w:rFonts w:hint="eastAsia" w:ascii="仿宋" w:hAnsi="仿宋" w:eastAsia="仿宋"/>
          <w:bCs/>
          <w:color w:val="auto"/>
          <w:sz w:val="32"/>
          <w:szCs w:val="32"/>
          <w:highlight w:val="none"/>
          <w:lang w:val="en-US" w:eastAsia="zh-CN"/>
        </w:rPr>
        <w:t>7.</w:t>
      </w:r>
      <w:r>
        <w:rPr>
          <w:rStyle w:val="18"/>
          <w:rFonts w:hint="eastAsia" w:ascii="仿宋" w:hAnsi="仿宋" w:eastAsia="仿宋"/>
          <w:bCs/>
          <w:color w:val="auto"/>
          <w:sz w:val="32"/>
          <w:szCs w:val="32"/>
          <w:highlight w:val="none"/>
        </w:rPr>
        <w:t>社会保障和就业</w:t>
      </w:r>
      <w:r>
        <w:rPr>
          <w:rStyle w:val="18"/>
          <w:rFonts w:hint="eastAsia" w:ascii="仿宋" w:hAnsi="仿宋" w:eastAsia="仿宋"/>
          <w:bCs/>
          <w:color w:val="auto"/>
          <w:sz w:val="32"/>
          <w:szCs w:val="32"/>
          <w:highlight w:val="none"/>
          <w:lang w:eastAsia="zh-CN"/>
        </w:rPr>
        <w:t>支出</w:t>
      </w:r>
      <w:r>
        <w:rPr>
          <w:rStyle w:val="18"/>
          <w:rFonts w:hint="eastAsia" w:ascii="仿宋" w:hAnsi="仿宋" w:eastAsia="仿宋"/>
          <w:bCs/>
          <w:color w:val="auto"/>
          <w:sz w:val="32"/>
          <w:szCs w:val="32"/>
          <w:highlight w:val="none"/>
        </w:rPr>
        <w:t>（类）</w:t>
      </w:r>
      <w:r>
        <w:rPr>
          <w:rStyle w:val="18"/>
          <w:rFonts w:hint="eastAsia" w:ascii="仿宋" w:hAnsi="仿宋" w:eastAsia="仿宋"/>
          <w:bCs/>
          <w:color w:val="auto"/>
          <w:sz w:val="32"/>
          <w:szCs w:val="32"/>
          <w:highlight w:val="none"/>
          <w:lang w:eastAsia="zh-CN"/>
        </w:rPr>
        <w:t>人力资源和社会保障管理事务</w:t>
      </w:r>
      <w:r>
        <w:rPr>
          <w:rStyle w:val="18"/>
          <w:rFonts w:hint="eastAsia" w:ascii="仿宋" w:hAnsi="仿宋" w:eastAsia="仿宋"/>
          <w:bCs/>
          <w:color w:val="auto"/>
          <w:sz w:val="32"/>
          <w:szCs w:val="32"/>
          <w:highlight w:val="none"/>
        </w:rPr>
        <w:t>（款）</w:t>
      </w:r>
      <w:r>
        <w:rPr>
          <w:rStyle w:val="18"/>
          <w:rFonts w:hint="eastAsia" w:ascii="仿宋" w:hAnsi="仿宋" w:eastAsia="仿宋"/>
          <w:bCs/>
          <w:color w:val="auto"/>
          <w:sz w:val="32"/>
          <w:szCs w:val="32"/>
          <w:highlight w:val="none"/>
          <w:lang w:eastAsia="zh-CN"/>
        </w:rPr>
        <w:t>其他人力资源和社会保障管理事务支出</w:t>
      </w:r>
      <w:r>
        <w:rPr>
          <w:rStyle w:val="18"/>
          <w:rFonts w:hint="eastAsia" w:ascii="仿宋" w:hAnsi="仿宋" w:eastAsia="仿宋"/>
          <w:bCs/>
          <w:color w:val="auto"/>
          <w:sz w:val="32"/>
          <w:szCs w:val="32"/>
          <w:highlight w:val="none"/>
        </w:rPr>
        <w:t>（项）</w:t>
      </w:r>
      <w:r>
        <w:rPr>
          <w:rStyle w:val="18"/>
          <w:rFonts w:ascii="仿宋" w:hAnsi="仿宋" w:eastAsia="仿宋"/>
          <w:bCs/>
          <w:color w:val="auto"/>
          <w:sz w:val="32"/>
          <w:szCs w:val="32"/>
          <w:highlight w:val="none"/>
        </w:rPr>
        <w:t>:</w:t>
      </w:r>
      <w:r>
        <w:rPr>
          <w:rStyle w:val="18"/>
          <w:rFonts w:hint="eastAsia" w:ascii="仿宋" w:hAnsi="仿宋" w:eastAsia="仿宋"/>
          <w:b w:val="0"/>
          <w:bCs w:val="0"/>
          <w:color w:val="auto"/>
          <w:sz w:val="32"/>
          <w:szCs w:val="32"/>
          <w:highlight w:val="none"/>
          <w:lang w:eastAsia="zh-CN"/>
        </w:rPr>
        <w:t>支出决算为</w:t>
      </w:r>
      <w:r>
        <w:rPr>
          <w:rStyle w:val="18"/>
          <w:rFonts w:hint="eastAsia" w:ascii="仿宋" w:hAnsi="仿宋" w:eastAsia="仿宋"/>
          <w:b w:val="0"/>
          <w:bCs w:val="0"/>
          <w:color w:val="auto"/>
          <w:sz w:val="32"/>
          <w:szCs w:val="32"/>
          <w:highlight w:val="none"/>
          <w:lang w:val="en-US" w:eastAsia="zh-CN"/>
        </w:rPr>
        <w:t>185.60万元，完成预算100%。</w:t>
      </w:r>
    </w:p>
    <w:p>
      <w:pPr>
        <w:pageBreakBefore w:val="0"/>
        <w:kinsoku/>
        <w:wordWrap/>
        <w:overflowPunct/>
        <w:topLinePunct w:val="0"/>
        <w:bidi w:val="0"/>
        <w:spacing w:line="576" w:lineRule="exact"/>
        <w:ind w:firstLine="643" w:firstLineChars="200"/>
        <w:textAlignment w:val="auto"/>
        <w:rPr>
          <w:rStyle w:val="18"/>
          <w:rFonts w:hint="default" w:ascii="仿宋" w:hAnsi="仿宋" w:eastAsia="仿宋"/>
          <w:bCs/>
          <w:color w:val="auto"/>
          <w:sz w:val="32"/>
          <w:szCs w:val="32"/>
          <w:highlight w:val="none"/>
          <w:lang w:val="en-US" w:eastAsia="zh-CN"/>
        </w:rPr>
      </w:pPr>
      <w:r>
        <w:rPr>
          <w:rStyle w:val="18"/>
          <w:rFonts w:hint="eastAsia" w:ascii="仿宋" w:hAnsi="仿宋" w:eastAsia="仿宋"/>
          <w:bCs/>
          <w:color w:val="auto"/>
          <w:sz w:val="32"/>
          <w:szCs w:val="32"/>
          <w:highlight w:val="none"/>
          <w:lang w:val="en-US" w:eastAsia="zh-CN"/>
        </w:rPr>
        <w:t>8.</w:t>
      </w:r>
      <w:r>
        <w:rPr>
          <w:rStyle w:val="18"/>
          <w:rFonts w:hint="eastAsia" w:ascii="仿宋" w:hAnsi="仿宋" w:eastAsia="仿宋"/>
          <w:bCs/>
          <w:color w:val="auto"/>
          <w:sz w:val="32"/>
          <w:szCs w:val="32"/>
          <w:highlight w:val="none"/>
        </w:rPr>
        <w:t>社会保障和就业</w:t>
      </w:r>
      <w:r>
        <w:rPr>
          <w:rStyle w:val="18"/>
          <w:rFonts w:hint="eastAsia" w:ascii="仿宋" w:hAnsi="仿宋" w:eastAsia="仿宋"/>
          <w:bCs/>
          <w:color w:val="auto"/>
          <w:sz w:val="32"/>
          <w:szCs w:val="32"/>
          <w:highlight w:val="none"/>
          <w:lang w:eastAsia="zh-CN"/>
        </w:rPr>
        <w:t>支出</w:t>
      </w:r>
      <w:r>
        <w:rPr>
          <w:rStyle w:val="18"/>
          <w:rFonts w:hint="eastAsia" w:ascii="仿宋" w:hAnsi="仿宋" w:eastAsia="仿宋"/>
          <w:bCs/>
          <w:color w:val="auto"/>
          <w:sz w:val="32"/>
          <w:szCs w:val="32"/>
          <w:highlight w:val="none"/>
        </w:rPr>
        <w:t>（类）</w:t>
      </w:r>
      <w:r>
        <w:rPr>
          <w:rStyle w:val="18"/>
          <w:rFonts w:hint="eastAsia" w:ascii="仿宋" w:hAnsi="仿宋" w:eastAsia="仿宋"/>
          <w:bCs/>
          <w:color w:val="auto"/>
          <w:sz w:val="32"/>
          <w:szCs w:val="32"/>
          <w:highlight w:val="none"/>
          <w:lang w:eastAsia="zh-CN"/>
        </w:rPr>
        <w:t>行政事业单位养老支出</w:t>
      </w:r>
      <w:r>
        <w:rPr>
          <w:rStyle w:val="18"/>
          <w:rFonts w:hint="eastAsia" w:ascii="仿宋" w:hAnsi="仿宋" w:eastAsia="仿宋"/>
          <w:bCs/>
          <w:color w:val="auto"/>
          <w:sz w:val="32"/>
          <w:szCs w:val="32"/>
          <w:highlight w:val="none"/>
        </w:rPr>
        <w:t>（款）</w:t>
      </w:r>
      <w:r>
        <w:rPr>
          <w:rStyle w:val="18"/>
          <w:rFonts w:hint="eastAsia" w:ascii="仿宋" w:hAnsi="仿宋" w:eastAsia="仿宋"/>
          <w:bCs/>
          <w:color w:val="auto"/>
          <w:sz w:val="32"/>
          <w:szCs w:val="32"/>
          <w:highlight w:val="none"/>
          <w:lang w:eastAsia="zh-CN"/>
        </w:rPr>
        <w:t>行政单位离退休</w:t>
      </w:r>
      <w:r>
        <w:rPr>
          <w:rStyle w:val="18"/>
          <w:rFonts w:hint="eastAsia" w:ascii="仿宋" w:hAnsi="仿宋" w:eastAsia="仿宋"/>
          <w:bCs/>
          <w:color w:val="auto"/>
          <w:sz w:val="32"/>
          <w:szCs w:val="32"/>
          <w:highlight w:val="none"/>
        </w:rPr>
        <w:t>（项）</w:t>
      </w:r>
      <w:r>
        <w:rPr>
          <w:rStyle w:val="18"/>
          <w:rFonts w:ascii="仿宋" w:hAnsi="仿宋" w:eastAsia="仿宋"/>
          <w:bCs/>
          <w:color w:val="auto"/>
          <w:sz w:val="32"/>
          <w:szCs w:val="32"/>
          <w:highlight w:val="none"/>
        </w:rPr>
        <w:t>:</w:t>
      </w:r>
      <w:r>
        <w:rPr>
          <w:rStyle w:val="18"/>
          <w:rFonts w:hint="eastAsia" w:ascii="仿宋" w:hAnsi="仿宋" w:eastAsia="仿宋"/>
          <w:b w:val="0"/>
          <w:bCs w:val="0"/>
          <w:color w:val="auto"/>
          <w:sz w:val="32"/>
          <w:szCs w:val="32"/>
          <w:highlight w:val="none"/>
          <w:lang w:eastAsia="zh-CN"/>
        </w:rPr>
        <w:t>支出决算为</w:t>
      </w:r>
      <w:r>
        <w:rPr>
          <w:rStyle w:val="18"/>
          <w:rFonts w:hint="eastAsia" w:ascii="仿宋" w:hAnsi="仿宋" w:eastAsia="仿宋"/>
          <w:b w:val="0"/>
          <w:bCs w:val="0"/>
          <w:color w:val="auto"/>
          <w:sz w:val="32"/>
          <w:szCs w:val="32"/>
          <w:highlight w:val="none"/>
          <w:lang w:val="en-US" w:eastAsia="zh-CN"/>
        </w:rPr>
        <w:t>46万元，完成预算100%。</w:t>
      </w:r>
    </w:p>
    <w:p>
      <w:pPr>
        <w:pageBreakBefore w:val="0"/>
        <w:kinsoku/>
        <w:wordWrap/>
        <w:overflowPunct/>
        <w:topLinePunct w:val="0"/>
        <w:bidi w:val="0"/>
        <w:spacing w:line="576" w:lineRule="exact"/>
        <w:ind w:firstLine="643" w:firstLineChars="200"/>
        <w:textAlignment w:val="auto"/>
        <w:rPr>
          <w:rStyle w:val="18"/>
          <w:rFonts w:hint="default" w:ascii="仿宋" w:hAnsi="仿宋" w:eastAsia="仿宋"/>
          <w:b w:val="0"/>
          <w:bCs w:val="0"/>
          <w:color w:val="auto"/>
          <w:sz w:val="32"/>
          <w:szCs w:val="32"/>
          <w:highlight w:val="none"/>
          <w:lang w:val="en-US" w:eastAsia="zh-CN"/>
        </w:rPr>
      </w:pPr>
      <w:r>
        <w:rPr>
          <w:rStyle w:val="18"/>
          <w:rFonts w:hint="eastAsia" w:ascii="仿宋" w:hAnsi="仿宋" w:eastAsia="仿宋"/>
          <w:bCs/>
          <w:color w:val="auto"/>
          <w:sz w:val="32"/>
          <w:szCs w:val="32"/>
          <w:highlight w:val="none"/>
          <w:lang w:val="en-US" w:eastAsia="zh-CN"/>
        </w:rPr>
        <w:t>9.</w:t>
      </w:r>
      <w:r>
        <w:rPr>
          <w:rStyle w:val="18"/>
          <w:rFonts w:hint="eastAsia" w:ascii="仿宋" w:hAnsi="仿宋" w:eastAsia="仿宋"/>
          <w:bCs/>
          <w:color w:val="auto"/>
          <w:sz w:val="32"/>
          <w:szCs w:val="32"/>
          <w:highlight w:val="none"/>
        </w:rPr>
        <w:t>社会保障和就业</w:t>
      </w:r>
      <w:r>
        <w:rPr>
          <w:rStyle w:val="18"/>
          <w:rFonts w:hint="eastAsia" w:ascii="仿宋" w:hAnsi="仿宋" w:eastAsia="仿宋"/>
          <w:bCs/>
          <w:color w:val="auto"/>
          <w:sz w:val="32"/>
          <w:szCs w:val="32"/>
          <w:highlight w:val="none"/>
          <w:lang w:eastAsia="zh-CN"/>
        </w:rPr>
        <w:t>支出</w:t>
      </w:r>
      <w:r>
        <w:rPr>
          <w:rStyle w:val="18"/>
          <w:rFonts w:hint="eastAsia" w:ascii="仿宋" w:hAnsi="仿宋" w:eastAsia="仿宋"/>
          <w:bCs/>
          <w:color w:val="auto"/>
          <w:sz w:val="32"/>
          <w:szCs w:val="32"/>
          <w:highlight w:val="none"/>
        </w:rPr>
        <w:t>（类）</w:t>
      </w:r>
      <w:r>
        <w:rPr>
          <w:rStyle w:val="18"/>
          <w:rFonts w:hint="eastAsia" w:ascii="仿宋" w:hAnsi="仿宋" w:eastAsia="仿宋"/>
          <w:bCs/>
          <w:color w:val="auto"/>
          <w:sz w:val="32"/>
          <w:szCs w:val="32"/>
          <w:highlight w:val="none"/>
          <w:lang w:eastAsia="zh-CN"/>
        </w:rPr>
        <w:t>行政事业单位养老支出</w:t>
      </w:r>
      <w:r>
        <w:rPr>
          <w:rStyle w:val="18"/>
          <w:rFonts w:hint="eastAsia" w:ascii="仿宋" w:hAnsi="仿宋" w:eastAsia="仿宋"/>
          <w:bCs/>
          <w:color w:val="auto"/>
          <w:sz w:val="32"/>
          <w:szCs w:val="32"/>
          <w:highlight w:val="none"/>
        </w:rPr>
        <w:t>（款）</w:t>
      </w:r>
      <w:r>
        <w:rPr>
          <w:rStyle w:val="18"/>
          <w:rFonts w:hint="eastAsia" w:ascii="仿宋" w:hAnsi="仿宋" w:eastAsia="仿宋"/>
          <w:bCs/>
          <w:color w:val="auto"/>
          <w:sz w:val="32"/>
          <w:szCs w:val="32"/>
          <w:highlight w:val="none"/>
          <w:lang w:eastAsia="zh-CN"/>
        </w:rPr>
        <w:t>机关事业单位基本养老保险缴费支出</w:t>
      </w:r>
      <w:r>
        <w:rPr>
          <w:rStyle w:val="18"/>
          <w:rFonts w:hint="eastAsia" w:ascii="仿宋" w:hAnsi="仿宋" w:eastAsia="仿宋"/>
          <w:bCs/>
          <w:color w:val="auto"/>
          <w:sz w:val="32"/>
          <w:szCs w:val="32"/>
          <w:highlight w:val="none"/>
        </w:rPr>
        <w:t>（项）</w:t>
      </w:r>
      <w:r>
        <w:rPr>
          <w:rStyle w:val="18"/>
          <w:rFonts w:ascii="仿宋" w:hAnsi="仿宋" w:eastAsia="仿宋"/>
          <w:bCs/>
          <w:color w:val="auto"/>
          <w:sz w:val="32"/>
          <w:szCs w:val="32"/>
          <w:highlight w:val="none"/>
        </w:rPr>
        <w:t>:</w:t>
      </w:r>
      <w:r>
        <w:rPr>
          <w:rStyle w:val="18"/>
          <w:rFonts w:hint="eastAsia" w:ascii="仿宋" w:hAnsi="仿宋" w:eastAsia="仿宋"/>
          <w:b w:val="0"/>
          <w:bCs w:val="0"/>
          <w:color w:val="auto"/>
          <w:sz w:val="32"/>
          <w:szCs w:val="32"/>
          <w:highlight w:val="none"/>
          <w:lang w:eastAsia="zh-CN"/>
        </w:rPr>
        <w:t>支出决算为</w:t>
      </w:r>
      <w:r>
        <w:rPr>
          <w:rStyle w:val="18"/>
          <w:rFonts w:hint="eastAsia" w:ascii="仿宋" w:hAnsi="仿宋" w:eastAsia="仿宋"/>
          <w:b w:val="0"/>
          <w:bCs w:val="0"/>
          <w:color w:val="auto"/>
          <w:sz w:val="32"/>
          <w:szCs w:val="32"/>
          <w:highlight w:val="none"/>
          <w:lang w:val="en-US" w:eastAsia="zh-CN"/>
        </w:rPr>
        <w:t>98.14万元，完成预算100%。</w:t>
      </w:r>
    </w:p>
    <w:p>
      <w:pPr>
        <w:pageBreakBefore w:val="0"/>
        <w:kinsoku/>
        <w:wordWrap/>
        <w:overflowPunct/>
        <w:topLinePunct w:val="0"/>
        <w:bidi w:val="0"/>
        <w:spacing w:line="576" w:lineRule="exact"/>
        <w:ind w:firstLine="643" w:firstLineChars="200"/>
        <w:textAlignment w:val="auto"/>
        <w:rPr>
          <w:rStyle w:val="18"/>
          <w:rFonts w:hint="default" w:ascii="仿宋" w:hAnsi="仿宋" w:eastAsia="仿宋"/>
          <w:b w:val="0"/>
          <w:bCs w:val="0"/>
          <w:color w:val="auto"/>
          <w:sz w:val="32"/>
          <w:szCs w:val="32"/>
          <w:highlight w:val="none"/>
          <w:lang w:val="en-US" w:eastAsia="zh-CN"/>
        </w:rPr>
      </w:pPr>
      <w:r>
        <w:rPr>
          <w:rStyle w:val="18"/>
          <w:rFonts w:hint="eastAsia" w:ascii="仿宋" w:hAnsi="仿宋" w:eastAsia="仿宋"/>
          <w:bCs/>
          <w:color w:val="auto"/>
          <w:sz w:val="32"/>
          <w:szCs w:val="32"/>
          <w:highlight w:val="none"/>
          <w:lang w:val="en-US" w:eastAsia="zh-CN"/>
        </w:rPr>
        <w:t>10.</w:t>
      </w:r>
      <w:r>
        <w:rPr>
          <w:rStyle w:val="18"/>
          <w:rFonts w:hint="eastAsia" w:ascii="仿宋" w:hAnsi="仿宋" w:eastAsia="仿宋"/>
          <w:bCs/>
          <w:color w:val="auto"/>
          <w:sz w:val="32"/>
          <w:szCs w:val="32"/>
          <w:highlight w:val="none"/>
        </w:rPr>
        <w:t>社会保障和就业</w:t>
      </w:r>
      <w:r>
        <w:rPr>
          <w:rStyle w:val="18"/>
          <w:rFonts w:hint="eastAsia" w:ascii="仿宋" w:hAnsi="仿宋" w:eastAsia="仿宋"/>
          <w:bCs/>
          <w:color w:val="auto"/>
          <w:sz w:val="32"/>
          <w:szCs w:val="32"/>
          <w:highlight w:val="none"/>
          <w:lang w:eastAsia="zh-CN"/>
        </w:rPr>
        <w:t>支出</w:t>
      </w:r>
      <w:r>
        <w:rPr>
          <w:rStyle w:val="18"/>
          <w:rFonts w:hint="eastAsia" w:ascii="仿宋" w:hAnsi="仿宋" w:eastAsia="仿宋"/>
          <w:bCs/>
          <w:color w:val="auto"/>
          <w:sz w:val="32"/>
          <w:szCs w:val="32"/>
          <w:highlight w:val="none"/>
        </w:rPr>
        <w:t>（类）</w:t>
      </w:r>
      <w:r>
        <w:rPr>
          <w:rStyle w:val="18"/>
          <w:rFonts w:hint="eastAsia" w:ascii="仿宋" w:hAnsi="仿宋" w:eastAsia="仿宋"/>
          <w:bCs/>
          <w:color w:val="auto"/>
          <w:sz w:val="32"/>
          <w:szCs w:val="32"/>
          <w:highlight w:val="none"/>
          <w:lang w:eastAsia="zh-CN"/>
        </w:rPr>
        <w:t>行政事业单位养老支出</w:t>
      </w:r>
      <w:r>
        <w:rPr>
          <w:rStyle w:val="18"/>
          <w:rFonts w:hint="eastAsia" w:ascii="仿宋" w:hAnsi="仿宋" w:eastAsia="仿宋"/>
          <w:bCs/>
          <w:color w:val="auto"/>
          <w:sz w:val="32"/>
          <w:szCs w:val="32"/>
          <w:highlight w:val="none"/>
        </w:rPr>
        <w:t>（款）</w:t>
      </w:r>
      <w:r>
        <w:rPr>
          <w:rStyle w:val="18"/>
          <w:rFonts w:hint="eastAsia" w:ascii="仿宋" w:hAnsi="仿宋" w:eastAsia="仿宋"/>
          <w:bCs/>
          <w:color w:val="auto"/>
          <w:sz w:val="32"/>
          <w:szCs w:val="32"/>
          <w:highlight w:val="none"/>
          <w:lang w:eastAsia="zh-CN"/>
        </w:rPr>
        <w:t>机关事业单位职业年金缴费支出</w:t>
      </w:r>
      <w:r>
        <w:rPr>
          <w:rStyle w:val="18"/>
          <w:rFonts w:hint="eastAsia" w:ascii="仿宋" w:hAnsi="仿宋" w:eastAsia="仿宋"/>
          <w:bCs/>
          <w:color w:val="auto"/>
          <w:sz w:val="32"/>
          <w:szCs w:val="32"/>
          <w:highlight w:val="none"/>
        </w:rPr>
        <w:t>（项）</w:t>
      </w:r>
      <w:r>
        <w:rPr>
          <w:rStyle w:val="18"/>
          <w:rFonts w:ascii="仿宋" w:hAnsi="仿宋" w:eastAsia="仿宋"/>
          <w:bCs/>
          <w:color w:val="auto"/>
          <w:sz w:val="32"/>
          <w:szCs w:val="32"/>
          <w:highlight w:val="none"/>
        </w:rPr>
        <w:t>:</w:t>
      </w:r>
      <w:r>
        <w:rPr>
          <w:rStyle w:val="18"/>
          <w:rFonts w:hint="eastAsia" w:ascii="仿宋" w:hAnsi="仿宋" w:eastAsia="仿宋"/>
          <w:b w:val="0"/>
          <w:bCs w:val="0"/>
          <w:color w:val="auto"/>
          <w:sz w:val="32"/>
          <w:szCs w:val="32"/>
          <w:highlight w:val="none"/>
          <w:lang w:eastAsia="zh-CN"/>
        </w:rPr>
        <w:t>支出决算为</w:t>
      </w:r>
      <w:r>
        <w:rPr>
          <w:rStyle w:val="18"/>
          <w:rFonts w:hint="eastAsia" w:ascii="仿宋" w:hAnsi="仿宋" w:eastAsia="仿宋"/>
          <w:b w:val="0"/>
          <w:bCs w:val="0"/>
          <w:color w:val="auto"/>
          <w:sz w:val="32"/>
          <w:szCs w:val="32"/>
          <w:highlight w:val="none"/>
          <w:lang w:val="en-US" w:eastAsia="zh-CN"/>
        </w:rPr>
        <w:t>11.12万元，完成预算100%。</w:t>
      </w:r>
    </w:p>
    <w:p>
      <w:pPr>
        <w:pageBreakBefore w:val="0"/>
        <w:kinsoku/>
        <w:wordWrap/>
        <w:overflowPunct/>
        <w:topLinePunct w:val="0"/>
        <w:bidi w:val="0"/>
        <w:spacing w:line="576" w:lineRule="exact"/>
        <w:ind w:firstLine="643" w:firstLineChars="200"/>
        <w:textAlignment w:val="auto"/>
        <w:rPr>
          <w:rStyle w:val="18"/>
          <w:rFonts w:hint="default" w:ascii="仿宋" w:hAnsi="仿宋" w:eastAsia="仿宋"/>
          <w:b w:val="0"/>
          <w:bCs w:val="0"/>
          <w:color w:val="auto"/>
          <w:sz w:val="32"/>
          <w:szCs w:val="32"/>
          <w:highlight w:val="none"/>
          <w:lang w:val="en-US" w:eastAsia="zh-CN"/>
        </w:rPr>
      </w:pPr>
      <w:r>
        <w:rPr>
          <w:rStyle w:val="18"/>
          <w:rFonts w:hint="eastAsia" w:ascii="仿宋" w:hAnsi="仿宋" w:eastAsia="仿宋"/>
          <w:bCs/>
          <w:color w:val="auto"/>
          <w:sz w:val="32"/>
          <w:szCs w:val="32"/>
          <w:highlight w:val="none"/>
          <w:lang w:val="en-US" w:eastAsia="zh-CN"/>
        </w:rPr>
        <w:t>11.</w:t>
      </w:r>
      <w:r>
        <w:rPr>
          <w:rStyle w:val="18"/>
          <w:rFonts w:hint="eastAsia" w:ascii="仿宋" w:hAnsi="仿宋" w:eastAsia="仿宋"/>
          <w:bCs/>
          <w:color w:val="auto"/>
          <w:sz w:val="32"/>
          <w:szCs w:val="32"/>
          <w:highlight w:val="none"/>
        </w:rPr>
        <w:t>社会保障和就业</w:t>
      </w:r>
      <w:r>
        <w:rPr>
          <w:rStyle w:val="18"/>
          <w:rFonts w:hint="eastAsia" w:ascii="仿宋" w:hAnsi="仿宋" w:eastAsia="仿宋"/>
          <w:bCs/>
          <w:color w:val="auto"/>
          <w:sz w:val="32"/>
          <w:szCs w:val="32"/>
          <w:highlight w:val="none"/>
          <w:lang w:eastAsia="zh-CN"/>
        </w:rPr>
        <w:t>支出</w:t>
      </w:r>
      <w:r>
        <w:rPr>
          <w:rStyle w:val="18"/>
          <w:rFonts w:hint="eastAsia" w:ascii="仿宋" w:hAnsi="仿宋" w:eastAsia="仿宋"/>
          <w:bCs/>
          <w:color w:val="auto"/>
          <w:sz w:val="32"/>
          <w:szCs w:val="32"/>
          <w:highlight w:val="none"/>
        </w:rPr>
        <w:t>（类）</w:t>
      </w:r>
      <w:r>
        <w:rPr>
          <w:rStyle w:val="18"/>
          <w:rFonts w:hint="eastAsia" w:ascii="仿宋" w:hAnsi="仿宋" w:eastAsia="仿宋"/>
          <w:bCs/>
          <w:color w:val="auto"/>
          <w:sz w:val="32"/>
          <w:szCs w:val="32"/>
          <w:highlight w:val="none"/>
          <w:lang w:eastAsia="zh-CN"/>
        </w:rPr>
        <w:t>就业补助</w:t>
      </w:r>
      <w:r>
        <w:rPr>
          <w:rStyle w:val="18"/>
          <w:rFonts w:hint="eastAsia" w:ascii="仿宋" w:hAnsi="仿宋" w:eastAsia="仿宋"/>
          <w:bCs/>
          <w:color w:val="auto"/>
          <w:sz w:val="32"/>
          <w:szCs w:val="32"/>
          <w:highlight w:val="none"/>
        </w:rPr>
        <w:t>（款）</w:t>
      </w:r>
      <w:r>
        <w:rPr>
          <w:rStyle w:val="18"/>
          <w:rFonts w:hint="eastAsia" w:ascii="仿宋" w:hAnsi="仿宋" w:eastAsia="仿宋"/>
          <w:bCs/>
          <w:color w:val="auto"/>
          <w:sz w:val="32"/>
          <w:szCs w:val="32"/>
          <w:highlight w:val="none"/>
          <w:lang w:eastAsia="zh-CN"/>
        </w:rPr>
        <w:t>就业创业服务补贴</w:t>
      </w:r>
      <w:r>
        <w:rPr>
          <w:rStyle w:val="18"/>
          <w:rFonts w:hint="eastAsia" w:ascii="仿宋" w:hAnsi="仿宋" w:eastAsia="仿宋"/>
          <w:bCs/>
          <w:color w:val="auto"/>
          <w:sz w:val="32"/>
          <w:szCs w:val="32"/>
          <w:highlight w:val="none"/>
        </w:rPr>
        <w:t>（项）</w:t>
      </w:r>
      <w:r>
        <w:rPr>
          <w:rStyle w:val="18"/>
          <w:rFonts w:ascii="仿宋" w:hAnsi="仿宋" w:eastAsia="仿宋"/>
          <w:bCs/>
          <w:color w:val="auto"/>
          <w:sz w:val="32"/>
          <w:szCs w:val="32"/>
          <w:highlight w:val="none"/>
        </w:rPr>
        <w:t>:</w:t>
      </w:r>
      <w:r>
        <w:rPr>
          <w:rStyle w:val="18"/>
          <w:rFonts w:hint="eastAsia" w:ascii="仿宋" w:hAnsi="仿宋" w:eastAsia="仿宋"/>
          <w:b w:val="0"/>
          <w:bCs w:val="0"/>
          <w:color w:val="auto"/>
          <w:sz w:val="32"/>
          <w:szCs w:val="32"/>
          <w:highlight w:val="none"/>
          <w:lang w:eastAsia="zh-CN"/>
        </w:rPr>
        <w:t>支出决算为</w:t>
      </w:r>
      <w:r>
        <w:rPr>
          <w:rStyle w:val="18"/>
          <w:rFonts w:hint="eastAsia" w:ascii="仿宋" w:hAnsi="仿宋" w:eastAsia="仿宋"/>
          <w:b w:val="0"/>
          <w:bCs w:val="0"/>
          <w:color w:val="auto"/>
          <w:sz w:val="32"/>
          <w:szCs w:val="32"/>
          <w:highlight w:val="none"/>
          <w:lang w:val="en-US" w:eastAsia="zh-CN"/>
        </w:rPr>
        <w:t>2526万元，完成预算100%。</w:t>
      </w:r>
    </w:p>
    <w:p>
      <w:pPr>
        <w:pageBreakBefore w:val="0"/>
        <w:kinsoku/>
        <w:wordWrap/>
        <w:overflowPunct/>
        <w:topLinePunct w:val="0"/>
        <w:bidi w:val="0"/>
        <w:spacing w:line="576" w:lineRule="exact"/>
        <w:ind w:firstLine="643" w:firstLineChars="200"/>
        <w:textAlignment w:val="auto"/>
        <w:rPr>
          <w:rStyle w:val="18"/>
          <w:rFonts w:hint="default" w:ascii="仿宋" w:hAnsi="仿宋" w:eastAsia="仿宋"/>
          <w:bCs/>
          <w:color w:val="auto"/>
          <w:sz w:val="32"/>
          <w:szCs w:val="32"/>
          <w:highlight w:val="none"/>
          <w:lang w:val="en-US" w:eastAsia="zh-CN"/>
        </w:rPr>
      </w:pPr>
      <w:r>
        <w:rPr>
          <w:rStyle w:val="18"/>
          <w:rFonts w:hint="eastAsia" w:ascii="仿宋" w:hAnsi="仿宋" w:eastAsia="仿宋"/>
          <w:bCs/>
          <w:color w:val="auto"/>
          <w:sz w:val="32"/>
          <w:szCs w:val="32"/>
          <w:highlight w:val="none"/>
          <w:lang w:val="en-US" w:eastAsia="zh-CN"/>
        </w:rPr>
        <w:t>12.卫生健康支出（类）行政事业单位医疗（款）行政单位医疗（项）</w:t>
      </w:r>
      <w:r>
        <w:rPr>
          <w:rStyle w:val="18"/>
          <w:rFonts w:ascii="仿宋" w:hAnsi="仿宋" w:eastAsia="仿宋"/>
          <w:bCs/>
          <w:color w:val="auto"/>
          <w:sz w:val="32"/>
          <w:szCs w:val="32"/>
          <w:highlight w:val="none"/>
        </w:rPr>
        <w:t>:</w:t>
      </w:r>
      <w:r>
        <w:rPr>
          <w:rStyle w:val="18"/>
          <w:rFonts w:hint="eastAsia" w:ascii="仿宋" w:hAnsi="仿宋" w:eastAsia="仿宋"/>
          <w:b w:val="0"/>
          <w:bCs w:val="0"/>
          <w:color w:val="auto"/>
          <w:sz w:val="32"/>
          <w:szCs w:val="32"/>
          <w:highlight w:val="none"/>
          <w:lang w:eastAsia="zh-CN"/>
        </w:rPr>
        <w:t>支出决算为</w:t>
      </w:r>
      <w:r>
        <w:rPr>
          <w:rStyle w:val="18"/>
          <w:rFonts w:hint="eastAsia" w:ascii="仿宋" w:hAnsi="仿宋" w:eastAsia="仿宋"/>
          <w:b w:val="0"/>
          <w:bCs w:val="0"/>
          <w:color w:val="auto"/>
          <w:sz w:val="32"/>
          <w:szCs w:val="32"/>
          <w:highlight w:val="none"/>
          <w:lang w:val="en-US" w:eastAsia="zh-CN"/>
        </w:rPr>
        <w:t>44.24万元万元，完成预算100%。</w:t>
      </w:r>
    </w:p>
    <w:p>
      <w:pPr>
        <w:pageBreakBefore w:val="0"/>
        <w:kinsoku/>
        <w:wordWrap/>
        <w:overflowPunct/>
        <w:topLinePunct w:val="0"/>
        <w:bidi w:val="0"/>
        <w:spacing w:line="576" w:lineRule="exact"/>
        <w:ind w:firstLine="643" w:firstLineChars="200"/>
        <w:textAlignment w:val="auto"/>
        <w:rPr>
          <w:rStyle w:val="18"/>
          <w:rFonts w:hint="default" w:ascii="仿宋" w:hAnsi="仿宋" w:eastAsia="仿宋"/>
          <w:bCs/>
          <w:color w:val="auto"/>
          <w:sz w:val="32"/>
          <w:szCs w:val="32"/>
          <w:highlight w:val="none"/>
          <w:lang w:val="en-US" w:eastAsia="zh-CN"/>
        </w:rPr>
      </w:pPr>
      <w:r>
        <w:rPr>
          <w:rStyle w:val="18"/>
          <w:rFonts w:hint="eastAsia" w:ascii="仿宋" w:hAnsi="仿宋" w:eastAsia="仿宋"/>
          <w:bCs/>
          <w:color w:val="auto"/>
          <w:sz w:val="32"/>
          <w:szCs w:val="32"/>
          <w:highlight w:val="none"/>
          <w:lang w:val="en-US" w:eastAsia="zh-CN"/>
        </w:rPr>
        <w:t>13.农村水支出（类）巩固脱贫衔接乡村振兴（款）其他巩固脱贫衔接乡村振兴支出（项）</w:t>
      </w:r>
      <w:r>
        <w:rPr>
          <w:rStyle w:val="18"/>
          <w:rFonts w:ascii="仿宋" w:hAnsi="仿宋" w:eastAsia="仿宋"/>
          <w:bCs/>
          <w:color w:val="auto"/>
          <w:sz w:val="32"/>
          <w:szCs w:val="32"/>
          <w:highlight w:val="none"/>
        </w:rPr>
        <w:t>:</w:t>
      </w:r>
      <w:r>
        <w:rPr>
          <w:rStyle w:val="18"/>
          <w:rFonts w:hint="eastAsia" w:ascii="仿宋" w:hAnsi="仿宋" w:eastAsia="仿宋"/>
          <w:b w:val="0"/>
          <w:bCs w:val="0"/>
          <w:color w:val="auto"/>
          <w:sz w:val="32"/>
          <w:szCs w:val="32"/>
          <w:highlight w:val="none"/>
          <w:lang w:eastAsia="zh-CN"/>
        </w:rPr>
        <w:t>支出决算为</w:t>
      </w:r>
      <w:r>
        <w:rPr>
          <w:rStyle w:val="18"/>
          <w:rFonts w:hint="eastAsia" w:ascii="仿宋" w:hAnsi="仿宋" w:eastAsia="仿宋"/>
          <w:b w:val="0"/>
          <w:bCs w:val="0"/>
          <w:color w:val="auto"/>
          <w:sz w:val="32"/>
          <w:szCs w:val="32"/>
          <w:highlight w:val="none"/>
          <w:lang w:val="en-US" w:eastAsia="zh-CN"/>
        </w:rPr>
        <w:t>221万元，完成预算100%。</w:t>
      </w:r>
    </w:p>
    <w:p>
      <w:pPr>
        <w:pageBreakBefore w:val="0"/>
        <w:kinsoku/>
        <w:wordWrap/>
        <w:overflowPunct/>
        <w:topLinePunct w:val="0"/>
        <w:bidi w:val="0"/>
        <w:spacing w:line="576" w:lineRule="exact"/>
        <w:ind w:firstLine="643" w:firstLineChars="200"/>
        <w:textAlignment w:val="auto"/>
        <w:rPr>
          <w:rStyle w:val="18"/>
          <w:rFonts w:hint="default" w:ascii="仿宋" w:hAnsi="仿宋" w:eastAsia="仿宋"/>
          <w:bCs/>
          <w:color w:val="auto"/>
          <w:sz w:val="32"/>
          <w:szCs w:val="32"/>
          <w:highlight w:val="none"/>
          <w:lang w:val="en-US" w:eastAsia="zh-CN"/>
        </w:rPr>
      </w:pPr>
      <w:r>
        <w:rPr>
          <w:rStyle w:val="18"/>
          <w:rFonts w:hint="eastAsia" w:ascii="仿宋" w:hAnsi="仿宋" w:eastAsia="仿宋"/>
          <w:bCs/>
          <w:color w:val="auto"/>
          <w:sz w:val="32"/>
          <w:szCs w:val="32"/>
          <w:highlight w:val="none"/>
          <w:lang w:val="en-US" w:eastAsia="zh-CN"/>
        </w:rPr>
        <w:t>14.农村水支出（类）普惠金融发展支出（款）创业担保贷款贴息及奖补（项）</w:t>
      </w:r>
      <w:r>
        <w:rPr>
          <w:rStyle w:val="18"/>
          <w:rFonts w:ascii="仿宋" w:hAnsi="仿宋" w:eastAsia="仿宋"/>
          <w:bCs/>
          <w:color w:val="auto"/>
          <w:sz w:val="32"/>
          <w:szCs w:val="32"/>
          <w:highlight w:val="none"/>
        </w:rPr>
        <w:t>:</w:t>
      </w:r>
      <w:r>
        <w:rPr>
          <w:rStyle w:val="18"/>
          <w:rFonts w:hint="eastAsia" w:ascii="仿宋" w:hAnsi="仿宋" w:eastAsia="仿宋"/>
          <w:b w:val="0"/>
          <w:bCs w:val="0"/>
          <w:color w:val="auto"/>
          <w:sz w:val="32"/>
          <w:szCs w:val="32"/>
          <w:highlight w:val="none"/>
          <w:lang w:eastAsia="zh-CN"/>
        </w:rPr>
        <w:t>支出决算为</w:t>
      </w:r>
      <w:r>
        <w:rPr>
          <w:rStyle w:val="18"/>
          <w:rFonts w:hint="eastAsia" w:ascii="仿宋" w:hAnsi="仿宋" w:eastAsia="仿宋"/>
          <w:b w:val="0"/>
          <w:bCs w:val="0"/>
          <w:color w:val="auto"/>
          <w:sz w:val="32"/>
          <w:szCs w:val="32"/>
          <w:highlight w:val="none"/>
          <w:lang w:val="en-US" w:eastAsia="zh-CN"/>
        </w:rPr>
        <w:t>121.88万元，完成预算100%。</w:t>
      </w:r>
    </w:p>
    <w:p>
      <w:pPr>
        <w:pageBreakBefore w:val="0"/>
        <w:kinsoku/>
        <w:wordWrap/>
        <w:overflowPunct/>
        <w:topLinePunct w:val="0"/>
        <w:bidi w:val="0"/>
        <w:spacing w:line="576" w:lineRule="exact"/>
        <w:ind w:firstLine="643" w:firstLineChars="200"/>
        <w:textAlignment w:val="auto"/>
        <w:rPr>
          <w:rFonts w:ascii="仿宋" w:hAnsi="仿宋" w:eastAsia="仿宋"/>
          <w:b/>
          <w:color w:val="auto"/>
          <w:sz w:val="32"/>
          <w:szCs w:val="32"/>
          <w:highlight w:val="none"/>
        </w:rPr>
      </w:pPr>
      <w:r>
        <w:rPr>
          <w:rStyle w:val="18"/>
          <w:rFonts w:hint="eastAsia" w:ascii="仿宋" w:hAnsi="仿宋" w:eastAsia="仿宋"/>
          <w:bCs/>
          <w:color w:val="auto"/>
          <w:sz w:val="32"/>
          <w:szCs w:val="32"/>
          <w:highlight w:val="none"/>
          <w:lang w:val="en-US" w:eastAsia="zh-CN"/>
        </w:rPr>
        <w:t>15.住房保障支出（类）住房改革支出（款）住房公积金（项）</w:t>
      </w:r>
      <w:r>
        <w:rPr>
          <w:rStyle w:val="18"/>
          <w:rFonts w:ascii="仿宋" w:hAnsi="仿宋" w:eastAsia="仿宋"/>
          <w:bCs/>
          <w:color w:val="auto"/>
          <w:sz w:val="32"/>
          <w:szCs w:val="32"/>
          <w:highlight w:val="none"/>
        </w:rPr>
        <w:t>:</w:t>
      </w:r>
      <w:r>
        <w:rPr>
          <w:rStyle w:val="18"/>
          <w:rFonts w:hint="eastAsia" w:ascii="仿宋" w:hAnsi="仿宋" w:eastAsia="仿宋"/>
          <w:b w:val="0"/>
          <w:bCs w:val="0"/>
          <w:color w:val="auto"/>
          <w:sz w:val="32"/>
          <w:szCs w:val="32"/>
          <w:highlight w:val="none"/>
          <w:lang w:eastAsia="zh-CN"/>
        </w:rPr>
        <w:t>支出决算为</w:t>
      </w:r>
      <w:r>
        <w:rPr>
          <w:rStyle w:val="18"/>
          <w:rFonts w:hint="eastAsia" w:ascii="仿宋" w:hAnsi="仿宋" w:eastAsia="仿宋"/>
          <w:b w:val="0"/>
          <w:bCs w:val="0"/>
          <w:color w:val="auto"/>
          <w:sz w:val="32"/>
          <w:szCs w:val="32"/>
          <w:highlight w:val="none"/>
          <w:lang w:val="en-US" w:eastAsia="zh-CN"/>
        </w:rPr>
        <w:t>77.99万元，完成预算100%。</w:t>
      </w:r>
    </w:p>
    <w:p>
      <w:pPr>
        <w:pageBreakBefore w:val="0"/>
        <w:tabs>
          <w:tab w:val="right" w:pos="8306"/>
        </w:tabs>
        <w:kinsoku/>
        <w:wordWrap/>
        <w:overflowPunct/>
        <w:topLinePunct w:val="0"/>
        <w:bidi w:val="0"/>
        <w:spacing w:line="576" w:lineRule="exact"/>
        <w:ind w:firstLine="640"/>
        <w:textAlignment w:val="auto"/>
        <w:outlineLvl w:val="1"/>
        <w:rPr>
          <w:rStyle w:val="29"/>
          <w:color w:val="auto"/>
          <w:highlight w:val="none"/>
        </w:rPr>
      </w:pPr>
      <w:bookmarkStart w:id="53" w:name="_Toc15377214"/>
      <w:bookmarkStart w:id="54" w:name="_Toc14176"/>
      <w:bookmarkStart w:id="55" w:name="_Toc15396608"/>
      <w:r>
        <w:rPr>
          <w:rFonts w:hint="eastAsia" w:ascii="黑体" w:eastAsia="黑体"/>
          <w:color w:val="auto"/>
          <w:sz w:val="32"/>
          <w:szCs w:val="32"/>
          <w:highlight w:val="none"/>
        </w:rPr>
        <w:t>六</w:t>
      </w:r>
      <w:r>
        <w:rPr>
          <w:rFonts w:hint="eastAsia" w:ascii="黑体" w:eastAsia="黑体"/>
          <w:b/>
          <w:color w:val="auto"/>
          <w:sz w:val="32"/>
          <w:szCs w:val="32"/>
          <w:highlight w:val="none"/>
        </w:rPr>
        <w:t>、</w:t>
      </w:r>
      <w:r>
        <w:rPr>
          <w:rFonts w:hint="eastAsia" w:ascii="黑体" w:hAnsi="黑体" w:eastAsia="黑体"/>
          <w:b/>
          <w:color w:val="auto"/>
          <w:sz w:val="32"/>
          <w:szCs w:val="32"/>
          <w:highlight w:val="none"/>
        </w:rPr>
        <w:t>一</w:t>
      </w:r>
      <w:r>
        <w:rPr>
          <w:rStyle w:val="29"/>
          <w:rFonts w:hint="eastAsia" w:ascii="黑体" w:hAnsi="黑体" w:eastAsia="黑体"/>
          <w:b w:val="0"/>
          <w:color w:val="auto"/>
          <w:highlight w:val="none"/>
        </w:rPr>
        <w:t>般公共预算财政拨款基本支出决算情况说明</w:t>
      </w:r>
      <w:bookmarkEnd w:id="53"/>
      <w:bookmarkEnd w:id="54"/>
      <w:bookmarkEnd w:id="55"/>
      <w:r>
        <w:rPr>
          <w:rStyle w:val="29"/>
          <w:rFonts w:ascii="黑体" w:hAnsi="黑体" w:eastAsia="黑体"/>
          <w:b w:val="0"/>
          <w:color w:val="auto"/>
          <w:highlight w:val="none"/>
        </w:rPr>
        <w:tab/>
      </w:r>
    </w:p>
    <w:p>
      <w:pPr>
        <w:pageBreakBefore w:val="0"/>
        <w:kinsoku/>
        <w:wordWrap/>
        <w:overflowPunct/>
        <w:topLinePunct w:val="0"/>
        <w:bidi w:val="0"/>
        <w:spacing w:line="576" w:lineRule="exact"/>
        <w:ind w:firstLine="645"/>
        <w:textAlignment w:val="auto"/>
        <w:rPr>
          <w:rFonts w:ascii="仿宋" w:hAnsi="仿宋" w:eastAsia="仿宋"/>
          <w:color w:val="auto"/>
          <w:sz w:val="32"/>
          <w:szCs w:val="32"/>
          <w:highlight w:val="none"/>
        </w:rPr>
      </w:pPr>
      <w:r>
        <w:rPr>
          <w:rFonts w:ascii="仿宋" w:hAnsi="仿宋" w:eastAsia="仿宋"/>
          <w:color w:val="auto"/>
          <w:sz w:val="32"/>
          <w:szCs w:val="32"/>
          <w:highlight w:val="none"/>
        </w:rPr>
        <w:t>20</w:t>
      </w:r>
      <w:r>
        <w:rPr>
          <w:rFonts w:hint="eastAsia" w:ascii="仿宋" w:hAnsi="仿宋" w:eastAsia="仿宋"/>
          <w:color w:val="auto"/>
          <w:sz w:val="32"/>
          <w:szCs w:val="32"/>
          <w:highlight w:val="none"/>
          <w:lang w:val="en-US" w:eastAsia="zh-CN"/>
        </w:rPr>
        <w:t>22</w:t>
      </w:r>
      <w:r>
        <w:rPr>
          <w:rFonts w:hint="eastAsia" w:ascii="仿宋" w:hAnsi="仿宋" w:eastAsia="仿宋"/>
          <w:color w:val="auto"/>
          <w:sz w:val="32"/>
          <w:szCs w:val="32"/>
          <w:highlight w:val="none"/>
        </w:rPr>
        <w:t>年一般公共预算财政拨款基本支出1016.4万元，其中：</w:t>
      </w:r>
    </w:p>
    <w:p>
      <w:pPr>
        <w:pageBreakBefore w:val="0"/>
        <w:kinsoku/>
        <w:wordWrap/>
        <w:overflowPunct/>
        <w:topLinePunct w:val="0"/>
        <w:bidi w:val="0"/>
        <w:spacing w:line="576" w:lineRule="exact"/>
        <w:ind w:firstLine="645"/>
        <w:textAlignment w:val="auto"/>
        <w:rPr>
          <w:rFonts w:ascii="仿宋" w:hAnsi="仿宋" w:eastAsia="仿宋"/>
          <w:b/>
          <w:color w:val="auto"/>
          <w:sz w:val="32"/>
          <w:szCs w:val="32"/>
          <w:highlight w:val="none"/>
        </w:rPr>
      </w:pPr>
      <w:r>
        <w:rPr>
          <w:rFonts w:hint="eastAsia" w:ascii="仿宋" w:hAnsi="仿宋" w:eastAsia="仿宋"/>
          <w:color w:val="auto"/>
          <w:sz w:val="32"/>
          <w:szCs w:val="32"/>
          <w:highlight w:val="none"/>
        </w:rPr>
        <w:t>人员经费885.86万元，主要包括：基本工资、津贴补贴、奖金、伙食补助费、绩效工资、机关事业单位基本养老保险缴费、职业年金缴费、其他社会保障缴费、其他工资福利支出、生活补助、住房公积金、其他对个人和家庭的补助支出等。</w:t>
      </w:r>
      <w:r>
        <w:rPr>
          <w:rFonts w:ascii="仿宋" w:hAnsi="仿宋" w:eastAsia="仿宋"/>
          <w:color w:val="auto"/>
          <w:sz w:val="32"/>
          <w:szCs w:val="32"/>
          <w:highlight w:val="none"/>
        </w:rPr>
        <w:br w:type="textWrapping"/>
      </w:r>
      <w:r>
        <w:rPr>
          <w:rFonts w:hint="eastAsia" w:ascii="仿宋" w:hAnsi="仿宋" w:eastAsia="仿宋"/>
          <w:color w:val="auto"/>
          <w:sz w:val="32"/>
          <w:szCs w:val="32"/>
          <w:highlight w:val="none"/>
        </w:rPr>
        <w:t>　　公用经费130.53万元，主要包括：办公费、印刷费、咨询费、手续费、水费、电费、邮电费、物业管理费、差旅费、维修（护）费、租赁费、会议费、培训费、公务接待费、劳务费、委托业务费、工会经费、其他交通费、税金及附加费用、其他商品和服务支出等。</w:t>
      </w:r>
    </w:p>
    <w:p>
      <w:pPr>
        <w:pageBreakBefore w:val="0"/>
        <w:kinsoku/>
        <w:wordWrap/>
        <w:overflowPunct/>
        <w:topLinePunct w:val="0"/>
        <w:bidi w:val="0"/>
        <w:spacing w:line="576" w:lineRule="exact"/>
        <w:ind w:firstLine="640"/>
        <w:textAlignment w:val="auto"/>
        <w:outlineLvl w:val="1"/>
        <w:rPr>
          <w:rStyle w:val="29"/>
          <w:rFonts w:ascii="黑体" w:hAnsi="黑体" w:eastAsia="黑体"/>
          <w:b w:val="0"/>
          <w:color w:val="auto"/>
          <w:highlight w:val="none"/>
        </w:rPr>
      </w:pPr>
      <w:bookmarkStart w:id="56" w:name="_Toc15396609"/>
      <w:bookmarkStart w:id="57" w:name="_Toc28714"/>
      <w:bookmarkStart w:id="58" w:name="_Toc15377215"/>
      <w:r>
        <w:rPr>
          <w:rFonts w:hint="eastAsia" w:ascii="黑体" w:eastAsia="黑体"/>
          <w:color w:val="auto"/>
          <w:sz w:val="32"/>
          <w:szCs w:val="32"/>
          <w:highlight w:val="none"/>
        </w:rPr>
        <w:t>七、</w:t>
      </w:r>
      <w:r>
        <w:rPr>
          <w:rStyle w:val="29"/>
          <w:rFonts w:hint="eastAsia" w:ascii="黑体" w:hAnsi="黑体" w:eastAsia="黑体"/>
          <w:b w:val="0"/>
          <w:color w:val="auto"/>
          <w:highlight w:val="none"/>
        </w:rPr>
        <w:t>财政拨款</w:t>
      </w:r>
      <w:r>
        <w:rPr>
          <w:rStyle w:val="29"/>
          <w:rFonts w:hint="eastAsia" w:ascii="黑体" w:hAnsi="黑体" w:eastAsia="黑体"/>
          <w:color w:val="auto"/>
          <w:highlight w:val="none"/>
        </w:rPr>
        <w:t>“</w:t>
      </w:r>
      <w:r>
        <w:rPr>
          <w:rStyle w:val="29"/>
          <w:rFonts w:hint="eastAsia" w:ascii="黑体" w:hAnsi="黑体" w:eastAsia="黑体"/>
          <w:b w:val="0"/>
          <w:color w:val="auto"/>
          <w:highlight w:val="none"/>
        </w:rPr>
        <w:t>三公”经费支出决算情况说明</w:t>
      </w:r>
      <w:bookmarkEnd w:id="56"/>
      <w:bookmarkEnd w:id="57"/>
      <w:bookmarkEnd w:id="58"/>
    </w:p>
    <w:p>
      <w:pPr>
        <w:pageBreakBefore w:val="0"/>
        <w:kinsoku/>
        <w:wordWrap/>
        <w:overflowPunct/>
        <w:topLinePunct w:val="0"/>
        <w:bidi w:val="0"/>
        <w:spacing w:line="576" w:lineRule="exact"/>
        <w:ind w:firstLine="640" w:firstLineChars="200"/>
        <w:textAlignment w:val="auto"/>
        <w:outlineLvl w:val="1"/>
        <w:rPr>
          <w:rFonts w:hint="eastAsia" w:ascii="黑体" w:hAnsi="黑体" w:eastAsia="黑体"/>
          <w:b w:val="0"/>
          <w:bCs/>
          <w:color w:val="auto"/>
          <w:sz w:val="32"/>
          <w:szCs w:val="32"/>
          <w:highlight w:val="none"/>
        </w:rPr>
      </w:pPr>
      <w:bookmarkStart w:id="59" w:name="_Toc3772"/>
      <w:bookmarkStart w:id="60" w:name="_Toc15377216"/>
      <w:r>
        <w:rPr>
          <w:rFonts w:hint="eastAsia" w:ascii="黑体" w:hAnsi="黑体" w:eastAsia="黑体"/>
          <w:b w:val="0"/>
          <w:bCs/>
          <w:color w:val="auto"/>
          <w:sz w:val="32"/>
          <w:szCs w:val="32"/>
          <w:highlight w:val="none"/>
        </w:rPr>
        <w:t>（一）“三公”经费财政拨款支出决算总体情况说明</w:t>
      </w:r>
      <w:bookmarkEnd w:id="59"/>
      <w:bookmarkEnd w:id="60"/>
    </w:p>
    <w:p>
      <w:pPr>
        <w:pageBreakBefore w:val="0"/>
        <w:kinsoku/>
        <w:wordWrap/>
        <w:overflowPunct/>
        <w:topLinePunct w:val="0"/>
        <w:bidi w:val="0"/>
        <w:spacing w:line="576" w:lineRule="exact"/>
        <w:ind w:firstLine="640"/>
        <w:textAlignment w:val="auto"/>
        <w:rPr>
          <w:rFonts w:ascii="仿宋" w:hAnsi="仿宋" w:eastAsia="仿宋"/>
          <w:color w:val="auto"/>
          <w:sz w:val="32"/>
          <w:szCs w:val="32"/>
          <w:highlight w:val="none"/>
        </w:rPr>
      </w:pPr>
      <w:r>
        <w:rPr>
          <w:rFonts w:ascii="仿宋" w:hAnsi="仿宋" w:eastAsia="仿宋"/>
          <w:color w:val="auto"/>
          <w:sz w:val="32"/>
          <w:szCs w:val="32"/>
          <w:highlight w:val="none"/>
        </w:rPr>
        <w:t>20</w:t>
      </w:r>
      <w:r>
        <w:rPr>
          <w:rFonts w:hint="eastAsia" w:ascii="仿宋" w:hAnsi="仿宋" w:eastAsia="仿宋"/>
          <w:color w:val="auto"/>
          <w:sz w:val="32"/>
          <w:szCs w:val="32"/>
          <w:highlight w:val="none"/>
          <w:lang w:val="en-US" w:eastAsia="zh-CN"/>
        </w:rPr>
        <w:t>22</w:t>
      </w:r>
      <w:r>
        <w:rPr>
          <w:rFonts w:hint="eastAsia" w:ascii="仿宋" w:hAnsi="仿宋" w:eastAsia="仿宋"/>
          <w:color w:val="auto"/>
          <w:sz w:val="32"/>
          <w:szCs w:val="32"/>
          <w:highlight w:val="none"/>
        </w:rPr>
        <w:t>年“三公”经费财政拨款支出决算为9.41万元，完成预算</w:t>
      </w:r>
      <w:r>
        <w:rPr>
          <w:rFonts w:hint="eastAsia" w:ascii="仿宋" w:hAnsi="仿宋" w:eastAsia="仿宋"/>
          <w:color w:val="auto"/>
          <w:sz w:val="32"/>
          <w:szCs w:val="32"/>
          <w:highlight w:val="none"/>
          <w:lang w:val="en-US" w:eastAsia="zh-CN"/>
        </w:rPr>
        <w:t>79.48</w:t>
      </w:r>
      <w:r>
        <w:rPr>
          <w:rFonts w:ascii="仿宋" w:hAnsi="仿宋" w:eastAsia="仿宋"/>
          <w:color w:val="auto"/>
          <w:sz w:val="32"/>
          <w:szCs w:val="32"/>
          <w:highlight w:val="none"/>
        </w:rPr>
        <w:t>%</w:t>
      </w:r>
      <w:r>
        <w:rPr>
          <w:rFonts w:hint="eastAsia" w:ascii="仿宋" w:hAnsi="仿宋" w:eastAsia="仿宋"/>
          <w:color w:val="auto"/>
          <w:sz w:val="32"/>
          <w:szCs w:val="32"/>
          <w:highlight w:val="none"/>
        </w:rPr>
        <w:t>，</w:t>
      </w:r>
      <w:r>
        <w:rPr>
          <w:rFonts w:hint="eastAsia" w:ascii="仿宋" w:hAnsi="仿宋" w:eastAsia="仿宋"/>
          <w:color w:val="auto"/>
          <w:sz w:val="32"/>
          <w:szCs w:val="32"/>
          <w:highlight w:val="none"/>
          <w:lang w:eastAsia="zh-CN"/>
        </w:rPr>
        <w:t>较上年</w:t>
      </w:r>
      <w:r>
        <w:rPr>
          <w:rFonts w:hint="eastAsia" w:ascii="仿宋" w:hAnsi="仿宋" w:eastAsia="仿宋"/>
          <w:color w:val="auto"/>
          <w:sz w:val="32"/>
          <w:szCs w:val="32"/>
          <w:highlight w:val="none"/>
          <w:lang w:val="en-US" w:eastAsia="zh-CN"/>
        </w:rPr>
        <w:t>减少1.68万元，下降15.18%。</w:t>
      </w:r>
      <w:r>
        <w:rPr>
          <w:rFonts w:hint="eastAsia" w:ascii="仿宋" w:hAnsi="仿宋" w:eastAsia="仿宋"/>
          <w:color w:val="auto"/>
          <w:sz w:val="32"/>
          <w:szCs w:val="32"/>
          <w:highlight w:val="none"/>
        </w:rPr>
        <w:t>决算数小于预算数的主要原因是</w:t>
      </w:r>
      <w:r>
        <w:rPr>
          <w:rFonts w:hint="eastAsia" w:ascii="仿宋" w:hAnsi="仿宋" w:eastAsia="仿宋"/>
          <w:color w:val="auto"/>
          <w:sz w:val="32"/>
          <w:szCs w:val="32"/>
          <w:highlight w:val="none"/>
          <w:lang w:val="en-US" w:eastAsia="zh-CN"/>
        </w:rPr>
        <w:t>2022</w:t>
      </w:r>
      <w:r>
        <w:rPr>
          <w:rFonts w:hint="eastAsia" w:ascii="Calibri" w:hAnsi="Calibri" w:eastAsia="仿宋_GB2312" w:cs="Times New Roman"/>
          <w:caps/>
          <w:kern w:val="2"/>
          <w:sz w:val="32"/>
          <w:szCs w:val="32"/>
          <w:highlight w:val="none"/>
          <w:lang w:val="en-US" w:eastAsia="zh-CN" w:bidi="ar-SA"/>
        </w:rPr>
        <w:t>年响应政府“关于过紧日子十条措施”和单位科学管理所致。</w:t>
      </w:r>
    </w:p>
    <w:p>
      <w:pPr>
        <w:pageBreakBefore w:val="0"/>
        <w:kinsoku/>
        <w:wordWrap/>
        <w:overflowPunct/>
        <w:topLinePunct w:val="0"/>
        <w:bidi w:val="0"/>
        <w:spacing w:line="576" w:lineRule="exact"/>
        <w:ind w:firstLine="640" w:firstLineChars="200"/>
        <w:textAlignment w:val="auto"/>
        <w:outlineLvl w:val="1"/>
        <w:rPr>
          <w:rFonts w:hint="eastAsia" w:ascii="黑体" w:hAnsi="黑体" w:eastAsia="黑体"/>
          <w:b w:val="0"/>
          <w:bCs/>
          <w:color w:val="auto"/>
          <w:sz w:val="32"/>
          <w:szCs w:val="32"/>
          <w:highlight w:val="none"/>
        </w:rPr>
      </w:pPr>
      <w:bookmarkStart w:id="61" w:name="_Toc15377217"/>
      <w:bookmarkStart w:id="62" w:name="_Toc30250"/>
      <w:r>
        <w:rPr>
          <w:rFonts w:hint="eastAsia" w:ascii="黑体" w:hAnsi="黑体" w:eastAsia="黑体"/>
          <w:b w:val="0"/>
          <w:bCs/>
          <w:color w:val="auto"/>
          <w:sz w:val="32"/>
          <w:szCs w:val="32"/>
          <w:highlight w:val="none"/>
        </w:rPr>
        <w:t>（二）“三公”经费财政拨款支出决算具体情况说明</w:t>
      </w:r>
      <w:bookmarkEnd w:id="61"/>
      <w:bookmarkEnd w:id="62"/>
    </w:p>
    <w:p>
      <w:pPr>
        <w:pageBreakBefore w:val="0"/>
        <w:kinsoku/>
        <w:wordWrap/>
        <w:overflowPunct/>
        <w:topLinePunct w:val="0"/>
        <w:bidi w:val="0"/>
        <w:spacing w:line="576" w:lineRule="exact"/>
        <w:ind w:firstLine="640"/>
        <w:textAlignment w:val="auto"/>
        <w:rPr>
          <w:rFonts w:hint="eastAsia" w:ascii="仿宋" w:hAnsi="仿宋" w:eastAsia="仿宋"/>
          <w:color w:val="auto"/>
          <w:sz w:val="32"/>
          <w:szCs w:val="32"/>
          <w:highlight w:val="none"/>
        </w:rPr>
      </w:pPr>
      <w:r>
        <w:rPr>
          <w:rFonts w:ascii="仿宋" w:hAnsi="仿宋" w:eastAsia="仿宋"/>
          <w:color w:val="auto"/>
          <w:sz w:val="32"/>
          <w:szCs w:val="32"/>
          <w:highlight w:val="none"/>
        </w:rPr>
        <w:t>20</w:t>
      </w:r>
      <w:r>
        <w:rPr>
          <w:rFonts w:hint="eastAsia" w:ascii="仿宋" w:hAnsi="仿宋" w:eastAsia="仿宋"/>
          <w:color w:val="auto"/>
          <w:sz w:val="32"/>
          <w:szCs w:val="32"/>
          <w:highlight w:val="none"/>
          <w:lang w:val="en-US" w:eastAsia="zh-CN"/>
        </w:rPr>
        <w:t>22</w:t>
      </w:r>
      <w:r>
        <w:rPr>
          <w:rFonts w:hint="eastAsia" w:ascii="仿宋" w:hAnsi="仿宋" w:eastAsia="仿宋"/>
          <w:color w:val="auto"/>
          <w:sz w:val="32"/>
          <w:szCs w:val="32"/>
          <w:highlight w:val="none"/>
        </w:rPr>
        <w:t>年“三公”经费财政拨款支出决算中，公务接待费支出决算</w:t>
      </w:r>
      <w:r>
        <w:rPr>
          <w:rFonts w:hint="eastAsia" w:ascii="仿宋" w:hAnsi="仿宋" w:eastAsia="仿宋"/>
          <w:color w:val="auto"/>
          <w:sz w:val="32"/>
          <w:szCs w:val="32"/>
          <w:highlight w:val="none"/>
          <w:lang w:val="en-US" w:eastAsia="zh-CN"/>
        </w:rPr>
        <w:t>9.41</w:t>
      </w:r>
      <w:r>
        <w:rPr>
          <w:rFonts w:hint="eastAsia" w:ascii="仿宋" w:hAnsi="仿宋" w:eastAsia="仿宋"/>
          <w:color w:val="auto"/>
          <w:sz w:val="32"/>
          <w:szCs w:val="32"/>
          <w:highlight w:val="none"/>
        </w:rPr>
        <w:t>万元，占</w:t>
      </w:r>
      <w:r>
        <w:rPr>
          <w:rFonts w:hint="eastAsia" w:ascii="仿宋" w:hAnsi="仿宋" w:eastAsia="仿宋"/>
          <w:color w:val="auto"/>
          <w:sz w:val="32"/>
          <w:szCs w:val="32"/>
          <w:highlight w:val="none"/>
          <w:lang w:val="en-US" w:eastAsia="zh-CN"/>
        </w:rPr>
        <w:t>100</w:t>
      </w:r>
      <w:r>
        <w:rPr>
          <w:rFonts w:ascii="仿宋" w:hAnsi="仿宋" w:eastAsia="仿宋"/>
          <w:color w:val="auto"/>
          <w:sz w:val="32"/>
          <w:szCs w:val="32"/>
          <w:highlight w:val="none"/>
        </w:rPr>
        <w:t>%</w:t>
      </w:r>
      <w:r>
        <w:rPr>
          <w:rFonts w:hint="eastAsia" w:ascii="仿宋" w:hAnsi="仿宋" w:eastAsia="仿宋"/>
          <w:color w:val="auto"/>
          <w:sz w:val="32"/>
          <w:szCs w:val="32"/>
          <w:highlight w:val="none"/>
        </w:rPr>
        <w:t>。具体情况如下：</w:t>
      </w:r>
    </w:p>
    <w:p>
      <w:pPr>
        <w:pStyle w:val="6"/>
        <w:rPr>
          <w:rFonts w:hint="eastAsia" w:ascii="仿宋" w:hAnsi="仿宋" w:eastAsia="仿宋"/>
          <w:color w:val="auto"/>
          <w:sz w:val="32"/>
          <w:szCs w:val="32"/>
          <w:highlight w:val="none"/>
        </w:rPr>
      </w:pPr>
      <w:r>
        <w:rPr>
          <w:highlight w:val="none"/>
        </w:rPr>
        <w:drawing>
          <wp:anchor distT="0" distB="0" distL="114300" distR="114300" simplePos="0" relativeHeight="251665408" behindDoc="0" locked="0" layoutInCell="1" allowOverlap="1">
            <wp:simplePos x="0" y="0"/>
            <wp:positionH relativeFrom="column">
              <wp:posOffset>154305</wp:posOffset>
            </wp:positionH>
            <wp:positionV relativeFrom="paragraph">
              <wp:posOffset>83185</wp:posOffset>
            </wp:positionV>
            <wp:extent cx="2855595" cy="1457960"/>
            <wp:effectExtent l="4445" t="4445" r="16510" b="23495"/>
            <wp:wrapNone/>
            <wp:docPr id="1067" name="图表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anchor>
        </w:drawing>
      </w:r>
    </w:p>
    <w:p>
      <w:pPr>
        <w:rPr>
          <w:rFonts w:hint="eastAsia" w:ascii="仿宋" w:hAnsi="仿宋" w:eastAsia="仿宋"/>
          <w:color w:val="auto"/>
          <w:sz w:val="32"/>
          <w:szCs w:val="32"/>
          <w:highlight w:val="none"/>
        </w:rPr>
      </w:pPr>
    </w:p>
    <w:p>
      <w:pPr>
        <w:pStyle w:val="6"/>
        <w:rPr>
          <w:rFonts w:hint="eastAsia" w:ascii="仿宋" w:hAnsi="仿宋" w:eastAsia="仿宋"/>
          <w:color w:val="auto"/>
          <w:sz w:val="32"/>
          <w:szCs w:val="32"/>
          <w:highlight w:val="none"/>
        </w:rPr>
      </w:pPr>
    </w:p>
    <w:p>
      <w:pPr>
        <w:rPr>
          <w:rFonts w:hint="eastAsia"/>
          <w:highlight w:val="none"/>
        </w:rPr>
      </w:pPr>
    </w:p>
    <w:p>
      <w:pPr>
        <w:pageBreakBefore w:val="0"/>
        <w:kinsoku/>
        <w:wordWrap/>
        <w:overflowPunct/>
        <w:topLinePunct w:val="0"/>
        <w:bidi w:val="0"/>
        <w:spacing w:line="576" w:lineRule="exact"/>
        <w:textAlignment w:val="auto"/>
        <w:rPr>
          <w:rFonts w:hint="eastAsia" w:ascii="仿宋" w:hAnsi="仿宋" w:eastAsia="仿宋"/>
          <w:color w:val="auto"/>
          <w:sz w:val="32"/>
          <w:szCs w:val="32"/>
          <w:highlight w:val="none"/>
        </w:rPr>
      </w:pPr>
      <w:r>
        <w:rPr>
          <w:rFonts w:hint="eastAsia" w:ascii="仿宋" w:hAnsi="仿宋" w:eastAsia="仿宋"/>
          <w:color w:val="auto"/>
          <w:sz w:val="32"/>
          <w:szCs w:val="32"/>
          <w:highlight w:val="none"/>
        </w:rPr>
        <w:t>（图7：“三公”经费财政拨款支出结构）</w:t>
      </w:r>
    </w:p>
    <w:p>
      <w:pPr>
        <w:numPr>
          <w:ilvl w:val="0"/>
          <w:numId w:val="0"/>
        </w:numPr>
        <w:spacing w:line="600" w:lineRule="exact"/>
        <w:ind w:firstLine="643" w:firstLineChars="200"/>
        <w:rPr>
          <w:rFonts w:ascii="仿宋_GB2312" w:eastAsia="仿宋_GB2312"/>
          <w:b/>
          <w:color w:val="auto"/>
          <w:sz w:val="32"/>
          <w:szCs w:val="32"/>
          <w:highlight w:val="none"/>
        </w:rPr>
      </w:pPr>
      <w:r>
        <w:rPr>
          <w:rFonts w:ascii="仿宋_GB2312" w:eastAsia="仿宋_GB2312"/>
          <w:b/>
          <w:color w:val="auto"/>
          <w:sz w:val="32"/>
          <w:szCs w:val="32"/>
          <w:highlight w:val="none"/>
        </w:rPr>
        <w:t>1.</w:t>
      </w:r>
      <w:r>
        <w:rPr>
          <w:rFonts w:hint="eastAsia" w:ascii="仿宋_GB2312" w:eastAsia="仿宋_GB2312"/>
          <w:b/>
          <w:color w:val="000000"/>
          <w:sz w:val="32"/>
          <w:szCs w:val="32"/>
          <w:highlight w:val="none"/>
        </w:rPr>
        <w:t>因公出国（境）经费支出</w:t>
      </w:r>
      <w:r>
        <w:rPr>
          <w:rFonts w:hint="eastAsia" w:ascii="仿宋_GB2312" w:eastAsia="仿宋_GB2312"/>
          <w:color w:val="000000"/>
          <w:sz w:val="32"/>
          <w:szCs w:val="32"/>
          <w:highlight w:val="none"/>
          <w:lang w:val="en-US" w:eastAsia="zh-CN"/>
        </w:rPr>
        <w:t>0</w:t>
      </w:r>
      <w:r>
        <w:rPr>
          <w:rFonts w:hint="eastAsia" w:ascii="仿宋_GB2312" w:eastAsia="仿宋_GB2312"/>
          <w:color w:val="000000"/>
          <w:sz w:val="32"/>
          <w:szCs w:val="32"/>
          <w:highlight w:val="none"/>
        </w:rPr>
        <w:t>万元，</w:t>
      </w:r>
      <w:r>
        <w:rPr>
          <w:rStyle w:val="18"/>
          <w:rFonts w:hint="eastAsia" w:ascii="仿宋" w:hAnsi="仿宋" w:eastAsia="仿宋"/>
          <w:b w:val="0"/>
          <w:bCs/>
          <w:color w:val="000000"/>
          <w:sz w:val="32"/>
          <w:szCs w:val="32"/>
          <w:highlight w:val="none"/>
        </w:rPr>
        <w:t>完成预算</w:t>
      </w:r>
      <w:r>
        <w:rPr>
          <w:rStyle w:val="18"/>
          <w:rFonts w:hint="eastAsia" w:ascii="仿宋" w:hAnsi="仿宋" w:eastAsia="仿宋"/>
          <w:b w:val="0"/>
          <w:bCs/>
          <w:color w:val="000000"/>
          <w:sz w:val="32"/>
          <w:szCs w:val="32"/>
          <w:highlight w:val="none"/>
          <w:lang w:val="en-US" w:eastAsia="zh-CN"/>
        </w:rPr>
        <w:t>0</w:t>
      </w:r>
      <w:r>
        <w:rPr>
          <w:rStyle w:val="18"/>
          <w:rFonts w:ascii="仿宋" w:hAnsi="仿宋" w:eastAsia="仿宋"/>
          <w:b w:val="0"/>
          <w:bCs/>
          <w:color w:val="000000"/>
          <w:sz w:val="32"/>
          <w:szCs w:val="32"/>
          <w:highlight w:val="none"/>
        </w:rPr>
        <w:t>%</w:t>
      </w:r>
      <w:r>
        <w:rPr>
          <w:rStyle w:val="18"/>
          <w:rFonts w:hint="eastAsia" w:ascii="仿宋" w:hAnsi="仿宋" w:eastAsia="仿宋"/>
          <w:b w:val="0"/>
          <w:bCs/>
          <w:color w:val="000000"/>
          <w:sz w:val="32"/>
          <w:szCs w:val="32"/>
          <w:highlight w:val="none"/>
        </w:rPr>
        <w:t>。</w:t>
      </w:r>
      <w:r>
        <w:rPr>
          <w:rFonts w:hint="eastAsia" w:ascii="仿宋_GB2312" w:eastAsia="仿宋_GB2312"/>
          <w:color w:val="000000"/>
          <w:sz w:val="32"/>
          <w:szCs w:val="32"/>
          <w:highlight w:val="none"/>
        </w:rPr>
        <w:t>全年安排因公出国（境）团组</w:t>
      </w:r>
      <w:r>
        <w:rPr>
          <w:rFonts w:hint="eastAsia" w:ascii="仿宋_GB2312" w:eastAsia="仿宋_GB2312"/>
          <w:color w:val="000000"/>
          <w:sz w:val="32"/>
          <w:szCs w:val="32"/>
          <w:highlight w:val="none"/>
          <w:lang w:val="en-US" w:eastAsia="zh-CN"/>
        </w:rPr>
        <w:t>0</w:t>
      </w:r>
      <w:r>
        <w:rPr>
          <w:rFonts w:hint="eastAsia" w:ascii="仿宋_GB2312" w:eastAsia="仿宋_GB2312"/>
          <w:color w:val="000000"/>
          <w:sz w:val="32"/>
          <w:szCs w:val="32"/>
          <w:highlight w:val="none"/>
        </w:rPr>
        <w:t>次，出国（境）</w:t>
      </w:r>
      <w:r>
        <w:rPr>
          <w:rFonts w:hint="eastAsia" w:ascii="仿宋_GB2312" w:eastAsia="仿宋_GB2312"/>
          <w:color w:val="000000"/>
          <w:sz w:val="32"/>
          <w:szCs w:val="32"/>
          <w:highlight w:val="none"/>
          <w:lang w:val="en-US" w:eastAsia="zh-CN"/>
        </w:rPr>
        <w:t>0</w:t>
      </w:r>
      <w:r>
        <w:rPr>
          <w:rFonts w:hint="eastAsia" w:ascii="仿宋_GB2312" w:eastAsia="仿宋_GB2312"/>
          <w:color w:val="000000"/>
          <w:sz w:val="32"/>
          <w:szCs w:val="32"/>
          <w:highlight w:val="none"/>
        </w:rPr>
        <w:t>人。因公出国（境）支出决算</w:t>
      </w:r>
      <w:r>
        <w:rPr>
          <w:rFonts w:hint="eastAsia" w:ascii="仿宋_GB2312" w:eastAsia="仿宋_GB2312"/>
          <w:color w:val="000000"/>
          <w:sz w:val="32"/>
          <w:szCs w:val="32"/>
          <w:highlight w:val="none"/>
          <w:lang w:eastAsia="zh-CN"/>
        </w:rPr>
        <w:t>与2021年持平。</w:t>
      </w:r>
    </w:p>
    <w:p>
      <w:pPr>
        <w:pageBreakBefore w:val="0"/>
        <w:kinsoku/>
        <w:wordWrap/>
        <w:overflowPunct/>
        <w:topLinePunct w:val="0"/>
        <w:bidi w:val="0"/>
        <w:spacing w:line="576" w:lineRule="exact"/>
        <w:ind w:firstLine="640"/>
        <w:textAlignment w:val="auto"/>
        <w:rPr>
          <w:rFonts w:ascii="仿宋_GB2312" w:eastAsia="仿宋_GB2312"/>
          <w:b/>
          <w:color w:val="auto"/>
          <w:sz w:val="32"/>
          <w:szCs w:val="32"/>
          <w:highlight w:val="none"/>
        </w:rPr>
      </w:pPr>
      <w:r>
        <w:rPr>
          <w:rFonts w:ascii="仿宋_GB2312" w:eastAsia="仿宋_GB2312"/>
          <w:b/>
          <w:color w:val="auto"/>
          <w:sz w:val="32"/>
          <w:szCs w:val="32"/>
          <w:highlight w:val="none"/>
        </w:rPr>
        <w:t>2.</w:t>
      </w:r>
      <w:r>
        <w:rPr>
          <w:rFonts w:hint="eastAsia" w:ascii="仿宋_GB2312" w:eastAsia="仿宋_GB2312"/>
          <w:b/>
          <w:color w:val="000000"/>
          <w:sz w:val="32"/>
          <w:szCs w:val="32"/>
          <w:highlight w:val="none"/>
        </w:rPr>
        <w:t>公务用车购置及运行维护费支出</w:t>
      </w:r>
      <w:r>
        <w:rPr>
          <w:rFonts w:hint="eastAsia" w:ascii="仿宋_GB2312" w:eastAsia="仿宋_GB2312"/>
          <w:color w:val="000000"/>
          <w:sz w:val="32"/>
          <w:szCs w:val="32"/>
          <w:highlight w:val="none"/>
          <w:lang w:val="en-US" w:eastAsia="zh-CN"/>
        </w:rPr>
        <w:t>0</w:t>
      </w:r>
      <w:r>
        <w:rPr>
          <w:rFonts w:hint="eastAsia" w:ascii="仿宋_GB2312" w:eastAsia="仿宋_GB2312"/>
          <w:color w:val="000000"/>
          <w:sz w:val="32"/>
          <w:szCs w:val="32"/>
          <w:highlight w:val="none"/>
        </w:rPr>
        <w:t>万元</w:t>
      </w:r>
      <w:r>
        <w:rPr>
          <w:rFonts w:ascii="仿宋_GB2312" w:eastAsia="仿宋_GB2312"/>
          <w:color w:val="000000"/>
          <w:sz w:val="32"/>
          <w:szCs w:val="32"/>
          <w:highlight w:val="none"/>
        </w:rPr>
        <w:t>,</w:t>
      </w:r>
      <w:r>
        <w:rPr>
          <w:rStyle w:val="18"/>
          <w:rFonts w:hint="eastAsia" w:ascii="仿宋" w:hAnsi="仿宋" w:eastAsia="仿宋"/>
          <w:b w:val="0"/>
          <w:bCs/>
          <w:color w:val="000000"/>
          <w:sz w:val="32"/>
          <w:szCs w:val="32"/>
          <w:highlight w:val="none"/>
        </w:rPr>
        <w:t>完成预算</w:t>
      </w:r>
      <w:r>
        <w:rPr>
          <w:rStyle w:val="18"/>
          <w:rFonts w:hint="eastAsia" w:ascii="仿宋" w:hAnsi="仿宋" w:eastAsia="仿宋"/>
          <w:b w:val="0"/>
          <w:bCs/>
          <w:color w:val="000000"/>
          <w:sz w:val="32"/>
          <w:szCs w:val="32"/>
          <w:highlight w:val="none"/>
          <w:lang w:val="en-US" w:eastAsia="zh-CN"/>
        </w:rPr>
        <w:t>0</w:t>
      </w:r>
      <w:r>
        <w:rPr>
          <w:rStyle w:val="18"/>
          <w:rFonts w:ascii="仿宋" w:hAnsi="仿宋" w:eastAsia="仿宋"/>
          <w:b w:val="0"/>
          <w:bCs/>
          <w:color w:val="000000"/>
          <w:sz w:val="32"/>
          <w:szCs w:val="32"/>
          <w:highlight w:val="none"/>
        </w:rPr>
        <w:t>%</w:t>
      </w:r>
      <w:r>
        <w:rPr>
          <w:rStyle w:val="18"/>
          <w:rFonts w:hint="eastAsia" w:ascii="仿宋" w:hAnsi="仿宋" w:eastAsia="仿宋"/>
          <w:b w:val="0"/>
          <w:bCs/>
          <w:color w:val="000000"/>
          <w:sz w:val="32"/>
          <w:szCs w:val="32"/>
          <w:highlight w:val="none"/>
        </w:rPr>
        <w:t>。</w:t>
      </w:r>
      <w:r>
        <w:rPr>
          <w:rFonts w:hint="eastAsia" w:ascii="仿宋_GB2312" w:eastAsia="仿宋_GB2312"/>
          <w:color w:val="000000"/>
          <w:sz w:val="32"/>
          <w:szCs w:val="32"/>
          <w:highlight w:val="none"/>
        </w:rPr>
        <w:t>公务用车购置及运行维护费支出决算</w:t>
      </w:r>
      <w:r>
        <w:rPr>
          <w:rFonts w:hint="eastAsia" w:ascii="仿宋_GB2312" w:eastAsia="仿宋_GB2312"/>
          <w:color w:val="000000"/>
          <w:sz w:val="32"/>
          <w:szCs w:val="32"/>
          <w:highlight w:val="none"/>
          <w:lang w:eastAsia="zh-CN"/>
        </w:rPr>
        <w:t>与</w:t>
      </w:r>
      <w:r>
        <w:rPr>
          <w:rFonts w:hint="eastAsia" w:ascii="仿宋_GB2312" w:eastAsia="仿宋_GB2312"/>
          <w:color w:val="000000"/>
          <w:sz w:val="32"/>
          <w:szCs w:val="32"/>
          <w:highlight w:val="none"/>
          <w:lang w:val="en-US" w:eastAsia="zh-CN"/>
        </w:rPr>
        <w:t>2021年持平。</w:t>
      </w:r>
    </w:p>
    <w:p>
      <w:pPr>
        <w:spacing w:line="600" w:lineRule="exact"/>
        <w:ind w:firstLine="640" w:firstLineChars="200"/>
        <w:rPr>
          <w:rFonts w:ascii="仿宋_GB2312" w:eastAsia="仿宋_GB2312"/>
          <w:b/>
          <w:color w:val="000000"/>
          <w:sz w:val="32"/>
          <w:szCs w:val="32"/>
          <w:highlight w:val="none"/>
        </w:rPr>
      </w:pPr>
      <w:r>
        <w:rPr>
          <w:rFonts w:hint="eastAsia" w:ascii="仿宋_GB2312" w:eastAsia="仿宋_GB2312"/>
          <w:color w:val="000000"/>
          <w:sz w:val="32"/>
          <w:szCs w:val="32"/>
          <w:highlight w:val="none"/>
        </w:rPr>
        <w:t>其中：</w:t>
      </w:r>
      <w:r>
        <w:rPr>
          <w:rFonts w:hint="eastAsia" w:ascii="仿宋_GB2312" w:eastAsia="仿宋_GB2312"/>
          <w:b/>
          <w:color w:val="000000"/>
          <w:sz w:val="32"/>
          <w:szCs w:val="32"/>
          <w:highlight w:val="none"/>
        </w:rPr>
        <w:t>公务用车购置支出</w:t>
      </w:r>
      <w:r>
        <w:rPr>
          <w:rFonts w:hint="eastAsia" w:ascii="仿宋_GB2312" w:eastAsia="仿宋_GB2312"/>
          <w:color w:val="000000"/>
          <w:sz w:val="32"/>
          <w:szCs w:val="32"/>
          <w:highlight w:val="none"/>
          <w:lang w:val="en-US" w:eastAsia="zh-CN"/>
        </w:rPr>
        <w:t>0</w:t>
      </w:r>
      <w:r>
        <w:rPr>
          <w:rFonts w:hint="eastAsia" w:ascii="仿宋_GB2312" w:eastAsia="仿宋_GB2312"/>
          <w:color w:val="000000"/>
          <w:sz w:val="32"/>
          <w:szCs w:val="32"/>
          <w:highlight w:val="none"/>
        </w:rPr>
        <w:t>万元。全年按规定更新购置公务用车</w:t>
      </w:r>
      <w:r>
        <w:rPr>
          <w:rFonts w:hint="eastAsia" w:ascii="仿宋_GB2312" w:eastAsia="仿宋_GB2312"/>
          <w:color w:val="000000"/>
          <w:sz w:val="32"/>
          <w:szCs w:val="32"/>
          <w:highlight w:val="none"/>
          <w:lang w:val="en-US" w:eastAsia="zh-CN"/>
        </w:rPr>
        <w:t>0</w:t>
      </w:r>
      <w:r>
        <w:rPr>
          <w:rFonts w:hint="eastAsia" w:ascii="仿宋_GB2312" w:eastAsia="仿宋_GB2312"/>
          <w:color w:val="000000"/>
          <w:sz w:val="32"/>
          <w:szCs w:val="32"/>
          <w:highlight w:val="none"/>
        </w:rPr>
        <w:t>辆，其中：轿车</w:t>
      </w:r>
      <w:r>
        <w:rPr>
          <w:rFonts w:hint="eastAsia" w:ascii="仿宋_GB2312" w:eastAsia="仿宋_GB2312"/>
          <w:color w:val="000000"/>
          <w:sz w:val="32"/>
          <w:szCs w:val="32"/>
          <w:highlight w:val="none"/>
          <w:lang w:val="en-US" w:eastAsia="zh-CN"/>
        </w:rPr>
        <w:t>0</w:t>
      </w:r>
      <w:r>
        <w:rPr>
          <w:rFonts w:hint="eastAsia" w:ascii="仿宋_GB2312" w:eastAsia="仿宋_GB2312"/>
          <w:color w:val="000000"/>
          <w:sz w:val="32"/>
          <w:szCs w:val="32"/>
          <w:highlight w:val="none"/>
        </w:rPr>
        <w:t>辆、金额</w:t>
      </w:r>
      <w:r>
        <w:rPr>
          <w:rFonts w:hint="eastAsia" w:ascii="仿宋_GB2312" w:eastAsia="仿宋_GB2312"/>
          <w:color w:val="000000"/>
          <w:sz w:val="32"/>
          <w:szCs w:val="32"/>
          <w:highlight w:val="none"/>
          <w:lang w:val="en-US" w:eastAsia="zh-CN"/>
        </w:rPr>
        <w:t>0</w:t>
      </w:r>
      <w:r>
        <w:rPr>
          <w:rFonts w:hint="eastAsia" w:ascii="仿宋_GB2312" w:eastAsia="仿宋_GB2312"/>
          <w:color w:val="000000"/>
          <w:sz w:val="32"/>
          <w:szCs w:val="32"/>
          <w:highlight w:val="none"/>
        </w:rPr>
        <w:t>万元，越野车</w:t>
      </w:r>
      <w:r>
        <w:rPr>
          <w:rFonts w:hint="eastAsia" w:ascii="仿宋_GB2312" w:eastAsia="仿宋_GB2312"/>
          <w:color w:val="000000"/>
          <w:sz w:val="32"/>
          <w:szCs w:val="32"/>
          <w:highlight w:val="none"/>
          <w:lang w:val="en-US" w:eastAsia="zh-CN"/>
        </w:rPr>
        <w:t>0</w:t>
      </w:r>
      <w:r>
        <w:rPr>
          <w:rFonts w:hint="eastAsia" w:ascii="仿宋_GB2312" w:eastAsia="仿宋_GB2312"/>
          <w:color w:val="000000"/>
          <w:sz w:val="32"/>
          <w:szCs w:val="32"/>
          <w:highlight w:val="none"/>
        </w:rPr>
        <w:t>辆、金额</w:t>
      </w:r>
      <w:r>
        <w:rPr>
          <w:rFonts w:hint="eastAsia" w:ascii="仿宋_GB2312" w:eastAsia="仿宋_GB2312"/>
          <w:color w:val="000000"/>
          <w:sz w:val="32"/>
          <w:szCs w:val="32"/>
          <w:highlight w:val="none"/>
          <w:lang w:val="en-US" w:eastAsia="zh-CN"/>
        </w:rPr>
        <w:t>0</w:t>
      </w:r>
      <w:r>
        <w:rPr>
          <w:rFonts w:hint="eastAsia" w:ascii="仿宋_GB2312" w:eastAsia="仿宋_GB2312"/>
          <w:color w:val="000000"/>
          <w:sz w:val="32"/>
          <w:szCs w:val="32"/>
          <w:highlight w:val="none"/>
        </w:rPr>
        <w:t>万元，载客汽车</w:t>
      </w:r>
      <w:r>
        <w:rPr>
          <w:rFonts w:hint="eastAsia" w:ascii="仿宋_GB2312" w:eastAsia="仿宋_GB2312"/>
          <w:color w:val="000000"/>
          <w:sz w:val="32"/>
          <w:szCs w:val="32"/>
          <w:highlight w:val="none"/>
          <w:lang w:val="en-US" w:eastAsia="zh-CN"/>
        </w:rPr>
        <w:t>0</w:t>
      </w:r>
      <w:r>
        <w:rPr>
          <w:rFonts w:hint="eastAsia" w:ascii="仿宋_GB2312" w:eastAsia="仿宋_GB2312"/>
          <w:color w:val="000000"/>
          <w:sz w:val="32"/>
          <w:szCs w:val="32"/>
          <w:highlight w:val="none"/>
        </w:rPr>
        <w:t>辆、金额</w:t>
      </w:r>
      <w:r>
        <w:rPr>
          <w:rFonts w:hint="eastAsia" w:ascii="仿宋_GB2312" w:eastAsia="仿宋_GB2312"/>
          <w:color w:val="000000"/>
          <w:sz w:val="32"/>
          <w:szCs w:val="32"/>
          <w:highlight w:val="none"/>
          <w:lang w:val="en-US" w:eastAsia="zh-CN"/>
        </w:rPr>
        <w:t>0</w:t>
      </w:r>
      <w:r>
        <w:rPr>
          <w:rFonts w:hint="eastAsia" w:ascii="仿宋_GB2312" w:eastAsia="仿宋_GB2312"/>
          <w:color w:val="000000"/>
          <w:sz w:val="32"/>
          <w:szCs w:val="32"/>
          <w:highlight w:val="none"/>
        </w:rPr>
        <w:t>万元。截至</w:t>
      </w:r>
      <w:r>
        <w:rPr>
          <w:rFonts w:hint="eastAsia" w:ascii="仿宋_GB2312" w:eastAsia="仿宋_GB2312"/>
          <w:color w:val="000000"/>
          <w:sz w:val="32"/>
          <w:szCs w:val="32"/>
          <w:highlight w:val="none"/>
          <w:lang w:eastAsia="zh-CN"/>
        </w:rPr>
        <w:t>2022年</w:t>
      </w:r>
      <w:r>
        <w:rPr>
          <w:rFonts w:ascii="仿宋_GB2312" w:eastAsia="仿宋_GB2312"/>
          <w:color w:val="000000"/>
          <w:sz w:val="32"/>
          <w:szCs w:val="32"/>
          <w:highlight w:val="none"/>
        </w:rPr>
        <w:t>12</w:t>
      </w:r>
      <w:r>
        <w:rPr>
          <w:rFonts w:hint="eastAsia" w:ascii="仿宋_GB2312" w:eastAsia="仿宋_GB2312"/>
          <w:color w:val="000000"/>
          <w:sz w:val="32"/>
          <w:szCs w:val="32"/>
          <w:highlight w:val="none"/>
        </w:rPr>
        <w:t>月底，单位共有公务用车</w:t>
      </w:r>
      <w:r>
        <w:rPr>
          <w:rFonts w:hint="eastAsia" w:ascii="仿宋_GB2312" w:eastAsia="仿宋_GB2312"/>
          <w:color w:val="000000"/>
          <w:sz w:val="32"/>
          <w:szCs w:val="32"/>
          <w:highlight w:val="none"/>
          <w:lang w:val="en-US" w:eastAsia="zh-CN"/>
        </w:rPr>
        <w:t>0</w:t>
      </w:r>
      <w:r>
        <w:rPr>
          <w:rFonts w:hint="eastAsia" w:ascii="仿宋_GB2312" w:eastAsia="仿宋_GB2312"/>
          <w:color w:val="000000"/>
          <w:sz w:val="32"/>
          <w:szCs w:val="32"/>
          <w:highlight w:val="none"/>
        </w:rPr>
        <w:t>辆，其中：轿车</w:t>
      </w:r>
      <w:r>
        <w:rPr>
          <w:rFonts w:hint="eastAsia" w:ascii="仿宋_GB2312" w:eastAsia="仿宋_GB2312"/>
          <w:color w:val="000000"/>
          <w:sz w:val="32"/>
          <w:szCs w:val="32"/>
          <w:highlight w:val="none"/>
          <w:lang w:val="en-US" w:eastAsia="zh-CN"/>
        </w:rPr>
        <w:t>0</w:t>
      </w:r>
      <w:r>
        <w:rPr>
          <w:rFonts w:hint="eastAsia" w:ascii="仿宋_GB2312" w:eastAsia="仿宋_GB2312"/>
          <w:color w:val="000000"/>
          <w:sz w:val="32"/>
          <w:szCs w:val="32"/>
          <w:highlight w:val="none"/>
        </w:rPr>
        <w:t>辆、越野车</w:t>
      </w:r>
      <w:r>
        <w:rPr>
          <w:rFonts w:hint="eastAsia" w:ascii="仿宋_GB2312" w:eastAsia="仿宋_GB2312"/>
          <w:color w:val="000000"/>
          <w:sz w:val="32"/>
          <w:szCs w:val="32"/>
          <w:highlight w:val="none"/>
          <w:lang w:val="en-US" w:eastAsia="zh-CN"/>
        </w:rPr>
        <w:t>0</w:t>
      </w:r>
      <w:r>
        <w:rPr>
          <w:rFonts w:hint="eastAsia" w:ascii="仿宋_GB2312" w:eastAsia="仿宋_GB2312"/>
          <w:color w:val="000000"/>
          <w:sz w:val="32"/>
          <w:szCs w:val="32"/>
          <w:highlight w:val="none"/>
        </w:rPr>
        <w:t>辆、载客汽车</w:t>
      </w:r>
      <w:r>
        <w:rPr>
          <w:rFonts w:hint="eastAsia" w:ascii="仿宋_GB2312" w:eastAsia="仿宋_GB2312"/>
          <w:color w:val="000000"/>
          <w:sz w:val="32"/>
          <w:szCs w:val="32"/>
          <w:highlight w:val="none"/>
          <w:lang w:val="en-US" w:eastAsia="zh-CN"/>
        </w:rPr>
        <w:t>0</w:t>
      </w:r>
      <w:r>
        <w:rPr>
          <w:rFonts w:hint="eastAsia" w:ascii="仿宋_GB2312" w:eastAsia="仿宋_GB2312"/>
          <w:color w:val="000000"/>
          <w:sz w:val="32"/>
          <w:szCs w:val="32"/>
          <w:highlight w:val="none"/>
        </w:rPr>
        <w:t>辆。</w:t>
      </w:r>
    </w:p>
    <w:p>
      <w:pPr>
        <w:spacing w:line="600" w:lineRule="exact"/>
        <w:ind w:firstLine="640"/>
        <w:rPr>
          <w:rFonts w:hint="eastAsia" w:ascii="仿宋_GB2312" w:eastAsia="仿宋_GB2312"/>
          <w:color w:val="000000"/>
          <w:sz w:val="32"/>
          <w:szCs w:val="32"/>
          <w:highlight w:val="none"/>
        </w:rPr>
      </w:pPr>
      <w:bookmarkStart w:id="63" w:name="_Toc15396610"/>
      <w:bookmarkStart w:id="64" w:name="_Toc15377218"/>
      <w:r>
        <w:rPr>
          <w:rFonts w:hint="eastAsia" w:ascii="仿宋_GB2312" w:eastAsia="仿宋_GB2312"/>
          <w:b/>
          <w:color w:val="000000"/>
          <w:sz w:val="32"/>
          <w:szCs w:val="32"/>
          <w:highlight w:val="none"/>
        </w:rPr>
        <w:t>公务用车运行维护费支出</w:t>
      </w:r>
      <w:r>
        <w:rPr>
          <w:rFonts w:hint="eastAsia" w:ascii="仿宋_GB2312" w:eastAsia="仿宋_GB2312"/>
          <w:color w:val="000000"/>
          <w:sz w:val="32"/>
          <w:szCs w:val="32"/>
          <w:highlight w:val="none"/>
          <w:lang w:val="en-US" w:eastAsia="zh-CN"/>
        </w:rPr>
        <w:t>0</w:t>
      </w:r>
      <w:r>
        <w:rPr>
          <w:rFonts w:hint="eastAsia" w:ascii="仿宋_GB2312" w:eastAsia="仿宋_GB2312"/>
          <w:color w:val="000000"/>
          <w:sz w:val="32"/>
          <w:szCs w:val="32"/>
          <w:highlight w:val="none"/>
        </w:rPr>
        <w:t>万元。</w:t>
      </w:r>
    </w:p>
    <w:p>
      <w:pPr>
        <w:spacing w:line="600" w:lineRule="exact"/>
        <w:ind w:firstLine="640"/>
        <w:rPr>
          <w:rFonts w:ascii="仿宋_GB2312" w:eastAsia="仿宋_GB2312"/>
          <w:color w:val="000000"/>
          <w:sz w:val="32"/>
          <w:szCs w:val="32"/>
          <w:highlight w:val="none"/>
        </w:rPr>
      </w:pPr>
      <w:r>
        <w:rPr>
          <w:rFonts w:ascii="仿宋_GB2312" w:eastAsia="仿宋_GB2312"/>
          <w:b/>
          <w:color w:val="000000"/>
          <w:sz w:val="32"/>
          <w:szCs w:val="32"/>
          <w:highlight w:val="none"/>
        </w:rPr>
        <w:t>3.</w:t>
      </w:r>
      <w:r>
        <w:rPr>
          <w:rFonts w:hint="eastAsia" w:ascii="仿宋_GB2312" w:eastAsia="仿宋_GB2312"/>
          <w:b/>
          <w:color w:val="000000"/>
          <w:sz w:val="32"/>
          <w:szCs w:val="32"/>
          <w:highlight w:val="none"/>
        </w:rPr>
        <w:t>公务接待费支出</w:t>
      </w:r>
      <w:r>
        <w:rPr>
          <w:rFonts w:hint="eastAsia" w:ascii="仿宋_GB2312" w:eastAsia="仿宋_GB2312"/>
          <w:color w:val="000000"/>
          <w:sz w:val="32"/>
          <w:szCs w:val="32"/>
          <w:highlight w:val="none"/>
          <w:lang w:val="en-US" w:eastAsia="zh-CN"/>
        </w:rPr>
        <w:t>9.41</w:t>
      </w:r>
      <w:r>
        <w:rPr>
          <w:rFonts w:hint="eastAsia" w:ascii="仿宋_GB2312" w:eastAsia="仿宋_GB2312"/>
          <w:color w:val="000000"/>
          <w:sz w:val="32"/>
          <w:szCs w:val="32"/>
          <w:highlight w:val="none"/>
        </w:rPr>
        <w:t>万元，</w:t>
      </w:r>
      <w:r>
        <w:rPr>
          <w:rStyle w:val="18"/>
          <w:rFonts w:hint="eastAsia" w:ascii="仿宋" w:hAnsi="仿宋" w:eastAsia="仿宋"/>
          <w:b w:val="0"/>
          <w:bCs/>
          <w:color w:val="000000"/>
          <w:sz w:val="32"/>
          <w:szCs w:val="32"/>
          <w:highlight w:val="none"/>
        </w:rPr>
        <w:t>完成预算</w:t>
      </w:r>
      <w:r>
        <w:rPr>
          <w:rStyle w:val="18"/>
          <w:rFonts w:hint="eastAsia" w:ascii="仿宋" w:hAnsi="仿宋" w:eastAsia="仿宋"/>
          <w:b w:val="0"/>
          <w:bCs/>
          <w:color w:val="000000"/>
          <w:sz w:val="32"/>
          <w:szCs w:val="32"/>
          <w:highlight w:val="none"/>
          <w:lang w:val="en-US" w:eastAsia="zh-CN"/>
        </w:rPr>
        <w:t>79.48</w:t>
      </w:r>
      <w:r>
        <w:rPr>
          <w:rStyle w:val="18"/>
          <w:rFonts w:ascii="仿宋" w:hAnsi="仿宋" w:eastAsia="仿宋"/>
          <w:b w:val="0"/>
          <w:bCs/>
          <w:color w:val="000000"/>
          <w:sz w:val="32"/>
          <w:szCs w:val="32"/>
          <w:highlight w:val="none"/>
        </w:rPr>
        <w:t>%</w:t>
      </w:r>
      <w:r>
        <w:rPr>
          <w:rStyle w:val="18"/>
          <w:rFonts w:hint="eastAsia" w:ascii="仿宋" w:hAnsi="仿宋" w:eastAsia="仿宋"/>
          <w:b w:val="0"/>
          <w:bCs/>
          <w:color w:val="000000"/>
          <w:sz w:val="32"/>
          <w:szCs w:val="32"/>
          <w:highlight w:val="none"/>
        </w:rPr>
        <w:t>。</w:t>
      </w:r>
      <w:r>
        <w:rPr>
          <w:rFonts w:hint="eastAsia" w:ascii="仿宋_GB2312" w:eastAsia="仿宋_GB2312"/>
          <w:color w:val="000000"/>
          <w:sz w:val="32"/>
          <w:szCs w:val="32"/>
          <w:highlight w:val="none"/>
        </w:rPr>
        <w:t>公务接待费支出决算比</w:t>
      </w:r>
      <w:r>
        <w:rPr>
          <w:rFonts w:hint="eastAsia" w:ascii="仿宋_GB2312" w:eastAsia="仿宋_GB2312"/>
          <w:color w:val="000000"/>
          <w:sz w:val="32"/>
          <w:szCs w:val="32"/>
          <w:highlight w:val="none"/>
          <w:lang w:eastAsia="zh-CN"/>
        </w:rPr>
        <w:t>2021年</w:t>
      </w:r>
      <w:r>
        <w:rPr>
          <w:rFonts w:hint="eastAsia" w:ascii="仿宋_GB2312" w:eastAsia="仿宋_GB2312"/>
          <w:color w:val="000000"/>
          <w:sz w:val="32"/>
          <w:szCs w:val="32"/>
          <w:highlight w:val="none"/>
        </w:rPr>
        <w:t>减少</w:t>
      </w:r>
      <w:r>
        <w:rPr>
          <w:rFonts w:hint="eastAsia" w:ascii="仿宋_GB2312" w:eastAsia="仿宋_GB2312"/>
          <w:color w:val="000000"/>
          <w:sz w:val="32"/>
          <w:szCs w:val="32"/>
          <w:highlight w:val="none"/>
          <w:lang w:val="en-US" w:eastAsia="zh-CN"/>
        </w:rPr>
        <w:t>1.68</w:t>
      </w:r>
      <w:r>
        <w:rPr>
          <w:rFonts w:hint="eastAsia" w:ascii="仿宋_GB2312" w:eastAsia="仿宋_GB2312"/>
          <w:color w:val="000000"/>
          <w:sz w:val="32"/>
          <w:szCs w:val="32"/>
          <w:highlight w:val="none"/>
        </w:rPr>
        <w:t>万元，下降</w:t>
      </w:r>
      <w:r>
        <w:rPr>
          <w:rFonts w:hint="eastAsia" w:ascii="仿宋_GB2312" w:eastAsia="仿宋_GB2312"/>
          <w:color w:val="000000"/>
          <w:sz w:val="32"/>
          <w:szCs w:val="32"/>
          <w:highlight w:val="none"/>
          <w:lang w:val="en-US" w:eastAsia="zh-CN"/>
        </w:rPr>
        <w:t>15.18</w:t>
      </w:r>
      <w:r>
        <w:rPr>
          <w:rFonts w:ascii="仿宋_GB2312" w:eastAsia="仿宋_GB2312"/>
          <w:color w:val="000000"/>
          <w:sz w:val="32"/>
          <w:szCs w:val="32"/>
          <w:highlight w:val="none"/>
        </w:rPr>
        <w:t>%</w:t>
      </w:r>
      <w:r>
        <w:rPr>
          <w:rFonts w:hint="eastAsia" w:ascii="仿宋_GB2312" w:eastAsia="仿宋_GB2312"/>
          <w:color w:val="000000"/>
          <w:sz w:val="32"/>
          <w:szCs w:val="32"/>
          <w:highlight w:val="none"/>
        </w:rPr>
        <w:t>。主要原因是</w:t>
      </w:r>
      <w:r>
        <w:rPr>
          <w:rFonts w:eastAsia="仿宋_GB2312"/>
          <w:color w:val="000000"/>
          <w:kern w:val="0"/>
          <w:sz w:val="32"/>
          <w:szCs w:val="32"/>
          <w:highlight w:val="none"/>
        </w:rPr>
        <w:t>我局继续认真贯彻落实中央八项规定及省委省政府十项规定要求，厉行节约，从严控制“三公”经费支出</w:t>
      </w:r>
      <w:r>
        <w:rPr>
          <w:rFonts w:hint="eastAsia" w:ascii="仿宋_GB2312" w:eastAsia="仿宋_GB2312"/>
          <w:color w:val="000000"/>
          <w:sz w:val="32"/>
          <w:szCs w:val="32"/>
          <w:highlight w:val="none"/>
        </w:rPr>
        <w:t>。其中：</w:t>
      </w:r>
    </w:p>
    <w:p>
      <w:pPr>
        <w:spacing w:line="576" w:lineRule="exact"/>
        <w:ind w:firstLine="643" w:firstLineChars="200"/>
        <w:rPr>
          <w:highlight w:val="none"/>
        </w:rPr>
      </w:pPr>
      <w:r>
        <w:rPr>
          <w:rFonts w:hint="eastAsia" w:ascii="仿宋" w:hAnsi="仿宋" w:eastAsia="仿宋"/>
          <w:b/>
          <w:color w:val="000000"/>
          <w:sz w:val="32"/>
          <w:szCs w:val="32"/>
          <w:highlight w:val="none"/>
        </w:rPr>
        <w:t>国内公务接待支出</w:t>
      </w:r>
      <w:r>
        <w:rPr>
          <w:rFonts w:hint="eastAsia" w:ascii="仿宋" w:hAnsi="仿宋" w:eastAsia="仿宋"/>
          <w:color w:val="000000"/>
          <w:sz w:val="32"/>
          <w:szCs w:val="32"/>
          <w:highlight w:val="none"/>
          <w:lang w:val="en-US" w:eastAsia="zh-CN"/>
        </w:rPr>
        <w:t>9.41</w:t>
      </w:r>
      <w:r>
        <w:rPr>
          <w:rFonts w:hint="eastAsia" w:ascii="仿宋_GB2312" w:eastAsia="仿宋_GB2312"/>
          <w:color w:val="000000"/>
          <w:sz w:val="32"/>
          <w:szCs w:val="32"/>
          <w:highlight w:val="none"/>
        </w:rPr>
        <w:t>万元，主要用于</w:t>
      </w:r>
      <w:r>
        <w:rPr>
          <w:rFonts w:eastAsia="仿宋_GB2312"/>
          <w:color w:val="000000"/>
          <w:kern w:val="0"/>
          <w:sz w:val="32"/>
          <w:szCs w:val="32"/>
          <w:highlight w:val="none"/>
        </w:rPr>
        <w:t>执行公务、开展业务活动开支的交通费、住宿费、用餐费等。国内公务接待</w:t>
      </w:r>
      <w:r>
        <w:rPr>
          <w:rFonts w:hint="eastAsia" w:eastAsia="仿宋_GB2312"/>
          <w:color w:val="000000"/>
          <w:kern w:val="0"/>
          <w:sz w:val="32"/>
          <w:szCs w:val="32"/>
          <w:highlight w:val="none"/>
          <w:lang w:val="en-US" w:eastAsia="zh-CN"/>
        </w:rPr>
        <w:t>80</w:t>
      </w:r>
      <w:r>
        <w:rPr>
          <w:rFonts w:eastAsia="仿宋_GB2312"/>
          <w:color w:val="000000"/>
          <w:kern w:val="0"/>
          <w:sz w:val="32"/>
          <w:szCs w:val="32"/>
          <w:highlight w:val="none"/>
        </w:rPr>
        <w:t>批次，</w:t>
      </w:r>
      <w:r>
        <w:rPr>
          <w:rFonts w:hint="eastAsia" w:eastAsia="仿宋_GB2312"/>
          <w:color w:val="000000"/>
          <w:kern w:val="0"/>
          <w:sz w:val="32"/>
          <w:szCs w:val="32"/>
          <w:highlight w:val="none"/>
          <w:lang w:val="en-US" w:eastAsia="zh-CN"/>
        </w:rPr>
        <w:t>855</w:t>
      </w:r>
      <w:r>
        <w:rPr>
          <w:rFonts w:eastAsia="仿宋_GB2312"/>
          <w:color w:val="000000"/>
          <w:kern w:val="0"/>
          <w:sz w:val="32"/>
          <w:szCs w:val="32"/>
          <w:highlight w:val="none"/>
        </w:rPr>
        <w:t>人次（不包括陪同人员），共计支出</w:t>
      </w:r>
      <w:r>
        <w:rPr>
          <w:rFonts w:hint="eastAsia" w:eastAsia="仿宋_GB2312"/>
          <w:color w:val="000000"/>
          <w:kern w:val="0"/>
          <w:sz w:val="32"/>
          <w:szCs w:val="32"/>
          <w:highlight w:val="none"/>
          <w:lang w:val="en-US" w:eastAsia="zh-CN"/>
        </w:rPr>
        <w:t>9.41</w:t>
      </w:r>
      <w:r>
        <w:rPr>
          <w:rFonts w:eastAsia="仿宋_GB2312"/>
          <w:color w:val="000000"/>
          <w:kern w:val="0"/>
          <w:sz w:val="32"/>
          <w:szCs w:val="32"/>
          <w:highlight w:val="none"/>
        </w:rPr>
        <w:t>万元，具体内容包括：东西部扶贫协作调研、</w:t>
      </w:r>
      <w:r>
        <w:rPr>
          <w:rFonts w:hint="eastAsia" w:eastAsia="仿宋_GB2312"/>
          <w:color w:val="000000"/>
          <w:kern w:val="0"/>
          <w:sz w:val="32"/>
          <w:szCs w:val="32"/>
          <w:highlight w:val="none"/>
          <w:lang w:eastAsia="zh-CN"/>
        </w:rPr>
        <w:t>人社领域基本公共服务标准化建设试点工作</w:t>
      </w:r>
      <w:r>
        <w:rPr>
          <w:rFonts w:hint="eastAsia" w:eastAsia="仿宋_GB2312"/>
          <w:color w:val="000000"/>
          <w:kern w:val="0"/>
          <w:sz w:val="32"/>
          <w:szCs w:val="32"/>
          <w:highlight w:val="none"/>
        </w:rPr>
        <w:t>、</w:t>
      </w:r>
      <w:r>
        <w:rPr>
          <w:rFonts w:eastAsia="仿宋_GB2312"/>
          <w:color w:val="000000"/>
          <w:kern w:val="0"/>
          <w:sz w:val="32"/>
          <w:szCs w:val="32"/>
          <w:highlight w:val="none"/>
        </w:rPr>
        <w:t>业务学习交流等。</w:t>
      </w:r>
    </w:p>
    <w:p>
      <w:pPr>
        <w:pageBreakBefore w:val="0"/>
        <w:kinsoku/>
        <w:wordWrap/>
        <w:overflowPunct/>
        <w:topLinePunct w:val="0"/>
        <w:bidi w:val="0"/>
        <w:spacing w:line="576" w:lineRule="exact"/>
        <w:ind w:firstLine="640"/>
        <w:textAlignment w:val="auto"/>
        <w:outlineLvl w:val="1"/>
        <w:rPr>
          <w:rStyle w:val="29"/>
          <w:rFonts w:ascii="黑体" w:hAnsi="黑体" w:eastAsia="黑体"/>
          <w:color w:val="auto"/>
          <w:highlight w:val="none"/>
        </w:rPr>
      </w:pPr>
      <w:bookmarkStart w:id="65" w:name="_Toc23717"/>
      <w:r>
        <w:rPr>
          <w:rFonts w:hint="eastAsia" w:ascii="黑体" w:eastAsia="黑体"/>
          <w:color w:val="auto"/>
          <w:sz w:val="32"/>
          <w:szCs w:val="32"/>
          <w:highlight w:val="none"/>
        </w:rPr>
        <w:t>八、</w:t>
      </w:r>
      <w:r>
        <w:rPr>
          <w:rStyle w:val="29"/>
          <w:rFonts w:hint="eastAsia" w:ascii="黑体" w:hAnsi="黑体" w:eastAsia="黑体"/>
          <w:b w:val="0"/>
          <w:color w:val="auto"/>
          <w:highlight w:val="none"/>
        </w:rPr>
        <w:t>政府性基金预算支出决算情况说明</w:t>
      </w:r>
      <w:bookmarkEnd w:id="63"/>
      <w:bookmarkEnd w:id="64"/>
      <w:bookmarkEnd w:id="65"/>
    </w:p>
    <w:p>
      <w:pPr>
        <w:pageBreakBefore w:val="0"/>
        <w:kinsoku/>
        <w:wordWrap/>
        <w:overflowPunct/>
        <w:topLinePunct w:val="0"/>
        <w:bidi w:val="0"/>
        <w:spacing w:line="576" w:lineRule="exact"/>
        <w:ind w:firstLine="640"/>
        <w:textAlignment w:val="auto"/>
        <w:rPr>
          <w:rFonts w:ascii="仿宋_GB2312" w:eastAsia="仿宋_GB2312"/>
          <w:color w:val="auto"/>
          <w:sz w:val="32"/>
          <w:szCs w:val="32"/>
          <w:highlight w:val="none"/>
        </w:rPr>
      </w:pPr>
      <w:r>
        <w:rPr>
          <w:rFonts w:ascii="仿宋_GB2312" w:eastAsia="仿宋_GB2312"/>
          <w:color w:val="auto"/>
          <w:sz w:val="32"/>
          <w:szCs w:val="32"/>
          <w:highlight w:val="none"/>
        </w:rPr>
        <w:t>20</w:t>
      </w:r>
      <w:r>
        <w:rPr>
          <w:rFonts w:hint="eastAsia" w:ascii="仿宋_GB2312" w:eastAsia="仿宋_GB2312"/>
          <w:color w:val="auto"/>
          <w:sz w:val="32"/>
          <w:szCs w:val="32"/>
          <w:highlight w:val="none"/>
          <w:lang w:val="en-US" w:eastAsia="zh-CN"/>
        </w:rPr>
        <w:t>22</w:t>
      </w:r>
      <w:r>
        <w:rPr>
          <w:rFonts w:hint="eastAsia" w:ascii="仿宋_GB2312" w:eastAsia="仿宋_GB2312"/>
          <w:color w:val="auto"/>
          <w:sz w:val="32"/>
          <w:szCs w:val="32"/>
          <w:highlight w:val="none"/>
        </w:rPr>
        <w:t>年政府性基金预算</w:t>
      </w:r>
      <w:r>
        <w:rPr>
          <w:rFonts w:hint="eastAsia" w:ascii="仿宋_GB2312" w:eastAsia="仿宋_GB2312"/>
          <w:color w:val="auto"/>
          <w:sz w:val="32"/>
          <w:szCs w:val="32"/>
          <w:highlight w:val="none"/>
          <w:lang w:eastAsia="zh-CN"/>
        </w:rPr>
        <w:t>财政</w:t>
      </w:r>
      <w:r>
        <w:rPr>
          <w:rFonts w:hint="eastAsia" w:ascii="仿宋_GB2312" w:eastAsia="仿宋_GB2312"/>
          <w:color w:val="auto"/>
          <w:sz w:val="32"/>
          <w:szCs w:val="32"/>
          <w:highlight w:val="none"/>
        </w:rPr>
        <w:t>拨款支出</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万元。</w:t>
      </w:r>
    </w:p>
    <w:p>
      <w:pPr>
        <w:pageBreakBefore w:val="0"/>
        <w:kinsoku/>
        <w:wordWrap/>
        <w:overflowPunct/>
        <w:topLinePunct w:val="0"/>
        <w:bidi w:val="0"/>
        <w:spacing w:line="576" w:lineRule="exact"/>
        <w:ind w:firstLine="640"/>
        <w:textAlignment w:val="auto"/>
        <w:rPr>
          <w:rFonts w:ascii="仿宋_GB2312" w:eastAsia="仿宋_GB2312"/>
          <w:color w:val="auto"/>
          <w:sz w:val="32"/>
          <w:szCs w:val="32"/>
          <w:highlight w:val="none"/>
        </w:rPr>
      </w:pPr>
    </w:p>
    <w:p>
      <w:pPr>
        <w:pageBreakBefore w:val="0"/>
        <w:numPr>
          <w:ilvl w:val="0"/>
          <w:numId w:val="3"/>
        </w:numPr>
        <w:kinsoku/>
        <w:wordWrap/>
        <w:overflowPunct/>
        <w:topLinePunct w:val="0"/>
        <w:bidi w:val="0"/>
        <w:spacing w:line="576" w:lineRule="exact"/>
        <w:ind w:firstLine="640"/>
        <w:textAlignment w:val="auto"/>
        <w:outlineLvl w:val="1"/>
        <w:rPr>
          <w:rStyle w:val="29"/>
          <w:rFonts w:ascii="黑体" w:hAnsi="黑体" w:eastAsia="黑体"/>
          <w:b w:val="0"/>
          <w:color w:val="auto"/>
          <w:highlight w:val="none"/>
        </w:rPr>
      </w:pPr>
      <w:bookmarkStart w:id="66" w:name="_Toc15377219"/>
      <w:bookmarkStart w:id="67" w:name="_Toc15396611"/>
      <w:bookmarkStart w:id="68" w:name="_Toc24661"/>
      <w:r>
        <w:rPr>
          <w:rStyle w:val="29"/>
          <w:rFonts w:hint="eastAsia" w:ascii="黑体" w:hAnsi="黑体" w:eastAsia="黑体"/>
          <w:b w:val="0"/>
          <w:color w:val="auto"/>
          <w:highlight w:val="none"/>
        </w:rPr>
        <w:t>国有资本经营预算支出决算情况说明</w:t>
      </w:r>
      <w:bookmarkEnd w:id="66"/>
      <w:bookmarkEnd w:id="67"/>
      <w:bookmarkEnd w:id="68"/>
    </w:p>
    <w:p>
      <w:pPr>
        <w:pageBreakBefore w:val="0"/>
        <w:kinsoku/>
        <w:wordWrap/>
        <w:overflowPunct/>
        <w:topLinePunct w:val="0"/>
        <w:bidi w:val="0"/>
        <w:spacing w:line="576" w:lineRule="exact"/>
        <w:ind w:firstLine="640"/>
        <w:textAlignment w:val="auto"/>
        <w:rPr>
          <w:highlight w:val="none"/>
        </w:rPr>
      </w:pPr>
      <w:r>
        <w:rPr>
          <w:rFonts w:ascii="仿宋_GB2312" w:eastAsia="仿宋_GB2312"/>
          <w:color w:val="auto"/>
          <w:sz w:val="32"/>
          <w:szCs w:val="32"/>
          <w:highlight w:val="none"/>
        </w:rPr>
        <w:t>20</w:t>
      </w:r>
      <w:r>
        <w:rPr>
          <w:rFonts w:hint="eastAsia" w:ascii="仿宋_GB2312" w:eastAsia="仿宋_GB2312"/>
          <w:color w:val="auto"/>
          <w:sz w:val="32"/>
          <w:szCs w:val="32"/>
          <w:highlight w:val="none"/>
          <w:lang w:val="en-US" w:eastAsia="zh-CN"/>
        </w:rPr>
        <w:t>22</w:t>
      </w:r>
      <w:r>
        <w:rPr>
          <w:rFonts w:hint="eastAsia" w:ascii="仿宋_GB2312" w:eastAsia="仿宋_GB2312"/>
          <w:color w:val="auto"/>
          <w:sz w:val="32"/>
          <w:szCs w:val="32"/>
          <w:highlight w:val="none"/>
        </w:rPr>
        <w:t>年国有资本经营预算</w:t>
      </w:r>
      <w:r>
        <w:rPr>
          <w:rFonts w:hint="eastAsia" w:ascii="仿宋_GB2312" w:eastAsia="仿宋_GB2312"/>
          <w:color w:val="auto"/>
          <w:sz w:val="32"/>
          <w:szCs w:val="32"/>
          <w:highlight w:val="none"/>
          <w:lang w:eastAsia="zh-CN"/>
        </w:rPr>
        <w:t>财政</w:t>
      </w:r>
      <w:r>
        <w:rPr>
          <w:rFonts w:hint="eastAsia" w:ascii="仿宋_GB2312" w:eastAsia="仿宋_GB2312"/>
          <w:color w:val="auto"/>
          <w:sz w:val="32"/>
          <w:szCs w:val="32"/>
          <w:highlight w:val="none"/>
        </w:rPr>
        <w:t>拨款支出</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万元。</w:t>
      </w:r>
    </w:p>
    <w:p>
      <w:pPr>
        <w:pageBreakBefore w:val="0"/>
        <w:numPr>
          <w:ilvl w:val="0"/>
          <w:numId w:val="3"/>
        </w:numPr>
        <w:kinsoku/>
        <w:wordWrap/>
        <w:overflowPunct/>
        <w:topLinePunct w:val="0"/>
        <w:bidi w:val="0"/>
        <w:spacing w:line="576" w:lineRule="exact"/>
        <w:ind w:firstLine="640"/>
        <w:textAlignment w:val="auto"/>
        <w:outlineLvl w:val="1"/>
        <w:rPr>
          <w:rStyle w:val="29"/>
          <w:rFonts w:hint="eastAsia" w:ascii="黑体" w:hAnsi="黑体" w:eastAsia="黑体"/>
          <w:b w:val="0"/>
          <w:color w:val="auto"/>
          <w:highlight w:val="none"/>
        </w:rPr>
      </w:pPr>
      <w:bookmarkStart w:id="69" w:name="_Toc18317"/>
      <w:bookmarkStart w:id="70" w:name="_Toc15396612"/>
      <w:bookmarkStart w:id="71" w:name="_Toc15377221"/>
      <w:r>
        <w:rPr>
          <w:rStyle w:val="29"/>
          <w:rFonts w:hint="eastAsia" w:ascii="黑体" w:hAnsi="黑体" w:eastAsia="黑体"/>
          <w:b w:val="0"/>
          <w:color w:val="auto"/>
          <w:highlight w:val="none"/>
        </w:rPr>
        <w:t>其他重要事项的情况说明</w:t>
      </w:r>
      <w:bookmarkEnd w:id="69"/>
      <w:bookmarkEnd w:id="70"/>
      <w:bookmarkEnd w:id="71"/>
    </w:p>
    <w:p>
      <w:pPr>
        <w:pageBreakBefore w:val="0"/>
        <w:kinsoku/>
        <w:wordWrap/>
        <w:overflowPunct/>
        <w:topLinePunct w:val="0"/>
        <w:bidi w:val="0"/>
        <w:spacing w:line="576" w:lineRule="exact"/>
        <w:ind w:firstLine="640" w:firstLineChars="200"/>
        <w:textAlignment w:val="auto"/>
        <w:outlineLvl w:val="1"/>
        <w:rPr>
          <w:rFonts w:hint="eastAsia" w:ascii="黑体" w:hAnsi="黑体" w:eastAsia="黑体"/>
          <w:b w:val="0"/>
          <w:bCs/>
          <w:color w:val="auto"/>
          <w:sz w:val="32"/>
          <w:szCs w:val="32"/>
          <w:highlight w:val="none"/>
        </w:rPr>
      </w:pPr>
      <w:bookmarkStart w:id="72" w:name="_Toc15377222"/>
      <w:bookmarkStart w:id="73" w:name="_Toc13306"/>
      <w:r>
        <w:rPr>
          <w:rFonts w:hint="eastAsia" w:ascii="黑体" w:hAnsi="黑体" w:eastAsia="黑体"/>
          <w:b w:val="0"/>
          <w:bCs/>
          <w:color w:val="auto"/>
          <w:sz w:val="32"/>
          <w:szCs w:val="32"/>
          <w:highlight w:val="none"/>
        </w:rPr>
        <w:t>（一）机关运行经费支出情况</w:t>
      </w:r>
      <w:bookmarkEnd w:id="72"/>
      <w:bookmarkEnd w:id="73"/>
    </w:p>
    <w:p>
      <w:pPr>
        <w:pageBreakBefore w:val="0"/>
        <w:kinsoku/>
        <w:wordWrap/>
        <w:overflowPunct/>
        <w:topLinePunct w:val="0"/>
        <w:bidi w:val="0"/>
        <w:spacing w:line="576" w:lineRule="exact"/>
        <w:ind w:firstLine="640" w:firstLineChars="200"/>
        <w:textAlignment w:val="auto"/>
        <w:rPr>
          <w:rFonts w:ascii="仿宋" w:hAnsi="仿宋" w:eastAsia="仿宋"/>
          <w:b/>
          <w:color w:val="auto"/>
          <w:sz w:val="32"/>
          <w:szCs w:val="32"/>
          <w:highlight w:val="none"/>
        </w:rPr>
      </w:pPr>
      <w:r>
        <w:rPr>
          <w:rFonts w:hint="eastAsia" w:ascii="仿宋_GB2312" w:eastAsia="仿宋_GB2312"/>
          <w:color w:val="000000"/>
          <w:sz w:val="32"/>
          <w:szCs w:val="32"/>
          <w:highlight w:val="none"/>
          <w:lang w:eastAsia="zh-CN"/>
        </w:rPr>
        <w:t>2022年</w:t>
      </w:r>
      <w:r>
        <w:rPr>
          <w:rFonts w:hint="eastAsia" w:ascii="仿宋_GB2312" w:eastAsia="仿宋_GB2312"/>
          <w:color w:val="000000"/>
          <w:sz w:val="32"/>
          <w:szCs w:val="32"/>
          <w:highlight w:val="none"/>
        </w:rPr>
        <w:t>，</w:t>
      </w:r>
      <w:r>
        <w:rPr>
          <w:rFonts w:hint="eastAsia" w:ascii="仿宋_GB2312" w:eastAsia="仿宋_GB2312"/>
          <w:color w:val="000000"/>
          <w:sz w:val="32"/>
          <w:szCs w:val="32"/>
          <w:highlight w:val="none"/>
          <w:lang w:eastAsia="zh-CN"/>
        </w:rPr>
        <w:t>区社局</w:t>
      </w:r>
      <w:r>
        <w:rPr>
          <w:rFonts w:hint="eastAsia" w:ascii="仿宋_GB2312" w:eastAsia="仿宋_GB2312"/>
          <w:color w:val="000000"/>
          <w:sz w:val="32"/>
          <w:szCs w:val="32"/>
          <w:highlight w:val="none"/>
        </w:rPr>
        <w:t>机关运行经费支出</w:t>
      </w:r>
      <w:r>
        <w:rPr>
          <w:rFonts w:hint="eastAsia" w:ascii="仿宋_GB2312" w:eastAsia="仿宋_GB2312"/>
          <w:color w:val="000000"/>
          <w:sz w:val="32"/>
          <w:szCs w:val="32"/>
          <w:highlight w:val="none"/>
          <w:lang w:val="en-US" w:eastAsia="zh-CN"/>
        </w:rPr>
        <w:t>335</w:t>
      </w:r>
      <w:r>
        <w:rPr>
          <w:rFonts w:hint="eastAsia" w:ascii="仿宋_GB2312" w:eastAsia="仿宋_GB2312"/>
          <w:color w:val="000000"/>
          <w:sz w:val="32"/>
          <w:szCs w:val="32"/>
          <w:highlight w:val="none"/>
        </w:rPr>
        <w:t>万元，比</w:t>
      </w:r>
      <w:r>
        <w:rPr>
          <w:rFonts w:hint="eastAsia" w:ascii="仿宋_GB2312" w:eastAsia="仿宋_GB2312"/>
          <w:color w:val="000000"/>
          <w:sz w:val="32"/>
          <w:szCs w:val="32"/>
          <w:highlight w:val="none"/>
          <w:lang w:eastAsia="zh-CN"/>
        </w:rPr>
        <w:t>2021年</w:t>
      </w:r>
      <w:r>
        <w:rPr>
          <w:rFonts w:hint="eastAsia" w:ascii="仿宋_GB2312" w:eastAsia="仿宋_GB2312"/>
          <w:color w:val="000000"/>
          <w:sz w:val="32"/>
          <w:szCs w:val="32"/>
          <w:highlight w:val="none"/>
        </w:rPr>
        <w:t>增加</w:t>
      </w:r>
      <w:r>
        <w:rPr>
          <w:rFonts w:hint="eastAsia" w:ascii="仿宋_GB2312" w:eastAsia="仿宋_GB2312"/>
          <w:color w:val="000000"/>
          <w:sz w:val="32"/>
          <w:szCs w:val="32"/>
          <w:highlight w:val="none"/>
          <w:lang w:val="en-US" w:eastAsia="zh-CN"/>
        </w:rPr>
        <w:t>90.96</w:t>
      </w:r>
      <w:r>
        <w:rPr>
          <w:rFonts w:hint="eastAsia" w:ascii="仿宋_GB2312" w:eastAsia="仿宋_GB2312"/>
          <w:color w:val="000000"/>
          <w:sz w:val="32"/>
          <w:szCs w:val="32"/>
          <w:highlight w:val="none"/>
        </w:rPr>
        <w:t>万元，增长</w:t>
      </w:r>
      <w:r>
        <w:rPr>
          <w:rFonts w:hint="eastAsia" w:ascii="仿宋_GB2312" w:eastAsia="仿宋_GB2312"/>
          <w:color w:val="000000"/>
          <w:sz w:val="32"/>
          <w:szCs w:val="32"/>
          <w:highlight w:val="none"/>
          <w:lang w:val="en-US" w:eastAsia="zh-CN"/>
        </w:rPr>
        <w:t>37.27</w:t>
      </w:r>
      <w:r>
        <w:rPr>
          <w:rFonts w:ascii="仿宋_GB2312" w:eastAsia="仿宋_GB2312"/>
          <w:color w:val="000000"/>
          <w:sz w:val="32"/>
          <w:szCs w:val="32"/>
          <w:highlight w:val="none"/>
        </w:rPr>
        <w:t>%</w:t>
      </w:r>
      <w:r>
        <w:rPr>
          <w:rFonts w:hint="eastAsia" w:ascii="仿宋_GB2312" w:eastAsia="仿宋_GB2312"/>
          <w:color w:val="000000"/>
          <w:sz w:val="32"/>
          <w:szCs w:val="32"/>
          <w:highlight w:val="none"/>
        </w:rPr>
        <w:t>。主要原因是</w:t>
      </w:r>
      <w:r>
        <w:rPr>
          <w:rFonts w:hint="eastAsia" w:eastAsia="仿宋_GB2312"/>
          <w:color w:val="000000"/>
          <w:sz w:val="32"/>
          <w:szCs w:val="32"/>
          <w:highlight w:val="none"/>
          <w:lang w:eastAsia="zh-CN"/>
        </w:rPr>
        <w:t>202</w:t>
      </w:r>
      <w:r>
        <w:rPr>
          <w:rFonts w:hint="eastAsia" w:eastAsia="仿宋_GB2312"/>
          <w:color w:val="000000"/>
          <w:sz w:val="32"/>
          <w:szCs w:val="32"/>
          <w:highlight w:val="none"/>
          <w:lang w:val="en-US" w:eastAsia="zh-CN"/>
        </w:rPr>
        <w:t>2</w:t>
      </w:r>
      <w:r>
        <w:rPr>
          <w:rFonts w:hint="eastAsia" w:eastAsia="仿宋_GB2312"/>
          <w:color w:val="000000"/>
          <w:sz w:val="32"/>
          <w:szCs w:val="32"/>
          <w:highlight w:val="none"/>
          <w:lang w:eastAsia="zh-CN"/>
        </w:rPr>
        <w:t>年年初预算增加社保工资经费</w:t>
      </w:r>
      <w:r>
        <w:rPr>
          <w:rFonts w:hint="eastAsia" w:eastAsia="仿宋_GB2312"/>
          <w:color w:val="000000"/>
          <w:sz w:val="32"/>
          <w:szCs w:val="32"/>
          <w:highlight w:val="none"/>
          <w:lang w:val="en-US" w:eastAsia="zh-CN"/>
        </w:rPr>
        <w:t>30万元</w:t>
      </w:r>
      <w:r>
        <w:rPr>
          <w:rFonts w:hint="eastAsia" w:eastAsia="仿宋_GB2312"/>
          <w:color w:val="000000"/>
          <w:sz w:val="32"/>
          <w:szCs w:val="32"/>
          <w:highlight w:val="none"/>
          <w:lang w:eastAsia="zh-CN"/>
        </w:rPr>
        <w:t>、社保就业大厅运行经费</w:t>
      </w:r>
      <w:r>
        <w:rPr>
          <w:rFonts w:hint="eastAsia" w:eastAsia="仿宋_GB2312"/>
          <w:color w:val="000000"/>
          <w:sz w:val="32"/>
          <w:szCs w:val="32"/>
          <w:highlight w:val="none"/>
          <w:lang w:val="en-US" w:eastAsia="zh-CN"/>
        </w:rPr>
        <w:t>20万元</w:t>
      </w:r>
      <w:r>
        <w:rPr>
          <w:rFonts w:hint="eastAsia" w:eastAsia="仿宋_GB2312"/>
          <w:color w:val="000000"/>
          <w:sz w:val="32"/>
          <w:szCs w:val="32"/>
          <w:highlight w:val="none"/>
          <w:lang w:eastAsia="zh-CN"/>
        </w:rPr>
        <w:t>、流动人员档案管理经费</w:t>
      </w:r>
      <w:r>
        <w:rPr>
          <w:rFonts w:hint="eastAsia" w:eastAsia="仿宋_GB2312"/>
          <w:color w:val="000000"/>
          <w:sz w:val="32"/>
          <w:szCs w:val="32"/>
          <w:highlight w:val="none"/>
          <w:lang w:val="en-US" w:eastAsia="zh-CN"/>
        </w:rPr>
        <w:t>10万元、人才交流中心工作经费10万元、农民工服务中心工作经费20万元</w:t>
      </w:r>
      <w:r>
        <w:rPr>
          <w:rFonts w:eastAsia="仿宋_GB2312"/>
          <w:color w:val="000000"/>
          <w:sz w:val="32"/>
          <w:szCs w:val="32"/>
          <w:highlight w:val="none"/>
        </w:rPr>
        <w:t>。</w:t>
      </w:r>
    </w:p>
    <w:p>
      <w:pPr>
        <w:pageBreakBefore w:val="0"/>
        <w:kinsoku/>
        <w:wordWrap/>
        <w:overflowPunct/>
        <w:topLinePunct w:val="0"/>
        <w:bidi w:val="0"/>
        <w:spacing w:line="576" w:lineRule="exact"/>
        <w:ind w:firstLine="640" w:firstLineChars="200"/>
        <w:textAlignment w:val="auto"/>
        <w:outlineLvl w:val="1"/>
        <w:rPr>
          <w:rFonts w:hint="eastAsia" w:ascii="黑体" w:hAnsi="黑体" w:eastAsia="黑体"/>
          <w:b w:val="0"/>
          <w:bCs/>
          <w:color w:val="auto"/>
          <w:sz w:val="32"/>
          <w:szCs w:val="32"/>
          <w:highlight w:val="none"/>
        </w:rPr>
      </w:pPr>
      <w:bookmarkStart w:id="74" w:name="_Toc15377223"/>
      <w:bookmarkStart w:id="75" w:name="_Toc23976"/>
      <w:r>
        <w:rPr>
          <w:rFonts w:hint="eastAsia" w:ascii="黑体" w:hAnsi="黑体" w:eastAsia="黑体"/>
          <w:b w:val="0"/>
          <w:bCs/>
          <w:color w:val="auto"/>
          <w:sz w:val="32"/>
          <w:szCs w:val="32"/>
          <w:highlight w:val="none"/>
        </w:rPr>
        <w:t>（二）政府采购支出情况</w:t>
      </w:r>
      <w:bookmarkEnd w:id="74"/>
      <w:bookmarkEnd w:id="75"/>
    </w:p>
    <w:p>
      <w:pPr>
        <w:pageBreakBefore w:val="0"/>
        <w:kinsoku/>
        <w:wordWrap/>
        <w:overflowPunct/>
        <w:topLinePunct w:val="0"/>
        <w:bidi w:val="0"/>
        <w:spacing w:line="576" w:lineRule="exact"/>
        <w:ind w:firstLine="640" w:firstLineChars="200"/>
        <w:textAlignment w:val="auto"/>
        <w:rPr>
          <w:rFonts w:ascii="仿宋_GB2312" w:eastAsia="仿宋_GB2312"/>
          <w:color w:val="auto"/>
          <w:sz w:val="32"/>
          <w:szCs w:val="32"/>
          <w:highlight w:val="none"/>
        </w:rPr>
      </w:pPr>
      <w:r>
        <w:rPr>
          <w:rFonts w:ascii="仿宋_GB2312" w:eastAsia="仿宋_GB2312"/>
          <w:color w:val="auto"/>
          <w:sz w:val="32"/>
          <w:szCs w:val="32"/>
          <w:highlight w:val="none"/>
        </w:rPr>
        <w:t>20</w:t>
      </w:r>
      <w:r>
        <w:rPr>
          <w:rFonts w:hint="eastAsia" w:ascii="仿宋_GB2312" w:eastAsia="仿宋_GB2312"/>
          <w:color w:val="auto"/>
          <w:sz w:val="32"/>
          <w:szCs w:val="32"/>
          <w:highlight w:val="none"/>
          <w:lang w:val="en-US" w:eastAsia="zh-CN"/>
        </w:rPr>
        <w:t>22</w:t>
      </w:r>
      <w:r>
        <w:rPr>
          <w:rFonts w:hint="eastAsia" w:ascii="仿宋_GB2312" w:eastAsia="仿宋_GB2312"/>
          <w:color w:val="auto"/>
          <w:sz w:val="32"/>
          <w:szCs w:val="32"/>
          <w:highlight w:val="none"/>
        </w:rPr>
        <w:t>年，</w:t>
      </w:r>
      <w:r>
        <w:rPr>
          <w:rFonts w:hint="eastAsia" w:ascii="仿宋_GB2312" w:eastAsia="仿宋_GB2312"/>
          <w:color w:val="auto"/>
          <w:sz w:val="32"/>
          <w:szCs w:val="32"/>
          <w:highlight w:val="none"/>
          <w:lang w:eastAsia="zh-CN"/>
        </w:rPr>
        <w:t>区人社局</w:t>
      </w:r>
      <w:r>
        <w:rPr>
          <w:rFonts w:hint="eastAsia" w:ascii="仿宋_GB2312" w:eastAsia="仿宋_GB2312"/>
          <w:color w:val="auto"/>
          <w:sz w:val="32"/>
          <w:szCs w:val="32"/>
          <w:highlight w:val="none"/>
        </w:rPr>
        <w:t>政府采购支出总额</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万元，其中：政府采购货物支出</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万元、政府采购工程支出</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万元、政府采购服务支出</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万元。授予中小企业合同金额</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万元，占政府采购支出总额的</w:t>
      </w:r>
      <w:r>
        <w:rPr>
          <w:rFonts w:hint="eastAsia" w:ascii="仿宋_GB2312" w:eastAsia="仿宋_GB2312"/>
          <w:color w:val="auto"/>
          <w:sz w:val="32"/>
          <w:szCs w:val="32"/>
          <w:highlight w:val="none"/>
          <w:lang w:val="en-US" w:eastAsia="zh-CN"/>
        </w:rPr>
        <w:t>0</w:t>
      </w:r>
      <w:r>
        <w:rPr>
          <w:rFonts w:ascii="仿宋_GB2312" w:eastAsia="仿宋_GB2312"/>
          <w:color w:val="auto"/>
          <w:sz w:val="32"/>
          <w:szCs w:val="32"/>
          <w:highlight w:val="none"/>
        </w:rPr>
        <w:t>%</w:t>
      </w:r>
      <w:r>
        <w:rPr>
          <w:rFonts w:hint="eastAsia" w:ascii="仿宋_GB2312" w:eastAsia="仿宋_GB2312"/>
          <w:color w:val="auto"/>
          <w:sz w:val="32"/>
          <w:szCs w:val="32"/>
          <w:highlight w:val="none"/>
        </w:rPr>
        <w:t>，其中：授予小微企业合同金额</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万元，占政府采购支出总额的</w:t>
      </w:r>
      <w:r>
        <w:rPr>
          <w:rFonts w:hint="eastAsia" w:ascii="仿宋_GB2312" w:eastAsia="仿宋_GB2312"/>
          <w:color w:val="auto"/>
          <w:sz w:val="32"/>
          <w:szCs w:val="32"/>
          <w:highlight w:val="none"/>
          <w:lang w:val="en-US" w:eastAsia="zh-CN"/>
        </w:rPr>
        <w:t>0</w:t>
      </w:r>
      <w:r>
        <w:rPr>
          <w:rFonts w:ascii="仿宋_GB2312" w:eastAsia="仿宋_GB2312"/>
          <w:color w:val="auto"/>
          <w:sz w:val="32"/>
          <w:szCs w:val="32"/>
          <w:highlight w:val="none"/>
        </w:rPr>
        <w:t>%</w:t>
      </w:r>
      <w:r>
        <w:rPr>
          <w:rFonts w:hint="eastAsia" w:ascii="仿宋_GB2312" w:eastAsia="仿宋_GB2312"/>
          <w:color w:val="auto"/>
          <w:sz w:val="32"/>
          <w:szCs w:val="32"/>
          <w:highlight w:val="none"/>
        </w:rPr>
        <w:t>。</w:t>
      </w:r>
    </w:p>
    <w:p>
      <w:pPr>
        <w:pageBreakBefore w:val="0"/>
        <w:kinsoku/>
        <w:wordWrap/>
        <w:overflowPunct/>
        <w:topLinePunct w:val="0"/>
        <w:bidi w:val="0"/>
        <w:spacing w:line="576" w:lineRule="exact"/>
        <w:ind w:firstLine="640" w:firstLineChars="200"/>
        <w:textAlignment w:val="auto"/>
        <w:outlineLvl w:val="1"/>
        <w:rPr>
          <w:rFonts w:hint="eastAsia" w:ascii="黑体" w:hAnsi="黑体" w:eastAsia="黑体"/>
          <w:b w:val="0"/>
          <w:bCs/>
          <w:color w:val="auto"/>
          <w:sz w:val="32"/>
          <w:szCs w:val="32"/>
          <w:highlight w:val="none"/>
        </w:rPr>
      </w:pPr>
      <w:bookmarkStart w:id="76" w:name="_Toc15377224"/>
      <w:bookmarkStart w:id="77" w:name="_Toc21550"/>
      <w:r>
        <w:rPr>
          <w:rFonts w:hint="eastAsia" w:ascii="黑体" w:hAnsi="黑体" w:eastAsia="黑体"/>
          <w:b w:val="0"/>
          <w:bCs/>
          <w:color w:val="auto"/>
          <w:sz w:val="32"/>
          <w:szCs w:val="32"/>
          <w:highlight w:val="none"/>
        </w:rPr>
        <w:t>（三）国有资产占有使用情况</w:t>
      </w:r>
      <w:bookmarkEnd w:id="76"/>
      <w:bookmarkEnd w:id="77"/>
    </w:p>
    <w:p>
      <w:pPr>
        <w:autoSpaceDE w:val="0"/>
        <w:autoSpaceDN w:val="0"/>
        <w:adjustRightInd w:val="0"/>
        <w:spacing w:line="600" w:lineRule="exact"/>
        <w:ind w:firstLine="640" w:firstLineChars="200"/>
        <w:jc w:val="left"/>
        <w:rPr>
          <w:rFonts w:hint="eastAsia" w:ascii="仿宋_GB2312" w:eastAsia="仿宋_GB2312"/>
          <w:color w:val="000000"/>
          <w:sz w:val="32"/>
          <w:szCs w:val="32"/>
          <w:highlight w:val="none"/>
        </w:rPr>
      </w:pPr>
      <w:r>
        <w:rPr>
          <w:rFonts w:hint="eastAsia" w:ascii="仿宋_GB2312" w:eastAsia="仿宋_GB2312"/>
          <w:color w:val="000000"/>
          <w:sz w:val="32"/>
          <w:szCs w:val="32"/>
          <w:highlight w:val="none"/>
        </w:rPr>
        <w:t>截至</w:t>
      </w:r>
      <w:r>
        <w:rPr>
          <w:rFonts w:hint="eastAsia" w:ascii="仿宋_GB2312" w:eastAsia="仿宋_GB2312"/>
          <w:color w:val="000000"/>
          <w:sz w:val="32"/>
          <w:szCs w:val="32"/>
          <w:highlight w:val="none"/>
          <w:lang w:eastAsia="zh-CN"/>
        </w:rPr>
        <w:t>2022年</w:t>
      </w:r>
      <w:r>
        <w:rPr>
          <w:rFonts w:ascii="仿宋_GB2312" w:eastAsia="仿宋_GB2312"/>
          <w:color w:val="000000"/>
          <w:sz w:val="32"/>
          <w:szCs w:val="32"/>
          <w:highlight w:val="none"/>
        </w:rPr>
        <w:t>12</w:t>
      </w:r>
      <w:r>
        <w:rPr>
          <w:rFonts w:hint="eastAsia" w:ascii="仿宋_GB2312" w:eastAsia="仿宋_GB2312"/>
          <w:color w:val="000000"/>
          <w:sz w:val="32"/>
          <w:szCs w:val="32"/>
          <w:highlight w:val="none"/>
        </w:rPr>
        <w:t>月</w:t>
      </w:r>
      <w:r>
        <w:rPr>
          <w:rFonts w:ascii="仿宋_GB2312" w:eastAsia="仿宋_GB2312"/>
          <w:color w:val="000000"/>
          <w:sz w:val="32"/>
          <w:szCs w:val="32"/>
          <w:highlight w:val="none"/>
        </w:rPr>
        <w:t>31</w:t>
      </w:r>
      <w:r>
        <w:rPr>
          <w:rFonts w:hint="eastAsia" w:ascii="仿宋_GB2312" w:eastAsia="仿宋_GB2312"/>
          <w:color w:val="000000"/>
          <w:sz w:val="32"/>
          <w:szCs w:val="32"/>
          <w:highlight w:val="none"/>
        </w:rPr>
        <w:t>日，</w:t>
      </w:r>
      <w:r>
        <w:rPr>
          <w:rFonts w:hint="eastAsia" w:ascii="仿宋_GB2312" w:eastAsia="仿宋_GB2312"/>
          <w:color w:val="000000"/>
          <w:sz w:val="32"/>
          <w:szCs w:val="32"/>
          <w:highlight w:val="none"/>
          <w:lang w:eastAsia="zh-CN"/>
        </w:rPr>
        <w:t>区人社局</w:t>
      </w:r>
      <w:r>
        <w:rPr>
          <w:rFonts w:hint="eastAsia" w:ascii="仿宋_GB2312" w:eastAsia="仿宋_GB2312"/>
          <w:color w:val="000000"/>
          <w:sz w:val="32"/>
          <w:szCs w:val="32"/>
          <w:highlight w:val="none"/>
        </w:rPr>
        <w:t>共有车辆</w:t>
      </w:r>
      <w:r>
        <w:rPr>
          <w:rFonts w:hint="eastAsia" w:ascii="仿宋_GB2312" w:eastAsia="仿宋_GB2312"/>
          <w:color w:val="000000"/>
          <w:sz w:val="32"/>
          <w:szCs w:val="32"/>
          <w:highlight w:val="none"/>
          <w:lang w:val="en-US" w:eastAsia="zh-CN"/>
        </w:rPr>
        <w:t>0</w:t>
      </w:r>
      <w:r>
        <w:rPr>
          <w:rFonts w:hint="eastAsia" w:ascii="仿宋_GB2312" w:eastAsia="仿宋_GB2312"/>
          <w:color w:val="000000"/>
          <w:sz w:val="32"/>
          <w:szCs w:val="32"/>
          <w:highlight w:val="none"/>
        </w:rPr>
        <w:t>辆，其中：主要领导干部用车</w:t>
      </w:r>
      <w:r>
        <w:rPr>
          <w:rFonts w:hint="eastAsia" w:ascii="仿宋_GB2312" w:eastAsia="仿宋_GB2312"/>
          <w:color w:val="000000"/>
          <w:sz w:val="32"/>
          <w:szCs w:val="32"/>
          <w:highlight w:val="none"/>
          <w:lang w:val="en-US" w:eastAsia="zh-CN"/>
        </w:rPr>
        <w:t>0</w:t>
      </w:r>
      <w:r>
        <w:rPr>
          <w:rFonts w:hint="eastAsia" w:ascii="仿宋_GB2312" w:eastAsia="仿宋_GB2312"/>
          <w:color w:val="000000"/>
          <w:sz w:val="32"/>
          <w:szCs w:val="32"/>
          <w:highlight w:val="none"/>
        </w:rPr>
        <w:t>辆、机要通信用车</w:t>
      </w:r>
      <w:r>
        <w:rPr>
          <w:rFonts w:hint="eastAsia" w:ascii="仿宋_GB2312" w:eastAsia="仿宋_GB2312"/>
          <w:color w:val="000000"/>
          <w:sz w:val="32"/>
          <w:szCs w:val="32"/>
          <w:highlight w:val="none"/>
          <w:lang w:val="en-US" w:eastAsia="zh-CN"/>
        </w:rPr>
        <w:t>0</w:t>
      </w:r>
      <w:r>
        <w:rPr>
          <w:rFonts w:hint="eastAsia" w:ascii="仿宋_GB2312" w:eastAsia="仿宋_GB2312"/>
          <w:color w:val="000000"/>
          <w:sz w:val="32"/>
          <w:szCs w:val="32"/>
          <w:highlight w:val="none"/>
        </w:rPr>
        <w:t>辆、应急保障用车</w:t>
      </w:r>
      <w:r>
        <w:rPr>
          <w:rFonts w:hint="eastAsia" w:ascii="仿宋_GB2312" w:eastAsia="仿宋_GB2312"/>
          <w:color w:val="000000"/>
          <w:sz w:val="32"/>
          <w:szCs w:val="32"/>
          <w:highlight w:val="none"/>
          <w:lang w:val="en-US" w:eastAsia="zh-CN"/>
        </w:rPr>
        <w:t>0</w:t>
      </w:r>
      <w:r>
        <w:rPr>
          <w:rFonts w:hint="eastAsia" w:ascii="仿宋_GB2312" w:eastAsia="仿宋_GB2312"/>
          <w:color w:val="000000"/>
          <w:sz w:val="32"/>
          <w:szCs w:val="32"/>
          <w:highlight w:val="none"/>
        </w:rPr>
        <w:t>辆、其他用车</w:t>
      </w:r>
      <w:r>
        <w:rPr>
          <w:rFonts w:hint="eastAsia" w:ascii="仿宋_GB2312" w:eastAsia="仿宋_GB2312"/>
          <w:color w:val="000000"/>
          <w:sz w:val="32"/>
          <w:szCs w:val="32"/>
          <w:highlight w:val="none"/>
          <w:lang w:val="en-US" w:eastAsia="zh-CN"/>
        </w:rPr>
        <w:t>0</w:t>
      </w:r>
      <w:r>
        <w:rPr>
          <w:rFonts w:hint="eastAsia" w:ascii="仿宋_GB2312" w:eastAsia="仿宋_GB2312"/>
          <w:color w:val="000000"/>
          <w:sz w:val="32"/>
          <w:szCs w:val="32"/>
          <w:highlight w:val="none"/>
        </w:rPr>
        <w:t>辆</w:t>
      </w:r>
      <w:r>
        <w:rPr>
          <w:rFonts w:hint="eastAsia" w:ascii="仿宋_GB2312" w:eastAsia="仿宋_GB2312"/>
          <w:color w:val="000000"/>
          <w:sz w:val="32"/>
          <w:szCs w:val="32"/>
          <w:highlight w:val="none"/>
          <w:lang w:eastAsia="zh-CN"/>
        </w:rPr>
        <w:t>。</w:t>
      </w:r>
      <w:r>
        <w:rPr>
          <w:rFonts w:hint="eastAsia" w:ascii="仿宋_GB2312" w:eastAsia="仿宋_GB2312"/>
          <w:color w:val="000000"/>
          <w:sz w:val="32"/>
          <w:szCs w:val="32"/>
          <w:highlight w:val="none"/>
        </w:rPr>
        <w:t>单价</w:t>
      </w:r>
      <w:r>
        <w:rPr>
          <w:rFonts w:ascii="仿宋_GB2312" w:eastAsia="仿宋_GB2312"/>
          <w:color w:val="000000"/>
          <w:sz w:val="32"/>
          <w:szCs w:val="32"/>
          <w:highlight w:val="none"/>
        </w:rPr>
        <w:t>50</w:t>
      </w:r>
      <w:r>
        <w:rPr>
          <w:rFonts w:hint="eastAsia" w:ascii="仿宋_GB2312" w:eastAsia="仿宋_GB2312"/>
          <w:color w:val="000000"/>
          <w:sz w:val="32"/>
          <w:szCs w:val="32"/>
          <w:highlight w:val="none"/>
        </w:rPr>
        <w:t>万元以上通用设备</w:t>
      </w:r>
      <w:r>
        <w:rPr>
          <w:rFonts w:hint="eastAsia" w:ascii="仿宋_GB2312" w:hAnsi="Times New Roman" w:eastAsia="仿宋_GB2312" w:cs="Times New Roman"/>
          <w:color w:val="000000"/>
          <w:sz w:val="32"/>
          <w:szCs w:val="32"/>
          <w:highlight w:val="none"/>
          <w:lang w:val="en-US" w:eastAsia="zh-CN"/>
        </w:rPr>
        <w:t>0</w:t>
      </w:r>
      <w:r>
        <w:rPr>
          <w:rFonts w:hint="eastAsia" w:ascii="仿宋_GB2312" w:hAnsi="Times New Roman" w:eastAsia="仿宋_GB2312" w:cs="Times New Roman"/>
          <w:color w:val="000000"/>
          <w:sz w:val="32"/>
          <w:szCs w:val="32"/>
          <w:highlight w:val="none"/>
        </w:rPr>
        <w:t>台（套），</w:t>
      </w:r>
      <w:r>
        <w:rPr>
          <w:rFonts w:hint="eastAsia" w:ascii="仿宋_GB2312" w:eastAsia="仿宋_GB2312"/>
          <w:color w:val="000000"/>
          <w:sz w:val="32"/>
          <w:szCs w:val="32"/>
          <w:highlight w:val="none"/>
        </w:rPr>
        <w:t>单价</w:t>
      </w:r>
      <w:r>
        <w:rPr>
          <w:rFonts w:ascii="仿宋_GB2312" w:eastAsia="仿宋_GB2312"/>
          <w:color w:val="000000"/>
          <w:sz w:val="32"/>
          <w:szCs w:val="32"/>
          <w:highlight w:val="none"/>
        </w:rPr>
        <w:t>100</w:t>
      </w:r>
      <w:r>
        <w:rPr>
          <w:rFonts w:hint="eastAsia" w:ascii="仿宋_GB2312" w:eastAsia="仿宋_GB2312"/>
          <w:color w:val="000000"/>
          <w:sz w:val="32"/>
          <w:szCs w:val="32"/>
          <w:highlight w:val="none"/>
        </w:rPr>
        <w:t>万元以上专用设备</w:t>
      </w:r>
      <w:r>
        <w:rPr>
          <w:rFonts w:hint="eastAsia" w:ascii="仿宋_GB2312" w:eastAsia="仿宋_GB2312"/>
          <w:color w:val="000000"/>
          <w:sz w:val="32"/>
          <w:szCs w:val="32"/>
          <w:highlight w:val="none"/>
          <w:lang w:val="en-US" w:eastAsia="zh-CN"/>
        </w:rPr>
        <w:t>0</w:t>
      </w:r>
      <w:r>
        <w:rPr>
          <w:rFonts w:hint="eastAsia" w:ascii="仿宋_GB2312" w:eastAsia="仿宋_GB2312"/>
          <w:color w:val="000000"/>
          <w:sz w:val="32"/>
          <w:szCs w:val="32"/>
          <w:highlight w:val="none"/>
        </w:rPr>
        <w:t>台（套）。</w:t>
      </w:r>
    </w:p>
    <w:p>
      <w:pPr>
        <w:pageBreakBefore w:val="0"/>
        <w:kinsoku/>
        <w:wordWrap/>
        <w:overflowPunct/>
        <w:topLinePunct w:val="0"/>
        <w:bidi w:val="0"/>
        <w:spacing w:line="576" w:lineRule="exact"/>
        <w:ind w:firstLine="640" w:firstLineChars="200"/>
        <w:textAlignment w:val="auto"/>
        <w:outlineLvl w:val="1"/>
        <w:rPr>
          <w:rFonts w:hint="eastAsia" w:ascii="黑体" w:hAnsi="黑体" w:eastAsia="黑体"/>
          <w:b w:val="0"/>
          <w:bCs/>
          <w:color w:val="auto"/>
          <w:sz w:val="32"/>
          <w:szCs w:val="32"/>
          <w:highlight w:val="none"/>
        </w:rPr>
      </w:pPr>
      <w:bookmarkStart w:id="78" w:name="_Toc5276"/>
      <w:r>
        <w:rPr>
          <w:rFonts w:hint="eastAsia" w:ascii="黑体" w:hAnsi="黑体" w:eastAsia="黑体"/>
          <w:b w:val="0"/>
          <w:bCs/>
          <w:color w:val="auto"/>
          <w:sz w:val="32"/>
          <w:szCs w:val="32"/>
          <w:highlight w:val="none"/>
        </w:rPr>
        <w:t>（四）预算绩效管理情况</w:t>
      </w:r>
      <w:bookmarkEnd w:id="78"/>
    </w:p>
    <w:p>
      <w:pPr>
        <w:pageBreakBefore w:val="0"/>
        <w:widowControl/>
        <w:kinsoku/>
        <w:wordWrap/>
        <w:overflowPunct/>
        <w:topLinePunct w:val="0"/>
        <w:bidi w:val="0"/>
        <w:spacing w:line="576" w:lineRule="exact"/>
        <w:ind w:firstLine="640" w:firstLineChars="200"/>
        <w:jc w:val="left"/>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根据预算绩效管理要求，本部门在202</w:t>
      </w:r>
      <w:r>
        <w:rPr>
          <w:rFonts w:hint="eastAsia" w:ascii="仿宋_GB2312" w:hAnsi="仿宋_GB2312" w:eastAsia="仿宋_GB2312" w:cs="仿宋_GB2312"/>
          <w:color w:val="auto"/>
          <w:sz w:val="32"/>
          <w:szCs w:val="32"/>
          <w:highlight w:val="none"/>
          <w:lang w:val="en-US" w:eastAsia="zh-CN"/>
        </w:rPr>
        <w:t>2</w:t>
      </w:r>
      <w:r>
        <w:rPr>
          <w:rFonts w:hint="eastAsia" w:ascii="仿宋_GB2312" w:hAnsi="仿宋_GB2312" w:eastAsia="仿宋_GB2312" w:cs="仿宋_GB2312"/>
          <w:color w:val="auto"/>
          <w:sz w:val="32"/>
          <w:szCs w:val="32"/>
          <w:highlight w:val="none"/>
        </w:rPr>
        <w:t>年度预算编制阶段，组织对</w:t>
      </w:r>
      <w:r>
        <w:rPr>
          <w:rFonts w:hint="eastAsia" w:ascii="仿宋_GB2312" w:hAnsi="仿宋_GB2312" w:eastAsia="仿宋_GB2312" w:cs="仿宋_GB2312"/>
          <w:color w:val="auto"/>
          <w:sz w:val="32"/>
          <w:szCs w:val="32"/>
          <w:highlight w:val="none"/>
          <w:lang w:eastAsia="zh-CN"/>
        </w:rPr>
        <w:t>就业创业资金</w:t>
      </w:r>
      <w:r>
        <w:rPr>
          <w:rFonts w:hint="eastAsia" w:ascii="仿宋_GB2312" w:hAnsi="仿宋_GB2312" w:eastAsia="仿宋_GB2312" w:cs="仿宋_GB2312"/>
          <w:color w:val="auto"/>
          <w:sz w:val="32"/>
          <w:szCs w:val="32"/>
          <w:highlight w:val="none"/>
        </w:rPr>
        <w:t>项目等</w:t>
      </w:r>
      <w:r>
        <w:rPr>
          <w:rFonts w:hint="eastAsia" w:ascii="仿宋_GB2312" w:hAnsi="仿宋_GB2312" w:eastAsia="仿宋_GB2312" w:cs="仿宋_GB2312"/>
          <w:color w:val="auto"/>
          <w:sz w:val="32"/>
          <w:szCs w:val="32"/>
          <w:highlight w:val="none"/>
          <w:lang w:val="en-US" w:eastAsia="zh-CN"/>
        </w:rPr>
        <w:t>20</w:t>
      </w:r>
      <w:r>
        <w:rPr>
          <w:rFonts w:hint="eastAsia" w:ascii="仿宋_GB2312" w:hAnsi="仿宋_GB2312" w:eastAsia="仿宋_GB2312" w:cs="仿宋_GB2312"/>
          <w:color w:val="auto"/>
          <w:sz w:val="32"/>
          <w:szCs w:val="32"/>
          <w:highlight w:val="none"/>
        </w:rPr>
        <w:t>个项目开展了预算事前绩效评估，对</w:t>
      </w:r>
      <w:r>
        <w:rPr>
          <w:rFonts w:hint="eastAsia" w:ascii="仿宋_GB2312" w:hAnsi="仿宋_GB2312" w:eastAsia="仿宋_GB2312" w:cs="仿宋_GB2312"/>
          <w:color w:val="auto"/>
          <w:sz w:val="32"/>
          <w:szCs w:val="32"/>
          <w:highlight w:val="none"/>
          <w:lang w:val="en-US" w:eastAsia="zh-CN"/>
        </w:rPr>
        <w:t>20</w:t>
      </w:r>
      <w:r>
        <w:rPr>
          <w:rFonts w:hint="eastAsia" w:ascii="仿宋_GB2312" w:hAnsi="仿宋_GB2312" w:eastAsia="仿宋_GB2312" w:cs="仿宋_GB2312"/>
          <w:color w:val="auto"/>
          <w:sz w:val="32"/>
          <w:szCs w:val="32"/>
          <w:highlight w:val="none"/>
        </w:rPr>
        <w:t>个项目编制了绩效目标，预算执行过程中，选取</w:t>
      </w:r>
      <w:r>
        <w:rPr>
          <w:rFonts w:hint="eastAsia" w:ascii="仿宋_GB2312" w:hAnsi="仿宋_GB2312" w:eastAsia="仿宋_GB2312" w:cs="仿宋_GB2312"/>
          <w:color w:val="auto"/>
          <w:sz w:val="32"/>
          <w:szCs w:val="32"/>
          <w:highlight w:val="none"/>
          <w:lang w:val="en-US" w:eastAsia="zh-CN"/>
        </w:rPr>
        <w:t>19</w:t>
      </w:r>
      <w:r>
        <w:rPr>
          <w:rFonts w:hint="eastAsia" w:ascii="仿宋_GB2312" w:hAnsi="仿宋_GB2312" w:eastAsia="仿宋_GB2312" w:cs="仿宋_GB2312"/>
          <w:color w:val="auto"/>
          <w:sz w:val="32"/>
          <w:szCs w:val="32"/>
          <w:highlight w:val="none"/>
        </w:rPr>
        <w:t>个项目开展绩效监控。</w:t>
      </w:r>
    </w:p>
    <w:p>
      <w:pPr>
        <w:pageBreakBefore w:val="0"/>
        <w:widowControl/>
        <w:kinsoku/>
        <w:wordWrap/>
        <w:overflowPunct/>
        <w:topLinePunct w:val="0"/>
        <w:bidi w:val="0"/>
        <w:spacing w:line="576" w:lineRule="exact"/>
        <w:ind w:firstLine="640" w:firstLineChars="200"/>
        <w:jc w:val="left"/>
        <w:textAlignment w:val="auto"/>
        <w:rPr>
          <w:rFonts w:ascii="仿宋_GB2312" w:eastAsia="仿宋_GB2312"/>
          <w:b/>
          <w:color w:val="auto"/>
          <w:sz w:val="32"/>
          <w:szCs w:val="32"/>
          <w:highlight w:val="none"/>
        </w:rPr>
      </w:pPr>
      <w:r>
        <w:rPr>
          <w:rFonts w:hint="eastAsia" w:ascii="仿宋_GB2312" w:hAnsi="仿宋_GB2312" w:eastAsia="仿宋_GB2312" w:cs="仿宋_GB2312"/>
          <w:color w:val="auto"/>
          <w:sz w:val="32"/>
          <w:szCs w:val="32"/>
          <w:highlight w:val="none"/>
        </w:rPr>
        <w:t>组织对2022年度一般公共预算形成</w:t>
      </w:r>
      <w:r>
        <w:rPr>
          <w:rFonts w:hint="eastAsia" w:ascii="仿宋_GB2312" w:hAnsi="仿宋_GB2312" w:eastAsia="仿宋_GB2312" w:cs="仿宋_GB2312"/>
          <w:color w:val="auto"/>
          <w:sz w:val="32"/>
          <w:szCs w:val="32"/>
          <w:highlight w:val="none"/>
          <w:lang w:eastAsia="zh-CN"/>
        </w:rPr>
        <w:t>区人社局</w:t>
      </w:r>
      <w:r>
        <w:rPr>
          <w:rFonts w:hint="eastAsia" w:ascii="仿宋_GB2312" w:hAnsi="仿宋_GB2312" w:eastAsia="仿宋_GB2312" w:cs="仿宋_GB2312"/>
          <w:color w:val="auto"/>
          <w:sz w:val="32"/>
          <w:szCs w:val="32"/>
          <w:highlight w:val="none"/>
        </w:rPr>
        <w:t>部门整体（含部门预算项目）绩效自评报告、</w:t>
      </w:r>
      <w:r>
        <w:rPr>
          <w:rFonts w:hint="eastAsia" w:ascii="仿宋_GB2312" w:hAnsi="仿宋_GB2312" w:eastAsia="仿宋_GB2312" w:cs="仿宋_GB2312"/>
          <w:color w:val="auto"/>
          <w:sz w:val="32"/>
          <w:szCs w:val="32"/>
          <w:highlight w:val="none"/>
          <w:lang w:eastAsia="zh-CN"/>
        </w:rPr>
        <w:t>就业创业资金</w:t>
      </w:r>
      <w:r>
        <w:rPr>
          <w:rFonts w:hint="eastAsia" w:ascii="仿宋_GB2312" w:hAnsi="仿宋_GB2312" w:eastAsia="仿宋_GB2312" w:cs="仿宋_GB2312"/>
          <w:color w:val="auto"/>
          <w:sz w:val="32"/>
          <w:szCs w:val="32"/>
          <w:highlight w:val="none"/>
        </w:rPr>
        <w:t>等专项预算项目绩效自评报告，其中，</w:t>
      </w:r>
      <w:r>
        <w:rPr>
          <w:rFonts w:hint="eastAsia" w:ascii="仿宋_GB2312" w:hAnsi="仿宋_GB2312" w:eastAsia="仿宋_GB2312" w:cs="仿宋_GB2312"/>
          <w:color w:val="auto"/>
          <w:sz w:val="32"/>
          <w:szCs w:val="32"/>
          <w:highlight w:val="none"/>
          <w:lang w:eastAsia="zh-CN"/>
        </w:rPr>
        <w:t>区人社局</w:t>
      </w:r>
      <w:r>
        <w:rPr>
          <w:rFonts w:hint="eastAsia" w:ascii="仿宋_GB2312" w:hAnsi="仿宋_GB2312" w:eastAsia="仿宋_GB2312" w:cs="仿宋_GB2312"/>
          <w:color w:val="auto"/>
          <w:sz w:val="32"/>
          <w:szCs w:val="32"/>
          <w:highlight w:val="none"/>
        </w:rPr>
        <w:t>部门整体（含部门预算项目）绩效自评得分为</w:t>
      </w:r>
      <w:r>
        <w:rPr>
          <w:rFonts w:hint="eastAsia" w:ascii="仿宋_GB2312" w:hAnsi="仿宋_GB2312" w:eastAsia="仿宋_GB2312" w:cs="仿宋_GB2312"/>
          <w:color w:val="auto"/>
          <w:sz w:val="32"/>
          <w:szCs w:val="32"/>
          <w:highlight w:val="none"/>
          <w:lang w:val="en-US" w:eastAsia="zh-CN"/>
        </w:rPr>
        <w:t>95</w:t>
      </w:r>
      <w:r>
        <w:rPr>
          <w:rFonts w:hint="eastAsia" w:ascii="仿宋_GB2312" w:hAnsi="仿宋_GB2312" w:eastAsia="仿宋_GB2312" w:cs="仿宋_GB2312"/>
          <w:color w:val="auto"/>
          <w:sz w:val="32"/>
          <w:szCs w:val="32"/>
          <w:highlight w:val="none"/>
        </w:rPr>
        <w:t>分，绩效自评综述：</w:t>
      </w:r>
      <w:r>
        <w:rPr>
          <w:rFonts w:hint="eastAsia" w:ascii="仿宋_GB2312" w:hAnsi="仿宋_GB2312" w:eastAsia="仿宋_GB2312" w:cs="仿宋_GB2312"/>
          <w:color w:val="auto"/>
          <w:sz w:val="32"/>
          <w:szCs w:val="32"/>
          <w:highlight w:val="none"/>
          <w:lang w:eastAsia="zh-CN"/>
        </w:rPr>
        <w:t>区人社局</w:t>
      </w:r>
      <w:r>
        <w:rPr>
          <w:rFonts w:hint="eastAsia" w:ascii="仿宋_GB2312" w:hAnsi="仿宋_GB2312" w:eastAsia="仿宋_GB2312" w:cs="仿宋_GB2312"/>
          <w:color w:val="auto"/>
          <w:sz w:val="32"/>
          <w:szCs w:val="32"/>
          <w:highlight w:val="none"/>
        </w:rPr>
        <w:t>在各项目实施过程中，建立健全相关制度、机制，严格执行，推进各专项工作的落实。项目资金管理实行专项管理，严格审批制度，真正做到了专款专用，确保项目资金有效的利用。总体来说项目审核严格，管理到位，完成及时，社会效果良好</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绩效自评报告详见附件。</w:t>
      </w:r>
      <w:r>
        <w:rPr>
          <w:rFonts w:ascii="仿宋_GB2312" w:eastAsia="仿宋_GB2312"/>
          <w:b/>
          <w:color w:val="auto"/>
          <w:sz w:val="32"/>
          <w:szCs w:val="32"/>
          <w:highlight w:val="none"/>
        </w:rPr>
        <w:br w:type="page"/>
      </w:r>
    </w:p>
    <w:p>
      <w:pPr>
        <w:pageBreakBefore w:val="0"/>
        <w:numPr>
          <w:ilvl w:val="0"/>
          <w:numId w:val="4"/>
        </w:numPr>
        <w:kinsoku/>
        <w:wordWrap/>
        <w:overflowPunct/>
        <w:topLinePunct w:val="0"/>
        <w:bidi w:val="0"/>
        <w:spacing w:line="576" w:lineRule="exact"/>
        <w:ind w:firstLine="660" w:firstLineChars="150"/>
        <w:jc w:val="center"/>
        <w:textAlignment w:val="auto"/>
        <w:outlineLvl w:val="0"/>
        <w:rPr>
          <w:rStyle w:val="28"/>
          <w:rFonts w:ascii="黑体" w:hAnsi="黑体" w:eastAsia="黑体"/>
          <w:b w:val="0"/>
          <w:color w:val="auto"/>
          <w:highlight w:val="none"/>
        </w:rPr>
      </w:pPr>
      <w:bookmarkStart w:id="79" w:name="_Toc11074"/>
      <w:bookmarkStart w:id="80" w:name="_Toc15396613"/>
      <w:bookmarkStart w:id="81" w:name="_Toc15377225"/>
      <w:r>
        <w:rPr>
          <w:rFonts w:hint="eastAsia" w:ascii="黑体" w:hAnsi="黑体" w:eastAsia="黑体"/>
          <w:color w:val="auto"/>
          <w:sz w:val="44"/>
          <w:szCs w:val="44"/>
          <w:highlight w:val="none"/>
        </w:rPr>
        <w:t>名</w:t>
      </w:r>
      <w:r>
        <w:rPr>
          <w:rStyle w:val="28"/>
          <w:rFonts w:hint="eastAsia" w:ascii="黑体" w:hAnsi="黑体" w:eastAsia="黑体"/>
          <w:b w:val="0"/>
          <w:color w:val="auto"/>
          <w:highlight w:val="none"/>
        </w:rPr>
        <w:t>词解释</w:t>
      </w:r>
      <w:bookmarkEnd w:id="79"/>
      <w:bookmarkEnd w:id="80"/>
      <w:bookmarkEnd w:id="81"/>
    </w:p>
    <w:p>
      <w:pPr>
        <w:pageBreakBefore w:val="0"/>
        <w:kinsoku/>
        <w:wordWrap/>
        <w:overflowPunct/>
        <w:topLinePunct w:val="0"/>
        <w:bidi w:val="0"/>
        <w:spacing w:line="576" w:lineRule="exact"/>
        <w:jc w:val="left"/>
        <w:textAlignment w:val="auto"/>
        <w:rPr>
          <w:rFonts w:ascii="宋体"/>
          <w:b/>
          <w:color w:val="auto"/>
          <w:sz w:val="44"/>
          <w:szCs w:val="44"/>
          <w:highlight w:val="none"/>
        </w:rPr>
      </w:pPr>
    </w:p>
    <w:p>
      <w:pPr>
        <w:autoSpaceDE w:val="0"/>
        <w:autoSpaceDN w:val="0"/>
        <w:adjustRightInd w:val="0"/>
        <w:spacing w:line="576" w:lineRule="exact"/>
        <w:ind w:firstLine="640" w:firstLineChars="200"/>
        <w:outlineLvl w:val="9"/>
        <w:rPr>
          <w:rFonts w:eastAsia="仿宋_GB2312"/>
          <w:kern w:val="0"/>
          <w:sz w:val="32"/>
          <w:szCs w:val="32"/>
          <w:highlight w:val="none"/>
        </w:rPr>
      </w:pPr>
      <w:bookmarkStart w:id="82" w:name="_Toc24647"/>
      <w:bookmarkStart w:id="83" w:name="_Toc15377226"/>
      <w:r>
        <w:rPr>
          <w:rFonts w:eastAsia="仿宋_GB2312"/>
          <w:kern w:val="0"/>
          <w:sz w:val="32"/>
          <w:szCs w:val="32"/>
          <w:highlight w:val="none"/>
        </w:rPr>
        <w:t>1.财政拨款收入：指单位从同级财政部门取得的财政预算资金。</w:t>
      </w:r>
      <w:bookmarkEnd w:id="82"/>
    </w:p>
    <w:p>
      <w:pPr>
        <w:autoSpaceDE w:val="0"/>
        <w:autoSpaceDN w:val="0"/>
        <w:adjustRightInd w:val="0"/>
        <w:spacing w:line="576" w:lineRule="exact"/>
        <w:ind w:firstLine="640" w:firstLineChars="200"/>
        <w:rPr>
          <w:rFonts w:eastAsia="仿宋_GB2312"/>
          <w:kern w:val="0"/>
          <w:sz w:val="32"/>
          <w:szCs w:val="32"/>
          <w:highlight w:val="none"/>
        </w:rPr>
      </w:pPr>
      <w:r>
        <w:rPr>
          <w:rFonts w:eastAsia="仿宋_GB2312"/>
          <w:kern w:val="0"/>
          <w:sz w:val="32"/>
          <w:szCs w:val="32"/>
          <w:highlight w:val="none"/>
        </w:rPr>
        <w:t xml:space="preserve">2.年初结转和结余：指以前年度尚未完成、结转到本年按有关规定继续使用的资金。 </w:t>
      </w:r>
    </w:p>
    <w:p>
      <w:pPr>
        <w:autoSpaceDE w:val="0"/>
        <w:autoSpaceDN w:val="0"/>
        <w:adjustRightInd w:val="0"/>
        <w:spacing w:line="576" w:lineRule="exact"/>
        <w:ind w:firstLine="640" w:firstLineChars="200"/>
        <w:rPr>
          <w:rFonts w:eastAsia="仿宋_GB2312"/>
          <w:kern w:val="0"/>
          <w:sz w:val="32"/>
          <w:szCs w:val="32"/>
          <w:highlight w:val="none"/>
        </w:rPr>
      </w:pPr>
      <w:r>
        <w:rPr>
          <w:rFonts w:eastAsia="仿宋_GB2312"/>
          <w:kern w:val="0"/>
          <w:sz w:val="32"/>
          <w:szCs w:val="32"/>
          <w:highlight w:val="none"/>
        </w:rPr>
        <w:t>3、年末结转和结余：指单位按有关规定结转到下年或以后年度继续使用的资金。</w:t>
      </w:r>
    </w:p>
    <w:p>
      <w:pPr>
        <w:autoSpaceDE w:val="0"/>
        <w:autoSpaceDN w:val="0"/>
        <w:adjustRightInd w:val="0"/>
        <w:spacing w:line="576" w:lineRule="exact"/>
        <w:ind w:firstLine="640" w:firstLineChars="200"/>
        <w:rPr>
          <w:rFonts w:eastAsia="仿宋_GB2312"/>
          <w:kern w:val="0"/>
          <w:sz w:val="32"/>
          <w:szCs w:val="32"/>
          <w:highlight w:val="none"/>
        </w:rPr>
      </w:pPr>
      <w:r>
        <w:rPr>
          <w:rFonts w:eastAsia="仿宋_GB2312"/>
          <w:kern w:val="0"/>
          <w:sz w:val="32"/>
          <w:szCs w:val="32"/>
          <w:highlight w:val="none"/>
        </w:rPr>
        <w:t>4.社会保障和就业支出（类）-人力资源和社会保障管理事务（款）-行政运行（项）：指局机关及二级经办机构用于保障机构正常运行、开展日常工作的基本支出。</w:t>
      </w:r>
    </w:p>
    <w:p>
      <w:pPr>
        <w:autoSpaceDE w:val="0"/>
        <w:autoSpaceDN w:val="0"/>
        <w:adjustRightInd w:val="0"/>
        <w:spacing w:line="576" w:lineRule="exact"/>
        <w:ind w:firstLine="640" w:firstLineChars="200"/>
        <w:rPr>
          <w:rFonts w:eastAsia="仿宋_GB2312"/>
          <w:kern w:val="0"/>
          <w:sz w:val="32"/>
          <w:szCs w:val="32"/>
          <w:highlight w:val="none"/>
        </w:rPr>
      </w:pPr>
      <w:r>
        <w:rPr>
          <w:rFonts w:eastAsia="仿宋_GB2312"/>
          <w:kern w:val="0"/>
          <w:sz w:val="32"/>
          <w:szCs w:val="32"/>
          <w:highlight w:val="none"/>
        </w:rPr>
        <w:t>5.社会保障和就业支出（类）-人力资源和社会保障管理事务（款）-机关服务（项）：指局机关开展人事人才工作等方面的基本支出。</w:t>
      </w:r>
    </w:p>
    <w:p>
      <w:pPr>
        <w:autoSpaceDE w:val="0"/>
        <w:autoSpaceDN w:val="0"/>
        <w:adjustRightInd w:val="0"/>
        <w:spacing w:line="576" w:lineRule="exact"/>
        <w:ind w:firstLine="640" w:firstLineChars="200"/>
        <w:rPr>
          <w:rFonts w:eastAsia="仿宋_GB2312"/>
          <w:kern w:val="0"/>
          <w:sz w:val="32"/>
          <w:szCs w:val="32"/>
          <w:highlight w:val="none"/>
        </w:rPr>
      </w:pPr>
      <w:r>
        <w:rPr>
          <w:rFonts w:eastAsia="仿宋_GB2312"/>
          <w:kern w:val="0"/>
          <w:sz w:val="32"/>
          <w:szCs w:val="32"/>
          <w:highlight w:val="none"/>
        </w:rPr>
        <w:t>6.社会保障和就业支出（类）-人力资源和社会保障管理事务（款）-劳动保障监察（项）：指二级经办机构劳动保障监察大队开展劳动保障监察业务等工作的基本支出和仲裁院开展劳动人事争议仲裁业务等方面的基本支出。</w:t>
      </w:r>
    </w:p>
    <w:p>
      <w:pPr>
        <w:autoSpaceDE w:val="0"/>
        <w:autoSpaceDN w:val="0"/>
        <w:adjustRightInd w:val="0"/>
        <w:spacing w:line="576" w:lineRule="exact"/>
        <w:ind w:firstLine="640" w:firstLineChars="200"/>
        <w:rPr>
          <w:rFonts w:eastAsia="仿宋_GB2312"/>
          <w:kern w:val="0"/>
          <w:sz w:val="32"/>
          <w:szCs w:val="32"/>
          <w:highlight w:val="none"/>
        </w:rPr>
      </w:pPr>
      <w:r>
        <w:rPr>
          <w:rFonts w:eastAsia="仿宋_GB2312"/>
          <w:kern w:val="0"/>
          <w:sz w:val="32"/>
          <w:szCs w:val="32"/>
          <w:highlight w:val="none"/>
        </w:rPr>
        <w:t>7.社会保障和就业支出（类）-人力资源和社会保障管理事务（款）-就业管理事务（项）：指二级经办机构就业服务中心开展就业创业、就业扶贫、返乡创业培训等工作的项目支出。</w:t>
      </w:r>
    </w:p>
    <w:p>
      <w:pPr>
        <w:autoSpaceDE w:val="0"/>
        <w:autoSpaceDN w:val="0"/>
        <w:adjustRightInd w:val="0"/>
        <w:spacing w:line="576" w:lineRule="exact"/>
        <w:ind w:firstLine="640" w:firstLineChars="200"/>
        <w:rPr>
          <w:rFonts w:eastAsia="仿宋_GB2312"/>
          <w:kern w:val="0"/>
          <w:sz w:val="32"/>
          <w:szCs w:val="32"/>
          <w:highlight w:val="none"/>
        </w:rPr>
      </w:pPr>
      <w:r>
        <w:rPr>
          <w:rFonts w:eastAsia="仿宋_GB2312"/>
          <w:kern w:val="0"/>
          <w:sz w:val="32"/>
          <w:szCs w:val="32"/>
          <w:highlight w:val="none"/>
        </w:rPr>
        <w:t>8.社会保障和就业支出（类）-人力资源和社会保障管理事务（款）-信息化建设（项）：指二级经办机构用于金保网运行维护等方面的基本支出。</w:t>
      </w:r>
    </w:p>
    <w:p>
      <w:pPr>
        <w:autoSpaceDE w:val="0"/>
        <w:autoSpaceDN w:val="0"/>
        <w:adjustRightInd w:val="0"/>
        <w:spacing w:line="576" w:lineRule="exact"/>
        <w:ind w:firstLine="640" w:firstLineChars="200"/>
        <w:rPr>
          <w:rFonts w:eastAsia="仿宋_GB2312"/>
          <w:kern w:val="0"/>
          <w:sz w:val="32"/>
          <w:szCs w:val="32"/>
          <w:highlight w:val="none"/>
        </w:rPr>
      </w:pPr>
      <w:r>
        <w:rPr>
          <w:rFonts w:eastAsia="仿宋_GB2312"/>
          <w:kern w:val="0"/>
          <w:sz w:val="32"/>
          <w:szCs w:val="32"/>
          <w:highlight w:val="none"/>
        </w:rPr>
        <w:t>9.社会保障和就业支出（类）-人力资源和社会保障管理事务（款）-社会保险经办机构（项）：指二级经办机构社保服务中心、机保服务中心、居保服务中心开展社会保险业务、劳务派遣等方面的基本支出。</w:t>
      </w:r>
    </w:p>
    <w:p>
      <w:pPr>
        <w:autoSpaceDE w:val="0"/>
        <w:autoSpaceDN w:val="0"/>
        <w:adjustRightInd w:val="0"/>
        <w:spacing w:line="576" w:lineRule="exact"/>
        <w:ind w:firstLine="640" w:firstLineChars="200"/>
        <w:rPr>
          <w:rFonts w:eastAsia="仿宋_GB2312"/>
          <w:kern w:val="0"/>
          <w:sz w:val="32"/>
          <w:szCs w:val="32"/>
          <w:highlight w:val="none"/>
        </w:rPr>
      </w:pPr>
      <w:r>
        <w:rPr>
          <w:rFonts w:eastAsia="仿宋_GB2312"/>
          <w:kern w:val="0"/>
          <w:sz w:val="32"/>
          <w:szCs w:val="32"/>
          <w:highlight w:val="none"/>
        </w:rPr>
        <w:t>10.社会保障和就业支出（类）-人力资源和社会保障管理事务（款）-其他人力资源和社会保障管理事务支出（项）：指人社局除上述项目外，开展其他人力资源和社会保障管理事务方面专门性工作任务的支出，如退休干部适当补贴、建国初期退休干部困难补助和企业军转干部困难补助及慰问基本支出和定向财力转移支付项目支出。</w:t>
      </w:r>
    </w:p>
    <w:p>
      <w:pPr>
        <w:autoSpaceDE w:val="0"/>
        <w:autoSpaceDN w:val="0"/>
        <w:adjustRightInd w:val="0"/>
        <w:spacing w:line="576" w:lineRule="exact"/>
        <w:ind w:firstLine="640" w:firstLineChars="200"/>
        <w:rPr>
          <w:rFonts w:eastAsia="仿宋_GB2312"/>
          <w:kern w:val="0"/>
          <w:sz w:val="32"/>
          <w:szCs w:val="32"/>
          <w:highlight w:val="none"/>
        </w:rPr>
      </w:pPr>
      <w:r>
        <w:rPr>
          <w:rFonts w:eastAsia="仿宋_GB2312"/>
          <w:kern w:val="0"/>
          <w:sz w:val="32"/>
          <w:szCs w:val="32"/>
          <w:highlight w:val="none"/>
        </w:rPr>
        <w:t>11.社会保障和就业支出（类）-行政事业单位离退休（款）-归口管理的行政单位离退休（项）：指局机关离退休人员的支出。</w:t>
      </w:r>
    </w:p>
    <w:p>
      <w:pPr>
        <w:autoSpaceDE w:val="0"/>
        <w:autoSpaceDN w:val="0"/>
        <w:adjustRightInd w:val="0"/>
        <w:spacing w:line="576" w:lineRule="exact"/>
        <w:ind w:firstLine="640" w:firstLineChars="200"/>
        <w:rPr>
          <w:rFonts w:eastAsia="仿宋_GB2312"/>
          <w:kern w:val="0"/>
          <w:sz w:val="32"/>
          <w:szCs w:val="32"/>
          <w:highlight w:val="none"/>
        </w:rPr>
      </w:pPr>
      <w:r>
        <w:rPr>
          <w:rFonts w:eastAsia="仿宋_GB2312"/>
          <w:kern w:val="0"/>
          <w:sz w:val="32"/>
          <w:szCs w:val="32"/>
          <w:highlight w:val="none"/>
        </w:rPr>
        <w:t>12</w:t>
      </w:r>
      <w:r>
        <w:rPr>
          <w:rFonts w:hint="eastAsia" w:eastAsia="仿宋_GB2312"/>
          <w:kern w:val="0"/>
          <w:sz w:val="32"/>
          <w:szCs w:val="32"/>
          <w:highlight w:val="none"/>
          <w:lang w:val="en-US" w:eastAsia="zh-CN"/>
        </w:rPr>
        <w:t>.</w:t>
      </w:r>
      <w:r>
        <w:rPr>
          <w:rFonts w:eastAsia="仿宋_GB2312"/>
          <w:kern w:val="0"/>
          <w:sz w:val="32"/>
          <w:szCs w:val="32"/>
          <w:highlight w:val="none"/>
        </w:rPr>
        <w:t>社会保障和就业支出（类）-行政事业单位离退休（款）-机关事业单位基本养老保险缴费支出（项）：指单位按规定为职工缴纳的养老保险费。</w:t>
      </w:r>
    </w:p>
    <w:p>
      <w:pPr>
        <w:autoSpaceDE w:val="0"/>
        <w:autoSpaceDN w:val="0"/>
        <w:adjustRightInd w:val="0"/>
        <w:spacing w:line="576" w:lineRule="exact"/>
        <w:ind w:firstLine="640" w:firstLineChars="200"/>
        <w:rPr>
          <w:rFonts w:eastAsia="仿宋_GB2312"/>
          <w:kern w:val="0"/>
          <w:sz w:val="32"/>
          <w:szCs w:val="32"/>
          <w:highlight w:val="none"/>
        </w:rPr>
      </w:pPr>
      <w:r>
        <w:rPr>
          <w:rFonts w:eastAsia="仿宋_GB2312"/>
          <w:kern w:val="0"/>
          <w:sz w:val="32"/>
          <w:szCs w:val="32"/>
          <w:highlight w:val="none"/>
        </w:rPr>
        <w:t>13</w:t>
      </w:r>
      <w:r>
        <w:rPr>
          <w:rFonts w:hint="eastAsia" w:eastAsia="仿宋_GB2312"/>
          <w:kern w:val="0"/>
          <w:sz w:val="32"/>
          <w:szCs w:val="32"/>
          <w:highlight w:val="none"/>
          <w:lang w:val="en-US" w:eastAsia="zh-CN"/>
        </w:rPr>
        <w:t>.</w:t>
      </w:r>
      <w:r>
        <w:rPr>
          <w:rFonts w:eastAsia="仿宋_GB2312"/>
          <w:kern w:val="0"/>
          <w:sz w:val="32"/>
          <w:szCs w:val="32"/>
          <w:highlight w:val="none"/>
        </w:rPr>
        <w:t>社会保障和就业支出（类）-行政事业单位离退休（款）-机关事业单位职业年金缴费支出（项）：指单位按规定为职工缴纳的职业年金。</w:t>
      </w:r>
    </w:p>
    <w:p>
      <w:pPr>
        <w:autoSpaceDE w:val="0"/>
        <w:autoSpaceDN w:val="0"/>
        <w:adjustRightInd w:val="0"/>
        <w:spacing w:line="576" w:lineRule="exact"/>
        <w:ind w:firstLine="640" w:firstLineChars="200"/>
        <w:rPr>
          <w:rFonts w:eastAsia="仿宋_GB2312"/>
          <w:kern w:val="0"/>
          <w:sz w:val="32"/>
          <w:szCs w:val="32"/>
          <w:highlight w:val="none"/>
        </w:rPr>
      </w:pPr>
      <w:r>
        <w:rPr>
          <w:rFonts w:eastAsia="仿宋_GB2312"/>
          <w:kern w:val="0"/>
          <w:sz w:val="32"/>
          <w:szCs w:val="32"/>
          <w:highlight w:val="none"/>
        </w:rPr>
        <w:t>14.医疗卫生与计划生育支出（类）-行政事业单位医疗（款）-行政单位医疗（项）：指局单位按规定为公务员缴纳的基本医疗保险。</w:t>
      </w:r>
    </w:p>
    <w:p>
      <w:pPr>
        <w:autoSpaceDE w:val="0"/>
        <w:autoSpaceDN w:val="0"/>
        <w:adjustRightInd w:val="0"/>
        <w:spacing w:line="576" w:lineRule="exact"/>
        <w:ind w:firstLine="640" w:firstLineChars="200"/>
        <w:rPr>
          <w:rFonts w:eastAsia="仿宋_GB2312"/>
          <w:kern w:val="0"/>
          <w:sz w:val="32"/>
          <w:szCs w:val="32"/>
          <w:highlight w:val="none"/>
        </w:rPr>
      </w:pPr>
      <w:r>
        <w:rPr>
          <w:rFonts w:eastAsia="仿宋_GB2312"/>
          <w:kern w:val="0"/>
          <w:sz w:val="32"/>
          <w:szCs w:val="32"/>
          <w:highlight w:val="none"/>
        </w:rPr>
        <w:t>15.医疗卫生与计划生育支出（类）-行政事业单位医疗（款）-事业单位医疗（项）：指局单位按规定为事业人员缴纳的基本医疗保险。</w:t>
      </w:r>
    </w:p>
    <w:p>
      <w:pPr>
        <w:autoSpaceDE w:val="0"/>
        <w:autoSpaceDN w:val="0"/>
        <w:adjustRightInd w:val="0"/>
        <w:spacing w:line="576" w:lineRule="exact"/>
        <w:ind w:firstLine="640" w:firstLineChars="200"/>
        <w:rPr>
          <w:rFonts w:eastAsia="仿宋_GB2312"/>
          <w:kern w:val="0"/>
          <w:sz w:val="32"/>
          <w:szCs w:val="32"/>
          <w:highlight w:val="none"/>
        </w:rPr>
      </w:pPr>
      <w:r>
        <w:rPr>
          <w:rFonts w:eastAsia="仿宋_GB2312"/>
          <w:kern w:val="0"/>
          <w:sz w:val="32"/>
          <w:szCs w:val="32"/>
          <w:highlight w:val="none"/>
        </w:rPr>
        <w:t>16.农林水支出（类）-扶贫（款）-其他扶贫支出（项）：指</w:t>
      </w:r>
      <w:r>
        <w:rPr>
          <w:rFonts w:eastAsia="仿宋_GB2312"/>
          <w:sz w:val="32"/>
          <w:szCs w:val="32"/>
          <w:highlight w:val="none"/>
        </w:rPr>
        <w:t>东西部协作帮扶（劳务协作）和东西部协作人才交流（专家咨询服务活动）专项</w:t>
      </w:r>
      <w:r>
        <w:rPr>
          <w:rFonts w:eastAsia="仿宋_GB2312"/>
          <w:kern w:val="0"/>
          <w:sz w:val="32"/>
          <w:szCs w:val="32"/>
          <w:highlight w:val="none"/>
        </w:rPr>
        <w:t>工作的项目支出。</w:t>
      </w:r>
    </w:p>
    <w:p>
      <w:pPr>
        <w:autoSpaceDE w:val="0"/>
        <w:autoSpaceDN w:val="0"/>
        <w:adjustRightInd w:val="0"/>
        <w:spacing w:line="576" w:lineRule="exact"/>
        <w:ind w:firstLine="640" w:firstLineChars="200"/>
        <w:rPr>
          <w:rFonts w:eastAsia="仿宋_GB2312"/>
          <w:kern w:val="0"/>
          <w:sz w:val="32"/>
          <w:szCs w:val="32"/>
          <w:highlight w:val="none"/>
        </w:rPr>
      </w:pPr>
      <w:r>
        <w:rPr>
          <w:rFonts w:eastAsia="仿宋_GB2312"/>
          <w:kern w:val="0"/>
          <w:sz w:val="32"/>
          <w:szCs w:val="32"/>
          <w:highlight w:val="none"/>
        </w:rPr>
        <w:t>17.农林水支出（类）-普惠金融发展支出（款）-创业担保贷款贴息（项）：指创业担保贷款贴息和创业担保贷款贴息财政奖补专项工作的项目支出。</w:t>
      </w:r>
    </w:p>
    <w:p>
      <w:pPr>
        <w:autoSpaceDE w:val="0"/>
        <w:autoSpaceDN w:val="0"/>
        <w:adjustRightInd w:val="0"/>
        <w:spacing w:line="576" w:lineRule="exact"/>
        <w:ind w:firstLine="640" w:firstLineChars="200"/>
        <w:rPr>
          <w:rFonts w:eastAsia="仿宋_GB2312"/>
          <w:kern w:val="0"/>
          <w:sz w:val="32"/>
          <w:szCs w:val="32"/>
          <w:highlight w:val="none"/>
        </w:rPr>
      </w:pPr>
      <w:r>
        <w:rPr>
          <w:rFonts w:eastAsia="仿宋_GB2312"/>
          <w:kern w:val="0"/>
          <w:sz w:val="32"/>
          <w:szCs w:val="32"/>
          <w:highlight w:val="none"/>
        </w:rPr>
        <w:t>18.住房保障支出（类）-住房改革支出（款）-住房公积金（项）：指单位按规定为职工缴纳的住房公积金。</w:t>
      </w:r>
    </w:p>
    <w:p>
      <w:pPr>
        <w:autoSpaceDE w:val="0"/>
        <w:autoSpaceDN w:val="0"/>
        <w:adjustRightInd w:val="0"/>
        <w:spacing w:line="576" w:lineRule="exact"/>
        <w:ind w:firstLine="640" w:firstLineChars="200"/>
        <w:rPr>
          <w:rFonts w:eastAsia="仿宋_GB2312"/>
          <w:kern w:val="0"/>
          <w:sz w:val="32"/>
          <w:szCs w:val="32"/>
          <w:highlight w:val="none"/>
        </w:rPr>
      </w:pPr>
      <w:r>
        <w:rPr>
          <w:rFonts w:eastAsia="仿宋_GB2312"/>
          <w:kern w:val="0"/>
          <w:sz w:val="32"/>
          <w:szCs w:val="32"/>
          <w:highlight w:val="none"/>
        </w:rPr>
        <w:t>19.基本支出：指为保障机构正常运转、完成日常工作任务而发生的人员支出和公用支出。</w:t>
      </w:r>
    </w:p>
    <w:p>
      <w:pPr>
        <w:autoSpaceDE w:val="0"/>
        <w:autoSpaceDN w:val="0"/>
        <w:adjustRightInd w:val="0"/>
        <w:spacing w:line="576" w:lineRule="exact"/>
        <w:ind w:firstLine="640" w:firstLineChars="200"/>
        <w:rPr>
          <w:rFonts w:eastAsia="仿宋_GB2312"/>
          <w:kern w:val="0"/>
          <w:sz w:val="32"/>
          <w:szCs w:val="32"/>
          <w:highlight w:val="none"/>
        </w:rPr>
      </w:pPr>
      <w:r>
        <w:rPr>
          <w:rFonts w:eastAsia="仿宋_GB2312"/>
          <w:kern w:val="0"/>
          <w:sz w:val="32"/>
          <w:szCs w:val="32"/>
          <w:highlight w:val="none"/>
        </w:rPr>
        <w:t xml:space="preserve">20.项目支出：指在基本支出之外为完成特定行政任务和事业发展目标所发生的支出。 </w:t>
      </w:r>
    </w:p>
    <w:p>
      <w:pPr>
        <w:autoSpaceDE w:val="0"/>
        <w:autoSpaceDN w:val="0"/>
        <w:adjustRightInd w:val="0"/>
        <w:spacing w:line="576" w:lineRule="exact"/>
        <w:ind w:firstLine="640" w:firstLineChars="200"/>
        <w:rPr>
          <w:rFonts w:eastAsia="仿宋_GB2312"/>
          <w:kern w:val="0"/>
          <w:sz w:val="32"/>
          <w:szCs w:val="32"/>
          <w:highlight w:val="none"/>
        </w:rPr>
      </w:pPr>
      <w:r>
        <w:rPr>
          <w:rFonts w:eastAsia="仿宋_GB2312"/>
          <w:kern w:val="0"/>
          <w:sz w:val="32"/>
          <w:szCs w:val="32"/>
          <w:highlight w:val="none"/>
        </w:rPr>
        <w:t>21.三公”经费：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车辆购置支出（含车辆购置税）及租用费、燃料费、维修费、过路过桥费、保险费等支出；公务接待费反映单位按规定开支的各类公务接待（含外宾接待）支出。</w:t>
      </w:r>
    </w:p>
    <w:p>
      <w:pPr>
        <w:autoSpaceDE w:val="0"/>
        <w:autoSpaceDN w:val="0"/>
        <w:adjustRightInd w:val="0"/>
        <w:spacing w:line="576" w:lineRule="exact"/>
        <w:ind w:firstLine="640" w:firstLineChars="200"/>
        <w:rPr>
          <w:rFonts w:eastAsia="仿宋_GB2312"/>
          <w:kern w:val="0"/>
          <w:sz w:val="32"/>
          <w:szCs w:val="32"/>
          <w:highlight w:val="none"/>
        </w:rPr>
      </w:pPr>
      <w:r>
        <w:rPr>
          <w:rFonts w:eastAsia="仿宋_GB2312"/>
          <w:kern w:val="0"/>
          <w:sz w:val="32"/>
          <w:szCs w:val="32"/>
          <w:highlight w:val="none"/>
        </w:rPr>
        <w:t>22</w:t>
      </w:r>
      <w:r>
        <w:rPr>
          <w:rFonts w:hint="eastAsia" w:eastAsia="仿宋_GB2312"/>
          <w:kern w:val="0"/>
          <w:sz w:val="32"/>
          <w:szCs w:val="32"/>
          <w:highlight w:val="none"/>
          <w:lang w:val="en-US" w:eastAsia="zh-CN"/>
        </w:rPr>
        <w:t>.</w:t>
      </w:r>
      <w:r>
        <w:rPr>
          <w:rFonts w:eastAsia="仿宋_GB2312"/>
          <w:kern w:val="0"/>
          <w:sz w:val="32"/>
          <w:szCs w:val="32"/>
          <w:highlight w:val="none"/>
        </w:rPr>
        <w:t>机关运行经费：为保障行政单位（含参照公务员法管理的事业单位）运行用于购买货物和服务的各项资金，包括办公及印刷费、邮电费、差旅费、会议费、福利费、日常维修费、专用材料及一般设备购置费、办公用房水电费、办公用房取暖费、办公用房物业管理费、公务用车运行维护费以及其他费用。</w:t>
      </w:r>
    </w:p>
    <w:p>
      <w:pPr>
        <w:pageBreakBefore w:val="0"/>
        <w:kinsoku/>
        <w:wordWrap/>
        <w:overflowPunct/>
        <w:topLinePunct w:val="0"/>
        <w:bidi w:val="0"/>
        <w:spacing w:line="576" w:lineRule="exact"/>
        <w:jc w:val="center"/>
        <w:textAlignment w:val="auto"/>
        <w:outlineLvl w:val="0"/>
        <w:rPr>
          <w:rStyle w:val="28"/>
          <w:rFonts w:hint="eastAsia" w:ascii="黑体" w:hAnsi="黑体" w:eastAsia="黑体"/>
          <w:b w:val="0"/>
          <w:color w:val="auto"/>
          <w:highlight w:val="none"/>
          <w:lang w:eastAsia="zh-CN"/>
        </w:rPr>
      </w:pPr>
      <w:r>
        <w:rPr>
          <w:rFonts w:ascii="宋体"/>
          <w:b/>
          <w:color w:val="auto"/>
          <w:sz w:val="44"/>
          <w:szCs w:val="44"/>
          <w:highlight w:val="none"/>
        </w:rPr>
        <w:br w:type="page"/>
      </w:r>
      <w:bookmarkStart w:id="84" w:name="_Toc21426"/>
      <w:bookmarkStart w:id="85" w:name="_Toc15396614"/>
      <w:r>
        <w:rPr>
          <w:rFonts w:hint="eastAsia" w:ascii="黑体" w:hAnsi="黑体" w:eastAsia="黑体"/>
          <w:color w:val="auto"/>
          <w:sz w:val="44"/>
          <w:szCs w:val="44"/>
          <w:highlight w:val="none"/>
        </w:rPr>
        <w:t>第</w:t>
      </w:r>
      <w:r>
        <w:rPr>
          <w:rStyle w:val="28"/>
          <w:rFonts w:hint="eastAsia" w:ascii="黑体" w:hAnsi="黑体" w:eastAsia="黑体"/>
          <w:b w:val="0"/>
          <w:color w:val="auto"/>
          <w:highlight w:val="none"/>
        </w:rPr>
        <w:t>四部分 附件</w:t>
      </w:r>
      <w:bookmarkEnd w:id="84"/>
      <w:bookmarkEnd w:id="85"/>
    </w:p>
    <w:p>
      <w:pPr>
        <w:keepNext w:val="0"/>
        <w:keepLines w:val="0"/>
        <w:pageBreakBefore w:val="0"/>
        <w:widowControl/>
        <w:kinsoku/>
        <w:wordWrap/>
        <w:overflowPunct/>
        <w:topLinePunct w:val="0"/>
        <w:autoSpaceDE/>
        <w:autoSpaceDN/>
        <w:bidi w:val="0"/>
        <w:adjustRightInd w:val="0"/>
        <w:snapToGrid w:val="0"/>
        <w:spacing w:line="576" w:lineRule="exact"/>
        <w:contextualSpacing/>
        <w:jc w:val="both"/>
        <w:textAlignment w:val="auto"/>
        <w:outlineLvl w:val="1"/>
        <w:rPr>
          <w:rFonts w:hint="eastAsia" w:ascii="宋体" w:hAnsi="宋体"/>
          <w:b/>
          <w:color w:val="auto"/>
          <w:sz w:val="44"/>
          <w:szCs w:val="44"/>
          <w:highlight w:val="none"/>
          <w:shd w:val="clear" w:color="auto" w:fill="FFFFFF"/>
          <w:lang w:val="en-US" w:eastAsia="zh-CN"/>
        </w:rPr>
      </w:pPr>
    </w:p>
    <w:p>
      <w:pPr>
        <w:keepNext w:val="0"/>
        <w:keepLines w:val="0"/>
        <w:pageBreakBefore w:val="0"/>
        <w:widowControl/>
        <w:kinsoku/>
        <w:wordWrap/>
        <w:overflowPunct/>
        <w:topLinePunct w:val="0"/>
        <w:autoSpaceDE/>
        <w:autoSpaceDN/>
        <w:bidi w:val="0"/>
        <w:adjustRightInd w:val="0"/>
        <w:snapToGrid w:val="0"/>
        <w:spacing w:line="576" w:lineRule="exact"/>
        <w:contextualSpacing/>
        <w:jc w:val="left"/>
        <w:textAlignment w:val="auto"/>
        <w:outlineLvl w:val="1"/>
        <w:rPr>
          <w:rFonts w:hint="eastAsia" w:ascii="黑体" w:hAnsi="黑体" w:eastAsia="黑体" w:cs="黑体"/>
          <w:b w:val="0"/>
          <w:bCs/>
          <w:color w:val="auto"/>
          <w:sz w:val="32"/>
          <w:szCs w:val="32"/>
          <w:highlight w:val="none"/>
          <w:shd w:val="clear" w:color="auto" w:fill="FFFFFF"/>
          <w:lang w:val="en-US" w:eastAsia="zh-CN"/>
        </w:rPr>
      </w:pPr>
      <w:bookmarkStart w:id="86" w:name="_Toc30892"/>
      <w:r>
        <w:rPr>
          <w:rFonts w:hint="eastAsia" w:ascii="黑体" w:hAnsi="黑体" w:eastAsia="黑体" w:cs="黑体"/>
          <w:b w:val="0"/>
          <w:bCs/>
          <w:color w:val="auto"/>
          <w:sz w:val="32"/>
          <w:szCs w:val="32"/>
          <w:highlight w:val="none"/>
          <w:shd w:val="clear" w:color="auto" w:fill="FFFFFF"/>
          <w:lang w:val="en-US" w:eastAsia="zh-CN"/>
        </w:rPr>
        <w:t>附件1</w:t>
      </w:r>
      <w:bookmarkEnd w:id="86"/>
    </w:p>
    <w:p>
      <w:pPr>
        <w:keepNext w:val="0"/>
        <w:keepLines w:val="0"/>
        <w:pageBreakBefore w:val="0"/>
        <w:widowControl/>
        <w:kinsoku/>
        <w:wordWrap/>
        <w:overflowPunct/>
        <w:topLinePunct w:val="0"/>
        <w:autoSpaceDE/>
        <w:autoSpaceDN/>
        <w:bidi w:val="0"/>
        <w:adjustRightInd w:val="0"/>
        <w:snapToGrid w:val="0"/>
        <w:spacing w:line="576" w:lineRule="exact"/>
        <w:contextualSpacing/>
        <w:jc w:val="center"/>
        <w:textAlignment w:val="auto"/>
        <w:outlineLvl w:val="1"/>
        <w:rPr>
          <w:rFonts w:hint="eastAsia" w:ascii="方正小标宋简体" w:hAnsi="方正小标宋简体" w:eastAsia="方正小标宋简体" w:cs="方正小标宋简体"/>
          <w:b w:val="0"/>
          <w:bCs/>
          <w:color w:val="auto"/>
          <w:sz w:val="44"/>
          <w:szCs w:val="44"/>
          <w:highlight w:val="none"/>
          <w:shd w:val="clear" w:color="auto" w:fill="FFFFFF"/>
        </w:rPr>
      </w:pPr>
      <w:bookmarkStart w:id="87" w:name="_Toc17552"/>
      <w:r>
        <w:rPr>
          <w:rFonts w:hint="eastAsia" w:ascii="方正小标宋简体" w:hAnsi="方正小标宋简体" w:eastAsia="方正小标宋简体" w:cs="方正小标宋简体"/>
          <w:b w:val="0"/>
          <w:bCs/>
          <w:color w:val="auto"/>
          <w:sz w:val="44"/>
          <w:szCs w:val="44"/>
          <w:highlight w:val="none"/>
          <w:shd w:val="clear" w:color="auto" w:fill="FFFFFF"/>
          <w:lang w:eastAsia="zh-CN"/>
        </w:rPr>
        <w:t>广元市昭化区人力资源和社会保障局</w:t>
      </w:r>
      <w:r>
        <w:rPr>
          <w:rFonts w:hint="eastAsia" w:ascii="方正小标宋简体" w:hAnsi="方正小标宋简体" w:eastAsia="方正小标宋简体" w:cs="方正小标宋简体"/>
          <w:b w:val="0"/>
          <w:bCs/>
          <w:color w:val="auto"/>
          <w:sz w:val="44"/>
          <w:szCs w:val="44"/>
          <w:highlight w:val="none"/>
          <w:shd w:val="clear" w:color="auto" w:fill="FFFFFF"/>
        </w:rPr>
        <w:t>部门整体绩效评价报告</w:t>
      </w:r>
      <w:bookmarkEnd w:id="87"/>
    </w:p>
    <w:p>
      <w:pPr>
        <w:pStyle w:val="6"/>
        <w:rPr>
          <w:highlight w:val="none"/>
        </w:rPr>
      </w:pPr>
    </w:p>
    <w:p>
      <w:pPr>
        <w:keepNext w:val="0"/>
        <w:keepLines w:val="0"/>
        <w:pageBreakBefore w:val="0"/>
        <w:widowControl/>
        <w:numPr>
          <w:ilvl w:val="0"/>
          <w:numId w:val="5"/>
        </w:numPr>
        <w:kinsoku/>
        <w:wordWrap/>
        <w:overflowPunct/>
        <w:topLinePunct w:val="0"/>
        <w:autoSpaceDE/>
        <w:autoSpaceDN/>
        <w:bidi w:val="0"/>
        <w:adjustRightInd w:val="0"/>
        <w:snapToGrid w:val="0"/>
        <w:spacing w:line="576" w:lineRule="exact"/>
        <w:ind w:firstLine="640" w:firstLineChars="200"/>
        <w:contextualSpacing/>
        <w:jc w:val="left"/>
        <w:textAlignment w:val="auto"/>
        <w:outlineLvl w:val="9"/>
        <w:rPr>
          <w:rFonts w:hint="eastAsia" w:ascii="黑体" w:hAnsi="宋体" w:eastAsia="黑体" w:cs="宋体"/>
          <w:color w:val="auto"/>
          <w:kern w:val="0"/>
          <w:sz w:val="32"/>
          <w:szCs w:val="32"/>
          <w:highlight w:val="none"/>
          <w:shd w:val="clear" w:color="auto" w:fill="FFFFFF"/>
          <w:lang w:val="zh-CN"/>
        </w:rPr>
      </w:pPr>
      <w:bookmarkStart w:id="88" w:name="_Toc22447"/>
      <w:r>
        <w:rPr>
          <w:rFonts w:hint="eastAsia" w:ascii="黑体" w:hAnsi="宋体" w:eastAsia="黑体" w:cs="宋体"/>
          <w:color w:val="auto"/>
          <w:kern w:val="0"/>
          <w:sz w:val="32"/>
          <w:szCs w:val="32"/>
          <w:highlight w:val="none"/>
          <w:shd w:val="clear" w:color="auto" w:fill="FFFFFF"/>
          <w:lang w:val="zh-CN"/>
        </w:rPr>
        <w:t>部门（单位）基本情况</w:t>
      </w:r>
      <w:bookmarkEnd w:id="88"/>
    </w:p>
    <w:p>
      <w:pPr>
        <w:keepNext w:val="0"/>
        <w:keepLines w:val="0"/>
        <w:pageBreakBefore w:val="0"/>
        <w:widowControl/>
        <w:numPr>
          <w:ilvl w:val="0"/>
          <w:numId w:val="6"/>
        </w:numPr>
        <w:kinsoku/>
        <w:wordWrap/>
        <w:overflowPunct/>
        <w:topLinePunct w:val="0"/>
        <w:autoSpaceDE/>
        <w:autoSpaceDN/>
        <w:bidi w:val="0"/>
        <w:adjustRightInd w:val="0"/>
        <w:snapToGrid w:val="0"/>
        <w:spacing w:line="576" w:lineRule="exact"/>
        <w:ind w:firstLine="643" w:firstLineChars="200"/>
        <w:contextualSpacing/>
        <w:jc w:val="left"/>
        <w:textAlignment w:val="auto"/>
        <w:rPr>
          <w:rFonts w:hint="eastAsia" w:ascii="楷体_GB2312" w:hAnsi="楷体_GB2312" w:eastAsia="楷体_GB2312" w:cs="楷体_GB2312"/>
          <w:b/>
          <w:bCs/>
          <w:color w:val="auto"/>
          <w:kern w:val="0"/>
          <w:sz w:val="32"/>
          <w:szCs w:val="32"/>
          <w:highlight w:val="none"/>
          <w:shd w:val="clear" w:color="auto" w:fill="FFFFFF"/>
          <w:lang w:val="zh-CN"/>
        </w:rPr>
      </w:pPr>
      <w:r>
        <w:rPr>
          <w:rFonts w:hint="eastAsia" w:ascii="楷体_GB2312" w:hAnsi="楷体_GB2312" w:eastAsia="楷体_GB2312" w:cs="楷体_GB2312"/>
          <w:b/>
          <w:bCs/>
          <w:color w:val="auto"/>
          <w:kern w:val="0"/>
          <w:sz w:val="32"/>
          <w:szCs w:val="32"/>
          <w:highlight w:val="none"/>
          <w:shd w:val="clear" w:color="auto" w:fill="FFFFFF"/>
          <w:lang w:val="zh-CN"/>
        </w:rPr>
        <w:t>机构组成。</w:t>
      </w:r>
    </w:p>
    <w:p>
      <w:pPr>
        <w:spacing w:line="576" w:lineRule="exact"/>
        <w:ind w:firstLine="640" w:firstLineChars="200"/>
        <w:rPr>
          <w:rFonts w:hint="eastAsia" w:ascii="楷体_GB2312" w:hAnsi="楷体_GB2312" w:eastAsia="楷体_GB2312" w:cs="楷体_GB2312"/>
          <w:b/>
          <w:bCs/>
          <w:color w:val="auto"/>
          <w:kern w:val="0"/>
          <w:sz w:val="32"/>
          <w:szCs w:val="32"/>
          <w:highlight w:val="none"/>
          <w:shd w:val="clear" w:color="auto" w:fill="FFFFFF"/>
          <w:lang w:val="zh-CN"/>
        </w:rPr>
      </w:pPr>
      <w:r>
        <w:rPr>
          <w:rFonts w:eastAsia="仿宋_GB2312"/>
          <w:sz w:val="32"/>
          <w:szCs w:val="32"/>
          <w:highlight w:val="none"/>
        </w:rPr>
        <w:t>广元市昭化区人力资源和社会保障局</w:t>
      </w:r>
      <w:r>
        <w:rPr>
          <w:rFonts w:hint="eastAsia" w:eastAsia="仿宋_GB2312"/>
          <w:sz w:val="32"/>
          <w:szCs w:val="32"/>
          <w:highlight w:val="none"/>
          <w:lang w:eastAsia="zh-CN"/>
        </w:rPr>
        <w:t>为正科级行政机构，内设</w:t>
      </w:r>
      <w:r>
        <w:rPr>
          <w:rFonts w:hint="eastAsia" w:eastAsia="仿宋_GB2312"/>
          <w:sz w:val="32"/>
          <w:szCs w:val="32"/>
          <w:highlight w:val="none"/>
          <w:lang w:val="en-US" w:eastAsia="zh-CN"/>
        </w:rPr>
        <w:t>7个行政股室，下设区就业服务中心、区社保事务中心、区劳动监察综合行政执法大队3个参公事业单位，区劳动人事争议仲裁院、区农民工服务中心、区人才交流中心、区就业培训中心4个事业单位。</w:t>
      </w:r>
    </w:p>
    <w:p>
      <w:pPr>
        <w:keepNext w:val="0"/>
        <w:keepLines w:val="0"/>
        <w:pageBreakBefore w:val="0"/>
        <w:widowControl/>
        <w:numPr>
          <w:ilvl w:val="0"/>
          <w:numId w:val="6"/>
        </w:numPr>
        <w:kinsoku/>
        <w:wordWrap/>
        <w:overflowPunct/>
        <w:topLinePunct w:val="0"/>
        <w:autoSpaceDE/>
        <w:autoSpaceDN/>
        <w:bidi w:val="0"/>
        <w:adjustRightInd w:val="0"/>
        <w:snapToGrid w:val="0"/>
        <w:spacing w:line="576" w:lineRule="exact"/>
        <w:ind w:left="0" w:leftChars="0" w:firstLine="643" w:firstLineChars="200"/>
        <w:contextualSpacing/>
        <w:jc w:val="left"/>
        <w:textAlignment w:val="auto"/>
        <w:rPr>
          <w:rFonts w:hint="eastAsia" w:ascii="楷体_GB2312" w:hAnsi="楷体_GB2312" w:eastAsia="楷体_GB2312" w:cs="楷体_GB2312"/>
          <w:b/>
          <w:bCs/>
          <w:color w:val="auto"/>
          <w:kern w:val="0"/>
          <w:sz w:val="32"/>
          <w:szCs w:val="32"/>
          <w:highlight w:val="none"/>
          <w:shd w:val="clear" w:color="auto" w:fill="FFFFFF"/>
          <w:lang w:val="zh-CN"/>
        </w:rPr>
      </w:pPr>
      <w:r>
        <w:rPr>
          <w:rFonts w:hint="eastAsia" w:ascii="楷体_GB2312" w:hAnsi="楷体_GB2312" w:eastAsia="楷体_GB2312" w:cs="楷体_GB2312"/>
          <w:b/>
          <w:bCs/>
          <w:color w:val="auto"/>
          <w:kern w:val="0"/>
          <w:sz w:val="32"/>
          <w:szCs w:val="32"/>
          <w:highlight w:val="none"/>
          <w:shd w:val="clear" w:color="auto" w:fill="FFFFFF"/>
          <w:lang w:val="zh-CN"/>
        </w:rPr>
        <w:t>机构职能和人员概况。</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楷体_GB2312" w:hAnsi="楷体_GB2312" w:eastAsia="楷体_GB2312" w:cs="楷体_GB2312"/>
          <w:b/>
          <w:bCs/>
          <w:color w:val="auto"/>
          <w:kern w:val="0"/>
          <w:sz w:val="32"/>
          <w:szCs w:val="32"/>
          <w:highlight w:val="none"/>
          <w:shd w:val="clear" w:color="auto" w:fill="FFFFFF"/>
          <w:lang w:val="zh-CN"/>
        </w:rPr>
      </w:pPr>
      <w:r>
        <w:rPr>
          <w:rFonts w:eastAsia="仿宋_GB2312"/>
          <w:sz w:val="32"/>
          <w:szCs w:val="32"/>
          <w:highlight w:val="none"/>
        </w:rPr>
        <w:t>贯彻执行国家、省、市人力资源和社会保障工作的相关法律、法规、规章和政策，拟订全区人力资源和社会保障事业发展规划、政策并组织实施和监督检查。统筹城乡的就业发展规划和政策，完善公共就业创业服务体系</w:t>
      </w:r>
      <w:r>
        <w:rPr>
          <w:rFonts w:hint="eastAsia" w:eastAsia="仿宋_GB2312"/>
          <w:sz w:val="32"/>
          <w:szCs w:val="32"/>
          <w:highlight w:val="none"/>
          <w:lang w:eastAsia="zh-CN"/>
        </w:rPr>
        <w:t>，</w:t>
      </w:r>
      <w:r>
        <w:rPr>
          <w:rFonts w:eastAsia="仿宋_GB2312"/>
          <w:sz w:val="32"/>
          <w:szCs w:val="32"/>
          <w:highlight w:val="none"/>
        </w:rPr>
        <w:t>统筹建立覆盖城乡的多层次社会保障体系</w:t>
      </w:r>
      <w:r>
        <w:rPr>
          <w:rFonts w:hint="eastAsia" w:eastAsia="仿宋_GB2312"/>
          <w:sz w:val="32"/>
          <w:szCs w:val="32"/>
          <w:highlight w:val="none"/>
          <w:lang w:eastAsia="zh-CN"/>
        </w:rPr>
        <w:t>，</w:t>
      </w:r>
      <w:r>
        <w:rPr>
          <w:rFonts w:eastAsia="仿宋_GB2312"/>
          <w:sz w:val="32"/>
          <w:szCs w:val="32"/>
          <w:highlight w:val="none"/>
        </w:rPr>
        <w:t>完善劳动关系协调机制，贯彻落实职工工作时间、休息休假和假期制度，拟订消除非法使用童工政策和女工、未成年工的特殊劳动保护政策</w:t>
      </w:r>
      <w:r>
        <w:rPr>
          <w:rFonts w:hint="eastAsia" w:eastAsia="仿宋_GB2312"/>
          <w:sz w:val="32"/>
          <w:szCs w:val="32"/>
          <w:highlight w:val="none"/>
          <w:lang w:eastAsia="zh-CN"/>
        </w:rPr>
        <w:t>，</w:t>
      </w:r>
      <w:r>
        <w:rPr>
          <w:rFonts w:eastAsia="仿宋_GB2312"/>
          <w:sz w:val="32"/>
          <w:szCs w:val="32"/>
          <w:highlight w:val="none"/>
        </w:rPr>
        <w:t>会同有关部门指导事业单位人事制度改革</w:t>
      </w:r>
      <w:r>
        <w:rPr>
          <w:rFonts w:hint="eastAsia" w:eastAsia="仿宋_GB2312"/>
          <w:sz w:val="32"/>
          <w:szCs w:val="32"/>
          <w:highlight w:val="none"/>
          <w:lang w:eastAsia="zh-CN"/>
        </w:rPr>
        <w:t>。人员概况：</w:t>
      </w:r>
      <w:r>
        <w:rPr>
          <w:rFonts w:hint="default" w:ascii="Times New Roman" w:hAnsi="Times New Roman" w:eastAsia="仿宋_GB2312" w:cs="Times New Roman"/>
          <w:sz w:val="32"/>
          <w:szCs w:val="32"/>
          <w:highlight w:val="none"/>
          <w:lang w:eastAsia="zh-CN"/>
        </w:rPr>
        <w:t>总</w:t>
      </w:r>
      <w:r>
        <w:rPr>
          <w:rFonts w:hint="default" w:ascii="Times New Roman" w:hAnsi="Times New Roman" w:eastAsia="仿宋_GB2312" w:cs="Times New Roman"/>
          <w:sz w:val="32"/>
          <w:szCs w:val="32"/>
          <w:highlight w:val="none"/>
        </w:rPr>
        <w:t>编制</w:t>
      </w:r>
      <w:r>
        <w:rPr>
          <w:rFonts w:hint="eastAsia" w:ascii="Times New Roman" w:hAnsi="Times New Roman" w:eastAsia="仿宋_GB2312" w:cs="Times New Roman"/>
          <w:sz w:val="32"/>
          <w:szCs w:val="32"/>
          <w:highlight w:val="none"/>
          <w:lang w:val="en-US" w:eastAsia="zh-CN"/>
        </w:rPr>
        <w:t>53</w:t>
      </w:r>
      <w:r>
        <w:rPr>
          <w:rFonts w:hint="eastAsia" w:ascii="Times New Roman" w:hAnsi="Times New Roman" w:eastAsia="仿宋_GB2312" w:cs="Times New Roman"/>
          <w:sz w:val="32"/>
          <w:szCs w:val="32"/>
          <w:highlight w:val="none"/>
          <w:lang w:eastAsia="zh-CN"/>
        </w:rPr>
        <w:t>名</w:t>
      </w:r>
      <w:r>
        <w:rPr>
          <w:rFonts w:hint="default" w:ascii="Times New Roman" w:hAnsi="Times New Roman" w:eastAsia="仿宋_GB2312" w:cs="Times New Roman"/>
          <w:sz w:val="32"/>
          <w:szCs w:val="32"/>
          <w:highlight w:val="none"/>
        </w:rPr>
        <w:t>，其中：行政编制</w:t>
      </w:r>
      <w:r>
        <w:rPr>
          <w:rFonts w:hint="default" w:ascii="Times New Roman" w:hAnsi="Times New Roman" w:eastAsia="仿宋_GB2312" w:cs="Times New Roman"/>
          <w:sz w:val="32"/>
          <w:szCs w:val="32"/>
          <w:highlight w:val="none"/>
          <w:lang w:val="en-US" w:eastAsia="zh-CN"/>
        </w:rPr>
        <w:t>12</w:t>
      </w:r>
      <w:r>
        <w:rPr>
          <w:rFonts w:hint="eastAsia" w:ascii="Times New Roman" w:hAnsi="Times New Roman" w:eastAsia="仿宋_GB2312" w:cs="Times New Roman"/>
          <w:sz w:val="32"/>
          <w:szCs w:val="32"/>
          <w:highlight w:val="none"/>
          <w:lang w:eastAsia="zh-CN"/>
        </w:rPr>
        <w:t>名</w:t>
      </w:r>
      <w:r>
        <w:rPr>
          <w:rFonts w:hint="default" w:ascii="Times New Roman" w:hAnsi="Times New Roman" w:eastAsia="仿宋_GB2312" w:cs="Times New Roman"/>
          <w:sz w:val="32"/>
          <w:szCs w:val="32"/>
          <w:highlight w:val="none"/>
          <w:lang w:eastAsia="zh-CN"/>
        </w:rPr>
        <w:t>，</w:t>
      </w:r>
      <w:r>
        <w:rPr>
          <w:rFonts w:hint="eastAsia" w:ascii="Times New Roman" w:hAnsi="Times New Roman" w:eastAsia="仿宋_GB2312" w:cs="Times New Roman"/>
          <w:sz w:val="32"/>
          <w:szCs w:val="32"/>
          <w:highlight w:val="none"/>
          <w:lang w:eastAsia="zh-CN"/>
        </w:rPr>
        <w:t>机关</w:t>
      </w:r>
      <w:r>
        <w:rPr>
          <w:rFonts w:hint="default" w:ascii="Times New Roman" w:hAnsi="Times New Roman" w:eastAsia="仿宋_GB2312" w:cs="Times New Roman"/>
          <w:sz w:val="32"/>
          <w:szCs w:val="32"/>
          <w:highlight w:val="none"/>
        </w:rPr>
        <w:t>工勤</w:t>
      </w:r>
      <w:r>
        <w:rPr>
          <w:rFonts w:hint="default" w:ascii="Times New Roman" w:hAnsi="Times New Roman" w:eastAsia="仿宋_GB2312" w:cs="Times New Roman"/>
          <w:sz w:val="32"/>
          <w:szCs w:val="32"/>
          <w:highlight w:val="none"/>
          <w:lang w:eastAsia="zh-CN"/>
        </w:rPr>
        <w:t>编制</w:t>
      </w:r>
      <w:r>
        <w:rPr>
          <w:rFonts w:hint="default" w:ascii="Times New Roman" w:hAnsi="Times New Roman" w:eastAsia="仿宋_GB2312" w:cs="Times New Roman"/>
          <w:sz w:val="32"/>
          <w:szCs w:val="32"/>
          <w:highlight w:val="none"/>
        </w:rPr>
        <w:t>1</w:t>
      </w:r>
      <w:r>
        <w:rPr>
          <w:rFonts w:hint="eastAsia" w:ascii="Times New Roman" w:hAnsi="Times New Roman" w:eastAsia="仿宋_GB2312" w:cs="Times New Roman"/>
          <w:sz w:val="32"/>
          <w:szCs w:val="32"/>
          <w:highlight w:val="none"/>
          <w:lang w:eastAsia="zh-CN"/>
        </w:rPr>
        <w:t>名</w:t>
      </w:r>
      <w:r>
        <w:rPr>
          <w:rFonts w:hint="default" w:ascii="Times New Roman" w:hAnsi="Times New Roman" w:eastAsia="仿宋_GB2312" w:cs="Times New Roman"/>
          <w:sz w:val="32"/>
          <w:szCs w:val="32"/>
          <w:highlight w:val="none"/>
        </w:rPr>
        <w:t>，参照公务员法管理的事业编制</w:t>
      </w:r>
      <w:r>
        <w:rPr>
          <w:rFonts w:hint="eastAsia" w:ascii="Times New Roman" w:hAnsi="Times New Roman" w:eastAsia="仿宋_GB2312" w:cs="Times New Roman"/>
          <w:sz w:val="32"/>
          <w:szCs w:val="32"/>
          <w:highlight w:val="none"/>
          <w:lang w:val="en-US" w:eastAsia="zh-CN"/>
        </w:rPr>
        <w:t>18</w:t>
      </w:r>
      <w:r>
        <w:rPr>
          <w:rFonts w:hint="eastAsia" w:ascii="Times New Roman" w:hAnsi="Times New Roman" w:eastAsia="仿宋_GB2312" w:cs="Times New Roman"/>
          <w:sz w:val="32"/>
          <w:szCs w:val="32"/>
          <w:highlight w:val="none"/>
          <w:lang w:eastAsia="zh-CN"/>
        </w:rPr>
        <w:t>名</w:t>
      </w:r>
      <w:r>
        <w:rPr>
          <w:rFonts w:hint="default" w:ascii="Times New Roman" w:hAnsi="Times New Roman" w:eastAsia="仿宋_GB2312" w:cs="Times New Roman"/>
          <w:sz w:val="32"/>
          <w:szCs w:val="32"/>
          <w:highlight w:val="none"/>
        </w:rPr>
        <w:t>，事业编制</w:t>
      </w:r>
      <w:r>
        <w:rPr>
          <w:rFonts w:hint="eastAsia" w:ascii="Times New Roman" w:hAnsi="Times New Roman" w:eastAsia="仿宋_GB2312" w:cs="Times New Roman"/>
          <w:sz w:val="32"/>
          <w:szCs w:val="32"/>
          <w:highlight w:val="none"/>
          <w:lang w:val="en-US" w:eastAsia="zh-CN"/>
        </w:rPr>
        <w:t>22</w:t>
      </w:r>
      <w:r>
        <w:rPr>
          <w:rFonts w:hint="eastAsia" w:ascii="Times New Roman" w:hAnsi="Times New Roman" w:eastAsia="仿宋_GB2312" w:cs="Times New Roman"/>
          <w:sz w:val="32"/>
          <w:szCs w:val="32"/>
          <w:highlight w:val="none"/>
          <w:lang w:eastAsia="zh-CN"/>
        </w:rPr>
        <w:t>名</w:t>
      </w:r>
      <w:r>
        <w:rPr>
          <w:rFonts w:hint="default" w:ascii="Times New Roman" w:hAnsi="Times New Roman" w:eastAsia="仿宋_GB2312" w:cs="Times New Roman"/>
          <w:sz w:val="32"/>
          <w:szCs w:val="32"/>
          <w:highlight w:val="none"/>
        </w:rPr>
        <w:t>。在编在职人员</w:t>
      </w:r>
      <w:r>
        <w:rPr>
          <w:rFonts w:hint="default" w:ascii="Times New Roman" w:hAnsi="Times New Roman" w:eastAsia="仿宋_GB2312" w:cs="Times New Roman"/>
          <w:sz w:val="32"/>
          <w:szCs w:val="32"/>
          <w:highlight w:val="none"/>
          <w:lang w:eastAsia="zh-CN"/>
        </w:rPr>
        <w:t>总数</w:t>
      </w:r>
      <w:r>
        <w:rPr>
          <w:rFonts w:hint="eastAsia" w:ascii="Times New Roman" w:hAnsi="Times New Roman" w:eastAsia="仿宋_GB2312" w:cs="Times New Roman"/>
          <w:sz w:val="32"/>
          <w:szCs w:val="32"/>
          <w:highlight w:val="none"/>
          <w:lang w:val="en-US" w:eastAsia="zh-CN"/>
        </w:rPr>
        <w:t>62</w:t>
      </w:r>
      <w:r>
        <w:rPr>
          <w:rFonts w:hint="default" w:ascii="Times New Roman" w:hAnsi="Times New Roman" w:eastAsia="仿宋_GB2312" w:cs="Times New Roman"/>
          <w:sz w:val="32"/>
          <w:szCs w:val="32"/>
          <w:highlight w:val="none"/>
        </w:rPr>
        <w:t>人，其中:公务员（含参公人员）</w:t>
      </w:r>
      <w:r>
        <w:rPr>
          <w:rFonts w:hint="eastAsia" w:ascii="Times New Roman" w:hAnsi="Times New Roman" w:eastAsia="仿宋_GB2312" w:cs="Times New Roman"/>
          <w:sz w:val="32"/>
          <w:szCs w:val="32"/>
          <w:highlight w:val="none"/>
          <w:lang w:val="en-US" w:eastAsia="zh-CN"/>
        </w:rPr>
        <w:t>33</w:t>
      </w:r>
      <w:r>
        <w:rPr>
          <w:rFonts w:hint="default" w:ascii="Times New Roman" w:hAnsi="Times New Roman" w:eastAsia="仿宋_GB2312" w:cs="Times New Roman"/>
          <w:sz w:val="32"/>
          <w:szCs w:val="32"/>
          <w:highlight w:val="none"/>
        </w:rPr>
        <w:t>人</w:t>
      </w:r>
      <w:r>
        <w:rPr>
          <w:rFonts w:hint="eastAsia" w:ascii="Times New Roman" w:hAnsi="Times New Roman" w:eastAsia="仿宋_GB2312" w:cs="Times New Roman"/>
          <w:sz w:val="32"/>
          <w:szCs w:val="32"/>
          <w:highlight w:val="none"/>
          <w:lang w:eastAsia="zh-CN"/>
        </w:rPr>
        <w:t>，</w:t>
      </w:r>
      <w:r>
        <w:rPr>
          <w:rFonts w:hint="default" w:ascii="Times New Roman" w:hAnsi="Times New Roman" w:eastAsia="仿宋_GB2312" w:cs="Times New Roman"/>
          <w:sz w:val="32"/>
          <w:szCs w:val="32"/>
          <w:highlight w:val="none"/>
        </w:rPr>
        <w:t>事业人员</w:t>
      </w:r>
      <w:r>
        <w:rPr>
          <w:rFonts w:hint="eastAsia" w:ascii="Times New Roman" w:hAnsi="Times New Roman" w:eastAsia="仿宋_GB2312" w:cs="Times New Roman"/>
          <w:sz w:val="32"/>
          <w:szCs w:val="32"/>
          <w:highlight w:val="none"/>
          <w:lang w:val="en-US" w:eastAsia="zh-CN"/>
        </w:rPr>
        <w:t>28</w:t>
      </w:r>
      <w:r>
        <w:rPr>
          <w:rFonts w:hint="default" w:ascii="Times New Roman" w:hAnsi="Times New Roman" w:eastAsia="仿宋_GB2312" w:cs="Times New Roman"/>
          <w:sz w:val="32"/>
          <w:szCs w:val="32"/>
          <w:highlight w:val="none"/>
        </w:rPr>
        <w:t>人</w:t>
      </w:r>
      <w:r>
        <w:rPr>
          <w:rFonts w:hint="eastAsia" w:ascii="Times New Roman" w:hAnsi="Times New Roman" w:eastAsia="仿宋_GB2312" w:cs="Times New Roman"/>
          <w:sz w:val="32"/>
          <w:szCs w:val="32"/>
          <w:highlight w:val="none"/>
          <w:lang w:eastAsia="zh-CN"/>
        </w:rPr>
        <w:t>（含拣银岩划转</w:t>
      </w:r>
      <w:r>
        <w:rPr>
          <w:rFonts w:hint="eastAsia" w:ascii="Times New Roman" w:hAnsi="Times New Roman" w:eastAsia="仿宋_GB2312" w:cs="Times New Roman"/>
          <w:sz w:val="32"/>
          <w:szCs w:val="32"/>
          <w:highlight w:val="none"/>
          <w:lang w:val="en-US" w:eastAsia="zh-CN"/>
        </w:rPr>
        <w:t>3人</w:t>
      </w:r>
      <w:r>
        <w:rPr>
          <w:rFonts w:hint="eastAsia" w:ascii="Times New Roman" w:hAnsi="Times New Roman" w:eastAsia="仿宋_GB2312" w:cs="Times New Roman"/>
          <w:sz w:val="32"/>
          <w:szCs w:val="32"/>
          <w:highlight w:val="none"/>
          <w:lang w:eastAsia="zh-CN"/>
        </w:rPr>
        <w:t>），机关工勤</w:t>
      </w:r>
      <w:r>
        <w:rPr>
          <w:rFonts w:hint="eastAsia" w:ascii="Times New Roman" w:hAnsi="Times New Roman" w:eastAsia="仿宋_GB2312" w:cs="Times New Roman"/>
          <w:sz w:val="32"/>
          <w:szCs w:val="32"/>
          <w:highlight w:val="none"/>
          <w:lang w:val="en-US" w:eastAsia="zh-CN"/>
        </w:rPr>
        <w:t>1人</w:t>
      </w:r>
      <w:r>
        <w:rPr>
          <w:rFonts w:hint="default" w:ascii="Times New Roman" w:hAnsi="Times New Roman" w:eastAsia="仿宋_GB2312" w:cs="Times New Roman"/>
          <w:sz w:val="32"/>
          <w:szCs w:val="32"/>
          <w:highlight w:val="none"/>
        </w:rPr>
        <w:t>。退休人员</w:t>
      </w:r>
      <w:r>
        <w:rPr>
          <w:rFonts w:hint="eastAsia" w:ascii="Times New Roman" w:hAnsi="Times New Roman" w:eastAsia="仿宋_GB2312" w:cs="Times New Roman"/>
          <w:sz w:val="32"/>
          <w:szCs w:val="32"/>
          <w:highlight w:val="none"/>
          <w:lang w:val="en-US" w:eastAsia="zh-CN"/>
        </w:rPr>
        <w:t>27</w:t>
      </w:r>
      <w:r>
        <w:rPr>
          <w:rFonts w:hint="default" w:ascii="Times New Roman" w:hAnsi="Times New Roman" w:eastAsia="仿宋_GB2312" w:cs="Times New Roman"/>
          <w:sz w:val="32"/>
          <w:szCs w:val="32"/>
          <w:highlight w:val="none"/>
        </w:rPr>
        <w:t>人。</w:t>
      </w:r>
    </w:p>
    <w:p>
      <w:pPr>
        <w:keepNext w:val="0"/>
        <w:keepLines w:val="0"/>
        <w:pageBreakBefore w:val="0"/>
        <w:widowControl/>
        <w:numPr>
          <w:ilvl w:val="0"/>
          <w:numId w:val="6"/>
        </w:numPr>
        <w:kinsoku/>
        <w:wordWrap/>
        <w:overflowPunct/>
        <w:topLinePunct w:val="0"/>
        <w:autoSpaceDE/>
        <w:autoSpaceDN/>
        <w:bidi w:val="0"/>
        <w:adjustRightInd w:val="0"/>
        <w:snapToGrid w:val="0"/>
        <w:spacing w:line="576" w:lineRule="exact"/>
        <w:ind w:left="0" w:leftChars="0" w:firstLine="643" w:firstLineChars="200"/>
        <w:contextualSpacing/>
        <w:jc w:val="left"/>
        <w:textAlignment w:val="auto"/>
        <w:rPr>
          <w:rFonts w:hint="eastAsia" w:ascii="楷体_GB2312" w:hAnsi="楷体_GB2312" w:eastAsia="楷体_GB2312" w:cs="楷体_GB2312"/>
          <w:b/>
          <w:bCs/>
          <w:color w:val="auto"/>
          <w:kern w:val="0"/>
          <w:sz w:val="32"/>
          <w:szCs w:val="32"/>
          <w:highlight w:val="none"/>
          <w:shd w:val="clear" w:color="auto" w:fill="FFFFFF"/>
          <w:lang w:val="zh-CN"/>
        </w:rPr>
      </w:pPr>
      <w:r>
        <w:rPr>
          <w:rFonts w:hint="eastAsia" w:ascii="楷体_GB2312" w:hAnsi="楷体_GB2312" w:eastAsia="楷体_GB2312" w:cs="楷体_GB2312"/>
          <w:b/>
          <w:bCs/>
          <w:color w:val="auto"/>
          <w:kern w:val="0"/>
          <w:sz w:val="32"/>
          <w:szCs w:val="32"/>
          <w:highlight w:val="none"/>
          <w:shd w:val="clear" w:color="auto" w:fill="FFFFFF"/>
          <w:lang w:val="zh-CN"/>
        </w:rPr>
        <w:t>年度主要工作任务。</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仿宋_GB2312" w:cs="Times New Roman"/>
          <w:sz w:val="32"/>
          <w:szCs w:val="32"/>
          <w:highlight w:val="none"/>
          <w:lang w:val="zh-CN"/>
        </w:rPr>
      </w:pPr>
      <w:r>
        <w:rPr>
          <w:rFonts w:hint="eastAsia" w:ascii="Times New Roman" w:hAnsi="Times New Roman" w:eastAsia="仿宋_GB2312" w:cs="Times New Roman"/>
          <w:sz w:val="32"/>
          <w:szCs w:val="32"/>
          <w:highlight w:val="none"/>
          <w:lang w:val="zh-CN"/>
        </w:rPr>
        <w:t>（一）聚焦最大民生，全力稳住就业基本盘。一是全力稳就业保就业。突出高校毕业生、脱贫人口、农民工等重点群体就业，多途径开发岗位。二是切实保障企业用工。建立“企业吹哨、部门报到、区镇联动”机制。三是强化农民工服务保障。持续推行“一站直达”模式，“点对点”输送农民工返岗复工。四是加强专合社运营管理。</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highlight w:val="none"/>
          <w:lang w:val="zh-CN"/>
        </w:rPr>
      </w:pPr>
      <w:r>
        <w:rPr>
          <w:rFonts w:hint="eastAsia" w:ascii="Times New Roman" w:hAnsi="Times New Roman" w:eastAsia="仿宋_GB2312" w:cs="Times New Roman"/>
          <w:sz w:val="32"/>
          <w:szCs w:val="32"/>
          <w:highlight w:val="none"/>
          <w:lang w:eastAsia="zh-CN"/>
        </w:rPr>
        <w:t>（二）</w:t>
      </w:r>
      <w:r>
        <w:rPr>
          <w:rFonts w:ascii="Times New Roman" w:hAnsi="Times New Roman" w:eastAsia="仿宋_GB2312" w:cs="Times New Roman"/>
          <w:sz w:val="32"/>
          <w:szCs w:val="32"/>
          <w:highlight w:val="none"/>
        </w:rPr>
        <w:t>织密保障网络，不断增进民生福祉。一是抓精准扩面参保。二是重点工作提效能。代缴困难群体城居保，帮助企业缓缴社保，大力推推动建筑项目参加工伤保险，接尘企业工伤保险参保率到100%。三是加强基金风险防控。健全政策、经办、信息、监督“四位一体”基金风险防控体系。四是加大公益性岗位开发。优化调整过渡期内公益性岗位政策，健全公岗进出管理机制，统筹开发公益性岗位。</w:t>
      </w:r>
      <w:r>
        <w:rPr>
          <w:rFonts w:ascii="Times New Roman" w:hAnsi="Times New Roman" w:eastAsia="仿宋_GB2312" w:cs="Times New Roman"/>
          <w:sz w:val="32"/>
          <w:szCs w:val="32"/>
          <w:highlight w:val="none"/>
        </w:rPr>
        <w:br w:type="textWrapping"/>
      </w:r>
      <w:r>
        <w:rPr>
          <w:rFonts w:hint="eastAsia" w:ascii="Times New Roman" w:hAnsi="Times New Roman" w:eastAsia="仿宋_GB2312" w:cs="Times New Roman"/>
          <w:sz w:val="32"/>
          <w:szCs w:val="32"/>
          <w:highlight w:val="none"/>
          <w:lang w:val="en-US" w:eastAsia="zh-CN"/>
        </w:rPr>
        <w:t xml:space="preserve">   </w:t>
      </w:r>
      <w:r>
        <w:rPr>
          <w:rFonts w:ascii="Times New Roman" w:hAnsi="Times New Roman" w:eastAsia="仿宋_GB2312" w:cs="Times New Roman"/>
          <w:sz w:val="32"/>
          <w:szCs w:val="32"/>
          <w:highlight w:val="none"/>
        </w:rPr>
        <w:t>（三）突出改革创新，提升人才队伍活力。一是安全实施人事考试。坚持“三零”目标，安全组织各类人事考试。二是强化专技队伍建设。推动职称评审等政策向基层一线倾斜，推荐申报专业技术职称。三是规范事业单位人事管理。提出临聘人员使用方案，修订完善管理办法。有毒有害津贴、高校毕业生高定工资政策全面落实。</w:t>
      </w:r>
      <w:r>
        <w:rPr>
          <w:rFonts w:ascii="Times New Roman" w:hAnsi="Times New Roman" w:eastAsia="仿宋_GB2312" w:cs="Times New Roman"/>
          <w:sz w:val="32"/>
          <w:szCs w:val="32"/>
          <w:highlight w:val="none"/>
        </w:rPr>
        <w:br w:type="textWrapping"/>
      </w:r>
      <w:r>
        <w:rPr>
          <w:rFonts w:hint="eastAsia" w:ascii="Times New Roman" w:hAnsi="Times New Roman" w:eastAsia="仿宋_GB2312" w:cs="Times New Roman"/>
          <w:sz w:val="32"/>
          <w:szCs w:val="32"/>
          <w:highlight w:val="none"/>
          <w:lang w:val="en-US" w:eastAsia="zh-CN"/>
        </w:rPr>
        <w:t xml:space="preserve">   </w:t>
      </w:r>
      <w:r>
        <w:rPr>
          <w:rFonts w:ascii="Times New Roman" w:hAnsi="Times New Roman" w:eastAsia="仿宋_GB2312" w:cs="Times New Roman"/>
          <w:sz w:val="32"/>
          <w:szCs w:val="32"/>
          <w:highlight w:val="none"/>
        </w:rPr>
        <w:t>（四）坚持共建共治，劳动关系和谐稳定。一是健全工作机制。坚持“月排查、季会商、半年评估、年度考核”，全面开展欠薪隐患排查，台账管理，对重大欠薪案件实行“一案一策”。二是强化项目监管。严格落实保障农民工工资支付制度，强化欠薪风险防控。三是加大欠薪处置。建立“快查、快处、快调”机制，受理信访及现场投诉。</w:t>
      </w:r>
      <w:r>
        <w:rPr>
          <w:rFonts w:ascii="Times New Roman" w:hAnsi="Times New Roman" w:eastAsia="仿宋_GB2312" w:cs="Times New Roman"/>
          <w:sz w:val="32"/>
          <w:szCs w:val="32"/>
          <w:highlight w:val="none"/>
        </w:rPr>
        <w:br w:type="textWrapping"/>
      </w:r>
      <w:r>
        <w:rPr>
          <w:rFonts w:hint="eastAsia" w:ascii="Times New Roman" w:hAnsi="Times New Roman" w:eastAsia="仿宋_GB2312" w:cs="Times New Roman"/>
          <w:sz w:val="32"/>
          <w:szCs w:val="32"/>
          <w:highlight w:val="none"/>
          <w:lang w:val="en-US" w:eastAsia="zh-CN"/>
        </w:rPr>
        <w:t xml:space="preserve">   </w:t>
      </w:r>
      <w:r>
        <w:rPr>
          <w:rFonts w:ascii="Times New Roman" w:hAnsi="Times New Roman" w:eastAsia="仿宋_GB2312" w:cs="Times New Roman"/>
          <w:sz w:val="32"/>
          <w:szCs w:val="32"/>
          <w:highlight w:val="none"/>
        </w:rPr>
        <w:t>（五）建设温暖人社，公共服务提质增效。一是推进公共服务标准化。开展人社领域两项试点，构建区、镇、站、点、员五级服务体系，按照“12+17+N”模式下放镇村服务事项，实现人社业务就近办。二是持续优化营商环境。开展“人社助企”服务活动，开设助企专员“一对一”联系企业。三是加强人社区域合作。主动融入双城经济圈，推动养老保险待遇资格“就地认”、招聘求职“一点通”、人才流动档案办理“零跑路”，办理川渝通办事项。四是加强人员队伍建设。全员参加练兵比武活动，开展“局长、副局长、中心主任走流程”和行风明察暗访活动，及时整改行风建设突出问题。</w:t>
      </w:r>
    </w:p>
    <w:p>
      <w:pPr>
        <w:keepNext w:val="0"/>
        <w:keepLines w:val="0"/>
        <w:pageBreakBefore w:val="0"/>
        <w:widowControl/>
        <w:numPr>
          <w:ilvl w:val="0"/>
          <w:numId w:val="6"/>
        </w:numPr>
        <w:kinsoku/>
        <w:wordWrap/>
        <w:overflowPunct/>
        <w:topLinePunct w:val="0"/>
        <w:autoSpaceDE/>
        <w:autoSpaceDN/>
        <w:bidi w:val="0"/>
        <w:adjustRightInd w:val="0"/>
        <w:snapToGrid w:val="0"/>
        <w:spacing w:line="576" w:lineRule="exact"/>
        <w:ind w:left="0" w:leftChars="0" w:firstLine="643" w:firstLineChars="200"/>
        <w:contextualSpacing/>
        <w:jc w:val="left"/>
        <w:textAlignment w:val="auto"/>
        <w:rPr>
          <w:rFonts w:hint="eastAsia" w:ascii="楷体_GB2312" w:hAnsi="楷体_GB2312" w:eastAsia="楷体_GB2312" w:cs="楷体_GB2312"/>
          <w:b/>
          <w:bCs/>
          <w:color w:val="auto"/>
          <w:kern w:val="0"/>
          <w:sz w:val="32"/>
          <w:szCs w:val="32"/>
          <w:highlight w:val="none"/>
          <w:shd w:val="clear" w:color="auto" w:fill="FFFFFF"/>
          <w:lang w:val="zh-CN"/>
        </w:rPr>
      </w:pPr>
      <w:r>
        <w:rPr>
          <w:rFonts w:hint="eastAsia" w:ascii="楷体_GB2312" w:hAnsi="楷体_GB2312" w:eastAsia="楷体_GB2312" w:cs="楷体_GB2312"/>
          <w:b/>
          <w:bCs/>
          <w:color w:val="auto"/>
          <w:kern w:val="0"/>
          <w:sz w:val="32"/>
          <w:szCs w:val="32"/>
          <w:highlight w:val="none"/>
          <w:shd w:val="clear" w:color="auto" w:fill="FFFFFF"/>
          <w:lang w:val="zh-CN"/>
        </w:rPr>
        <w:t>部门整体支出绩效目标。</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b/>
          <w:bCs/>
          <w:color w:val="auto"/>
          <w:kern w:val="0"/>
          <w:sz w:val="32"/>
          <w:szCs w:val="32"/>
          <w:highlight w:val="none"/>
          <w:shd w:val="clear" w:color="auto" w:fill="FFFFFF"/>
          <w:lang w:val="zh-CN"/>
        </w:rPr>
      </w:pPr>
      <w:r>
        <w:rPr>
          <w:rFonts w:ascii="Times New Roman" w:hAnsi="Times New Roman" w:eastAsia="仿宋_GB2312" w:cs="Times New Roman"/>
          <w:sz w:val="32"/>
          <w:szCs w:val="32"/>
          <w:highlight w:val="none"/>
        </w:rPr>
        <w:t>紧扣保障民生和服务发展两大主线，统筹抓好疫情防控和人社主责主业，保障各项工作有序有效有力推进。做好城镇新增就业，登记实业率控制在4%以内，培育返乡农民工创业，实现脱贫人口创办领办创业实体，多渠道开发就业岗位，促进劳动者实现更加充分、更高质量就业。深入推进社会保障制度改革，完成全区养老保险参保覆盖人数增长，保险待遇发放100%。组织事业单位工作人员招聘考试，招募“三支一扶”考试。做好事业单位管理人员的职级改革，充分激发人才队伍活力。宣传、检查国家劳动保障法律、法规和规章，及时受理对违反劳动保障法律、法规或者规章的行为的举报、投诉，聘请法律顾问，以抓好农民工工资支付为核心，控制集访事件，构建和谐劳动关系。通过优化温暖人社服务质量供给，打响温暖人社服务品牌。</w:t>
      </w:r>
    </w:p>
    <w:p>
      <w:pPr>
        <w:keepNext w:val="0"/>
        <w:keepLines w:val="0"/>
        <w:pageBreakBefore w:val="0"/>
        <w:widowControl/>
        <w:kinsoku/>
        <w:wordWrap/>
        <w:overflowPunct/>
        <w:topLinePunct w:val="0"/>
        <w:autoSpaceDE/>
        <w:autoSpaceDN/>
        <w:bidi w:val="0"/>
        <w:adjustRightInd w:val="0"/>
        <w:snapToGrid w:val="0"/>
        <w:spacing w:line="576" w:lineRule="exact"/>
        <w:ind w:firstLine="640" w:firstLineChars="200"/>
        <w:contextualSpacing/>
        <w:jc w:val="left"/>
        <w:textAlignment w:val="auto"/>
        <w:outlineLvl w:val="9"/>
        <w:rPr>
          <w:rFonts w:ascii="黑体" w:hAnsi="宋体" w:eastAsia="黑体" w:cs="宋体"/>
          <w:color w:val="auto"/>
          <w:kern w:val="0"/>
          <w:sz w:val="32"/>
          <w:szCs w:val="32"/>
          <w:highlight w:val="none"/>
          <w:shd w:val="clear" w:color="auto" w:fill="FFFFFF"/>
        </w:rPr>
      </w:pPr>
      <w:bookmarkStart w:id="89" w:name="_Toc21517"/>
      <w:r>
        <w:rPr>
          <w:rFonts w:hint="eastAsia" w:ascii="黑体" w:hAnsi="宋体" w:eastAsia="黑体" w:cs="宋体"/>
          <w:color w:val="auto"/>
          <w:kern w:val="0"/>
          <w:sz w:val="32"/>
          <w:szCs w:val="32"/>
          <w:highlight w:val="none"/>
          <w:shd w:val="clear" w:color="auto" w:fill="FFFFFF"/>
        </w:rPr>
        <w:t>二、</w:t>
      </w:r>
      <w:r>
        <w:rPr>
          <w:rFonts w:hint="eastAsia" w:ascii="黑体" w:hAnsi="宋体" w:eastAsia="黑体" w:cs="宋体"/>
          <w:color w:val="auto"/>
          <w:kern w:val="0"/>
          <w:sz w:val="32"/>
          <w:szCs w:val="32"/>
          <w:highlight w:val="none"/>
          <w:shd w:val="clear" w:color="auto" w:fill="FFFFFF"/>
          <w:lang w:eastAsia="zh-CN"/>
        </w:rPr>
        <w:t>部门</w:t>
      </w:r>
      <w:r>
        <w:rPr>
          <w:rFonts w:hint="eastAsia" w:ascii="黑体" w:hAnsi="宋体" w:eastAsia="黑体" w:cs="宋体"/>
          <w:color w:val="auto"/>
          <w:kern w:val="0"/>
          <w:sz w:val="32"/>
          <w:szCs w:val="32"/>
          <w:highlight w:val="none"/>
          <w:shd w:val="clear" w:color="auto" w:fill="FFFFFF"/>
        </w:rPr>
        <w:t>资金收支情况</w:t>
      </w:r>
      <w:bookmarkEnd w:id="89"/>
    </w:p>
    <w:p>
      <w:pPr>
        <w:keepNext w:val="0"/>
        <w:keepLines w:val="0"/>
        <w:pageBreakBefore w:val="0"/>
        <w:widowControl/>
        <w:kinsoku/>
        <w:wordWrap/>
        <w:overflowPunct/>
        <w:topLinePunct w:val="0"/>
        <w:autoSpaceDE/>
        <w:autoSpaceDN/>
        <w:bidi w:val="0"/>
        <w:adjustRightInd w:val="0"/>
        <w:snapToGrid w:val="0"/>
        <w:spacing w:line="576" w:lineRule="exact"/>
        <w:ind w:firstLine="643" w:firstLineChars="200"/>
        <w:contextualSpacing/>
        <w:jc w:val="left"/>
        <w:textAlignment w:val="auto"/>
        <w:rPr>
          <w:rFonts w:hint="eastAsia" w:ascii="楷体_GB2312" w:hAnsi="楷体_GB2312" w:eastAsia="楷体_GB2312" w:cs="楷体_GB2312"/>
          <w:b/>
          <w:bCs/>
          <w:color w:val="auto"/>
          <w:kern w:val="0"/>
          <w:sz w:val="32"/>
          <w:szCs w:val="32"/>
          <w:highlight w:val="none"/>
          <w:shd w:val="clear" w:color="auto" w:fill="FFFFFF"/>
          <w:lang w:val="zh-CN"/>
        </w:rPr>
      </w:pPr>
      <w:r>
        <w:rPr>
          <w:rFonts w:hint="eastAsia" w:ascii="楷体_GB2312" w:hAnsi="楷体_GB2312" w:eastAsia="楷体_GB2312" w:cs="楷体_GB2312"/>
          <w:b/>
          <w:bCs/>
          <w:color w:val="auto"/>
          <w:kern w:val="0"/>
          <w:sz w:val="32"/>
          <w:szCs w:val="32"/>
          <w:highlight w:val="none"/>
          <w:shd w:val="clear" w:color="auto" w:fill="FFFFFF"/>
          <w:lang w:val="zh-CN"/>
        </w:rPr>
        <w:t>（一）部门总体收支情况。</w:t>
      </w:r>
    </w:p>
    <w:p>
      <w:pPr>
        <w:keepNext w:val="0"/>
        <w:keepLines w:val="0"/>
        <w:pageBreakBefore w:val="0"/>
        <w:widowControl/>
        <w:kinsoku/>
        <w:wordWrap/>
        <w:overflowPunct/>
        <w:topLinePunct w:val="0"/>
        <w:autoSpaceDE/>
        <w:autoSpaceDN/>
        <w:bidi w:val="0"/>
        <w:adjustRightInd w:val="0"/>
        <w:snapToGrid w:val="0"/>
        <w:spacing w:line="576" w:lineRule="exact"/>
        <w:ind w:firstLine="640" w:firstLineChars="200"/>
        <w:contextualSpacing/>
        <w:jc w:val="left"/>
        <w:textAlignment w:val="auto"/>
        <w:rPr>
          <w:rFonts w:hint="eastAsia" w:ascii="仿宋_GB2312" w:hAnsi="仿宋_GB2312" w:eastAsia="仿宋_GB2312" w:cs="仿宋_GB2312"/>
          <w:b w:val="0"/>
          <w:bCs w:val="0"/>
          <w:color w:val="auto"/>
          <w:kern w:val="0"/>
          <w:sz w:val="32"/>
          <w:szCs w:val="32"/>
          <w:highlight w:val="none"/>
          <w:shd w:val="clear" w:color="auto" w:fill="FFFFFF"/>
          <w:lang w:val="en-US" w:eastAsia="zh-CN"/>
        </w:rPr>
      </w:pPr>
      <w:r>
        <w:rPr>
          <w:rFonts w:hint="eastAsia" w:ascii="仿宋_GB2312" w:hAnsi="仿宋_GB2312" w:eastAsia="仿宋_GB2312" w:cs="仿宋_GB2312"/>
          <w:b w:val="0"/>
          <w:bCs w:val="0"/>
          <w:color w:val="auto"/>
          <w:kern w:val="0"/>
          <w:sz w:val="32"/>
          <w:szCs w:val="32"/>
          <w:highlight w:val="none"/>
          <w:shd w:val="clear" w:color="auto" w:fill="FFFFFF"/>
          <w:lang w:val="en-US" w:eastAsia="zh-CN"/>
        </w:rPr>
        <w:t>1.部门总体收入情况</w:t>
      </w:r>
    </w:p>
    <w:p>
      <w:pPr>
        <w:spacing w:line="600" w:lineRule="exact"/>
        <w:ind w:firstLine="640" w:firstLineChars="200"/>
        <w:outlineLvl w:val="9"/>
        <w:rPr>
          <w:rFonts w:hint="eastAsia"/>
          <w:highlight w:val="none"/>
          <w:lang w:val="en-US" w:eastAsia="zh-CN"/>
        </w:rPr>
      </w:pPr>
      <w:bookmarkStart w:id="90" w:name="_Toc29026"/>
      <w:r>
        <w:rPr>
          <w:rFonts w:hint="eastAsia" w:ascii="仿宋" w:hAnsi="仿宋" w:eastAsia="仿宋"/>
          <w:color w:val="000000"/>
          <w:sz w:val="32"/>
          <w:szCs w:val="32"/>
          <w:highlight w:val="none"/>
          <w:lang w:eastAsia="zh-CN"/>
        </w:rPr>
        <w:t>2022年区人力资源和社会保障局</w:t>
      </w:r>
      <w:r>
        <w:rPr>
          <w:rFonts w:hint="eastAsia" w:ascii="仿宋" w:hAnsi="仿宋" w:eastAsia="仿宋"/>
          <w:color w:val="000000"/>
          <w:sz w:val="32"/>
          <w:szCs w:val="32"/>
          <w:highlight w:val="none"/>
        </w:rPr>
        <w:t>收入合计</w:t>
      </w:r>
      <w:r>
        <w:rPr>
          <w:rFonts w:hint="eastAsia" w:ascii="仿宋" w:hAnsi="仿宋" w:eastAsia="仿宋"/>
          <w:color w:val="000000"/>
          <w:sz w:val="32"/>
          <w:szCs w:val="32"/>
          <w:highlight w:val="none"/>
          <w:lang w:val="en-US" w:eastAsia="zh-CN"/>
        </w:rPr>
        <w:t>4228.88</w:t>
      </w:r>
      <w:r>
        <w:rPr>
          <w:rFonts w:hint="eastAsia" w:ascii="仿宋" w:hAnsi="仿宋" w:eastAsia="仿宋"/>
          <w:color w:val="000000"/>
          <w:sz w:val="32"/>
          <w:szCs w:val="32"/>
          <w:highlight w:val="none"/>
        </w:rPr>
        <w:t>万元，其中：一般公共预算财政拨款收入</w:t>
      </w:r>
      <w:r>
        <w:rPr>
          <w:rFonts w:hint="eastAsia" w:ascii="仿宋" w:hAnsi="仿宋" w:eastAsia="仿宋"/>
          <w:color w:val="000000"/>
          <w:sz w:val="32"/>
          <w:szCs w:val="32"/>
          <w:highlight w:val="none"/>
          <w:lang w:val="en-US" w:eastAsia="zh-CN"/>
        </w:rPr>
        <w:t>4228.88</w:t>
      </w:r>
      <w:r>
        <w:rPr>
          <w:rFonts w:hint="eastAsia" w:ascii="仿宋" w:hAnsi="仿宋" w:eastAsia="仿宋"/>
          <w:color w:val="000000"/>
          <w:sz w:val="32"/>
          <w:szCs w:val="32"/>
          <w:highlight w:val="none"/>
        </w:rPr>
        <w:t>万元，占</w:t>
      </w:r>
      <w:r>
        <w:rPr>
          <w:rFonts w:hint="eastAsia" w:ascii="仿宋" w:hAnsi="仿宋" w:eastAsia="仿宋"/>
          <w:color w:val="000000"/>
          <w:sz w:val="32"/>
          <w:szCs w:val="32"/>
          <w:highlight w:val="none"/>
          <w:lang w:val="en-US" w:eastAsia="zh-CN"/>
        </w:rPr>
        <w:t>100</w:t>
      </w:r>
      <w:r>
        <w:rPr>
          <w:rFonts w:ascii="仿宋" w:hAnsi="仿宋" w:eastAsia="仿宋"/>
          <w:color w:val="000000"/>
          <w:sz w:val="32"/>
          <w:szCs w:val="32"/>
          <w:highlight w:val="none"/>
        </w:rPr>
        <w:t>%</w:t>
      </w:r>
      <w:r>
        <w:rPr>
          <w:rFonts w:hint="eastAsia" w:ascii="仿宋" w:hAnsi="仿宋" w:eastAsia="仿宋"/>
          <w:color w:val="000000"/>
          <w:sz w:val="32"/>
          <w:szCs w:val="32"/>
          <w:highlight w:val="none"/>
        </w:rPr>
        <w:t>；</w:t>
      </w:r>
      <w:bookmarkEnd w:id="90"/>
    </w:p>
    <w:p>
      <w:pPr>
        <w:keepNext w:val="0"/>
        <w:keepLines w:val="0"/>
        <w:pageBreakBefore w:val="0"/>
        <w:widowControl/>
        <w:numPr>
          <w:ilvl w:val="0"/>
          <w:numId w:val="0"/>
        </w:numPr>
        <w:kinsoku/>
        <w:wordWrap/>
        <w:overflowPunct/>
        <w:topLinePunct w:val="0"/>
        <w:autoSpaceDE/>
        <w:autoSpaceDN/>
        <w:bidi w:val="0"/>
        <w:adjustRightInd w:val="0"/>
        <w:snapToGrid w:val="0"/>
        <w:spacing w:line="576" w:lineRule="exact"/>
        <w:ind w:firstLine="640" w:firstLineChars="200"/>
        <w:contextualSpacing/>
        <w:jc w:val="left"/>
        <w:textAlignment w:val="auto"/>
        <w:rPr>
          <w:rFonts w:hint="eastAsia" w:ascii="仿宋_GB2312" w:hAnsi="仿宋_GB2312" w:eastAsia="仿宋_GB2312" w:cs="仿宋_GB2312"/>
          <w:b w:val="0"/>
          <w:bCs w:val="0"/>
          <w:color w:val="auto"/>
          <w:kern w:val="0"/>
          <w:sz w:val="32"/>
          <w:szCs w:val="32"/>
          <w:highlight w:val="none"/>
          <w:shd w:val="clear" w:color="auto" w:fill="FFFFFF"/>
          <w:lang w:val="en-US" w:eastAsia="zh-CN"/>
        </w:rPr>
      </w:pPr>
      <w:r>
        <w:rPr>
          <w:rFonts w:hint="eastAsia" w:ascii="仿宋_GB2312" w:hAnsi="仿宋_GB2312" w:eastAsia="仿宋_GB2312" w:cs="仿宋_GB2312"/>
          <w:b w:val="0"/>
          <w:bCs w:val="0"/>
          <w:color w:val="auto"/>
          <w:kern w:val="0"/>
          <w:sz w:val="32"/>
          <w:szCs w:val="32"/>
          <w:highlight w:val="none"/>
          <w:shd w:val="clear" w:color="auto" w:fill="FFFFFF"/>
          <w:lang w:val="en-US" w:eastAsia="zh-CN"/>
        </w:rPr>
        <w:t>2.部门总体支出情况</w:t>
      </w:r>
    </w:p>
    <w:p>
      <w:pPr>
        <w:pStyle w:val="8"/>
        <w:numPr>
          <w:ilvl w:val="0"/>
          <w:numId w:val="0"/>
        </w:numPr>
        <w:tabs>
          <w:tab w:val="left" w:pos="879"/>
        </w:tabs>
        <w:rPr>
          <w:rFonts w:hint="default"/>
          <w:highlight w:val="none"/>
          <w:lang w:val="en-US" w:eastAsia="zh-CN"/>
        </w:rPr>
      </w:pPr>
      <w:r>
        <w:rPr>
          <w:rFonts w:hint="eastAsia"/>
          <w:highlight w:val="none"/>
          <w:lang w:val="en-US" w:eastAsia="zh-CN"/>
        </w:rPr>
        <w:t xml:space="preserve">      </w:t>
      </w:r>
      <w:r>
        <w:rPr>
          <w:rFonts w:hint="eastAsia" w:ascii="仿宋" w:hAnsi="仿宋" w:eastAsia="仿宋"/>
          <w:color w:val="000000"/>
          <w:sz w:val="32"/>
          <w:szCs w:val="32"/>
          <w:highlight w:val="none"/>
          <w:lang w:eastAsia="zh-CN"/>
        </w:rPr>
        <w:t>2022年区人力资源和社会保障局</w:t>
      </w:r>
      <w:r>
        <w:rPr>
          <w:rFonts w:hint="eastAsia" w:ascii="仿宋" w:hAnsi="仿宋" w:eastAsia="仿宋"/>
          <w:color w:val="000000"/>
          <w:sz w:val="32"/>
          <w:szCs w:val="32"/>
          <w:highlight w:val="none"/>
        </w:rPr>
        <w:t>支出合计</w:t>
      </w:r>
      <w:r>
        <w:rPr>
          <w:rFonts w:hint="eastAsia" w:ascii="仿宋" w:hAnsi="仿宋" w:eastAsia="仿宋"/>
          <w:color w:val="000000"/>
          <w:sz w:val="32"/>
          <w:szCs w:val="32"/>
          <w:highlight w:val="none"/>
          <w:lang w:val="en-US" w:eastAsia="zh-CN"/>
        </w:rPr>
        <w:t>4228.88</w:t>
      </w:r>
      <w:r>
        <w:rPr>
          <w:rFonts w:hint="eastAsia" w:ascii="仿宋" w:hAnsi="仿宋" w:eastAsia="仿宋"/>
          <w:color w:val="000000"/>
          <w:sz w:val="32"/>
          <w:szCs w:val="32"/>
          <w:highlight w:val="none"/>
        </w:rPr>
        <w:t>万元，其中：基本支出</w:t>
      </w:r>
      <w:r>
        <w:rPr>
          <w:rFonts w:hint="eastAsia" w:ascii="仿宋" w:hAnsi="仿宋" w:eastAsia="仿宋"/>
          <w:color w:val="000000"/>
          <w:sz w:val="32"/>
          <w:szCs w:val="32"/>
          <w:highlight w:val="none"/>
          <w:lang w:val="en-US" w:eastAsia="zh-CN"/>
        </w:rPr>
        <w:t>1016.40</w:t>
      </w:r>
      <w:r>
        <w:rPr>
          <w:rFonts w:hint="eastAsia" w:ascii="仿宋" w:hAnsi="仿宋" w:eastAsia="仿宋"/>
          <w:color w:val="000000"/>
          <w:sz w:val="32"/>
          <w:szCs w:val="32"/>
          <w:highlight w:val="none"/>
        </w:rPr>
        <w:t>万元，占</w:t>
      </w:r>
      <w:r>
        <w:rPr>
          <w:rFonts w:hint="eastAsia" w:ascii="仿宋" w:hAnsi="仿宋" w:eastAsia="仿宋"/>
          <w:color w:val="000000"/>
          <w:sz w:val="32"/>
          <w:szCs w:val="32"/>
          <w:highlight w:val="none"/>
          <w:lang w:val="en-US" w:eastAsia="zh-CN"/>
        </w:rPr>
        <w:t>24.03</w:t>
      </w:r>
      <w:r>
        <w:rPr>
          <w:rFonts w:ascii="仿宋" w:hAnsi="仿宋" w:eastAsia="仿宋"/>
          <w:color w:val="000000"/>
          <w:sz w:val="32"/>
          <w:szCs w:val="32"/>
          <w:highlight w:val="none"/>
        </w:rPr>
        <w:t>%</w:t>
      </w:r>
      <w:r>
        <w:rPr>
          <w:rFonts w:hint="eastAsia" w:ascii="仿宋" w:hAnsi="仿宋" w:eastAsia="仿宋"/>
          <w:color w:val="000000"/>
          <w:sz w:val="32"/>
          <w:szCs w:val="32"/>
          <w:highlight w:val="none"/>
        </w:rPr>
        <w:t>；项目支出</w:t>
      </w:r>
      <w:r>
        <w:rPr>
          <w:rFonts w:hint="eastAsia" w:ascii="仿宋" w:hAnsi="仿宋" w:eastAsia="仿宋"/>
          <w:color w:val="000000"/>
          <w:sz w:val="32"/>
          <w:szCs w:val="32"/>
          <w:highlight w:val="none"/>
          <w:lang w:val="en-US" w:eastAsia="zh-CN"/>
        </w:rPr>
        <w:t>3212.48</w:t>
      </w:r>
      <w:r>
        <w:rPr>
          <w:rFonts w:hint="eastAsia" w:ascii="仿宋" w:hAnsi="仿宋" w:eastAsia="仿宋"/>
          <w:color w:val="000000"/>
          <w:sz w:val="32"/>
          <w:szCs w:val="32"/>
          <w:highlight w:val="none"/>
        </w:rPr>
        <w:t>万元，占</w:t>
      </w:r>
      <w:r>
        <w:rPr>
          <w:rFonts w:hint="eastAsia" w:ascii="仿宋" w:hAnsi="仿宋" w:eastAsia="仿宋"/>
          <w:color w:val="000000"/>
          <w:sz w:val="32"/>
          <w:szCs w:val="32"/>
          <w:highlight w:val="none"/>
          <w:lang w:val="en-US" w:eastAsia="zh-CN"/>
        </w:rPr>
        <w:t>75.97</w:t>
      </w:r>
      <w:r>
        <w:rPr>
          <w:rFonts w:ascii="仿宋" w:hAnsi="仿宋" w:eastAsia="仿宋"/>
          <w:color w:val="000000"/>
          <w:sz w:val="32"/>
          <w:szCs w:val="32"/>
          <w:highlight w:val="none"/>
        </w:rPr>
        <w:t>%</w:t>
      </w:r>
      <w:r>
        <w:rPr>
          <w:rFonts w:hint="eastAsia" w:ascii="仿宋" w:hAnsi="仿宋" w:eastAsia="仿宋"/>
          <w:color w:val="000000"/>
          <w:sz w:val="32"/>
          <w:szCs w:val="32"/>
          <w:highlight w:val="none"/>
        </w:rPr>
        <w:t>；</w:t>
      </w:r>
    </w:p>
    <w:p>
      <w:pPr>
        <w:keepNext w:val="0"/>
        <w:keepLines w:val="0"/>
        <w:pageBreakBefore w:val="0"/>
        <w:widowControl/>
        <w:numPr>
          <w:ilvl w:val="0"/>
          <w:numId w:val="0"/>
        </w:numPr>
        <w:kinsoku/>
        <w:wordWrap/>
        <w:overflowPunct/>
        <w:topLinePunct w:val="0"/>
        <w:autoSpaceDE/>
        <w:autoSpaceDN/>
        <w:bidi w:val="0"/>
        <w:adjustRightInd w:val="0"/>
        <w:snapToGrid w:val="0"/>
        <w:spacing w:line="576" w:lineRule="exact"/>
        <w:ind w:firstLine="640" w:firstLineChars="200"/>
        <w:contextualSpacing/>
        <w:jc w:val="left"/>
        <w:textAlignment w:val="auto"/>
        <w:rPr>
          <w:rFonts w:hint="eastAsia" w:ascii="仿宋_GB2312" w:hAnsi="仿宋_GB2312" w:eastAsia="仿宋_GB2312" w:cs="仿宋_GB2312"/>
          <w:b w:val="0"/>
          <w:bCs w:val="0"/>
          <w:color w:val="auto"/>
          <w:kern w:val="0"/>
          <w:sz w:val="32"/>
          <w:szCs w:val="32"/>
          <w:highlight w:val="none"/>
          <w:shd w:val="clear" w:color="auto" w:fill="FFFFFF"/>
          <w:lang w:val="en-US" w:eastAsia="zh-CN"/>
        </w:rPr>
      </w:pPr>
      <w:r>
        <w:rPr>
          <w:rFonts w:hint="eastAsia" w:ascii="仿宋_GB2312" w:hAnsi="仿宋_GB2312" w:eastAsia="仿宋_GB2312" w:cs="仿宋_GB2312"/>
          <w:b w:val="0"/>
          <w:bCs w:val="0"/>
          <w:color w:val="auto"/>
          <w:kern w:val="0"/>
          <w:sz w:val="32"/>
          <w:szCs w:val="32"/>
          <w:highlight w:val="none"/>
          <w:shd w:val="clear" w:color="auto" w:fill="FFFFFF"/>
          <w:lang w:val="en-US" w:eastAsia="zh-CN"/>
        </w:rPr>
        <w:t>3.部门总体结转结余情况</w:t>
      </w:r>
    </w:p>
    <w:p>
      <w:pPr>
        <w:pStyle w:val="6"/>
        <w:ind w:firstLine="600" w:firstLineChars="200"/>
        <w:rPr>
          <w:rFonts w:hint="eastAsia"/>
          <w:highlight w:val="none"/>
          <w:lang w:val="en-US" w:eastAsia="zh-CN"/>
        </w:rPr>
      </w:pPr>
      <w:r>
        <w:rPr>
          <w:rFonts w:hint="eastAsia"/>
          <w:highlight w:val="none"/>
          <w:lang w:val="en-US" w:eastAsia="zh-CN"/>
        </w:rPr>
        <w:t>无。</w:t>
      </w:r>
    </w:p>
    <w:p>
      <w:pPr>
        <w:pStyle w:val="6"/>
        <w:ind w:firstLine="643" w:firstLineChars="200"/>
        <w:rPr>
          <w:rFonts w:hint="eastAsia" w:ascii="楷体_GB2312" w:hAnsi="楷体_GB2312" w:eastAsia="楷体_GB2312" w:cs="楷体_GB2312"/>
          <w:b/>
          <w:bCs/>
          <w:color w:val="auto"/>
          <w:kern w:val="0"/>
          <w:sz w:val="32"/>
          <w:szCs w:val="32"/>
          <w:highlight w:val="none"/>
          <w:shd w:val="clear" w:color="auto" w:fill="FFFFFF"/>
          <w:lang w:val="zh-CN"/>
        </w:rPr>
      </w:pPr>
      <w:r>
        <w:rPr>
          <w:rFonts w:hint="eastAsia" w:ascii="楷体_GB2312" w:hAnsi="楷体_GB2312" w:eastAsia="楷体_GB2312" w:cs="楷体_GB2312"/>
          <w:b/>
          <w:bCs/>
          <w:color w:val="auto"/>
          <w:kern w:val="0"/>
          <w:sz w:val="32"/>
          <w:szCs w:val="32"/>
          <w:highlight w:val="none"/>
          <w:shd w:val="clear" w:color="auto" w:fill="FFFFFF"/>
          <w:lang w:val="zh-CN"/>
        </w:rPr>
        <w:t>（二）部门财政拨款收支情况。</w:t>
      </w:r>
    </w:p>
    <w:p>
      <w:pPr>
        <w:keepNext w:val="0"/>
        <w:keepLines w:val="0"/>
        <w:pageBreakBefore w:val="0"/>
        <w:widowControl/>
        <w:kinsoku/>
        <w:wordWrap/>
        <w:overflowPunct/>
        <w:topLinePunct w:val="0"/>
        <w:autoSpaceDE/>
        <w:autoSpaceDN/>
        <w:bidi w:val="0"/>
        <w:adjustRightInd w:val="0"/>
        <w:snapToGrid w:val="0"/>
        <w:spacing w:line="576" w:lineRule="exact"/>
        <w:ind w:firstLine="640" w:firstLineChars="200"/>
        <w:contextualSpacing/>
        <w:jc w:val="left"/>
        <w:textAlignment w:val="auto"/>
        <w:rPr>
          <w:rFonts w:hint="eastAsia" w:ascii="仿宋_GB2312" w:hAnsi="仿宋_GB2312" w:eastAsia="仿宋_GB2312" w:cs="仿宋_GB2312"/>
          <w:b w:val="0"/>
          <w:bCs w:val="0"/>
          <w:color w:val="auto"/>
          <w:kern w:val="0"/>
          <w:sz w:val="32"/>
          <w:szCs w:val="32"/>
          <w:highlight w:val="none"/>
          <w:shd w:val="clear" w:color="auto" w:fill="FFFFFF"/>
          <w:lang w:val="en-US" w:eastAsia="zh-CN"/>
        </w:rPr>
      </w:pPr>
      <w:r>
        <w:rPr>
          <w:rFonts w:hint="eastAsia" w:ascii="仿宋_GB2312" w:hAnsi="仿宋_GB2312" w:eastAsia="仿宋_GB2312" w:cs="仿宋_GB2312"/>
          <w:b w:val="0"/>
          <w:bCs w:val="0"/>
          <w:color w:val="auto"/>
          <w:kern w:val="0"/>
          <w:sz w:val="32"/>
          <w:szCs w:val="32"/>
          <w:highlight w:val="none"/>
          <w:shd w:val="clear" w:color="auto" w:fill="FFFFFF"/>
          <w:lang w:val="en-US" w:eastAsia="zh-CN"/>
        </w:rPr>
        <w:t>1.部门财政拨款收入情况</w:t>
      </w:r>
    </w:p>
    <w:p>
      <w:pPr>
        <w:spacing w:line="600" w:lineRule="exact"/>
        <w:ind w:firstLine="640" w:firstLineChars="200"/>
        <w:outlineLvl w:val="9"/>
        <w:rPr>
          <w:rFonts w:hint="default"/>
          <w:highlight w:val="none"/>
          <w:lang w:val="en-US" w:eastAsia="zh-CN"/>
        </w:rPr>
      </w:pPr>
      <w:bookmarkStart w:id="91" w:name="_Toc3335"/>
      <w:r>
        <w:rPr>
          <w:rFonts w:hint="eastAsia" w:ascii="仿宋" w:hAnsi="仿宋" w:eastAsia="仿宋"/>
          <w:color w:val="000000"/>
          <w:sz w:val="32"/>
          <w:szCs w:val="32"/>
          <w:highlight w:val="none"/>
          <w:lang w:eastAsia="zh-CN"/>
        </w:rPr>
        <w:t>2022年区人力资源和社会保障局财政拨款</w:t>
      </w:r>
      <w:r>
        <w:rPr>
          <w:rFonts w:hint="eastAsia" w:ascii="仿宋" w:hAnsi="仿宋" w:eastAsia="仿宋"/>
          <w:color w:val="000000"/>
          <w:sz w:val="32"/>
          <w:szCs w:val="32"/>
          <w:highlight w:val="none"/>
        </w:rPr>
        <w:t>收入合计</w:t>
      </w:r>
      <w:r>
        <w:rPr>
          <w:rFonts w:hint="eastAsia" w:ascii="仿宋" w:hAnsi="仿宋" w:eastAsia="仿宋"/>
          <w:color w:val="000000"/>
          <w:sz w:val="32"/>
          <w:szCs w:val="32"/>
          <w:highlight w:val="none"/>
          <w:lang w:val="en-US" w:eastAsia="zh-CN"/>
        </w:rPr>
        <w:t>4228.88</w:t>
      </w:r>
      <w:r>
        <w:rPr>
          <w:rFonts w:hint="eastAsia" w:ascii="仿宋" w:hAnsi="仿宋" w:eastAsia="仿宋"/>
          <w:color w:val="000000"/>
          <w:sz w:val="32"/>
          <w:szCs w:val="32"/>
          <w:highlight w:val="none"/>
        </w:rPr>
        <w:t>万元，其中：一般公共预算财政拨款收入</w:t>
      </w:r>
      <w:r>
        <w:rPr>
          <w:rFonts w:hint="eastAsia" w:ascii="仿宋" w:hAnsi="仿宋" w:eastAsia="仿宋"/>
          <w:color w:val="000000"/>
          <w:sz w:val="32"/>
          <w:szCs w:val="32"/>
          <w:highlight w:val="none"/>
          <w:lang w:val="en-US" w:eastAsia="zh-CN"/>
        </w:rPr>
        <w:t>4228.88</w:t>
      </w:r>
      <w:r>
        <w:rPr>
          <w:rFonts w:hint="eastAsia" w:ascii="仿宋" w:hAnsi="仿宋" w:eastAsia="仿宋"/>
          <w:color w:val="000000"/>
          <w:sz w:val="32"/>
          <w:szCs w:val="32"/>
          <w:highlight w:val="none"/>
        </w:rPr>
        <w:t>万元，占</w:t>
      </w:r>
      <w:r>
        <w:rPr>
          <w:rFonts w:hint="eastAsia" w:ascii="仿宋" w:hAnsi="仿宋" w:eastAsia="仿宋"/>
          <w:color w:val="000000"/>
          <w:sz w:val="32"/>
          <w:szCs w:val="32"/>
          <w:highlight w:val="none"/>
          <w:lang w:val="en-US" w:eastAsia="zh-CN"/>
        </w:rPr>
        <w:t>100</w:t>
      </w:r>
      <w:r>
        <w:rPr>
          <w:rFonts w:ascii="仿宋" w:hAnsi="仿宋" w:eastAsia="仿宋"/>
          <w:color w:val="000000"/>
          <w:sz w:val="32"/>
          <w:szCs w:val="32"/>
          <w:highlight w:val="none"/>
        </w:rPr>
        <w:t>%</w:t>
      </w:r>
      <w:r>
        <w:rPr>
          <w:rFonts w:hint="eastAsia" w:ascii="仿宋" w:hAnsi="仿宋" w:eastAsia="仿宋"/>
          <w:color w:val="000000"/>
          <w:sz w:val="32"/>
          <w:szCs w:val="32"/>
          <w:highlight w:val="none"/>
        </w:rPr>
        <w:t>；</w:t>
      </w:r>
      <w:bookmarkEnd w:id="91"/>
    </w:p>
    <w:p>
      <w:pPr>
        <w:keepNext w:val="0"/>
        <w:keepLines w:val="0"/>
        <w:pageBreakBefore w:val="0"/>
        <w:widowControl/>
        <w:numPr>
          <w:ilvl w:val="0"/>
          <w:numId w:val="0"/>
        </w:numPr>
        <w:kinsoku/>
        <w:wordWrap/>
        <w:overflowPunct/>
        <w:topLinePunct w:val="0"/>
        <w:autoSpaceDE/>
        <w:autoSpaceDN/>
        <w:bidi w:val="0"/>
        <w:adjustRightInd w:val="0"/>
        <w:snapToGrid w:val="0"/>
        <w:spacing w:line="576" w:lineRule="exact"/>
        <w:ind w:firstLine="640" w:firstLineChars="200"/>
        <w:contextualSpacing/>
        <w:jc w:val="left"/>
        <w:textAlignment w:val="auto"/>
        <w:rPr>
          <w:rFonts w:hint="eastAsia" w:ascii="仿宋_GB2312" w:hAnsi="仿宋_GB2312" w:eastAsia="仿宋_GB2312" w:cs="仿宋_GB2312"/>
          <w:b w:val="0"/>
          <w:bCs w:val="0"/>
          <w:color w:val="auto"/>
          <w:kern w:val="0"/>
          <w:sz w:val="32"/>
          <w:szCs w:val="32"/>
          <w:highlight w:val="none"/>
          <w:shd w:val="clear" w:color="auto" w:fill="FFFFFF"/>
          <w:lang w:val="en-US" w:eastAsia="zh-CN"/>
        </w:rPr>
      </w:pPr>
      <w:r>
        <w:rPr>
          <w:rFonts w:hint="eastAsia" w:ascii="仿宋_GB2312" w:hAnsi="仿宋_GB2312" w:eastAsia="仿宋_GB2312" w:cs="仿宋_GB2312"/>
          <w:b w:val="0"/>
          <w:bCs w:val="0"/>
          <w:color w:val="auto"/>
          <w:kern w:val="0"/>
          <w:sz w:val="32"/>
          <w:szCs w:val="32"/>
          <w:highlight w:val="none"/>
          <w:shd w:val="clear" w:color="auto" w:fill="FFFFFF"/>
          <w:lang w:val="en-US" w:eastAsia="zh-CN"/>
        </w:rPr>
        <w:t>2.部门财政拨款支出情况</w:t>
      </w:r>
    </w:p>
    <w:p>
      <w:pPr>
        <w:pStyle w:val="8"/>
        <w:numPr>
          <w:ilvl w:val="0"/>
          <w:numId w:val="0"/>
        </w:numPr>
        <w:tabs>
          <w:tab w:val="left" w:pos="879"/>
        </w:tabs>
        <w:rPr>
          <w:rFonts w:hint="eastAsia" w:ascii="仿宋" w:hAnsi="仿宋" w:eastAsia="仿宋"/>
          <w:color w:val="000000"/>
          <w:sz w:val="32"/>
          <w:szCs w:val="32"/>
          <w:highlight w:val="none"/>
          <w:lang w:val="en-US" w:eastAsia="zh-CN"/>
        </w:rPr>
      </w:pPr>
      <w:r>
        <w:rPr>
          <w:rFonts w:hint="eastAsia"/>
          <w:highlight w:val="none"/>
          <w:lang w:val="en-US" w:eastAsia="zh-CN"/>
        </w:rPr>
        <w:t xml:space="preserve">      </w:t>
      </w:r>
      <w:r>
        <w:rPr>
          <w:rFonts w:hint="eastAsia" w:ascii="仿宋" w:hAnsi="仿宋" w:eastAsia="仿宋"/>
          <w:color w:val="000000"/>
          <w:sz w:val="32"/>
          <w:szCs w:val="32"/>
          <w:highlight w:val="none"/>
          <w:lang w:eastAsia="zh-CN"/>
        </w:rPr>
        <w:t>2022年区人力资源和社会保障局</w:t>
      </w:r>
      <w:r>
        <w:rPr>
          <w:rFonts w:hint="eastAsia" w:ascii="仿宋" w:hAnsi="仿宋" w:eastAsia="仿宋"/>
          <w:color w:val="000000"/>
          <w:sz w:val="32"/>
          <w:szCs w:val="32"/>
          <w:highlight w:val="none"/>
        </w:rPr>
        <w:t>支出合计</w:t>
      </w:r>
      <w:r>
        <w:rPr>
          <w:rFonts w:hint="eastAsia" w:ascii="仿宋" w:hAnsi="仿宋" w:eastAsia="仿宋"/>
          <w:color w:val="000000"/>
          <w:sz w:val="32"/>
          <w:szCs w:val="32"/>
          <w:highlight w:val="none"/>
          <w:lang w:val="en-US" w:eastAsia="zh-CN"/>
        </w:rPr>
        <w:t>4228.88</w:t>
      </w:r>
      <w:r>
        <w:rPr>
          <w:rFonts w:hint="eastAsia" w:ascii="仿宋" w:hAnsi="仿宋" w:eastAsia="仿宋"/>
          <w:color w:val="000000"/>
          <w:sz w:val="32"/>
          <w:szCs w:val="32"/>
          <w:highlight w:val="none"/>
        </w:rPr>
        <w:t>万元</w:t>
      </w:r>
      <w:r>
        <w:rPr>
          <w:rFonts w:hint="eastAsia" w:ascii="仿宋" w:hAnsi="仿宋" w:eastAsia="仿宋"/>
          <w:color w:val="000000"/>
          <w:sz w:val="32"/>
          <w:szCs w:val="32"/>
          <w:highlight w:val="none"/>
          <w:lang w:eastAsia="zh-CN"/>
        </w:rPr>
        <w:t>，</w:t>
      </w:r>
      <w:r>
        <w:rPr>
          <w:rFonts w:hint="eastAsia" w:ascii="仿宋" w:hAnsi="仿宋" w:eastAsia="仿宋"/>
          <w:color w:val="000000"/>
          <w:sz w:val="32"/>
          <w:szCs w:val="32"/>
          <w:highlight w:val="none"/>
        </w:rPr>
        <w:t>其中：</w:t>
      </w:r>
      <w:r>
        <w:rPr>
          <w:rFonts w:hint="eastAsia" w:ascii="仿宋" w:hAnsi="仿宋" w:eastAsia="仿宋"/>
          <w:color w:val="000000"/>
          <w:sz w:val="32"/>
          <w:szCs w:val="32"/>
          <w:highlight w:val="none"/>
          <w:lang w:eastAsia="zh-CN"/>
        </w:rPr>
        <w:t>一般公共预算财政拨款支出</w:t>
      </w:r>
      <w:r>
        <w:rPr>
          <w:rFonts w:hint="eastAsia" w:ascii="仿宋" w:hAnsi="仿宋" w:eastAsia="仿宋"/>
          <w:color w:val="000000"/>
          <w:sz w:val="32"/>
          <w:szCs w:val="32"/>
          <w:highlight w:val="none"/>
          <w:lang w:val="en-US" w:eastAsia="zh-CN"/>
        </w:rPr>
        <w:t>4228.88万元，占100%。</w:t>
      </w:r>
    </w:p>
    <w:p>
      <w:pPr>
        <w:pStyle w:val="8"/>
        <w:numPr>
          <w:ilvl w:val="0"/>
          <w:numId w:val="0"/>
        </w:numPr>
        <w:tabs>
          <w:tab w:val="left" w:pos="879"/>
        </w:tabs>
        <w:ind w:firstLine="640" w:firstLineChars="200"/>
        <w:rPr>
          <w:rFonts w:hint="eastAsia" w:ascii="仿宋_GB2312" w:hAnsi="仿宋_GB2312" w:eastAsia="仿宋_GB2312" w:cs="仿宋_GB2312"/>
          <w:b w:val="0"/>
          <w:bCs w:val="0"/>
          <w:color w:val="auto"/>
          <w:kern w:val="0"/>
          <w:sz w:val="32"/>
          <w:szCs w:val="32"/>
          <w:highlight w:val="none"/>
          <w:shd w:val="clear" w:color="auto" w:fill="FFFFFF"/>
          <w:lang w:val="en-US" w:eastAsia="zh-CN"/>
        </w:rPr>
      </w:pPr>
      <w:r>
        <w:rPr>
          <w:rFonts w:hint="eastAsia" w:ascii="仿宋_GB2312" w:hAnsi="仿宋_GB2312" w:eastAsia="仿宋_GB2312" w:cs="仿宋_GB2312"/>
          <w:b w:val="0"/>
          <w:bCs w:val="0"/>
          <w:color w:val="auto"/>
          <w:kern w:val="0"/>
          <w:sz w:val="32"/>
          <w:szCs w:val="32"/>
          <w:highlight w:val="none"/>
          <w:shd w:val="clear" w:color="auto" w:fill="FFFFFF"/>
          <w:lang w:val="en-US" w:eastAsia="zh-CN"/>
        </w:rPr>
        <w:t>3.部门财政拨款结转结余情况</w:t>
      </w:r>
    </w:p>
    <w:p>
      <w:pPr>
        <w:pStyle w:val="6"/>
        <w:numPr>
          <w:ilvl w:val="0"/>
          <w:numId w:val="0"/>
        </w:numPr>
        <w:ind w:firstLine="600" w:firstLineChars="200"/>
        <w:rPr>
          <w:rFonts w:hint="default"/>
          <w:highlight w:val="none"/>
          <w:lang w:val="en-US" w:eastAsia="zh-CN"/>
        </w:rPr>
      </w:pPr>
      <w:r>
        <w:rPr>
          <w:rFonts w:hint="eastAsia"/>
          <w:highlight w:val="none"/>
          <w:lang w:val="en-US" w:eastAsia="zh-CN"/>
        </w:rPr>
        <w:t>无。</w:t>
      </w:r>
    </w:p>
    <w:p>
      <w:pPr>
        <w:keepNext w:val="0"/>
        <w:keepLines w:val="0"/>
        <w:pageBreakBefore w:val="0"/>
        <w:widowControl/>
        <w:kinsoku/>
        <w:wordWrap/>
        <w:overflowPunct/>
        <w:topLinePunct w:val="0"/>
        <w:autoSpaceDE/>
        <w:autoSpaceDN/>
        <w:bidi w:val="0"/>
        <w:adjustRightInd w:val="0"/>
        <w:snapToGrid w:val="0"/>
        <w:spacing w:line="576" w:lineRule="exact"/>
        <w:ind w:firstLine="640" w:firstLineChars="200"/>
        <w:contextualSpacing/>
        <w:jc w:val="left"/>
        <w:textAlignment w:val="auto"/>
        <w:outlineLvl w:val="9"/>
        <w:rPr>
          <w:rFonts w:ascii="黑体" w:hAnsi="宋体" w:eastAsia="黑体" w:cs="宋体"/>
          <w:color w:val="auto"/>
          <w:kern w:val="0"/>
          <w:sz w:val="32"/>
          <w:szCs w:val="32"/>
          <w:highlight w:val="none"/>
          <w:shd w:val="clear" w:color="auto" w:fill="FFFFFF"/>
        </w:rPr>
      </w:pPr>
      <w:bookmarkStart w:id="92" w:name="_Toc7766"/>
      <w:r>
        <w:rPr>
          <w:rFonts w:hint="eastAsia" w:ascii="黑体" w:hAnsi="宋体" w:eastAsia="黑体" w:cs="宋体"/>
          <w:color w:val="auto"/>
          <w:kern w:val="0"/>
          <w:sz w:val="32"/>
          <w:szCs w:val="32"/>
          <w:highlight w:val="none"/>
          <w:shd w:val="clear" w:color="auto" w:fill="FFFFFF"/>
        </w:rPr>
        <w:t>三、</w:t>
      </w:r>
      <w:r>
        <w:rPr>
          <w:rFonts w:hint="eastAsia" w:ascii="黑体" w:hAnsi="宋体" w:eastAsia="黑体" w:cs="宋体"/>
          <w:color w:val="auto"/>
          <w:kern w:val="0"/>
          <w:sz w:val="32"/>
          <w:szCs w:val="32"/>
          <w:highlight w:val="none"/>
          <w:u w:val="none"/>
          <w:shd w:val="clear" w:color="auto" w:fill="FFFFFF"/>
        </w:rPr>
        <w:t>部门整体绩效</w:t>
      </w:r>
      <w:r>
        <w:rPr>
          <w:rFonts w:hint="eastAsia" w:ascii="黑体" w:hAnsi="宋体" w:eastAsia="黑体" w:cs="宋体"/>
          <w:color w:val="auto"/>
          <w:kern w:val="0"/>
          <w:sz w:val="32"/>
          <w:szCs w:val="32"/>
          <w:highlight w:val="none"/>
          <w:u w:val="none"/>
          <w:shd w:val="clear" w:color="auto" w:fill="FFFFFF"/>
          <w:lang w:eastAsia="zh-CN"/>
        </w:rPr>
        <w:t>分析</w:t>
      </w:r>
      <w:bookmarkEnd w:id="92"/>
    </w:p>
    <w:p>
      <w:pPr>
        <w:keepNext w:val="0"/>
        <w:keepLines w:val="0"/>
        <w:pageBreakBefore w:val="0"/>
        <w:widowControl/>
        <w:kinsoku/>
        <w:wordWrap/>
        <w:overflowPunct/>
        <w:topLinePunct w:val="0"/>
        <w:autoSpaceDE/>
        <w:autoSpaceDN/>
        <w:bidi w:val="0"/>
        <w:adjustRightInd w:val="0"/>
        <w:snapToGrid w:val="0"/>
        <w:spacing w:line="576" w:lineRule="exact"/>
        <w:ind w:firstLine="643" w:firstLineChars="200"/>
        <w:contextualSpacing/>
        <w:jc w:val="left"/>
        <w:textAlignment w:val="auto"/>
        <w:rPr>
          <w:rFonts w:hint="eastAsia" w:ascii="仿宋_GB2312" w:hAnsi="仿宋_GB2312" w:eastAsia="仿宋_GB2312" w:cs="仿宋_GB2312"/>
          <w:b w:val="0"/>
          <w:bCs w:val="0"/>
          <w:color w:val="auto"/>
          <w:kern w:val="0"/>
          <w:sz w:val="32"/>
          <w:szCs w:val="32"/>
          <w:highlight w:val="none"/>
          <w:shd w:val="clear" w:color="auto" w:fill="FFFFFF"/>
          <w:lang w:val="zh-CN" w:eastAsia="zh-CN"/>
        </w:rPr>
      </w:pPr>
      <w:r>
        <w:rPr>
          <w:rFonts w:hint="eastAsia" w:ascii="楷体_GB2312" w:hAnsi="楷体_GB2312" w:eastAsia="楷体_GB2312" w:cs="楷体_GB2312"/>
          <w:b/>
          <w:bCs/>
          <w:color w:val="auto"/>
          <w:kern w:val="0"/>
          <w:sz w:val="32"/>
          <w:szCs w:val="32"/>
          <w:highlight w:val="none"/>
          <w:shd w:val="clear" w:color="auto" w:fill="FFFFFF"/>
          <w:lang w:val="zh-CN"/>
        </w:rPr>
        <w:t>（一）部门预算项目绩效分析。</w:t>
      </w:r>
    </w:p>
    <w:p>
      <w:pPr>
        <w:keepNext w:val="0"/>
        <w:keepLines w:val="0"/>
        <w:pageBreakBefore w:val="0"/>
        <w:widowControl/>
        <w:kinsoku/>
        <w:wordWrap/>
        <w:overflowPunct/>
        <w:topLinePunct w:val="0"/>
        <w:autoSpaceDE/>
        <w:autoSpaceDN/>
        <w:bidi w:val="0"/>
        <w:adjustRightInd w:val="0"/>
        <w:snapToGrid w:val="0"/>
        <w:spacing w:line="576" w:lineRule="exact"/>
        <w:ind w:firstLine="640" w:firstLineChars="200"/>
        <w:contextualSpacing/>
        <w:jc w:val="left"/>
        <w:textAlignment w:val="auto"/>
        <w:rPr>
          <w:rFonts w:hint="eastAsia" w:ascii="仿宋_GB2312" w:hAnsi="仿宋_GB2312" w:eastAsia="仿宋_GB2312" w:cs="仿宋_GB2312"/>
          <w:b w:val="0"/>
          <w:bCs w:val="0"/>
          <w:color w:val="auto"/>
          <w:kern w:val="0"/>
          <w:sz w:val="32"/>
          <w:szCs w:val="32"/>
          <w:highlight w:val="none"/>
          <w:shd w:val="clear" w:color="auto" w:fill="FFFFFF"/>
          <w:lang w:val="en-US" w:eastAsia="zh-CN"/>
        </w:rPr>
      </w:pPr>
      <w:r>
        <w:rPr>
          <w:rFonts w:hint="eastAsia" w:ascii="仿宋_GB2312" w:hAnsi="仿宋_GB2312" w:eastAsia="仿宋_GB2312" w:cs="仿宋_GB2312"/>
          <w:b w:val="0"/>
          <w:bCs w:val="0"/>
          <w:color w:val="auto"/>
          <w:kern w:val="0"/>
          <w:sz w:val="32"/>
          <w:szCs w:val="32"/>
          <w:highlight w:val="none"/>
          <w:shd w:val="clear" w:color="auto" w:fill="FFFFFF"/>
          <w:lang w:val="en-US" w:eastAsia="zh-CN"/>
        </w:rPr>
        <w:t>1.人员类项目绩效分析</w:t>
      </w:r>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eastAsia" w:ascii="仿宋_GB2312" w:hAnsi="仿宋_GB2312" w:eastAsia="仿宋_GB2312" w:cs="仿宋_GB2312"/>
          <w:b w:val="0"/>
          <w:bCs w:val="0"/>
          <w:color w:val="auto"/>
          <w:kern w:val="0"/>
          <w:sz w:val="32"/>
          <w:szCs w:val="32"/>
          <w:highlight w:val="none"/>
          <w:shd w:val="clear" w:color="auto" w:fill="FFFFFF"/>
          <w:lang w:val="en-US" w:eastAsia="zh-CN"/>
        </w:rPr>
      </w:pPr>
      <w:r>
        <w:rPr>
          <w:rFonts w:hint="eastAsia" w:ascii="仿宋_GB2312" w:hAnsi="仿宋_GB2312" w:eastAsia="仿宋_GB2312" w:cs="仿宋_GB2312"/>
          <w:sz w:val="32"/>
          <w:szCs w:val="32"/>
          <w:highlight w:val="none"/>
          <w:lang w:val="en-US" w:eastAsia="zh-CN"/>
        </w:rPr>
        <w:t>预算包括在职人员基本工资、津贴补贴、绩效工资、基础目标奖、五险一金、职业年金，退休人员基础目标奖等。按照预算人数、职级对应测算，成本可控、职工满意等绩效目标要求及财政总体安排，我单位按月打卡发放工资、向社保部门缴纳养老、医疗等各项保险，向公积金中心缴纳住房公积金。截止2022年底，我单位严格控制人员经费成本，不多不漏，及时足额发放人员经费，单位职工满意度100%，圆满完成了人员经费的绩效目标任务。</w:t>
      </w:r>
    </w:p>
    <w:p>
      <w:pPr>
        <w:keepNext w:val="0"/>
        <w:keepLines w:val="0"/>
        <w:pageBreakBefore w:val="0"/>
        <w:widowControl/>
        <w:kinsoku/>
        <w:wordWrap/>
        <w:overflowPunct/>
        <w:topLinePunct w:val="0"/>
        <w:autoSpaceDE/>
        <w:autoSpaceDN/>
        <w:bidi w:val="0"/>
        <w:adjustRightInd w:val="0"/>
        <w:snapToGrid w:val="0"/>
        <w:spacing w:line="576" w:lineRule="exact"/>
        <w:ind w:firstLine="640" w:firstLineChars="200"/>
        <w:contextualSpacing/>
        <w:jc w:val="left"/>
        <w:textAlignment w:val="auto"/>
        <w:rPr>
          <w:rFonts w:hint="eastAsia" w:ascii="仿宋_GB2312" w:hAnsi="仿宋_GB2312" w:eastAsia="仿宋_GB2312" w:cs="仿宋_GB2312"/>
          <w:b w:val="0"/>
          <w:bCs w:val="0"/>
          <w:color w:val="auto"/>
          <w:kern w:val="0"/>
          <w:sz w:val="32"/>
          <w:szCs w:val="32"/>
          <w:highlight w:val="none"/>
          <w:shd w:val="clear" w:color="auto" w:fill="FFFFFF"/>
          <w:lang w:val="en-US" w:eastAsia="zh-CN"/>
        </w:rPr>
      </w:pPr>
      <w:r>
        <w:rPr>
          <w:rFonts w:hint="eastAsia" w:ascii="仿宋_GB2312" w:hAnsi="仿宋_GB2312" w:eastAsia="仿宋_GB2312" w:cs="仿宋_GB2312"/>
          <w:b w:val="0"/>
          <w:bCs w:val="0"/>
          <w:color w:val="auto"/>
          <w:kern w:val="0"/>
          <w:sz w:val="32"/>
          <w:szCs w:val="32"/>
          <w:highlight w:val="none"/>
          <w:shd w:val="clear" w:color="auto" w:fill="FFFFFF"/>
          <w:lang w:val="en-US" w:eastAsia="zh-CN"/>
        </w:rPr>
        <w:t>2.运转类项目绩效分析</w:t>
      </w:r>
    </w:p>
    <w:p>
      <w:pPr>
        <w:keepNext w:val="0"/>
        <w:keepLines w:val="0"/>
        <w:pageBreakBefore w:val="0"/>
        <w:widowControl/>
        <w:kinsoku/>
        <w:wordWrap/>
        <w:overflowPunct/>
        <w:topLinePunct w:val="0"/>
        <w:autoSpaceDE/>
        <w:autoSpaceDN/>
        <w:bidi w:val="0"/>
        <w:adjustRightInd w:val="0"/>
        <w:snapToGrid w:val="0"/>
        <w:spacing w:line="576" w:lineRule="exact"/>
        <w:ind w:firstLine="640" w:firstLineChars="200"/>
        <w:contextualSpacing/>
        <w:jc w:val="left"/>
        <w:textAlignment w:val="auto"/>
        <w:rPr>
          <w:rFonts w:hint="eastAsia" w:ascii="仿宋_GB2312" w:hAnsi="仿宋_GB2312" w:eastAsia="仿宋_GB2312" w:cs="仿宋_GB2312"/>
          <w:b w:val="0"/>
          <w:bCs w:val="0"/>
          <w:color w:val="auto"/>
          <w:kern w:val="0"/>
          <w:sz w:val="32"/>
          <w:szCs w:val="32"/>
          <w:highlight w:val="none"/>
          <w:shd w:val="clear" w:color="auto" w:fill="FFFFFF"/>
          <w:lang w:val="en-US" w:eastAsia="zh-CN"/>
        </w:rPr>
      </w:pPr>
      <w:r>
        <w:rPr>
          <w:rFonts w:hint="eastAsia" w:ascii="仿宋_GB2312" w:hAnsi="仿宋_GB2312" w:eastAsia="仿宋_GB2312" w:cs="仿宋_GB2312"/>
          <w:sz w:val="32"/>
          <w:szCs w:val="32"/>
          <w:highlight w:val="none"/>
          <w:lang w:val="en-US" w:eastAsia="zh-CN"/>
        </w:rPr>
        <w:t>预算包括社保工作经费、劳动监察及仲裁工作经费、农民工服务中心工作经费、人事招考、职改、调资等经费、社保就业大厅运行经费、金保工程运行维护费、技能人才建设资金、劳务派遣费、人才交流中心工作经费、流动人员档案管理经费，单位定额公用经费。主要用于保障单位各二级经办机构、社保就业大厅日常工作运转所需的办公费、邮电费、印刷费、劳务费、差旅费、水电费、维修（护）费、其他工资福利、培训费、公务接待费、其他交通费、物业管理费等，通过分项目制定绩效目标，严格把控成本、及时合理的支付各项费用。</w:t>
      </w:r>
    </w:p>
    <w:p>
      <w:pPr>
        <w:keepNext w:val="0"/>
        <w:keepLines w:val="0"/>
        <w:pageBreakBefore w:val="0"/>
        <w:widowControl/>
        <w:kinsoku/>
        <w:wordWrap/>
        <w:overflowPunct/>
        <w:topLinePunct w:val="0"/>
        <w:autoSpaceDE/>
        <w:autoSpaceDN/>
        <w:bidi w:val="0"/>
        <w:adjustRightInd w:val="0"/>
        <w:snapToGrid w:val="0"/>
        <w:spacing w:line="576" w:lineRule="exact"/>
        <w:ind w:firstLine="640" w:firstLineChars="200"/>
        <w:contextualSpacing/>
        <w:jc w:val="left"/>
        <w:textAlignment w:val="auto"/>
        <w:rPr>
          <w:rFonts w:hint="default" w:ascii="仿宋_GB2312" w:hAnsi="仿宋_GB2312" w:eastAsia="仿宋_GB2312" w:cs="仿宋_GB2312"/>
          <w:b w:val="0"/>
          <w:bCs w:val="0"/>
          <w:color w:val="auto"/>
          <w:kern w:val="0"/>
          <w:sz w:val="32"/>
          <w:szCs w:val="32"/>
          <w:highlight w:val="none"/>
          <w:shd w:val="clear" w:color="auto" w:fill="FFFFFF"/>
          <w:lang w:val="en-US" w:eastAsia="zh-CN"/>
        </w:rPr>
      </w:pPr>
      <w:r>
        <w:rPr>
          <w:rFonts w:hint="eastAsia" w:ascii="仿宋_GB2312" w:hAnsi="仿宋_GB2312" w:eastAsia="仿宋_GB2312" w:cs="仿宋_GB2312"/>
          <w:b w:val="0"/>
          <w:bCs w:val="0"/>
          <w:color w:val="auto"/>
          <w:kern w:val="0"/>
          <w:sz w:val="32"/>
          <w:szCs w:val="32"/>
          <w:highlight w:val="none"/>
          <w:shd w:val="clear" w:color="auto" w:fill="FFFFFF"/>
          <w:lang w:val="en-US" w:eastAsia="zh-CN"/>
        </w:rPr>
        <w:t>3.特定目标类项目绩效分析</w:t>
      </w:r>
    </w:p>
    <w:p>
      <w:pPr>
        <w:keepNext w:val="0"/>
        <w:keepLines w:val="0"/>
        <w:pageBreakBefore w:val="0"/>
        <w:widowControl/>
        <w:kinsoku/>
        <w:wordWrap/>
        <w:overflowPunct/>
        <w:topLinePunct w:val="0"/>
        <w:autoSpaceDE/>
        <w:autoSpaceDN/>
        <w:bidi w:val="0"/>
        <w:adjustRightInd w:val="0"/>
        <w:snapToGrid w:val="0"/>
        <w:spacing w:line="576" w:lineRule="exact"/>
        <w:ind w:firstLine="640" w:firstLineChars="200"/>
        <w:contextualSpacing/>
        <w:jc w:val="left"/>
        <w:textAlignment w:val="auto"/>
        <w:rPr>
          <w:rFonts w:hint="eastAsia" w:ascii="仿宋_GB2312" w:hAnsi="仿宋_GB2312" w:eastAsia="仿宋_GB2312" w:cs="仿宋_GB2312"/>
          <w:b w:val="0"/>
          <w:bCs w:val="0"/>
          <w:color w:val="auto"/>
          <w:kern w:val="0"/>
          <w:sz w:val="32"/>
          <w:szCs w:val="32"/>
          <w:highlight w:val="none"/>
          <w:shd w:val="clear" w:color="auto" w:fill="FFFFFF"/>
          <w:lang w:val="en-US" w:eastAsia="zh-CN"/>
        </w:rPr>
      </w:pPr>
      <w:r>
        <w:rPr>
          <w:rFonts w:hint="eastAsia" w:ascii="仿宋_GB2312" w:hAnsi="仿宋_GB2312" w:eastAsia="仿宋_GB2312" w:cs="仿宋_GB2312"/>
          <w:sz w:val="32"/>
          <w:szCs w:val="32"/>
          <w:highlight w:val="none"/>
          <w:lang w:val="en-US" w:eastAsia="zh-CN"/>
        </w:rPr>
        <w:t>预算包括就业创业补助资金、争取资金工作经费、招商引资工作经费、农民工工作站经费、东西部协作促进本级配套、公开引进高层次人才和招聘急需紧缺专业人才工作经费、公开引进高层次人才和招聘急需紧缺专业人才安家补助、2022年中央财政衔接推进乡村振兴补助资金、普惠经费发展资金、就业创业资金等项目，通过分项目制定绩效目标，从严控制经费，经差各项目支出的办公费、印刷费、水费、电费、物业费、物业管理等费用支出与预算相符，及时足额支付相关费用。</w:t>
      </w:r>
    </w:p>
    <w:p>
      <w:pPr>
        <w:keepNext w:val="0"/>
        <w:keepLines w:val="0"/>
        <w:pageBreakBefore w:val="0"/>
        <w:widowControl/>
        <w:numPr>
          <w:ilvl w:val="0"/>
          <w:numId w:val="0"/>
        </w:numPr>
        <w:kinsoku/>
        <w:wordWrap/>
        <w:overflowPunct/>
        <w:topLinePunct w:val="0"/>
        <w:autoSpaceDE/>
        <w:autoSpaceDN/>
        <w:bidi w:val="0"/>
        <w:adjustRightInd w:val="0"/>
        <w:snapToGrid w:val="0"/>
        <w:spacing w:line="576" w:lineRule="exact"/>
        <w:ind w:firstLine="643" w:firstLineChars="200"/>
        <w:contextualSpacing/>
        <w:jc w:val="left"/>
        <w:textAlignment w:val="auto"/>
        <w:rPr>
          <w:rFonts w:hint="eastAsia" w:ascii="楷体_GB2312" w:hAnsi="楷体_GB2312" w:eastAsia="楷体_GB2312" w:cs="楷体_GB2312"/>
          <w:b/>
          <w:bCs/>
          <w:color w:val="auto"/>
          <w:kern w:val="0"/>
          <w:sz w:val="32"/>
          <w:szCs w:val="32"/>
          <w:highlight w:val="none"/>
          <w:shd w:val="clear" w:color="auto" w:fill="FFFFFF"/>
          <w:lang w:val="zh-CN"/>
        </w:rPr>
      </w:pPr>
      <w:r>
        <w:rPr>
          <w:rFonts w:hint="eastAsia" w:ascii="楷体_GB2312" w:hAnsi="楷体_GB2312" w:eastAsia="楷体_GB2312" w:cs="楷体_GB2312"/>
          <w:b/>
          <w:bCs/>
          <w:color w:val="auto"/>
          <w:kern w:val="0"/>
          <w:sz w:val="32"/>
          <w:szCs w:val="32"/>
          <w:highlight w:val="none"/>
          <w:shd w:val="clear" w:color="auto" w:fill="FFFFFF"/>
          <w:lang w:val="zh-CN"/>
        </w:rPr>
        <w:t>（二）部门整体履职绩效分析。</w:t>
      </w:r>
    </w:p>
    <w:p>
      <w:pPr>
        <w:keepNext w:val="0"/>
        <w:keepLines w:val="0"/>
        <w:pageBreakBefore w:val="0"/>
        <w:widowControl/>
        <w:kinsoku/>
        <w:wordWrap/>
        <w:overflowPunct/>
        <w:topLinePunct w:val="0"/>
        <w:autoSpaceDE/>
        <w:autoSpaceDN/>
        <w:bidi w:val="0"/>
        <w:adjustRightInd w:val="0"/>
        <w:snapToGrid w:val="0"/>
        <w:spacing w:line="576" w:lineRule="exact"/>
        <w:ind w:firstLine="640" w:firstLineChars="200"/>
        <w:contextualSpacing/>
        <w:jc w:val="left"/>
        <w:textAlignment w:val="auto"/>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我局在各项目实施过程中，建立健全相关制度、机制，严格执行，推进各专项工作的落实。项目资金管理实行专项管理，严格审批制度，真正做到了专款专用，确保项目资金有效的利用。总体来说项目审核严格，管理到位，完成及时，社会效果良好。我单位按照《广元市昭化区人民政府办公室关于印发&lt;广元市昭化区财政预算绩效管理实施细则&gt;的通知》(昭府办函〔2018〕118号)绩效评价指标体系开展绩效评价。自评得分为95分。</w:t>
      </w:r>
    </w:p>
    <w:p>
      <w:pPr>
        <w:keepNext w:val="0"/>
        <w:keepLines w:val="0"/>
        <w:pageBreakBefore w:val="0"/>
        <w:widowControl/>
        <w:kinsoku/>
        <w:wordWrap/>
        <w:overflowPunct/>
        <w:topLinePunct w:val="0"/>
        <w:autoSpaceDE/>
        <w:autoSpaceDN/>
        <w:bidi w:val="0"/>
        <w:adjustRightInd w:val="0"/>
        <w:snapToGrid w:val="0"/>
        <w:spacing w:line="576" w:lineRule="exact"/>
        <w:ind w:firstLine="643" w:firstLineChars="200"/>
        <w:contextualSpacing/>
        <w:jc w:val="left"/>
        <w:textAlignment w:val="auto"/>
        <w:rPr>
          <w:rFonts w:hint="eastAsia" w:ascii="楷体_GB2312" w:hAnsi="楷体_GB2312" w:eastAsia="楷体_GB2312" w:cs="楷体_GB2312"/>
          <w:b/>
          <w:bCs/>
          <w:color w:val="auto"/>
          <w:kern w:val="0"/>
          <w:sz w:val="32"/>
          <w:szCs w:val="32"/>
          <w:highlight w:val="none"/>
          <w:shd w:val="clear" w:color="auto" w:fill="FFFFFF"/>
          <w:lang w:val="zh-CN"/>
        </w:rPr>
      </w:pPr>
      <w:r>
        <w:rPr>
          <w:rFonts w:hint="eastAsia" w:ascii="楷体_GB2312" w:hAnsi="楷体_GB2312" w:eastAsia="楷体_GB2312" w:cs="楷体_GB2312"/>
          <w:b/>
          <w:bCs/>
          <w:color w:val="auto"/>
          <w:kern w:val="0"/>
          <w:sz w:val="32"/>
          <w:szCs w:val="32"/>
          <w:highlight w:val="none"/>
          <w:shd w:val="clear" w:color="auto" w:fill="FFFFFF"/>
          <w:lang w:val="zh-CN"/>
        </w:rPr>
        <w:t>（三）结果应用情况。</w:t>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b w:val="0"/>
          <w:bCs w:val="0"/>
          <w:color w:val="auto"/>
          <w:kern w:val="0"/>
          <w:sz w:val="32"/>
          <w:szCs w:val="32"/>
          <w:highlight w:val="none"/>
          <w:shd w:val="clear" w:color="auto" w:fill="FFFFFF"/>
          <w:lang w:val="zh-CN" w:eastAsia="zh-CN"/>
        </w:rPr>
      </w:pPr>
      <w:r>
        <w:rPr>
          <w:rFonts w:hint="eastAsia" w:ascii="仿宋_GB2312" w:hAnsi="仿宋_GB2312" w:eastAsia="仿宋_GB2312" w:cs="仿宋_GB2312"/>
          <w:b w:val="0"/>
          <w:bCs/>
          <w:sz w:val="32"/>
          <w:szCs w:val="32"/>
          <w:highlight w:val="none"/>
          <w:lang w:val="en-US" w:eastAsia="zh-CN"/>
        </w:rPr>
        <w:t>本单位严格执行预决算公开制度。在内部应用方面，将内设机构和下属单位绩效自评纳入考核体系，建立对内设机构和下属单位预算与绩效挂钩机制</w:t>
      </w:r>
      <w:r>
        <w:rPr>
          <w:rFonts w:hint="eastAsia" w:ascii="仿宋_GB2312" w:hAnsi="仿宋_GB2312" w:eastAsia="仿宋_GB2312" w:cs="仿宋_GB2312"/>
          <w:highlight w:val="none"/>
          <w:lang w:eastAsia="zh-CN"/>
        </w:rPr>
        <w:t>。</w:t>
      </w:r>
      <w:r>
        <w:rPr>
          <w:rFonts w:hint="eastAsia" w:ascii="仿宋_GB2312" w:hAnsi="仿宋_GB2312" w:eastAsia="仿宋_GB2312" w:cs="仿宋_GB2312"/>
          <w:sz w:val="32"/>
          <w:szCs w:val="32"/>
          <w:highlight w:val="none"/>
          <w:lang w:eastAsia="zh-CN"/>
        </w:rPr>
        <w:t>按要求将相关绩效信息随同决算公开的。</w:t>
      </w:r>
      <w:r>
        <w:rPr>
          <w:rFonts w:hint="eastAsia" w:ascii="仿宋_GB2312" w:hAnsi="仿宋_GB2312" w:eastAsia="仿宋_GB2312" w:cs="仿宋_GB2312"/>
          <w:sz w:val="32"/>
          <w:szCs w:val="32"/>
          <w:highlight w:val="none"/>
          <w:lang w:val="en-US" w:eastAsia="zh-CN"/>
        </w:rPr>
        <w:t>本</w:t>
      </w:r>
      <w:r>
        <w:rPr>
          <w:rFonts w:hint="eastAsia" w:ascii="仿宋_GB2312" w:hAnsi="仿宋_GB2312" w:eastAsia="仿宋_GB2312" w:cs="仿宋_GB2312"/>
          <w:sz w:val="32"/>
          <w:szCs w:val="32"/>
          <w:highlight w:val="none"/>
          <w:lang w:eastAsia="zh-CN"/>
        </w:rPr>
        <w:t>部门针对绩效管理过程中（包括绩效目标核查、绩效监控核查、重点自评抽查和重点绩效评价）提出的问题整改问题、完善政策、改进管理。</w:t>
      </w:r>
      <w:r>
        <w:rPr>
          <w:rFonts w:hint="eastAsia" w:ascii="仿宋_GB2312" w:hAnsi="仿宋_GB2312" w:eastAsia="仿宋_GB2312" w:cs="仿宋_GB2312"/>
          <w:sz w:val="32"/>
          <w:szCs w:val="32"/>
          <w:highlight w:val="none"/>
          <w:lang w:val="en-US" w:eastAsia="zh-CN"/>
        </w:rPr>
        <w:t>在</w:t>
      </w:r>
      <w:r>
        <w:rPr>
          <w:rFonts w:hint="eastAsia" w:ascii="仿宋_GB2312" w:hAnsi="仿宋_GB2312" w:eastAsia="仿宋_GB2312" w:cs="仿宋_GB2312"/>
          <w:sz w:val="32"/>
          <w:szCs w:val="32"/>
          <w:highlight w:val="none"/>
          <w:lang w:eastAsia="zh-CN"/>
        </w:rPr>
        <w:t>应用反馈</w:t>
      </w:r>
      <w:r>
        <w:rPr>
          <w:rFonts w:hint="eastAsia" w:ascii="仿宋_GB2312" w:hAnsi="仿宋_GB2312" w:eastAsia="仿宋_GB2312" w:cs="仿宋_GB2312"/>
          <w:sz w:val="32"/>
          <w:szCs w:val="32"/>
          <w:highlight w:val="none"/>
          <w:lang w:val="en-US" w:eastAsia="zh-CN"/>
        </w:rPr>
        <w:t>方面，本</w:t>
      </w:r>
      <w:r>
        <w:rPr>
          <w:rFonts w:hint="eastAsia" w:ascii="仿宋_GB2312" w:hAnsi="仿宋_GB2312" w:eastAsia="仿宋_GB2312" w:cs="仿宋_GB2312"/>
          <w:sz w:val="32"/>
          <w:szCs w:val="32"/>
          <w:highlight w:val="none"/>
          <w:lang w:eastAsia="zh-CN"/>
        </w:rPr>
        <w:t>部门在规定时间内向财政部门反馈应用绩效结果报告。</w:t>
      </w:r>
    </w:p>
    <w:p>
      <w:pPr>
        <w:keepNext w:val="0"/>
        <w:keepLines w:val="0"/>
        <w:pageBreakBefore w:val="0"/>
        <w:widowControl/>
        <w:numPr>
          <w:ilvl w:val="0"/>
          <w:numId w:val="7"/>
        </w:numPr>
        <w:kinsoku/>
        <w:wordWrap/>
        <w:overflowPunct/>
        <w:topLinePunct w:val="0"/>
        <w:autoSpaceDE/>
        <w:autoSpaceDN/>
        <w:bidi w:val="0"/>
        <w:adjustRightInd w:val="0"/>
        <w:snapToGrid w:val="0"/>
        <w:spacing w:line="576" w:lineRule="exact"/>
        <w:ind w:firstLine="643" w:firstLineChars="200"/>
        <w:contextualSpacing/>
        <w:jc w:val="left"/>
        <w:textAlignment w:val="auto"/>
        <w:rPr>
          <w:rFonts w:hint="eastAsia" w:ascii="楷体_GB2312" w:hAnsi="楷体_GB2312" w:eastAsia="楷体_GB2312" w:cs="楷体_GB2312"/>
          <w:b/>
          <w:bCs/>
          <w:color w:val="auto"/>
          <w:kern w:val="0"/>
          <w:sz w:val="32"/>
          <w:szCs w:val="32"/>
          <w:highlight w:val="none"/>
          <w:shd w:val="clear" w:color="auto" w:fill="FFFFFF"/>
          <w:lang w:val="zh-CN"/>
        </w:rPr>
      </w:pPr>
      <w:r>
        <w:rPr>
          <w:rFonts w:hint="eastAsia" w:ascii="楷体_GB2312" w:hAnsi="楷体_GB2312" w:eastAsia="楷体_GB2312" w:cs="楷体_GB2312"/>
          <w:b/>
          <w:bCs/>
          <w:color w:val="auto"/>
          <w:kern w:val="0"/>
          <w:sz w:val="32"/>
          <w:szCs w:val="32"/>
          <w:highlight w:val="none"/>
          <w:shd w:val="clear" w:color="auto" w:fill="FFFFFF"/>
          <w:lang w:val="zh-CN"/>
        </w:rPr>
        <w:t>自评质量。</w:t>
      </w:r>
    </w:p>
    <w:p>
      <w:pPr>
        <w:keepNext w:val="0"/>
        <w:keepLines w:val="0"/>
        <w:pageBreakBefore w:val="0"/>
        <w:widowControl/>
        <w:kinsoku/>
        <w:wordWrap/>
        <w:overflowPunct/>
        <w:topLinePunct w:val="0"/>
        <w:autoSpaceDE/>
        <w:autoSpaceDN/>
        <w:bidi w:val="0"/>
        <w:adjustRightInd w:val="0"/>
        <w:snapToGrid w:val="0"/>
        <w:spacing w:line="576" w:lineRule="exact"/>
        <w:ind w:firstLine="640" w:firstLineChars="200"/>
        <w:contextualSpacing/>
        <w:jc w:val="left"/>
        <w:textAlignment w:val="auto"/>
        <w:rPr>
          <w:rFonts w:hint="eastAsia" w:ascii="仿宋_GB2312" w:hAnsi="仿宋_GB2312" w:eastAsia="仿宋_GB2312" w:cs="仿宋_GB2312"/>
          <w:b w:val="0"/>
          <w:bCs w:val="0"/>
          <w:color w:val="auto"/>
          <w:kern w:val="0"/>
          <w:sz w:val="32"/>
          <w:szCs w:val="32"/>
          <w:highlight w:val="none"/>
          <w:shd w:val="clear" w:color="auto" w:fill="FFFFFF"/>
          <w:lang w:val="en-US" w:eastAsia="zh-CN"/>
        </w:rPr>
      </w:pPr>
      <w:r>
        <w:rPr>
          <w:rFonts w:hint="eastAsia" w:ascii="仿宋_GB2312" w:hAnsi="仿宋_GB2312" w:eastAsia="仿宋_GB2312" w:cs="仿宋_GB2312"/>
          <w:b w:val="0"/>
          <w:bCs w:val="0"/>
          <w:color w:val="auto"/>
          <w:kern w:val="0"/>
          <w:sz w:val="32"/>
          <w:szCs w:val="32"/>
          <w:highlight w:val="none"/>
          <w:shd w:val="clear" w:color="auto" w:fill="FFFFFF"/>
          <w:lang w:val="en-US" w:eastAsia="zh-CN"/>
        </w:rPr>
        <w:t>本单位严格按照预算绩效管理办法开展绩效自评，健全财政预算绩效管理机制，强化绩效目标管理，使整体支出绩效准确率100%，自评质量高。</w:t>
      </w:r>
    </w:p>
    <w:p>
      <w:pPr>
        <w:keepNext w:val="0"/>
        <w:keepLines w:val="0"/>
        <w:pageBreakBefore w:val="0"/>
        <w:widowControl/>
        <w:kinsoku/>
        <w:wordWrap/>
        <w:overflowPunct/>
        <w:topLinePunct w:val="0"/>
        <w:autoSpaceDE/>
        <w:autoSpaceDN/>
        <w:bidi w:val="0"/>
        <w:adjustRightInd w:val="0"/>
        <w:snapToGrid w:val="0"/>
        <w:spacing w:line="576" w:lineRule="exact"/>
        <w:ind w:firstLine="640" w:firstLineChars="200"/>
        <w:contextualSpacing/>
        <w:jc w:val="left"/>
        <w:textAlignment w:val="auto"/>
        <w:outlineLvl w:val="9"/>
        <w:rPr>
          <w:rFonts w:ascii="黑体" w:hAnsi="宋体" w:eastAsia="黑体" w:cs="宋体"/>
          <w:color w:val="auto"/>
          <w:kern w:val="0"/>
          <w:sz w:val="32"/>
          <w:szCs w:val="32"/>
          <w:highlight w:val="none"/>
          <w:shd w:val="clear" w:color="auto" w:fill="FFFFFF"/>
        </w:rPr>
      </w:pPr>
      <w:bookmarkStart w:id="93" w:name="_Toc16415"/>
      <w:r>
        <w:rPr>
          <w:rFonts w:hint="eastAsia" w:ascii="黑体" w:hAnsi="宋体" w:eastAsia="黑体" w:cs="宋体"/>
          <w:color w:val="auto"/>
          <w:kern w:val="0"/>
          <w:sz w:val="32"/>
          <w:szCs w:val="32"/>
          <w:highlight w:val="none"/>
          <w:shd w:val="clear" w:color="auto" w:fill="FFFFFF"/>
        </w:rPr>
        <w:t>四、评价结论及建议</w:t>
      </w:r>
      <w:bookmarkEnd w:id="93"/>
    </w:p>
    <w:p>
      <w:pPr>
        <w:keepNext w:val="0"/>
        <w:keepLines w:val="0"/>
        <w:pageBreakBefore w:val="0"/>
        <w:widowControl/>
        <w:kinsoku/>
        <w:wordWrap/>
        <w:overflowPunct/>
        <w:topLinePunct w:val="0"/>
        <w:autoSpaceDE/>
        <w:autoSpaceDN/>
        <w:bidi w:val="0"/>
        <w:adjustRightInd w:val="0"/>
        <w:snapToGrid w:val="0"/>
        <w:spacing w:line="576" w:lineRule="exact"/>
        <w:ind w:firstLine="643" w:firstLineChars="200"/>
        <w:contextualSpacing/>
        <w:jc w:val="left"/>
        <w:textAlignment w:val="auto"/>
        <w:rPr>
          <w:rFonts w:hint="eastAsia" w:ascii="楷体_GB2312" w:hAnsi="楷体_GB2312" w:eastAsia="楷体_GB2312" w:cs="楷体_GB2312"/>
          <w:b/>
          <w:bCs/>
          <w:color w:val="auto"/>
          <w:kern w:val="0"/>
          <w:sz w:val="32"/>
          <w:szCs w:val="32"/>
          <w:highlight w:val="none"/>
          <w:shd w:val="clear" w:color="auto" w:fill="FFFFFF"/>
          <w:lang w:val="zh-CN"/>
        </w:rPr>
      </w:pPr>
      <w:r>
        <w:rPr>
          <w:rFonts w:hint="eastAsia" w:ascii="楷体_GB2312" w:hAnsi="楷体_GB2312" w:eastAsia="楷体_GB2312" w:cs="楷体_GB2312"/>
          <w:b/>
          <w:bCs/>
          <w:color w:val="auto"/>
          <w:kern w:val="0"/>
          <w:sz w:val="32"/>
          <w:szCs w:val="32"/>
          <w:highlight w:val="none"/>
          <w:shd w:val="clear" w:color="auto" w:fill="FFFFFF"/>
          <w:lang w:val="zh-CN"/>
        </w:rPr>
        <w:t>（一）评价结论。</w:t>
      </w:r>
    </w:p>
    <w:p>
      <w:pPr>
        <w:keepNext w:val="0"/>
        <w:keepLines w:val="0"/>
        <w:pageBreakBefore w:val="0"/>
        <w:widowControl/>
        <w:kinsoku/>
        <w:wordWrap/>
        <w:overflowPunct/>
        <w:topLinePunct w:val="0"/>
        <w:autoSpaceDE/>
        <w:autoSpaceDN/>
        <w:bidi w:val="0"/>
        <w:adjustRightInd w:val="0"/>
        <w:snapToGrid w:val="0"/>
        <w:spacing w:line="576" w:lineRule="exact"/>
        <w:ind w:firstLine="640" w:firstLineChars="200"/>
        <w:contextualSpacing/>
        <w:jc w:val="left"/>
        <w:textAlignment w:val="auto"/>
        <w:rPr>
          <w:rFonts w:hint="eastAsia"/>
          <w:highlight w:val="none"/>
          <w:lang w:val="zh-CN"/>
        </w:rPr>
      </w:pPr>
      <w:r>
        <w:rPr>
          <w:rFonts w:hint="eastAsia" w:ascii="仿宋_GB2312" w:hAnsi="仿宋_GB2312" w:eastAsia="仿宋_GB2312" w:cs="仿宋_GB2312"/>
          <w:b w:val="0"/>
          <w:bCs w:val="0"/>
          <w:color w:val="auto"/>
          <w:kern w:val="0"/>
          <w:sz w:val="32"/>
          <w:szCs w:val="32"/>
          <w:highlight w:val="none"/>
          <w:shd w:val="clear" w:color="auto" w:fill="FFFFFF"/>
          <w:lang w:val="en-US" w:eastAsia="zh-CN"/>
        </w:rPr>
        <w:t>我局在各项目实施过程中，建立健全相关制度、机制，严格执行，推进各专项工作的落实。项目资金管理实行专项管理，严格审批制度，真正做到了专款专用，确保项目资金有效的利用。总体来说项目审核严格，管理到位，完成及时，社会效果良好。我单位按照《广元市昭化区人民政府办公室关于印发&lt;广元市昭化区财政预算绩效管理实施细则&gt;的通知》(昭府办函〔2018〕118号)绩效评价指标体系开展绩效评价。自评得分为95分。</w:t>
      </w:r>
    </w:p>
    <w:p>
      <w:pPr>
        <w:keepNext w:val="0"/>
        <w:keepLines w:val="0"/>
        <w:pageBreakBefore w:val="0"/>
        <w:widowControl/>
        <w:numPr>
          <w:ilvl w:val="0"/>
          <w:numId w:val="8"/>
        </w:numPr>
        <w:kinsoku/>
        <w:wordWrap/>
        <w:overflowPunct/>
        <w:topLinePunct w:val="0"/>
        <w:autoSpaceDE/>
        <w:autoSpaceDN/>
        <w:bidi w:val="0"/>
        <w:adjustRightInd w:val="0"/>
        <w:snapToGrid w:val="0"/>
        <w:spacing w:line="576" w:lineRule="exact"/>
        <w:ind w:firstLine="643" w:firstLineChars="200"/>
        <w:contextualSpacing/>
        <w:jc w:val="left"/>
        <w:textAlignment w:val="auto"/>
        <w:rPr>
          <w:rFonts w:hint="eastAsia" w:ascii="楷体_GB2312" w:hAnsi="楷体_GB2312" w:eastAsia="楷体_GB2312" w:cs="楷体_GB2312"/>
          <w:b/>
          <w:bCs/>
          <w:color w:val="auto"/>
          <w:kern w:val="0"/>
          <w:sz w:val="32"/>
          <w:szCs w:val="32"/>
          <w:highlight w:val="none"/>
          <w:shd w:val="clear" w:color="auto" w:fill="FFFFFF"/>
          <w:lang w:val="zh-CN"/>
        </w:rPr>
      </w:pPr>
      <w:r>
        <w:rPr>
          <w:rFonts w:hint="eastAsia" w:ascii="楷体_GB2312" w:hAnsi="楷体_GB2312" w:eastAsia="楷体_GB2312" w:cs="楷体_GB2312"/>
          <w:b/>
          <w:bCs/>
          <w:color w:val="auto"/>
          <w:kern w:val="0"/>
          <w:sz w:val="32"/>
          <w:szCs w:val="32"/>
          <w:highlight w:val="none"/>
          <w:shd w:val="clear" w:color="auto" w:fill="FFFFFF"/>
          <w:lang w:val="zh-CN"/>
        </w:rPr>
        <w:t>存在问题。</w:t>
      </w:r>
    </w:p>
    <w:p>
      <w:pPr>
        <w:keepNext w:val="0"/>
        <w:keepLines w:val="0"/>
        <w:pageBreakBefore w:val="0"/>
        <w:widowControl/>
        <w:kinsoku/>
        <w:wordWrap/>
        <w:overflowPunct/>
        <w:topLinePunct w:val="0"/>
        <w:autoSpaceDE/>
        <w:autoSpaceDN/>
        <w:bidi w:val="0"/>
        <w:adjustRightInd w:val="0"/>
        <w:snapToGrid w:val="0"/>
        <w:spacing w:line="576" w:lineRule="exact"/>
        <w:ind w:firstLine="640" w:firstLineChars="200"/>
        <w:contextualSpacing/>
        <w:jc w:val="left"/>
        <w:textAlignment w:val="auto"/>
        <w:rPr>
          <w:rFonts w:hint="eastAsia" w:ascii="仿宋_GB2312" w:hAnsi="仿宋_GB2312" w:eastAsia="仿宋_GB2312" w:cs="仿宋_GB2312"/>
          <w:b w:val="0"/>
          <w:bCs w:val="0"/>
          <w:color w:val="auto"/>
          <w:kern w:val="0"/>
          <w:sz w:val="32"/>
          <w:szCs w:val="32"/>
          <w:highlight w:val="none"/>
          <w:shd w:val="clear" w:color="auto" w:fill="FFFFFF"/>
          <w:lang w:val="zh-CN" w:eastAsia="zh-CN"/>
        </w:rPr>
      </w:pPr>
      <w:r>
        <w:rPr>
          <w:rFonts w:hint="eastAsia" w:ascii="仿宋_GB2312" w:hAnsi="仿宋_GB2312" w:eastAsia="仿宋_GB2312" w:cs="仿宋_GB2312"/>
          <w:b w:val="0"/>
          <w:bCs w:val="0"/>
          <w:color w:val="auto"/>
          <w:kern w:val="0"/>
          <w:sz w:val="32"/>
          <w:szCs w:val="32"/>
          <w:highlight w:val="none"/>
          <w:shd w:val="clear" w:color="auto" w:fill="FFFFFF"/>
          <w:lang w:val="en-US" w:eastAsia="zh-CN"/>
        </w:rPr>
        <w:t>绩效工作配合存在不足，财务和业务股室责任分工不明确。</w:t>
      </w:r>
    </w:p>
    <w:p>
      <w:pPr>
        <w:keepNext w:val="0"/>
        <w:keepLines w:val="0"/>
        <w:pageBreakBefore w:val="0"/>
        <w:widowControl/>
        <w:kinsoku/>
        <w:wordWrap/>
        <w:overflowPunct/>
        <w:topLinePunct w:val="0"/>
        <w:autoSpaceDE/>
        <w:autoSpaceDN/>
        <w:bidi w:val="0"/>
        <w:adjustRightInd w:val="0"/>
        <w:snapToGrid w:val="0"/>
        <w:spacing w:line="576" w:lineRule="exact"/>
        <w:ind w:firstLine="643" w:firstLineChars="200"/>
        <w:contextualSpacing/>
        <w:jc w:val="left"/>
        <w:textAlignment w:val="auto"/>
        <w:rPr>
          <w:rFonts w:hint="eastAsia" w:ascii="楷体_GB2312" w:hAnsi="楷体_GB2312" w:eastAsia="楷体_GB2312" w:cs="楷体_GB2312"/>
          <w:b/>
          <w:bCs/>
          <w:color w:val="auto"/>
          <w:kern w:val="0"/>
          <w:sz w:val="32"/>
          <w:szCs w:val="32"/>
          <w:highlight w:val="none"/>
          <w:shd w:val="clear" w:color="auto" w:fill="FFFFFF"/>
          <w:lang w:val="zh-CN"/>
        </w:rPr>
      </w:pPr>
      <w:r>
        <w:rPr>
          <w:rFonts w:hint="eastAsia" w:ascii="楷体_GB2312" w:hAnsi="楷体_GB2312" w:eastAsia="楷体_GB2312" w:cs="楷体_GB2312"/>
          <w:b/>
          <w:bCs/>
          <w:color w:val="auto"/>
          <w:kern w:val="0"/>
          <w:sz w:val="32"/>
          <w:szCs w:val="32"/>
          <w:highlight w:val="none"/>
          <w:shd w:val="clear" w:color="auto" w:fill="FFFFFF"/>
          <w:lang w:val="zh-CN"/>
        </w:rPr>
        <w:t>（三）改进建议。</w:t>
      </w:r>
    </w:p>
    <w:p>
      <w:pPr>
        <w:keepNext w:val="0"/>
        <w:keepLines w:val="0"/>
        <w:pageBreakBefore w:val="0"/>
        <w:widowControl/>
        <w:kinsoku/>
        <w:wordWrap/>
        <w:overflowPunct/>
        <w:topLinePunct w:val="0"/>
        <w:autoSpaceDE/>
        <w:autoSpaceDN/>
        <w:bidi w:val="0"/>
        <w:adjustRightInd w:val="0"/>
        <w:snapToGrid w:val="0"/>
        <w:spacing w:line="576" w:lineRule="exact"/>
        <w:ind w:firstLine="640" w:firstLineChars="200"/>
        <w:contextualSpacing/>
        <w:jc w:val="left"/>
        <w:textAlignment w:val="auto"/>
        <w:rPr>
          <w:rFonts w:hint="default" w:ascii="仿宋_GB2312" w:hAnsi="仿宋_GB2312" w:eastAsia="仿宋_GB2312" w:cs="仿宋_GB2312"/>
          <w:b w:val="0"/>
          <w:bCs w:val="0"/>
          <w:color w:val="auto"/>
          <w:kern w:val="0"/>
          <w:sz w:val="32"/>
          <w:szCs w:val="32"/>
          <w:highlight w:val="none"/>
          <w:shd w:val="clear" w:color="auto" w:fill="FFFFFF"/>
          <w:lang w:val="en-US" w:eastAsia="zh-CN"/>
        </w:rPr>
      </w:pPr>
      <w:r>
        <w:rPr>
          <w:rFonts w:hint="eastAsia" w:ascii="仿宋_GB2312" w:hAnsi="仿宋_GB2312" w:eastAsia="仿宋_GB2312" w:cs="仿宋_GB2312"/>
          <w:b w:val="0"/>
          <w:bCs w:val="0"/>
          <w:color w:val="auto"/>
          <w:kern w:val="0"/>
          <w:sz w:val="32"/>
          <w:szCs w:val="32"/>
          <w:highlight w:val="none"/>
          <w:shd w:val="clear" w:color="auto" w:fill="FFFFFF"/>
          <w:lang w:val="en-US" w:eastAsia="zh-CN"/>
        </w:rPr>
        <w:t>细化内部财务和业务部门的责任分工，明确自评应由相应资金对应业务部门具体实施，财务部门负责牵头推动、督促协调。</w:t>
      </w:r>
    </w:p>
    <w:p>
      <w:pPr>
        <w:pStyle w:val="8"/>
        <w:keepNext w:val="0"/>
        <w:keepLines w:val="0"/>
        <w:pageBreakBefore w:val="0"/>
        <w:numPr>
          <w:ilvl w:val="0"/>
          <w:numId w:val="0"/>
        </w:numPr>
        <w:kinsoku/>
        <w:wordWrap/>
        <w:overflowPunct/>
        <w:topLinePunct w:val="0"/>
        <w:autoSpaceDE/>
        <w:autoSpaceDN/>
        <w:bidi w:val="0"/>
        <w:spacing w:line="576" w:lineRule="exact"/>
        <w:ind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zh-CN" w:eastAsia="zh-CN"/>
        </w:rPr>
        <w:t>附</w:t>
      </w:r>
      <w:r>
        <w:rPr>
          <w:rFonts w:hint="eastAsia" w:hAnsi="仿宋_GB2312" w:eastAsia="仿宋_GB2312" w:cs="仿宋_GB2312"/>
          <w:color w:val="auto"/>
          <w:sz w:val="32"/>
          <w:szCs w:val="32"/>
          <w:highlight w:val="none"/>
          <w:lang w:val="zh-CN" w:eastAsia="zh-CN"/>
        </w:rPr>
        <w:t>件</w:t>
      </w:r>
      <w:r>
        <w:rPr>
          <w:rFonts w:hint="eastAsia" w:ascii="仿宋_GB2312" w:hAnsi="仿宋_GB2312" w:eastAsia="仿宋_GB2312" w:cs="仿宋_GB2312"/>
          <w:color w:val="auto"/>
          <w:sz w:val="32"/>
          <w:szCs w:val="32"/>
          <w:highlight w:val="none"/>
          <w:lang w:val="zh-CN" w:eastAsia="zh-CN"/>
        </w:rPr>
        <w:t>：</w:t>
      </w:r>
      <w:r>
        <w:rPr>
          <w:rFonts w:hint="eastAsia" w:hAnsi="仿宋_GB2312" w:eastAsia="仿宋_GB2312" w:cs="仿宋_GB2312"/>
          <w:color w:val="auto"/>
          <w:sz w:val="32"/>
          <w:szCs w:val="32"/>
          <w:highlight w:val="none"/>
          <w:lang w:val="zh-CN" w:eastAsia="zh-CN"/>
        </w:rPr>
        <w:t>广元市昭化区人力资源和社会保障局</w:t>
      </w:r>
      <w:r>
        <w:rPr>
          <w:rFonts w:hint="eastAsia" w:ascii="仿宋_GB2312" w:hAnsi="仿宋_GB2312" w:eastAsia="仿宋_GB2312" w:cs="仿宋_GB2312"/>
          <w:color w:val="auto"/>
          <w:sz w:val="32"/>
          <w:szCs w:val="32"/>
          <w:highlight w:val="none"/>
          <w:lang w:val="en-US" w:eastAsia="zh-CN"/>
        </w:rPr>
        <w:t>部门</w:t>
      </w:r>
      <w:r>
        <w:rPr>
          <w:rFonts w:hint="eastAsia" w:hAnsi="仿宋_GB2312" w:eastAsia="仿宋_GB2312" w:cs="仿宋_GB2312"/>
          <w:color w:val="auto"/>
          <w:sz w:val="32"/>
          <w:szCs w:val="32"/>
          <w:highlight w:val="none"/>
          <w:lang w:val="en-US" w:eastAsia="zh-CN"/>
        </w:rPr>
        <w:t>整体</w:t>
      </w:r>
      <w:r>
        <w:rPr>
          <w:rFonts w:hint="eastAsia" w:ascii="仿宋_GB2312" w:hAnsi="仿宋_GB2312" w:eastAsia="仿宋_GB2312" w:cs="仿宋_GB2312"/>
          <w:color w:val="auto"/>
          <w:sz w:val="32"/>
          <w:szCs w:val="32"/>
          <w:highlight w:val="none"/>
          <w:lang w:val="en-US" w:eastAsia="zh-CN"/>
        </w:rPr>
        <w:t>支出绩效自评表（2022年度）</w:t>
      </w:r>
    </w:p>
    <w:p>
      <w:pPr>
        <w:jc w:val="center"/>
        <w:rPr>
          <w:rFonts w:hint="eastAsia" w:ascii="微软雅黑" w:hAnsi="微软雅黑" w:eastAsia="微软雅黑" w:cs="微软雅黑"/>
          <w:color w:val="auto"/>
          <w:sz w:val="40"/>
          <w:szCs w:val="40"/>
          <w:highlight w:val="none"/>
          <w:lang w:val="en-US" w:eastAsia="zh-CN"/>
        </w:rPr>
      </w:pPr>
    </w:p>
    <w:p>
      <w:pPr>
        <w:jc w:val="center"/>
        <w:rPr>
          <w:rFonts w:hint="eastAsia" w:ascii="微软雅黑" w:hAnsi="微软雅黑" w:eastAsia="微软雅黑" w:cs="微软雅黑"/>
          <w:color w:val="auto"/>
          <w:sz w:val="40"/>
          <w:szCs w:val="40"/>
          <w:highlight w:val="none"/>
          <w:lang w:val="en-US" w:eastAsia="zh-CN"/>
        </w:rPr>
      </w:pPr>
    </w:p>
    <w:p>
      <w:pPr>
        <w:jc w:val="center"/>
        <w:rPr>
          <w:rFonts w:hint="eastAsia" w:ascii="微软雅黑" w:hAnsi="微软雅黑" w:eastAsia="微软雅黑" w:cs="微软雅黑"/>
          <w:color w:val="auto"/>
          <w:sz w:val="40"/>
          <w:szCs w:val="40"/>
          <w:highlight w:val="none"/>
          <w:lang w:val="en-US" w:eastAsia="zh-CN"/>
        </w:rPr>
      </w:pPr>
    </w:p>
    <w:p>
      <w:pPr>
        <w:jc w:val="center"/>
        <w:rPr>
          <w:rFonts w:hint="eastAsia" w:ascii="微软雅黑" w:hAnsi="微软雅黑" w:eastAsia="微软雅黑" w:cs="微软雅黑"/>
          <w:color w:val="auto"/>
          <w:sz w:val="40"/>
          <w:szCs w:val="40"/>
          <w:highlight w:val="none"/>
          <w:lang w:val="en-US" w:eastAsia="zh-CN"/>
        </w:rPr>
      </w:pPr>
    </w:p>
    <w:p>
      <w:pPr>
        <w:jc w:val="center"/>
        <w:rPr>
          <w:rFonts w:hint="eastAsia" w:ascii="微软雅黑" w:hAnsi="微软雅黑" w:eastAsia="微软雅黑" w:cs="微软雅黑"/>
          <w:color w:val="auto"/>
          <w:sz w:val="40"/>
          <w:szCs w:val="40"/>
          <w:highlight w:val="none"/>
          <w:lang w:val="en-US" w:eastAsia="zh-CN"/>
        </w:rPr>
      </w:pPr>
    </w:p>
    <w:p>
      <w:pPr>
        <w:jc w:val="center"/>
        <w:rPr>
          <w:rFonts w:hint="eastAsia" w:ascii="微软雅黑" w:hAnsi="微软雅黑" w:eastAsia="微软雅黑" w:cs="微软雅黑"/>
          <w:color w:val="auto"/>
          <w:sz w:val="40"/>
          <w:szCs w:val="40"/>
          <w:highlight w:val="none"/>
          <w:lang w:val="en-US" w:eastAsia="zh-CN"/>
        </w:rPr>
      </w:pPr>
    </w:p>
    <w:p>
      <w:pPr>
        <w:jc w:val="center"/>
        <w:rPr>
          <w:rFonts w:hint="eastAsia" w:ascii="微软雅黑" w:hAnsi="微软雅黑" w:eastAsia="微软雅黑" w:cs="微软雅黑"/>
          <w:color w:val="auto"/>
          <w:sz w:val="40"/>
          <w:szCs w:val="40"/>
          <w:highlight w:val="none"/>
          <w:lang w:val="en-US" w:eastAsia="zh-CN"/>
        </w:rPr>
      </w:pPr>
    </w:p>
    <w:p>
      <w:pPr>
        <w:jc w:val="center"/>
        <w:rPr>
          <w:rFonts w:hint="eastAsia" w:ascii="微软雅黑" w:hAnsi="微软雅黑" w:eastAsia="微软雅黑" w:cs="微软雅黑"/>
          <w:color w:val="auto"/>
          <w:sz w:val="40"/>
          <w:szCs w:val="40"/>
          <w:highlight w:val="none"/>
          <w:lang w:val="en-US" w:eastAsia="zh-CN"/>
        </w:rPr>
      </w:pPr>
    </w:p>
    <w:p>
      <w:pPr>
        <w:keepNext w:val="0"/>
        <w:keepLines w:val="0"/>
        <w:pageBreakBefore w:val="0"/>
        <w:widowControl/>
        <w:kinsoku/>
        <w:wordWrap/>
        <w:overflowPunct/>
        <w:topLinePunct w:val="0"/>
        <w:autoSpaceDE/>
        <w:autoSpaceDN/>
        <w:bidi w:val="0"/>
        <w:adjustRightInd w:val="0"/>
        <w:snapToGrid w:val="0"/>
        <w:spacing w:line="576" w:lineRule="exact"/>
        <w:contextualSpacing/>
        <w:jc w:val="both"/>
        <w:textAlignment w:val="auto"/>
        <w:outlineLvl w:val="1"/>
        <w:rPr>
          <w:rFonts w:hint="eastAsia" w:ascii="方正小标宋简体" w:hAnsi="方正小标宋简体" w:eastAsia="方正小标宋简体" w:cs="方正小标宋简体"/>
          <w:color w:val="auto"/>
          <w:sz w:val="28"/>
          <w:szCs w:val="28"/>
          <w:highlight w:val="none"/>
          <w:lang w:val="en-US" w:eastAsia="zh-CN"/>
        </w:rPr>
      </w:pPr>
      <w:bookmarkStart w:id="94" w:name="_Toc12123"/>
      <w:r>
        <w:rPr>
          <w:rFonts w:hint="eastAsia" w:ascii="方正小标宋简体" w:hAnsi="方正小标宋简体" w:eastAsia="方正小标宋简体" w:cs="方正小标宋简体"/>
          <w:color w:val="auto"/>
          <w:sz w:val="28"/>
          <w:szCs w:val="28"/>
          <w:highlight w:val="none"/>
          <w:lang w:val="en-US" w:eastAsia="zh-CN"/>
        </w:rPr>
        <w:t>附件</w:t>
      </w:r>
    </w:p>
    <w:p>
      <w:pPr>
        <w:keepNext w:val="0"/>
        <w:keepLines w:val="0"/>
        <w:pageBreakBefore w:val="0"/>
        <w:widowControl/>
        <w:kinsoku/>
        <w:wordWrap/>
        <w:overflowPunct/>
        <w:topLinePunct w:val="0"/>
        <w:autoSpaceDE/>
        <w:autoSpaceDN/>
        <w:bidi w:val="0"/>
        <w:adjustRightInd w:val="0"/>
        <w:snapToGrid w:val="0"/>
        <w:spacing w:line="576" w:lineRule="exact"/>
        <w:contextualSpacing/>
        <w:jc w:val="center"/>
        <w:textAlignment w:val="auto"/>
        <w:outlineLvl w:val="1"/>
        <w:rPr>
          <w:rFonts w:hint="eastAsia" w:ascii="方正小标宋简体" w:hAnsi="方正小标宋简体" w:eastAsia="方正小标宋简体" w:cs="方正小标宋简体"/>
          <w:color w:val="auto"/>
          <w:sz w:val="40"/>
          <w:szCs w:val="40"/>
          <w:highlight w:val="none"/>
          <w:lang w:val="en-US" w:eastAsia="zh-CN"/>
        </w:rPr>
      </w:pPr>
      <w:r>
        <w:rPr>
          <w:rFonts w:hint="eastAsia" w:ascii="方正小标宋简体" w:hAnsi="方正小标宋简体" w:eastAsia="方正小标宋简体" w:cs="方正小标宋简体"/>
          <w:color w:val="auto"/>
          <w:sz w:val="40"/>
          <w:szCs w:val="40"/>
          <w:highlight w:val="none"/>
          <w:lang w:val="en-US" w:eastAsia="zh-CN"/>
        </w:rPr>
        <w:t>广元市昭化区人力资源和社会保障局部门整体</w:t>
      </w:r>
      <w:bookmarkEnd w:id="94"/>
    </w:p>
    <w:p>
      <w:pPr>
        <w:keepNext w:val="0"/>
        <w:keepLines w:val="0"/>
        <w:pageBreakBefore w:val="0"/>
        <w:widowControl/>
        <w:kinsoku/>
        <w:wordWrap/>
        <w:overflowPunct/>
        <w:topLinePunct w:val="0"/>
        <w:autoSpaceDE/>
        <w:autoSpaceDN/>
        <w:bidi w:val="0"/>
        <w:adjustRightInd w:val="0"/>
        <w:snapToGrid w:val="0"/>
        <w:spacing w:line="576" w:lineRule="exact"/>
        <w:contextualSpacing/>
        <w:jc w:val="center"/>
        <w:textAlignment w:val="auto"/>
        <w:outlineLvl w:val="1"/>
        <w:rPr>
          <w:rFonts w:hint="eastAsia" w:ascii="方正小标宋简体" w:hAnsi="方正小标宋简体" w:eastAsia="方正小标宋简体" w:cs="方正小标宋简体"/>
          <w:color w:val="auto"/>
          <w:sz w:val="40"/>
          <w:szCs w:val="40"/>
          <w:highlight w:val="none"/>
          <w:lang w:val="en-US" w:eastAsia="zh-CN"/>
        </w:rPr>
      </w:pPr>
      <w:bookmarkStart w:id="95" w:name="_Toc18118"/>
      <w:r>
        <w:rPr>
          <w:rFonts w:hint="eastAsia" w:ascii="方正小标宋简体" w:hAnsi="方正小标宋简体" w:eastAsia="方正小标宋简体" w:cs="方正小标宋简体"/>
          <w:color w:val="auto"/>
          <w:sz w:val="40"/>
          <w:szCs w:val="40"/>
          <w:highlight w:val="none"/>
          <w:lang w:val="en-US" w:eastAsia="zh-CN"/>
        </w:rPr>
        <w:t>支出绩效目标自评表</w:t>
      </w:r>
      <w:bookmarkEnd w:id="95"/>
    </w:p>
    <w:p>
      <w:pPr>
        <w:jc w:val="center"/>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（2022年度）</w:t>
      </w:r>
    </w:p>
    <w:tbl>
      <w:tblPr>
        <w:tblStyle w:val="16"/>
        <w:tblW w:w="9018"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23"/>
        <w:gridCol w:w="779"/>
        <w:gridCol w:w="1041"/>
        <w:gridCol w:w="1042"/>
        <w:gridCol w:w="1619"/>
        <w:gridCol w:w="1289"/>
        <w:gridCol w:w="1289"/>
        <w:gridCol w:w="123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8" w:hRule="atLeast"/>
        </w:trPr>
        <w:tc>
          <w:tcPr>
            <w:tcW w:w="150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主管部门</w:t>
            </w:r>
          </w:p>
        </w:tc>
        <w:tc>
          <w:tcPr>
            <w:tcW w:w="3702"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广元市昭化区人力资源和社会保障局</w:t>
            </w:r>
          </w:p>
        </w:tc>
        <w:tc>
          <w:tcPr>
            <w:tcW w:w="12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实施单位</w:t>
            </w:r>
          </w:p>
        </w:tc>
        <w:tc>
          <w:tcPr>
            <w:tcW w:w="252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广元市昭化区人力资源和社会保障局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4" w:hRule="atLeast"/>
        </w:trPr>
        <w:tc>
          <w:tcPr>
            <w:tcW w:w="1502" w:type="dxa"/>
            <w:gridSpan w:val="2"/>
            <w:vMerge w:val="restart"/>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项目（政策）资金（万元）</w:t>
            </w:r>
          </w:p>
        </w:tc>
        <w:tc>
          <w:tcPr>
            <w:tcW w:w="2083" w:type="dxa"/>
            <w:gridSpan w:val="2"/>
            <w:tcBorders>
              <w:top w:val="nil"/>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619"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年初预算数</w:t>
            </w:r>
          </w:p>
        </w:tc>
        <w:tc>
          <w:tcPr>
            <w:tcW w:w="1289"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全年预算数</w:t>
            </w:r>
          </w:p>
        </w:tc>
        <w:tc>
          <w:tcPr>
            <w:tcW w:w="1289"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全年执行数</w:t>
            </w:r>
          </w:p>
        </w:tc>
        <w:tc>
          <w:tcPr>
            <w:tcW w:w="1236"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执行率(%)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4" w:hRule="atLeast"/>
        </w:trPr>
        <w:tc>
          <w:tcPr>
            <w:tcW w:w="1502" w:type="dxa"/>
            <w:gridSpan w:val="2"/>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208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年度资金总额</w:t>
            </w:r>
          </w:p>
        </w:tc>
        <w:tc>
          <w:tcPr>
            <w:tcW w:w="1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1501.56</w:t>
            </w:r>
          </w:p>
        </w:tc>
        <w:tc>
          <w:tcPr>
            <w:tcW w:w="12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4228.88</w:t>
            </w:r>
          </w:p>
        </w:tc>
        <w:tc>
          <w:tcPr>
            <w:tcW w:w="12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4228.88</w:t>
            </w:r>
          </w:p>
        </w:tc>
        <w:tc>
          <w:tcPr>
            <w:tcW w:w="1236"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4" w:hRule="atLeast"/>
        </w:trPr>
        <w:tc>
          <w:tcPr>
            <w:tcW w:w="1502" w:type="dxa"/>
            <w:gridSpan w:val="2"/>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208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（一）财政拨款小计</w:t>
            </w:r>
          </w:p>
        </w:tc>
        <w:tc>
          <w:tcPr>
            <w:tcW w:w="1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1501.56</w:t>
            </w:r>
          </w:p>
        </w:tc>
        <w:tc>
          <w:tcPr>
            <w:tcW w:w="12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4228.88</w:t>
            </w:r>
          </w:p>
        </w:tc>
        <w:tc>
          <w:tcPr>
            <w:tcW w:w="12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4228.88</w:t>
            </w:r>
          </w:p>
        </w:tc>
        <w:tc>
          <w:tcPr>
            <w:tcW w:w="1236"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4" w:hRule="atLeast"/>
        </w:trPr>
        <w:tc>
          <w:tcPr>
            <w:tcW w:w="1502" w:type="dxa"/>
            <w:gridSpan w:val="2"/>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208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 xml:space="preserve">   1.一般公共预算</w:t>
            </w:r>
          </w:p>
        </w:tc>
        <w:tc>
          <w:tcPr>
            <w:tcW w:w="1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1501.56</w:t>
            </w:r>
          </w:p>
        </w:tc>
        <w:tc>
          <w:tcPr>
            <w:tcW w:w="12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4228.88</w:t>
            </w:r>
          </w:p>
        </w:tc>
        <w:tc>
          <w:tcPr>
            <w:tcW w:w="12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4228.88</w:t>
            </w:r>
          </w:p>
        </w:tc>
        <w:tc>
          <w:tcPr>
            <w:tcW w:w="1236"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4" w:hRule="atLeast"/>
        </w:trPr>
        <w:tc>
          <w:tcPr>
            <w:tcW w:w="1502" w:type="dxa"/>
            <w:gridSpan w:val="2"/>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208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 xml:space="preserve">   2.政府性基金</w:t>
            </w:r>
          </w:p>
        </w:tc>
        <w:tc>
          <w:tcPr>
            <w:tcW w:w="161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6"/>
                <w:szCs w:val="16"/>
                <w:u w:val="none"/>
              </w:rPr>
            </w:pPr>
          </w:p>
        </w:tc>
        <w:tc>
          <w:tcPr>
            <w:tcW w:w="128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28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236" w:type="dxa"/>
            <w:tcBorders>
              <w:top w:val="nil"/>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6" w:hRule="atLeast"/>
        </w:trPr>
        <w:tc>
          <w:tcPr>
            <w:tcW w:w="1502" w:type="dxa"/>
            <w:gridSpan w:val="2"/>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208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 xml:space="preserve">  3.国有资本经营预算</w:t>
            </w:r>
          </w:p>
        </w:tc>
        <w:tc>
          <w:tcPr>
            <w:tcW w:w="161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6"/>
                <w:szCs w:val="16"/>
                <w:u w:val="none"/>
              </w:rPr>
            </w:pPr>
          </w:p>
        </w:tc>
        <w:tc>
          <w:tcPr>
            <w:tcW w:w="128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28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236" w:type="dxa"/>
            <w:tcBorders>
              <w:top w:val="nil"/>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4" w:hRule="atLeast"/>
        </w:trPr>
        <w:tc>
          <w:tcPr>
            <w:tcW w:w="1502" w:type="dxa"/>
            <w:gridSpan w:val="2"/>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208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 xml:space="preserve">  4.社保基金</w:t>
            </w:r>
          </w:p>
        </w:tc>
        <w:tc>
          <w:tcPr>
            <w:tcW w:w="161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6"/>
                <w:szCs w:val="16"/>
                <w:u w:val="none"/>
              </w:rPr>
            </w:pPr>
          </w:p>
        </w:tc>
        <w:tc>
          <w:tcPr>
            <w:tcW w:w="128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28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236" w:type="dxa"/>
            <w:tcBorders>
              <w:top w:val="nil"/>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4" w:hRule="atLeast"/>
        </w:trPr>
        <w:tc>
          <w:tcPr>
            <w:tcW w:w="1502" w:type="dxa"/>
            <w:gridSpan w:val="2"/>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2083" w:type="dxa"/>
            <w:gridSpan w:val="2"/>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（二）其他资金</w:t>
            </w:r>
          </w:p>
        </w:tc>
        <w:tc>
          <w:tcPr>
            <w:tcW w:w="1619" w:type="dxa"/>
            <w:tcBorders>
              <w:top w:val="single" w:color="000000" w:sz="4" w:space="0"/>
              <w:left w:val="single" w:color="000000" w:sz="4" w:space="0"/>
              <w:bottom w:val="nil"/>
              <w:right w:val="single" w:color="000000" w:sz="4" w:space="0"/>
            </w:tcBorders>
            <w:shd w:val="clear" w:color="auto" w:fill="auto"/>
            <w:vAlign w:val="center"/>
          </w:tcPr>
          <w:p>
            <w:pPr>
              <w:rPr>
                <w:rFonts w:hint="eastAsia" w:ascii="宋体" w:hAnsi="宋体" w:eastAsia="宋体" w:cs="宋体"/>
                <w:i w:val="0"/>
                <w:iCs w:val="0"/>
                <w:color w:val="000000"/>
                <w:sz w:val="16"/>
                <w:szCs w:val="16"/>
                <w:u w:val="none"/>
              </w:rPr>
            </w:pPr>
          </w:p>
        </w:tc>
        <w:tc>
          <w:tcPr>
            <w:tcW w:w="1289" w:type="dxa"/>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289" w:type="dxa"/>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236" w:type="dxa"/>
            <w:tcBorders>
              <w:top w:val="nil"/>
              <w:left w:val="single" w:color="000000" w:sz="4" w:space="0"/>
              <w:bottom w:val="nil"/>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6" w:hRule="atLeast"/>
        </w:trPr>
        <w:tc>
          <w:tcPr>
            <w:tcW w:w="72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整体</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目标</w:t>
            </w:r>
          </w:p>
        </w:tc>
        <w:tc>
          <w:tcPr>
            <w:tcW w:w="4481"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年度目标</w:t>
            </w:r>
          </w:p>
        </w:tc>
        <w:tc>
          <w:tcPr>
            <w:tcW w:w="3814" w:type="dxa"/>
            <w:gridSpan w:val="3"/>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完成情况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92" w:hRule="atLeast"/>
        </w:trPr>
        <w:tc>
          <w:tcPr>
            <w:tcW w:w="7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4481"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紧扣保障民生和服务发展两大主线，统筹抓好疫情防控和人社主责主业，保障各项工作有序有效有力推进。完成城镇新增就业1300人，登记实业率控制在4%以内，培育返乡农民工创业20个，脱贫人口创办领办创业实体10个，多渠道开发就业岗位，促进劳动者实现更加充分、更高质量就业。深入推进社会保障制度改革，完成全区养老保险参保覆盖人数14.79万人，保险待遇发放100%。组织事业单位工作人员招聘考试6次，招募“三支一扶”考试1次。完成650名事业单位管理人员的职级改革，充分激发人才队伍活力。宣传、检查国家劳动保障法律、法规和规章全年不少于24次，及时受理对违反劳动保障法律、法规或者规章的行为的举报、投诉，聘请法律顾问，以抓好农民工工资支付为核心，控制集访事件，构建和谐劳动关系。通过优化温暖人社服务质量供给，打响温暖人社服务品牌。</w:t>
            </w:r>
          </w:p>
        </w:tc>
        <w:tc>
          <w:tcPr>
            <w:tcW w:w="3814" w:type="dxa"/>
            <w:gridSpan w:val="3"/>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紧扣保障民生和服务发展两大主线，统筹抓好疫情防控和人社主责主业，保障各项工作有序有效有力推进。完成城镇新增就业1600人，登记实业率控制在4%以内，培育返乡农民工创业27个，脱贫人口创办领办创业实体70个，多渠道开发就业岗位，促进劳动者实现更加充分、更高质量就业。深入推进社会保障制度改革，完成全区养老保险参保覆盖人数15.52万人，保险待遇发放100%。组织事业单位工作人员招聘考试6次，招募“三支一扶”考试1次。完成325名事业单位管理人员的职级改革，充分激发人才队伍活力。宣传、检查国家劳动保障法律、法规和规章全年于24次，及时受理对违反劳动保障法律、法规或者规章的行为的举报、投诉，聘请法律顾问，以抓好农民工工资支付为核心，控制集访事件，构建和谐劳动关系。通过优化温暖人社服务质量供给，打响温暖人社服务品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8" w:hRule="atLeast"/>
        </w:trPr>
        <w:tc>
          <w:tcPr>
            <w:tcW w:w="72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部门整体绩效指标</w:t>
            </w:r>
          </w:p>
        </w:tc>
        <w:tc>
          <w:tcPr>
            <w:tcW w:w="7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一级指标</w:t>
            </w:r>
          </w:p>
        </w:tc>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二级指标</w:t>
            </w:r>
          </w:p>
        </w:tc>
        <w:tc>
          <w:tcPr>
            <w:tcW w:w="2661" w:type="dxa"/>
            <w:gridSpan w:val="2"/>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三级指标</w:t>
            </w:r>
          </w:p>
        </w:tc>
        <w:tc>
          <w:tcPr>
            <w:tcW w:w="12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年度指标值</w:t>
            </w:r>
          </w:p>
        </w:tc>
        <w:tc>
          <w:tcPr>
            <w:tcW w:w="12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实际完成值</w:t>
            </w:r>
          </w:p>
        </w:tc>
        <w:tc>
          <w:tcPr>
            <w:tcW w:w="1236" w:type="dxa"/>
            <w:tcBorders>
              <w:top w:val="nil"/>
              <w:left w:val="nil"/>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偏差原因分析及改进措施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9" w:hRule="atLeast"/>
        </w:trPr>
        <w:tc>
          <w:tcPr>
            <w:tcW w:w="7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77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产出指标</w:t>
            </w:r>
          </w:p>
        </w:tc>
        <w:tc>
          <w:tcPr>
            <w:tcW w:w="104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数量指标</w:t>
            </w:r>
          </w:p>
        </w:tc>
        <w:tc>
          <w:tcPr>
            <w:tcW w:w="2661" w:type="dxa"/>
            <w:gridSpan w:val="2"/>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参保人数</w:t>
            </w:r>
          </w:p>
        </w:tc>
        <w:tc>
          <w:tcPr>
            <w:tcW w:w="1289" w:type="dxa"/>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≥14.79万人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156247人</w:t>
            </w:r>
          </w:p>
        </w:tc>
        <w:tc>
          <w:tcPr>
            <w:tcW w:w="1236" w:type="dxa"/>
            <w:tcBorders>
              <w:top w:val="single" w:color="000000" w:sz="4" w:space="0"/>
              <w:left w:val="nil"/>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9" w:hRule="atLeast"/>
        </w:trPr>
        <w:tc>
          <w:tcPr>
            <w:tcW w:w="7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7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0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2661" w:type="dxa"/>
            <w:gridSpan w:val="2"/>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参加招商引资推介会次数</w:t>
            </w:r>
          </w:p>
        </w:tc>
        <w:tc>
          <w:tcPr>
            <w:tcW w:w="1289" w:type="dxa"/>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≥2次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3次</w:t>
            </w:r>
          </w:p>
        </w:tc>
        <w:tc>
          <w:tcPr>
            <w:tcW w:w="1236" w:type="dxa"/>
            <w:tcBorders>
              <w:top w:val="single" w:color="000000" w:sz="4" w:space="0"/>
              <w:left w:val="nil"/>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309" w:hRule="atLeast"/>
        </w:trPr>
        <w:tc>
          <w:tcPr>
            <w:tcW w:w="7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7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0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2661" w:type="dxa"/>
            <w:gridSpan w:val="2"/>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城镇新增就业人数（人）</w:t>
            </w:r>
          </w:p>
        </w:tc>
        <w:tc>
          <w:tcPr>
            <w:tcW w:w="1289" w:type="dxa"/>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≥1300人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1600人</w:t>
            </w:r>
          </w:p>
        </w:tc>
        <w:tc>
          <w:tcPr>
            <w:tcW w:w="1236" w:type="dxa"/>
            <w:tcBorders>
              <w:top w:val="single" w:color="000000" w:sz="4" w:space="0"/>
              <w:left w:val="nil"/>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8" w:hRule="atLeast"/>
        </w:trPr>
        <w:tc>
          <w:tcPr>
            <w:tcW w:w="7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7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0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2661" w:type="dxa"/>
            <w:gridSpan w:val="2"/>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单位发放职工工资及缴纳各类保险人数</w:t>
            </w:r>
          </w:p>
        </w:tc>
        <w:tc>
          <w:tcPr>
            <w:tcW w:w="1289" w:type="dxa"/>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＝61人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62人</w:t>
            </w:r>
          </w:p>
        </w:tc>
        <w:tc>
          <w:tcPr>
            <w:tcW w:w="123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人员增加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8" w:hRule="atLeast"/>
        </w:trPr>
        <w:tc>
          <w:tcPr>
            <w:tcW w:w="7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7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0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2661" w:type="dxa"/>
            <w:gridSpan w:val="2"/>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检查用人单位遵守劳动保障法律、法规和规章的执行情况次数</w:t>
            </w:r>
          </w:p>
        </w:tc>
        <w:tc>
          <w:tcPr>
            <w:tcW w:w="1289" w:type="dxa"/>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≥24次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24次</w:t>
            </w:r>
          </w:p>
        </w:tc>
        <w:tc>
          <w:tcPr>
            <w:tcW w:w="1236" w:type="dxa"/>
            <w:tcBorders>
              <w:top w:val="single" w:color="000000" w:sz="4" w:space="0"/>
              <w:left w:val="nil"/>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9" w:hRule="atLeast"/>
        </w:trPr>
        <w:tc>
          <w:tcPr>
            <w:tcW w:w="7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7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0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2661" w:type="dxa"/>
            <w:gridSpan w:val="2"/>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累计洽谈项目个数</w:t>
            </w:r>
          </w:p>
        </w:tc>
        <w:tc>
          <w:tcPr>
            <w:tcW w:w="1289" w:type="dxa"/>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≥3个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4个</w:t>
            </w:r>
          </w:p>
        </w:tc>
        <w:tc>
          <w:tcPr>
            <w:tcW w:w="1236" w:type="dxa"/>
            <w:tcBorders>
              <w:top w:val="single" w:color="000000" w:sz="4" w:space="0"/>
              <w:left w:val="nil"/>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6" w:hRule="atLeast"/>
        </w:trPr>
        <w:tc>
          <w:tcPr>
            <w:tcW w:w="7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7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0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2661" w:type="dxa"/>
            <w:gridSpan w:val="2"/>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纳入管理范畴的人事档案数量</w:t>
            </w:r>
          </w:p>
        </w:tc>
        <w:tc>
          <w:tcPr>
            <w:tcW w:w="1289" w:type="dxa"/>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≥1000册卷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1200测卷</w:t>
            </w:r>
          </w:p>
        </w:tc>
        <w:tc>
          <w:tcPr>
            <w:tcW w:w="123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年度毕业人员新进档案管理增加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9" w:hRule="atLeast"/>
        </w:trPr>
        <w:tc>
          <w:tcPr>
            <w:tcW w:w="7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7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0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2661" w:type="dxa"/>
            <w:gridSpan w:val="2"/>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设置标准化服务窗口</w:t>
            </w:r>
          </w:p>
        </w:tc>
        <w:tc>
          <w:tcPr>
            <w:tcW w:w="1289" w:type="dxa"/>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≥20个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20个</w:t>
            </w:r>
          </w:p>
        </w:tc>
        <w:tc>
          <w:tcPr>
            <w:tcW w:w="1236" w:type="dxa"/>
            <w:tcBorders>
              <w:top w:val="single" w:color="000000" w:sz="4" w:space="0"/>
              <w:left w:val="nil"/>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8" w:hRule="atLeast"/>
        </w:trPr>
        <w:tc>
          <w:tcPr>
            <w:tcW w:w="7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7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0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2661" w:type="dxa"/>
            <w:gridSpan w:val="2"/>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脱贫人口创办领办创业实体个数（个）</w:t>
            </w:r>
          </w:p>
        </w:tc>
        <w:tc>
          <w:tcPr>
            <w:tcW w:w="1289" w:type="dxa"/>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≥10个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70个</w:t>
            </w:r>
          </w:p>
        </w:tc>
        <w:tc>
          <w:tcPr>
            <w:tcW w:w="1236" w:type="dxa"/>
            <w:tcBorders>
              <w:top w:val="single" w:color="000000" w:sz="4" w:space="0"/>
              <w:left w:val="nil"/>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8" w:hRule="atLeast"/>
        </w:trPr>
        <w:tc>
          <w:tcPr>
            <w:tcW w:w="7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7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0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2661" w:type="dxa"/>
            <w:gridSpan w:val="2"/>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完成事业单位管理人员职级改革人数</w:t>
            </w:r>
          </w:p>
        </w:tc>
        <w:tc>
          <w:tcPr>
            <w:tcW w:w="1289" w:type="dxa"/>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≥650人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325人</w:t>
            </w:r>
          </w:p>
        </w:tc>
        <w:tc>
          <w:tcPr>
            <w:tcW w:w="123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仅325人符合条件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8" w:hRule="atLeast"/>
        </w:trPr>
        <w:tc>
          <w:tcPr>
            <w:tcW w:w="7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7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0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2661" w:type="dxa"/>
            <w:gridSpan w:val="2"/>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为全区低保对象、特困人员等困难群体代缴城乡居民基本养老保险</w:t>
            </w:r>
          </w:p>
        </w:tc>
        <w:tc>
          <w:tcPr>
            <w:tcW w:w="1289" w:type="dxa"/>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≥1.1万人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23653人</w:t>
            </w:r>
          </w:p>
        </w:tc>
        <w:tc>
          <w:tcPr>
            <w:tcW w:w="123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据实统计，加大社保宣传力度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9" w:hRule="atLeast"/>
        </w:trPr>
        <w:tc>
          <w:tcPr>
            <w:tcW w:w="7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7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0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2661" w:type="dxa"/>
            <w:gridSpan w:val="2"/>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向上争取资金</w:t>
            </w:r>
          </w:p>
        </w:tc>
        <w:tc>
          <w:tcPr>
            <w:tcW w:w="1289" w:type="dxa"/>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≥6000万元</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7888.06万元</w:t>
            </w:r>
          </w:p>
        </w:tc>
        <w:tc>
          <w:tcPr>
            <w:tcW w:w="1236" w:type="dxa"/>
            <w:tcBorders>
              <w:top w:val="single" w:color="000000" w:sz="4" w:space="0"/>
              <w:left w:val="nil"/>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6" w:hRule="atLeast"/>
        </w:trPr>
        <w:tc>
          <w:tcPr>
            <w:tcW w:w="7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7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0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2661" w:type="dxa"/>
            <w:gridSpan w:val="2"/>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转移农民工外出务工人数</w:t>
            </w:r>
          </w:p>
        </w:tc>
        <w:tc>
          <w:tcPr>
            <w:tcW w:w="1289" w:type="dxa"/>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≥503人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8.9万人</w:t>
            </w:r>
          </w:p>
        </w:tc>
        <w:tc>
          <w:tcPr>
            <w:tcW w:w="123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开展了专业农民工专班行动，扩大宣传力度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9" w:hRule="atLeast"/>
        </w:trPr>
        <w:tc>
          <w:tcPr>
            <w:tcW w:w="7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7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0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2661" w:type="dxa"/>
            <w:gridSpan w:val="2"/>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组织事业单位招聘考试次数</w:t>
            </w:r>
          </w:p>
        </w:tc>
        <w:tc>
          <w:tcPr>
            <w:tcW w:w="1289" w:type="dxa"/>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≥6次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8次</w:t>
            </w:r>
          </w:p>
        </w:tc>
        <w:tc>
          <w:tcPr>
            <w:tcW w:w="1236" w:type="dxa"/>
            <w:tcBorders>
              <w:top w:val="single" w:color="000000" w:sz="4" w:space="0"/>
              <w:left w:val="nil"/>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9" w:hRule="atLeast"/>
        </w:trPr>
        <w:tc>
          <w:tcPr>
            <w:tcW w:w="7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7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04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质量指标</w:t>
            </w:r>
          </w:p>
        </w:tc>
        <w:tc>
          <w:tcPr>
            <w:tcW w:w="2661" w:type="dxa"/>
            <w:gridSpan w:val="2"/>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城镇登记失业率</w:t>
            </w:r>
          </w:p>
        </w:tc>
        <w:tc>
          <w:tcPr>
            <w:tcW w:w="1289" w:type="dxa"/>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3.40%</w:t>
            </w:r>
          </w:p>
        </w:tc>
        <w:tc>
          <w:tcPr>
            <w:tcW w:w="1236" w:type="dxa"/>
            <w:tcBorders>
              <w:top w:val="single" w:color="000000" w:sz="4" w:space="0"/>
              <w:left w:val="nil"/>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8" w:hRule="atLeast"/>
        </w:trPr>
        <w:tc>
          <w:tcPr>
            <w:tcW w:w="7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7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0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2661" w:type="dxa"/>
            <w:gridSpan w:val="2"/>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劳动保障监察举报投诉案件结案率及劳动人事争议仲裁结案率</w:t>
            </w:r>
          </w:p>
        </w:tc>
        <w:tc>
          <w:tcPr>
            <w:tcW w:w="1289" w:type="dxa"/>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＝100%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100%</w:t>
            </w:r>
          </w:p>
        </w:tc>
        <w:tc>
          <w:tcPr>
            <w:tcW w:w="1236" w:type="dxa"/>
            <w:tcBorders>
              <w:top w:val="single" w:color="000000" w:sz="4" w:space="0"/>
              <w:left w:val="nil"/>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9" w:hRule="atLeast"/>
        </w:trPr>
        <w:tc>
          <w:tcPr>
            <w:tcW w:w="7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7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0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2661" w:type="dxa"/>
            <w:gridSpan w:val="2"/>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落实政策，精准惠民</w:t>
            </w:r>
          </w:p>
        </w:tc>
        <w:tc>
          <w:tcPr>
            <w:tcW w:w="1289" w:type="dxa"/>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定性优良中低差</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优</w:t>
            </w:r>
          </w:p>
        </w:tc>
        <w:tc>
          <w:tcPr>
            <w:tcW w:w="1236" w:type="dxa"/>
            <w:tcBorders>
              <w:top w:val="single" w:color="000000" w:sz="4" w:space="0"/>
              <w:left w:val="nil"/>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9" w:hRule="atLeast"/>
        </w:trPr>
        <w:tc>
          <w:tcPr>
            <w:tcW w:w="7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7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0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2661" w:type="dxa"/>
            <w:gridSpan w:val="2"/>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企业劳动合同签订率</w:t>
            </w:r>
          </w:p>
        </w:tc>
        <w:tc>
          <w:tcPr>
            <w:tcW w:w="1289" w:type="dxa"/>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≥90%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97%</w:t>
            </w:r>
          </w:p>
        </w:tc>
        <w:tc>
          <w:tcPr>
            <w:tcW w:w="1236" w:type="dxa"/>
            <w:tcBorders>
              <w:top w:val="single" w:color="000000" w:sz="4" w:space="0"/>
              <w:left w:val="nil"/>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9" w:hRule="atLeast"/>
        </w:trPr>
        <w:tc>
          <w:tcPr>
            <w:tcW w:w="7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7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0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2661" w:type="dxa"/>
            <w:gridSpan w:val="2"/>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提升全区人才队伍建设</w:t>
            </w:r>
          </w:p>
        </w:tc>
        <w:tc>
          <w:tcPr>
            <w:tcW w:w="1289" w:type="dxa"/>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定性优良中低差</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优</w:t>
            </w:r>
          </w:p>
        </w:tc>
        <w:tc>
          <w:tcPr>
            <w:tcW w:w="1236" w:type="dxa"/>
            <w:tcBorders>
              <w:top w:val="single" w:color="000000" w:sz="4" w:space="0"/>
              <w:left w:val="nil"/>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8" w:hRule="atLeast"/>
        </w:trPr>
        <w:tc>
          <w:tcPr>
            <w:tcW w:w="7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7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0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2661" w:type="dxa"/>
            <w:gridSpan w:val="2"/>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完成2022年区政府下达的招商引资目标任务</w:t>
            </w:r>
          </w:p>
        </w:tc>
        <w:tc>
          <w:tcPr>
            <w:tcW w:w="1289" w:type="dxa"/>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定性优良中低差</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优</w:t>
            </w:r>
          </w:p>
        </w:tc>
        <w:tc>
          <w:tcPr>
            <w:tcW w:w="1236" w:type="dxa"/>
            <w:tcBorders>
              <w:top w:val="single" w:color="000000" w:sz="4" w:space="0"/>
              <w:left w:val="nil"/>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9" w:hRule="atLeast"/>
        </w:trPr>
        <w:tc>
          <w:tcPr>
            <w:tcW w:w="7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7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0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2661" w:type="dxa"/>
            <w:gridSpan w:val="2"/>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养老金领取资格认证率</w:t>
            </w:r>
          </w:p>
        </w:tc>
        <w:tc>
          <w:tcPr>
            <w:tcW w:w="1289" w:type="dxa"/>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＝100%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100%</w:t>
            </w:r>
          </w:p>
        </w:tc>
        <w:tc>
          <w:tcPr>
            <w:tcW w:w="1236" w:type="dxa"/>
            <w:tcBorders>
              <w:top w:val="single" w:color="000000" w:sz="4" w:space="0"/>
              <w:left w:val="nil"/>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51" w:hRule="atLeast"/>
        </w:trPr>
        <w:tc>
          <w:tcPr>
            <w:tcW w:w="7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7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0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2661" w:type="dxa"/>
            <w:gridSpan w:val="2"/>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流动人员人事档案信息化及事业干部人事档案数字化扫描工作完成率</w:t>
            </w:r>
          </w:p>
        </w:tc>
        <w:tc>
          <w:tcPr>
            <w:tcW w:w="1289" w:type="dxa"/>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≥95%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100%</w:t>
            </w:r>
          </w:p>
        </w:tc>
        <w:tc>
          <w:tcPr>
            <w:tcW w:w="1236" w:type="dxa"/>
            <w:tcBorders>
              <w:top w:val="single" w:color="000000" w:sz="4" w:space="0"/>
              <w:left w:val="nil"/>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4" w:hRule="atLeast"/>
        </w:trPr>
        <w:tc>
          <w:tcPr>
            <w:tcW w:w="7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7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04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时效指标</w:t>
            </w:r>
          </w:p>
        </w:tc>
        <w:tc>
          <w:tcPr>
            <w:tcW w:w="2661" w:type="dxa"/>
            <w:gridSpan w:val="2"/>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档案转入、转出、查询的及时率</w:t>
            </w:r>
          </w:p>
        </w:tc>
        <w:tc>
          <w:tcPr>
            <w:tcW w:w="1289" w:type="dxa"/>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＝100%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100%</w:t>
            </w:r>
          </w:p>
        </w:tc>
        <w:tc>
          <w:tcPr>
            <w:tcW w:w="1236" w:type="dxa"/>
            <w:tcBorders>
              <w:top w:val="single" w:color="000000" w:sz="4" w:space="0"/>
              <w:left w:val="nil"/>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9" w:hRule="atLeast"/>
        </w:trPr>
        <w:tc>
          <w:tcPr>
            <w:tcW w:w="7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7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0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2661" w:type="dxa"/>
            <w:gridSpan w:val="2"/>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完成年限</w:t>
            </w:r>
          </w:p>
        </w:tc>
        <w:tc>
          <w:tcPr>
            <w:tcW w:w="1289" w:type="dxa"/>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≤1年</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1年</w:t>
            </w:r>
          </w:p>
        </w:tc>
        <w:tc>
          <w:tcPr>
            <w:tcW w:w="1236" w:type="dxa"/>
            <w:tcBorders>
              <w:top w:val="single" w:color="000000" w:sz="4" w:space="0"/>
              <w:left w:val="nil"/>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9" w:hRule="atLeast"/>
        </w:trPr>
        <w:tc>
          <w:tcPr>
            <w:tcW w:w="7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7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0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2661" w:type="dxa"/>
            <w:gridSpan w:val="2"/>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养老保险待遇按时足额发放及时率</w:t>
            </w:r>
          </w:p>
        </w:tc>
        <w:tc>
          <w:tcPr>
            <w:tcW w:w="1289" w:type="dxa"/>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＝100%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100%</w:t>
            </w:r>
          </w:p>
        </w:tc>
        <w:tc>
          <w:tcPr>
            <w:tcW w:w="1236" w:type="dxa"/>
            <w:tcBorders>
              <w:top w:val="single" w:color="000000" w:sz="4" w:space="0"/>
              <w:left w:val="nil"/>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57" w:hRule="atLeast"/>
        </w:trPr>
        <w:tc>
          <w:tcPr>
            <w:tcW w:w="7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7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04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成本指标</w:t>
            </w:r>
          </w:p>
        </w:tc>
        <w:tc>
          <w:tcPr>
            <w:tcW w:w="2661" w:type="dxa"/>
            <w:gridSpan w:val="2"/>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保障社保、就业等工作运转支出</w:t>
            </w:r>
          </w:p>
        </w:tc>
        <w:tc>
          <w:tcPr>
            <w:tcW w:w="1289" w:type="dxa"/>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≤335万元</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335万元</w:t>
            </w:r>
          </w:p>
        </w:tc>
        <w:tc>
          <w:tcPr>
            <w:tcW w:w="1236" w:type="dxa"/>
            <w:tcBorders>
              <w:top w:val="single" w:color="000000" w:sz="4" w:space="0"/>
              <w:left w:val="nil"/>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4" w:hRule="atLeast"/>
        </w:trPr>
        <w:tc>
          <w:tcPr>
            <w:tcW w:w="7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7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0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2661" w:type="dxa"/>
            <w:gridSpan w:val="2"/>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人员经费及日常运转经费</w:t>
            </w:r>
          </w:p>
        </w:tc>
        <w:tc>
          <w:tcPr>
            <w:tcW w:w="1289" w:type="dxa"/>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≤900.95万元</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1016.39万元</w:t>
            </w:r>
          </w:p>
        </w:tc>
        <w:tc>
          <w:tcPr>
            <w:tcW w:w="123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人员增加，预算调整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9" w:hRule="atLeast"/>
        </w:trPr>
        <w:tc>
          <w:tcPr>
            <w:tcW w:w="7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77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效益指标</w:t>
            </w:r>
          </w:p>
        </w:tc>
        <w:tc>
          <w:tcPr>
            <w:tcW w:w="104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经济效益指标</w:t>
            </w:r>
          </w:p>
        </w:tc>
        <w:tc>
          <w:tcPr>
            <w:tcW w:w="2661" w:type="dxa"/>
            <w:gridSpan w:val="2"/>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农民工劳务经济收入稳定增长</w:t>
            </w:r>
          </w:p>
        </w:tc>
        <w:tc>
          <w:tcPr>
            <w:tcW w:w="1289" w:type="dxa"/>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定性优良中低差</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优</w:t>
            </w:r>
          </w:p>
        </w:tc>
        <w:tc>
          <w:tcPr>
            <w:tcW w:w="1236" w:type="dxa"/>
            <w:tcBorders>
              <w:top w:val="single" w:color="000000" w:sz="4" w:space="0"/>
              <w:left w:val="nil"/>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9" w:hRule="atLeast"/>
        </w:trPr>
        <w:tc>
          <w:tcPr>
            <w:tcW w:w="7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7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0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2661" w:type="dxa"/>
            <w:gridSpan w:val="2"/>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增加税收收入</w:t>
            </w:r>
          </w:p>
        </w:tc>
        <w:tc>
          <w:tcPr>
            <w:tcW w:w="1289" w:type="dxa"/>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定性优良中低差</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优</w:t>
            </w:r>
          </w:p>
        </w:tc>
        <w:tc>
          <w:tcPr>
            <w:tcW w:w="1236" w:type="dxa"/>
            <w:tcBorders>
              <w:top w:val="single" w:color="000000" w:sz="4" w:space="0"/>
              <w:left w:val="nil"/>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9" w:hRule="atLeast"/>
        </w:trPr>
        <w:tc>
          <w:tcPr>
            <w:tcW w:w="7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7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04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社会效益指标</w:t>
            </w:r>
          </w:p>
        </w:tc>
        <w:tc>
          <w:tcPr>
            <w:tcW w:w="2661" w:type="dxa"/>
            <w:gridSpan w:val="2"/>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企业劳动合同签订率</w:t>
            </w:r>
          </w:p>
        </w:tc>
        <w:tc>
          <w:tcPr>
            <w:tcW w:w="1289" w:type="dxa"/>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≥90%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97%</w:t>
            </w:r>
          </w:p>
        </w:tc>
        <w:tc>
          <w:tcPr>
            <w:tcW w:w="1236" w:type="dxa"/>
            <w:tcBorders>
              <w:top w:val="single" w:color="000000" w:sz="4" w:space="0"/>
              <w:left w:val="nil"/>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9" w:hRule="atLeast"/>
        </w:trPr>
        <w:tc>
          <w:tcPr>
            <w:tcW w:w="7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7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0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2661" w:type="dxa"/>
            <w:gridSpan w:val="2"/>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群众获得感、幸福感不断增强</w:t>
            </w:r>
          </w:p>
        </w:tc>
        <w:tc>
          <w:tcPr>
            <w:tcW w:w="1289" w:type="dxa"/>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定性优良中低差</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优</w:t>
            </w:r>
          </w:p>
        </w:tc>
        <w:tc>
          <w:tcPr>
            <w:tcW w:w="1236" w:type="dxa"/>
            <w:tcBorders>
              <w:top w:val="single" w:color="000000" w:sz="4" w:space="0"/>
              <w:left w:val="nil"/>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9" w:hRule="atLeast"/>
        </w:trPr>
        <w:tc>
          <w:tcPr>
            <w:tcW w:w="7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7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0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2661" w:type="dxa"/>
            <w:gridSpan w:val="2"/>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增加了就业机会，拓宽了就业渠道</w:t>
            </w:r>
          </w:p>
        </w:tc>
        <w:tc>
          <w:tcPr>
            <w:tcW w:w="1289" w:type="dxa"/>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定性优良中低差</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优</w:t>
            </w:r>
          </w:p>
        </w:tc>
        <w:tc>
          <w:tcPr>
            <w:tcW w:w="1236" w:type="dxa"/>
            <w:tcBorders>
              <w:top w:val="single" w:color="000000" w:sz="4" w:space="0"/>
              <w:left w:val="nil"/>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8" w:hRule="atLeast"/>
        </w:trPr>
        <w:tc>
          <w:tcPr>
            <w:tcW w:w="7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7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可持续影响指标</w:t>
            </w:r>
          </w:p>
        </w:tc>
        <w:tc>
          <w:tcPr>
            <w:tcW w:w="2661" w:type="dxa"/>
            <w:gridSpan w:val="2"/>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高校毕业生就业率稳步提升</w:t>
            </w:r>
          </w:p>
        </w:tc>
        <w:tc>
          <w:tcPr>
            <w:tcW w:w="1289" w:type="dxa"/>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定性优良中低差</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优</w:t>
            </w:r>
          </w:p>
        </w:tc>
        <w:tc>
          <w:tcPr>
            <w:tcW w:w="1236" w:type="dxa"/>
            <w:tcBorders>
              <w:top w:val="single" w:color="000000" w:sz="4" w:space="0"/>
              <w:left w:val="nil"/>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7" w:hRule="atLeast"/>
        </w:trPr>
        <w:tc>
          <w:tcPr>
            <w:tcW w:w="7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7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满意度</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指标</w:t>
            </w:r>
          </w:p>
        </w:tc>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服务对象满意度指标</w:t>
            </w:r>
          </w:p>
        </w:tc>
        <w:tc>
          <w:tcPr>
            <w:tcW w:w="2661" w:type="dxa"/>
            <w:gridSpan w:val="2"/>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社保、就业等服务对象满意度</w:t>
            </w:r>
          </w:p>
        </w:tc>
        <w:tc>
          <w:tcPr>
            <w:tcW w:w="1289" w:type="dxa"/>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≥90%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95%</w:t>
            </w:r>
          </w:p>
        </w:tc>
        <w:tc>
          <w:tcPr>
            <w:tcW w:w="1236" w:type="dxa"/>
            <w:tcBorders>
              <w:top w:val="single" w:color="000000" w:sz="4" w:space="0"/>
              <w:left w:val="nil"/>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r>
    </w:tbl>
    <w:p>
      <w:pPr>
        <w:pageBreakBefore w:val="0"/>
        <w:kinsoku/>
        <w:wordWrap/>
        <w:overflowPunct/>
        <w:topLinePunct w:val="0"/>
        <w:bidi w:val="0"/>
        <w:spacing w:line="576" w:lineRule="exact"/>
        <w:jc w:val="both"/>
        <w:textAlignment w:val="auto"/>
        <w:outlineLvl w:val="9"/>
        <w:rPr>
          <w:rFonts w:hint="eastAsia" w:ascii="黑体" w:hAnsi="黑体" w:eastAsia="黑体"/>
          <w:color w:val="auto"/>
          <w:sz w:val="44"/>
          <w:szCs w:val="44"/>
          <w:highlight w:val="none"/>
        </w:rPr>
      </w:pPr>
      <w:bookmarkStart w:id="96" w:name="_Toc15396618"/>
    </w:p>
    <w:p>
      <w:pPr>
        <w:pageBreakBefore w:val="0"/>
        <w:kinsoku/>
        <w:wordWrap/>
        <w:overflowPunct/>
        <w:topLinePunct w:val="0"/>
        <w:bidi w:val="0"/>
        <w:spacing w:line="576" w:lineRule="exact"/>
        <w:jc w:val="center"/>
        <w:textAlignment w:val="auto"/>
        <w:outlineLvl w:val="0"/>
        <w:rPr>
          <w:rFonts w:hint="eastAsia" w:ascii="黑体" w:hAnsi="黑体" w:eastAsia="黑体"/>
          <w:color w:val="auto"/>
          <w:sz w:val="44"/>
          <w:szCs w:val="44"/>
          <w:highlight w:val="none"/>
        </w:rPr>
        <w:sectPr>
          <w:footerReference r:id="rId6" w:type="first"/>
          <w:footerReference r:id="rId5" w:type="default"/>
          <w:pgSz w:w="11906" w:h="16838"/>
          <w:pgMar w:top="1984" w:right="1474" w:bottom="1871" w:left="1587" w:header="851" w:footer="992" w:gutter="0"/>
          <w:pgNumType w:fmt="decimal" w:start="1"/>
          <w:cols w:space="0" w:num="1"/>
          <w:titlePg/>
          <w:rtlGutter w:val="0"/>
          <w:docGrid w:type="lines" w:linePitch="312" w:charSpace="0"/>
        </w:sectPr>
      </w:pPr>
    </w:p>
    <w:p>
      <w:pPr>
        <w:keepNext w:val="0"/>
        <w:keepLines w:val="0"/>
        <w:pageBreakBefore w:val="0"/>
        <w:widowControl/>
        <w:kinsoku/>
        <w:wordWrap/>
        <w:overflowPunct/>
        <w:topLinePunct w:val="0"/>
        <w:autoSpaceDE/>
        <w:autoSpaceDN/>
        <w:bidi w:val="0"/>
        <w:adjustRightInd w:val="0"/>
        <w:snapToGrid w:val="0"/>
        <w:spacing w:line="576" w:lineRule="exact"/>
        <w:contextualSpacing/>
        <w:jc w:val="left"/>
        <w:textAlignment w:val="auto"/>
        <w:outlineLvl w:val="1"/>
        <w:rPr>
          <w:rFonts w:hint="default" w:ascii="黑体" w:hAnsi="黑体" w:eastAsia="黑体" w:cs="黑体"/>
          <w:b w:val="0"/>
          <w:bCs/>
          <w:color w:val="auto"/>
          <w:sz w:val="32"/>
          <w:szCs w:val="32"/>
          <w:highlight w:val="none"/>
          <w:shd w:val="clear" w:color="auto" w:fill="FFFFFF"/>
          <w:lang w:val="en-US" w:eastAsia="zh-CN"/>
        </w:rPr>
      </w:pPr>
      <w:bookmarkStart w:id="97" w:name="_Toc28562"/>
      <w:r>
        <w:rPr>
          <w:rFonts w:hint="eastAsia" w:ascii="黑体" w:hAnsi="黑体" w:eastAsia="黑体" w:cs="黑体"/>
          <w:b w:val="0"/>
          <w:bCs/>
          <w:color w:val="auto"/>
          <w:sz w:val="32"/>
          <w:szCs w:val="32"/>
          <w:highlight w:val="none"/>
          <w:shd w:val="clear" w:color="auto" w:fill="FFFFFF"/>
          <w:lang w:val="en-US" w:eastAsia="zh-CN"/>
        </w:rPr>
        <w:t>附件2</w:t>
      </w:r>
      <w:bookmarkEnd w:id="97"/>
    </w:p>
    <w:p>
      <w:pPr>
        <w:keepNext w:val="0"/>
        <w:keepLines w:val="0"/>
        <w:pageBreakBefore w:val="0"/>
        <w:widowControl w:val="0"/>
        <w:kinsoku/>
        <w:wordWrap/>
        <w:overflowPunct/>
        <w:topLinePunct w:val="0"/>
        <w:autoSpaceDE/>
        <w:autoSpaceDN/>
        <w:bidi w:val="0"/>
        <w:adjustRightInd/>
        <w:snapToGrid w:val="0"/>
        <w:spacing w:line="700" w:lineRule="exact"/>
        <w:ind w:left="0" w:leftChars="0" w:right="0" w:rightChars="0" w:firstLine="0" w:firstLineChars="0"/>
        <w:jc w:val="center"/>
        <w:textAlignment w:val="auto"/>
        <w:outlineLvl w:val="1"/>
        <w:rPr>
          <w:rFonts w:hint="eastAsia" w:ascii="微软雅黑" w:hAnsi="微软雅黑" w:eastAsia="微软雅黑" w:cs="微软雅黑"/>
          <w:sz w:val="44"/>
          <w:szCs w:val="44"/>
          <w:highlight w:val="none"/>
          <w:lang w:val="en-US" w:eastAsia="zh-CN"/>
        </w:rPr>
      </w:pPr>
    </w:p>
    <w:p>
      <w:pPr>
        <w:keepNext w:val="0"/>
        <w:keepLines w:val="0"/>
        <w:pageBreakBefore w:val="0"/>
        <w:widowControl w:val="0"/>
        <w:kinsoku/>
        <w:wordWrap/>
        <w:overflowPunct/>
        <w:topLinePunct w:val="0"/>
        <w:autoSpaceDE/>
        <w:autoSpaceDN/>
        <w:bidi w:val="0"/>
        <w:adjustRightInd/>
        <w:snapToGrid w:val="0"/>
        <w:spacing w:line="700" w:lineRule="exact"/>
        <w:ind w:left="0" w:leftChars="0" w:right="0" w:rightChars="0" w:firstLine="0" w:firstLineChars="0"/>
        <w:jc w:val="center"/>
        <w:textAlignment w:val="auto"/>
        <w:outlineLvl w:val="1"/>
        <w:rPr>
          <w:rFonts w:hint="eastAsia" w:ascii="方正粗黑宋简体" w:hAnsi="方正粗黑宋简体" w:eastAsia="方正粗黑宋简体" w:cs="方正粗黑宋简体"/>
          <w:sz w:val="32"/>
          <w:szCs w:val="32"/>
          <w:highlight w:val="none"/>
          <w:lang w:val="en-US" w:eastAsia="zh-CN"/>
        </w:rPr>
      </w:pPr>
      <w:bookmarkStart w:id="98" w:name="_Toc1200"/>
      <w:r>
        <w:rPr>
          <w:rFonts w:hint="eastAsia" w:ascii="方正小标宋简体" w:hAnsi="方正小标宋简体" w:eastAsia="方正小标宋简体" w:cs="方正小标宋简体"/>
          <w:sz w:val="44"/>
          <w:szCs w:val="44"/>
          <w:highlight w:val="none"/>
          <w:lang w:val="en-US" w:eastAsia="zh-CN"/>
        </w:rPr>
        <w:t>广元市昭化区人力资源和社会保障局东西部协作稳岗就业促进项目支出自评报告（自评表）</w:t>
      </w:r>
      <w:bookmarkEnd w:id="98"/>
      <w:r>
        <w:rPr>
          <w:rFonts w:hint="eastAsia" w:ascii="方正粗黑宋简体" w:hAnsi="方正粗黑宋简体" w:eastAsia="方正粗黑宋简体" w:cs="方正粗黑宋简体"/>
          <w:sz w:val="32"/>
          <w:szCs w:val="32"/>
          <w:highlight w:val="none"/>
          <w:lang w:val="en-US" w:eastAsia="zh-CN"/>
        </w:rPr>
        <w:t xml:space="preserve">   </w:t>
      </w:r>
    </w:p>
    <w:p>
      <w:pPr>
        <w:keepNext w:val="0"/>
        <w:keepLines w:val="0"/>
        <w:pageBreakBefore w:val="0"/>
        <w:widowControl w:val="0"/>
        <w:numPr>
          <w:ilvl w:val="0"/>
          <w:numId w:val="0"/>
        </w:numPr>
        <w:kinsoku/>
        <w:wordWrap/>
        <w:overflowPunct/>
        <w:topLinePunct w:val="0"/>
        <w:autoSpaceDE/>
        <w:autoSpaceDN/>
        <w:bidi w:val="0"/>
        <w:adjustRightInd/>
        <w:snapToGrid/>
        <w:spacing w:after="240" w:afterAutospacing="0" w:line="440" w:lineRule="exact"/>
        <w:ind w:left="0" w:leftChars="0" w:right="0" w:rightChars="0" w:firstLine="0" w:firstLineChars="0"/>
        <w:jc w:val="center"/>
        <w:textAlignment w:val="auto"/>
        <w:outlineLvl w:val="9"/>
        <w:rPr>
          <w:rFonts w:hint="default" w:ascii="Times New Roman" w:hAnsi="Times New Roman" w:eastAsia="宋体" w:cs="Times New Roman"/>
          <w:sz w:val="30"/>
          <w:szCs w:val="30"/>
          <w:highlight w:val="none"/>
          <w:lang w:val="en-US" w:eastAsia="zh-CN"/>
        </w:rPr>
      </w:pPr>
      <w:r>
        <w:rPr>
          <w:rFonts w:hint="default" w:ascii="Times New Roman" w:hAnsi="Times New Roman" w:eastAsia="宋体" w:cs="Times New Roman"/>
          <w:sz w:val="30"/>
          <w:szCs w:val="30"/>
          <w:highlight w:val="none"/>
          <w:lang w:val="en-US" w:eastAsia="zh-CN"/>
        </w:rPr>
        <w:t xml:space="preserve">    </w:t>
      </w:r>
    </w:p>
    <w:p>
      <w:pPr>
        <w:keepNext w:val="0"/>
        <w:keepLines w:val="0"/>
        <w:pageBreakBefore w:val="0"/>
        <w:widowControl w:val="0"/>
        <w:numPr>
          <w:ilvl w:val="0"/>
          <w:numId w:val="0"/>
        </w:numPr>
        <w:kinsoku/>
        <w:wordWrap/>
        <w:overflowPunct/>
        <w:topLinePunct w:val="0"/>
        <w:autoSpaceDE/>
        <w:autoSpaceDN/>
        <w:bidi w:val="0"/>
        <w:adjustRightInd w:val="0"/>
        <w:snapToGrid w:val="0"/>
        <w:spacing w:line="576" w:lineRule="exact"/>
        <w:ind w:firstLine="640" w:firstLineChars="200"/>
        <w:textAlignment w:val="auto"/>
        <w:rPr>
          <w:rFonts w:hint="default" w:ascii="Times New Roman" w:hAnsi="Times New Roman" w:eastAsia="黑体" w:cs="Times New Roman"/>
          <w:sz w:val="32"/>
          <w:szCs w:val="32"/>
          <w:highlight w:val="none"/>
          <w:lang w:val="zh-CN"/>
        </w:rPr>
      </w:pPr>
      <w:r>
        <w:rPr>
          <w:rFonts w:hint="default" w:ascii="Times New Roman" w:hAnsi="Times New Roman" w:eastAsia="黑体" w:cs="Times New Roman"/>
          <w:kern w:val="2"/>
          <w:sz w:val="32"/>
          <w:szCs w:val="32"/>
          <w:highlight w:val="none"/>
          <w:lang w:val="zh-CN" w:eastAsia="zh-CN" w:bidi="ar-SA"/>
        </w:rPr>
        <w:t>一、</w:t>
      </w:r>
      <w:r>
        <w:rPr>
          <w:rFonts w:hint="default" w:ascii="Times New Roman" w:hAnsi="Times New Roman" w:eastAsia="黑体" w:cs="Times New Roman"/>
          <w:sz w:val="32"/>
          <w:szCs w:val="32"/>
          <w:highlight w:val="none"/>
          <w:lang w:val="zh-CN"/>
        </w:rPr>
        <w:t>项目概况</w:t>
      </w:r>
    </w:p>
    <w:p>
      <w:pPr>
        <w:keepNext w:val="0"/>
        <w:keepLines w:val="0"/>
        <w:pageBreakBefore w:val="0"/>
        <w:widowControl w:val="0"/>
        <w:numPr>
          <w:ilvl w:val="0"/>
          <w:numId w:val="0"/>
        </w:numPr>
        <w:kinsoku/>
        <w:wordWrap/>
        <w:overflowPunct/>
        <w:topLinePunct w:val="0"/>
        <w:autoSpaceDE/>
        <w:autoSpaceDN/>
        <w:bidi w:val="0"/>
        <w:adjustRightInd w:val="0"/>
        <w:snapToGrid w:val="0"/>
        <w:spacing w:line="576" w:lineRule="exact"/>
        <w:ind w:firstLine="643" w:firstLineChars="200"/>
        <w:textAlignment w:val="auto"/>
        <w:rPr>
          <w:rFonts w:hint="eastAsia" w:cs="Times New Roman"/>
          <w:highlight w:val="none"/>
          <w:lang w:val="zh-CN" w:eastAsia="zh-CN"/>
        </w:rPr>
      </w:pPr>
      <w:r>
        <w:rPr>
          <w:rFonts w:hint="eastAsia" w:ascii="Times New Roman" w:hAnsi="Times New Roman" w:eastAsia="楷体_GB2312" w:cs="Times New Roman"/>
          <w:b/>
          <w:sz w:val="32"/>
          <w:szCs w:val="32"/>
          <w:highlight w:val="none"/>
          <w:lang w:val="zh-CN"/>
        </w:rPr>
        <w:t>（一）</w:t>
      </w:r>
      <w:r>
        <w:rPr>
          <w:rFonts w:hint="default" w:ascii="Times New Roman" w:hAnsi="Times New Roman" w:eastAsia="楷体_GB2312" w:cs="Times New Roman"/>
          <w:b/>
          <w:sz w:val="32"/>
          <w:szCs w:val="32"/>
          <w:highlight w:val="none"/>
          <w:lang w:val="zh-CN"/>
        </w:rPr>
        <w:t>项目</w:t>
      </w:r>
      <w:r>
        <w:rPr>
          <w:rFonts w:hint="eastAsia" w:eastAsia="楷体_GB2312" w:cs="Times New Roman"/>
          <w:b/>
          <w:sz w:val="32"/>
          <w:szCs w:val="32"/>
          <w:highlight w:val="none"/>
          <w:lang w:val="zh-CN"/>
        </w:rPr>
        <w:t>资金申报及批复情况。</w:t>
      </w:r>
      <w:r>
        <w:rPr>
          <w:rFonts w:hint="eastAsia" w:cs="Times New Roman"/>
          <w:sz w:val="32"/>
          <w:szCs w:val="32"/>
          <w:highlight w:val="none"/>
          <w:lang w:val="zh-CN"/>
        </w:rPr>
        <w:t>东西部协作稳岗就业促进项目本级配套</w:t>
      </w:r>
      <w:r>
        <w:rPr>
          <w:rFonts w:hint="eastAsia" w:ascii="Times New Roman" w:hAnsi="Times New Roman" w:cs="Times New Roman"/>
          <w:sz w:val="32"/>
          <w:szCs w:val="32"/>
          <w:highlight w:val="none"/>
          <w:lang w:val="zh-CN"/>
        </w:rPr>
        <w:t>是</w:t>
      </w:r>
      <w:r>
        <w:rPr>
          <w:rFonts w:hint="eastAsia" w:cs="Times New Roman"/>
          <w:sz w:val="32"/>
          <w:szCs w:val="32"/>
          <w:highlight w:val="none"/>
          <w:lang w:val="zh-CN"/>
        </w:rPr>
        <w:t>为</w:t>
      </w:r>
      <w:r>
        <w:rPr>
          <w:rFonts w:hint="eastAsia" w:ascii="Times New Roman" w:hAnsi="Times New Roman" w:eastAsia="仿宋_GB2312" w:cs="仿宋_GB2312"/>
          <w:sz w:val="32"/>
          <w:szCs w:val="32"/>
          <w:highlight w:val="none"/>
        </w:rPr>
        <w:t>实施东西部稳岗就业促进项目，通过提升劳动力技能，促进劳动力转移，鼓励车间、企业吸纳就业</w:t>
      </w:r>
      <w:r>
        <w:rPr>
          <w:rFonts w:hint="eastAsia" w:cs="仿宋_GB2312"/>
          <w:sz w:val="32"/>
          <w:szCs w:val="32"/>
          <w:highlight w:val="none"/>
          <w:lang w:eastAsia="zh-CN"/>
        </w:rPr>
        <w:t>，属于</w:t>
      </w:r>
      <w:r>
        <w:rPr>
          <w:rFonts w:hint="eastAsia" w:cs="仿宋_GB2312"/>
          <w:sz w:val="32"/>
          <w:szCs w:val="32"/>
          <w:highlight w:val="none"/>
          <w:lang w:val="en-US" w:eastAsia="zh-CN"/>
        </w:rPr>
        <w:t>2022年年度追加项目，项目批复173万元。</w:t>
      </w:r>
    </w:p>
    <w:p>
      <w:pPr>
        <w:keepNext w:val="0"/>
        <w:keepLines w:val="0"/>
        <w:pageBreakBefore w:val="0"/>
        <w:widowControl w:val="0"/>
        <w:numPr>
          <w:ilvl w:val="0"/>
          <w:numId w:val="0"/>
        </w:numPr>
        <w:kinsoku/>
        <w:wordWrap/>
        <w:overflowPunct/>
        <w:topLinePunct w:val="0"/>
        <w:autoSpaceDE/>
        <w:autoSpaceDN/>
        <w:bidi w:val="0"/>
        <w:adjustRightInd w:val="0"/>
        <w:snapToGrid w:val="0"/>
        <w:spacing w:line="576" w:lineRule="exact"/>
        <w:ind w:left="0" w:leftChars="0" w:firstLine="643" w:firstLineChars="200"/>
        <w:textAlignment w:val="auto"/>
        <w:rPr>
          <w:rFonts w:hint="eastAsia" w:ascii="Times New Roman" w:hAnsi="Times New Roman" w:cs="Times New Roman"/>
          <w:sz w:val="32"/>
          <w:szCs w:val="32"/>
          <w:highlight w:val="none"/>
          <w:lang w:val="zh-CN" w:eastAsia="zh-CN"/>
        </w:rPr>
      </w:pPr>
      <w:r>
        <w:rPr>
          <w:rFonts w:hint="eastAsia" w:ascii="Times New Roman" w:hAnsi="Times New Roman" w:eastAsia="楷体_GB2312" w:cs="Times New Roman"/>
          <w:b/>
          <w:sz w:val="32"/>
          <w:szCs w:val="32"/>
          <w:highlight w:val="none"/>
          <w:lang w:val="zh-CN"/>
        </w:rPr>
        <w:t>（二）</w:t>
      </w:r>
      <w:r>
        <w:rPr>
          <w:rFonts w:hint="default" w:ascii="Times New Roman" w:hAnsi="Times New Roman" w:eastAsia="楷体_GB2312" w:cs="Times New Roman"/>
          <w:b/>
          <w:sz w:val="32"/>
          <w:szCs w:val="32"/>
          <w:highlight w:val="none"/>
          <w:lang w:val="zh-CN"/>
        </w:rPr>
        <w:t>项目绩效目标。</w:t>
      </w:r>
      <w:r>
        <w:rPr>
          <w:rFonts w:hint="eastAsia" w:ascii="Times New Roman" w:hAnsi="Times New Roman" w:eastAsia="仿宋_GB2312" w:cs="仿宋_GB2312"/>
          <w:sz w:val="32"/>
          <w:szCs w:val="32"/>
          <w:highlight w:val="none"/>
          <w:lang w:val="zh-CN" w:eastAsia="zh-CN"/>
        </w:rPr>
        <w:t>该项目主要内容是</w:t>
      </w:r>
      <w:r>
        <w:rPr>
          <w:rFonts w:hint="eastAsia" w:ascii="Times New Roman" w:hAnsi="Times New Roman" w:eastAsia="仿宋_GB2312" w:cs="仿宋_GB2312"/>
          <w:sz w:val="32"/>
          <w:szCs w:val="32"/>
          <w:highlight w:val="none"/>
          <w:lang w:val="zh-CN"/>
        </w:rPr>
        <w:t>促进劳动力转移就业，鼓励车间、企业吸纳就业，预计覆盖500人以上，促进年度人均增收5400元以上</w:t>
      </w:r>
      <w:r>
        <w:rPr>
          <w:rFonts w:hint="eastAsia" w:ascii="Times New Roman" w:hAnsi="Times New Roman" w:eastAsia="仿宋_GB2312" w:cs="仿宋_GB2312"/>
          <w:sz w:val="32"/>
          <w:szCs w:val="32"/>
          <w:highlight w:val="none"/>
          <w:lang w:val="zh-CN" w:eastAsia="zh-CN"/>
        </w:rPr>
        <w:t>，脱贫人口转移</w:t>
      </w:r>
      <w:r>
        <w:rPr>
          <w:rFonts w:hint="eastAsia" w:ascii="Times New Roman" w:hAnsi="Times New Roman" w:eastAsia="仿宋_GB2312" w:cs="仿宋_GB2312"/>
          <w:sz w:val="32"/>
          <w:szCs w:val="32"/>
          <w:highlight w:val="none"/>
          <w:lang w:val="en-US" w:eastAsia="zh-CN"/>
        </w:rPr>
        <w:t>40人以上，脱贫人口通过技能培训实现就业大于50人，昭化区劳动力通过招聘会实现就业大于100人，浙江企业吸纳脱贫劳动力稳定就业大于60人，政策宣传及执行率≥95%，享受政策劳动力满意度≥95%。</w:t>
      </w:r>
    </w:p>
    <w:p>
      <w:pPr>
        <w:keepNext w:val="0"/>
        <w:keepLines w:val="0"/>
        <w:pageBreakBefore w:val="0"/>
        <w:widowControl w:val="0"/>
        <w:numPr>
          <w:ilvl w:val="0"/>
          <w:numId w:val="0"/>
        </w:numPr>
        <w:kinsoku/>
        <w:wordWrap/>
        <w:overflowPunct/>
        <w:topLinePunct w:val="0"/>
        <w:autoSpaceDE/>
        <w:autoSpaceDN/>
        <w:bidi w:val="0"/>
        <w:adjustRightInd w:val="0"/>
        <w:snapToGrid w:val="0"/>
        <w:spacing w:line="576" w:lineRule="exact"/>
        <w:ind w:firstLine="643" w:firstLineChars="200"/>
        <w:textAlignment w:val="auto"/>
        <w:rPr>
          <w:rFonts w:hint="default" w:ascii="Times New Roman" w:hAnsi="Times New Roman" w:cs="Times New Roman"/>
          <w:sz w:val="32"/>
          <w:szCs w:val="32"/>
          <w:highlight w:val="none"/>
          <w:lang w:val="zh-CN" w:eastAsia="zh-CN"/>
        </w:rPr>
      </w:pPr>
      <w:r>
        <w:rPr>
          <w:rFonts w:hint="default" w:ascii="Times New Roman" w:hAnsi="Times New Roman" w:eastAsia="楷体_GB2312" w:cs="Times New Roman"/>
          <w:b/>
          <w:sz w:val="32"/>
          <w:szCs w:val="32"/>
          <w:highlight w:val="none"/>
          <w:lang w:val="zh-CN"/>
        </w:rPr>
        <w:t>（三）项目资金申报相符性。</w:t>
      </w:r>
      <w:r>
        <w:rPr>
          <w:rFonts w:hint="eastAsia" w:ascii="Times New Roman" w:hAnsi="Times New Roman" w:eastAsia="仿宋_GB2312" w:cs="仿宋_GB2312"/>
          <w:sz w:val="32"/>
          <w:szCs w:val="32"/>
          <w:highlight w:val="none"/>
          <w:lang w:val="zh-CN" w:eastAsia="zh-CN"/>
        </w:rPr>
        <w:t>东西部协作稳岗就业促进项目本级配套</w:t>
      </w:r>
      <w:r>
        <w:rPr>
          <w:rFonts w:hint="default" w:ascii="Times New Roman" w:hAnsi="Times New Roman" w:eastAsia="仿宋_GB2312" w:cs="仿宋_GB2312"/>
          <w:sz w:val="32"/>
          <w:szCs w:val="32"/>
          <w:highlight w:val="none"/>
          <w:lang w:val="zh-CN" w:eastAsia="zh-CN"/>
        </w:rPr>
        <w:t>项目申报内容与具体实施内容相符、申报目标</w:t>
      </w:r>
      <w:r>
        <w:rPr>
          <w:rFonts w:hint="eastAsia" w:ascii="Times New Roman" w:hAnsi="Times New Roman" w:eastAsia="仿宋_GB2312" w:cs="仿宋_GB2312"/>
          <w:sz w:val="32"/>
          <w:szCs w:val="32"/>
          <w:highlight w:val="none"/>
          <w:lang w:val="zh-CN" w:eastAsia="zh-CN"/>
        </w:rPr>
        <w:t>合</w:t>
      </w:r>
      <w:r>
        <w:rPr>
          <w:rFonts w:hint="default" w:ascii="Times New Roman" w:hAnsi="Times New Roman" w:eastAsia="仿宋_GB2312" w:cs="仿宋_GB2312"/>
          <w:sz w:val="32"/>
          <w:szCs w:val="32"/>
          <w:highlight w:val="none"/>
          <w:lang w:val="zh-CN" w:eastAsia="zh-CN"/>
        </w:rPr>
        <w:t>理可行。</w:t>
      </w:r>
    </w:p>
    <w:p>
      <w:pPr>
        <w:keepNext w:val="0"/>
        <w:keepLines w:val="0"/>
        <w:pageBreakBefore w:val="0"/>
        <w:widowControl w:val="0"/>
        <w:kinsoku/>
        <w:wordWrap/>
        <w:overflowPunct/>
        <w:topLinePunct w:val="0"/>
        <w:autoSpaceDE/>
        <w:autoSpaceDN/>
        <w:bidi w:val="0"/>
        <w:adjustRightInd w:val="0"/>
        <w:snapToGrid w:val="0"/>
        <w:spacing w:line="576" w:lineRule="exact"/>
        <w:ind w:firstLine="643" w:firstLineChars="200"/>
        <w:textAlignment w:val="auto"/>
        <w:rPr>
          <w:rFonts w:hint="eastAsia" w:ascii="Times New Roman" w:hAnsi="Times New Roman" w:eastAsia="楷体_GB2312" w:cs="Times New Roman"/>
          <w:b/>
          <w:sz w:val="32"/>
          <w:szCs w:val="32"/>
          <w:highlight w:val="none"/>
          <w:lang w:val="zh-CN"/>
        </w:rPr>
      </w:pPr>
      <w:r>
        <w:rPr>
          <w:rFonts w:hint="eastAsia" w:ascii="Times New Roman" w:hAnsi="Times New Roman" w:eastAsia="楷体_GB2312" w:cs="Times New Roman"/>
          <w:b/>
          <w:sz w:val="32"/>
          <w:szCs w:val="32"/>
          <w:highlight w:val="none"/>
          <w:lang w:val="zh-CN"/>
        </w:rPr>
        <w:t>（四）自评步骤及方法</w:t>
      </w:r>
    </w:p>
    <w:p>
      <w:pPr>
        <w:keepNext w:val="0"/>
        <w:keepLines w:val="0"/>
        <w:pageBreakBefore w:val="0"/>
        <w:widowControl w:val="0"/>
        <w:kinsoku/>
        <w:wordWrap/>
        <w:overflowPunct/>
        <w:topLinePunct w:val="0"/>
        <w:autoSpaceDE/>
        <w:autoSpaceDN/>
        <w:bidi w:val="0"/>
        <w:adjustRightInd w:val="0"/>
        <w:snapToGrid w:val="0"/>
        <w:spacing w:line="576" w:lineRule="exact"/>
        <w:ind w:firstLine="640" w:firstLineChars="200"/>
        <w:textAlignment w:val="auto"/>
        <w:rPr>
          <w:rFonts w:hint="default" w:ascii="Times New Roman" w:hAnsi="Times New Roman" w:eastAsia="仿宋_GB2312" w:cs="仿宋_GB2312"/>
          <w:sz w:val="32"/>
          <w:szCs w:val="32"/>
          <w:highlight w:val="none"/>
          <w:lang w:val="zh-CN" w:eastAsia="zh-CN"/>
        </w:rPr>
      </w:pPr>
      <w:r>
        <w:rPr>
          <w:rFonts w:hint="eastAsia" w:ascii="Times New Roman" w:hAnsi="Times New Roman" w:eastAsia="仿宋_GB2312" w:cs="仿宋_GB2312"/>
          <w:sz w:val="32"/>
          <w:szCs w:val="32"/>
          <w:highlight w:val="none"/>
          <w:lang w:val="zh-CN" w:eastAsia="zh-CN"/>
        </w:rPr>
        <w:t>项目绩效自评采用因素分析法，通过收集项目资料，会议讨论，考评打分进行自评。</w:t>
      </w:r>
    </w:p>
    <w:p>
      <w:pPr>
        <w:keepNext w:val="0"/>
        <w:keepLines w:val="0"/>
        <w:pageBreakBefore w:val="0"/>
        <w:widowControl w:val="0"/>
        <w:kinsoku/>
        <w:wordWrap/>
        <w:overflowPunct/>
        <w:topLinePunct w:val="0"/>
        <w:autoSpaceDE/>
        <w:autoSpaceDN/>
        <w:bidi w:val="0"/>
        <w:adjustRightInd w:val="0"/>
        <w:snapToGrid w:val="0"/>
        <w:spacing w:line="576" w:lineRule="exact"/>
        <w:ind w:firstLine="640" w:firstLineChars="200"/>
        <w:textAlignment w:val="auto"/>
        <w:rPr>
          <w:rFonts w:hint="default" w:ascii="Times New Roman" w:hAnsi="Times New Roman" w:eastAsia="黑体" w:cs="Times New Roman"/>
          <w:sz w:val="32"/>
          <w:szCs w:val="32"/>
          <w:highlight w:val="none"/>
        </w:rPr>
      </w:pPr>
      <w:r>
        <w:rPr>
          <w:rFonts w:hint="default" w:ascii="Times New Roman" w:hAnsi="Times New Roman" w:eastAsia="黑体" w:cs="Times New Roman"/>
          <w:sz w:val="32"/>
          <w:szCs w:val="32"/>
          <w:highlight w:val="none"/>
        </w:rPr>
        <w:t>二、项目实施及管理情况</w:t>
      </w:r>
    </w:p>
    <w:p>
      <w:pPr>
        <w:keepNext w:val="0"/>
        <w:keepLines w:val="0"/>
        <w:pageBreakBefore w:val="0"/>
        <w:widowControl w:val="0"/>
        <w:kinsoku/>
        <w:wordWrap/>
        <w:overflowPunct/>
        <w:topLinePunct w:val="0"/>
        <w:autoSpaceDE/>
        <w:autoSpaceDN/>
        <w:bidi w:val="0"/>
        <w:adjustRightInd w:val="0"/>
        <w:snapToGrid w:val="0"/>
        <w:spacing w:line="576" w:lineRule="exact"/>
        <w:ind w:firstLine="643" w:firstLineChars="200"/>
        <w:textAlignment w:val="auto"/>
        <w:rPr>
          <w:rFonts w:hint="default" w:ascii="Times New Roman" w:hAnsi="Times New Roman" w:eastAsia="楷体_GB2312" w:cs="Times New Roman"/>
          <w:b/>
          <w:sz w:val="32"/>
          <w:szCs w:val="32"/>
          <w:highlight w:val="none"/>
          <w:lang w:val="zh-CN"/>
        </w:rPr>
      </w:pPr>
      <w:r>
        <w:rPr>
          <w:rFonts w:hint="default" w:ascii="Times New Roman" w:hAnsi="Times New Roman" w:eastAsia="楷体_GB2312" w:cs="Times New Roman"/>
          <w:b/>
          <w:sz w:val="32"/>
          <w:szCs w:val="32"/>
          <w:highlight w:val="none"/>
          <w:lang w:val="zh-CN"/>
        </w:rPr>
        <w:t>（一）资金计划、到位及使用情况</w:t>
      </w:r>
    </w:p>
    <w:p>
      <w:pPr>
        <w:keepNext w:val="0"/>
        <w:keepLines w:val="0"/>
        <w:pageBreakBefore w:val="0"/>
        <w:widowControl w:val="0"/>
        <w:numPr>
          <w:ilvl w:val="0"/>
          <w:numId w:val="0"/>
        </w:numPr>
        <w:kinsoku/>
        <w:wordWrap/>
        <w:overflowPunct/>
        <w:topLinePunct w:val="0"/>
        <w:autoSpaceDE/>
        <w:autoSpaceDN/>
        <w:bidi w:val="0"/>
        <w:adjustRightInd w:val="0"/>
        <w:snapToGrid w:val="0"/>
        <w:spacing w:line="576" w:lineRule="exact"/>
        <w:ind w:left="0" w:leftChars="0" w:firstLine="640" w:firstLineChars="200"/>
        <w:textAlignment w:val="auto"/>
        <w:rPr>
          <w:rFonts w:hint="default" w:ascii="Times New Roman" w:hAnsi="Times New Roman" w:eastAsia="仿宋_GB2312" w:cs="仿宋_GB2312"/>
          <w:sz w:val="32"/>
          <w:szCs w:val="32"/>
          <w:highlight w:val="none"/>
          <w:lang w:val="en-US" w:eastAsia="zh-CN"/>
        </w:rPr>
      </w:pPr>
      <w:r>
        <w:rPr>
          <w:rFonts w:hint="default" w:ascii="Times New Roman" w:hAnsi="Times New Roman" w:eastAsia="仿宋_GB2312" w:cs="仿宋_GB2312"/>
          <w:sz w:val="32"/>
          <w:szCs w:val="32"/>
          <w:highlight w:val="none"/>
          <w:lang w:val="zh-CN" w:eastAsia="zh-CN"/>
        </w:rPr>
        <w:t>1.资金计划及到位。</w:t>
      </w:r>
      <w:r>
        <w:rPr>
          <w:rFonts w:hint="eastAsia" w:ascii="Times New Roman" w:hAnsi="Times New Roman" w:eastAsia="仿宋_GB2312" w:cs="仿宋_GB2312"/>
          <w:sz w:val="32"/>
          <w:szCs w:val="32"/>
          <w:highlight w:val="none"/>
          <w:lang w:val="zh-CN" w:eastAsia="zh-CN"/>
        </w:rPr>
        <w:t>该项目年度追加</w:t>
      </w:r>
      <w:r>
        <w:rPr>
          <w:rFonts w:hint="eastAsia" w:ascii="Times New Roman" w:hAnsi="Times New Roman" w:eastAsia="仿宋_GB2312" w:cs="仿宋_GB2312"/>
          <w:sz w:val="32"/>
          <w:szCs w:val="32"/>
          <w:highlight w:val="none"/>
          <w:lang w:val="en-US" w:eastAsia="zh-CN"/>
        </w:rPr>
        <w:t>173万元，实际到位173万元，到位率100%.</w:t>
      </w:r>
    </w:p>
    <w:p>
      <w:pPr>
        <w:keepNext w:val="0"/>
        <w:keepLines w:val="0"/>
        <w:pageBreakBefore w:val="0"/>
        <w:widowControl w:val="0"/>
        <w:numPr>
          <w:ilvl w:val="0"/>
          <w:numId w:val="0"/>
        </w:numPr>
        <w:kinsoku/>
        <w:wordWrap/>
        <w:overflowPunct/>
        <w:topLinePunct w:val="0"/>
        <w:autoSpaceDE/>
        <w:autoSpaceDN/>
        <w:bidi w:val="0"/>
        <w:adjustRightInd w:val="0"/>
        <w:snapToGrid w:val="0"/>
        <w:spacing w:line="576" w:lineRule="exact"/>
        <w:ind w:left="0" w:leftChars="0" w:firstLine="640" w:firstLineChars="200"/>
        <w:textAlignment w:val="auto"/>
        <w:rPr>
          <w:rFonts w:hint="default" w:ascii="Times New Roman" w:hAnsi="Times New Roman" w:eastAsia="仿宋_GB2312" w:cs="仿宋_GB2312"/>
          <w:sz w:val="32"/>
          <w:szCs w:val="32"/>
          <w:highlight w:val="none"/>
          <w:lang w:val="en-US" w:eastAsia="zh-CN"/>
        </w:rPr>
      </w:pPr>
      <w:r>
        <w:rPr>
          <w:rFonts w:hint="default" w:ascii="Times New Roman" w:hAnsi="Times New Roman" w:eastAsia="仿宋_GB2312" w:cs="仿宋_GB2312"/>
          <w:sz w:val="32"/>
          <w:szCs w:val="32"/>
          <w:highlight w:val="none"/>
          <w:lang w:val="zh-CN" w:eastAsia="zh-CN"/>
        </w:rPr>
        <w:t>2.资金使用。</w:t>
      </w:r>
      <w:r>
        <w:rPr>
          <w:rFonts w:hint="eastAsia" w:ascii="Times New Roman" w:hAnsi="Times New Roman" w:eastAsia="仿宋_GB2312" w:cs="仿宋_GB2312"/>
          <w:sz w:val="32"/>
          <w:szCs w:val="32"/>
          <w:highlight w:val="none"/>
          <w:lang w:val="en-US" w:eastAsia="zh-CN"/>
        </w:rPr>
        <w:t>主要用于</w:t>
      </w:r>
      <w:r>
        <w:rPr>
          <w:rFonts w:hint="eastAsia" w:ascii="Times New Roman" w:hAnsi="Times New Roman" w:eastAsia="仿宋_GB2312" w:cs="仿宋_GB2312"/>
          <w:sz w:val="32"/>
          <w:szCs w:val="32"/>
          <w:highlight w:val="none"/>
          <w:lang w:val="zh-CN" w:eastAsia="zh-CN"/>
        </w:rPr>
        <w:t>为实施东西部稳岗就业促进项目，提升劳动力技能，促进劳动力转移，鼓励车间、企业吸纳就业的补助。资金使用</w:t>
      </w:r>
      <w:r>
        <w:rPr>
          <w:rFonts w:hint="eastAsia" w:ascii="Times New Roman" w:hAnsi="Times New Roman" w:eastAsia="仿宋_GB2312" w:cs="仿宋_GB2312"/>
          <w:sz w:val="32"/>
          <w:szCs w:val="32"/>
          <w:highlight w:val="none"/>
          <w:lang w:val="en-US" w:eastAsia="zh-CN"/>
        </w:rPr>
        <w:t>173万元，使用率100%。</w:t>
      </w:r>
    </w:p>
    <w:p>
      <w:pPr>
        <w:keepNext w:val="0"/>
        <w:keepLines w:val="0"/>
        <w:pageBreakBefore w:val="0"/>
        <w:widowControl w:val="0"/>
        <w:kinsoku/>
        <w:wordWrap/>
        <w:overflowPunct/>
        <w:topLinePunct w:val="0"/>
        <w:autoSpaceDE/>
        <w:autoSpaceDN/>
        <w:bidi w:val="0"/>
        <w:adjustRightInd w:val="0"/>
        <w:snapToGrid w:val="0"/>
        <w:spacing w:line="576" w:lineRule="exact"/>
        <w:ind w:firstLine="643" w:firstLineChars="200"/>
        <w:textAlignment w:val="auto"/>
        <w:rPr>
          <w:rFonts w:hint="default" w:ascii="Times New Roman" w:hAnsi="Times New Roman" w:eastAsia="楷体_GB2312" w:cs="Times New Roman"/>
          <w:b/>
          <w:sz w:val="32"/>
          <w:szCs w:val="32"/>
          <w:highlight w:val="none"/>
          <w:lang w:val="zh-CN"/>
        </w:rPr>
      </w:pPr>
      <w:r>
        <w:rPr>
          <w:rFonts w:hint="default" w:ascii="Times New Roman" w:hAnsi="Times New Roman" w:eastAsia="楷体_GB2312" w:cs="Times New Roman"/>
          <w:b/>
          <w:sz w:val="32"/>
          <w:szCs w:val="32"/>
          <w:highlight w:val="none"/>
          <w:lang w:val="zh-CN"/>
        </w:rPr>
        <w:t>（二）项目财务管理情况</w:t>
      </w:r>
    </w:p>
    <w:p>
      <w:pPr>
        <w:keepNext w:val="0"/>
        <w:keepLines w:val="0"/>
        <w:pageBreakBefore w:val="0"/>
        <w:widowControl w:val="0"/>
        <w:numPr>
          <w:ilvl w:val="0"/>
          <w:numId w:val="0"/>
        </w:numPr>
        <w:kinsoku/>
        <w:wordWrap/>
        <w:overflowPunct/>
        <w:topLinePunct w:val="0"/>
        <w:autoSpaceDE/>
        <w:autoSpaceDN/>
        <w:bidi w:val="0"/>
        <w:adjustRightInd w:val="0"/>
        <w:snapToGrid w:val="0"/>
        <w:spacing w:line="576" w:lineRule="exact"/>
        <w:ind w:left="0" w:leftChars="0" w:firstLine="640" w:firstLineChars="200"/>
        <w:textAlignment w:val="auto"/>
        <w:rPr>
          <w:rFonts w:hint="default" w:ascii="Times New Roman" w:hAnsi="Times New Roman" w:eastAsia="仿宋_GB2312" w:cs="仿宋_GB2312"/>
          <w:sz w:val="32"/>
          <w:szCs w:val="32"/>
          <w:highlight w:val="none"/>
          <w:lang w:val="en-US" w:eastAsia="zh-CN"/>
        </w:rPr>
      </w:pPr>
      <w:r>
        <w:rPr>
          <w:rFonts w:hint="eastAsia" w:ascii="Times New Roman" w:hAnsi="Times New Roman" w:eastAsia="仿宋_GB2312" w:cs="仿宋_GB2312"/>
          <w:sz w:val="32"/>
          <w:szCs w:val="32"/>
          <w:highlight w:val="none"/>
          <w:lang w:val="zh-CN" w:eastAsia="zh-CN"/>
        </w:rPr>
        <w:t>为有效落实项目资金的财务管理，我单位印发了《项目支出预算管理办法》，严格按照项目支出综合预算、科学论证、合理排序、追踪问效的原则实施项目。项目资金的使用由各股室、下属事业单位、规划财务股按照职责分工进行财务管理。项目资金的会计核算和账务处理由各股室提供相关资金资料，报规划财务股审核后按照会计处理法规进行账务处理。按照项目资金的管理办法，该项目资金严格执行财务管理制度，财务处理及时，会计核算规范。</w:t>
      </w:r>
    </w:p>
    <w:p>
      <w:pPr>
        <w:keepNext w:val="0"/>
        <w:keepLines w:val="0"/>
        <w:pageBreakBefore w:val="0"/>
        <w:widowControl w:val="0"/>
        <w:kinsoku/>
        <w:wordWrap/>
        <w:overflowPunct/>
        <w:topLinePunct w:val="0"/>
        <w:autoSpaceDE/>
        <w:autoSpaceDN/>
        <w:bidi w:val="0"/>
        <w:adjustRightInd w:val="0"/>
        <w:snapToGrid w:val="0"/>
        <w:spacing w:line="576" w:lineRule="exact"/>
        <w:ind w:firstLine="643" w:firstLineChars="200"/>
        <w:textAlignment w:val="auto"/>
        <w:rPr>
          <w:rFonts w:hint="default" w:ascii="Times New Roman" w:hAnsi="Times New Roman" w:eastAsia="楷体_GB2312" w:cs="Times New Roman"/>
          <w:b/>
          <w:sz w:val="32"/>
          <w:szCs w:val="32"/>
          <w:highlight w:val="none"/>
          <w:lang w:val="zh-CN"/>
        </w:rPr>
      </w:pPr>
      <w:r>
        <w:rPr>
          <w:rFonts w:hint="default" w:ascii="Times New Roman" w:hAnsi="Times New Roman" w:eastAsia="楷体_GB2312" w:cs="Times New Roman"/>
          <w:b/>
          <w:sz w:val="32"/>
          <w:szCs w:val="32"/>
          <w:highlight w:val="none"/>
          <w:lang w:val="zh-CN"/>
        </w:rPr>
        <w:t>（三）项目组织实施</w:t>
      </w:r>
      <w:r>
        <w:rPr>
          <w:rFonts w:hint="eastAsia" w:eastAsia="楷体_GB2312" w:cs="Times New Roman"/>
          <w:b/>
          <w:sz w:val="32"/>
          <w:szCs w:val="32"/>
          <w:highlight w:val="none"/>
          <w:lang w:val="zh-CN"/>
        </w:rPr>
        <w:t>及管理</w:t>
      </w:r>
      <w:r>
        <w:rPr>
          <w:rFonts w:hint="default" w:ascii="Times New Roman" w:hAnsi="Times New Roman" w:eastAsia="楷体_GB2312" w:cs="Times New Roman"/>
          <w:b/>
          <w:sz w:val="32"/>
          <w:szCs w:val="32"/>
          <w:highlight w:val="none"/>
          <w:lang w:val="zh-CN"/>
        </w:rPr>
        <w:t>情况</w:t>
      </w:r>
    </w:p>
    <w:p>
      <w:pPr>
        <w:keepNext w:val="0"/>
        <w:keepLines w:val="0"/>
        <w:pageBreakBefore w:val="0"/>
        <w:widowControl w:val="0"/>
        <w:numPr>
          <w:ilvl w:val="0"/>
          <w:numId w:val="0"/>
        </w:numPr>
        <w:kinsoku/>
        <w:wordWrap/>
        <w:overflowPunct/>
        <w:topLinePunct w:val="0"/>
        <w:autoSpaceDE/>
        <w:autoSpaceDN/>
        <w:bidi w:val="0"/>
        <w:adjustRightInd w:val="0"/>
        <w:snapToGrid w:val="0"/>
        <w:spacing w:line="576" w:lineRule="exact"/>
        <w:ind w:left="0" w:leftChars="0" w:firstLine="640" w:firstLineChars="200"/>
        <w:textAlignment w:val="auto"/>
        <w:rPr>
          <w:rFonts w:hint="eastAsia" w:ascii="Times New Roman" w:hAnsi="Times New Roman" w:eastAsia="仿宋_GB2312" w:cs="仿宋_GB2312"/>
          <w:sz w:val="32"/>
          <w:szCs w:val="32"/>
          <w:highlight w:val="none"/>
          <w:lang w:val="zh-CN" w:eastAsia="zh-CN"/>
        </w:rPr>
      </w:pPr>
      <w:r>
        <w:rPr>
          <w:rFonts w:hint="eastAsia" w:ascii="Times New Roman" w:hAnsi="Times New Roman" w:eastAsia="仿宋_GB2312" w:cs="仿宋_GB2312"/>
          <w:sz w:val="32"/>
          <w:szCs w:val="32"/>
          <w:highlight w:val="none"/>
          <w:lang w:val="en-US" w:eastAsia="zh-CN"/>
        </w:rPr>
        <w:t>该项目组织框架主要包括就业服务中心和规划财务股组成。</w:t>
      </w:r>
      <w:r>
        <w:rPr>
          <w:rFonts w:hint="eastAsia" w:ascii="Times New Roman" w:hAnsi="Times New Roman" w:eastAsia="仿宋_GB2312" w:cs="仿宋_GB2312"/>
          <w:sz w:val="32"/>
          <w:szCs w:val="32"/>
          <w:highlight w:val="none"/>
          <w:lang w:val="zh-CN" w:eastAsia="zh-CN"/>
        </w:rPr>
        <w:t>规划财务股对项目支出的执行过程和完成结果进行监督、检查，并开展内审对项目支出进行重点审查。对违反有关法律、行政法规和财务规章制度的，依法进行处理，并通告处理结果。</w:t>
      </w:r>
    </w:p>
    <w:p>
      <w:pPr>
        <w:keepNext w:val="0"/>
        <w:keepLines w:val="0"/>
        <w:pageBreakBefore w:val="0"/>
        <w:widowControl w:val="0"/>
        <w:numPr>
          <w:ilvl w:val="0"/>
          <w:numId w:val="0"/>
        </w:numPr>
        <w:kinsoku/>
        <w:wordWrap/>
        <w:overflowPunct/>
        <w:topLinePunct w:val="0"/>
        <w:autoSpaceDE/>
        <w:autoSpaceDN/>
        <w:bidi w:val="0"/>
        <w:adjustRightInd w:val="0"/>
        <w:snapToGrid w:val="0"/>
        <w:spacing w:line="576" w:lineRule="exact"/>
        <w:ind w:leftChars="200" w:firstLine="320" w:firstLineChars="100"/>
        <w:textAlignment w:val="auto"/>
        <w:rPr>
          <w:rFonts w:hint="default" w:ascii="Times New Roman" w:hAnsi="Times New Roman" w:eastAsia="黑体" w:cs="Times New Roman"/>
          <w:sz w:val="32"/>
          <w:szCs w:val="32"/>
          <w:highlight w:val="none"/>
        </w:rPr>
      </w:pPr>
      <w:r>
        <w:rPr>
          <w:rFonts w:hint="eastAsia" w:ascii="Times New Roman" w:hAnsi="Times New Roman" w:eastAsia="黑体" w:cs="Times New Roman"/>
          <w:sz w:val="32"/>
          <w:szCs w:val="32"/>
          <w:highlight w:val="none"/>
          <w:lang w:eastAsia="zh-CN"/>
        </w:rPr>
        <w:t>三、</w:t>
      </w:r>
      <w:r>
        <w:rPr>
          <w:rFonts w:hint="default" w:ascii="Times New Roman" w:hAnsi="Times New Roman" w:eastAsia="黑体" w:cs="Times New Roman"/>
          <w:sz w:val="32"/>
          <w:szCs w:val="32"/>
          <w:highlight w:val="none"/>
        </w:rPr>
        <w:t>项目绩效情况</w:t>
      </w:r>
    </w:p>
    <w:p>
      <w:pPr>
        <w:pStyle w:val="6"/>
        <w:spacing w:before="108" w:after="15"/>
        <w:ind w:firstLine="640" w:firstLineChars="200"/>
        <w:rPr>
          <w:rFonts w:hint="eastAsia" w:ascii="Times New Roman" w:hAnsi="Times New Roman" w:eastAsia="仿宋_GB2312" w:cs="仿宋_GB2312"/>
          <w:kern w:val="2"/>
          <w:sz w:val="32"/>
          <w:szCs w:val="32"/>
          <w:highlight w:val="none"/>
          <w:lang w:val="zh-CN" w:eastAsia="zh-CN" w:bidi="ar-SA"/>
        </w:rPr>
      </w:pPr>
      <w:r>
        <w:rPr>
          <w:rFonts w:hint="eastAsia" w:ascii="Times New Roman" w:hAnsi="Times New Roman" w:eastAsia="仿宋_GB2312" w:cs="仿宋_GB2312"/>
          <w:kern w:val="2"/>
          <w:sz w:val="32"/>
          <w:szCs w:val="32"/>
          <w:highlight w:val="none"/>
          <w:lang w:val="zh-CN" w:eastAsia="zh-CN" w:bidi="ar-SA"/>
        </w:rPr>
        <w:t>该项目绩效目标完成情况见下表：</w:t>
      </w:r>
    </w:p>
    <w:tbl>
      <w:tblPr>
        <w:tblStyle w:val="16"/>
        <w:tblW w:w="8738"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576"/>
        <w:gridCol w:w="1690"/>
        <w:gridCol w:w="1462"/>
        <w:gridCol w:w="1866"/>
        <w:gridCol w:w="429"/>
        <w:gridCol w:w="1382"/>
        <w:gridCol w:w="432"/>
        <w:gridCol w:w="90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8" w:hRule="atLeast"/>
        </w:trPr>
        <w:tc>
          <w:tcPr>
            <w:tcW w:w="56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预算执行情况（10分）</w:t>
            </w:r>
          </w:p>
        </w:tc>
        <w:tc>
          <w:tcPr>
            <w:tcW w:w="16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年度预算数（万元）</w:t>
            </w:r>
          </w:p>
        </w:tc>
        <w:tc>
          <w:tcPr>
            <w:tcW w:w="14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年初预算</w:t>
            </w:r>
          </w:p>
        </w:tc>
        <w:tc>
          <w:tcPr>
            <w:tcW w:w="18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调整后预算数</w:t>
            </w:r>
          </w:p>
        </w:tc>
        <w:tc>
          <w:tcPr>
            <w:tcW w:w="224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预算执行数</w:t>
            </w:r>
          </w:p>
        </w:tc>
        <w:tc>
          <w:tcPr>
            <w:tcW w:w="9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预算执行率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1" w:hRule="atLeast"/>
        </w:trPr>
        <w:tc>
          <w:tcPr>
            <w:tcW w:w="5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highlight w:val="none"/>
                <w:u w:val="none"/>
              </w:rPr>
            </w:pPr>
          </w:p>
        </w:tc>
        <w:tc>
          <w:tcPr>
            <w:tcW w:w="16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总额</w:t>
            </w:r>
          </w:p>
        </w:tc>
        <w:tc>
          <w:tcPr>
            <w:tcW w:w="14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1.36</w:t>
            </w:r>
          </w:p>
        </w:tc>
        <w:tc>
          <w:tcPr>
            <w:tcW w:w="18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174.36</w:t>
            </w:r>
          </w:p>
        </w:tc>
        <w:tc>
          <w:tcPr>
            <w:tcW w:w="224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174.32</w:t>
            </w:r>
          </w:p>
        </w:tc>
        <w:tc>
          <w:tcPr>
            <w:tcW w:w="9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99.97%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2" w:hRule="atLeast"/>
        </w:trPr>
        <w:tc>
          <w:tcPr>
            <w:tcW w:w="5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highlight w:val="none"/>
                <w:u w:val="none"/>
              </w:rPr>
            </w:pPr>
          </w:p>
        </w:tc>
        <w:tc>
          <w:tcPr>
            <w:tcW w:w="16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其中：财政资金</w:t>
            </w:r>
          </w:p>
        </w:tc>
        <w:tc>
          <w:tcPr>
            <w:tcW w:w="14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1.36</w:t>
            </w:r>
          </w:p>
        </w:tc>
        <w:tc>
          <w:tcPr>
            <w:tcW w:w="18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174.36</w:t>
            </w:r>
          </w:p>
        </w:tc>
        <w:tc>
          <w:tcPr>
            <w:tcW w:w="224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174.32</w:t>
            </w:r>
          </w:p>
        </w:tc>
        <w:tc>
          <w:tcPr>
            <w:tcW w:w="9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99.97%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5" w:hRule="atLeast"/>
        </w:trPr>
        <w:tc>
          <w:tcPr>
            <w:tcW w:w="5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highlight w:val="none"/>
                <w:u w:val="none"/>
              </w:rPr>
            </w:pPr>
          </w:p>
        </w:tc>
        <w:tc>
          <w:tcPr>
            <w:tcW w:w="16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财政专户管理资金</w:t>
            </w:r>
          </w:p>
        </w:tc>
        <w:tc>
          <w:tcPr>
            <w:tcW w:w="14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0.00</w:t>
            </w:r>
          </w:p>
        </w:tc>
        <w:tc>
          <w:tcPr>
            <w:tcW w:w="18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0.00</w:t>
            </w:r>
          </w:p>
        </w:tc>
        <w:tc>
          <w:tcPr>
            <w:tcW w:w="224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0.00</w:t>
            </w:r>
          </w:p>
        </w:tc>
        <w:tc>
          <w:tcPr>
            <w:tcW w:w="9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5" w:hRule="atLeast"/>
        </w:trPr>
        <w:tc>
          <w:tcPr>
            <w:tcW w:w="5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highlight w:val="none"/>
                <w:u w:val="none"/>
              </w:rPr>
            </w:pPr>
          </w:p>
        </w:tc>
        <w:tc>
          <w:tcPr>
            <w:tcW w:w="16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单位资金</w:t>
            </w:r>
          </w:p>
        </w:tc>
        <w:tc>
          <w:tcPr>
            <w:tcW w:w="14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0.00</w:t>
            </w:r>
          </w:p>
        </w:tc>
        <w:tc>
          <w:tcPr>
            <w:tcW w:w="18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0.00</w:t>
            </w:r>
          </w:p>
        </w:tc>
        <w:tc>
          <w:tcPr>
            <w:tcW w:w="224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0.00</w:t>
            </w:r>
          </w:p>
        </w:tc>
        <w:tc>
          <w:tcPr>
            <w:tcW w:w="9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5" w:hRule="atLeast"/>
        </w:trPr>
        <w:tc>
          <w:tcPr>
            <w:tcW w:w="5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highlight w:val="none"/>
                <w:u w:val="none"/>
              </w:rPr>
            </w:pPr>
          </w:p>
        </w:tc>
        <w:tc>
          <w:tcPr>
            <w:tcW w:w="16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其他资金</w:t>
            </w:r>
          </w:p>
        </w:tc>
        <w:tc>
          <w:tcPr>
            <w:tcW w:w="146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highlight w:val="none"/>
                <w:u w:val="none"/>
              </w:rPr>
            </w:pPr>
          </w:p>
        </w:tc>
        <w:tc>
          <w:tcPr>
            <w:tcW w:w="18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highlight w:val="none"/>
                <w:u w:val="none"/>
              </w:rPr>
            </w:pPr>
          </w:p>
        </w:tc>
        <w:tc>
          <w:tcPr>
            <w:tcW w:w="224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highlight w:val="none"/>
                <w:u w:val="none"/>
              </w:rPr>
            </w:pPr>
          </w:p>
        </w:tc>
        <w:tc>
          <w:tcPr>
            <w:tcW w:w="90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5" w:hRule="atLeast"/>
        </w:trPr>
        <w:tc>
          <w:tcPr>
            <w:tcW w:w="56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绩效指标（90分）</w:t>
            </w:r>
          </w:p>
        </w:tc>
        <w:tc>
          <w:tcPr>
            <w:tcW w:w="16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一级指标</w:t>
            </w:r>
          </w:p>
        </w:tc>
        <w:tc>
          <w:tcPr>
            <w:tcW w:w="14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二级指标</w:t>
            </w:r>
          </w:p>
        </w:tc>
        <w:tc>
          <w:tcPr>
            <w:tcW w:w="18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三级指标</w:t>
            </w:r>
          </w:p>
        </w:tc>
        <w:tc>
          <w:tcPr>
            <w:tcW w:w="4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指标性质</w:t>
            </w:r>
          </w:p>
        </w:tc>
        <w:tc>
          <w:tcPr>
            <w:tcW w:w="13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指标值</w:t>
            </w:r>
          </w:p>
        </w:tc>
        <w:tc>
          <w:tcPr>
            <w:tcW w:w="4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度量单位</w:t>
            </w:r>
          </w:p>
        </w:tc>
        <w:tc>
          <w:tcPr>
            <w:tcW w:w="9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完成值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9" w:hRule="atLeast"/>
        </w:trPr>
        <w:tc>
          <w:tcPr>
            <w:tcW w:w="5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highlight w:val="none"/>
                <w:u w:val="none"/>
              </w:rPr>
            </w:pPr>
          </w:p>
        </w:tc>
        <w:tc>
          <w:tcPr>
            <w:tcW w:w="169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产出指标</w:t>
            </w:r>
          </w:p>
        </w:tc>
        <w:tc>
          <w:tcPr>
            <w:tcW w:w="14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数量指标</w:t>
            </w:r>
          </w:p>
        </w:tc>
        <w:tc>
          <w:tcPr>
            <w:tcW w:w="18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脱贫人口转移（人）</w:t>
            </w:r>
          </w:p>
        </w:tc>
        <w:tc>
          <w:tcPr>
            <w:tcW w:w="4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w:t>
            </w:r>
          </w:p>
        </w:tc>
        <w:tc>
          <w:tcPr>
            <w:tcW w:w="13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40</w:t>
            </w:r>
          </w:p>
        </w:tc>
        <w:tc>
          <w:tcPr>
            <w:tcW w:w="4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人</w:t>
            </w:r>
          </w:p>
        </w:tc>
        <w:tc>
          <w:tcPr>
            <w:tcW w:w="9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78</w:t>
            </w:r>
            <w:r>
              <w:rPr>
                <w:rFonts w:hint="eastAsia" w:ascii="宋体" w:hAnsi="宋体" w:cs="宋体"/>
                <w:i w:val="0"/>
                <w:iCs w:val="0"/>
                <w:color w:val="000000"/>
                <w:kern w:val="0"/>
                <w:sz w:val="18"/>
                <w:szCs w:val="18"/>
                <w:highlight w:val="none"/>
                <w:u w:val="none"/>
                <w:lang w:val="en-US" w:eastAsia="zh-CN" w:bidi="ar"/>
              </w:rPr>
              <w:t>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8" w:hRule="atLeast"/>
        </w:trPr>
        <w:tc>
          <w:tcPr>
            <w:tcW w:w="5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highlight w:val="none"/>
                <w:u w:val="none"/>
              </w:rPr>
            </w:pPr>
          </w:p>
        </w:tc>
        <w:tc>
          <w:tcPr>
            <w:tcW w:w="169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highlight w:val="none"/>
                <w:u w:val="none"/>
              </w:rPr>
            </w:pPr>
          </w:p>
        </w:tc>
        <w:tc>
          <w:tcPr>
            <w:tcW w:w="14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质量指标</w:t>
            </w:r>
          </w:p>
        </w:tc>
        <w:tc>
          <w:tcPr>
            <w:tcW w:w="18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脱贫人口通过技能培训实现就业</w:t>
            </w:r>
          </w:p>
        </w:tc>
        <w:tc>
          <w:tcPr>
            <w:tcW w:w="4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w:t>
            </w:r>
          </w:p>
        </w:tc>
        <w:tc>
          <w:tcPr>
            <w:tcW w:w="13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50</w:t>
            </w:r>
          </w:p>
        </w:tc>
        <w:tc>
          <w:tcPr>
            <w:tcW w:w="4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人</w:t>
            </w:r>
          </w:p>
        </w:tc>
        <w:tc>
          <w:tcPr>
            <w:tcW w:w="9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285</w:t>
            </w:r>
            <w:r>
              <w:rPr>
                <w:rFonts w:hint="eastAsia" w:ascii="宋体" w:hAnsi="宋体" w:cs="宋体"/>
                <w:i w:val="0"/>
                <w:iCs w:val="0"/>
                <w:color w:val="000000"/>
                <w:kern w:val="0"/>
                <w:sz w:val="18"/>
                <w:szCs w:val="18"/>
                <w:highlight w:val="none"/>
                <w:u w:val="none"/>
                <w:lang w:val="en-US" w:eastAsia="zh-CN" w:bidi="ar"/>
              </w:rPr>
              <w:t>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8" w:hRule="atLeast"/>
        </w:trPr>
        <w:tc>
          <w:tcPr>
            <w:tcW w:w="5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highlight w:val="none"/>
                <w:u w:val="none"/>
              </w:rPr>
            </w:pPr>
          </w:p>
        </w:tc>
        <w:tc>
          <w:tcPr>
            <w:tcW w:w="169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highlight w:val="none"/>
                <w:u w:val="none"/>
              </w:rPr>
            </w:pPr>
          </w:p>
        </w:tc>
        <w:tc>
          <w:tcPr>
            <w:tcW w:w="14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时效指标</w:t>
            </w:r>
          </w:p>
        </w:tc>
        <w:tc>
          <w:tcPr>
            <w:tcW w:w="18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昭化区劳动力通过招聘会实现就业（人）</w:t>
            </w:r>
          </w:p>
        </w:tc>
        <w:tc>
          <w:tcPr>
            <w:tcW w:w="4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w:t>
            </w:r>
          </w:p>
        </w:tc>
        <w:tc>
          <w:tcPr>
            <w:tcW w:w="13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100</w:t>
            </w:r>
          </w:p>
        </w:tc>
        <w:tc>
          <w:tcPr>
            <w:tcW w:w="4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人</w:t>
            </w:r>
          </w:p>
        </w:tc>
        <w:tc>
          <w:tcPr>
            <w:tcW w:w="9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188</w:t>
            </w:r>
            <w:r>
              <w:rPr>
                <w:rFonts w:hint="eastAsia" w:ascii="宋体" w:hAnsi="宋体" w:cs="宋体"/>
                <w:i w:val="0"/>
                <w:iCs w:val="0"/>
                <w:color w:val="000000"/>
                <w:kern w:val="0"/>
                <w:sz w:val="18"/>
                <w:szCs w:val="18"/>
                <w:highlight w:val="none"/>
                <w:u w:val="none"/>
                <w:lang w:val="en-US" w:eastAsia="zh-CN" w:bidi="ar"/>
              </w:rPr>
              <w:t>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8" w:hRule="atLeast"/>
        </w:trPr>
        <w:tc>
          <w:tcPr>
            <w:tcW w:w="5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highlight w:val="none"/>
                <w:u w:val="none"/>
              </w:rPr>
            </w:pPr>
          </w:p>
        </w:tc>
        <w:tc>
          <w:tcPr>
            <w:tcW w:w="169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highlight w:val="none"/>
                <w:u w:val="none"/>
              </w:rPr>
            </w:pPr>
          </w:p>
        </w:tc>
        <w:tc>
          <w:tcPr>
            <w:tcW w:w="14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成本指标</w:t>
            </w:r>
          </w:p>
        </w:tc>
        <w:tc>
          <w:tcPr>
            <w:tcW w:w="18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东西部稳岗就业促进项目在预算批复之内</w:t>
            </w:r>
          </w:p>
        </w:tc>
        <w:tc>
          <w:tcPr>
            <w:tcW w:w="4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w:t>
            </w:r>
          </w:p>
        </w:tc>
        <w:tc>
          <w:tcPr>
            <w:tcW w:w="13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173</w:t>
            </w:r>
          </w:p>
        </w:tc>
        <w:tc>
          <w:tcPr>
            <w:tcW w:w="4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万元</w:t>
            </w:r>
          </w:p>
        </w:tc>
        <w:tc>
          <w:tcPr>
            <w:tcW w:w="9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173</w:t>
            </w:r>
            <w:r>
              <w:rPr>
                <w:rFonts w:hint="eastAsia" w:ascii="宋体" w:hAnsi="宋体" w:cs="宋体"/>
                <w:i w:val="0"/>
                <w:iCs w:val="0"/>
                <w:color w:val="000000"/>
                <w:kern w:val="0"/>
                <w:sz w:val="18"/>
                <w:szCs w:val="18"/>
                <w:highlight w:val="none"/>
                <w:u w:val="none"/>
                <w:lang w:val="en-US" w:eastAsia="zh-CN" w:bidi="ar"/>
              </w:rPr>
              <w:t>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8" w:hRule="atLeast"/>
        </w:trPr>
        <w:tc>
          <w:tcPr>
            <w:tcW w:w="5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highlight w:val="none"/>
                <w:u w:val="none"/>
              </w:rPr>
            </w:pPr>
          </w:p>
        </w:tc>
        <w:tc>
          <w:tcPr>
            <w:tcW w:w="169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效益指标</w:t>
            </w:r>
          </w:p>
        </w:tc>
        <w:tc>
          <w:tcPr>
            <w:tcW w:w="14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社会效益指标</w:t>
            </w:r>
          </w:p>
        </w:tc>
        <w:tc>
          <w:tcPr>
            <w:tcW w:w="18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浙江企业吸纳脱贫劳动力稳定就业（人）</w:t>
            </w:r>
          </w:p>
        </w:tc>
        <w:tc>
          <w:tcPr>
            <w:tcW w:w="4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w:t>
            </w:r>
          </w:p>
        </w:tc>
        <w:tc>
          <w:tcPr>
            <w:tcW w:w="13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60</w:t>
            </w:r>
          </w:p>
        </w:tc>
        <w:tc>
          <w:tcPr>
            <w:tcW w:w="4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人</w:t>
            </w:r>
          </w:p>
        </w:tc>
        <w:tc>
          <w:tcPr>
            <w:tcW w:w="9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89</w:t>
            </w:r>
            <w:r>
              <w:rPr>
                <w:rFonts w:hint="eastAsia" w:ascii="宋体" w:hAnsi="宋体" w:cs="宋体"/>
                <w:i w:val="0"/>
                <w:iCs w:val="0"/>
                <w:color w:val="000000"/>
                <w:kern w:val="0"/>
                <w:sz w:val="18"/>
                <w:szCs w:val="18"/>
                <w:highlight w:val="none"/>
                <w:u w:val="none"/>
                <w:lang w:val="en-US" w:eastAsia="zh-CN" w:bidi="ar"/>
              </w:rPr>
              <w:t>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9" w:hRule="atLeast"/>
        </w:trPr>
        <w:tc>
          <w:tcPr>
            <w:tcW w:w="5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highlight w:val="none"/>
                <w:u w:val="none"/>
              </w:rPr>
            </w:pPr>
          </w:p>
        </w:tc>
        <w:tc>
          <w:tcPr>
            <w:tcW w:w="169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highlight w:val="none"/>
                <w:u w:val="none"/>
              </w:rPr>
            </w:pPr>
          </w:p>
        </w:tc>
        <w:tc>
          <w:tcPr>
            <w:tcW w:w="14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可持续影响指标</w:t>
            </w:r>
          </w:p>
        </w:tc>
        <w:tc>
          <w:tcPr>
            <w:tcW w:w="18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政策宣传及执行率（%）</w:t>
            </w:r>
          </w:p>
        </w:tc>
        <w:tc>
          <w:tcPr>
            <w:tcW w:w="4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w:t>
            </w:r>
          </w:p>
        </w:tc>
        <w:tc>
          <w:tcPr>
            <w:tcW w:w="13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95</w:t>
            </w:r>
          </w:p>
        </w:tc>
        <w:tc>
          <w:tcPr>
            <w:tcW w:w="4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w:t>
            </w:r>
          </w:p>
        </w:tc>
        <w:tc>
          <w:tcPr>
            <w:tcW w:w="9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97</w:t>
            </w:r>
            <w:r>
              <w:rPr>
                <w:rFonts w:hint="eastAsia" w:ascii="宋体" w:hAnsi="宋体" w:cs="宋体"/>
                <w:i w:val="0"/>
                <w:iCs w:val="0"/>
                <w:color w:val="000000"/>
                <w:kern w:val="0"/>
                <w:sz w:val="18"/>
                <w:szCs w:val="18"/>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7" w:hRule="atLeast"/>
        </w:trPr>
        <w:tc>
          <w:tcPr>
            <w:tcW w:w="5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highlight w:val="none"/>
                <w:u w:val="none"/>
              </w:rPr>
            </w:pPr>
          </w:p>
        </w:tc>
        <w:tc>
          <w:tcPr>
            <w:tcW w:w="16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满意度指标</w:t>
            </w:r>
          </w:p>
        </w:tc>
        <w:tc>
          <w:tcPr>
            <w:tcW w:w="14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服务对象满意度指标</w:t>
            </w:r>
          </w:p>
        </w:tc>
        <w:tc>
          <w:tcPr>
            <w:tcW w:w="18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享受政策劳动力满意度</w:t>
            </w:r>
          </w:p>
        </w:tc>
        <w:tc>
          <w:tcPr>
            <w:tcW w:w="4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w:t>
            </w:r>
          </w:p>
        </w:tc>
        <w:tc>
          <w:tcPr>
            <w:tcW w:w="13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95</w:t>
            </w:r>
          </w:p>
        </w:tc>
        <w:tc>
          <w:tcPr>
            <w:tcW w:w="4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w:t>
            </w:r>
          </w:p>
        </w:tc>
        <w:tc>
          <w:tcPr>
            <w:tcW w:w="9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98</w:t>
            </w:r>
            <w:r>
              <w:rPr>
                <w:rFonts w:hint="eastAsia" w:ascii="宋体" w:hAnsi="宋体" w:cs="宋体"/>
                <w:i w:val="0"/>
                <w:iCs w:val="0"/>
                <w:color w:val="000000"/>
                <w:kern w:val="0"/>
                <w:sz w:val="18"/>
                <w:szCs w:val="18"/>
                <w:highlight w:val="none"/>
                <w:u w:val="none"/>
                <w:lang w:val="en-US" w:eastAsia="zh-CN" w:bidi="ar"/>
              </w:rPr>
              <w:t>%</w:t>
            </w:r>
          </w:p>
        </w:tc>
      </w:tr>
    </w:tbl>
    <w:p>
      <w:pPr>
        <w:rPr>
          <w:rFonts w:hint="eastAsia"/>
          <w:highlight w:val="none"/>
        </w:rPr>
      </w:pPr>
    </w:p>
    <w:p>
      <w:pPr>
        <w:keepNext w:val="0"/>
        <w:keepLines w:val="0"/>
        <w:pageBreakBefore w:val="0"/>
        <w:widowControl w:val="0"/>
        <w:kinsoku/>
        <w:wordWrap/>
        <w:overflowPunct/>
        <w:topLinePunct w:val="0"/>
        <w:autoSpaceDE/>
        <w:autoSpaceDN/>
        <w:bidi w:val="0"/>
        <w:adjustRightInd w:val="0"/>
        <w:snapToGrid w:val="0"/>
        <w:spacing w:line="576" w:lineRule="exact"/>
        <w:ind w:firstLine="640" w:firstLineChars="200"/>
        <w:textAlignment w:val="auto"/>
        <w:rPr>
          <w:rFonts w:hint="default" w:ascii="Times New Roman" w:hAnsi="Times New Roman" w:eastAsia="黑体" w:cs="Times New Roman"/>
          <w:sz w:val="32"/>
          <w:szCs w:val="32"/>
          <w:highlight w:val="none"/>
        </w:rPr>
      </w:pPr>
      <w:r>
        <w:rPr>
          <w:rFonts w:hint="default" w:ascii="Times New Roman" w:hAnsi="Times New Roman" w:eastAsia="黑体" w:cs="Times New Roman"/>
          <w:sz w:val="32"/>
          <w:szCs w:val="32"/>
          <w:highlight w:val="none"/>
        </w:rPr>
        <w:t>四、</w:t>
      </w:r>
      <w:r>
        <w:rPr>
          <w:rFonts w:hint="eastAsia" w:eastAsia="黑体" w:cs="Times New Roman"/>
          <w:sz w:val="32"/>
          <w:szCs w:val="32"/>
          <w:highlight w:val="none"/>
          <w:lang w:eastAsia="zh-CN"/>
        </w:rPr>
        <w:t>自评结论及</w:t>
      </w:r>
      <w:r>
        <w:rPr>
          <w:rFonts w:hint="default" w:ascii="Times New Roman" w:hAnsi="Times New Roman" w:eastAsia="黑体" w:cs="Times New Roman"/>
          <w:sz w:val="32"/>
          <w:szCs w:val="32"/>
          <w:highlight w:val="none"/>
        </w:rPr>
        <w:t>建议</w:t>
      </w:r>
    </w:p>
    <w:p>
      <w:pPr>
        <w:keepNext w:val="0"/>
        <w:keepLines w:val="0"/>
        <w:pageBreakBefore w:val="0"/>
        <w:widowControl w:val="0"/>
        <w:kinsoku/>
        <w:wordWrap/>
        <w:overflowPunct/>
        <w:topLinePunct w:val="0"/>
        <w:autoSpaceDE/>
        <w:autoSpaceDN/>
        <w:bidi w:val="0"/>
        <w:adjustRightInd w:val="0"/>
        <w:snapToGrid w:val="0"/>
        <w:spacing w:line="576" w:lineRule="exact"/>
        <w:ind w:firstLine="643" w:firstLineChars="200"/>
        <w:textAlignment w:val="auto"/>
        <w:rPr>
          <w:rFonts w:hint="eastAsia" w:ascii="Times New Roman" w:hAnsi="Times New Roman" w:eastAsia="仿宋_GB2312" w:cs="仿宋_GB2312"/>
          <w:sz w:val="32"/>
          <w:szCs w:val="32"/>
          <w:highlight w:val="none"/>
          <w:lang w:val="en-US" w:eastAsia="zh-CN"/>
        </w:rPr>
      </w:pPr>
      <w:r>
        <w:rPr>
          <w:rFonts w:hint="eastAsia" w:ascii="Times New Roman" w:hAnsi="Times New Roman" w:eastAsia="楷体_GB2312" w:cs="Times New Roman"/>
          <w:b/>
          <w:sz w:val="32"/>
          <w:szCs w:val="32"/>
          <w:highlight w:val="none"/>
          <w:lang w:val="zh-CN" w:eastAsia="zh-CN"/>
        </w:rPr>
        <w:t>（一）评价结论。</w:t>
      </w:r>
      <w:r>
        <w:rPr>
          <w:rFonts w:hint="eastAsia" w:ascii="Times New Roman" w:hAnsi="Times New Roman" w:eastAsia="仿宋_GB2312" w:cs="仿宋_GB2312"/>
          <w:sz w:val="32"/>
          <w:szCs w:val="32"/>
          <w:highlight w:val="none"/>
          <w:lang w:val="zh-CN" w:eastAsia="zh-CN"/>
        </w:rPr>
        <w:t>通过项目实施，较好完成了各项指标，自评得分情况如下：</w:t>
      </w:r>
      <w:r>
        <w:rPr>
          <w:rFonts w:hint="eastAsia" w:ascii="Times New Roman" w:hAnsi="Times New Roman" w:eastAsia="仿宋_GB2312" w:cs="仿宋_GB2312"/>
          <w:sz w:val="32"/>
          <w:szCs w:val="32"/>
          <w:highlight w:val="none"/>
          <w:lang w:val="en-US" w:eastAsia="zh-CN"/>
        </w:rPr>
        <w:t xml:space="preserve"> </w:t>
      </w:r>
    </w:p>
    <w:tbl>
      <w:tblPr>
        <w:tblStyle w:val="16"/>
        <w:tblW w:w="8835"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576"/>
        <w:gridCol w:w="1467"/>
        <w:gridCol w:w="1277"/>
        <w:gridCol w:w="1632"/>
        <w:gridCol w:w="398"/>
        <w:gridCol w:w="1200"/>
        <w:gridCol w:w="399"/>
        <w:gridCol w:w="824"/>
        <w:gridCol w:w="486"/>
        <w:gridCol w:w="57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9" w:hRule="atLeast"/>
        </w:trPr>
        <w:tc>
          <w:tcPr>
            <w:tcW w:w="55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预算执行情况（10分）</w:t>
            </w:r>
          </w:p>
        </w:tc>
        <w:tc>
          <w:tcPr>
            <w:tcW w:w="15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年度预算数（万元）</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年初预算</w:t>
            </w:r>
          </w:p>
        </w:tc>
        <w:tc>
          <w:tcPr>
            <w:tcW w:w="16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调整后预算数</w:t>
            </w:r>
          </w:p>
        </w:tc>
        <w:tc>
          <w:tcPr>
            <w:tcW w:w="204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预算执行数</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预算执行率</w:t>
            </w:r>
          </w:p>
        </w:tc>
        <w:tc>
          <w:tcPr>
            <w:tcW w:w="4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权重</w:t>
            </w:r>
          </w:p>
        </w:tc>
        <w:tc>
          <w:tcPr>
            <w:tcW w:w="3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得分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3" w:hRule="atLeast"/>
        </w:trPr>
        <w:tc>
          <w:tcPr>
            <w:tcW w:w="55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highlight w:val="none"/>
                <w:u w:val="none"/>
              </w:rPr>
            </w:pPr>
          </w:p>
        </w:tc>
        <w:tc>
          <w:tcPr>
            <w:tcW w:w="15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总额</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1.36</w:t>
            </w:r>
          </w:p>
        </w:tc>
        <w:tc>
          <w:tcPr>
            <w:tcW w:w="16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174.36</w:t>
            </w:r>
          </w:p>
        </w:tc>
        <w:tc>
          <w:tcPr>
            <w:tcW w:w="204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174.32</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99.97%</w:t>
            </w:r>
          </w:p>
        </w:tc>
        <w:tc>
          <w:tcPr>
            <w:tcW w:w="4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10</w:t>
            </w:r>
          </w:p>
        </w:tc>
        <w:tc>
          <w:tcPr>
            <w:tcW w:w="38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宋体" w:hAnsi="宋体" w:eastAsia="宋体" w:cs="宋体"/>
                <w:i w:val="0"/>
                <w:iCs w:val="0"/>
                <w:color w:val="000000"/>
                <w:sz w:val="18"/>
                <w:szCs w:val="18"/>
                <w:highlight w:val="none"/>
                <w:u w:val="none"/>
                <w:lang w:val="en-US" w:eastAsia="zh-CN"/>
              </w:rPr>
            </w:pPr>
            <w:r>
              <w:rPr>
                <w:rFonts w:hint="eastAsia" w:ascii="宋体" w:hAnsi="宋体" w:cs="宋体"/>
                <w:i w:val="0"/>
                <w:iCs w:val="0"/>
                <w:color w:val="000000"/>
                <w:sz w:val="18"/>
                <w:szCs w:val="18"/>
                <w:highlight w:val="none"/>
                <w:u w:val="none"/>
                <w:lang w:val="en-US" w:eastAsia="zh-CN"/>
              </w:rPr>
              <w:t>9.9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2" w:hRule="atLeast"/>
        </w:trPr>
        <w:tc>
          <w:tcPr>
            <w:tcW w:w="55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highlight w:val="none"/>
                <w:u w:val="none"/>
              </w:rPr>
            </w:pPr>
          </w:p>
        </w:tc>
        <w:tc>
          <w:tcPr>
            <w:tcW w:w="15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其中：财政资金</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1.36</w:t>
            </w:r>
          </w:p>
        </w:tc>
        <w:tc>
          <w:tcPr>
            <w:tcW w:w="16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174.36</w:t>
            </w:r>
          </w:p>
        </w:tc>
        <w:tc>
          <w:tcPr>
            <w:tcW w:w="204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174.32</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99.97%</w:t>
            </w:r>
          </w:p>
        </w:tc>
        <w:tc>
          <w:tcPr>
            <w:tcW w:w="4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w:t>
            </w:r>
          </w:p>
        </w:tc>
        <w:tc>
          <w:tcPr>
            <w:tcW w:w="3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9" w:hRule="atLeast"/>
        </w:trPr>
        <w:tc>
          <w:tcPr>
            <w:tcW w:w="55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highlight w:val="none"/>
                <w:u w:val="none"/>
              </w:rPr>
            </w:pPr>
          </w:p>
        </w:tc>
        <w:tc>
          <w:tcPr>
            <w:tcW w:w="15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财政专户管理资金</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0.00</w:t>
            </w:r>
          </w:p>
        </w:tc>
        <w:tc>
          <w:tcPr>
            <w:tcW w:w="16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0.00</w:t>
            </w:r>
          </w:p>
        </w:tc>
        <w:tc>
          <w:tcPr>
            <w:tcW w:w="204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0.00</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0.00%</w:t>
            </w:r>
          </w:p>
        </w:tc>
        <w:tc>
          <w:tcPr>
            <w:tcW w:w="4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w:t>
            </w:r>
          </w:p>
        </w:tc>
        <w:tc>
          <w:tcPr>
            <w:tcW w:w="3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6" w:hRule="atLeast"/>
        </w:trPr>
        <w:tc>
          <w:tcPr>
            <w:tcW w:w="55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highlight w:val="none"/>
                <w:u w:val="none"/>
              </w:rPr>
            </w:pPr>
          </w:p>
        </w:tc>
        <w:tc>
          <w:tcPr>
            <w:tcW w:w="15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单位资金</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0.00</w:t>
            </w:r>
          </w:p>
        </w:tc>
        <w:tc>
          <w:tcPr>
            <w:tcW w:w="16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0.00</w:t>
            </w:r>
          </w:p>
        </w:tc>
        <w:tc>
          <w:tcPr>
            <w:tcW w:w="204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0.00</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0.00%</w:t>
            </w:r>
          </w:p>
        </w:tc>
        <w:tc>
          <w:tcPr>
            <w:tcW w:w="4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w:t>
            </w:r>
          </w:p>
        </w:tc>
        <w:tc>
          <w:tcPr>
            <w:tcW w:w="3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7" w:hRule="atLeast"/>
        </w:trPr>
        <w:tc>
          <w:tcPr>
            <w:tcW w:w="55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highlight w:val="none"/>
                <w:u w:val="none"/>
              </w:rPr>
            </w:pPr>
          </w:p>
        </w:tc>
        <w:tc>
          <w:tcPr>
            <w:tcW w:w="15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其他资金</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highlight w:val="none"/>
                <w:u w:val="none"/>
              </w:rPr>
            </w:pPr>
          </w:p>
        </w:tc>
        <w:tc>
          <w:tcPr>
            <w:tcW w:w="16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highlight w:val="none"/>
                <w:u w:val="none"/>
              </w:rPr>
            </w:pPr>
          </w:p>
        </w:tc>
        <w:tc>
          <w:tcPr>
            <w:tcW w:w="204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highlight w:val="none"/>
                <w:u w:val="none"/>
              </w:rPr>
            </w:pP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highlight w:val="none"/>
                <w:u w:val="none"/>
              </w:rPr>
            </w:pPr>
          </w:p>
        </w:tc>
        <w:tc>
          <w:tcPr>
            <w:tcW w:w="4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w:t>
            </w:r>
          </w:p>
        </w:tc>
        <w:tc>
          <w:tcPr>
            <w:tcW w:w="3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27" w:hRule="atLeast"/>
        </w:trPr>
        <w:tc>
          <w:tcPr>
            <w:tcW w:w="55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绩效指标（90分）</w:t>
            </w:r>
          </w:p>
        </w:tc>
        <w:tc>
          <w:tcPr>
            <w:tcW w:w="15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一级指标</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二级指标</w:t>
            </w:r>
          </w:p>
        </w:tc>
        <w:tc>
          <w:tcPr>
            <w:tcW w:w="16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三级指标</w:t>
            </w:r>
          </w:p>
        </w:tc>
        <w:tc>
          <w:tcPr>
            <w:tcW w:w="3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指标性质</w:t>
            </w:r>
          </w:p>
        </w:tc>
        <w:tc>
          <w:tcPr>
            <w:tcW w:w="12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指标值</w:t>
            </w:r>
          </w:p>
        </w:tc>
        <w:tc>
          <w:tcPr>
            <w:tcW w:w="39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度量单位</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完成值</w:t>
            </w:r>
          </w:p>
        </w:tc>
        <w:tc>
          <w:tcPr>
            <w:tcW w:w="4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权重</w:t>
            </w:r>
          </w:p>
        </w:tc>
        <w:tc>
          <w:tcPr>
            <w:tcW w:w="3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得分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4" w:hRule="atLeast"/>
        </w:trPr>
        <w:tc>
          <w:tcPr>
            <w:tcW w:w="55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highlight w:val="none"/>
                <w:u w:val="none"/>
              </w:rPr>
            </w:pPr>
          </w:p>
        </w:tc>
        <w:tc>
          <w:tcPr>
            <w:tcW w:w="152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产出指标</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数量指标</w:t>
            </w:r>
          </w:p>
        </w:tc>
        <w:tc>
          <w:tcPr>
            <w:tcW w:w="16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脱贫人口转移（人）</w:t>
            </w:r>
          </w:p>
        </w:tc>
        <w:tc>
          <w:tcPr>
            <w:tcW w:w="3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w:t>
            </w:r>
          </w:p>
        </w:tc>
        <w:tc>
          <w:tcPr>
            <w:tcW w:w="12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40</w:t>
            </w:r>
          </w:p>
        </w:tc>
        <w:tc>
          <w:tcPr>
            <w:tcW w:w="39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人</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iCs/>
                <w:color w:val="000000"/>
                <w:sz w:val="16"/>
                <w:szCs w:val="16"/>
                <w:highlight w:val="none"/>
                <w:u w:val="none"/>
              </w:rPr>
            </w:pPr>
            <w:r>
              <w:rPr>
                <w:rFonts w:hint="eastAsia" w:ascii="宋体" w:hAnsi="宋体" w:eastAsia="宋体" w:cs="宋体"/>
                <w:i w:val="0"/>
                <w:iCs w:val="0"/>
                <w:color w:val="000000"/>
                <w:kern w:val="0"/>
                <w:sz w:val="18"/>
                <w:szCs w:val="18"/>
                <w:highlight w:val="none"/>
                <w:u w:val="none"/>
                <w:lang w:val="en-US" w:eastAsia="zh-CN" w:bidi="ar"/>
              </w:rPr>
              <w:t>78</w:t>
            </w:r>
            <w:r>
              <w:rPr>
                <w:rFonts w:hint="eastAsia" w:ascii="宋体" w:hAnsi="宋体" w:cs="宋体"/>
                <w:i w:val="0"/>
                <w:iCs w:val="0"/>
                <w:color w:val="000000"/>
                <w:kern w:val="0"/>
                <w:sz w:val="18"/>
                <w:szCs w:val="18"/>
                <w:highlight w:val="none"/>
                <w:u w:val="none"/>
                <w:lang w:val="en-US" w:eastAsia="zh-CN" w:bidi="ar"/>
              </w:rPr>
              <w:t>人</w:t>
            </w:r>
          </w:p>
        </w:tc>
        <w:tc>
          <w:tcPr>
            <w:tcW w:w="4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10</w:t>
            </w:r>
          </w:p>
        </w:tc>
        <w:tc>
          <w:tcPr>
            <w:tcW w:w="38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宋体" w:hAnsi="宋体" w:eastAsia="宋体" w:cs="宋体"/>
                <w:i w:val="0"/>
                <w:iCs w:val="0"/>
                <w:color w:val="000000"/>
                <w:sz w:val="18"/>
                <w:szCs w:val="18"/>
                <w:highlight w:val="none"/>
                <w:u w:val="none"/>
                <w:lang w:val="en-US" w:eastAsia="zh-CN"/>
              </w:rPr>
            </w:pPr>
            <w:r>
              <w:rPr>
                <w:rFonts w:hint="eastAsia" w:ascii="宋体" w:hAnsi="宋体" w:cs="宋体"/>
                <w:i w:val="0"/>
                <w:iCs w:val="0"/>
                <w:color w:val="000000"/>
                <w:sz w:val="18"/>
                <w:szCs w:val="18"/>
                <w:highlight w:val="none"/>
                <w:u w:val="none"/>
                <w:lang w:val="en-US" w:eastAsia="zh-CN"/>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9" w:hRule="atLeast"/>
        </w:trPr>
        <w:tc>
          <w:tcPr>
            <w:tcW w:w="55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highlight w:val="none"/>
                <w:u w:val="none"/>
              </w:rPr>
            </w:pPr>
          </w:p>
        </w:tc>
        <w:tc>
          <w:tcPr>
            <w:tcW w:w="1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highlight w:val="none"/>
                <w:u w:val="none"/>
              </w:rPr>
            </w:pP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质量指标</w:t>
            </w:r>
          </w:p>
        </w:tc>
        <w:tc>
          <w:tcPr>
            <w:tcW w:w="16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脱贫人口通过技能培训实现就业</w:t>
            </w:r>
          </w:p>
        </w:tc>
        <w:tc>
          <w:tcPr>
            <w:tcW w:w="3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w:t>
            </w:r>
          </w:p>
        </w:tc>
        <w:tc>
          <w:tcPr>
            <w:tcW w:w="12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50</w:t>
            </w:r>
          </w:p>
        </w:tc>
        <w:tc>
          <w:tcPr>
            <w:tcW w:w="39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人</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iCs/>
                <w:color w:val="000000"/>
                <w:sz w:val="16"/>
                <w:szCs w:val="16"/>
                <w:highlight w:val="none"/>
                <w:u w:val="none"/>
              </w:rPr>
            </w:pPr>
            <w:r>
              <w:rPr>
                <w:rFonts w:hint="eastAsia" w:ascii="宋体" w:hAnsi="宋体" w:eastAsia="宋体" w:cs="宋体"/>
                <w:i w:val="0"/>
                <w:iCs w:val="0"/>
                <w:color w:val="000000"/>
                <w:kern w:val="0"/>
                <w:sz w:val="18"/>
                <w:szCs w:val="18"/>
                <w:highlight w:val="none"/>
                <w:u w:val="none"/>
                <w:lang w:val="en-US" w:eastAsia="zh-CN" w:bidi="ar"/>
              </w:rPr>
              <w:t>285</w:t>
            </w:r>
            <w:r>
              <w:rPr>
                <w:rFonts w:hint="eastAsia" w:ascii="宋体" w:hAnsi="宋体" w:cs="宋体"/>
                <w:i w:val="0"/>
                <w:iCs w:val="0"/>
                <w:color w:val="000000"/>
                <w:kern w:val="0"/>
                <w:sz w:val="18"/>
                <w:szCs w:val="18"/>
                <w:highlight w:val="none"/>
                <w:u w:val="none"/>
                <w:lang w:val="en-US" w:eastAsia="zh-CN" w:bidi="ar"/>
              </w:rPr>
              <w:t>人</w:t>
            </w:r>
          </w:p>
        </w:tc>
        <w:tc>
          <w:tcPr>
            <w:tcW w:w="4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20</w:t>
            </w:r>
          </w:p>
        </w:tc>
        <w:tc>
          <w:tcPr>
            <w:tcW w:w="38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宋体" w:hAnsi="宋体" w:eastAsia="宋体" w:cs="宋体"/>
                <w:i w:val="0"/>
                <w:iCs w:val="0"/>
                <w:color w:val="000000"/>
                <w:sz w:val="18"/>
                <w:szCs w:val="18"/>
                <w:highlight w:val="none"/>
                <w:u w:val="none"/>
                <w:lang w:val="en-US" w:eastAsia="zh-CN"/>
              </w:rPr>
            </w:pPr>
            <w:r>
              <w:rPr>
                <w:rFonts w:hint="eastAsia" w:ascii="宋体" w:hAnsi="宋体" w:cs="宋体"/>
                <w:i w:val="0"/>
                <w:iCs w:val="0"/>
                <w:color w:val="000000"/>
                <w:sz w:val="18"/>
                <w:szCs w:val="18"/>
                <w:highlight w:val="none"/>
                <w:u w:val="none"/>
                <w:lang w:val="en-US" w:eastAsia="zh-CN"/>
              </w:rPr>
              <w:t>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23" w:hRule="atLeast"/>
        </w:trPr>
        <w:tc>
          <w:tcPr>
            <w:tcW w:w="55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highlight w:val="none"/>
                <w:u w:val="none"/>
              </w:rPr>
            </w:pPr>
          </w:p>
        </w:tc>
        <w:tc>
          <w:tcPr>
            <w:tcW w:w="1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highlight w:val="none"/>
                <w:u w:val="none"/>
              </w:rPr>
            </w:pP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时效指标</w:t>
            </w:r>
          </w:p>
        </w:tc>
        <w:tc>
          <w:tcPr>
            <w:tcW w:w="16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昭化区劳动力通过招聘会实现就业（人）</w:t>
            </w:r>
          </w:p>
        </w:tc>
        <w:tc>
          <w:tcPr>
            <w:tcW w:w="3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w:t>
            </w:r>
          </w:p>
        </w:tc>
        <w:tc>
          <w:tcPr>
            <w:tcW w:w="12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100</w:t>
            </w:r>
          </w:p>
        </w:tc>
        <w:tc>
          <w:tcPr>
            <w:tcW w:w="39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人</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iCs/>
                <w:color w:val="000000"/>
                <w:sz w:val="16"/>
                <w:szCs w:val="16"/>
                <w:highlight w:val="none"/>
                <w:u w:val="none"/>
              </w:rPr>
            </w:pPr>
            <w:r>
              <w:rPr>
                <w:rFonts w:hint="eastAsia" w:ascii="宋体" w:hAnsi="宋体" w:eastAsia="宋体" w:cs="宋体"/>
                <w:i w:val="0"/>
                <w:iCs w:val="0"/>
                <w:color w:val="000000"/>
                <w:kern w:val="0"/>
                <w:sz w:val="18"/>
                <w:szCs w:val="18"/>
                <w:highlight w:val="none"/>
                <w:u w:val="none"/>
                <w:lang w:val="en-US" w:eastAsia="zh-CN" w:bidi="ar"/>
              </w:rPr>
              <w:t>188</w:t>
            </w:r>
            <w:r>
              <w:rPr>
                <w:rFonts w:hint="eastAsia" w:ascii="宋体" w:hAnsi="宋体" w:cs="宋体"/>
                <w:i w:val="0"/>
                <w:iCs w:val="0"/>
                <w:color w:val="000000"/>
                <w:kern w:val="0"/>
                <w:sz w:val="18"/>
                <w:szCs w:val="18"/>
                <w:highlight w:val="none"/>
                <w:u w:val="none"/>
                <w:lang w:val="en-US" w:eastAsia="zh-CN" w:bidi="ar"/>
              </w:rPr>
              <w:t>人</w:t>
            </w:r>
          </w:p>
        </w:tc>
        <w:tc>
          <w:tcPr>
            <w:tcW w:w="4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20</w:t>
            </w:r>
          </w:p>
        </w:tc>
        <w:tc>
          <w:tcPr>
            <w:tcW w:w="38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宋体" w:hAnsi="宋体" w:eastAsia="宋体" w:cs="宋体"/>
                <w:i w:val="0"/>
                <w:iCs w:val="0"/>
                <w:color w:val="000000"/>
                <w:sz w:val="18"/>
                <w:szCs w:val="18"/>
                <w:highlight w:val="none"/>
                <w:u w:val="none"/>
                <w:lang w:val="en-US" w:eastAsia="zh-CN"/>
              </w:rPr>
            </w:pPr>
            <w:r>
              <w:rPr>
                <w:rFonts w:hint="eastAsia" w:ascii="宋体" w:hAnsi="宋体" w:cs="宋体"/>
                <w:i w:val="0"/>
                <w:iCs w:val="0"/>
                <w:color w:val="000000"/>
                <w:sz w:val="18"/>
                <w:szCs w:val="18"/>
                <w:highlight w:val="none"/>
                <w:u w:val="none"/>
                <w:lang w:val="en-US" w:eastAsia="zh-CN"/>
              </w:rPr>
              <w:t>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23" w:hRule="atLeast"/>
        </w:trPr>
        <w:tc>
          <w:tcPr>
            <w:tcW w:w="55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highlight w:val="none"/>
                <w:u w:val="none"/>
              </w:rPr>
            </w:pPr>
          </w:p>
        </w:tc>
        <w:tc>
          <w:tcPr>
            <w:tcW w:w="1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highlight w:val="none"/>
                <w:u w:val="none"/>
              </w:rPr>
            </w:pP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成本指标</w:t>
            </w:r>
          </w:p>
        </w:tc>
        <w:tc>
          <w:tcPr>
            <w:tcW w:w="16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东西部稳岗就业促进项目在预算批复之内</w:t>
            </w:r>
          </w:p>
        </w:tc>
        <w:tc>
          <w:tcPr>
            <w:tcW w:w="3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w:t>
            </w:r>
          </w:p>
        </w:tc>
        <w:tc>
          <w:tcPr>
            <w:tcW w:w="12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173</w:t>
            </w:r>
          </w:p>
        </w:tc>
        <w:tc>
          <w:tcPr>
            <w:tcW w:w="39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万元</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iCs/>
                <w:color w:val="000000"/>
                <w:sz w:val="16"/>
                <w:szCs w:val="16"/>
                <w:highlight w:val="none"/>
                <w:u w:val="none"/>
              </w:rPr>
            </w:pPr>
            <w:r>
              <w:rPr>
                <w:rFonts w:hint="eastAsia" w:ascii="宋体" w:hAnsi="宋体" w:eastAsia="宋体" w:cs="宋体"/>
                <w:i w:val="0"/>
                <w:iCs w:val="0"/>
                <w:color w:val="000000"/>
                <w:kern w:val="0"/>
                <w:sz w:val="18"/>
                <w:szCs w:val="18"/>
                <w:highlight w:val="none"/>
                <w:u w:val="none"/>
                <w:lang w:val="en-US" w:eastAsia="zh-CN" w:bidi="ar"/>
              </w:rPr>
              <w:t>173</w:t>
            </w:r>
            <w:r>
              <w:rPr>
                <w:rFonts w:hint="eastAsia" w:ascii="宋体" w:hAnsi="宋体" w:cs="宋体"/>
                <w:i w:val="0"/>
                <w:iCs w:val="0"/>
                <w:color w:val="000000"/>
                <w:kern w:val="0"/>
                <w:sz w:val="18"/>
                <w:szCs w:val="18"/>
                <w:highlight w:val="none"/>
                <w:u w:val="none"/>
                <w:lang w:val="en-US" w:eastAsia="zh-CN" w:bidi="ar"/>
              </w:rPr>
              <w:t>万元</w:t>
            </w:r>
          </w:p>
        </w:tc>
        <w:tc>
          <w:tcPr>
            <w:tcW w:w="4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10</w:t>
            </w:r>
          </w:p>
        </w:tc>
        <w:tc>
          <w:tcPr>
            <w:tcW w:w="38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宋体" w:hAnsi="宋体" w:eastAsia="宋体" w:cs="宋体"/>
                <w:i w:val="0"/>
                <w:iCs w:val="0"/>
                <w:color w:val="000000"/>
                <w:sz w:val="18"/>
                <w:szCs w:val="18"/>
                <w:highlight w:val="none"/>
                <w:u w:val="none"/>
                <w:lang w:val="en-US" w:eastAsia="zh-CN"/>
              </w:rPr>
            </w:pPr>
            <w:r>
              <w:rPr>
                <w:rFonts w:hint="eastAsia" w:ascii="宋体" w:hAnsi="宋体" w:cs="宋体"/>
                <w:i w:val="0"/>
                <w:iCs w:val="0"/>
                <w:color w:val="000000"/>
                <w:sz w:val="18"/>
                <w:szCs w:val="18"/>
                <w:highlight w:val="none"/>
                <w:u w:val="none"/>
                <w:lang w:val="en-US" w:eastAsia="zh-CN"/>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23" w:hRule="atLeast"/>
        </w:trPr>
        <w:tc>
          <w:tcPr>
            <w:tcW w:w="55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highlight w:val="none"/>
                <w:u w:val="none"/>
              </w:rPr>
            </w:pPr>
          </w:p>
        </w:tc>
        <w:tc>
          <w:tcPr>
            <w:tcW w:w="152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效益指标</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社会效益指标</w:t>
            </w:r>
          </w:p>
        </w:tc>
        <w:tc>
          <w:tcPr>
            <w:tcW w:w="16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浙江企业吸纳脱贫劳动力稳定就业（人）</w:t>
            </w:r>
          </w:p>
        </w:tc>
        <w:tc>
          <w:tcPr>
            <w:tcW w:w="3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w:t>
            </w:r>
          </w:p>
        </w:tc>
        <w:tc>
          <w:tcPr>
            <w:tcW w:w="12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60</w:t>
            </w:r>
          </w:p>
        </w:tc>
        <w:tc>
          <w:tcPr>
            <w:tcW w:w="39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人</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iCs/>
                <w:color w:val="000000"/>
                <w:sz w:val="16"/>
                <w:szCs w:val="16"/>
                <w:highlight w:val="none"/>
                <w:u w:val="none"/>
              </w:rPr>
            </w:pPr>
            <w:r>
              <w:rPr>
                <w:rFonts w:hint="eastAsia" w:ascii="宋体" w:hAnsi="宋体" w:eastAsia="宋体" w:cs="宋体"/>
                <w:i w:val="0"/>
                <w:iCs w:val="0"/>
                <w:color w:val="000000"/>
                <w:kern w:val="0"/>
                <w:sz w:val="18"/>
                <w:szCs w:val="18"/>
                <w:highlight w:val="none"/>
                <w:u w:val="none"/>
                <w:lang w:val="en-US" w:eastAsia="zh-CN" w:bidi="ar"/>
              </w:rPr>
              <w:t>89</w:t>
            </w:r>
            <w:r>
              <w:rPr>
                <w:rFonts w:hint="eastAsia" w:ascii="宋体" w:hAnsi="宋体" w:cs="宋体"/>
                <w:i w:val="0"/>
                <w:iCs w:val="0"/>
                <w:color w:val="000000"/>
                <w:kern w:val="0"/>
                <w:sz w:val="18"/>
                <w:szCs w:val="18"/>
                <w:highlight w:val="none"/>
                <w:u w:val="none"/>
                <w:lang w:val="en-US" w:eastAsia="zh-CN" w:bidi="ar"/>
              </w:rPr>
              <w:t>人</w:t>
            </w:r>
          </w:p>
        </w:tc>
        <w:tc>
          <w:tcPr>
            <w:tcW w:w="4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10</w:t>
            </w:r>
          </w:p>
        </w:tc>
        <w:tc>
          <w:tcPr>
            <w:tcW w:w="38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宋体" w:hAnsi="宋体" w:eastAsia="宋体" w:cs="宋体"/>
                <w:i w:val="0"/>
                <w:iCs w:val="0"/>
                <w:color w:val="000000"/>
                <w:sz w:val="18"/>
                <w:szCs w:val="18"/>
                <w:highlight w:val="none"/>
                <w:u w:val="none"/>
                <w:lang w:val="en-US" w:eastAsia="zh-CN"/>
              </w:rPr>
            </w:pPr>
            <w:r>
              <w:rPr>
                <w:rFonts w:hint="eastAsia" w:ascii="宋体" w:hAnsi="宋体" w:cs="宋体"/>
                <w:i w:val="0"/>
                <w:iCs w:val="0"/>
                <w:color w:val="000000"/>
                <w:sz w:val="18"/>
                <w:szCs w:val="18"/>
                <w:highlight w:val="none"/>
                <w:u w:val="none"/>
                <w:lang w:val="en-US" w:eastAsia="zh-CN"/>
              </w:rPr>
              <w:t>9.9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9" w:hRule="atLeast"/>
        </w:trPr>
        <w:tc>
          <w:tcPr>
            <w:tcW w:w="55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highlight w:val="none"/>
                <w:u w:val="none"/>
              </w:rPr>
            </w:pPr>
          </w:p>
        </w:tc>
        <w:tc>
          <w:tcPr>
            <w:tcW w:w="1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highlight w:val="none"/>
                <w:u w:val="none"/>
              </w:rPr>
            </w:pP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可持续影响指标</w:t>
            </w:r>
          </w:p>
        </w:tc>
        <w:tc>
          <w:tcPr>
            <w:tcW w:w="16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政策宣传及执行率（%）</w:t>
            </w:r>
          </w:p>
        </w:tc>
        <w:tc>
          <w:tcPr>
            <w:tcW w:w="3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w:t>
            </w:r>
          </w:p>
        </w:tc>
        <w:tc>
          <w:tcPr>
            <w:tcW w:w="12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95</w:t>
            </w:r>
          </w:p>
        </w:tc>
        <w:tc>
          <w:tcPr>
            <w:tcW w:w="39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微软雅黑" w:hAnsi="微软雅黑" w:eastAsia="微软雅黑" w:cs="微软雅黑"/>
                <w:i/>
                <w:iCs/>
                <w:color w:val="000000"/>
                <w:sz w:val="16"/>
                <w:szCs w:val="16"/>
                <w:highlight w:val="none"/>
                <w:u w:val="none"/>
                <w:lang w:val="en-US"/>
              </w:rPr>
            </w:pPr>
            <w:r>
              <w:rPr>
                <w:rFonts w:hint="eastAsia" w:ascii="宋体" w:hAnsi="宋体" w:eastAsia="宋体" w:cs="宋体"/>
                <w:i w:val="0"/>
                <w:iCs w:val="0"/>
                <w:color w:val="000000"/>
                <w:kern w:val="0"/>
                <w:sz w:val="18"/>
                <w:szCs w:val="18"/>
                <w:highlight w:val="none"/>
                <w:u w:val="none"/>
                <w:lang w:val="en-US" w:eastAsia="zh-CN" w:bidi="ar"/>
              </w:rPr>
              <w:t>97</w:t>
            </w:r>
            <w:r>
              <w:rPr>
                <w:rFonts w:hint="eastAsia" w:ascii="宋体" w:hAnsi="宋体" w:cs="宋体"/>
                <w:i w:val="0"/>
                <w:iCs w:val="0"/>
                <w:color w:val="000000"/>
                <w:kern w:val="0"/>
                <w:sz w:val="18"/>
                <w:szCs w:val="18"/>
                <w:highlight w:val="none"/>
                <w:u w:val="none"/>
                <w:lang w:val="en-US" w:eastAsia="zh-CN" w:bidi="ar"/>
              </w:rPr>
              <w:t>%</w:t>
            </w:r>
          </w:p>
        </w:tc>
        <w:tc>
          <w:tcPr>
            <w:tcW w:w="4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10</w:t>
            </w:r>
          </w:p>
        </w:tc>
        <w:tc>
          <w:tcPr>
            <w:tcW w:w="38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宋体" w:hAnsi="宋体" w:eastAsia="宋体" w:cs="宋体"/>
                <w:i w:val="0"/>
                <w:iCs w:val="0"/>
                <w:color w:val="000000"/>
                <w:sz w:val="18"/>
                <w:szCs w:val="18"/>
                <w:highlight w:val="none"/>
                <w:u w:val="none"/>
                <w:lang w:val="en-US" w:eastAsia="zh-CN"/>
              </w:rPr>
            </w:pPr>
            <w:r>
              <w:rPr>
                <w:rFonts w:hint="eastAsia" w:ascii="宋体" w:hAnsi="宋体" w:cs="宋体"/>
                <w:i w:val="0"/>
                <w:iCs w:val="0"/>
                <w:color w:val="000000"/>
                <w:sz w:val="18"/>
                <w:szCs w:val="18"/>
                <w:highlight w:val="none"/>
                <w:u w:val="none"/>
                <w:lang w:val="en-US" w:eastAsia="zh-CN"/>
              </w:rPr>
              <w:t>9.9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9" w:hRule="atLeast"/>
        </w:trPr>
        <w:tc>
          <w:tcPr>
            <w:tcW w:w="55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highlight w:val="none"/>
                <w:u w:val="none"/>
              </w:rPr>
            </w:pPr>
          </w:p>
        </w:tc>
        <w:tc>
          <w:tcPr>
            <w:tcW w:w="15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满意度指标</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服务对象满意度指标</w:t>
            </w:r>
          </w:p>
        </w:tc>
        <w:tc>
          <w:tcPr>
            <w:tcW w:w="16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享受政策劳动力满意度</w:t>
            </w:r>
          </w:p>
        </w:tc>
        <w:tc>
          <w:tcPr>
            <w:tcW w:w="3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w:t>
            </w:r>
          </w:p>
        </w:tc>
        <w:tc>
          <w:tcPr>
            <w:tcW w:w="12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95</w:t>
            </w:r>
          </w:p>
        </w:tc>
        <w:tc>
          <w:tcPr>
            <w:tcW w:w="39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微软雅黑" w:hAnsi="微软雅黑" w:eastAsia="微软雅黑" w:cs="微软雅黑"/>
                <w:i/>
                <w:iCs/>
                <w:color w:val="000000"/>
                <w:sz w:val="16"/>
                <w:szCs w:val="16"/>
                <w:highlight w:val="none"/>
                <w:u w:val="none"/>
                <w:lang w:val="en-US"/>
              </w:rPr>
            </w:pPr>
            <w:r>
              <w:rPr>
                <w:rFonts w:hint="eastAsia" w:ascii="宋体" w:hAnsi="宋体" w:eastAsia="宋体" w:cs="宋体"/>
                <w:i w:val="0"/>
                <w:iCs w:val="0"/>
                <w:color w:val="000000"/>
                <w:kern w:val="0"/>
                <w:sz w:val="18"/>
                <w:szCs w:val="18"/>
                <w:highlight w:val="none"/>
                <w:u w:val="none"/>
                <w:lang w:val="en-US" w:eastAsia="zh-CN" w:bidi="ar"/>
              </w:rPr>
              <w:t>98</w:t>
            </w:r>
            <w:r>
              <w:rPr>
                <w:rFonts w:hint="eastAsia" w:ascii="宋体" w:hAnsi="宋体" w:cs="宋体"/>
                <w:i w:val="0"/>
                <w:iCs w:val="0"/>
                <w:color w:val="000000"/>
                <w:kern w:val="0"/>
                <w:sz w:val="18"/>
                <w:szCs w:val="18"/>
                <w:highlight w:val="none"/>
                <w:u w:val="none"/>
                <w:lang w:val="en-US" w:eastAsia="zh-CN" w:bidi="ar"/>
              </w:rPr>
              <w:t>%</w:t>
            </w:r>
          </w:p>
        </w:tc>
        <w:tc>
          <w:tcPr>
            <w:tcW w:w="4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10</w:t>
            </w:r>
          </w:p>
        </w:tc>
        <w:tc>
          <w:tcPr>
            <w:tcW w:w="38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宋体" w:hAnsi="宋体" w:eastAsia="宋体" w:cs="宋体"/>
                <w:i w:val="0"/>
                <w:iCs w:val="0"/>
                <w:color w:val="000000"/>
                <w:sz w:val="18"/>
                <w:szCs w:val="18"/>
                <w:highlight w:val="none"/>
                <w:u w:val="none"/>
                <w:lang w:val="en-US" w:eastAsia="zh-CN"/>
              </w:rPr>
            </w:pPr>
            <w:r>
              <w:rPr>
                <w:rFonts w:hint="eastAsia" w:ascii="宋体" w:hAnsi="宋体" w:cs="宋体"/>
                <w:i w:val="0"/>
                <w:iCs w:val="0"/>
                <w:color w:val="000000"/>
                <w:sz w:val="18"/>
                <w:szCs w:val="18"/>
                <w:highlight w:val="none"/>
                <w:u w:val="none"/>
                <w:lang w:val="en-US" w:eastAsia="zh-CN"/>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2" w:hRule="atLeast"/>
        </w:trPr>
        <w:tc>
          <w:tcPr>
            <w:tcW w:w="7979"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合计</w:t>
            </w:r>
          </w:p>
        </w:tc>
        <w:tc>
          <w:tcPr>
            <w:tcW w:w="4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100</w:t>
            </w:r>
          </w:p>
        </w:tc>
        <w:tc>
          <w:tcPr>
            <w:tcW w:w="384"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default" w:ascii="宋体" w:hAnsi="宋体" w:eastAsia="宋体" w:cs="宋体"/>
                <w:i w:val="0"/>
                <w:iCs w:val="0"/>
                <w:color w:val="000000"/>
                <w:sz w:val="18"/>
                <w:szCs w:val="18"/>
                <w:highlight w:val="none"/>
                <w:u w:val="none"/>
                <w:lang w:val="en-US" w:eastAsia="zh-CN"/>
              </w:rPr>
            </w:pPr>
            <w:r>
              <w:rPr>
                <w:rFonts w:hint="eastAsia" w:ascii="宋体" w:hAnsi="宋体" w:cs="宋体"/>
                <w:i w:val="0"/>
                <w:iCs w:val="0"/>
                <w:color w:val="000000"/>
                <w:sz w:val="18"/>
                <w:szCs w:val="18"/>
                <w:highlight w:val="none"/>
                <w:u w:val="none"/>
                <w:lang w:val="en-US" w:eastAsia="zh-CN"/>
              </w:rPr>
              <w:t>99.7</w:t>
            </w:r>
          </w:p>
        </w:tc>
      </w:tr>
    </w:tbl>
    <w:p>
      <w:pPr>
        <w:keepNext w:val="0"/>
        <w:keepLines w:val="0"/>
        <w:pageBreakBefore w:val="0"/>
        <w:widowControl w:val="0"/>
        <w:kinsoku/>
        <w:wordWrap/>
        <w:overflowPunct/>
        <w:topLinePunct w:val="0"/>
        <w:autoSpaceDE/>
        <w:autoSpaceDN/>
        <w:bidi w:val="0"/>
        <w:adjustRightInd w:val="0"/>
        <w:snapToGrid w:val="0"/>
        <w:spacing w:line="576" w:lineRule="exact"/>
        <w:textAlignment w:val="auto"/>
        <w:rPr>
          <w:rFonts w:hint="eastAsia" w:cs="Times New Roman"/>
          <w:sz w:val="32"/>
          <w:szCs w:val="32"/>
          <w:highlight w:val="none"/>
          <w:lang w:val="zh-CN"/>
        </w:rPr>
      </w:pPr>
      <w:r>
        <w:rPr>
          <w:rFonts w:hint="eastAsia" w:ascii="Times New Roman" w:hAnsi="Times New Roman" w:eastAsia="楷体_GB2312" w:cs="Times New Roman"/>
          <w:b/>
          <w:sz w:val="32"/>
          <w:szCs w:val="32"/>
          <w:highlight w:val="none"/>
          <w:lang w:val="zh-CN"/>
        </w:rPr>
        <w:t>（二）存在的问题。</w:t>
      </w:r>
      <w:r>
        <w:rPr>
          <w:rFonts w:hint="eastAsia" w:cs="Times New Roman"/>
          <w:sz w:val="32"/>
          <w:szCs w:val="32"/>
          <w:highlight w:val="none"/>
          <w:lang w:val="zh-CN"/>
        </w:rPr>
        <w:t>无。</w:t>
      </w:r>
    </w:p>
    <w:p>
      <w:pPr>
        <w:pageBreakBefore w:val="0"/>
        <w:kinsoku/>
        <w:wordWrap/>
        <w:overflowPunct/>
        <w:topLinePunct w:val="0"/>
        <w:bidi w:val="0"/>
        <w:spacing w:line="576" w:lineRule="exact"/>
        <w:jc w:val="both"/>
        <w:textAlignment w:val="auto"/>
        <w:outlineLvl w:val="9"/>
        <w:rPr>
          <w:rFonts w:hint="eastAsia" w:ascii="黑体" w:hAnsi="黑体" w:eastAsia="黑体"/>
          <w:color w:val="auto"/>
          <w:sz w:val="44"/>
          <w:szCs w:val="44"/>
          <w:highlight w:val="none"/>
        </w:rPr>
      </w:pPr>
      <w:r>
        <w:rPr>
          <w:rFonts w:hint="eastAsia" w:ascii="Times New Roman" w:hAnsi="Times New Roman" w:eastAsia="楷体_GB2312" w:cs="Times New Roman"/>
          <w:b/>
          <w:sz w:val="32"/>
          <w:szCs w:val="32"/>
          <w:highlight w:val="none"/>
          <w:lang w:val="zh-CN"/>
        </w:rPr>
        <w:t>（三）相关建议。</w:t>
      </w:r>
      <w:r>
        <w:rPr>
          <w:rFonts w:hint="eastAsia" w:cs="Times New Roman"/>
          <w:sz w:val="32"/>
          <w:szCs w:val="32"/>
          <w:highlight w:val="none"/>
          <w:lang w:val="zh-CN"/>
        </w:rPr>
        <w:t>无。</w:t>
      </w:r>
    </w:p>
    <w:p>
      <w:pPr>
        <w:pageBreakBefore w:val="0"/>
        <w:kinsoku/>
        <w:wordWrap/>
        <w:overflowPunct/>
        <w:topLinePunct w:val="0"/>
        <w:bidi w:val="0"/>
        <w:spacing w:line="576" w:lineRule="exact"/>
        <w:ind w:left="960" w:hanging="960" w:hangingChars="300"/>
        <w:jc w:val="left"/>
        <w:textAlignment w:val="auto"/>
        <w:outlineLvl w:val="9"/>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eastAsia="zh-CN"/>
        </w:rPr>
        <w:t>附件：广元市昭化区人力资源和社会保障局</w:t>
      </w:r>
      <w:r>
        <w:rPr>
          <w:rFonts w:hint="eastAsia" w:ascii="仿宋_GB2312" w:hAnsi="仿宋_GB2312" w:eastAsia="仿宋_GB2312" w:cs="仿宋_GB2312"/>
          <w:color w:val="auto"/>
          <w:sz w:val="32"/>
          <w:szCs w:val="32"/>
          <w:highlight w:val="none"/>
          <w:lang w:val="en-US" w:eastAsia="zh-CN"/>
        </w:rPr>
        <w:t>2022年财政项目支出绩效自评表</w:t>
      </w:r>
    </w:p>
    <w:p>
      <w:pPr>
        <w:pageBreakBefore w:val="0"/>
        <w:kinsoku/>
        <w:wordWrap/>
        <w:overflowPunct/>
        <w:topLinePunct w:val="0"/>
        <w:bidi w:val="0"/>
        <w:spacing w:line="576" w:lineRule="exact"/>
        <w:jc w:val="center"/>
        <w:textAlignment w:val="auto"/>
        <w:outlineLvl w:val="9"/>
        <w:rPr>
          <w:rFonts w:hint="eastAsia" w:ascii="黑体" w:hAnsi="黑体" w:eastAsia="黑体"/>
          <w:color w:val="auto"/>
          <w:sz w:val="44"/>
          <w:szCs w:val="44"/>
          <w:highlight w:val="none"/>
        </w:rPr>
      </w:pPr>
    </w:p>
    <w:p>
      <w:pPr>
        <w:pageBreakBefore w:val="0"/>
        <w:kinsoku/>
        <w:wordWrap/>
        <w:overflowPunct/>
        <w:topLinePunct w:val="0"/>
        <w:bidi w:val="0"/>
        <w:spacing w:line="576" w:lineRule="exact"/>
        <w:jc w:val="center"/>
        <w:textAlignment w:val="auto"/>
        <w:outlineLvl w:val="9"/>
        <w:rPr>
          <w:rFonts w:hint="eastAsia" w:ascii="黑体" w:hAnsi="黑体" w:eastAsia="黑体"/>
          <w:color w:val="auto"/>
          <w:sz w:val="44"/>
          <w:szCs w:val="44"/>
          <w:highlight w:val="none"/>
        </w:rPr>
      </w:pPr>
    </w:p>
    <w:p>
      <w:pPr>
        <w:pageBreakBefore w:val="0"/>
        <w:kinsoku/>
        <w:wordWrap/>
        <w:overflowPunct/>
        <w:topLinePunct w:val="0"/>
        <w:bidi w:val="0"/>
        <w:spacing w:line="576" w:lineRule="exact"/>
        <w:jc w:val="center"/>
        <w:textAlignment w:val="auto"/>
        <w:outlineLvl w:val="9"/>
        <w:rPr>
          <w:rFonts w:hint="eastAsia" w:ascii="黑体" w:hAnsi="黑体" w:eastAsia="黑体"/>
          <w:color w:val="auto"/>
          <w:sz w:val="44"/>
          <w:szCs w:val="44"/>
          <w:highlight w:val="none"/>
        </w:rPr>
        <w:sectPr>
          <w:footerReference r:id="rId8" w:type="first"/>
          <w:footerReference r:id="rId7" w:type="default"/>
          <w:pgSz w:w="11906" w:h="16838"/>
          <w:pgMar w:top="1984" w:right="1474" w:bottom="1871" w:left="1587" w:header="851" w:footer="992" w:gutter="0"/>
          <w:pgNumType w:fmt="decimal"/>
          <w:cols w:space="0" w:num="1"/>
          <w:titlePg/>
          <w:rtlGutter w:val="0"/>
          <w:docGrid w:type="lines" w:linePitch="312" w:charSpace="0"/>
        </w:sectPr>
      </w:pPr>
    </w:p>
    <w:tbl>
      <w:tblPr>
        <w:tblStyle w:val="16"/>
        <w:tblW w:w="874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944"/>
        <w:gridCol w:w="721"/>
        <w:gridCol w:w="971"/>
        <w:gridCol w:w="945"/>
        <w:gridCol w:w="1096"/>
        <w:gridCol w:w="1509"/>
        <w:gridCol w:w="1399"/>
        <w:gridCol w:w="115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1" w:hRule="atLeast"/>
        </w:trPr>
        <w:tc>
          <w:tcPr>
            <w:tcW w:w="8740" w:type="dxa"/>
            <w:gridSpan w:val="8"/>
            <w:tcBorders>
              <w:top w:val="nil"/>
              <w:left w:val="nil"/>
              <w:bottom w:val="nil"/>
              <w:right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jc w:val="both"/>
              <w:textAlignment w:val="center"/>
              <w:rPr>
                <w:rFonts w:hint="eastAsia" w:ascii="微软雅黑" w:hAnsi="微软雅黑" w:eastAsia="微软雅黑" w:cs="微软雅黑"/>
                <w:i w:val="0"/>
                <w:iCs w:val="0"/>
                <w:color w:val="000000"/>
                <w:kern w:val="0"/>
                <w:sz w:val="22"/>
                <w:szCs w:val="22"/>
                <w:u w:val="none"/>
                <w:lang w:val="en-US" w:eastAsia="zh-CN" w:bidi="ar"/>
              </w:rPr>
            </w:pPr>
            <w:r>
              <w:rPr>
                <w:rFonts w:hint="eastAsia" w:ascii="微软雅黑" w:hAnsi="微软雅黑" w:eastAsia="微软雅黑" w:cs="微软雅黑"/>
                <w:b/>
                <w:bCs/>
                <w:i w:val="0"/>
                <w:iCs w:val="0"/>
                <w:color w:val="000000"/>
                <w:kern w:val="0"/>
                <w:sz w:val="22"/>
                <w:szCs w:val="22"/>
                <w:u w:val="none"/>
                <w:lang w:val="en-US" w:eastAsia="zh-CN" w:bidi="ar"/>
              </w:rPr>
              <w:t>附件：</w:t>
            </w:r>
            <w:r>
              <w:rPr>
                <w:rFonts w:hint="eastAsia" w:ascii="微软雅黑" w:hAnsi="微软雅黑" w:eastAsia="微软雅黑" w:cs="微软雅黑"/>
                <w:i w:val="0"/>
                <w:iCs w:val="0"/>
                <w:color w:val="000000"/>
                <w:kern w:val="0"/>
                <w:sz w:val="22"/>
                <w:szCs w:val="22"/>
                <w:u w:val="none"/>
                <w:lang w:val="en-US" w:eastAsia="zh-CN" w:bidi="ar"/>
              </w:rPr>
              <w:t xml:space="preserve">  </w:t>
            </w:r>
          </w:p>
          <w:p>
            <w:pPr>
              <w:keepNext w:val="0"/>
              <w:keepLines w:val="0"/>
              <w:pageBreakBefore w:val="0"/>
              <w:widowControl/>
              <w:suppressLineNumbers w:val="0"/>
              <w:kinsoku/>
              <w:wordWrap/>
              <w:overflowPunct/>
              <w:topLinePunct w:val="0"/>
              <w:autoSpaceDE/>
              <w:autoSpaceDN/>
              <w:bidi w:val="0"/>
              <w:adjustRightInd/>
              <w:snapToGrid/>
              <w:spacing w:line="400" w:lineRule="exact"/>
              <w:ind w:firstLine="800" w:firstLineChars="200"/>
              <w:jc w:val="both"/>
              <w:textAlignment w:val="center"/>
              <w:rPr>
                <w:rFonts w:ascii="微软雅黑" w:hAnsi="微软雅黑" w:eastAsia="微软雅黑" w:cs="微软雅黑"/>
                <w:i w:val="0"/>
                <w:iCs w:val="0"/>
                <w:color w:val="000000"/>
                <w:sz w:val="40"/>
                <w:szCs w:val="40"/>
                <w:u w:val="none"/>
              </w:rPr>
            </w:pPr>
            <w:r>
              <w:rPr>
                <w:rFonts w:hint="eastAsia" w:ascii="方正小标宋简体" w:hAnsi="方正小标宋简体" w:eastAsia="方正小标宋简体" w:cs="方正小标宋简体"/>
                <w:color w:val="auto"/>
                <w:sz w:val="40"/>
                <w:szCs w:val="40"/>
                <w:highlight w:val="none"/>
                <w:lang w:val="en-US" w:eastAsia="zh-CN"/>
              </w:rPr>
              <w:t>广元市昭化区财政项目支出绩效自评表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1" w:hRule="atLeast"/>
        </w:trPr>
        <w:tc>
          <w:tcPr>
            <w:tcW w:w="8740" w:type="dxa"/>
            <w:gridSpan w:val="8"/>
            <w:tcBorders>
              <w:top w:val="nil"/>
              <w:left w:val="nil"/>
              <w:bottom w:val="nil"/>
              <w:right w:val="nil"/>
            </w:tcBorders>
            <w:shd w:val="clear" w:color="auto" w:fill="auto"/>
            <w:vAlign w:val="top"/>
          </w:tcPr>
          <w:p>
            <w:pPr>
              <w:keepNext w:val="0"/>
              <w:keepLines w:val="0"/>
              <w:widowControl/>
              <w:suppressLineNumbers w:val="0"/>
              <w:jc w:val="center"/>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（2022年度）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166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项目（政策）名称</w:t>
            </w:r>
          </w:p>
        </w:tc>
        <w:tc>
          <w:tcPr>
            <w:tcW w:w="7075"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东西部协作稳岗就业促进项目本级配套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2" w:hRule="atLeast"/>
        </w:trPr>
        <w:tc>
          <w:tcPr>
            <w:tcW w:w="166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主管部门</w:t>
            </w:r>
          </w:p>
        </w:tc>
        <w:tc>
          <w:tcPr>
            <w:tcW w:w="3012"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广元市昭化区人力资源和社会保障局</w:t>
            </w: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实施单位</w:t>
            </w:r>
          </w:p>
        </w:tc>
        <w:tc>
          <w:tcPr>
            <w:tcW w:w="255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广元市昭化区人力资源和社会保障局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2" w:hRule="atLeast"/>
        </w:trPr>
        <w:tc>
          <w:tcPr>
            <w:tcW w:w="1665" w:type="dxa"/>
            <w:gridSpan w:val="2"/>
            <w:vMerge w:val="restart"/>
            <w:tcBorders>
              <w:top w:val="single" w:color="000000" w:sz="4" w:space="0"/>
              <w:left w:val="single" w:color="000000" w:sz="4" w:space="0"/>
              <w:bottom w:val="nil"/>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项目（政策）资金（万元）</w:t>
            </w:r>
          </w:p>
        </w:tc>
        <w:tc>
          <w:tcPr>
            <w:tcW w:w="1916" w:type="dxa"/>
            <w:gridSpan w:val="2"/>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宋体" w:hAnsi="宋体" w:eastAsia="宋体" w:cs="宋体"/>
                <w:i w:val="0"/>
                <w:iCs w:val="0"/>
                <w:color w:val="000000"/>
                <w:sz w:val="18"/>
                <w:szCs w:val="18"/>
                <w:u w:val="none"/>
              </w:rPr>
            </w:pPr>
          </w:p>
        </w:tc>
        <w:tc>
          <w:tcPr>
            <w:tcW w:w="1096"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年初预算数</w:t>
            </w:r>
          </w:p>
        </w:tc>
        <w:tc>
          <w:tcPr>
            <w:tcW w:w="1509"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全年预算数</w:t>
            </w:r>
          </w:p>
        </w:tc>
        <w:tc>
          <w:tcPr>
            <w:tcW w:w="1399"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全年执行数</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执行率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1665" w:type="dxa"/>
            <w:gridSpan w:val="2"/>
            <w:vMerge w:val="continue"/>
            <w:tcBorders>
              <w:top w:val="single" w:color="000000" w:sz="4" w:space="0"/>
              <w:left w:val="single" w:color="000000" w:sz="4" w:space="0"/>
              <w:bottom w:val="nil"/>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宋体" w:hAnsi="宋体" w:eastAsia="宋体" w:cs="宋体"/>
                <w:i w:val="0"/>
                <w:iCs w:val="0"/>
                <w:color w:val="000000"/>
                <w:sz w:val="18"/>
                <w:szCs w:val="18"/>
                <w:u w:val="none"/>
              </w:rPr>
            </w:pPr>
          </w:p>
        </w:tc>
        <w:tc>
          <w:tcPr>
            <w:tcW w:w="191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年度资金总额</w:t>
            </w:r>
          </w:p>
        </w:tc>
        <w:tc>
          <w:tcPr>
            <w:tcW w:w="10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173</w:t>
            </w: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173</w:t>
            </w:r>
          </w:p>
        </w:tc>
        <w:tc>
          <w:tcPr>
            <w:tcW w:w="139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173</w:t>
            </w:r>
          </w:p>
        </w:tc>
        <w:tc>
          <w:tcPr>
            <w:tcW w:w="1155"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1665" w:type="dxa"/>
            <w:gridSpan w:val="2"/>
            <w:vMerge w:val="continue"/>
            <w:tcBorders>
              <w:top w:val="single" w:color="000000" w:sz="4" w:space="0"/>
              <w:left w:val="single" w:color="000000" w:sz="4" w:space="0"/>
              <w:bottom w:val="nil"/>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宋体" w:hAnsi="宋体" w:eastAsia="宋体" w:cs="宋体"/>
                <w:i w:val="0"/>
                <w:iCs w:val="0"/>
                <w:color w:val="000000"/>
                <w:sz w:val="18"/>
                <w:szCs w:val="18"/>
                <w:u w:val="none"/>
              </w:rPr>
            </w:pPr>
          </w:p>
        </w:tc>
        <w:tc>
          <w:tcPr>
            <w:tcW w:w="191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（一）财政拨款小计</w:t>
            </w:r>
          </w:p>
        </w:tc>
        <w:tc>
          <w:tcPr>
            <w:tcW w:w="10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173</w:t>
            </w: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173</w:t>
            </w:r>
          </w:p>
        </w:tc>
        <w:tc>
          <w:tcPr>
            <w:tcW w:w="139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173</w:t>
            </w:r>
          </w:p>
        </w:tc>
        <w:tc>
          <w:tcPr>
            <w:tcW w:w="1155"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1665" w:type="dxa"/>
            <w:gridSpan w:val="2"/>
            <w:vMerge w:val="continue"/>
            <w:tcBorders>
              <w:top w:val="single" w:color="000000" w:sz="4" w:space="0"/>
              <w:left w:val="single" w:color="000000" w:sz="4" w:space="0"/>
              <w:bottom w:val="nil"/>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宋体" w:hAnsi="宋体" w:eastAsia="宋体" w:cs="宋体"/>
                <w:i w:val="0"/>
                <w:iCs w:val="0"/>
                <w:color w:val="000000"/>
                <w:sz w:val="18"/>
                <w:szCs w:val="18"/>
                <w:u w:val="none"/>
              </w:rPr>
            </w:pPr>
          </w:p>
        </w:tc>
        <w:tc>
          <w:tcPr>
            <w:tcW w:w="191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   1.一般公共预算</w:t>
            </w:r>
          </w:p>
        </w:tc>
        <w:tc>
          <w:tcPr>
            <w:tcW w:w="10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173</w:t>
            </w: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173</w:t>
            </w:r>
          </w:p>
        </w:tc>
        <w:tc>
          <w:tcPr>
            <w:tcW w:w="139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173</w:t>
            </w:r>
          </w:p>
        </w:tc>
        <w:tc>
          <w:tcPr>
            <w:tcW w:w="1155"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1665" w:type="dxa"/>
            <w:gridSpan w:val="2"/>
            <w:vMerge w:val="continue"/>
            <w:tcBorders>
              <w:top w:val="single" w:color="000000" w:sz="4" w:space="0"/>
              <w:left w:val="single" w:color="000000" w:sz="4" w:space="0"/>
              <w:bottom w:val="nil"/>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宋体" w:hAnsi="宋体" w:eastAsia="宋体" w:cs="宋体"/>
                <w:i w:val="0"/>
                <w:iCs w:val="0"/>
                <w:color w:val="000000"/>
                <w:sz w:val="18"/>
                <w:szCs w:val="18"/>
                <w:u w:val="none"/>
              </w:rPr>
            </w:pPr>
          </w:p>
        </w:tc>
        <w:tc>
          <w:tcPr>
            <w:tcW w:w="191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   2.政府性基金</w:t>
            </w:r>
          </w:p>
        </w:tc>
        <w:tc>
          <w:tcPr>
            <w:tcW w:w="10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left"/>
              <w:rPr>
                <w:rFonts w:hint="eastAsia" w:ascii="宋体" w:hAnsi="宋体" w:eastAsia="宋体" w:cs="宋体"/>
                <w:i w:val="0"/>
                <w:iCs w:val="0"/>
                <w:color w:val="000000"/>
                <w:sz w:val="18"/>
                <w:szCs w:val="18"/>
                <w:u w:val="none"/>
              </w:rPr>
            </w:pP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宋体" w:hAnsi="宋体" w:eastAsia="宋体" w:cs="宋体"/>
                <w:i w:val="0"/>
                <w:iCs w:val="0"/>
                <w:color w:val="000000"/>
                <w:sz w:val="18"/>
                <w:szCs w:val="18"/>
                <w:u w:val="none"/>
              </w:rPr>
            </w:pPr>
          </w:p>
        </w:tc>
        <w:tc>
          <w:tcPr>
            <w:tcW w:w="139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宋体" w:hAnsi="宋体" w:eastAsia="宋体" w:cs="宋体"/>
                <w:i w:val="0"/>
                <w:iCs w:val="0"/>
                <w:color w:val="000000"/>
                <w:sz w:val="18"/>
                <w:szCs w:val="18"/>
                <w:u w:val="none"/>
              </w:rPr>
            </w:pP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2" w:hRule="atLeast"/>
        </w:trPr>
        <w:tc>
          <w:tcPr>
            <w:tcW w:w="1665" w:type="dxa"/>
            <w:gridSpan w:val="2"/>
            <w:vMerge w:val="continue"/>
            <w:tcBorders>
              <w:top w:val="single" w:color="000000" w:sz="4" w:space="0"/>
              <w:left w:val="single" w:color="000000" w:sz="4" w:space="0"/>
              <w:bottom w:val="nil"/>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宋体" w:hAnsi="宋体" w:eastAsia="宋体" w:cs="宋体"/>
                <w:i w:val="0"/>
                <w:iCs w:val="0"/>
                <w:color w:val="000000"/>
                <w:sz w:val="18"/>
                <w:szCs w:val="18"/>
                <w:u w:val="none"/>
              </w:rPr>
            </w:pPr>
          </w:p>
        </w:tc>
        <w:tc>
          <w:tcPr>
            <w:tcW w:w="191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  3.国有资本经营预算</w:t>
            </w:r>
          </w:p>
        </w:tc>
        <w:tc>
          <w:tcPr>
            <w:tcW w:w="10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left"/>
              <w:rPr>
                <w:rFonts w:hint="eastAsia" w:ascii="宋体" w:hAnsi="宋体" w:eastAsia="宋体" w:cs="宋体"/>
                <w:i w:val="0"/>
                <w:iCs w:val="0"/>
                <w:color w:val="000000"/>
                <w:sz w:val="18"/>
                <w:szCs w:val="18"/>
                <w:u w:val="none"/>
              </w:rPr>
            </w:pP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宋体" w:hAnsi="宋体" w:eastAsia="宋体" w:cs="宋体"/>
                <w:i w:val="0"/>
                <w:iCs w:val="0"/>
                <w:color w:val="000000"/>
                <w:sz w:val="18"/>
                <w:szCs w:val="18"/>
                <w:u w:val="none"/>
              </w:rPr>
            </w:pPr>
          </w:p>
        </w:tc>
        <w:tc>
          <w:tcPr>
            <w:tcW w:w="139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宋体" w:hAnsi="宋体" w:eastAsia="宋体" w:cs="宋体"/>
                <w:i w:val="0"/>
                <w:iCs w:val="0"/>
                <w:color w:val="000000"/>
                <w:sz w:val="18"/>
                <w:szCs w:val="18"/>
                <w:u w:val="none"/>
              </w:rPr>
            </w:pP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1665" w:type="dxa"/>
            <w:gridSpan w:val="2"/>
            <w:vMerge w:val="continue"/>
            <w:tcBorders>
              <w:top w:val="single" w:color="000000" w:sz="4" w:space="0"/>
              <w:left w:val="single" w:color="000000" w:sz="4" w:space="0"/>
              <w:bottom w:val="nil"/>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宋体" w:hAnsi="宋体" w:eastAsia="宋体" w:cs="宋体"/>
                <w:i w:val="0"/>
                <w:iCs w:val="0"/>
                <w:color w:val="000000"/>
                <w:sz w:val="18"/>
                <w:szCs w:val="18"/>
                <w:u w:val="none"/>
              </w:rPr>
            </w:pPr>
          </w:p>
        </w:tc>
        <w:tc>
          <w:tcPr>
            <w:tcW w:w="191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  4.社保基金</w:t>
            </w:r>
          </w:p>
        </w:tc>
        <w:tc>
          <w:tcPr>
            <w:tcW w:w="10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left"/>
              <w:rPr>
                <w:rFonts w:hint="eastAsia" w:ascii="宋体" w:hAnsi="宋体" w:eastAsia="宋体" w:cs="宋体"/>
                <w:i w:val="0"/>
                <w:iCs w:val="0"/>
                <w:color w:val="000000"/>
                <w:sz w:val="18"/>
                <w:szCs w:val="18"/>
                <w:u w:val="none"/>
              </w:rPr>
            </w:pP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宋体" w:hAnsi="宋体" w:eastAsia="宋体" w:cs="宋体"/>
                <w:i w:val="0"/>
                <w:iCs w:val="0"/>
                <w:color w:val="000000"/>
                <w:sz w:val="18"/>
                <w:szCs w:val="18"/>
                <w:u w:val="none"/>
              </w:rPr>
            </w:pPr>
          </w:p>
        </w:tc>
        <w:tc>
          <w:tcPr>
            <w:tcW w:w="139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宋体" w:hAnsi="宋体" w:eastAsia="宋体" w:cs="宋体"/>
                <w:i w:val="0"/>
                <w:iCs w:val="0"/>
                <w:color w:val="000000"/>
                <w:sz w:val="18"/>
                <w:szCs w:val="18"/>
                <w:u w:val="none"/>
              </w:rPr>
            </w:pP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1665" w:type="dxa"/>
            <w:gridSpan w:val="2"/>
            <w:vMerge w:val="continue"/>
            <w:tcBorders>
              <w:top w:val="single" w:color="000000" w:sz="4" w:space="0"/>
              <w:left w:val="single" w:color="000000" w:sz="4" w:space="0"/>
              <w:bottom w:val="nil"/>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宋体" w:hAnsi="宋体" w:eastAsia="宋体" w:cs="宋体"/>
                <w:i w:val="0"/>
                <w:iCs w:val="0"/>
                <w:color w:val="000000"/>
                <w:sz w:val="18"/>
                <w:szCs w:val="18"/>
                <w:u w:val="none"/>
              </w:rPr>
            </w:pPr>
          </w:p>
        </w:tc>
        <w:tc>
          <w:tcPr>
            <w:tcW w:w="191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（二）其他资金</w:t>
            </w:r>
          </w:p>
        </w:tc>
        <w:tc>
          <w:tcPr>
            <w:tcW w:w="10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宋体" w:hAnsi="宋体" w:eastAsia="宋体" w:cs="宋体"/>
                <w:i w:val="0"/>
                <w:iCs w:val="0"/>
                <w:color w:val="000000"/>
                <w:sz w:val="18"/>
                <w:szCs w:val="18"/>
                <w:u w:val="none"/>
              </w:rPr>
            </w:pP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宋体" w:hAnsi="宋体" w:eastAsia="宋体" w:cs="宋体"/>
                <w:i w:val="0"/>
                <w:iCs w:val="0"/>
                <w:color w:val="000000"/>
                <w:sz w:val="18"/>
                <w:szCs w:val="18"/>
                <w:u w:val="none"/>
              </w:rPr>
            </w:pPr>
          </w:p>
        </w:tc>
        <w:tc>
          <w:tcPr>
            <w:tcW w:w="139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宋体" w:hAnsi="宋体" w:eastAsia="宋体" w:cs="宋体"/>
                <w:i w:val="0"/>
                <w:iCs w:val="0"/>
                <w:color w:val="000000"/>
                <w:sz w:val="18"/>
                <w:szCs w:val="18"/>
                <w:u w:val="none"/>
              </w:rPr>
            </w:pP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94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年度总体目标</w:t>
            </w:r>
          </w:p>
        </w:tc>
        <w:tc>
          <w:tcPr>
            <w:tcW w:w="3733"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预期目标</w:t>
            </w:r>
          </w:p>
        </w:tc>
        <w:tc>
          <w:tcPr>
            <w:tcW w:w="4063"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完成情况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02" w:hRule="atLeast"/>
        </w:trPr>
        <w:tc>
          <w:tcPr>
            <w:tcW w:w="94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宋体" w:hAnsi="宋体" w:eastAsia="宋体" w:cs="宋体"/>
                <w:i w:val="0"/>
                <w:iCs w:val="0"/>
                <w:color w:val="000000"/>
                <w:sz w:val="18"/>
                <w:szCs w:val="18"/>
                <w:u w:val="none"/>
              </w:rPr>
            </w:pPr>
          </w:p>
        </w:tc>
        <w:tc>
          <w:tcPr>
            <w:tcW w:w="3733"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实施东西部稳岗就业促进项目，通过提升劳动力技能， 促进劳动力转移就业，鼓励车间、企业吸纳就业，预计覆盖500人以上，促进年度人均增收5400元以上。</w:t>
            </w:r>
          </w:p>
        </w:tc>
        <w:tc>
          <w:tcPr>
            <w:tcW w:w="4063"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实施东西部稳岗就业促进项目，通过提升劳动力技能， 促进劳动力转移就业，鼓励车间、企业吸纳就业，预计覆盖898人以上，促进年度人均增收5500元。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6" w:hRule="exact"/>
        </w:trPr>
        <w:tc>
          <w:tcPr>
            <w:tcW w:w="0" w:type="auto"/>
            <w:vMerge w:val="restart"/>
            <w:tcBorders>
              <w:top w:val="single" w:color="000000" w:sz="4" w:space="0"/>
              <w:left w:val="single" w:color="auto"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绩效指标</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一级指标</w:t>
            </w:r>
          </w:p>
        </w:tc>
        <w:tc>
          <w:tcPr>
            <w:tcW w:w="9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二级指标</w:t>
            </w:r>
          </w:p>
        </w:tc>
        <w:tc>
          <w:tcPr>
            <w:tcW w:w="204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三级指标</w:t>
            </w: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年度指标值</w:t>
            </w:r>
          </w:p>
        </w:tc>
        <w:tc>
          <w:tcPr>
            <w:tcW w:w="139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实际完成值</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偏差原因分析及改进措施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0" w:type="auto"/>
            <w:vMerge w:val="continue"/>
            <w:tcBorders>
              <w:top w:val="single" w:color="000000" w:sz="4" w:space="0"/>
              <w:left w:val="single" w:color="auto"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宋体" w:hAnsi="宋体" w:eastAsia="宋体" w:cs="宋体"/>
                <w:i w:val="0"/>
                <w:iCs w:val="0"/>
                <w:color w:val="000000"/>
                <w:sz w:val="18"/>
                <w:szCs w:val="18"/>
                <w:u w:val="none"/>
              </w:rPr>
            </w:pPr>
          </w:p>
        </w:tc>
        <w:tc>
          <w:tcPr>
            <w:tcW w:w="72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产出指标</w:t>
            </w:r>
          </w:p>
        </w:tc>
        <w:tc>
          <w:tcPr>
            <w:tcW w:w="971"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数量指标</w:t>
            </w:r>
          </w:p>
        </w:tc>
        <w:tc>
          <w:tcPr>
            <w:tcW w:w="204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脱贫人口转移（人）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≧40人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78人</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2" w:hRule="atLeast"/>
        </w:trPr>
        <w:tc>
          <w:tcPr>
            <w:tcW w:w="0" w:type="auto"/>
            <w:vMerge w:val="continue"/>
            <w:tcBorders>
              <w:top w:val="single" w:color="000000" w:sz="4" w:space="0"/>
              <w:left w:val="single" w:color="auto"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宋体" w:hAnsi="宋体" w:eastAsia="宋体" w:cs="宋体"/>
                <w:i w:val="0"/>
                <w:iCs w:val="0"/>
                <w:color w:val="000000"/>
                <w:sz w:val="18"/>
                <w:szCs w:val="18"/>
                <w:u w:val="none"/>
              </w:rPr>
            </w:pPr>
          </w:p>
        </w:tc>
        <w:tc>
          <w:tcPr>
            <w:tcW w:w="7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宋体" w:hAnsi="宋体" w:eastAsia="宋体" w:cs="宋体"/>
                <w:i w:val="0"/>
                <w:iCs w:val="0"/>
                <w:color w:val="000000"/>
                <w:sz w:val="18"/>
                <w:szCs w:val="18"/>
                <w:u w:val="none"/>
              </w:rPr>
            </w:pPr>
          </w:p>
        </w:tc>
        <w:tc>
          <w:tcPr>
            <w:tcW w:w="971"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质量指标</w:t>
            </w:r>
          </w:p>
        </w:tc>
        <w:tc>
          <w:tcPr>
            <w:tcW w:w="204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脱贫人口通过技能培训实现就业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≧50人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285人</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2" w:hRule="atLeast"/>
        </w:trPr>
        <w:tc>
          <w:tcPr>
            <w:tcW w:w="0" w:type="auto"/>
            <w:vMerge w:val="continue"/>
            <w:tcBorders>
              <w:top w:val="single" w:color="000000" w:sz="4" w:space="0"/>
              <w:left w:val="single" w:color="auto"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宋体" w:hAnsi="宋体" w:eastAsia="宋体" w:cs="宋体"/>
                <w:i w:val="0"/>
                <w:iCs w:val="0"/>
                <w:color w:val="000000"/>
                <w:sz w:val="18"/>
                <w:szCs w:val="18"/>
                <w:u w:val="none"/>
              </w:rPr>
            </w:pPr>
          </w:p>
        </w:tc>
        <w:tc>
          <w:tcPr>
            <w:tcW w:w="7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宋体" w:hAnsi="宋体" w:eastAsia="宋体" w:cs="宋体"/>
                <w:i w:val="0"/>
                <w:iCs w:val="0"/>
                <w:color w:val="000000"/>
                <w:sz w:val="18"/>
                <w:szCs w:val="18"/>
                <w:u w:val="none"/>
              </w:rPr>
            </w:pPr>
          </w:p>
        </w:tc>
        <w:tc>
          <w:tcPr>
            <w:tcW w:w="9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时效指标</w:t>
            </w:r>
          </w:p>
        </w:tc>
        <w:tc>
          <w:tcPr>
            <w:tcW w:w="204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昭化区劳动力通过招聘会实现就业（人）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188人</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2" w:hRule="atLeast"/>
        </w:trPr>
        <w:tc>
          <w:tcPr>
            <w:tcW w:w="0" w:type="auto"/>
            <w:vMerge w:val="continue"/>
            <w:tcBorders>
              <w:top w:val="single" w:color="000000" w:sz="4" w:space="0"/>
              <w:left w:val="single" w:color="auto"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宋体" w:hAnsi="宋体" w:eastAsia="宋体" w:cs="宋体"/>
                <w:i w:val="0"/>
                <w:iCs w:val="0"/>
                <w:color w:val="000000"/>
                <w:sz w:val="18"/>
                <w:szCs w:val="18"/>
                <w:u w:val="none"/>
              </w:rPr>
            </w:pPr>
          </w:p>
        </w:tc>
        <w:tc>
          <w:tcPr>
            <w:tcW w:w="7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宋体" w:hAnsi="宋体" w:eastAsia="宋体" w:cs="宋体"/>
                <w:i w:val="0"/>
                <w:iCs w:val="0"/>
                <w:color w:val="000000"/>
                <w:sz w:val="18"/>
                <w:szCs w:val="18"/>
                <w:u w:val="none"/>
              </w:rPr>
            </w:pPr>
          </w:p>
        </w:tc>
        <w:tc>
          <w:tcPr>
            <w:tcW w:w="9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成本指标</w:t>
            </w:r>
          </w:p>
        </w:tc>
        <w:tc>
          <w:tcPr>
            <w:tcW w:w="204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东西部稳岗就业促进项目在预算批复之内</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≦173万元</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173万元</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2" w:hRule="atLeast"/>
        </w:trPr>
        <w:tc>
          <w:tcPr>
            <w:tcW w:w="0" w:type="auto"/>
            <w:vMerge w:val="continue"/>
            <w:tcBorders>
              <w:top w:val="single" w:color="000000" w:sz="4" w:space="0"/>
              <w:left w:val="single" w:color="auto"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宋体" w:hAnsi="宋体" w:eastAsia="宋体" w:cs="宋体"/>
                <w:i w:val="0"/>
                <w:iCs w:val="0"/>
                <w:color w:val="000000"/>
                <w:sz w:val="18"/>
                <w:szCs w:val="18"/>
                <w:u w:val="none"/>
              </w:rPr>
            </w:pPr>
          </w:p>
        </w:tc>
        <w:tc>
          <w:tcPr>
            <w:tcW w:w="721" w:type="dxa"/>
            <w:vMerge w:val="restart"/>
            <w:tcBorders>
              <w:top w:val="single" w:color="000000" w:sz="4" w:space="0"/>
              <w:left w:val="single" w:color="000000" w:sz="4" w:space="0"/>
              <w:bottom w:val="nil"/>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效益指标</w:t>
            </w:r>
          </w:p>
        </w:tc>
        <w:tc>
          <w:tcPr>
            <w:tcW w:w="971"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社会效益</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指标</w:t>
            </w:r>
          </w:p>
        </w:tc>
        <w:tc>
          <w:tcPr>
            <w:tcW w:w="204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浙江企业吸纳脱贫劳动力稳定就业（人）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≧60人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89人</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2" w:hRule="atLeast"/>
        </w:trPr>
        <w:tc>
          <w:tcPr>
            <w:tcW w:w="0" w:type="auto"/>
            <w:vMerge w:val="continue"/>
            <w:tcBorders>
              <w:top w:val="single" w:color="000000" w:sz="4" w:space="0"/>
              <w:left w:val="single" w:color="auto" w:sz="4" w:space="0"/>
              <w:bottom w:val="single" w:color="auto"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宋体" w:hAnsi="宋体" w:eastAsia="宋体" w:cs="宋体"/>
                <w:i w:val="0"/>
                <w:iCs w:val="0"/>
                <w:color w:val="000000"/>
                <w:sz w:val="18"/>
                <w:szCs w:val="18"/>
                <w:u w:val="none"/>
              </w:rPr>
            </w:pPr>
          </w:p>
        </w:tc>
        <w:tc>
          <w:tcPr>
            <w:tcW w:w="721" w:type="dxa"/>
            <w:vMerge w:val="continue"/>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宋体" w:hAnsi="宋体" w:eastAsia="宋体" w:cs="宋体"/>
                <w:i w:val="0"/>
                <w:iCs w:val="0"/>
                <w:color w:val="000000"/>
                <w:sz w:val="18"/>
                <w:szCs w:val="18"/>
                <w:u w:val="none"/>
              </w:rPr>
            </w:pPr>
          </w:p>
        </w:tc>
        <w:tc>
          <w:tcPr>
            <w:tcW w:w="971" w:type="dxa"/>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可持续影响指标</w:t>
            </w:r>
          </w:p>
        </w:tc>
        <w:tc>
          <w:tcPr>
            <w:tcW w:w="2041" w:type="dxa"/>
            <w:gridSpan w:val="2"/>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政策宣传及执行率（%）</w:t>
            </w:r>
          </w:p>
        </w:tc>
        <w:tc>
          <w:tcPr>
            <w:tcW w:w="0" w:type="auto"/>
            <w:tcBorders>
              <w:top w:val="single" w:color="000000" w:sz="4" w:space="0"/>
              <w:left w:val="single" w:color="000000" w:sz="4" w:space="0"/>
              <w:bottom w:val="single" w:color="auto"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≧95%</w:t>
            </w:r>
          </w:p>
        </w:tc>
        <w:tc>
          <w:tcPr>
            <w:tcW w:w="0" w:type="auto"/>
            <w:tcBorders>
              <w:top w:val="single" w:color="000000" w:sz="4" w:space="0"/>
              <w:left w:val="single" w:color="000000" w:sz="4" w:space="0"/>
              <w:bottom w:val="single" w:color="auto"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97%</w:t>
            </w:r>
          </w:p>
        </w:tc>
        <w:tc>
          <w:tcPr>
            <w:tcW w:w="1155" w:type="dxa"/>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02" w:hRule="atLeast"/>
        </w:trPr>
        <w:tc>
          <w:tcPr>
            <w:tcW w:w="0" w:type="auto"/>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c>
          <w:tcPr>
            <w:tcW w:w="72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满意度</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指标</w:t>
            </w:r>
          </w:p>
        </w:tc>
        <w:tc>
          <w:tcPr>
            <w:tcW w:w="97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服务对象满意度指标</w:t>
            </w:r>
          </w:p>
        </w:tc>
        <w:tc>
          <w:tcPr>
            <w:tcW w:w="2041"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享受政策劳动力满意度</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≧95%</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98%</w:t>
            </w:r>
          </w:p>
        </w:tc>
        <w:tc>
          <w:tcPr>
            <w:tcW w:w="115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bl>
    <w:p>
      <w:pPr>
        <w:pStyle w:val="2"/>
        <w:rPr>
          <w:rFonts w:hint="eastAsia"/>
        </w:rPr>
        <w:sectPr>
          <w:pgSz w:w="11906" w:h="16838"/>
          <w:pgMar w:top="1984" w:right="1474" w:bottom="1871" w:left="1587" w:header="851" w:footer="992" w:gutter="0"/>
          <w:pgNumType w:fmt="decimal"/>
          <w:cols w:space="0" w:num="1"/>
          <w:titlePg/>
          <w:rtlGutter w:val="0"/>
          <w:docGrid w:type="lines" w:linePitch="312" w:charSpace="0"/>
        </w:sectPr>
      </w:pPr>
    </w:p>
    <w:p>
      <w:pPr>
        <w:keepNext w:val="0"/>
        <w:keepLines w:val="0"/>
        <w:pageBreakBefore w:val="0"/>
        <w:widowControl/>
        <w:kinsoku/>
        <w:wordWrap/>
        <w:overflowPunct/>
        <w:topLinePunct w:val="0"/>
        <w:autoSpaceDE/>
        <w:autoSpaceDN/>
        <w:bidi w:val="0"/>
        <w:adjustRightInd w:val="0"/>
        <w:snapToGrid w:val="0"/>
        <w:spacing w:line="576" w:lineRule="exact"/>
        <w:contextualSpacing/>
        <w:jc w:val="left"/>
        <w:textAlignment w:val="auto"/>
        <w:outlineLvl w:val="1"/>
        <w:rPr>
          <w:rFonts w:hint="default" w:ascii="黑体" w:hAnsi="黑体" w:eastAsia="黑体" w:cs="黑体"/>
          <w:b w:val="0"/>
          <w:bCs/>
          <w:color w:val="auto"/>
          <w:sz w:val="32"/>
          <w:szCs w:val="32"/>
          <w:highlight w:val="none"/>
          <w:shd w:val="clear" w:color="auto" w:fill="FFFFFF"/>
          <w:lang w:val="en-US" w:eastAsia="zh-CN"/>
        </w:rPr>
      </w:pPr>
      <w:bookmarkStart w:id="99" w:name="_Toc16578"/>
      <w:r>
        <w:rPr>
          <w:rFonts w:hint="eastAsia" w:ascii="黑体" w:hAnsi="黑体" w:eastAsia="黑体" w:cs="黑体"/>
          <w:b w:val="0"/>
          <w:bCs/>
          <w:color w:val="auto"/>
          <w:sz w:val="32"/>
          <w:szCs w:val="32"/>
          <w:highlight w:val="none"/>
          <w:shd w:val="clear" w:color="auto" w:fill="FFFFFF"/>
          <w:lang w:val="en-US" w:eastAsia="zh-CN"/>
        </w:rPr>
        <w:t>附件3</w:t>
      </w:r>
      <w:bookmarkEnd w:id="99"/>
    </w:p>
    <w:p>
      <w:pPr>
        <w:tabs>
          <w:tab w:val="left" w:pos="3069"/>
        </w:tabs>
        <w:bidi w:val="0"/>
        <w:jc w:val="center"/>
        <w:rPr>
          <w:rFonts w:hint="eastAsia" w:ascii="微软雅黑" w:hAnsi="微软雅黑" w:eastAsia="微软雅黑" w:cs="微软雅黑"/>
          <w:sz w:val="44"/>
          <w:szCs w:val="44"/>
          <w:highlight w:val="none"/>
          <w:lang w:val="en-US" w:eastAsia="zh-CN"/>
        </w:rPr>
      </w:pPr>
    </w:p>
    <w:p>
      <w:pPr>
        <w:tabs>
          <w:tab w:val="left" w:pos="3069"/>
        </w:tabs>
        <w:bidi w:val="0"/>
        <w:jc w:val="center"/>
        <w:rPr>
          <w:rFonts w:hint="eastAsia" w:ascii="方正小标宋简体" w:hAnsi="方正小标宋简体" w:eastAsia="方正小标宋简体" w:cs="方正小标宋简体"/>
          <w:sz w:val="44"/>
          <w:szCs w:val="44"/>
          <w:highlight w:val="none"/>
          <w:lang w:val="en-US" w:eastAsia="zh-CN"/>
        </w:rPr>
      </w:pPr>
      <w:r>
        <w:rPr>
          <w:rFonts w:hint="eastAsia" w:ascii="方正小标宋简体" w:hAnsi="方正小标宋简体" w:eastAsia="方正小标宋简体" w:cs="方正小标宋简体"/>
          <w:sz w:val="44"/>
          <w:szCs w:val="44"/>
          <w:highlight w:val="none"/>
          <w:lang w:val="en-US" w:eastAsia="zh-CN"/>
        </w:rPr>
        <w:t>广元市昭化区人力资源和社会保障局就业创业资金项目支出自评报告（自评表）</w:t>
      </w:r>
    </w:p>
    <w:p>
      <w:pPr>
        <w:keepNext w:val="0"/>
        <w:keepLines w:val="0"/>
        <w:pageBreakBefore w:val="0"/>
        <w:widowControl w:val="0"/>
        <w:numPr>
          <w:ilvl w:val="0"/>
          <w:numId w:val="0"/>
        </w:numPr>
        <w:kinsoku/>
        <w:wordWrap/>
        <w:overflowPunct/>
        <w:topLinePunct w:val="0"/>
        <w:autoSpaceDE/>
        <w:autoSpaceDN/>
        <w:bidi w:val="0"/>
        <w:adjustRightInd/>
        <w:snapToGrid/>
        <w:spacing w:after="240" w:afterAutospacing="0" w:line="440" w:lineRule="exact"/>
        <w:ind w:left="0" w:leftChars="0" w:right="0" w:rightChars="0" w:firstLine="0" w:firstLineChars="0"/>
        <w:jc w:val="center"/>
        <w:textAlignment w:val="auto"/>
        <w:outlineLvl w:val="9"/>
        <w:rPr>
          <w:rFonts w:hint="default" w:ascii="Times New Roman" w:hAnsi="Times New Roman" w:eastAsia="宋体" w:cs="Times New Roman"/>
          <w:sz w:val="30"/>
          <w:szCs w:val="30"/>
          <w:highlight w:val="none"/>
          <w:lang w:val="en-US" w:eastAsia="zh-CN"/>
        </w:rPr>
      </w:pPr>
      <w:r>
        <w:rPr>
          <w:rFonts w:hint="default" w:ascii="Times New Roman" w:hAnsi="Times New Roman" w:eastAsia="宋体" w:cs="Times New Roman"/>
          <w:sz w:val="30"/>
          <w:szCs w:val="30"/>
          <w:highlight w:val="none"/>
          <w:lang w:val="en-US" w:eastAsia="zh-CN"/>
        </w:rPr>
        <w:t xml:space="preserve">    </w:t>
      </w:r>
    </w:p>
    <w:p>
      <w:pPr>
        <w:keepNext w:val="0"/>
        <w:keepLines w:val="0"/>
        <w:pageBreakBefore w:val="0"/>
        <w:widowControl w:val="0"/>
        <w:numPr>
          <w:ilvl w:val="0"/>
          <w:numId w:val="0"/>
        </w:numPr>
        <w:kinsoku/>
        <w:wordWrap/>
        <w:overflowPunct/>
        <w:topLinePunct w:val="0"/>
        <w:autoSpaceDE/>
        <w:autoSpaceDN/>
        <w:bidi w:val="0"/>
        <w:adjustRightInd w:val="0"/>
        <w:snapToGrid w:val="0"/>
        <w:spacing w:line="576" w:lineRule="exact"/>
        <w:ind w:firstLine="640" w:firstLineChars="200"/>
        <w:textAlignment w:val="auto"/>
        <w:rPr>
          <w:rFonts w:hint="default" w:ascii="Times New Roman" w:hAnsi="Times New Roman" w:eastAsia="仿宋_GB2312" w:cs="Times New Roman"/>
          <w:sz w:val="32"/>
          <w:szCs w:val="32"/>
          <w:highlight w:val="none"/>
          <w:lang w:val="en-US" w:eastAsia="zh-CN"/>
        </w:rPr>
      </w:pPr>
      <w:r>
        <w:rPr>
          <w:rFonts w:hint="default" w:ascii="Times New Roman" w:hAnsi="Times New Roman" w:eastAsia="仿宋_GB2312" w:cs="Times New Roman"/>
          <w:kern w:val="2"/>
          <w:sz w:val="32"/>
          <w:szCs w:val="32"/>
          <w:highlight w:val="none"/>
          <w:lang w:val="en-US" w:eastAsia="zh-CN" w:bidi="ar-SA"/>
        </w:rPr>
        <w:t>一、</w:t>
      </w:r>
      <w:r>
        <w:rPr>
          <w:rFonts w:hint="default" w:ascii="Times New Roman" w:hAnsi="Times New Roman" w:eastAsia="黑体" w:cs="Times New Roman"/>
          <w:sz w:val="32"/>
          <w:szCs w:val="32"/>
          <w:highlight w:val="none"/>
          <w:lang w:val="zh-CN"/>
        </w:rPr>
        <w:t>项目概况</w:t>
      </w:r>
    </w:p>
    <w:p>
      <w:pPr>
        <w:keepNext w:val="0"/>
        <w:keepLines w:val="0"/>
        <w:pageBreakBefore w:val="0"/>
        <w:widowControl w:val="0"/>
        <w:numPr>
          <w:ilvl w:val="0"/>
          <w:numId w:val="9"/>
        </w:numPr>
        <w:kinsoku/>
        <w:wordWrap/>
        <w:overflowPunct/>
        <w:topLinePunct w:val="0"/>
        <w:autoSpaceDE/>
        <w:autoSpaceDN/>
        <w:bidi w:val="0"/>
        <w:adjustRightInd w:val="0"/>
        <w:snapToGrid w:val="0"/>
        <w:spacing w:line="576" w:lineRule="exact"/>
        <w:ind w:firstLine="643" w:firstLineChars="200"/>
        <w:textAlignment w:val="auto"/>
        <w:rPr>
          <w:rFonts w:hint="default" w:ascii="Times New Roman" w:hAnsi="Times New Roman" w:eastAsia="仿宋_GB2312" w:cs="仿宋_GB2312"/>
          <w:sz w:val="32"/>
          <w:szCs w:val="32"/>
          <w:highlight w:val="none"/>
          <w:lang w:val="en-US" w:eastAsia="zh-CN"/>
        </w:rPr>
      </w:pPr>
      <w:r>
        <w:rPr>
          <w:rFonts w:hint="default" w:ascii="Times New Roman" w:hAnsi="Times New Roman" w:eastAsia="楷体_GB2312" w:cs="Times New Roman"/>
          <w:b/>
          <w:sz w:val="32"/>
          <w:szCs w:val="32"/>
          <w:highlight w:val="none"/>
          <w:lang w:val="zh-CN"/>
        </w:rPr>
        <w:t>项目</w:t>
      </w:r>
      <w:r>
        <w:rPr>
          <w:rFonts w:hint="eastAsia" w:eastAsia="楷体_GB2312" w:cs="Times New Roman"/>
          <w:b/>
          <w:sz w:val="32"/>
          <w:szCs w:val="32"/>
          <w:highlight w:val="none"/>
          <w:lang w:val="zh-CN"/>
        </w:rPr>
        <w:t>资金申报及批复情况。</w:t>
      </w:r>
      <w:r>
        <w:rPr>
          <w:rFonts w:hint="eastAsia" w:ascii="Times New Roman" w:hAnsi="Times New Roman" w:eastAsia="仿宋_GB2312" w:cs="仿宋_GB2312"/>
          <w:sz w:val="32"/>
          <w:szCs w:val="32"/>
          <w:highlight w:val="none"/>
          <w:lang w:val="zh-CN" w:eastAsia="zh-CN"/>
        </w:rPr>
        <w:t>就业创业资金是为保障就业服务中心在组织、实施各项就业、创业、培训业务中的日常运转。</w:t>
      </w:r>
      <w:r>
        <w:rPr>
          <w:rFonts w:hint="eastAsia" w:ascii="Times New Roman" w:hAnsi="Times New Roman" w:eastAsia="仿宋_GB2312" w:cs="仿宋_GB2312"/>
          <w:sz w:val="32"/>
          <w:szCs w:val="32"/>
          <w:highlight w:val="none"/>
          <w:lang w:val="en-US" w:eastAsia="zh-CN"/>
        </w:rPr>
        <w:t>2022年年初预算</w:t>
      </w:r>
      <w:r>
        <w:rPr>
          <w:rFonts w:hint="eastAsia" w:ascii="Times New Roman" w:hAnsi="Times New Roman" w:eastAsia="仿宋_GB2312" w:cs="仿宋_GB2312"/>
          <w:sz w:val="32"/>
          <w:szCs w:val="32"/>
          <w:highlight w:val="none"/>
          <w:lang w:val="zh-CN" w:eastAsia="zh-CN"/>
        </w:rPr>
        <w:t>项目资金申报</w:t>
      </w:r>
      <w:r>
        <w:rPr>
          <w:rFonts w:hint="eastAsia" w:ascii="Times New Roman" w:hAnsi="Times New Roman" w:eastAsia="仿宋_GB2312" w:cs="仿宋_GB2312"/>
          <w:sz w:val="32"/>
          <w:szCs w:val="32"/>
          <w:highlight w:val="none"/>
          <w:lang w:val="en-US" w:eastAsia="zh-CN"/>
        </w:rPr>
        <w:t>50万元，预算批复50万元。</w:t>
      </w:r>
    </w:p>
    <w:p>
      <w:pPr>
        <w:keepNext w:val="0"/>
        <w:keepLines w:val="0"/>
        <w:pageBreakBefore w:val="0"/>
        <w:widowControl w:val="0"/>
        <w:kinsoku/>
        <w:wordWrap/>
        <w:overflowPunct/>
        <w:topLinePunct w:val="0"/>
        <w:autoSpaceDE/>
        <w:autoSpaceDN/>
        <w:bidi w:val="0"/>
        <w:adjustRightInd w:val="0"/>
        <w:snapToGrid w:val="0"/>
        <w:spacing w:line="576" w:lineRule="exact"/>
        <w:ind w:firstLine="643" w:firstLineChars="200"/>
        <w:textAlignment w:val="auto"/>
        <w:rPr>
          <w:rFonts w:hint="default" w:ascii="Times New Roman" w:hAnsi="Times New Roman" w:eastAsia="仿宋_GB2312" w:cs="仿宋_GB2312"/>
          <w:sz w:val="32"/>
          <w:szCs w:val="32"/>
          <w:highlight w:val="none"/>
          <w:lang w:val="zh-CN" w:eastAsia="zh-CN"/>
        </w:rPr>
      </w:pPr>
      <w:r>
        <w:rPr>
          <w:rFonts w:hint="default" w:ascii="Times New Roman" w:hAnsi="Times New Roman" w:eastAsia="楷体_GB2312" w:cs="Times New Roman"/>
          <w:b/>
          <w:sz w:val="32"/>
          <w:szCs w:val="32"/>
          <w:highlight w:val="none"/>
          <w:lang w:val="zh-CN"/>
        </w:rPr>
        <w:t>（二）项目绩效目标。</w:t>
      </w:r>
      <w:r>
        <w:rPr>
          <w:rFonts w:hint="default" w:ascii="Times New Roman" w:hAnsi="Times New Roman" w:eastAsia="仿宋_GB2312" w:cs="仿宋_GB2312"/>
          <w:sz w:val="32"/>
          <w:szCs w:val="32"/>
          <w:highlight w:val="none"/>
          <w:lang w:val="zh-CN" w:eastAsia="zh-CN"/>
        </w:rPr>
        <w:t>城镇新增就业1300人，登记实业率控制在4%以内，培育返乡农民工创业20个，脱贫人口创办领办创业实体10个，社会保险补贴、高校毕业生就业见习补贴发放率100%，公益性岗位补贴按时足额发放。</w:t>
      </w:r>
    </w:p>
    <w:p>
      <w:pPr>
        <w:keepNext w:val="0"/>
        <w:keepLines w:val="0"/>
        <w:pageBreakBefore w:val="0"/>
        <w:widowControl w:val="0"/>
        <w:kinsoku/>
        <w:wordWrap/>
        <w:overflowPunct/>
        <w:topLinePunct w:val="0"/>
        <w:autoSpaceDE/>
        <w:autoSpaceDN/>
        <w:bidi w:val="0"/>
        <w:adjustRightInd w:val="0"/>
        <w:snapToGrid w:val="0"/>
        <w:spacing w:line="576" w:lineRule="exact"/>
        <w:ind w:firstLine="643" w:firstLineChars="200"/>
        <w:textAlignment w:val="auto"/>
        <w:rPr>
          <w:rFonts w:hint="eastAsia" w:ascii="Times New Roman" w:hAnsi="Times New Roman" w:eastAsia="仿宋_GB2312" w:cs="仿宋_GB2312"/>
          <w:sz w:val="32"/>
          <w:szCs w:val="32"/>
          <w:highlight w:val="none"/>
          <w:lang w:val="zh-CN" w:eastAsia="zh-CN"/>
        </w:rPr>
      </w:pPr>
      <w:r>
        <w:rPr>
          <w:rFonts w:hint="default" w:ascii="Times New Roman" w:hAnsi="Times New Roman" w:eastAsia="楷体_GB2312" w:cs="Times New Roman"/>
          <w:b/>
          <w:sz w:val="32"/>
          <w:szCs w:val="32"/>
          <w:highlight w:val="none"/>
          <w:lang w:val="zh-CN"/>
        </w:rPr>
        <w:t>（三）项目资金申报相符性。</w:t>
      </w:r>
      <w:r>
        <w:rPr>
          <w:rFonts w:hint="default" w:ascii="Times New Roman" w:hAnsi="Times New Roman" w:eastAsia="仿宋_GB2312" w:cs="仿宋_GB2312"/>
          <w:sz w:val="32"/>
          <w:szCs w:val="32"/>
          <w:highlight w:val="none"/>
          <w:lang w:val="zh-CN" w:eastAsia="zh-CN"/>
        </w:rPr>
        <w:t>就业创业资金</w:t>
      </w:r>
      <w:r>
        <w:rPr>
          <w:rFonts w:hint="eastAsia" w:ascii="Times New Roman" w:hAnsi="Times New Roman" w:eastAsia="仿宋_GB2312" w:cs="仿宋_GB2312"/>
          <w:sz w:val="32"/>
          <w:szCs w:val="32"/>
          <w:highlight w:val="none"/>
          <w:lang w:val="zh-CN" w:eastAsia="zh-CN"/>
        </w:rPr>
        <w:t>有效保障了区就业服务中心的日常运转，具体实施</w:t>
      </w:r>
      <w:r>
        <w:rPr>
          <w:rFonts w:hint="default" w:ascii="Times New Roman" w:hAnsi="Times New Roman" w:eastAsia="仿宋_GB2312" w:cs="仿宋_GB2312"/>
          <w:sz w:val="32"/>
          <w:szCs w:val="32"/>
          <w:highlight w:val="none"/>
          <w:lang w:val="zh-CN" w:eastAsia="zh-CN"/>
        </w:rPr>
        <w:t>用于促进就业创业</w:t>
      </w:r>
      <w:r>
        <w:rPr>
          <w:rFonts w:hint="eastAsia" w:ascii="Times New Roman" w:hAnsi="Times New Roman" w:eastAsia="仿宋_GB2312" w:cs="仿宋_GB2312"/>
          <w:sz w:val="32"/>
          <w:szCs w:val="32"/>
          <w:highlight w:val="none"/>
          <w:lang w:val="zh-CN" w:eastAsia="zh-CN"/>
        </w:rPr>
        <w:t>活动，资金申报与项目相符。</w:t>
      </w:r>
    </w:p>
    <w:p>
      <w:pPr>
        <w:keepNext w:val="0"/>
        <w:keepLines w:val="0"/>
        <w:pageBreakBefore w:val="0"/>
        <w:widowControl w:val="0"/>
        <w:kinsoku/>
        <w:wordWrap/>
        <w:overflowPunct/>
        <w:topLinePunct w:val="0"/>
        <w:autoSpaceDE/>
        <w:autoSpaceDN/>
        <w:bidi w:val="0"/>
        <w:adjustRightInd w:val="0"/>
        <w:snapToGrid w:val="0"/>
        <w:spacing w:line="576" w:lineRule="exact"/>
        <w:ind w:firstLine="643" w:firstLineChars="200"/>
        <w:textAlignment w:val="auto"/>
        <w:rPr>
          <w:rFonts w:hint="eastAsia" w:ascii="Times New Roman" w:hAnsi="Times New Roman" w:eastAsia="楷体_GB2312" w:cs="Times New Roman"/>
          <w:b/>
          <w:sz w:val="32"/>
          <w:szCs w:val="32"/>
          <w:highlight w:val="none"/>
          <w:lang w:val="zh-CN"/>
        </w:rPr>
      </w:pPr>
      <w:r>
        <w:rPr>
          <w:rFonts w:hint="eastAsia" w:ascii="Times New Roman" w:hAnsi="Times New Roman" w:eastAsia="楷体_GB2312" w:cs="Times New Roman"/>
          <w:b/>
          <w:sz w:val="32"/>
          <w:szCs w:val="32"/>
          <w:highlight w:val="none"/>
          <w:lang w:val="zh-CN"/>
        </w:rPr>
        <w:t>（四）自评步骤及方法</w:t>
      </w:r>
    </w:p>
    <w:p>
      <w:pPr>
        <w:keepNext w:val="0"/>
        <w:keepLines w:val="0"/>
        <w:pageBreakBefore w:val="0"/>
        <w:widowControl w:val="0"/>
        <w:numPr>
          <w:ilvl w:val="0"/>
          <w:numId w:val="0"/>
        </w:numPr>
        <w:kinsoku/>
        <w:wordWrap/>
        <w:overflowPunct/>
        <w:topLinePunct w:val="0"/>
        <w:autoSpaceDE/>
        <w:autoSpaceDN/>
        <w:bidi w:val="0"/>
        <w:adjustRightInd w:val="0"/>
        <w:snapToGrid w:val="0"/>
        <w:spacing w:line="576" w:lineRule="exact"/>
        <w:ind w:firstLine="640" w:firstLineChars="200"/>
        <w:textAlignment w:val="auto"/>
        <w:rPr>
          <w:rFonts w:hint="default" w:ascii="Times New Roman" w:hAnsi="Times New Roman" w:eastAsia="宋体" w:cs="Times New Roman"/>
          <w:sz w:val="32"/>
          <w:szCs w:val="32"/>
          <w:highlight w:val="none"/>
          <w:lang w:val="en-US" w:eastAsia="zh-CN"/>
        </w:rPr>
      </w:pPr>
      <w:r>
        <w:rPr>
          <w:rFonts w:hint="eastAsia" w:ascii="Times New Roman" w:hAnsi="Times New Roman" w:eastAsia="仿宋_GB2312" w:cs="仿宋_GB2312"/>
          <w:sz w:val="32"/>
          <w:szCs w:val="32"/>
          <w:highlight w:val="none"/>
          <w:lang w:val="en-US" w:eastAsia="zh-CN"/>
        </w:rPr>
        <w:t>采用了因素分析法综合自评，通过收集资料、会议讨论、考评打分进行 自评。</w:t>
      </w:r>
    </w:p>
    <w:p>
      <w:pPr>
        <w:keepNext w:val="0"/>
        <w:keepLines w:val="0"/>
        <w:pageBreakBefore w:val="0"/>
        <w:widowControl w:val="0"/>
        <w:kinsoku/>
        <w:wordWrap/>
        <w:overflowPunct/>
        <w:topLinePunct w:val="0"/>
        <w:autoSpaceDE/>
        <w:autoSpaceDN/>
        <w:bidi w:val="0"/>
        <w:adjustRightInd w:val="0"/>
        <w:snapToGrid w:val="0"/>
        <w:spacing w:line="576" w:lineRule="exact"/>
        <w:ind w:firstLine="640" w:firstLineChars="200"/>
        <w:textAlignment w:val="auto"/>
        <w:rPr>
          <w:rFonts w:hint="default" w:ascii="Times New Roman" w:hAnsi="Times New Roman" w:eastAsia="黑体" w:cs="Times New Roman"/>
          <w:sz w:val="32"/>
          <w:szCs w:val="32"/>
          <w:highlight w:val="none"/>
        </w:rPr>
      </w:pPr>
      <w:r>
        <w:rPr>
          <w:rFonts w:hint="default" w:ascii="Times New Roman" w:hAnsi="Times New Roman" w:eastAsia="黑体" w:cs="Times New Roman"/>
          <w:sz w:val="32"/>
          <w:szCs w:val="32"/>
          <w:highlight w:val="none"/>
        </w:rPr>
        <w:t>二、项目实施及管理情况</w:t>
      </w:r>
    </w:p>
    <w:p>
      <w:pPr>
        <w:keepNext w:val="0"/>
        <w:keepLines w:val="0"/>
        <w:pageBreakBefore w:val="0"/>
        <w:widowControl w:val="0"/>
        <w:kinsoku/>
        <w:wordWrap/>
        <w:overflowPunct/>
        <w:topLinePunct w:val="0"/>
        <w:autoSpaceDE/>
        <w:autoSpaceDN/>
        <w:bidi w:val="0"/>
        <w:adjustRightInd w:val="0"/>
        <w:snapToGrid w:val="0"/>
        <w:spacing w:line="576" w:lineRule="exact"/>
        <w:ind w:firstLine="643" w:firstLineChars="200"/>
        <w:textAlignment w:val="auto"/>
        <w:rPr>
          <w:rFonts w:hint="default" w:ascii="Times New Roman" w:hAnsi="Times New Roman" w:eastAsia="楷体_GB2312" w:cs="Times New Roman"/>
          <w:b/>
          <w:sz w:val="32"/>
          <w:szCs w:val="32"/>
          <w:highlight w:val="none"/>
          <w:lang w:val="zh-CN"/>
        </w:rPr>
      </w:pPr>
      <w:r>
        <w:rPr>
          <w:rFonts w:hint="default" w:ascii="Times New Roman" w:hAnsi="Times New Roman" w:eastAsia="楷体_GB2312" w:cs="Times New Roman"/>
          <w:b/>
          <w:sz w:val="32"/>
          <w:szCs w:val="32"/>
          <w:highlight w:val="none"/>
          <w:lang w:val="zh-CN"/>
        </w:rPr>
        <w:t>（一）资金计划、到位及使用情况</w:t>
      </w:r>
      <w:r>
        <w:rPr>
          <w:rFonts w:hint="eastAsia" w:eastAsia="楷体_GB2312" w:cs="Times New Roman"/>
          <w:b/>
          <w:sz w:val="32"/>
          <w:szCs w:val="32"/>
          <w:highlight w:val="none"/>
          <w:lang w:val="zh-CN"/>
        </w:rPr>
        <w:t>（可用表格形式反映）</w:t>
      </w:r>
    </w:p>
    <w:p>
      <w:pPr>
        <w:keepNext w:val="0"/>
        <w:keepLines w:val="0"/>
        <w:pageBreakBefore w:val="0"/>
        <w:widowControl w:val="0"/>
        <w:numPr>
          <w:ilvl w:val="0"/>
          <w:numId w:val="0"/>
        </w:numPr>
        <w:kinsoku/>
        <w:wordWrap/>
        <w:overflowPunct/>
        <w:topLinePunct w:val="0"/>
        <w:autoSpaceDE/>
        <w:autoSpaceDN/>
        <w:bidi w:val="0"/>
        <w:adjustRightInd w:val="0"/>
        <w:snapToGrid w:val="0"/>
        <w:spacing w:line="576" w:lineRule="exact"/>
        <w:ind w:firstLine="640" w:firstLineChars="200"/>
        <w:textAlignment w:val="auto"/>
        <w:rPr>
          <w:rFonts w:hint="default" w:ascii="Times New Roman" w:hAnsi="Times New Roman" w:eastAsia="仿宋_GB2312" w:cs="仿宋_GB2312"/>
          <w:sz w:val="32"/>
          <w:szCs w:val="32"/>
          <w:highlight w:val="none"/>
          <w:lang w:val="zh-CN" w:eastAsia="zh-CN"/>
        </w:rPr>
      </w:pPr>
      <w:r>
        <w:rPr>
          <w:rFonts w:hint="default" w:ascii="Times New Roman" w:hAnsi="Times New Roman" w:eastAsia="仿宋_GB2312" w:cs="仿宋_GB2312"/>
          <w:sz w:val="32"/>
          <w:szCs w:val="32"/>
          <w:highlight w:val="none"/>
          <w:lang w:val="zh-CN" w:eastAsia="zh-CN"/>
        </w:rPr>
        <w:t>1</w:t>
      </w:r>
      <w:r>
        <w:rPr>
          <w:rFonts w:hint="default" w:ascii="Times New Roman" w:hAnsi="Times New Roman" w:eastAsia="仿宋_GB2312" w:cs="仿宋_GB2312"/>
          <w:sz w:val="32"/>
          <w:szCs w:val="32"/>
          <w:highlight w:val="none"/>
          <w:lang w:val="en-US" w:eastAsia="zh-CN"/>
        </w:rPr>
        <w:t>.</w:t>
      </w:r>
      <w:r>
        <w:rPr>
          <w:rFonts w:hint="default" w:ascii="Times New Roman" w:hAnsi="Times New Roman" w:eastAsia="仿宋_GB2312" w:cs="仿宋_GB2312"/>
          <w:sz w:val="32"/>
          <w:szCs w:val="32"/>
          <w:highlight w:val="none"/>
          <w:lang w:val="zh-CN" w:eastAsia="zh-CN"/>
        </w:rPr>
        <w:t>资金计划及到位。</w:t>
      </w:r>
      <w:r>
        <w:rPr>
          <w:rFonts w:hint="eastAsia" w:ascii="Times New Roman" w:hAnsi="Times New Roman" w:eastAsia="仿宋_GB2312" w:cs="仿宋_GB2312"/>
          <w:sz w:val="32"/>
          <w:szCs w:val="32"/>
          <w:highlight w:val="none"/>
          <w:lang w:val="zh-CN" w:eastAsia="zh-CN"/>
        </w:rPr>
        <w:t>就业创业资金属于年初预算项目，随年初预算下达计划，资金到位及时。</w:t>
      </w:r>
    </w:p>
    <w:p>
      <w:pPr>
        <w:keepNext w:val="0"/>
        <w:keepLines w:val="0"/>
        <w:pageBreakBefore w:val="0"/>
        <w:widowControl w:val="0"/>
        <w:numPr>
          <w:ilvl w:val="0"/>
          <w:numId w:val="0"/>
        </w:numPr>
        <w:kinsoku/>
        <w:wordWrap/>
        <w:overflowPunct/>
        <w:topLinePunct w:val="0"/>
        <w:autoSpaceDE/>
        <w:autoSpaceDN/>
        <w:bidi w:val="0"/>
        <w:adjustRightInd w:val="0"/>
        <w:snapToGrid w:val="0"/>
        <w:spacing w:line="576" w:lineRule="exact"/>
        <w:ind w:firstLine="640" w:firstLineChars="200"/>
        <w:textAlignment w:val="auto"/>
        <w:rPr>
          <w:rFonts w:hint="default" w:ascii="Times New Roman" w:hAnsi="Times New Roman" w:eastAsia="仿宋_GB2312" w:cs="仿宋_GB2312"/>
          <w:sz w:val="32"/>
          <w:szCs w:val="32"/>
          <w:highlight w:val="none"/>
          <w:lang w:val="en-US" w:eastAsia="zh-CN"/>
        </w:rPr>
      </w:pPr>
      <w:r>
        <w:rPr>
          <w:rFonts w:hint="default" w:ascii="Times New Roman" w:hAnsi="Times New Roman" w:eastAsia="仿宋_GB2312" w:cs="仿宋_GB2312"/>
          <w:sz w:val="32"/>
          <w:szCs w:val="32"/>
          <w:highlight w:val="none"/>
          <w:lang w:val="zh-CN" w:eastAsia="zh-CN"/>
        </w:rPr>
        <w:t>2.资金使用。</w:t>
      </w:r>
      <w:r>
        <w:rPr>
          <w:rFonts w:hint="eastAsia" w:ascii="Times New Roman" w:hAnsi="Times New Roman" w:eastAsia="仿宋_GB2312" w:cs="仿宋_GB2312"/>
          <w:sz w:val="32"/>
          <w:szCs w:val="32"/>
          <w:highlight w:val="none"/>
          <w:lang w:val="zh-CN" w:eastAsia="zh-CN"/>
        </w:rPr>
        <w:t>就业创业资金主要用于就业服务中心日常运转，具体资金使用包括办公费</w:t>
      </w:r>
      <w:r>
        <w:rPr>
          <w:rFonts w:hint="eastAsia" w:ascii="Times New Roman" w:hAnsi="Times New Roman" w:eastAsia="仿宋_GB2312" w:cs="仿宋_GB2312"/>
          <w:sz w:val="32"/>
          <w:szCs w:val="32"/>
          <w:highlight w:val="none"/>
          <w:lang w:val="en-US" w:eastAsia="zh-CN"/>
        </w:rPr>
        <w:t>4万元、邮电费1万元、其他交通费用10万元、租赁费0.4万、培训费1万元、公务接待费1万元（年内压减0.5万元）、印刷费4万元、差旅费20万元、会议费2万元、其他商品和服务支出6.6万元。均已完成支付，支付率100%。</w:t>
      </w:r>
    </w:p>
    <w:p>
      <w:pPr>
        <w:pStyle w:val="6"/>
        <w:keepNext w:val="0"/>
        <w:keepLines w:val="0"/>
        <w:pageBreakBefore w:val="0"/>
        <w:widowControl w:val="0"/>
        <w:kinsoku/>
        <w:wordWrap/>
        <w:overflowPunct/>
        <w:topLinePunct w:val="0"/>
        <w:autoSpaceDE/>
        <w:autoSpaceDN/>
        <w:bidi w:val="0"/>
        <w:adjustRightInd/>
        <w:snapToGrid/>
        <w:spacing w:line="570" w:lineRule="exact"/>
        <w:jc w:val="center"/>
        <w:textAlignment w:val="auto"/>
        <w:rPr>
          <w:rFonts w:hint="default"/>
          <w:b/>
          <w:bCs/>
          <w:sz w:val="40"/>
          <w:szCs w:val="22"/>
          <w:highlight w:val="none"/>
          <w:lang w:val="zh-CN"/>
        </w:rPr>
      </w:pPr>
      <w:r>
        <w:rPr>
          <w:rFonts w:hint="default"/>
          <w:b/>
          <w:bCs/>
          <w:sz w:val="40"/>
          <w:szCs w:val="22"/>
          <w:highlight w:val="none"/>
          <w:lang w:val="zh-CN"/>
        </w:rPr>
        <w:t>可执行指标执行情况表</w:t>
      </w:r>
    </w:p>
    <w:tbl>
      <w:tblPr>
        <w:tblStyle w:val="16"/>
        <w:tblW w:w="9776"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646"/>
        <w:gridCol w:w="2833"/>
        <w:gridCol w:w="992"/>
        <w:gridCol w:w="682"/>
        <w:gridCol w:w="915"/>
        <w:gridCol w:w="808"/>
        <w:gridCol w:w="759"/>
        <w:gridCol w:w="114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3" w:hRule="atLeast"/>
          <w:jc w:val="center"/>
        </w:trPr>
        <w:tc>
          <w:tcPr>
            <w:tcW w:w="1646" w:type="dxa"/>
            <w:vMerge w:val="restart"/>
            <w:tcBorders>
              <w:top w:val="single" w:color="000000" w:sz="4" w:space="0"/>
              <w:left w:val="single" w:color="000000" w:sz="4" w:space="0"/>
              <w:bottom w:val="single" w:color="000000" w:sz="4" w:space="0"/>
              <w:right w:val="single" w:color="000000" w:sz="4" w:space="0"/>
            </w:tcBorders>
            <w:shd w:val="clear" w:color="EFF2F7"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highlight w:val="none"/>
                <w:u w:val="none"/>
              </w:rPr>
            </w:pPr>
            <w:r>
              <w:rPr>
                <w:rFonts w:hint="eastAsia" w:ascii="宋体" w:hAnsi="宋体" w:eastAsia="宋体" w:cs="宋体"/>
                <w:b/>
                <w:bCs/>
                <w:i w:val="0"/>
                <w:iCs w:val="0"/>
                <w:color w:val="000000"/>
                <w:kern w:val="0"/>
                <w:sz w:val="22"/>
                <w:szCs w:val="22"/>
                <w:highlight w:val="none"/>
                <w:u w:val="none"/>
                <w:lang w:val="en-US" w:eastAsia="zh-CN" w:bidi="ar"/>
              </w:rPr>
              <w:t>预算项目</w:t>
            </w:r>
          </w:p>
        </w:tc>
        <w:tc>
          <w:tcPr>
            <w:tcW w:w="2833" w:type="dxa"/>
            <w:vMerge w:val="restart"/>
            <w:tcBorders>
              <w:top w:val="single" w:color="000000" w:sz="4" w:space="0"/>
              <w:left w:val="single" w:color="000000" w:sz="4" w:space="0"/>
              <w:bottom w:val="single" w:color="000000" w:sz="4" w:space="0"/>
              <w:right w:val="single" w:color="000000" w:sz="4" w:space="0"/>
            </w:tcBorders>
            <w:shd w:val="clear" w:color="EFF2F7"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highlight w:val="none"/>
                <w:u w:val="none"/>
              </w:rPr>
            </w:pPr>
            <w:r>
              <w:rPr>
                <w:rFonts w:hint="eastAsia" w:ascii="宋体" w:hAnsi="宋体" w:eastAsia="宋体" w:cs="宋体"/>
                <w:b/>
                <w:bCs/>
                <w:i w:val="0"/>
                <w:iCs w:val="0"/>
                <w:color w:val="000000"/>
                <w:kern w:val="0"/>
                <w:sz w:val="22"/>
                <w:szCs w:val="22"/>
                <w:highlight w:val="none"/>
                <w:u w:val="none"/>
                <w:lang w:val="en-US" w:eastAsia="zh-CN" w:bidi="ar"/>
              </w:rPr>
              <w:t>部门预算支出经济分类</w:t>
            </w:r>
          </w:p>
        </w:tc>
        <w:tc>
          <w:tcPr>
            <w:tcW w:w="992" w:type="dxa"/>
            <w:vMerge w:val="restart"/>
            <w:tcBorders>
              <w:top w:val="single" w:color="000000" w:sz="4" w:space="0"/>
              <w:left w:val="single" w:color="000000" w:sz="4" w:space="0"/>
              <w:bottom w:val="single" w:color="000000" w:sz="4" w:space="0"/>
              <w:right w:val="single" w:color="000000" w:sz="4" w:space="0"/>
            </w:tcBorders>
            <w:shd w:val="clear" w:color="EFF2F7"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highlight w:val="none"/>
                <w:u w:val="none"/>
              </w:rPr>
            </w:pPr>
            <w:r>
              <w:rPr>
                <w:rFonts w:hint="eastAsia" w:ascii="宋体" w:hAnsi="宋体" w:eastAsia="宋体" w:cs="宋体"/>
                <w:b/>
                <w:bCs/>
                <w:i w:val="0"/>
                <w:iCs w:val="0"/>
                <w:color w:val="000000"/>
                <w:kern w:val="0"/>
                <w:sz w:val="22"/>
                <w:szCs w:val="22"/>
                <w:highlight w:val="none"/>
                <w:u w:val="none"/>
                <w:lang w:val="en-US" w:eastAsia="zh-CN" w:bidi="ar"/>
              </w:rPr>
              <w:t>批复数</w:t>
            </w:r>
          </w:p>
        </w:tc>
        <w:tc>
          <w:tcPr>
            <w:tcW w:w="682" w:type="dxa"/>
            <w:vMerge w:val="restart"/>
            <w:tcBorders>
              <w:top w:val="single" w:color="000000" w:sz="4" w:space="0"/>
              <w:left w:val="single" w:color="000000" w:sz="4" w:space="0"/>
              <w:bottom w:val="single" w:color="000000" w:sz="4" w:space="0"/>
              <w:right w:val="single" w:color="000000" w:sz="4" w:space="0"/>
            </w:tcBorders>
            <w:shd w:val="clear" w:color="EFF2F7"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highlight w:val="none"/>
                <w:u w:val="none"/>
              </w:rPr>
            </w:pPr>
            <w:r>
              <w:rPr>
                <w:rFonts w:hint="eastAsia" w:ascii="宋体" w:hAnsi="宋体" w:eastAsia="宋体" w:cs="宋体"/>
                <w:b/>
                <w:bCs/>
                <w:i w:val="0"/>
                <w:iCs w:val="0"/>
                <w:color w:val="000000"/>
                <w:kern w:val="0"/>
                <w:sz w:val="22"/>
                <w:szCs w:val="22"/>
                <w:highlight w:val="none"/>
                <w:u w:val="none"/>
                <w:lang w:val="en-US" w:eastAsia="zh-CN" w:bidi="ar"/>
              </w:rPr>
              <w:t>调整数</w:t>
            </w:r>
          </w:p>
        </w:tc>
        <w:tc>
          <w:tcPr>
            <w:tcW w:w="915" w:type="dxa"/>
            <w:tcBorders>
              <w:top w:val="single" w:color="000000" w:sz="4" w:space="0"/>
              <w:left w:val="single" w:color="000000" w:sz="4" w:space="0"/>
              <w:bottom w:val="single" w:color="000000" w:sz="4" w:space="0"/>
              <w:right w:val="single" w:color="000000" w:sz="4" w:space="0"/>
            </w:tcBorders>
            <w:shd w:val="clear" w:color="EFF2F7" w:fill="auto"/>
            <w:noWrap/>
            <w:vAlign w:val="center"/>
          </w:tcPr>
          <w:p>
            <w:pPr>
              <w:keepNext w:val="0"/>
              <w:keepLines w:val="0"/>
              <w:widowControl/>
              <w:suppressLineNumbers w:val="0"/>
              <w:jc w:val="left"/>
              <w:textAlignment w:val="center"/>
              <w:rPr>
                <w:rFonts w:hint="eastAsia" w:ascii="宋体" w:hAnsi="宋体" w:eastAsia="宋体" w:cs="宋体"/>
                <w:b/>
                <w:bCs/>
                <w:i w:val="0"/>
                <w:iCs w:val="0"/>
                <w:color w:val="000000"/>
                <w:sz w:val="22"/>
                <w:szCs w:val="22"/>
                <w:highlight w:val="none"/>
                <w:u w:val="none"/>
              </w:rPr>
            </w:pPr>
            <w:r>
              <w:rPr>
                <w:rFonts w:hint="eastAsia" w:ascii="宋体" w:hAnsi="宋体" w:eastAsia="宋体" w:cs="宋体"/>
                <w:b/>
                <w:bCs/>
                <w:i w:val="0"/>
                <w:iCs w:val="0"/>
                <w:color w:val="000000"/>
                <w:kern w:val="0"/>
                <w:sz w:val="22"/>
                <w:szCs w:val="22"/>
                <w:highlight w:val="none"/>
                <w:u w:val="none"/>
                <w:lang w:val="en-US" w:eastAsia="zh-CN" w:bidi="ar"/>
              </w:rPr>
              <w:t>调剂数</w:t>
            </w:r>
          </w:p>
        </w:tc>
        <w:tc>
          <w:tcPr>
            <w:tcW w:w="808" w:type="dxa"/>
            <w:vMerge w:val="restart"/>
            <w:tcBorders>
              <w:top w:val="single" w:color="000000" w:sz="4" w:space="0"/>
              <w:left w:val="single" w:color="000000" w:sz="4" w:space="0"/>
              <w:bottom w:val="single" w:color="000000" w:sz="4" w:space="0"/>
              <w:right w:val="single" w:color="000000" w:sz="4" w:space="0"/>
            </w:tcBorders>
            <w:shd w:val="clear" w:color="EFF2F7"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highlight w:val="none"/>
                <w:u w:val="none"/>
              </w:rPr>
            </w:pPr>
            <w:r>
              <w:rPr>
                <w:rFonts w:hint="eastAsia" w:ascii="宋体" w:hAnsi="宋体" w:eastAsia="宋体" w:cs="宋体"/>
                <w:b/>
                <w:bCs/>
                <w:i w:val="0"/>
                <w:iCs w:val="0"/>
                <w:color w:val="000000"/>
                <w:kern w:val="0"/>
                <w:sz w:val="22"/>
                <w:szCs w:val="22"/>
                <w:highlight w:val="none"/>
                <w:u w:val="none"/>
                <w:lang w:val="en-US" w:eastAsia="zh-CN" w:bidi="ar"/>
              </w:rPr>
              <w:t>预算数</w:t>
            </w:r>
          </w:p>
        </w:tc>
        <w:tc>
          <w:tcPr>
            <w:tcW w:w="1900" w:type="dxa"/>
            <w:gridSpan w:val="2"/>
            <w:tcBorders>
              <w:top w:val="single" w:color="000000" w:sz="4" w:space="0"/>
              <w:left w:val="single" w:color="000000" w:sz="4" w:space="0"/>
              <w:bottom w:val="single" w:color="000000" w:sz="4" w:space="0"/>
              <w:right w:val="single" w:color="000000" w:sz="4" w:space="0"/>
            </w:tcBorders>
            <w:shd w:val="clear" w:color="EFF2F7"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highlight w:val="none"/>
                <w:u w:val="none"/>
              </w:rPr>
            </w:pPr>
            <w:r>
              <w:rPr>
                <w:rFonts w:hint="eastAsia" w:ascii="宋体" w:hAnsi="宋体" w:eastAsia="宋体" w:cs="宋体"/>
                <w:b/>
                <w:bCs/>
                <w:i w:val="0"/>
                <w:iCs w:val="0"/>
                <w:color w:val="000000"/>
                <w:kern w:val="0"/>
                <w:sz w:val="22"/>
                <w:szCs w:val="22"/>
                <w:highlight w:val="none"/>
                <w:u w:val="none"/>
                <w:lang w:val="en-US" w:eastAsia="zh-CN" w:bidi="ar"/>
              </w:rPr>
              <w:t>完成数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jc w:val="center"/>
        </w:trPr>
        <w:tc>
          <w:tcPr>
            <w:tcW w:w="1646" w:type="dxa"/>
            <w:vMerge w:val="continue"/>
            <w:tcBorders>
              <w:top w:val="single" w:color="000000" w:sz="4" w:space="0"/>
              <w:left w:val="single" w:color="000000" w:sz="4" w:space="0"/>
              <w:bottom w:val="single" w:color="000000" w:sz="4" w:space="0"/>
              <w:right w:val="single" w:color="000000" w:sz="4" w:space="0"/>
            </w:tcBorders>
            <w:shd w:val="clear" w:color="EFF2F7" w:fill="auto"/>
            <w:noWrap/>
            <w:vAlign w:val="center"/>
          </w:tcPr>
          <w:p>
            <w:pPr>
              <w:jc w:val="center"/>
              <w:rPr>
                <w:rFonts w:hint="eastAsia" w:ascii="宋体" w:hAnsi="宋体" w:eastAsia="宋体" w:cs="宋体"/>
                <w:b/>
                <w:bCs/>
                <w:i w:val="0"/>
                <w:iCs w:val="0"/>
                <w:color w:val="000000"/>
                <w:sz w:val="22"/>
                <w:szCs w:val="22"/>
                <w:highlight w:val="none"/>
                <w:u w:val="none"/>
              </w:rPr>
            </w:pPr>
          </w:p>
        </w:tc>
        <w:tc>
          <w:tcPr>
            <w:tcW w:w="2833" w:type="dxa"/>
            <w:vMerge w:val="continue"/>
            <w:tcBorders>
              <w:top w:val="single" w:color="000000" w:sz="4" w:space="0"/>
              <w:left w:val="single" w:color="000000" w:sz="4" w:space="0"/>
              <w:bottom w:val="single" w:color="000000" w:sz="4" w:space="0"/>
              <w:right w:val="single" w:color="000000" w:sz="4" w:space="0"/>
            </w:tcBorders>
            <w:shd w:val="clear" w:color="EFF2F7" w:fill="auto"/>
            <w:noWrap/>
            <w:vAlign w:val="center"/>
          </w:tcPr>
          <w:p>
            <w:pPr>
              <w:jc w:val="center"/>
              <w:rPr>
                <w:rFonts w:hint="eastAsia" w:ascii="宋体" w:hAnsi="宋体" w:eastAsia="宋体" w:cs="宋体"/>
                <w:b/>
                <w:bCs/>
                <w:i w:val="0"/>
                <w:iCs w:val="0"/>
                <w:color w:val="000000"/>
                <w:sz w:val="22"/>
                <w:szCs w:val="22"/>
                <w:highlight w:val="none"/>
                <w:u w:val="none"/>
              </w:rPr>
            </w:pPr>
          </w:p>
        </w:tc>
        <w:tc>
          <w:tcPr>
            <w:tcW w:w="992" w:type="dxa"/>
            <w:vMerge w:val="continue"/>
            <w:tcBorders>
              <w:top w:val="single" w:color="000000" w:sz="4" w:space="0"/>
              <w:left w:val="single" w:color="000000" w:sz="4" w:space="0"/>
              <w:bottom w:val="single" w:color="000000" w:sz="4" w:space="0"/>
              <w:right w:val="single" w:color="000000" w:sz="4" w:space="0"/>
            </w:tcBorders>
            <w:shd w:val="clear" w:color="EFF2F7" w:fill="auto"/>
            <w:noWrap/>
            <w:vAlign w:val="center"/>
          </w:tcPr>
          <w:p>
            <w:pPr>
              <w:jc w:val="center"/>
              <w:rPr>
                <w:rFonts w:hint="eastAsia" w:ascii="宋体" w:hAnsi="宋体" w:eastAsia="宋体" w:cs="宋体"/>
                <w:b/>
                <w:bCs/>
                <w:i w:val="0"/>
                <w:iCs w:val="0"/>
                <w:color w:val="000000"/>
                <w:sz w:val="22"/>
                <w:szCs w:val="22"/>
                <w:highlight w:val="none"/>
                <w:u w:val="none"/>
              </w:rPr>
            </w:pPr>
          </w:p>
        </w:tc>
        <w:tc>
          <w:tcPr>
            <w:tcW w:w="682" w:type="dxa"/>
            <w:vMerge w:val="continue"/>
            <w:tcBorders>
              <w:top w:val="single" w:color="000000" w:sz="4" w:space="0"/>
              <w:left w:val="single" w:color="000000" w:sz="4" w:space="0"/>
              <w:bottom w:val="single" w:color="000000" w:sz="4" w:space="0"/>
              <w:right w:val="single" w:color="000000" w:sz="4" w:space="0"/>
            </w:tcBorders>
            <w:shd w:val="clear" w:color="EFF2F7" w:fill="auto"/>
            <w:noWrap/>
            <w:vAlign w:val="center"/>
          </w:tcPr>
          <w:p>
            <w:pPr>
              <w:jc w:val="center"/>
              <w:rPr>
                <w:rFonts w:hint="eastAsia" w:ascii="宋体" w:hAnsi="宋体" w:eastAsia="宋体" w:cs="宋体"/>
                <w:b/>
                <w:bCs/>
                <w:i w:val="0"/>
                <w:iCs w:val="0"/>
                <w:color w:val="000000"/>
                <w:sz w:val="22"/>
                <w:szCs w:val="22"/>
                <w:highlight w:val="none"/>
                <w:u w:val="none"/>
              </w:rPr>
            </w:pPr>
          </w:p>
        </w:tc>
        <w:tc>
          <w:tcPr>
            <w:tcW w:w="915" w:type="dxa"/>
            <w:tcBorders>
              <w:top w:val="single" w:color="000000" w:sz="4" w:space="0"/>
              <w:left w:val="single" w:color="000000" w:sz="4" w:space="0"/>
              <w:bottom w:val="single" w:color="000000" w:sz="4" w:space="0"/>
              <w:right w:val="single" w:color="000000" w:sz="4" w:space="0"/>
            </w:tcBorders>
            <w:shd w:val="clear" w:color="EFF2F7"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highlight w:val="none"/>
                <w:u w:val="none"/>
              </w:rPr>
            </w:pPr>
            <w:r>
              <w:rPr>
                <w:rFonts w:hint="eastAsia" w:ascii="宋体" w:hAnsi="宋体" w:eastAsia="宋体" w:cs="宋体"/>
                <w:b/>
                <w:bCs/>
                <w:i w:val="0"/>
                <w:iCs w:val="0"/>
                <w:color w:val="000000"/>
                <w:kern w:val="0"/>
                <w:sz w:val="22"/>
                <w:szCs w:val="22"/>
                <w:highlight w:val="none"/>
                <w:u w:val="none"/>
                <w:lang w:val="en-US" w:eastAsia="zh-CN" w:bidi="ar"/>
              </w:rPr>
              <w:t>其中：收回数</w:t>
            </w:r>
          </w:p>
        </w:tc>
        <w:tc>
          <w:tcPr>
            <w:tcW w:w="808" w:type="dxa"/>
            <w:vMerge w:val="continue"/>
            <w:tcBorders>
              <w:top w:val="single" w:color="000000" w:sz="4" w:space="0"/>
              <w:left w:val="single" w:color="000000" w:sz="4" w:space="0"/>
              <w:bottom w:val="single" w:color="000000" w:sz="4" w:space="0"/>
              <w:right w:val="single" w:color="000000" w:sz="4" w:space="0"/>
            </w:tcBorders>
            <w:shd w:val="clear" w:color="EFF2F7" w:fill="auto"/>
            <w:noWrap/>
            <w:vAlign w:val="center"/>
          </w:tcPr>
          <w:p>
            <w:pPr>
              <w:jc w:val="center"/>
              <w:rPr>
                <w:rFonts w:hint="eastAsia" w:ascii="宋体" w:hAnsi="宋体" w:eastAsia="宋体" w:cs="宋体"/>
                <w:b/>
                <w:bCs/>
                <w:i w:val="0"/>
                <w:iCs w:val="0"/>
                <w:color w:val="000000"/>
                <w:sz w:val="22"/>
                <w:szCs w:val="22"/>
                <w:highlight w:val="none"/>
                <w:u w:val="none"/>
              </w:rPr>
            </w:pPr>
          </w:p>
        </w:tc>
        <w:tc>
          <w:tcPr>
            <w:tcW w:w="759" w:type="dxa"/>
            <w:tcBorders>
              <w:top w:val="single" w:color="000000" w:sz="4" w:space="0"/>
              <w:left w:val="single" w:color="000000" w:sz="4" w:space="0"/>
              <w:bottom w:val="single" w:color="000000" w:sz="4" w:space="0"/>
              <w:right w:val="single" w:color="000000" w:sz="4" w:space="0"/>
            </w:tcBorders>
            <w:shd w:val="clear" w:color="EFF2F7"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highlight w:val="none"/>
                <w:u w:val="none"/>
              </w:rPr>
            </w:pPr>
            <w:r>
              <w:rPr>
                <w:rFonts w:hint="eastAsia" w:ascii="宋体" w:hAnsi="宋体" w:eastAsia="宋体" w:cs="宋体"/>
                <w:b/>
                <w:bCs/>
                <w:i w:val="0"/>
                <w:iCs w:val="0"/>
                <w:color w:val="000000"/>
                <w:kern w:val="0"/>
                <w:sz w:val="22"/>
                <w:szCs w:val="22"/>
                <w:highlight w:val="none"/>
                <w:u w:val="none"/>
                <w:lang w:val="en-US" w:eastAsia="zh-CN" w:bidi="ar"/>
              </w:rPr>
              <w:t>合计</w:t>
            </w:r>
          </w:p>
        </w:tc>
        <w:tc>
          <w:tcPr>
            <w:tcW w:w="1141" w:type="dxa"/>
            <w:tcBorders>
              <w:top w:val="single" w:color="000000" w:sz="4" w:space="0"/>
              <w:left w:val="single" w:color="000000" w:sz="4" w:space="0"/>
              <w:bottom w:val="single" w:color="000000" w:sz="4" w:space="0"/>
              <w:right w:val="single" w:color="000000" w:sz="4" w:space="0"/>
            </w:tcBorders>
            <w:shd w:val="clear" w:color="EFF2F7"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highlight w:val="none"/>
                <w:u w:val="none"/>
              </w:rPr>
            </w:pPr>
            <w:r>
              <w:rPr>
                <w:rFonts w:hint="eastAsia" w:ascii="宋体" w:hAnsi="宋体" w:eastAsia="宋体" w:cs="宋体"/>
                <w:b/>
                <w:bCs/>
                <w:i w:val="0"/>
                <w:iCs w:val="0"/>
                <w:color w:val="000000"/>
                <w:kern w:val="0"/>
                <w:sz w:val="22"/>
                <w:szCs w:val="22"/>
                <w:highlight w:val="none"/>
                <w:u w:val="none"/>
                <w:lang w:val="en-US" w:eastAsia="zh-CN" w:bidi="ar"/>
              </w:rPr>
              <w:t>占预算%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jc w:val="center"/>
        </w:trPr>
        <w:tc>
          <w:tcPr>
            <w:tcW w:w="16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b/>
                <w:bCs/>
                <w:i w:val="0"/>
                <w:iCs w:val="0"/>
                <w:color w:val="000000"/>
                <w:sz w:val="22"/>
                <w:szCs w:val="22"/>
                <w:highlight w:val="none"/>
                <w:u w:val="none"/>
              </w:rPr>
            </w:pPr>
          </w:p>
        </w:tc>
        <w:tc>
          <w:tcPr>
            <w:tcW w:w="28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highlight w:val="none"/>
                <w:u w:val="none"/>
              </w:rPr>
            </w:pPr>
            <w:r>
              <w:rPr>
                <w:rFonts w:hint="eastAsia" w:ascii="宋体" w:hAnsi="宋体" w:eastAsia="宋体" w:cs="宋体"/>
                <w:b/>
                <w:bCs/>
                <w:i w:val="0"/>
                <w:iCs w:val="0"/>
                <w:color w:val="000000"/>
                <w:kern w:val="0"/>
                <w:sz w:val="22"/>
                <w:szCs w:val="22"/>
                <w:highlight w:val="none"/>
                <w:u w:val="none"/>
                <w:lang w:val="en-US" w:eastAsia="zh-CN" w:bidi="ar"/>
              </w:rPr>
              <w:t>合计：</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b/>
                <w:bCs/>
                <w:i w:val="0"/>
                <w:iCs w:val="0"/>
                <w:color w:val="000000"/>
                <w:sz w:val="22"/>
                <w:szCs w:val="22"/>
                <w:highlight w:val="none"/>
                <w:u w:val="none"/>
              </w:rPr>
            </w:pPr>
            <w:r>
              <w:rPr>
                <w:rFonts w:hint="eastAsia" w:ascii="宋体" w:hAnsi="宋体" w:eastAsia="宋体" w:cs="宋体"/>
                <w:b/>
                <w:bCs/>
                <w:i w:val="0"/>
                <w:iCs w:val="0"/>
                <w:color w:val="000000"/>
                <w:kern w:val="0"/>
                <w:sz w:val="22"/>
                <w:szCs w:val="22"/>
                <w:highlight w:val="none"/>
                <w:u w:val="none"/>
                <w:lang w:val="en-US" w:eastAsia="zh-CN" w:bidi="ar"/>
              </w:rPr>
              <w:t>50.00</w:t>
            </w:r>
          </w:p>
        </w:tc>
        <w:tc>
          <w:tcPr>
            <w:tcW w:w="6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b/>
                <w:bCs/>
                <w:i w:val="0"/>
                <w:iCs w:val="0"/>
                <w:color w:val="000000"/>
                <w:sz w:val="22"/>
                <w:szCs w:val="22"/>
                <w:highlight w:val="none"/>
                <w:u w:val="none"/>
              </w:rPr>
            </w:pPr>
            <w:r>
              <w:rPr>
                <w:rFonts w:hint="eastAsia" w:ascii="宋体" w:hAnsi="宋体" w:eastAsia="宋体" w:cs="宋体"/>
                <w:b/>
                <w:bCs/>
                <w:i w:val="0"/>
                <w:iCs w:val="0"/>
                <w:color w:val="000000"/>
                <w:kern w:val="0"/>
                <w:sz w:val="22"/>
                <w:szCs w:val="22"/>
                <w:highlight w:val="none"/>
                <w:u w:val="none"/>
                <w:lang w:val="en-US" w:eastAsia="zh-CN" w:bidi="ar"/>
              </w:rPr>
              <w:t>0.00</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b/>
                <w:bCs/>
                <w:i w:val="0"/>
                <w:iCs w:val="0"/>
                <w:color w:val="000000"/>
                <w:sz w:val="22"/>
                <w:szCs w:val="22"/>
                <w:highlight w:val="none"/>
                <w:u w:val="none"/>
              </w:rPr>
            </w:pPr>
            <w:r>
              <w:rPr>
                <w:rFonts w:hint="eastAsia" w:ascii="宋体" w:hAnsi="宋体" w:eastAsia="宋体" w:cs="宋体"/>
                <w:b/>
                <w:bCs/>
                <w:i w:val="0"/>
                <w:iCs w:val="0"/>
                <w:color w:val="000000"/>
                <w:kern w:val="0"/>
                <w:sz w:val="22"/>
                <w:szCs w:val="22"/>
                <w:highlight w:val="none"/>
                <w:u w:val="none"/>
                <w:lang w:val="en-US" w:eastAsia="zh-CN" w:bidi="ar"/>
              </w:rPr>
              <w:t>-0.50</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b/>
                <w:bCs/>
                <w:i w:val="0"/>
                <w:iCs w:val="0"/>
                <w:color w:val="000000"/>
                <w:sz w:val="22"/>
                <w:szCs w:val="22"/>
                <w:highlight w:val="none"/>
                <w:u w:val="none"/>
              </w:rPr>
            </w:pPr>
            <w:r>
              <w:rPr>
                <w:rFonts w:hint="eastAsia" w:ascii="宋体" w:hAnsi="宋体" w:eastAsia="宋体" w:cs="宋体"/>
                <w:b/>
                <w:bCs/>
                <w:i w:val="0"/>
                <w:iCs w:val="0"/>
                <w:color w:val="000000"/>
                <w:kern w:val="0"/>
                <w:sz w:val="22"/>
                <w:szCs w:val="22"/>
                <w:highlight w:val="none"/>
                <w:u w:val="none"/>
                <w:lang w:val="en-US" w:eastAsia="zh-CN" w:bidi="ar"/>
              </w:rPr>
              <w:t>49.50</w:t>
            </w:r>
          </w:p>
        </w:tc>
        <w:tc>
          <w:tcPr>
            <w:tcW w:w="7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b/>
                <w:bCs/>
                <w:i w:val="0"/>
                <w:iCs w:val="0"/>
                <w:color w:val="000000"/>
                <w:sz w:val="22"/>
                <w:szCs w:val="22"/>
                <w:highlight w:val="none"/>
                <w:u w:val="none"/>
              </w:rPr>
            </w:pPr>
            <w:r>
              <w:rPr>
                <w:rFonts w:hint="eastAsia" w:ascii="宋体" w:hAnsi="宋体" w:eastAsia="宋体" w:cs="宋体"/>
                <w:b/>
                <w:bCs/>
                <w:i w:val="0"/>
                <w:iCs w:val="0"/>
                <w:color w:val="000000"/>
                <w:kern w:val="0"/>
                <w:sz w:val="22"/>
                <w:szCs w:val="22"/>
                <w:highlight w:val="none"/>
                <w:u w:val="none"/>
                <w:lang w:val="en-US" w:eastAsia="zh-CN" w:bidi="ar"/>
              </w:rPr>
              <w:t>49.50</w:t>
            </w:r>
          </w:p>
        </w:tc>
        <w:tc>
          <w:tcPr>
            <w:tcW w:w="11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b/>
                <w:bCs/>
                <w:i w:val="0"/>
                <w:iCs w:val="0"/>
                <w:color w:val="000000"/>
                <w:sz w:val="22"/>
                <w:szCs w:val="22"/>
                <w:highlight w:val="none"/>
                <w:u w:val="none"/>
              </w:rPr>
            </w:pPr>
            <w:r>
              <w:rPr>
                <w:rFonts w:hint="eastAsia" w:ascii="宋体" w:hAnsi="宋体" w:eastAsia="宋体" w:cs="宋体"/>
                <w:b/>
                <w:bCs/>
                <w:i w:val="0"/>
                <w:iCs w:val="0"/>
                <w:color w:val="000000"/>
                <w:kern w:val="0"/>
                <w:sz w:val="22"/>
                <w:szCs w:val="22"/>
                <w:highlight w:val="none"/>
                <w:u w:val="none"/>
                <w:lang w:val="en-US" w:eastAsia="zh-CN" w:bidi="ar"/>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16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就业创业资金</w:t>
            </w:r>
          </w:p>
        </w:tc>
        <w:tc>
          <w:tcPr>
            <w:tcW w:w="28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30207-邮电费</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1.00</w:t>
            </w:r>
          </w:p>
        </w:tc>
        <w:tc>
          <w:tcPr>
            <w:tcW w:w="6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highlight w:val="none"/>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highlight w:val="none"/>
                <w:u w:val="none"/>
              </w:rPr>
            </w:pP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1.00</w:t>
            </w:r>
          </w:p>
        </w:tc>
        <w:tc>
          <w:tcPr>
            <w:tcW w:w="7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1.00</w:t>
            </w:r>
          </w:p>
        </w:tc>
        <w:tc>
          <w:tcPr>
            <w:tcW w:w="11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jc w:val="center"/>
        </w:trPr>
        <w:tc>
          <w:tcPr>
            <w:tcW w:w="16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就业创业资金</w:t>
            </w:r>
          </w:p>
        </w:tc>
        <w:tc>
          <w:tcPr>
            <w:tcW w:w="28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3023909-其他交通费用（公用）</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10.00</w:t>
            </w:r>
          </w:p>
        </w:tc>
        <w:tc>
          <w:tcPr>
            <w:tcW w:w="6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highlight w:val="none"/>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highlight w:val="none"/>
                <w:u w:val="none"/>
              </w:rPr>
            </w:pP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10.00</w:t>
            </w:r>
          </w:p>
        </w:tc>
        <w:tc>
          <w:tcPr>
            <w:tcW w:w="7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10.00</w:t>
            </w:r>
          </w:p>
        </w:tc>
        <w:tc>
          <w:tcPr>
            <w:tcW w:w="11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16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就业创业资金</w:t>
            </w:r>
          </w:p>
        </w:tc>
        <w:tc>
          <w:tcPr>
            <w:tcW w:w="28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30201-办公费</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4.00</w:t>
            </w:r>
          </w:p>
        </w:tc>
        <w:tc>
          <w:tcPr>
            <w:tcW w:w="6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highlight w:val="none"/>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highlight w:val="none"/>
                <w:u w:val="none"/>
              </w:rPr>
            </w:pP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4.00</w:t>
            </w:r>
          </w:p>
        </w:tc>
        <w:tc>
          <w:tcPr>
            <w:tcW w:w="7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4.00</w:t>
            </w:r>
          </w:p>
        </w:tc>
        <w:tc>
          <w:tcPr>
            <w:tcW w:w="11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16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就业创业资金</w:t>
            </w:r>
          </w:p>
        </w:tc>
        <w:tc>
          <w:tcPr>
            <w:tcW w:w="28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30214-租赁费</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0.40</w:t>
            </w:r>
          </w:p>
        </w:tc>
        <w:tc>
          <w:tcPr>
            <w:tcW w:w="6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highlight w:val="none"/>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highlight w:val="none"/>
                <w:u w:val="none"/>
              </w:rPr>
            </w:pP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0.40</w:t>
            </w:r>
          </w:p>
        </w:tc>
        <w:tc>
          <w:tcPr>
            <w:tcW w:w="7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0.40</w:t>
            </w:r>
          </w:p>
        </w:tc>
        <w:tc>
          <w:tcPr>
            <w:tcW w:w="11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16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就业创业资金</w:t>
            </w:r>
          </w:p>
        </w:tc>
        <w:tc>
          <w:tcPr>
            <w:tcW w:w="28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30216-培训费</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1.00</w:t>
            </w:r>
          </w:p>
        </w:tc>
        <w:tc>
          <w:tcPr>
            <w:tcW w:w="6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highlight w:val="none"/>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highlight w:val="none"/>
                <w:u w:val="none"/>
              </w:rPr>
            </w:pP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1.00</w:t>
            </w:r>
          </w:p>
        </w:tc>
        <w:tc>
          <w:tcPr>
            <w:tcW w:w="7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1.00</w:t>
            </w:r>
          </w:p>
        </w:tc>
        <w:tc>
          <w:tcPr>
            <w:tcW w:w="11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16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就业创业资金</w:t>
            </w:r>
          </w:p>
        </w:tc>
        <w:tc>
          <w:tcPr>
            <w:tcW w:w="28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30217-公务接待费</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1.00</w:t>
            </w:r>
          </w:p>
        </w:tc>
        <w:tc>
          <w:tcPr>
            <w:tcW w:w="6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highlight w:val="none"/>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-0.50</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0.50</w:t>
            </w:r>
          </w:p>
        </w:tc>
        <w:tc>
          <w:tcPr>
            <w:tcW w:w="7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0.50</w:t>
            </w:r>
          </w:p>
        </w:tc>
        <w:tc>
          <w:tcPr>
            <w:tcW w:w="11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4" w:hRule="atLeast"/>
          <w:jc w:val="center"/>
        </w:trPr>
        <w:tc>
          <w:tcPr>
            <w:tcW w:w="16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就业创业资金</w:t>
            </w:r>
          </w:p>
        </w:tc>
        <w:tc>
          <w:tcPr>
            <w:tcW w:w="28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30299-其他商品和服务支出</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6.60</w:t>
            </w:r>
          </w:p>
        </w:tc>
        <w:tc>
          <w:tcPr>
            <w:tcW w:w="6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highlight w:val="none"/>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highlight w:val="none"/>
                <w:u w:val="none"/>
              </w:rPr>
            </w:pP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6.60</w:t>
            </w:r>
          </w:p>
        </w:tc>
        <w:tc>
          <w:tcPr>
            <w:tcW w:w="7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6.60</w:t>
            </w:r>
          </w:p>
        </w:tc>
        <w:tc>
          <w:tcPr>
            <w:tcW w:w="11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jc w:val="center"/>
        </w:trPr>
        <w:tc>
          <w:tcPr>
            <w:tcW w:w="16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就业创业资金</w:t>
            </w:r>
          </w:p>
        </w:tc>
        <w:tc>
          <w:tcPr>
            <w:tcW w:w="28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30202-印刷费</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4.00</w:t>
            </w:r>
          </w:p>
        </w:tc>
        <w:tc>
          <w:tcPr>
            <w:tcW w:w="6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highlight w:val="none"/>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highlight w:val="none"/>
                <w:u w:val="none"/>
              </w:rPr>
            </w:pP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4.00</w:t>
            </w:r>
          </w:p>
        </w:tc>
        <w:tc>
          <w:tcPr>
            <w:tcW w:w="7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4.00</w:t>
            </w:r>
          </w:p>
        </w:tc>
        <w:tc>
          <w:tcPr>
            <w:tcW w:w="11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16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就业创业资金</w:t>
            </w:r>
          </w:p>
        </w:tc>
        <w:tc>
          <w:tcPr>
            <w:tcW w:w="28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30211-差旅费</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20.00</w:t>
            </w:r>
          </w:p>
        </w:tc>
        <w:tc>
          <w:tcPr>
            <w:tcW w:w="6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highlight w:val="none"/>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highlight w:val="none"/>
                <w:u w:val="none"/>
              </w:rPr>
            </w:pP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20.00</w:t>
            </w:r>
          </w:p>
        </w:tc>
        <w:tc>
          <w:tcPr>
            <w:tcW w:w="7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20.00</w:t>
            </w:r>
          </w:p>
        </w:tc>
        <w:tc>
          <w:tcPr>
            <w:tcW w:w="11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7" w:hRule="atLeast"/>
          <w:jc w:val="center"/>
        </w:trPr>
        <w:tc>
          <w:tcPr>
            <w:tcW w:w="16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就业创业资金</w:t>
            </w:r>
          </w:p>
        </w:tc>
        <w:tc>
          <w:tcPr>
            <w:tcW w:w="28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30215-会议费</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2.00</w:t>
            </w:r>
          </w:p>
        </w:tc>
        <w:tc>
          <w:tcPr>
            <w:tcW w:w="6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highlight w:val="none"/>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highlight w:val="none"/>
                <w:u w:val="none"/>
              </w:rPr>
            </w:pP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2.00</w:t>
            </w:r>
          </w:p>
        </w:tc>
        <w:tc>
          <w:tcPr>
            <w:tcW w:w="7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2.00</w:t>
            </w:r>
          </w:p>
        </w:tc>
        <w:tc>
          <w:tcPr>
            <w:tcW w:w="11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100.00%</w:t>
            </w:r>
          </w:p>
        </w:tc>
      </w:tr>
    </w:tbl>
    <w:p>
      <w:pPr>
        <w:rPr>
          <w:rFonts w:hint="default"/>
          <w:highlight w:val="none"/>
          <w:lang w:val="zh-CN"/>
        </w:rPr>
      </w:pPr>
    </w:p>
    <w:p>
      <w:pPr>
        <w:keepNext w:val="0"/>
        <w:keepLines w:val="0"/>
        <w:pageBreakBefore w:val="0"/>
        <w:widowControl w:val="0"/>
        <w:kinsoku/>
        <w:wordWrap/>
        <w:overflowPunct/>
        <w:topLinePunct w:val="0"/>
        <w:autoSpaceDE/>
        <w:autoSpaceDN/>
        <w:bidi w:val="0"/>
        <w:adjustRightInd w:val="0"/>
        <w:snapToGrid w:val="0"/>
        <w:spacing w:line="576" w:lineRule="exact"/>
        <w:ind w:firstLine="643" w:firstLineChars="200"/>
        <w:textAlignment w:val="auto"/>
        <w:rPr>
          <w:rFonts w:hint="default" w:ascii="Times New Roman" w:hAnsi="Times New Roman" w:eastAsia="楷体_GB2312" w:cs="Times New Roman"/>
          <w:b/>
          <w:sz w:val="32"/>
          <w:szCs w:val="32"/>
          <w:highlight w:val="none"/>
          <w:lang w:val="zh-CN"/>
        </w:rPr>
      </w:pPr>
      <w:r>
        <w:rPr>
          <w:rFonts w:hint="default" w:ascii="Times New Roman" w:hAnsi="Times New Roman" w:eastAsia="楷体_GB2312" w:cs="Times New Roman"/>
          <w:b/>
          <w:sz w:val="32"/>
          <w:szCs w:val="32"/>
          <w:highlight w:val="none"/>
          <w:lang w:val="zh-CN"/>
        </w:rPr>
        <w:t>（二）项目财务管理情况</w:t>
      </w:r>
    </w:p>
    <w:p>
      <w:pPr>
        <w:pStyle w:val="15"/>
        <w:spacing w:beforeAutospacing="0" w:afterAutospacing="0" w:line="576" w:lineRule="exact"/>
        <w:ind w:firstLine="640" w:firstLineChars="200"/>
        <w:jc w:val="both"/>
        <w:rPr>
          <w:rFonts w:hint="eastAsia" w:ascii="Times New Roman" w:hAnsi="Times New Roman" w:eastAsia="仿宋_GB2312"/>
          <w:color w:val="000000"/>
          <w:sz w:val="32"/>
          <w:szCs w:val="32"/>
          <w:highlight w:val="none"/>
          <w:shd w:val="clear" w:color="auto" w:fill="FFFFFF"/>
          <w:lang w:val="zh-CN"/>
        </w:rPr>
      </w:pPr>
      <w:r>
        <w:rPr>
          <w:rFonts w:hint="eastAsia" w:ascii="Times New Roman" w:hAnsi="Times New Roman" w:eastAsia="仿宋_GB2312"/>
          <w:color w:val="000000"/>
          <w:sz w:val="32"/>
          <w:szCs w:val="32"/>
          <w:highlight w:val="none"/>
          <w:shd w:val="clear" w:color="auto" w:fill="FFFFFF"/>
          <w:lang w:val="zh-CN"/>
        </w:rPr>
        <w:t>该项目资金由区</w:t>
      </w:r>
      <w:r>
        <w:rPr>
          <w:rFonts w:hint="eastAsia" w:ascii="Times New Roman" w:hAnsi="Times New Roman"/>
          <w:color w:val="000000"/>
          <w:sz w:val="32"/>
          <w:szCs w:val="32"/>
          <w:highlight w:val="none"/>
          <w:shd w:val="clear" w:color="auto" w:fill="FFFFFF"/>
          <w:lang w:val="zh-CN"/>
        </w:rPr>
        <w:t>就业服务中心</w:t>
      </w:r>
      <w:r>
        <w:rPr>
          <w:rFonts w:hint="eastAsia" w:ascii="Times New Roman" w:hAnsi="Times New Roman" w:eastAsia="仿宋_GB2312"/>
          <w:color w:val="000000"/>
          <w:sz w:val="32"/>
          <w:szCs w:val="32"/>
          <w:highlight w:val="none"/>
          <w:shd w:val="clear" w:color="auto" w:fill="FFFFFF"/>
          <w:lang w:val="zh-CN"/>
        </w:rPr>
        <w:t>负责使用安排，就项目的具体实施、监控负责；局规划财务股按照财政局项目资金使用拨付要求，审核项目资料，负责资金的申报、支付，及时账务处理。</w:t>
      </w:r>
      <w:r>
        <w:rPr>
          <w:rFonts w:ascii="Times New Roman" w:hAnsi="Times New Roman" w:eastAsia="仿宋_GB2312"/>
          <w:color w:val="000000"/>
          <w:sz w:val="32"/>
          <w:szCs w:val="32"/>
          <w:highlight w:val="none"/>
          <w:shd w:val="clear" w:color="auto" w:fill="FFFFFF"/>
        </w:rPr>
        <w:t>从查阅档案、审核财务资料等情况来看，</w:t>
      </w:r>
      <w:r>
        <w:rPr>
          <w:rFonts w:hint="eastAsia" w:ascii="Times New Roman" w:hAnsi="Times New Roman"/>
          <w:color w:val="000000"/>
          <w:sz w:val="32"/>
          <w:szCs w:val="32"/>
          <w:highlight w:val="none"/>
          <w:shd w:val="clear" w:color="auto" w:fill="FFFFFF"/>
          <w:lang w:val="en-US" w:eastAsia="zh-CN"/>
        </w:rPr>
        <w:t>2022</w:t>
      </w:r>
      <w:r>
        <w:rPr>
          <w:rFonts w:ascii="Times New Roman" w:hAnsi="Times New Roman" w:eastAsia="仿宋_GB2312"/>
          <w:color w:val="000000"/>
          <w:sz w:val="32"/>
          <w:szCs w:val="32"/>
          <w:highlight w:val="none"/>
          <w:shd w:val="clear" w:color="auto" w:fill="FFFFFF"/>
        </w:rPr>
        <w:t>年度该项资金</w:t>
      </w:r>
      <w:r>
        <w:rPr>
          <w:rFonts w:hint="eastAsia" w:ascii="Times New Roman" w:hAnsi="Times New Roman" w:eastAsia="仿宋_GB2312"/>
          <w:color w:val="000000"/>
          <w:sz w:val="32"/>
          <w:szCs w:val="32"/>
          <w:highlight w:val="none"/>
          <w:shd w:val="clear" w:color="auto" w:fill="FFFFFF"/>
        </w:rPr>
        <w:t>严格执行财务管理制度、财务处理及时、会计核算规范。</w:t>
      </w:r>
    </w:p>
    <w:p>
      <w:pPr>
        <w:keepNext w:val="0"/>
        <w:keepLines w:val="0"/>
        <w:pageBreakBefore w:val="0"/>
        <w:widowControl w:val="0"/>
        <w:kinsoku/>
        <w:wordWrap/>
        <w:overflowPunct/>
        <w:topLinePunct w:val="0"/>
        <w:autoSpaceDE/>
        <w:autoSpaceDN/>
        <w:bidi w:val="0"/>
        <w:adjustRightInd w:val="0"/>
        <w:snapToGrid w:val="0"/>
        <w:spacing w:line="576" w:lineRule="exact"/>
        <w:ind w:firstLine="643" w:firstLineChars="200"/>
        <w:textAlignment w:val="auto"/>
        <w:rPr>
          <w:rFonts w:hint="default" w:ascii="Times New Roman" w:hAnsi="Times New Roman" w:eastAsia="楷体_GB2312" w:cs="Times New Roman"/>
          <w:b/>
          <w:sz w:val="32"/>
          <w:szCs w:val="32"/>
          <w:highlight w:val="none"/>
          <w:lang w:val="zh-CN"/>
        </w:rPr>
      </w:pPr>
      <w:r>
        <w:rPr>
          <w:rFonts w:hint="default" w:ascii="Times New Roman" w:hAnsi="Times New Roman" w:eastAsia="楷体_GB2312" w:cs="Times New Roman"/>
          <w:b/>
          <w:sz w:val="32"/>
          <w:szCs w:val="32"/>
          <w:highlight w:val="none"/>
          <w:lang w:val="zh-CN"/>
        </w:rPr>
        <w:t>（三）项目组织实施</w:t>
      </w:r>
      <w:r>
        <w:rPr>
          <w:rFonts w:hint="eastAsia" w:eastAsia="楷体_GB2312" w:cs="Times New Roman"/>
          <w:b/>
          <w:sz w:val="32"/>
          <w:szCs w:val="32"/>
          <w:highlight w:val="none"/>
          <w:lang w:val="zh-CN"/>
        </w:rPr>
        <w:t>及管理</w:t>
      </w:r>
      <w:r>
        <w:rPr>
          <w:rFonts w:hint="default" w:ascii="Times New Roman" w:hAnsi="Times New Roman" w:eastAsia="楷体_GB2312" w:cs="Times New Roman"/>
          <w:b/>
          <w:sz w:val="32"/>
          <w:szCs w:val="32"/>
          <w:highlight w:val="none"/>
          <w:lang w:val="zh-CN"/>
        </w:rPr>
        <w:t>情况</w:t>
      </w:r>
    </w:p>
    <w:p>
      <w:pPr>
        <w:pStyle w:val="15"/>
        <w:spacing w:beforeAutospacing="0" w:afterAutospacing="0" w:line="576" w:lineRule="exact"/>
        <w:ind w:firstLine="640" w:firstLineChars="200"/>
        <w:jc w:val="both"/>
        <w:rPr>
          <w:rFonts w:hint="eastAsia"/>
          <w:highlight w:val="none"/>
          <w:lang w:val="zh-CN"/>
        </w:rPr>
      </w:pPr>
      <w:r>
        <w:rPr>
          <w:rFonts w:ascii="Times New Roman" w:hAnsi="Times New Roman" w:eastAsia="仿宋_GB2312"/>
          <w:color w:val="000000"/>
          <w:sz w:val="32"/>
          <w:szCs w:val="32"/>
          <w:highlight w:val="none"/>
          <w:shd w:val="clear" w:color="auto" w:fill="FFFFFF"/>
        </w:rPr>
        <w:t>本项目资金由区财政预算安排，区就业服务中心负责就业创业服务项目的审核、把关、审批及日常业务管理，</w:t>
      </w:r>
      <w:r>
        <w:rPr>
          <w:rFonts w:ascii="Times New Roman" w:hAnsi="Times New Roman" w:eastAsia="仿宋_GB2312"/>
          <w:sz w:val="32"/>
          <w:szCs w:val="32"/>
          <w:highlight w:val="none"/>
        </w:rPr>
        <w:t>坚持“归口申报、集中办理、层层审核”的原则，由各单位部门、各镇自行上报计划，人社局根据计划安排就业</w:t>
      </w:r>
      <w:r>
        <w:rPr>
          <w:rFonts w:hint="eastAsia" w:ascii="Times New Roman" w:hAnsi="Times New Roman"/>
          <w:sz w:val="32"/>
          <w:szCs w:val="32"/>
          <w:highlight w:val="none"/>
          <w:lang w:eastAsia="zh-CN"/>
        </w:rPr>
        <w:t>创业</w:t>
      </w:r>
      <w:r>
        <w:rPr>
          <w:rFonts w:ascii="Times New Roman" w:hAnsi="Times New Roman" w:eastAsia="仿宋_GB2312"/>
          <w:sz w:val="32"/>
          <w:szCs w:val="32"/>
          <w:highlight w:val="none"/>
        </w:rPr>
        <w:t>资金。</w:t>
      </w:r>
    </w:p>
    <w:p>
      <w:pPr>
        <w:keepNext w:val="0"/>
        <w:keepLines w:val="0"/>
        <w:pageBreakBefore w:val="0"/>
        <w:widowControl w:val="0"/>
        <w:kinsoku/>
        <w:wordWrap/>
        <w:overflowPunct/>
        <w:topLinePunct w:val="0"/>
        <w:autoSpaceDE/>
        <w:autoSpaceDN/>
        <w:bidi w:val="0"/>
        <w:adjustRightInd w:val="0"/>
        <w:snapToGrid w:val="0"/>
        <w:spacing w:line="576" w:lineRule="exact"/>
        <w:ind w:firstLine="640" w:firstLineChars="200"/>
        <w:textAlignment w:val="auto"/>
        <w:rPr>
          <w:rFonts w:hint="default" w:ascii="Times New Roman" w:hAnsi="Times New Roman" w:cs="Times New Roman"/>
          <w:sz w:val="32"/>
          <w:szCs w:val="32"/>
          <w:highlight w:val="none"/>
          <w:lang w:val="zh-CN"/>
        </w:rPr>
      </w:pPr>
      <w:r>
        <w:rPr>
          <w:rFonts w:hint="default" w:ascii="Times New Roman" w:hAnsi="Times New Roman" w:eastAsia="黑体" w:cs="Times New Roman"/>
          <w:sz w:val="32"/>
          <w:szCs w:val="32"/>
          <w:highlight w:val="none"/>
        </w:rPr>
        <w:t>三、项目绩效情况</w:t>
      </w:r>
      <w:r>
        <w:rPr>
          <w:rFonts w:hint="default" w:ascii="Times New Roman" w:hAnsi="Times New Roman" w:cs="Times New Roman"/>
          <w:sz w:val="32"/>
          <w:szCs w:val="32"/>
          <w:highlight w:val="none"/>
          <w:lang w:val="zh-CN"/>
        </w:rPr>
        <w:tab/>
      </w:r>
    </w:p>
    <w:p>
      <w:pPr>
        <w:keepNext w:val="0"/>
        <w:keepLines w:val="0"/>
        <w:pageBreakBefore w:val="0"/>
        <w:widowControl w:val="0"/>
        <w:kinsoku/>
        <w:wordWrap/>
        <w:overflowPunct/>
        <w:topLinePunct w:val="0"/>
        <w:autoSpaceDE/>
        <w:autoSpaceDN/>
        <w:bidi w:val="0"/>
        <w:adjustRightInd w:val="0"/>
        <w:snapToGrid w:val="0"/>
        <w:spacing w:line="576" w:lineRule="exact"/>
        <w:ind w:firstLine="640" w:firstLineChars="200"/>
        <w:textAlignment w:val="auto"/>
        <w:rPr>
          <w:rFonts w:hint="eastAsia" w:ascii="Times New Roman" w:hAnsi="Times New Roman" w:eastAsia="仿宋_GB2312" w:cs="仿宋_GB2312"/>
          <w:sz w:val="32"/>
          <w:szCs w:val="32"/>
          <w:highlight w:val="none"/>
          <w:lang w:val="zh-CN" w:eastAsia="zh-CN"/>
        </w:rPr>
      </w:pPr>
      <w:r>
        <w:rPr>
          <w:rFonts w:hint="eastAsia" w:ascii="Times New Roman" w:hAnsi="Times New Roman" w:eastAsia="仿宋_GB2312" w:cs="仿宋_GB2312"/>
          <w:sz w:val="32"/>
          <w:szCs w:val="32"/>
          <w:highlight w:val="none"/>
          <w:lang w:val="zh-CN" w:eastAsia="zh-CN"/>
        </w:rPr>
        <w:t>该项目绩效目标完成情况见下表：</w:t>
      </w:r>
    </w:p>
    <w:tbl>
      <w:tblPr>
        <w:tblStyle w:val="16"/>
        <w:tblW w:w="8756"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814"/>
        <w:gridCol w:w="1569"/>
        <w:gridCol w:w="2001"/>
        <w:gridCol w:w="461"/>
        <w:gridCol w:w="1483"/>
        <w:gridCol w:w="462"/>
        <w:gridCol w:w="96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2" w:hRule="atLeast"/>
        </w:trPr>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年度预算数（万元）</w:t>
            </w:r>
          </w:p>
        </w:tc>
        <w:tc>
          <w:tcPr>
            <w:tcW w:w="15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年初预算</w:t>
            </w:r>
          </w:p>
        </w:tc>
        <w:tc>
          <w:tcPr>
            <w:tcW w:w="20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调整后预算数</w:t>
            </w:r>
          </w:p>
        </w:tc>
        <w:tc>
          <w:tcPr>
            <w:tcW w:w="240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预算执行数</w:t>
            </w:r>
          </w:p>
        </w:tc>
        <w:tc>
          <w:tcPr>
            <w:tcW w:w="9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预算执行率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0" w:hRule="atLeast"/>
        </w:trPr>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总额</w:t>
            </w:r>
          </w:p>
        </w:tc>
        <w:tc>
          <w:tcPr>
            <w:tcW w:w="15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50.00</w:t>
            </w:r>
          </w:p>
        </w:tc>
        <w:tc>
          <w:tcPr>
            <w:tcW w:w="20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49.50</w:t>
            </w:r>
          </w:p>
        </w:tc>
        <w:tc>
          <w:tcPr>
            <w:tcW w:w="240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49.50</w:t>
            </w:r>
          </w:p>
        </w:tc>
        <w:tc>
          <w:tcPr>
            <w:tcW w:w="9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4" w:hRule="atLeast"/>
        </w:trPr>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其中：财政资金</w:t>
            </w:r>
          </w:p>
        </w:tc>
        <w:tc>
          <w:tcPr>
            <w:tcW w:w="15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50.00</w:t>
            </w:r>
          </w:p>
        </w:tc>
        <w:tc>
          <w:tcPr>
            <w:tcW w:w="20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49.50</w:t>
            </w:r>
          </w:p>
        </w:tc>
        <w:tc>
          <w:tcPr>
            <w:tcW w:w="240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49.50</w:t>
            </w:r>
          </w:p>
        </w:tc>
        <w:tc>
          <w:tcPr>
            <w:tcW w:w="9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9" w:hRule="atLeast"/>
        </w:trPr>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财政专户管理资金</w:t>
            </w:r>
          </w:p>
        </w:tc>
        <w:tc>
          <w:tcPr>
            <w:tcW w:w="15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0.00</w:t>
            </w:r>
          </w:p>
        </w:tc>
        <w:tc>
          <w:tcPr>
            <w:tcW w:w="20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0.00</w:t>
            </w:r>
          </w:p>
        </w:tc>
        <w:tc>
          <w:tcPr>
            <w:tcW w:w="240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0.00</w:t>
            </w:r>
          </w:p>
        </w:tc>
        <w:tc>
          <w:tcPr>
            <w:tcW w:w="9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5" w:hRule="atLeast"/>
        </w:trPr>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单位资金</w:t>
            </w:r>
          </w:p>
        </w:tc>
        <w:tc>
          <w:tcPr>
            <w:tcW w:w="15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0.00</w:t>
            </w:r>
          </w:p>
        </w:tc>
        <w:tc>
          <w:tcPr>
            <w:tcW w:w="20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0.00</w:t>
            </w:r>
          </w:p>
        </w:tc>
        <w:tc>
          <w:tcPr>
            <w:tcW w:w="240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0.00</w:t>
            </w:r>
          </w:p>
        </w:tc>
        <w:tc>
          <w:tcPr>
            <w:tcW w:w="9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2" w:hRule="atLeast"/>
        </w:trPr>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其他资金</w:t>
            </w:r>
          </w:p>
        </w:tc>
        <w:tc>
          <w:tcPr>
            <w:tcW w:w="15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highlight w:val="none"/>
                <w:u w:val="none"/>
              </w:rPr>
            </w:pPr>
          </w:p>
        </w:tc>
        <w:tc>
          <w:tcPr>
            <w:tcW w:w="200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highlight w:val="none"/>
                <w:u w:val="none"/>
              </w:rPr>
            </w:pPr>
          </w:p>
        </w:tc>
        <w:tc>
          <w:tcPr>
            <w:tcW w:w="240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highlight w:val="none"/>
                <w:u w:val="none"/>
              </w:rPr>
            </w:pPr>
          </w:p>
        </w:tc>
        <w:tc>
          <w:tcPr>
            <w:tcW w:w="96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35" w:hRule="atLeast"/>
        </w:trPr>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一级指标</w:t>
            </w:r>
          </w:p>
        </w:tc>
        <w:tc>
          <w:tcPr>
            <w:tcW w:w="15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二级指标</w:t>
            </w:r>
          </w:p>
        </w:tc>
        <w:tc>
          <w:tcPr>
            <w:tcW w:w="20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三级指标</w:t>
            </w:r>
          </w:p>
        </w:tc>
        <w:tc>
          <w:tcPr>
            <w:tcW w:w="4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指标性质</w:t>
            </w:r>
          </w:p>
        </w:tc>
        <w:tc>
          <w:tcPr>
            <w:tcW w:w="14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指标值</w:t>
            </w:r>
          </w:p>
        </w:tc>
        <w:tc>
          <w:tcPr>
            <w:tcW w:w="4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度量单位</w:t>
            </w:r>
          </w:p>
        </w:tc>
        <w:tc>
          <w:tcPr>
            <w:tcW w:w="9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完成值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3" w:hRule="atLeast"/>
        </w:trPr>
        <w:tc>
          <w:tcPr>
            <w:tcW w:w="181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产出指标</w:t>
            </w:r>
          </w:p>
        </w:tc>
        <w:tc>
          <w:tcPr>
            <w:tcW w:w="156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数量指标</w:t>
            </w:r>
          </w:p>
        </w:tc>
        <w:tc>
          <w:tcPr>
            <w:tcW w:w="20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返乡农民工创业个数</w:t>
            </w:r>
          </w:p>
        </w:tc>
        <w:tc>
          <w:tcPr>
            <w:tcW w:w="4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w:t>
            </w:r>
          </w:p>
        </w:tc>
        <w:tc>
          <w:tcPr>
            <w:tcW w:w="14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20</w:t>
            </w:r>
          </w:p>
        </w:tc>
        <w:tc>
          <w:tcPr>
            <w:tcW w:w="4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个</w:t>
            </w:r>
          </w:p>
        </w:tc>
        <w:tc>
          <w:tcPr>
            <w:tcW w:w="9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70</w:t>
            </w:r>
            <w:r>
              <w:rPr>
                <w:rFonts w:hint="eastAsia" w:ascii="宋体" w:hAnsi="宋体" w:cs="宋体"/>
                <w:i w:val="0"/>
                <w:iCs w:val="0"/>
                <w:color w:val="000000"/>
                <w:kern w:val="0"/>
                <w:sz w:val="18"/>
                <w:szCs w:val="18"/>
                <w:highlight w:val="none"/>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2" w:hRule="atLeast"/>
        </w:trPr>
        <w:tc>
          <w:tcPr>
            <w:tcW w:w="18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highlight w:val="none"/>
                <w:u w:val="none"/>
              </w:rPr>
            </w:pPr>
          </w:p>
        </w:tc>
        <w:tc>
          <w:tcPr>
            <w:tcW w:w="15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highlight w:val="none"/>
                <w:u w:val="none"/>
              </w:rPr>
            </w:pPr>
          </w:p>
        </w:tc>
        <w:tc>
          <w:tcPr>
            <w:tcW w:w="20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脱贫人口创办领办创业实体个数</w:t>
            </w:r>
          </w:p>
        </w:tc>
        <w:tc>
          <w:tcPr>
            <w:tcW w:w="4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w:t>
            </w:r>
          </w:p>
        </w:tc>
        <w:tc>
          <w:tcPr>
            <w:tcW w:w="14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10</w:t>
            </w:r>
          </w:p>
        </w:tc>
        <w:tc>
          <w:tcPr>
            <w:tcW w:w="4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个</w:t>
            </w:r>
          </w:p>
        </w:tc>
        <w:tc>
          <w:tcPr>
            <w:tcW w:w="9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27</w:t>
            </w:r>
            <w:r>
              <w:rPr>
                <w:rFonts w:hint="eastAsia" w:ascii="宋体" w:hAnsi="宋体" w:cs="宋体"/>
                <w:i w:val="0"/>
                <w:iCs w:val="0"/>
                <w:color w:val="000000"/>
                <w:kern w:val="0"/>
                <w:sz w:val="18"/>
                <w:szCs w:val="18"/>
                <w:highlight w:val="none"/>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2" w:hRule="atLeast"/>
        </w:trPr>
        <w:tc>
          <w:tcPr>
            <w:tcW w:w="18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highlight w:val="none"/>
                <w:u w:val="none"/>
              </w:rPr>
            </w:pPr>
          </w:p>
        </w:tc>
        <w:tc>
          <w:tcPr>
            <w:tcW w:w="156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质量指标</w:t>
            </w:r>
          </w:p>
        </w:tc>
        <w:tc>
          <w:tcPr>
            <w:tcW w:w="20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公益性岗位补贴按时足额发放</w:t>
            </w:r>
          </w:p>
        </w:tc>
        <w:tc>
          <w:tcPr>
            <w:tcW w:w="4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定性</w:t>
            </w:r>
          </w:p>
        </w:tc>
        <w:tc>
          <w:tcPr>
            <w:tcW w:w="14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优良中低差</w:t>
            </w:r>
          </w:p>
        </w:tc>
        <w:tc>
          <w:tcPr>
            <w:tcW w:w="4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w:t>
            </w:r>
          </w:p>
        </w:tc>
        <w:tc>
          <w:tcPr>
            <w:tcW w:w="9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优</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2" w:hRule="atLeast"/>
        </w:trPr>
        <w:tc>
          <w:tcPr>
            <w:tcW w:w="18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highlight w:val="none"/>
                <w:u w:val="none"/>
              </w:rPr>
            </w:pPr>
          </w:p>
        </w:tc>
        <w:tc>
          <w:tcPr>
            <w:tcW w:w="15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highlight w:val="none"/>
                <w:u w:val="none"/>
              </w:rPr>
            </w:pPr>
          </w:p>
        </w:tc>
        <w:tc>
          <w:tcPr>
            <w:tcW w:w="20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社会保险补贴、高校毕业生就业见习补贴发放率</w:t>
            </w:r>
          </w:p>
        </w:tc>
        <w:tc>
          <w:tcPr>
            <w:tcW w:w="4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w:t>
            </w:r>
          </w:p>
        </w:tc>
        <w:tc>
          <w:tcPr>
            <w:tcW w:w="14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100</w:t>
            </w:r>
          </w:p>
        </w:tc>
        <w:tc>
          <w:tcPr>
            <w:tcW w:w="4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w:t>
            </w:r>
          </w:p>
        </w:tc>
        <w:tc>
          <w:tcPr>
            <w:tcW w:w="9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3" w:hRule="atLeast"/>
        </w:trPr>
        <w:tc>
          <w:tcPr>
            <w:tcW w:w="18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highlight w:val="none"/>
                <w:u w:val="none"/>
              </w:rPr>
            </w:pPr>
          </w:p>
        </w:tc>
        <w:tc>
          <w:tcPr>
            <w:tcW w:w="15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时效指标</w:t>
            </w:r>
          </w:p>
        </w:tc>
        <w:tc>
          <w:tcPr>
            <w:tcW w:w="20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完成年限</w:t>
            </w:r>
          </w:p>
        </w:tc>
        <w:tc>
          <w:tcPr>
            <w:tcW w:w="4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w:t>
            </w:r>
          </w:p>
        </w:tc>
        <w:tc>
          <w:tcPr>
            <w:tcW w:w="14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w:t>
            </w:r>
          </w:p>
        </w:tc>
        <w:tc>
          <w:tcPr>
            <w:tcW w:w="4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年</w:t>
            </w:r>
          </w:p>
        </w:tc>
        <w:tc>
          <w:tcPr>
            <w:tcW w:w="9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1</w:t>
            </w:r>
            <w:r>
              <w:rPr>
                <w:rFonts w:hint="eastAsia" w:ascii="宋体" w:hAnsi="宋体" w:cs="宋体"/>
                <w:i w:val="0"/>
                <w:iCs w:val="0"/>
                <w:color w:val="000000"/>
                <w:kern w:val="0"/>
                <w:sz w:val="18"/>
                <w:szCs w:val="18"/>
                <w:highlight w:val="none"/>
                <w:u w:val="none"/>
                <w:lang w:val="en-US" w:eastAsia="zh-CN" w:bidi="ar"/>
              </w:rPr>
              <w:t>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2" w:hRule="atLeast"/>
        </w:trPr>
        <w:tc>
          <w:tcPr>
            <w:tcW w:w="18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highlight w:val="none"/>
                <w:u w:val="none"/>
              </w:rPr>
            </w:pPr>
          </w:p>
        </w:tc>
        <w:tc>
          <w:tcPr>
            <w:tcW w:w="15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成本指标</w:t>
            </w:r>
          </w:p>
        </w:tc>
        <w:tc>
          <w:tcPr>
            <w:tcW w:w="20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就业创业工作经费控制在预算批复之内</w:t>
            </w:r>
          </w:p>
        </w:tc>
        <w:tc>
          <w:tcPr>
            <w:tcW w:w="4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w:t>
            </w:r>
          </w:p>
        </w:tc>
        <w:tc>
          <w:tcPr>
            <w:tcW w:w="14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50</w:t>
            </w:r>
          </w:p>
        </w:tc>
        <w:tc>
          <w:tcPr>
            <w:tcW w:w="4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万元</w:t>
            </w:r>
          </w:p>
        </w:tc>
        <w:tc>
          <w:tcPr>
            <w:tcW w:w="9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50</w:t>
            </w:r>
            <w:r>
              <w:rPr>
                <w:rFonts w:hint="eastAsia" w:ascii="宋体" w:hAnsi="宋体" w:cs="宋体"/>
                <w:i w:val="0"/>
                <w:iCs w:val="0"/>
                <w:color w:val="000000"/>
                <w:kern w:val="0"/>
                <w:sz w:val="18"/>
                <w:szCs w:val="18"/>
                <w:highlight w:val="none"/>
                <w:u w:val="none"/>
                <w:lang w:val="en-US" w:eastAsia="zh-CN" w:bidi="ar"/>
              </w:rPr>
              <w:t>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81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效益指标</w:t>
            </w:r>
          </w:p>
        </w:tc>
        <w:tc>
          <w:tcPr>
            <w:tcW w:w="156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社会效益指标</w:t>
            </w:r>
          </w:p>
        </w:tc>
        <w:tc>
          <w:tcPr>
            <w:tcW w:w="20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“十四五”期间城镇登记失业率</w:t>
            </w:r>
          </w:p>
        </w:tc>
        <w:tc>
          <w:tcPr>
            <w:tcW w:w="4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w:t>
            </w:r>
          </w:p>
        </w:tc>
        <w:tc>
          <w:tcPr>
            <w:tcW w:w="14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4</w:t>
            </w:r>
          </w:p>
        </w:tc>
        <w:tc>
          <w:tcPr>
            <w:tcW w:w="4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w:t>
            </w:r>
          </w:p>
        </w:tc>
        <w:tc>
          <w:tcPr>
            <w:tcW w:w="9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3.4%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2" w:hRule="atLeast"/>
        </w:trPr>
        <w:tc>
          <w:tcPr>
            <w:tcW w:w="18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highlight w:val="none"/>
                <w:u w:val="none"/>
              </w:rPr>
            </w:pPr>
          </w:p>
        </w:tc>
        <w:tc>
          <w:tcPr>
            <w:tcW w:w="15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highlight w:val="none"/>
                <w:u w:val="none"/>
              </w:rPr>
            </w:pPr>
          </w:p>
        </w:tc>
        <w:tc>
          <w:tcPr>
            <w:tcW w:w="20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“十四五”期间实现城镇新增就业人数</w:t>
            </w:r>
          </w:p>
        </w:tc>
        <w:tc>
          <w:tcPr>
            <w:tcW w:w="4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w:t>
            </w:r>
          </w:p>
        </w:tc>
        <w:tc>
          <w:tcPr>
            <w:tcW w:w="14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1300</w:t>
            </w:r>
          </w:p>
        </w:tc>
        <w:tc>
          <w:tcPr>
            <w:tcW w:w="4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人</w:t>
            </w:r>
          </w:p>
        </w:tc>
        <w:tc>
          <w:tcPr>
            <w:tcW w:w="9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1600</w:t>
            </w:r>
            <w:r>
              <w:rPr>
                <w:rFonts w:hint="eastAsia" w:ascii="宋体" w:hAnsi="宋体" w:cs="宋体"/>
                <w:i w:val="0"/>
                <w:iCs w:val="0"/>
                <w:color w:val="000000"/>
                <w:kern w:val="0"/>
                <w:sz w:val="18"/>
                <w:szCs w:val="18"/>
                <w:highlight w:val="none"/>
                <w:u w:val="none"/>
                <w:lang w:val="en-US" w:eastAsia="zh-CN" w:bidi="ar"/>
              </w:rPr>
              <w:t>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2" w:hRule="atLeast"/>
        </w:trPr>
        <w:tc>
          <w:tcPr>
            <w:tcW w:w="18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highlight w:val="none"/>
                <w:u w:val="none"/>
              </w:rPr>
            </w:pPr>
          </w:p>
        </w:tc>
        <w:tc>
          <w:tcPr>
            <w:tcW w:w="15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highlight w:val="none"/>
                <w:u w:val="none"/>
              </w:rPr>
            </w:pPr>
          </w:p>
        </w:tc>
        <w:tc>
          <w:tcPr>
            <w:tcW w:w="20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促进更加充分和高质量就业</w:t>
            </w:r>
          </w:p>
        </w:tc>
        <w:tc>
          <w:tcPr>
            <w:tcW w:w="4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定性</w:t>
            </w:r>
          </w:p>
        </w:tc>
        <w:tc>
          <w:tcPr>
            <w:tcW w:w="14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优良中低差</w:t>
            </w:r>
          </w:p>
        </w:tc>
        <w:tc>
          <w:tcPr>
            <w:tcW w:w="4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highlight w:val="none"/>
                <w:u w:val="none"/>
              </w:rPr>
            </w:pPr>
          </w:p>
        </w:tc>
        <w:tc>
          <w:tcPr>
            <w:tcW w:w="9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优</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2" w:hRule="atLeast"/>
        </w:trPr>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满意度指标</w:t>
            </w:r>
          </w:p>
        </w:tc>
        <w:tc>
          <w:tcPr>
            <w:tcW w:w="15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服务对象满意度指标</w:t>
            </w:r>
          </w:p>
        </w:tc>
        <w:tc>
          <w:tcPr>
            <w:tcW w:w="20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各类就业服务对象满意度</w:t>
            </w:r>
          </w:p>
        </w:tc>
        <w:tc>
          <w:tcPr>
            <w:tcW w:w="4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w:t>
            </w:r>
          </w:p>
        </w:tc>
        <w:tc>
          <w:tcPr>
            <w:tcW w:w="14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90</w:t>
            </w:r>
          </w:p>
        </w:tc>
        <w:tc>
          <w:tcPr>
            <w:tcW w:w="4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w:t>
            </w:r>
          </w:p>
        </w:tc>
        <w:tc>
          <w:tcPr>
            <w:tcW w:w="9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95%</w:t>
            </w:r>
          </w:p>
        </w:tc>
      </w:tr>
    </w:tbl>
    <w:p>
      <w:pPr>
        <w:keepNext w:val="0"/>
        <w:keepLines w:val="0"/>
        <w:pageBreakBefore w:val="0"/>
        <w:widowControl w:val="0"/>
        <w:kinsoku/>
        <w:wordWrap/>
        <w:overflowPunct/>
        <w:topLinePunct w:val="0"/>
        <w:autoSpaceDE/>
        <w:autoSpaceDN/>
        <w:bidi w:val="0"/>
        <w:adjustRightInd w:val="0"/>
        <w:snapToGrid w:val="0"/>
        <w:spacing w:line="576" w:lineRule="exact"/>
        <w:ind w:firstLine="640" w:firstLineChars="200"/>
        <w:textAlignment w:val="auto"/>
        <w:rPr>
          <w:rFonts w:hint="default" w:ascii="Times New Roman" w:hAnsi="Times New Roman" w:eastAsia="黑体" w:cs="Times New Roman"/>
          <w:sz w:val="32"/>
          <w:szCs w:val="32"/>
          <w:highlight w:val="none"/>
        </w:rPr>
      </w:pPr>
      <w:r>
        <w:rPr>
          <w:rFonts w:hint="default" w:ascii="Times New Roman" w:hAnsi="Times New Roman" w:eastAsia="黑体" w:cs="Times New Roman"/>
          <w:sz w:val="32"/>
          <w:szCs w:val="32"/>
          <w:highlight w:val="none"/>
        </w:rPr>
        <w:t>四、</w:t>
      </w:r>
      <w:r>
        <w:rPr>
          <w:rFonts w:hint="eastAsia" w:eastAsia="黑体" w:cs="Times New Roman"/>
          <w:sz w:val="32"/>
          <w:szCs w:val="32"/>
          <w:highlight w:val="none"/>
          <w:lang w:eastAsia="zh-CN"/>
        </w:rPr>
        <w:t>自评结论及</w:t>
      </w:r>
      <w:r>
        <w:rPr>
          <w:rFonts w:hint="default" w:ascii="Times New Roman" w:hAnsi="Times New Roman" w:eastAsia="黑体" w:cs="Times New Roman"/>
          <w:sz w:val="32"/>
          <w:szCs w:val="32"/>
          <w:highlight w:val="none"/>
        </w:rPr>
        <w:t>建议</w:t>
      </w:r>
    </w:p>
    <w:p>
      <w:pPr>
        <w:pStyle w:val="6"/>
        <w:spacing w:before="111" w:line="304" w:lineRule="auto"/>
        <w:ind w:left="231" w:right="276" w:firstLine="640"/>
        <w:jc w:val="both"/>
        <w:rPr>
          <w:rFonts w:hint="eastAsia" w:ascii="Times New Roman" w:hAnsi="Times New Roman" w:eastAsia="仿宋_GB2312" w:cs="Times New Roman"/>
          <w:kern w:val="0"/>
          <w:sz w:val="32"/>
          <w:szCs w:val="32"/>
          <w:highlight w:val="none"/>
          <w:lang w:val="zh-CN" w:eastAsia="zh-CN" w:bidi="ar-SA"/>
        </w:rPr>
      </w:pPr>
      <w:r>
        <w:rPr>
          <w:rFonts w:hint="eastAsia" w:ascii="Times New Roman" w:hAnsi="Times New Roman" w:eastAsia="楷体_GB2312" w:cs="Times New Roman"/>
          <w:b/>
          <w:sz w:val="32"/>
          <w:szCs w:val="32"/>
          <w:highlight w:val="none"/>
          <w:lang w:val="zh-CN" w:eastAsia="zh-CN"/>
        </w:rPr>
        <w:t>（一）评价结论。</w:t>
      </w:r>
      <w:r>
        <w:rPr>
          <w:rFonts w:hint="eastAsia" w:ascii="Times New Roman" w:hAnsi="Times New Roman" w:eastAsia="仿宋_GB2312" w:cs="Times New Roman"/>
          <w:kern w:val="0"/>
          <w:sz w:val="32"/>
          <w:szCs w:val="32"/>
          <w:highlight w:val="none"/>
          <w:lang w:val="zh-CN" w:eastAsia="zh-CN" w:bidi="ar-SA"/>
        </w:rPr>
        <w:t>通过项目实施，较好完成了各项指标，自评得分情况如下：</w:t>
      </w:r>
    </w:p>
    <w:tbl>
      <w:tblPr>
        <w:tblStyle w:val="16"/>
        <w:tblW w:w="8837"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587"/>
        <w:gridCol w:w="1444"/>
        <w:gridCol w:w="1272"/>
        <w:gridCol w:w="1598"/>
        <w:gridCol w:w="404"/>
        <w:gridCol w:w="1194"/>
        <w:gridCol w:w="405"/>
        <w:gridCol w:w="862"/>
        <w:gridCol w:w="495"/>
        <w:gridCol w:w="57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630" w:hRule="atLeast"/>
        </w:trPr>
        <w:tc>
          <w:tcPr>
            <w:tcW w:w="58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预算执行情况（10分）</w:t>
            </w:r>
          </w:p>
        </w:tc>
        <w:tc>
          <w:tcPr>
            <w:tcW w:w="14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年度预算数（万元）</w:t>
            </w:r>
          </w:p>
        </w:tc>
        <w:tc>
          <w:tcPr>
            <w:tcW w:w="13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年初预算</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调整后预算数</w:t>
            </w:r>
          </w:p>
        </w:tc>
        <w:tc>
          <w:tcPr>
            <w:tcW w:w="203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预算执行数</w:t>
            </w:r>
          </w:p>
        </w:tc>
        <w:tc>
          <w:tcPr>
            <w:tcW w:w="8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预算执行率</w:t>
            </w:r>
          </w:p>
        </w:tc>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权重</w:t>
            </w:r>
          </w:p>
        </w:tc>
        <w:tc>
          <w:tcPr>
            <w:tcW w:w="4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得分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0" w:hRule="atLeast"/>
        </w:trPr>
        <w:tc>
          <w:tcPr>
            <w:tcW w:w="5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highlight w:val="none"/>
                <w:u w:val="none"/>
              </w:rPr>
            </w:pPr>
          </w:p>
        </w:tc>
        <w:tc>
          <w:tcPr>
            <w:tcW w:w="14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总额</w:t>
            </w:r>
          </w:p>
        </w:tc>
        <w:tc>
          <w:tcPr>
            <w:tcW w:w="13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50.00</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49.50</w:t>
            </w:r>
          </w:p>
        </w:tc>
        <w:tc>
          <w:tcPr>
            <w:tcW w:w="203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49.50</w:t>
            </w:r>
          </w:p>
        </w:tc>
        <w:tc>
          <w:tcPr>
            <w:tcW w:w="8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100.00%</w:t>
            </w:r>
          </w:p>
        </w:tc>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10</w:t>
            </w:r>
          </w:p>
        </w:tc>
        <w:tc>
          <w:tcPr>
            <w:tcW w:w="40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宋体" w:hAnsi="宋体" w:eastAsia="宋体" w:cs="宋体"/>
                <w:i w:val="0"/>
                <w:iCs w:val="0"/>
                <w:color w:val="000000"/>
                <w:sz w:val="18"/>
                <w:szCs w:val="18"/>
                <w:highlight w:val="none"/>
                <w:u w:val="none"/>
                <w:lang w:val="en-US" w:eastAsia="zh-CN"/>
              </w:rPr>
            </w:pPr>
            <w:r>
              <w:rPr>
                <w:rFonts w:hint="eastAsia" w:ascii="宋体" w:hAnsi="宋体" w:cs="宋体"/>
                <w:i w:val="0"/>
                <w:iCs w:val="0"/>
                <w:color w:val="000000"/>
                <w:sz w:val="18"/>
                <w:szCs w:val="18"/>
                <w:highlight w:val="none"/>
                <w:u w:val="none"/>
                <w:lang w:val="en-US" w:eastAsia="zh-CN"/>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2" w:hRule="atLeast"/>
        </w:trPr>
        <w:tc>
          <w:tcPr>
            <w:tcW w:w="5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highlight w:val="none"/>
                <w:u w:val="none"/>
              </w:rPr>
            </w:pPr>
          </w:p>
        </w:tc>
        <w:tc>
          <w:tcPr>
            <w:tcW w:w="14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其中：财政资金</w:t>
            </w:r>
          </w:p>
        </w:tc>
        <w:tc>
          <w:tcPr>
            <w:tcW w:w="13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50.00</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49.50</w:t>
            </w:r>
          </w:p>
        </w:tc>
        <w:tc>
          <w:tcPr>
            <w:tcW w:w="203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49.50</w:t>
            </w:r>
          </w:p>
        </w:tc>
        <w:tc>
          <w:tcPr>
            <w:tcW w:w="8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100.00%</w:t>
            </w:r>
          </w:p>
        </w:tc>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w:t>
            </w:r>
          </w:p>
        </w:tc>
        <w:tc>
          <w:tcPr>
            <w:tcW w:w="4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0" w:hRule="atLeast"/>
        </w:trPr>
        <w:tc>
          <w:tcPr>
            <w:tcW w:w="5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highlight w:val="none"/>
                <w:u w:val="none"/>
              </w:rPr>
            </w:pPr>
          </w:p>
        </w:tc>
        <w:tc>
          <w:tcPr>
            <w:tcW w:w="14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财政专户管理资金</w:t>
            </w:r>
          </w:p>
        </w:tc>
        <w:tc>
          <w:tcPr>
            <w:tcW w:w="13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0.00</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0.00</w:t>
            </w:r>
          </w:p>
        </w:tc>
        <w:tc>
          <w:tcPr>
            <w:tcW w:w="203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0.00</w:t>
            </w:r>
          </w:p>
        </w:tc>
        <w:tc>
          <w:tcPr>
            <w:tcW w:w="8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0.00%</w:t>
            </w:r>
          </w:p>
        </w:tc>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w:t>
            </w:r>
          </w:p>
        </w:tc>
        <w:tc>
          <w:tcPr>
            <w:tcW w:w="4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4" w:hRule="atLeast"/>
        </w:trPr>
        <w:tc>
          <w:tcPr>
            <w:tcW w:w="5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highlight w:val="none"/>
                <w:u w:val="none"/>
              </w:rPr>
            </w:pPr>
          </w:p>
        </w:tc>
        <w:tc>
          <w:tcPr>
            <w:tcW w:w="14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单位资金</w:t>
            </w:r>
          </w:p>
        </w:tc>
        <w:tc>
          <w:tcPr>
            <w:tcW w:w="13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0.00</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0.00</w:t>
            </w:r>
          </w:p>
        </w:tc>
        <w:tc>
          <w:tcPr>
            <w:tcW w:w="203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0.00</w:t>
            </w:r>
          </w:p>
        </w:tc>
        <w:tc>
          <w:tcPr>
            <w:tcW w:w="8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0.00%</w:t>
            </w:r>
          </w:p>
        </w:tc>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w:t>
            </w:r>
          </w:p>
        </w:tc>
        <w:tc>
          <w:tcPr>
            <w:tcW w:w="4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3" w:hRule="atLeast"/>
        </w:trPr>
        <w:tc>
          <w:tcPr>
            <w:tcW w:w="5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highlight w:val="none"/>
                <w:u w:val="none"/>
              </w:rPr>
            </w:pPr>
          </w:p>
        </w:tc>
        <w:tc>
          <w:tcPr>
            <w:tcW w:w="14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其他资金</w:t>
            </w:r>
          </w:p>
        </w:tc>
        <w:tc>
          <w:tcPr>
            <w:tcW w:w="13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highlight w:val="none"/>
                <w:u w:val="none"/>
              </w:rPr>
            </w:pP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highlight w:val="none"/>
                <w:u w:val="none"/>
              </w:rPr>
            </w:pPr>
          </w:p>
        </w:tc>
        <w:tc>
          <w:tcPr>
            <w:tcW w:w="203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highlight w:val="none"/>
                <w:u w:val="none"/>
              </w:rPr>
            </w:pPr>
          </w:p>
        </w:tc>
        <w:tc>
          <w:tcPr>
            <w:tcW w:w="86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highlight w:val="none"/>
                <w:u w:val="none"/>
              </w:rPr>
            </w:pPr>
          </w:p>
        </w:tc>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w:t>
            </w:r>
          </w:p>
        </w:tc>
        <w:tc>
          <w:tcPr>
            <w:tcW w:w="4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50" w:hRule="atLeast"/>
        </w:trPr>
        <w:tc>
          <w:tcPr>
            <w:tcW w:w="58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绩效指标（90分）</w:t>
            </w:r>
          </w:p>
        </w:tc>
        <w:tc>
          <w:tcPr>
            <w:tcW w:w="14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一级指标</w:t>
            </w:r>
          </w:p>
        </w:tc>
        <w:tc>
          <w:tcPr>
            <w:tcW w:w="13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二级指标</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三级指标</w:t>
            </w:r>
          </w:p>
        </w:tc>
        <w:tc>
          <w:tcPr>
            <w:tcW w:w="4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指标性质</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指标值</w:t>
            </w:r>
          </w:p>
        </w:tc>
        <w:tc>
          <w:tcPr>
            <w:tcW w:w="4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度量单位</w:t>
            </w:r>
          </w:p>
        </w:tc>
        <w:tc>
          <w:tcPr>
            <w:tcW w:w="8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完成值</w:t>
            </w:r>
          </w:p>
        </w:tc>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权重</w:t>
            </w:r>
          </w:p>
        </w:tc>
        <w:tc>
          <w:tcPr>
            <w:tcW w:w="4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得分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0" w:hRule="atLeast"/>
        </w:trPr>
        <w:tc>
          <w:tcPr>
            <w:tcW w:w="5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highlight w:val="none"/>
                <w:u w:val="none"/>
              </w:rPr>
            </w:pPr>
          </w:p>
        </w:tc>
        <w:tc>
          <w:tcPr>
            <w:tcW w:w="149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产出指标</w:t>
            </w:r>
          </w:p>
        </w:tc>
        <w:tc>
          <w:tcPr>
            <w:tcW w:w="130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数量指标</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返乡农民工创业个数</w:t>
            </w:r>
          </w:p>
        </w:tc>
        <w:tc>
          <w:tcPr>
            <w:tcW w:w="4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20</w:t>
            </w:r>
          </w:p>
        </w:tc>
        <w:tc>
          <w:tcPr>
            <w:tcW w:w="4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个</w:t>
            </w:r>
          </w:p>
        </w:tc>
        <w:tc>
          <w:tcPr>
            <w:tcW w:w="8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iCs/>
                <w:color w:val="000000"/>
                <w:sz w:val="16"/>
                <w:szCs w:val="16"/>
                <w:highlight w:val="none"/>
                <w:u w:val="none"/>
              </w:rPr>
            </w:pPr>
            <w:r>
              <w:rPr>
                <w:rFonts w:hint="eastAsia" w:ascii="宋体" w:hAnsi="宋体" w:eastAsia="宋体" w:cs="宋体"/>
                <w:i w:val="0"/>
                <w:iCs w:val="0"/>
                <w:color w:val="000000"/>
                <w:kern w:val="0"/>
                <w:sz w:val="18"/>
                <w:szCs w:val="18"/>
                <w:highlight w:val="none"/>
                <w:u w:val="none"/>
                <w:lang w:val="en-US" w:eastAsia="zh-CN" w:bidi="ar"/>
              </w:rPr>
              <w:t>70</w:t>
            </w:r>
            <w:r>
              <w:rPr>
                <w:rFonts w:hint="eastAsia" w:ascii="宋体" w:hAnsi="宋体" w:cs="宋体"/>
                <w:i w:val="0"/>
                <w:iCs w:val="0"/>
                <w:color w:val="000000"/>
                <w:kern w:val="0"/>
                <w:sz w:val="18"/>
                <w:szCs w:val="18"/>
                <w:highlight w:val="none"/>
                <w:u w:val="none"/>
                <w:lang w:val="en-US" w:eastAsia="zh-CN" w:bidi="ar"/>
              </w:rPr>
              <w:t>个</w:t>
            </w:r>
          </w:p>
        </w:tc>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10</w:t>
            </w:r>
          </w:p>
        </w:tc>
        <w:tc>
          <w:tcPr>
            <w:tcW w:w="40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宋体" w:hAnsi="宋体" w:eastAsia="宋体" w:cs="宋体"/>
                <w:i w:val="0"/>
                <w:iCs w:val="0"/>
                <w:color w:val="000000"/>
                <w:sz w:val="18"/>
                <w:szCs w:val="18"/>
                <w:highlight w:val="none"/>
                <w:u w:val="none"/>
                <w:lang w:val="en-US" w:eastAsia="zh-CN"/>
              </w:rPr>
            </w:pPr>
            <w:r>
              <w:rPr>
                <w:rFonts w:hint="eastAsia" w:ascii="宋体" w:hAnsi="宋体" w:cs="宋体"/>
                <w:i w:val="0"/>
                <w:iCs w:val="0"/>
                <w:color w:val="000000"/>
                <w:sz w:val="18"/>
                <w:szCs w:val="18"/>
                <w:highlight w:val="none"/>
                <w:u w:val="none"/>
                <w:lang w:val="en-US" w:eastAsia="zh-CN"/>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0" w:hRule="atLeast"/>
        </w:trPr>
        <w:tc>
          <w:tcPr>
            <w:tcW w:w="5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highlight w:val="none"/>
                <w:u w:val="none"/>
              </w:rPr>
            </w:pPr>
          </w:p>
        </w:tc>
        <w:tc>
          <w:tcPr>
            <w:tcW w:w="14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highlight w:val="none"/>
                <w:u w:val="none"/>
              </w:rPr>
            </w:pPr>
          </w:p>
        </w:tc>
        <w:tc>
          <w:tcPr>
            <w:tcW w:w="13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highlight w:val="none"/>
                <w:u w:val="none"/>
              </w:rPr>
            </w:pP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脱贫人口创办领办创业实体个数</w:t>
            </w:r>
          </w:p>
        </w:tc>
        <w:tc>
          <w:tcPr>
            <w:tcW w:w="4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10</w:t>
            </w:r>
          </w:p>
        </w:tc>
        <w:tc>
          <w:tcPr>
            <w:tcW w:w="4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个</w:t>
            </w:r>
          </w:p>
        </w:tc>
        <w:tc>
          <w:tcPr>
            <w:tcW w:w="8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iCs/>
                <w:color w:val="000000"/>
                <w:sz w:val="16"/>
                <w:szCs w:val="16"/>
                <w:highlight w:val="none"/>
                <w:u w:val="none"/>
              </w:rPr>
            </w:pPr>
            <w:r>
              <w:rPr>
                <w:rFonts w:hint="eastAsia" w:ascii="宋体" w:hAnsi="宋体" w:eastAsia="宋体" w:cs="宋体"/>
                <w:i w:val="0"/>
                <w:iCs w:val="0"/>
                <w:color w:val="000000"/>
                <w:kern w:val="0"/>
                <w:sz w:val="18"/>
                <w:szCs w:val="18"/>
                <w:highlight w:val="none"/>
                <w:u w:val="none"/>
                <w:lang w:val="en-US" w:eastAsia="zh-CN" w:bidi="ar"/>
              </w:rPr>
              <w:t>27</w:t>
            </w:r>
            <w:r>
              <w:rPr>
                <w:rFonts w:hint="eastAsia" w:ascii="宋体" w:hAnsi="宋体" w:cs="宋体"/>
                <w:i w:val="0"/>
                <w:iCs w:val="0"/>
                <w:color w:val="000000"/>
                <w:kern w:val="0"/>
                <w:sz w:val="18"/>
                <w:szCs w:val="18"/>
                <w:highlight w:val="none"/>
                <w:u w:val="none"/>
                <w:lang w:val="en-US" w:eastAsia="zh-CN" w:bidi="ar"/>
              </w:rPr>
              <w:t>个</w:t>
            </w:r>
          </w:p>
        </w:tc>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10</w:t>
            </w:r>
          </w:p>
        </w:tc>
        <w:tc>
          <w:tcPr>
            <w:tcW w:w="40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宋体" w:hAnsi="宋体" w:eastAsia="宋体" w:cs="宋体"/>
                <w:i w:val="0"/>
                <w:iCs w:val="0"/>
                <w:color w:val="000000"/>
                <w:sz w:val="18"/>
                <w:szCs w:val="18"/>
                <w:highlight w:val="none"/>
                <w:u w:val="none"/>
                <w:lang w:val="en-US" w:eastAsia="zh-CN"/>
              </w:rPr>
            </w:pPr>
            <w:r>
              <w:rPr>
                <w:rFonts w:hint="eastAsia" w:ascii="宋体" w:hAnsi="宋体" w:cs="宋体"/>
                <w:i w:val="0"/>
                <w:iCs w:val="0"/>
                <w:color w:val="000000"/>
                <w:sz w:val="18"/>
                <w:szCs w:val="18"/>
                <w:highlight w:val="none"/>
                <w:u w:val="none"/>
                <w:lang w:val="en-US" w:eastAsia="zh-CN"/>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0" w:hRule="atLeast"/>
        </w:trPr>
        <w:tc>
          <w:tcPr>
            <w:tcW w:w="5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highlight w:val="none"/>
                <w:u w:val="none"/>
              </w:rPr>
            </w:pPr>
          </w:p>
        </w:tc>
        <w:tc>
          <w:tcPr>
            <w:tcW w:w="14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highlight w:val="none"/>
                <w:u w:val="none"/>
              </w:rPr>
            </w:pPr>
          </w:p>
        </w:tc>
        <w:tc>
          <w:tcPr>
            <w:tcW w:w="130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质量指标</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公益性岗位补贴按时足额发放</w:t>
            </w:r>
          </w:p>
        </w:tc>
        <w:tc>
          <w:tcPr>
            <w:tcW w:w="4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定性</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优良中低差</w:t>
            </w:r>
          </w:p>
        </w:tc>
        <w:tc>
          <w:tcPr>
            <w:tcW w:w="4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w:t>
            </w:r>
          </w:p>
        </w:tc>
        <w:tc>
          <w:tcPr>
            <w:tcW w:w="8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iCs/>
                <w:color w:val="000000"/>
                <w:sz w:val="16"/>
                <w:szCs w:val="16"/>
                <w:highlight w:val="none"/>
                <w:u w:val="none"/>
              </w:rPr>
            </w:pPr>
            <w:r>
              <w:rPr>
                <w:rFonts w:hint="eastAsia" w:ascii="宋体" w:hAnsi="宋体" w:eastAsia="宋体" w:cs="宋体"/>
                <w:i w:val="0"/>
                <w:iCs w:val="0"/>
                <w:color w:val="000000"/>
                <w:kern w:val="0"/>
                <w:sz w:val="18"/>
                <w:szCs w:val="18"/>
                <w:highlight w:val="none"/>
                <w:u w:val="none"/>
                <w:lang w:val="en-US" w:eastAsia="zh-CN" w:bidi="ar"/>
              </w:rPr>
              <w:t>优</w:t>
            </w:r>
          </w:p>
        </w:tc>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10</w:t>
            </w:r>
          </w:p>
        </w:tc>
        <w:tc>
          <w:tcPr>
            <w:tcW w:w="40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宋体" w:hAnsi="宋体" w:eastAsia="宋体" w:cs="宋体"/>
                <w:i w:val="0"/>
                <w:iCs w:val="0"/>
                <w:color w:val="000000"/>
                <w:sz w:val="18"/>
                <w:szCs w:val="18"/>
                <w:highlight w:val="none"/>
                <w:u w:val="none"/>
                <w:lang w:val="en-US" w:eastAsia="zh-CN"/>
              </w:rPr>
            </w:pPr>
            <w:r>
              <w:rPr>
                <w:rFonts w:hint="eastAsia" w:ascii="宋体" w:hAnsi="宋体" w:cs="宋体"/>
                <w:i w:val="0"/>
                <w:iCs w:val="0"/>
                <w:color w:val="000000"/>
                <w:sz w:val="18"/>
                <w:szCs w:val="18"/>
                <w:highlight w:val="none"/>
                <w:u w:val="none"/>
                <w:lang w:val="en-US" w:eastAsia="zh-CN"/>
              </w:rPr>
              <w:t>9.9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40" w:hRule="atLeast"/>
        </w:trPr>
        <w:tc>
          <w:tcPr>
            <w:tcW w:w="5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highlight w:val="none"/>
                <w:u w:val="none"/>
              </w:rPr>
            </w:pPr>
          </w:p>
        </w:tc>
        <w:tc>
          <w:tcPr>
            <w:tcW w:w="14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highlight w:val="none"/>
                <w:u w:val="none"/>
              </w:rPr>
            </w:pPr>
          </w:p>
        </w:tc>
        <w:tc>
          <w:tcPr>
            <w:tcW w:w="13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highlight w:val="none"/>
                <w:u w:val="none"/>
              </w:rPr>
            </w:pP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社会保险补贴、高校毕业生就业见习补贴发放率</w:t>
            </w:r>
          </w:p>
        </w:tc>
        <w:tc>
          <w:tcPr>
            <w:tcW w:w="4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100</w:t>
            </w:r>
          </w:p>
        </w:tc>
        <w:tc>
          <w:tcPr>
            <w:tcW w:w="4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w:t>
            </w:r>
          </w:p>
        </w:tc>
        <w:tc>
          <w:tcPr>
            <w:tcW w:w="8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iCs/>
                <w:color w:val="000000"/>
                <w:sz w:val="16"/>
                <w:szCs w:val="16"/>
                <w:highlight w:val="none"/>
                <w:u w:val="none"/>
              </w:rPr>
            </w:pPr>
            <w:r>
              <w:rPr>
                <w:rFonts w:hint="eastAsia" w:ascii="宋体" w:hAnsi="宋体" w:eastAsia="宋体" w:cs="宋体"/>
                <w:i w:val="0"/>
                <w:iCs w:val="0"/>
                <w:color w:val="000000"/>
                <w:kern w:val="0"/>
                <w:sz w:val="18"/>
                <w:szCs w:val="18"/>
                <w:highlight w:val="none"/>
                <w:u w:val="none"/>
                <w:lang w:val="en-US" w:eastAsia="zh-CN" w:bidi="ar"/>
              </w:rPr>
              <w:t>100%</w:t>
            </w:r>
          </w:p>
        </w:tc>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10</w:t>
            </w:r>
          </w:p>
        </w:tc>
        <w:tc>
          <w:tcPr>
            <w:tcW w:w="40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宋体" w:hAnsi="宋体" w:eastAsia="宋体" w:cs="宋体"/>
                <w:i w:val="0"/>
                <w:iCs w:val="0"/>
                <w:color w:val="000000"/>
                <w:sz w:val="18"/>
                <w:szCs w:val="18"/>
                <w:highlight w:val="none"/>
                <w:u w:val="none"/>
                <w:lang w:val="en-US" w:eastAsia="zh-CN"/>
              </w:rPr>
            </w:pPr>
            <w:r>
              <w:rPr>
                <w:rFonts w:hint="eastAsia" w:ascii="宋体" w:hAnsi="宋体" w:cs="宋体"/>
                <w:i w:val="0"/>
                <w:iCs w:val="0"/>
                <w:color w:val="000000"/>
                <w:sz w:val="18"/>
                <w:szCs w:val="18"/>
                <w:highlight w:val="none"/>
                <w:u w:val="none"/>
                <w:lang w:val="en-US" w:eastAsia="zh-CN"/>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5" w:hRule="atLeast"/>
        </w:trPr>
        <w:tc>
          <w:tcPr>
            <w:tcW w:w="5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highlight w:val="none"/>
                <w:u w:val="none"/>
              </w:rPr>
            </w:pPr>
          </w:p>
        </w:tc>
        <w:tc>
          <w:tcPr>
            <w:tcW w:w="14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highlight w:val="none"/>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时效指标</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完成年限</w:t>
            </w:r>
          </w:p>
        </w:tc>
        <w:tc>
          <w:tcPr>
            <w:tcW w:w="4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w:t>
            </w:r>
          </w:p>
        </w:tc>
        <w:tc>
          <w:tcPr>
            <w:tcW w:w="4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年</w:t>
            </w:r>
          </w:p>
        </w:tc>
        <w:tc>
          <w:tcPr>
            <w:tcW w:w="8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iCs/>
                <w:color w:val="000000"/>
                <w:sz w:val="16"/>
                <w:szCs w:val="16"/>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r>
              <w:rPr>
                <w:rFonts w:hint="eastAsia" w:ascii="宋体" w:hAnsi="宋体" w:cs="宋体"/>
                <w:i w:val="0"/>
                <w:iCs w:val="0"/>
                <w:color w:val="000000"/>
                <w:kern w:val="0"/>
                <w:sz w:val="18"/>
                <w:szCs w:val="18"/>
                <w:highlight w:val="none"/>
                <w:u w:val="none"/>
                <w:lang w:val="en-US" w:eastAsia="zh-CN" w:bidi="ar"/>
              </w:rPr>
              <w:t>年</w:t>
            </w:r>
          </w:p>
        </w:tc>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5</w:t>
            </w:r>
          </w:p>
        </w:tc>
        <w:tc>
          <w:tcPr>
            <w:tcW w:w="40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宋体" w:hAnsi="宋体" w:eastAsia="宋体" w:cs="宋体"/>
                <w:i w:val="0"/>
                <w:iCs w:val="0"/>
                <w:color w:val="000000"/>
                <w:sz w:val="18"/>
                <w:szCs w:val="18"/>
                <w:highlight w:val="none"/>
                <w:u w:val="none"/>
                <w:lang w:val="en-US" w:eastAsia="zh-CN"/>
              </w:rPr>
            </w:pPr>
            <w:r>
              <w:rPr>
                <w:rFonts w:hint="eastAsia" w:ascii="宋体" w:hAnsi="宋体" w:cs="宋体"/>
                <w:i w:val="0"/>
                <w:iCs w:val="0"/>
                <w:color w:val="000000"/>
                <w:sz w:val="18"/>
                <w:szCs w:val="18"/>
                <w:highlight w:val="none"/>
                <w:u w:val="none"/>
                <w:lang w:val="en-US" w:eastAsia="zh-CN"/>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40" w:hRule="atLeast"/>
        </w:trPr>
        <w:tc>
          <w:tcPr>
            <w:tcW w:w="5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highlight w:val="none"/>
                <w:u w:val="none"/>
              </w:rPr>
            </w:pPr>
          </w:p>
        </w:tc>
        <w:tc>
          <w:tcPr>
            <w:tcW w:w="14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highlight w:val="none"/>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成本指标</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就业创业工作经费控制在预算批复之内</w:t>
            </w:r>
          </w:p>
        </w:tc>
        <w:tc>
          <w:tcPr>
            <w:tcW w:w="4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50</w:t>
            </w:r>
          </w:p>
        </w:tc>
        <w:tc>
          <w:tcPr>
            <w:tcW w:w="4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万元</w:t>
            </w:r>
          </w:p>
        </w:tc>
        <w:tc>
          <w:tcPr>
            <w:tcW w:w="8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iCs/>
                <w:color w:val="000000"/>
                <w:sz w:val="16"/>
                <w:szCs w:val="16"/>
                <w:highlight w:val="none"/>
                <w:u w:val="none"/>
              </w:rPr>
            </w:pPr>
            <w:r>
              <w:rPr>
                <w:rFonts w:hint="eastAsia" w:ascii="宋体" w:hAnsi="宋体" w:eastAsia="宋体" w:cs="宋体"/>
                <w:i w:val="0"/>
                <w:iCs w:val="0"/>
                <w:color w:val="000000"/>
                <w:kern w:val="0"/>
                <w:sz w:val="18"/>
                <w:szCs w:val="18"/>
                <w:highlight w:val="none"/>
                <w:u w:val="none"/>
                <w:lang w:val="en-US" w:eastAsia="zh-CN" w:bidi="ar"/>
              </w:rPr>
              <w:t>50</w:t>
            </w:r>
            <w:r>
              <w:rPr>
                <w:rFonts w:hint="eastAsia" w:ascii="宋体" w:hAnsi="宋体" w:cs="宋体"/>
                <w:i w:val="0"/>
                <w:iCs w:val="0"/>
                <w:color w:val="000000"/>
                <w:kern w:val="0"/>
                <w:sz w:val="18"/>
                <w:szCs w:val="18"/>
                <w:highlight w:val="none"/>
                <w:u w:val="none"/>
                <w:lang w:val="en-US" w:eastAsia="zh-CN" w:bidi="ar"/>
              </w:rPr>
              <w:t>万元</w:t>
            </w:r>
          </w:p>
        </w:tc>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5</w:t>
            </w:r>
          </w:p>
        </w:tc>
        <w:tc>
          <w:tcPr>
            <w:tcW w:w="40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highlight w:val="none"/>
                <w:u w:val="none"/>
                <w:lang w:val="en-US" w:eastAsia="zh-CN"/>
              </w:rPr>
            </w:pPr>
            <w:r>
              <w:rPr>
                <w:rFonts w:hint="eastAsia" w:ascii="宋体" w:hAnsi="宋体" w:cs="宋体"/>
                <w:i w:val="0"/>
                <w:iCs w:val="0"/>
                <w:color w:val="000000"/>
                <w:sz w:val="18"/>
                <w:szCs w:val="18"/>
                <w:highlight w:val="none"/>
                <w:u w:val="none"/>
                <w:lang w:val="en-US" w:eastAsia="zh-CN"/>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0" w:hRule="atLeast"/>
        </w:trPr>
        <w:tc>
          <w:tcPr>
            <w:tcW w:w="5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highlight w:val="none"/>
                <w:u w:val="none"/>
              </w:rPr>
            </w:pPr>
          </w:p>
        </w:tc>
        <w:tc>
          <w:tcPr>
            <w:tcW w:w="149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效益指标</w:t>
            </w:r>
          </w:p>
        </w:tc>
        <w:tc>
          <w:tcPr>
            <w:tcW w:w="130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社会效益指标</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“十四五”期间城镇登记失业率</w:t>
            </w:r>
          </w:p>
        </w:tc>
        <w:tc>
          <w:tcPr>
            <w:tcW w:w="4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4</w:t>
            </w:r>
          </w:p>
        </w:tc>
        <w:tc>
          <w:tcPr>
            <w:tcW w:w="4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w:t>
            </w:r>
          </w:p>
        </w:tc>
        <w:tc>
          <w:tcPr>
            <w:tcW w:w="8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iCs/>
                <w:color w:val="000000"/>
                <w:sz w:val="16"/>
                <w:szCs w:val="16"/>
                <w:highlight w:val="none"/>
                <w:u w:val="none"/>
              </w:rPr>
            </w:pPr>
            <w:r>
              <w:rPr>
                <w:rFonts w:hint="eastAsia" w:ascii="宋体" w:hAnsi="宋体" w:eastAsia="宋体" w:cs="宋体"/>
                <w:i w:val="0"/>
                <w:iCs w:val="0"/>
                <w:color w:val="000000"/>
                <w:kern w:val="0"/>
                <w:sz w:val="18"/>
                <w:szCs w:val="18"/>
                <w:highlight w:val="none"/>
                <w:u w:val="none"/>
                <w:lang w:val="en-US" w:eastAsia="zh-CN" w:bidi="ar"/>
              </w:rPr>
              <w:t>3.4%</w:t>
            </w:r>
          </w:p>
        </w:tc>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10</w:t>
            </w:r>
          </w:p>
        </w:tc>
        <w:tc>
          <w:tcPr>
            <w:tcW w:w="40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宋体" w:hAnsi="宋体" w:eastAsia="宋体" w:cs="宋体"/>
                <w:i w:val="0"/>
                <w:iCs w:val="0"/>
                <w:color w:val="000000"/>
                <w:sz w:val="18"/>
                <w:szCs w:val="18"/>
                <w:highlight w:val="none"/>
                <w:u w:val="none"/>
                <w:lang w:val="en-US" w:eastAsia="zh-CN"/>
              </w:rPr>
            </w:pPr>
            <w:r>
              <w:rPr>
                <w:rFonts w:hint="eastAsia" w:ascii="宋体" w:hAnsi="宋体" w:cs="宋体"/>
                <w:i w:val="0"/>
                <w:iCs w:val="0"/>
                <w:color w:val="000000"/>
                <w:sz w:val="18"/>
                <w:szCs w:val="18"/>
                <w:highlight w:val="none"/>
                <w:u w:val="none"/>
                <w:lang w:val="en-US" w:eastAsia="zh-CN"/>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40" w:hRule="atLeast"/>
        </w:trPr>
        <w:tc>
          <w:tcPr>
            <w:tcW w:w="5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highlight w:val="none"/>
                <w:u w:val="none"/>
              </w:rPr>
            </w:pPr>
          </w:p>
        </w:tc>
        <w:tc>
          <w:tcPr>
            <w:tcW w:w="14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highlight w:val="none"/>
                <w:u w:val="none"/>
              </w:rPr>
            </w:pPr>
          </w:p>
        </w:tc>
        <w:tc>
          <w:tcPr>
            <w:tcW w:w="13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highlight w:val="none"/>
                <w:u w:val="none"/>
              </w:rPr>
            </w:pP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“十四五”期间实现城镇新增就业人数</w:t>
            </w:r>
          </w:p>
        </w:tc>
        <w:tc>
          <w:tcPr>
            <w:tcW w:w="4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1300</w:t>
            </w:r>
          </w:p>
        </w:tc>
        <w:tc>
          <w:tcPr>
            <w:tcW w:w="4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人</w:t>
            </w:r>
          </w:p>
        </w:tc>
        <w:tc>
          <w:tcPr>
            <w:tcW w:w="8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iCs/>
                <w:color w:val="000000"/>
                <w:sz w:val="16"/>
                <w:szCs w:val="16"/>
                <w:highlight w:val="none"/>
                <w:u w:val="none"/>
              </w:rPr>
            </w:pPr>
            <w:r>
              <w:rPr>
                <w:rFonts w:hint="eastAsia" w:ascii="宋体" w:hAnsi="宋体" w:eastAsia="宋体" w:cs="宋体"/>
                <w:i w:val="0"/>
                <w:iCs w:val="0"/>
                <w:color w:val="000000"/>
                <w:kern w:val="0"/>
                <w:sz w:val="18"/>
                <w:szCs w:val="18"/>
                <w:highlight w:val="none"/>
                <w:u w:val="none"/>
                <w:lang w:val="en-US" w:eastAsia="zh-CN" w:bidi="ar"/>
              </w:rPr>
              <w:t>1600</w:t>
            </w:r>
            <w:r>
              <w:rPr>
                <w:rFonts w:hint="eastAsia" w:ascii="宋体" w:hAnsi="宋体" w:cs="宋体"/>
                <w:i w:val="0"/>
                <w:iCs w:val="0"/>
                <w:color w:val="000000"/>
                <w:kern w:val="0"/>
                <w:sz w:val="18"/>
                <w:szCs w:val="18"/>
                <w:highlight w:val="none"/>
                <w:u w:val="none"/>
                <w:lang w:val="en-US" w:eastAsia="zh-CN" w:bidi="ar"/>
              </w:rPr>
              <w:t>人</w:t>
            </w:r>
          </w:p>
        </w:tc>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10</w:t>
            </w:r>
          </w:p>
        </w:tc>
        <w:tc>
          <w:tcPr>
            <w:tcW w:w="40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宋体" w:hAnsi="宋体" w:eastAsia="宋体" w:cs="宋体"/>
                <w:i w:val="0"/>
                <w:iCs w:val="0"/>
                <w:color w:val="000000"/>
                <w:sz w:val="18"/>
                <w:szCs w:val="18"/>
                <w:highlight w:val="none"/>
                <w:u w:val="none"/>
                <w:lang w:val="en-US" w:eastAsia="zh-CN"/>
              </w:rPr>
            </w:pPr>
            <w:r>
              <w:rPr>
                <w:rFonts w:hint="eastAsia" w:ascii="宋体" w:hAnsi="宋体" w:cs="宋体"/>
                <w:i w:val="0"/>
                <w:iCs w:val="0"/>
                <w:color w:val="000000"/>
                <w:sz w:val="18"/>
                <w:szCs w:val="18"/>
                <w:highlight w:val="none"/>
                <w:u w:val="none"/>
                <w:lang w:val="en-US" w:eastAsia="zh-CN"/>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0" w:hRule="atLeast"/>
        </w:trPr>
        <w:tc>
          <w:tcPr>
            <w:tcW w:w="5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highlight w:val="none"/>
                <w:u w:val="none"/>
              </w:rPr>
            </w:pPr>
          </w:p>
        </w:tc>
        <w:tc>
          <w:tcPr>
            <w:tcW w:w="14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highlight w:val="none"/>
                <w:u w:val="none"/>
              </w:rPr>
            </w:pPr>
          </w:p>
        </w:tc>
        <w:tc>
          <w:tcPr>
            <w:tcW w:w="13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highlight w:val="none"/>
                <w:u w:val="none"/>
              </w:rPr>
            </w:pP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促进更加充分和高质量就业</w:t>
            </w:r>
          </w:p>
        </w:tc>
        <w:tc>
          <w:tcPr>
            <w:tcW w:w="4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定性</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优良中低差</w:t>
            </w:r>
          </w:p>
        </w:tc>
        <w:tc>
          <w:tcPr>
            <w:tcW w:w="4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highlight w:val="none"/>
                <w:u w:val="none"/>
              </w:rPr>
            </w:pPr>
          </w:p>
        </w:tc>
        <w:tc>
          <w:tcPr>
            <w:tcW w:w="8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iCs/>
                <w:color w:val="000000"/>
                <w:sz w:val="16"/>
                <w:szCs w:val="16"/>
                <w:highlight w:val="none"/>
                <w:u w:val="none"/>
              </w:rPr>
            </w:pPr>
            <w:r>
              <w:rPr>
                <w:rFonts w:hint="eastAsia" w:ascii="宋体" w:hAnsi="宋体" w:eastAsia="宋体" w:cs="宋体"/>
                <w:i w:val="0"/>
                <w:iCs w:val="0"/>
                <w:color w:val="000000"/>
                <w:kern w:val="0"/>
                <w:sz w:val="18"/>
                <w:szCs w:val="18"/>
                <w:highlight w:val="none"/>
                <w:u w:val="none"/>
                <w:lang w:val="en-US" w:eastAsia="zh-CN" w:bidi="ar"/>
              </w:rPr>
              <w:t>优</w:t>
            </w:r>
          </w:p>
        </w:tc>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10</w:t>
            </w:r>
          </w:p>
        </w:tc>
        <w:tc>
          <w:tcPr>
            <w:tcW w:w="40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宋体" w:hAnsi="宋体" w:eastAsia="宋体" w:cs="宋体"/>
                <w:i w:val="0"/>
                <w:iCs w:val="0"/>
                <w:color w:val="000000"/>
                <w:sz w:val="18"/>
                <w:szCs w:val="18"/>
                <w:highlight w:val="none"/>
                <w:u w:val="none"/>
                <w:lang w:val="en-US" w:eastAsia="zh-CN"/>
              </w:rPr>
            </w:pPr>
            <w:r>
              <w:rPr>
                <w:rFonts w:hint="eastAsia" w:ascii="宋体" w:hAnsi="宋体" w:cs="宋体"/>
                <w:i w:val="0"/>
                <w:iCs w:val="0"/>
                <w:color w:val="000000"/>
                <w:sz w:val="18"/>
                <w:szCs w:val="18"/>
                <w:highlight w:val="none"/>
                <w:u w:val="none"/>
                <w:lang w:val="en-US" w:eastAsia="zh-CN"/>
              </w:rPr>
              <w:t>9.8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0" w:hRule="atLeast"/>
        </w:trPr>
        <w:tc>
          <w:tcPr>
            <w:tcW w:w="5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highlight w:val="none"/>
                <w:u w:val="none"/>
              </w:rPr>
            </w:pPr>
          </w:p>
        </w:tc>
        <w:tc>
          <w:tcPr>
            <w:tcW w:w="14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满意度指标</w:t>
            </w:r>
          </w:p>
        </w:tc>
        <w:tc>
          <w:tcPr>
            <w:tcW w:w="13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服务对象满意度指标</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各类就业服务对象满意度</w:t>
            </w:r>
          </w:p>
        </w:tc>
        <w:tc>
          <w:tcPr>
            <w:tcW w:w="4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90</w:t>
            </w:r>
          </w:p>
        </w:tc>
        <w:tc>
          <w:tcPr>
            <w:tcW w:w="4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w:t>
            </w:r>
          </w:p>
        </w:tc>
        <w:tc>
          <w:tcPr>
            <w:tcW w:w="8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iCs/>
                <w:color w:val="000000"/>
                <w:sz w:val="16"/>
                <w:szCs w:val="16"/>
                <w:highlight w:val="none"/>
                <w:u w:val="none"/>
              </w:rPr>
            </w:pPr>
            <w:r>
              <w:rPr>
                <w:rFonts w:hint="eastAsia" w:ascii="宋体" w:hAnsi="宋体" w:eastAsia="宋体" w:cs="宋体"/>
                <w:i w:val="0"/>
                <w:iCs w:val="0"/>
                <w:color w:val="000000"/>
                <w:kern w:val="0"/>
                <w:sz w:val="18"/>
                <w:szCs w:val="18"/>
                <w:highlight w:val="none"/>
                <w:u w:val="none"/>
                <w:lang w:val="en-US" w:eastAsia="zh-CN" w:bidi="ar"/>
              </w:rPr>
              <w:t>95%</w:t>
            </w:r>
          </w:p>
        </w:tc>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10</w:t>
            </w:r>
          </w:p>
        </w:tc>
        <w:tc>
          <w:tcPr>
            <w:tcW w:w="40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宋体" w:hAnsi="宋体" w:eastAsia="宋体" w:cs="宋体"/>
                <w:i w:val="0"/>
                <w:iCs w:val="0"/>
                <w:color w:val="000000"/>
                <w:sz w:val="18"/>
                <w:szCs w:val="18"/>
                <w:highlight w:val="none"/>
                <w:u w:val="none"/>
                <w:lang w:val="en-US" w:eastAsia="zh-CN"/>
              </w:rPr>
            </w:pPr>
            <w:r>
              <w:rPr>
                <w:rFonts w:hint="eastAsia" w:ascii="宋体" w:hAnsi="宋体" w:cs="宋体"/>
                <w:i w:val="0"/>
                <w:iCs w:val="0"/>
                <w:color w:val="000000"/>
                <w:sz w:val="18"/>
                <w:szCs w:val="18"/>
                <w:highlight w:val="none"/>
                <w:u w:val="none"/>
                <w:lang w:val="en-US" w:eastAsia="zh-CN"/>
              </w:rPr>
              <w:t>9.8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7937"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合计</w:t>
            </w:r>
          </w:p>
        </w:tc>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100</w:t>
            </w:r>
          </w:p>
        </w:tc>
        <w:tc>
          <w:tcPr>
            <w:tcW w:w="404"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default" w:ascii="宋体" w:hAnsi="宋体" w:eastAsia="宋体" w:cs="宋体"/>
                <w:i w:val="0"/>
                <w:iCs w:val="0"/>
                <w:color w:val="000000"/>
                <w:sz w:val="18"/>
                <w:szCs w:val="18"/>
                <w:highlight w:val="none"/>
                <w:u w:val="none"/>
                <w:lang w:val="en-US" w:eastAsia="zh-CN"/>
              </w:rPr>
            </w:pPr>
            <w:r>
              <w:rPr>
                <w:rFonts w:hint="eastAsia" w:ascii="宋体" w:hAnsi="宋体" w:cs="宋体"/>
                <w:i w:val="0"/>
                <w:iCs w:val="0"/>
                <w:color w:val="000000"/>
                <w:sz w:val="18"/>
                <w:szCs w:val="18"/>
                <w:highlight w:val="none"/>
                <w:u w:val="none"/>
                <w:lang w:val="en-US" w:eastAsia="zh-CN"/>
              </w:rPr>
              <w:t>99.5</w:t>
            </w:r>
          </w:p>
        </w:tc>
      </w:tr>
    </w:tbl>
    <w:p>
      <w:pPr>
        <w:keepNext w:val="0"/>
        <w:keepLines w:val="0"/>
        <w:pageBreakBefore w:val="0"/>
        <w:widowControl w:val="0"/>
        <w:kinsoku/>
        <w:wordWrap/>
        <w:overflowPunct/>
        <w:topLinePunct w:val="0"/>
        <w:autoSpaceDE/>
        <w:autoSpaceDN/>
        <w:bidi w:val="0"/>
        <w:adjustRightInd w:val="0"/>
        <w:snapToGrid w:val="0"/>
        <w:spacing w:line="576" w:lineRule="exact"/>
        <w:ind w:firstLine="321" w:firstLineChars="100"/>
        <w:textAlignment w:val="auto"/>
        <w:rPr>
          <w:rFonts w:hint="eastAsia" w:cs="Times New Roman"/>
          <w:sz w:val="32"/>
          <w:szCs w:val="32"/>
          <w:highlight w:val="none"/>
          <w:lang w:val="zh-CN"/>
        </w:rPr>
      </w:pPr>
      <w:r>
        <w:rPr>
          <w:rFonts w:hint="eastAsia" w:ascii="Times New Roman" w:hAnsi="Times New Roman" w:eastAsia="楷体_GB2312" w:cs="Times New Roman"/>
          <w:b/>
          <w:sz w:val="32"/>
          <w:szCs w:val="32"/>
          <w:highlight w:val="none"/>
          <w:lang w:val="zh-CN"/>
        </w:rPr>
        <w:t>（二）存在的问题。</w:t>
      </w:r>
      <w:r>
        <w:rPr>
          <w:rFonts w:hint="eastAsia" w:cs="Times New Roman"/>
          <w:sz w:val="32"/>
          <w:szCs w:val="32"/>
          <w:highlight w:val="none"/>
          <w:lang w:val="zh-CN"/>
        </w:rPr>
        <w:t>无。</w:t>
      </w:r>
    </w:p>
    <w:p>
      <w:pPr>
        <w:keepNext w:val="0"/>
        <w:keepLines w:val="0"/>
        <w:pageBreakBefore w:val="0"/>
        <w:widowControl w:val="0"/>
        <w:kinsoku/>
        <w:wordWrap/>
        <w:overflowPunct/>
        <w:topLinePunct w:val="0"/>
        <w:autoSpaceDE/>
        <w:autoSpaceDN/>
        <w:bidi w:val="0"/>
        <w:adjustRightInd w:val="0"/>
        <w:snapToGrid w:val="0"/>
        <w:spacing w:line="576" w:lineRule="exact"/>
        <w:ind w:firstLine="321" w:firstLineChars="100"/>
        <w:textAlignment w:val="auto"/>
        <w:rPr>
          <w:rFonts w:hint="eastAsia" w:cs="Times New Roman"/>
          <w:sz w:val="32"/>
          <w:szCs w:val="32"/>
          <w:highlight w:val="none"/>
          <w:lang w:val="zh-CN"/>
        </w:rPr>
      </w:pPr>
      <w:r>
        <w:rPr>
          <w:rFonts w:hint="eastAsia" w:ascii="Times New Roman" w:hAnsi="Times New Roman" w:eastAsia="楷体_GB2312" w:cs="Times New Roman"/>
          <w:b/>
          <w:sz w:val="32"/>
          <w:szCs w:val="32"/>
          <w:highlight w:val="none"/>
          <w:lang w:val="zh-CN"/>
        </w:rPr>
        <w:t>（三）相关建议。</w:t>
      </w:r>
      <w:r>
        <w:rPr>
          <w:rFonts w:hint="eastAsia" w:cs="Times New Roman"/>
          <w:sz w:val="32"/>
          <w:szCs w:val="32"/>
          <w:highlight w:val="none"/>
          <w:lang w:val="zh-CN"/>
        </w:rPr>
        <w:t>无</w:t>
      </w:r>
    </w:p>
    <w:p>
      <w:pPr>
        <w:bidi w:val="0"/>
        <w:rPr>
          <w:rFonts w:hint="eastAsia"/>
          <w:lang w:val="zh-CN" w:eastAsia="zh-CN"/>
        </w:rPr>
      </w:pPr>
    </w:p>
    <w:p>
      <w:pPr>
        <w:pageBreakBefore w:val="0"/>
        <w:kinsoku/>
        <w:wordWrap/>
        <w:overflowPunct/>
        <w:topLinePunct w:val="0"/>
        <w:bidi w:val="0"/>
        <w:spacing w:line="576" w:lineRule="exact"/>
        <w:ind w:left="960" w:hanging="960" w:hangingChars="300"/>
        <w:jc w:val="left"/>
        <w:textAlignment w:val="auto"/>
        <w:outlineLvl w:val="9"/>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eastAsia="zh-CN"/>
        </w:rPr>
        <w:t>附件：广元市昭化区人力资源和社会保障局</w:t>
      </w:r>
      <w:r>
        <w:rPr>
          <w:rFonts w:hint="eastAsia" w:ascii="仿宋_GB2312" w:hAnsi="仿宋_GB2312" w:eastAsia="仿宋_GB2312" w:cs="仿宋_GB2312"/>
          <w:color w:val="auto"/>
          <w:sz w:val="32"/>
          <w:szCs w:val="32"/>
          <w:highlight w:val="none"/>
          <w:lang w:val="en-US" w:eastAsia="zh-CN"/>
        </w:rPr>
        <w:t>2022年财政项目支出绩效自评表</w:t>
      </w:r>
    </w:p>
    <w:p>
      <w:pPr>
        <w:tabs>
          <w:tab w:val="left" w:pos="429"/>
        </w:tabs>
        <w:bidi w:val="0"/>
        <w:jc w:val="left"/>
        <w:rPr>
          <w:rFonts w:hint="eastAsia"/>
          <w:lang w:val="zh-CN" w:eastAsia="zh-CN"/>
        </w:rPr>
        <w:sectPr>
          <w:footerReference r:id="rId10" w:type="first"/>
          <w:footerReference r:id="rId9" w:type="default"/>
          <w:pgSz w:w="11906" w:h="16838"/>
          <w:pgMar w:top="1984" w:right="1474" w:bottom="1871" w:left="1587" w:header="851" w:footer="992" w:gutter="0"/>
          <w:pgNumType w:fmt="decimal"/>
          <w:cols w:space="0" w:num="1"/>
          <w:titlePg/>
          <w:rtlGutter w:val="0"/>
          <w:docGrid w:type="lines" w:linePitch="312" w:charSpace="0"/>
        </w:sectPr>
      </w:pPr>
    </w:p>
    <w:tbl>
      <w:tblPr>
        <w:tblStyle w:val="16"/>
        <w:tblW w:w="880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936"/>
        <w:gridCol w:w="732"/>
        <w:gridCol w:w="984"/>
        <w:gridCol w:w="960"/>
        <w:gridCol w:w="1105"/>
        <w:gridCol w:w="1522"/>
        <w:gridCol w:w="1413"/>
        <w:gridCol w:w="114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1" w:hRule="atLeast"/>
        </w:trPr>
        <w:tc>
          <w:tcPr>
            <w:tcW w:w="8800" w:type="dxa"/>
            <w:gridSpan w:val="8"/>
            <w:tcBorders>
              <w:top w:val="nil"/>
              <w:left w:val="nil"/>
              <w:bottom w:val="nil"/>
              <w:right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微软雅黑" w:hAnsi="微软雅黑" w:eastAsia="微软雅黑" w:cs="微软雅黑"/>
                <w:b/>
                <w:bCs/>
                <w:i w:val="0"/>
                <w:iCs w:val="0"/>
                <w:color w:val="000000"/>
                <w:kern w:val="0"/>
                <w:sz w:val="24"/>
                <w:szCs w:val="24"/>
                <w:u w:val="none"/>
                <w:lang w:val="en-US" w:eastAsia="zh-CN" w:bidi="ar"/>
              </w:rPr>
            </w:pPr>
            <w:r>
              <w:rPr>
                <w:rFonts w:hint="eastAsia" w:ascii="微软雅黑" w:hAnsi="微软雅黑" w:eastAsia="微软雅黑" w:cs="微软雅黑"/>
                <w:b/>
                <w:bCs/>
                <w:i w:val="0"/>
                <w:iCs w:val="0"/>
                <w:color w:val="000000"/>
                <w:kern w:val="0"/>
                <w:sz w:val="24"/>
                <w:szCs w:val="24"/>
                <w:u w:val="none"/>
                <w:lang w:val="en-US" w:eastAsia="zh-CN" w:bidi="ar"/>
              </w:rPr>
              <w:t>附件：</w:t>
            </w:r>
          </w:p>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ascii="微软雅黑" w:hAnsi="微软雅黑" w:eastAsia="微软雅黑" w:cs="微软雅黑"/>
                <w:i w:val="0"/>
                <w:iCs w:val="0"/>
                <w:color w:val="000000"/>
                <w:sz w:val="40"/>
                <w:szCs w:val="40"/>
                <w:u w:val="none"/>
              </w:rPr>
            </w:pPr>
            <w:r>
              <w:rPr>
                <w:rFonts w:hint="eastAsia" w:ascii="微软雅黑" w:hAnsi="微软雅黑" w:eastAsia="微软雅黑" w:cs="微软雅黑"/>
                <w:i w:val="0"/>
                <w:iCs w:val="0"/>
                <w:color w:val="000000"/>
                <w:kern w:val="0"/>
                <w:sz w:val="40"/>
                <w:szCs w:val="40"/>
                <w:u w:val="none"/>
                <w:lang w:val="en-US" w:eastAsia="zh-CN" w:bidi="ar"/>
              </w:rPr>
              <w:t>广元市昭化区财政项目（政策）支出绩效自评表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1" w:hRule="atLeast"/>
        </w:trPr>
        <w:tc>
          <w:tcPr>
            <w:tcW w:w="8800" w:type="dxa"/>
            <w:gridSpan w:val="8"/>
            <w:tcBorders>
              <w:top w:val="nil"/>
              <w:left w:val="nil"/>
              <w:bottom w:val="single" w:color="auto" w:sz="4" w:space="0"/>
              <w:right w:val="nil"/>
            </w:tcBorders>
            <w:shd w:val="clear" w:color="auto" w:fill="auto"/>
            <w:vAlign w:val="top"/>
          </w:tcPr>
          <w:p>
            <w:pPr>
              <w:keepNext w:val="0"/>
              <w:keepLines w:val="0"/>
              <w:widowControl/>
              <w:suppressLineNumbers w:val="0"/>
              <w:jc w:val="center"/>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（2022年度）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0" w:hRule="atLeast"/>
        </w:trPr>
        <w:tc>
          <w:tcPr>
            <w:tcW w:w="1668"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项目（政策）名称</w:t>
            </w:r>
          </w:p>
        </w:tc>
        <w:tc>
          <w:tcPr>
            <w:tcW w:w="7132" w:type="dxa"/>
            <w:gridSpan w:val="6"/>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就业创业资金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0" w:hRule="atLeast"/>
        </w:trPr>
        <w:tc>
          <w:tcPr>
            <w:tcW w:w="1668"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主管部门</w:t>
            </w:r>
          </w:p>
        </w:tc>
        <w:tc>
          <w:tcPr>
            <w:tcW w:w="3049"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广元市昭化区人力资源和社会保障局</w:t>
            </w:r>
          </w:p>
        </w:tc>
        <w:tc>
          <w:tcPr>
            <w:tcW w:w="152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实施单位</w:t>
            </w:r>
          </w:p>
        </w:tc>
        <w:tc>
          <w:tcPr>
            <w:tcW w:w="2561"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广元市昭化区人力资源和社会保障局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0" w:hRule="atLeast"/>
        </w:trPr>
        <w:tc>
          <w:tcPr>
            <w:tcW w:w="1668" w:type="dxa"/>
            <w:gridSpan w:val="2"/>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项目（政策）资金（万元）</w:t>
            </w:r>
          </w:p>
        </w:tc>
        <w:tc>
          <w:tcPr>
            <w:tcW w:w="1944"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10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年初预算数</w:t>
            </w:r>
          </w:p>
        </w:tc>
        <w:tc>
          <w:tcPr>
            <w:tcW w:w="152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全年预算数</w:t>
            </w:r>
          </w:p>
        </w:tc>
        <w:tc>
          <w:tcPr>
            <w:tcW w:w="141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全年执行数</w:t>
            </w:r>
          </w:p>
        </w:tc>
        <w:tc>
          <w:tcPr>
            <w:tcW w:w="114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执行率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0" w:hRule="atLeast"/>
        </w:trPr>
        <w:tc>
          <w:tcPr>
            <w:tcW w:w="1668" w:type="dxa"/>
            <w:gridSpan w:val="2"/>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944"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年度资金总额</w:t>
            </w:r>
          </w:p>
        </w:tc>
        <w:tc>
          <w:tcPr>
            <w:tcW w:w="110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w:t>
            </w:r>
          </w:p>
        </w:tc>
        <w:tc>
          <w:tcPr>
            <w:tcW w:w="152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49.5</w:t>
            </w:r>
          </w:p>
        </w:tc>
        <w:tc>
          <w:tcPr>
            <w:tcW w:w="141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49.5</w:t>
            </w:r>
          </w:p>
        </w:tc>
        <w:tc>
          <w:tcPr>
            <w:tcW w:w="114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0" w:hRule="atLeast"/>
        </w:trPr>
        <w:tc>
          <w:tcPr>
            <w:tcW w:w="1668" w:type="dxa"/>
            <w:gridSpan w:val="2"/>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944"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（一）财政拨款小计</w:t>
            </w:r>
          </w:p>
        </w:tc>
        <w:tc>
          <w:tcPr>
            <w:tcW w:w="110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w:t>
            </w:r>
          </w:p>
        </w:tc>
        <w:tc>
          <w:tcPr>
            <w:tcW w:w="152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49.5</w:t>
            </w:r>
          </w:p>
        </w:tc>
        <w:tc>
          <w:tcPr>
            <w:tcW w:w="141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49.5</w:t>
            </w:r>
          </w:p>
        </w:tc>
        <w:tc>
          <w:tcPr>
            <w:tcW w:w="114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0" w:hRule="atLeast"/>
        </w:trPr>
        <w:tc>
          <w:tcPr>
            <w:tcW w:w="1668" w:type="dxa"/>
            <w:gridSpan w:val="2"/>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944"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   1.一般公共预算</w:t>
            </w:r>
          </w:p>
        </w:tc>
        <w:tc>
          <w:tcPr>
            <w:tcW w:w="110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w:t>
            </w:r>
          </w:p>
        </w:tc>
        <w:tc>
          <w:tcPr>
            <w:tcW w:w="152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49.5</w:t>
            </w:r>
          </w:p>
        </w:tc>
        <w:tc>
          <w:tcPr>
            <w:tcW w:w="141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49.5</w:t>
            </w:r>
          </w:p>
        </w:tc>
        <w:tc>
          <w:tcPr>
            <w:tcW w:w="114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0" w:hRule="atLeast"/>
        </w:trPr>
        <w:tc>
          <w:tcPr>
            <w:tcW w:w="1668" w:type="dxa"/>
            <w:gridSpan w:val="2"/>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944"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   2.政府性基金</w:t>
            </w:r>
          </w:p>
        </w:tc>
        <w:tc>
          <w:tcPr>
            <w:tcW w:w="1105" w:type="dxa"/>
            <w:tcBorders>
              <w:top w:val="single" w:color="auto" w:sz="4" w:space="0"/>
              <w:left w:val="single" w:color="auto" w:sz="4" w:space="0"/>
              <w:bottom w:val="single" w:color="auto" w:sz="4" w:space="0"/>
              <w:right w:val="single" w:color="auto" w:sz="4" w:space="0"/>
            </w:tcBorders>
            <w:shd w:val="clear" w:color="auto" w:fill="auto"/>
            <w:vAlign w:val="center"/>
          </w:tcPr>
          <w:p>
            <w:pPr>
              <w:jc w:val="left"/>
              <w:rPr>
                <w:rFonts w:hint="eastAsia" w:ascii="宋体" w:hAnsi="宋体" w:eastAsia="宋体" w:cs="宋体"/>
                <w:i w:val="0"/>
                <w:iCs w:val="0"/>
                <w:color w:val="000000"/>
                <w:sz w:val="18"/>
                <w:szCs w:val="18"/>
                <w:u w:val="none"/>
              </w:rPr>
            </w:pPr>
          </w:p>
        </w:tc>
        <w:tc>
          <w:tcPr>
            <w:tcW w:w="1522"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41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14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0" w:hRule="atLeast"/>
        </w:trPr>
        <w:tc>
          <w:tcPr>
            <w:tcW w:w="1668" w:type="dxa"/>
            <w:gridSpan w:val="2"/>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944"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  3.国有资本经营预算</w:t>
            </w:r>
          </w:p>
        </w:tc>
        <w:tc>
          <w:tcPr>
            <w:tcW w:w="1105" w:type="dxa"/>
            <w:tcBorders>
              <w:top w:val="single" w:color="auto" w:sz="4" w:space="0"/>
              <w:left w:val="single" w:color="auto" w:sz="4" w:space="0"/>
              <w:bottom w:val="single" w:color="auto" w:sz="4" w:space="0"/>
              <w:right w:val="single" w:color="auto" w:sz="4" w:space="0"/>
            </w:tcBorders>
            <w:shd w:val="clear" w:color="auto" w:fill="auto"/>
            <w:vAlign w:val="center"/>
          </w:tcPr>
          <w:p>
            <w:pPr>
              <w:jc w:val="left"/>
              <w:rPr>
                <w:rFonts w:hint="eastAsia" w:ascii="宋体" w:hAnsi="宋体" w:eastAsia="宋体" w:cs="宋体"/>
                <w:i w:val="0"/>
                <w:iCs w:val="0"/>
                <w:color w:val="000000"/>
                <w:sz w:val="18"/>
                <w:szCs w:val="18"/>
                <w:u w:val="none"/>
              </w:rPr>
            </w:pPr>
          </w:p>
        </w:tc>
        <w:tc>
          <w:tcPr>
            <w:tcW w:w="1522"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41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14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0" w:hRule="atLeast"/>
        </w:trPr>
        <w:tc>
          <w:tcPr>
            <w:tcW w:w="1668" w:type="dxa"/>
            <w:gridSpan w:val="2"/>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944"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  4.社保基金</w:t>
            </w:r>
          </w:p>
        </w:tc>
        <w:tc>
          <w:tcPr>
            <w:tcW w:w="1105" w:type="dxa"/>
            <w:tcBorders>
              <w:top w:val="single" w:color="auto" w:sz="4" w:space="0"/>
              <w:left w:val="single" w:color="auto" w:sz="4" w:space="0"/>
              <w:bottom w:val="single" w:color="auto" w:sz="4" w:space="0"/>
              <w:right w:val="single" w:color="auto" w:sz="4" w:space="0"/>
            </w:tcBorders>
            <w:shd w:val="clear" w:color="auto" w:fill="auto"/>
            <w:vAlign w:val="center"/>
          </w:tcPr>
          <w:p>
            <w:pPr>
              <w:jc w:val="left"/>
              <w:rPr>
                <w:rFonts w:hint="eastAsia" w:ascii="宋体" w:hAnsi="宋体" w:eastAsia="宋体" w:cs="宋体"/>
                <w:i w:val="0"/>
                <w:iCs w:val="0"/>
                <w:color w:val="000000"/>
                <w:sz w:val="18"/>
                <w:szCs w:val="18"/>
                <w:u w:val="none"/>
              </w:rPr>
            </w:pPr>
          </w:p>
        </w:tc>
        <w:tc>
          <w:tcPr>
            <w:tcW w:w="1522"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41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14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0" w:hRule="atLeast"/>
        </w:trPr>
        <w:tc>
          <w:tcPr>
            <w:tcW w:w="1668" w:type="dxa"/>
            <w:gridSpan w:val="2"/>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944"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（二）其他资金</w:t>
            </w:r>
          </w:p>
        </w:tc>
        <w:tc>
          <w:tcPr>
            <w:tcW w:w="1105"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hint="eastAsia" w:ascii="宋体" w:hAnsi="宋体" w:eastAsia="宋体" w:cs="宋体"/>
                <w:i w:val="0"/>
                <w:iCs w:val="0"/>
                <w:color w:val="000000"/>
                <w:sz w:val="18"/>
                <w:szCs w:val="18"/>
                <w:u w:val="none"/>
              </w:rPr>
            </w:pPr>
          </w:p>
        </w:tc>
        <w:tc>
          <w:tcPr>
            <w:tcW w:w="1522"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41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14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0" w:hRule="atLeast"/>
        </w:trPr>
        <w:tc>
          <w:tcPr>
            <w:tcW w:w="936"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年度总体目标</w:t>
            </w:r>
          </w:p>
        </w:tc>
        <w:tc>
          <w:tcPr>
            <w:tcW w:w="3781" w:type="dxa"/>
            <w:gridSpan w:val="4"/>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预期目标</w:t>
            </w:r>
          </w:p>
        </w:tc>
        <w:tc>
          <w:tcPr>
            <w:tcW w:w="4083"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完成情况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05" w:hRule="atLeast"/>
        </w:trPr>
        <w:tc>
          <w:tcPr>
            <w:tcW w:w="93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3781" w:type="dxa"/>
            <w:gridSpan w:val="4"/>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城镇新增就业1300人，登记实业率控制在4%以内，培育返乡农民工创业20个，脱贫人口创办领办创业实体10个，社会保险补贴、高校毕业生就业见习补贴发放率100%，公益性岗位补贴按时足额发放。为促进就业、民生改善、居民增收、经济与扩大就业协调发展、社会和谐稳定以及鼓励返乡创业建设家乡，助推经济发展。</w:t>
            </w:r>
          </w:p>
        </w:tc>
        <w:tc>
          <w:tcPr>
            <w:tcW w:w="4083"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城镇新增就业1600人，登记失业率控制在3.4%，培育返乡农民工创业27个，脱贫人口创办实体70个，社会保险补贴、高校毕业生见习补贴发放率100%，公益性岗位补贴按时足额发放。为促进就业、民生改善、居民增收、经济与扩大就业协调发展、社会和谐稳定以及鼓励放心创业建设家乡，助推经济发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1" w:hRule="atLeast"/>
        </w:trPr>
        <w:tc>
          <w:tcPr>
            <w:tcW w:w="0" w:type="auto"/>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绩效指标</w:t>
            </w:r>
          </w:p>
        </w:tc>
        <w:tc>
          <w:tcPr>
            <w:tcW w:w="73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一级指标</w:t>
            </w:r>
          </w:p>
        </w:tc>
        <w:tc>
          <w:tcPr>
            <w:tcW w:w="98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二级指标</w:t>
            </w:r>
          </w:p>
        </w:tc>
        <w:tc>
          <w:tcPr>
            <w:tcW w:w="2065"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三级指标</w:t>
            </w:r>
          </w:p>
        </w:tc>
        <w:tc>
          <w:tcPr>
            <w:tcW w:w="152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年度指标值</w:t>
            </w:r>
          </w:p>
        </w:tc>
        <w:tc>
          <w:tcPr>
            <w:tcW w:w="141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实际完成值</w:t>
            </w:r>
          </w:p>
        </w:tc>
        <w:tc>
          <w:tcPr>
            <w:tcW w:w="114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偏差原因分析及改进措施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0" w:hRule="atLeast"/>
        </w:trPr>
        <w:tc>
          <w:tcPr>
            <w:tcW w:w="0" w:type="auto"/>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c>
          <w:tcPr>
            <w:tcW w:w="732"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产出指标</w:t>
            </w:r>
          </w:p>
        </w:tc>
        <w:tc>
          <w:tcPr>
            <w:tcW w:w="984"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数量指标</w:t>
            </w:r>
          </w:p>
        </w:tc>
        <w:tc>
          <w:tcPr>
            <w:tcW w:w="2065"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脱贫人口创办领办创业实体个数</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r>
              <w:rPr>
                <w:rStyle w:val="40"/>
                <w:lang w:val="en-US" w:eastAsia="zh-CN" w:bidi="ar"/>
              </w:rPr>
              <w:t>10个</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70个</w:t>
            </w:r>
          </w:p>
        </w:tc>
        <w:tc>
          <w:tcPr>
            <w:tcW w:w="114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0" w:hRule="atLeast"/>
        </w:trPr>
        <w:tc>
          <w:tcPr>
            <w:tcW w:w="0" w:type="auto"/>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c>
          <w:tcPr>
            <w:tcW w:w="732"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98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65"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返乡农民工创业个数</w:t>
            </w:r>
          </w:p>
        </w:tc>
        <w:tc>
          <w:tcPr>
            <w:tcW w:w="152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≧20个</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27个</w:t>
            </w:r>
          </w:p>
        </w:tc>
        <w:tc>
          <w:tcPr>
            <w:tcW w:w="114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0" w:hRule="atLeast"/>
        </w:trPr>
        <w:tc>
          <w:tcPr>
            <w:tcW w:w="0" w:type="auto"/>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c>
          <w:tcPr>
            <w:tcW w:w="732"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984"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质量指标</w:t>
            </w:r>
          </w:p>
        </w:tc>
        <w:tc>
          <w:tcPr>
            <w:tcW w:w="2065"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公益性岗位补贴按时足额发放</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优良中差</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优</w:t>
            </w:r>
          </w:p>
        </w:tc>
        <w:tc>
          <w:tcPr>
            <w:tcW w:w="114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1" w:hRule="atLeast"/>
        </w:trPr>
        <w:tc>
          <w:tcPr>
            <w:tcW w:w="0" w:type="auto"/>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c>
          <w:tcPr>
            <w:tcW w:w="732"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98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65"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社会保险补贴、高校毕业生就业见习补贴发放率</w:t>
            </w:r>
          </w:p>
        </w:tc>
        <w:tc>
          <w:tcPr>
            <w:tcW w:w="152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114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0" w:type="auto"/>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c>
          <w:tcPr>
            <w:tcW w:w="732"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98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时效指标</w:t>
            </w:r>
          </w:p>
        </w:tc>
        <w:tc>
          <w:tcPr>
            <w:tcW w:w="2065"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完成年限</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r>
              <w:rPr>
                <w:rStyle w:val="40"/>
                <w:lang w:val="en-US" w:eastAsia="zh-CN" w:bidi="ar"/>
              </w:rPr>
              <w:t>1年</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1年</w:t>
            </w:r>
          </w:p>
        </w:tc>
        <w:tc>
          <w:tcPr>
            <w:tcW w:w="114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0" w:hRule="atLeast"/>
        </w:trPr>
        <w:tc>
          <w:tcPr>
            <w:tcW w:w="0" w:type="auto"/>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c>
          <w:tcPr>
            <w:tcW w:w="732"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98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成本指标</w:t>
            </w:r>
          </w:p>
        </w:tc>
        <w:tc>
          <w:tcPr>
            <w:tcW w:w="2065"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就业创业工作经费控制咋预算批复之内</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≦50万元</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50万元</w:t>
            </w:r>
          </w:p>
        </w:tc>
        <w:tc>
          <w:tcPr>
            <w:tcW w:w="114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8" w:hRule="atLeast"/>
        </w:trPr>
        <w:tc>
          <w:tcPr>
            <w:tcW w:w="0" w:type="auto"/>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c>
          <w:tcPr>
            <w:tcW w:w="732"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效益指标</w:t>
            </w:r>
          </w:p>
        </w:tc>
        <w:tc>
          <w:tcPr>
            <w:tcW w:w="984"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社会效益</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指标</w:t>
            </w:r>
          </w:p>
        </w:tc>
        <w:tc>
          <w:tcPr>
            <w:tcW w:w="2065"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促进更加充分和高质量就业</w:t>
            </w:r>
          </w:p>
        </w:tc>
        <w:tc>
          <w:tcPr>
            <w:tcW w:w="152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优良中差</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优</w:t>
            </w:r>
          </w:p>
        </w:tc>
        <w:tc>
          <w:tcPr>
            <w:tcW w:w="114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0" w:hRule="atLeast"/>
        </w:trPr>
        <w:tc>
          <w:tcPr>
            <w:tcW w:w="0" w:type="auto"/>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c>
          <w:tcPr>
            <w:tcW w:w="732"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98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65"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“十四五”期间实现城镇新增就业人数</w:t>
            </w:r>
          </w:p>
        </w:tc>
        <w:tc>
          <w:tcPr>
            <w:tcW w:w="152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≧1300人</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1600人</w:t>
            </w:r>
          </w:p>
        </w:tc>
        <w:tc>
          <w:tcPr>
            <w:tcW w:w="114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0" w:hRule="atLeast"/>
        </w:trPr>
        <w:tc>
          <w:tcPr>
            <w:tcW w:w="0" w:type="auto"/>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c>
          <w:tcPr>
            <w:tcW w:w="732"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98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65"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“十四五”期间城镇登记失业率</w:t>
            </w:r>
          </w:p>
        </w:tc>
        <w:tc>
          <w:tcPr>
            <w:tcW w:w="152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r>
              <w:rPr>
                <w:rStyle w:val="41"/>
                <w:lang w:val="en-US" w:eastAsia="zh-CN" w:bidi="ar"/>
              </w:rPr>
              <w:t>4%</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3.40%</w:t>
            </w:r>
          </w:p>
        </w:tc>
        <w:tc>
          <w:tcPr>
            <w:tcW w:w="114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20" w:hRule="atLeast"/>
        </w:trPr>
        <w:tc>
          <w:tcPr>
            <w:tcW w:w="0" w:type="auto"/>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c>
          <w:tcPr>
            <w:tcW w:w="73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满意度</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指标</w:t>
            </w:r>
          </w:p>
        </w:tc>
        <w:tc>
          <w:tcPr>
            <w:tcW w:w="98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服务对象满意度指标</w:t>
            </w:r>
          </w:p>
        </w:tc>
        <w:tc>
          <w:tcPr>
            <w:tcW w:w="2065"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各类就业服务对象满意度</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≥90%</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95%</w:t>
            </w:r>
          </w:p>
        </w:tc>
        <w:tc>
          <w:tcPr>
            <w:tcW w:w="114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bl>
    <w:p>
      <w:pPr>
        <w:keepNext w:val="0"/>
        <w:keepLines w:val="0"/>
        <w:pageBreakBefore w:val="0"/>
        <w:widowControl w:val="0"/>
        <w:kinsoku/>
        <w:wordWrap/>
        <w:overflowPunct/>
        <w:topLinePunct w:val="0"/>
        <w:autoSpaceDE/>
        <w:autoSpaceDN/>
        <w:bidi w:val="0"/>
        <w:adjustRightInd w:val="0"/>
        <w:snapToGrid w:val="0"/>
        <w:spacing w:line="576" w:lineRule="exact"/>
        <w:ind w:firstLine="320" w:firstLineChars="100"/>
        <w:textAlignment w:val="auto"/>
        <w:rPr>
          <w:rFonts w:hint="eastAsia" w:cs="Times New Roman"/>
          <w:sz w:val="32"/>
          <w:szCs w:val="32"/>
          <w:highlight w:val="none"/>
          <w:lang w:val="zh-CN"/>
        </w:rPr>
        <w:sectPr>
          <w:pgSz w:w="11906" w:h="16838"/>
          <w:pgMar w:top="1984" w:right="1474" w:bottom="1871" w:left="1587" w:header="851" w:footer="992" w:gutter="0"/>
          <w:pgNumType w:fmt="decimal"/>
          <w:cols w:space="0" w:num="1"/>
          <w:titlePg/>
          <w:rtlGutter w:val="0"/>
          <w:docGrid w:type="lines" w:linePitch="312" w:charSpace="0"/>
        </w:sectPr>
      </w:pPr>
    </w:p>
    <w:p>
      <w:pPr>
        <w:keepNext w:val="0"/>
        <w:keepLines w:val="0"/>
        <w:pageBreakBefore w:val="0"/>
        <w:widowControl/>
        <w:kinsoku/>
        <w:wordWrap/>
        <w:overflowPunct/>
        <w:topLinePunct w:val="0"/>
        <w:autoSpaceDE/>
        <w:autoSpaceDN/>
        <w:bidi w:val="0"/>
        <w:adjustRightInd w:val="0"/>
        <w:snapToGrid w:val="0"/>
        <w:spacing w:line="576" w:lineRule="exact"/>
        <w:contextualSpacing/>
        <w:jc w:val="left"/>
        <w:textAlignment w:val="auto"/>
        <w:outlineLvl w:val="1"/>
        <w:rPr>
          <w:rFonts w:hint="eastAsia" w:ascii="黑体" w:hAnsi="黑体" w:eastAsia="黑体" w:cs="黑体"/>
          <w:b w:val="0"/>
          <w:bCs/>
          <w:color w:val="auto"/>
          <w:sz w:val="32"/>
          <w:szCs w:val="32"/>
          <w:highlight w:val="none"/>
          <w:shd w:val="clear" w:color="auto" w:fill="FFFFFF"/>
          <w:lang w:val="en-US" w:eastAsia="zh-CN"/>
        </w:rPr>
      </w:pPr>
      <w:bookmarkStart w:id="100" w:name="_Toc23674"/>
      <w:r>
        <w:rPr>
          <w:rFonts w:hint="eastAsia" w:ascii="黑体" w:hAnsi="黑体" w:eastAsia="黑体" w:cs="黑体"/>
          <w:b w:val="0"/>
          <w:bCs/>
          <w:color w:val="auto"/>
          <w:sz w:val="32"/>
          <w:szCs w:val="32"/>
          <w:highlight w:val="none"/>
          <w:shd w:val="clear" w:color="auto" w:fill="FFFFFF"/>
          <w:lang w:val="en-US" w:eastAsia="zh-CN"/>
        </w:rPr>
        <w:t>附件4</w:t>
      </w:r>
      <w:bookmarkEnd w:id="100"/>
    </w:p>
    <w:p>
      <w:pPr>
        <w:pStyle w:val="2"/>
        <w:rPr>
          <w:rFonts w:hint="eastAsia" w:ascii="方正小标宋简体" w:hAnsi="方正小标宋简体" w:eastAsia="方正小标宋简体" w:cs="方正小标宋简体"/>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after="240" w:afterAutospacing="0" w:line="576" w:lineRule="exact"/>
        <w:ind w:left="0" w:leftChars="0" w:right="0" w:rightChars="0" w:firstLine="0" w:firstLineChars="0"/>
        <w:jc w:val="center"/>
        <w:textAlignment w:val="auto"/>
        <w:outlineLvl w:val="1"/>
        <w:rPr>
          <w:rFonts w:hint="eastAsia" w:ascii="方正小标宋简体" w:hAnsi="方正小标宋简体" w:eastAsia="方正小标宋简体" w:cs="方正小标宋简体"/>
          <w:kern w:val="0"/>
          <w:sz w:val="44"/>
          <w:szCs w:val="44"/>
          <w:highlight w:val="none"/>
          <w:lang w:val="en-US" w:eastAsia="zh-CN" w:bidi="ar-SA"/>
        </w:rPr>
      </w:pPr>
      <w:bookmarkStart w:id="101" w:name="_Toc4852"/>
      <w:r>
        <w:rPr>
          <w:rFonts w:hint="eastAsia" w:ascii="方正小标宋简体" w:hAnsi="方正小标宋简体" w:eastAsia="方正小标宋简体" w:cs="方正小标宋简体"/>
          <w:kern w:val="0"/>
          <w:sz w:val="44"/>
          <w:szCs w:val="44"/>
          <w:highlight w:val="none"/>
          <w:lang w:val="en-US" w:eastAsia="zh-CN" w:bidi="ar-SA"/>
        </w:rPr>
        <w:t>广元市昭化区人力资源和社会保障局招商引资工作经费项目支出自评报告（自评表）</w:t>
      </w:r>
      <w:bookmarkEnd w:id="101"/>
    </w:p>
    <w:p>
      <w:pPr>
        <w:keepNext w:val="0"/>
        <w:keepLines w:val="0"/>
        <w:pageBreakBefore w:val="0"/>
        <w:widowControl w:val="0"/>
        <w:numPr>
          <w:ilvl w:val="0"/>
          <w:numId w:val="0"/>
        </w:numPr>
        <w:kinsoku/>
        <w:wordWrap/>
        <w:overflowPunct/>
        <w:topLinePunct w:val="0"/>
        <w:autoSpaceDE/>
        <w:autoSpaceDN/>
        <w:bidi w:val="0"/>
        <w:adjustRightInd w:val="0"/>
        <w:snapToGrid w:val="0"/>
        <w:spacing w:line="576" w:lineRule="exact"/>
        <w:ind w:firstLine="640" w:firstLineChars="200"/>
        <w:textAlignment w:val="auto"/>
        <w:rPr>
          <w:rFonts w:hint="default" w:ascii="Times New Roman" w:hAnsi="Times New Roman" w:eastAsia="黑体" w:cs="Times New Roman"/>
          <w:sz w:val="32"/>
          <w:szCs w:val="32"/>
          <w:highlight w:val="none"/>
          <w:lang w:val="zh-CN"/>
        </w:rPr>
      </w:pPr>
      <w:r>
        <w:rPr>
          <w:rFonts w:hint="eastAsia" w:ascii="Times New Roman" w:hAnsi="Times New Roman" w:eastAsia="黑体" w:cs="Times New Roman"/>
          <w:sz w:val="32"/>
          <w:szCs w:val="32"/>
          <w:highlight w:val="none"/>
          <w:lang w:val="zh-CN"/>
        </w:rPr>
        <w:t>一、</w:t>
      </w:r>
      <w:r>
        <w:rPr>
          <w:rFonts w:hint="default" w:ascii="Times New Roman" w:hAnsi="Times New Roman" w:eastAsia="黑体" w:cs="Times New Roman"/>
          <w:sz w:val="32"/>
          <w:szCs w:val="32"/>
          <w:highlight w:val="none"/>
          <w:lang w:val="zh-CN"/>
        </w:rPr>
        <w:t>项目概况</w:t>
      </w:r>
    </w:p>
    <w:p>
      <w:pPr>
        <w:keepNext w:val="0"/>
        <w:keepLines w:val="0"/>
        <w:pageBreakBefore w:val="0"/>
        <w:widowControl w:val="0"/>
        <w:kinsoku/>
        <w:wordWrap/>
        <w:overflowPunct/>
        <w:topLinePunct w:val="0"/>
        <w:autoSpaceDE/>
        <w:autoSpaceDN/>
        <w:bidi w:val="0"/>
        <w:adjustRightInd w:val="0"/>
        <w:snapToGrid w:val="0"/>
        <w:spacing w:line="576" w:lineRule="exact"/>
        <w:ind w:firstLine="643" w:firstLineChars="200"/>
        <w:textAlignment w:val="auto"/>
        <w:rPr>
          <w:rFonts w:hint="default" w:ascii="Times New Roman" w:hAnsi="Times New Roman" w:eastAsia="仿宋_GB2312" w:cs="Times New Roman"/>
          <w:kern w:val="0"/>
          <w:sz w:val="32"/>
          <w:szCs w:val="32"/>
          <w:highlight w:val="none"/>
          <w:lang w:val="en-US" w:eastAsia="zh-CN" w:bidi="ar-SA"/>
        </w:rPr>
      </w:pPr>
      <w:r>
        <w:rPr>
          <w:rFonts w:hint="default" w:ascii="Times New Roman" w:hAnsi="Times New Roman" w:eastAsia="楷体_GB2312" w:cs="Times New Roman"/>
          <w:b/>
          <w:sz w:val="32"/>
          <w:szCs w:val="32"/>
          <w:highlight w:val="none"/>
          <w:lang w:val="zh-CN"/>
        </w:rPr>
        <w:t>项目</w:t>
      </w:r>
      <w:r>
        <w:rPr>
          <w:rFonts w:hint="eastAsia" w:eastAsia="楷体_GB2312" w:cs="Times New Roman"/>
          <w:b/>
          <w:sz w:val="32"/>
          <w:szCs w:val="32"/>
          <w:highlight w:val="none"/>
          <w:lang w:val="zh-CN"/>
        </w:rPr>
        <w:t>资金申报及批复情况。</w:t>
      </w:r>
      <w:r>
        <w:rPr>
          <w:rFonts w:hint="eastAsia" w:ascii="Times New Roman" w:hAnsi="Times New Roman" w:eastAsia="仿宋_GB2312" w:cs="Times New Roman"/>
          <w:kern w:val="0"/>
          <w:sz w:val="32"/>
          <w:szCs w:val="32"/>
          <w:highlight w:val="none"/>
          <w:lang w:val="zh-CN" w:eastAsia="zh-CN" w:bidi="ar-SA"/>
        </w:rPr>
        <w:t>招商引资工作经费是完成2022年区政府下达的招商引资目标任务，为实现经济转型和产业发展，助推我区经济发展，202</w:t>
      </w:r>
      <w:r>
        <w:rPr>
          <w:rFonts w:hint="eastAsia" w:ascii="Times New Roman" w:hAnsi="Times New Roman" w:eastAsia="仿宋_GB2312" w:cs="Times New Roman"/>
          <w:kern w:val="0"/>
          <w:sz w:val="32"/>
          <w:szCs w:val="32"/>
          <w:highlight w:val="none"/>
          <w:lang w:val="en-US" w:eastAsia="zh-CN" w:bidi="ar-SA"/>
        </w:rPr>
        <w:t>2</w:t>
      </w:r>
      <w:r>
        <w:rPr>
          <w:rFonts w:hint="eastAsia" w:ascii="Times New Roman" w:hAnsi="Times New Roman" w:eastAsia="仿宋_GB2312" w:cs="Times New Roman"/>
          <w:kern w:val="0"/>
          <w:sz w:val="32"/>
          <w:szCs w:val="32"/>
          <w:highlight w:val="none"/>
          <w:lang w:val="zh-CN" w:eastAsia="zh-CN" w:bidi="ar-SA"/>
        </w:rPr>
        <w:t>年区财政预算安排我单位招商引资工作经费2</w:t>
      </w:r>
      <w:r>
        <w:rPr>
          <w:rFonts w:hint="eastAsia" w:ascii="Times New Roman" w:hAnsi="Times New Roman" w:eastAsia="仿宋_GB2312" w:cs="Times New Roman"/>
          <w:kern w:val="0"/>
          <w:sz w:val="32"/>
          <w:szCs w:val="32"/>
          <w:highlight w:val="none"/>
          <w:lang w:val="en-US" w:eastAsia="zh-CN" w:bidi="ar-SA"/>
        </w:rPr>
        <w:t>.</w:t>
      </w:r>
      <w:r>
        <w:rPr>
          <w:rFonts w:hint="eastAsia" w:ascii="Times New Roman" w:hAnsi="Times New Roman" w:eastAsia="仿宋_GB2312" w:cs="Times New Roman"/>
          <w:kern w:val="0"/>
          <w:sz w:val="32"/>
          <w:szCs w:val="32"/>
          <w:highlight w:val="none"/>
          <w:lang w:val="zh-CN" w:eastAsia="zh-CN" w:bidi="ar-SA"/>
        </w:rPr>
        <w:t>5万元。我单位</w:t>
      </w:r>
      <w:r>
        <w:rPr>
          <w:rFonts w:hint="eastAsia" w:ascii="Times New Roman" w:hAnsi="Times New Roman" w:eastAsia="仿宋_GB2312" w:cs="Times New Roman"/>
          <w:kern w:val="0"/>
          <w:sz w:val="32"/>
          <w:szCs w:val="32"/>
          <w:highlight w:val="none"/>
          <w:lang w:val="en-US" w:eastAsia="zh-CN" w:bidi="ar-SA"/>
        </w:rPr>
        <w:t>严格按照预算要求编制、立项；资金申报按照项目支付需求，领导审批同意报请财政局审批；项目批复与2022年年初预算一同批复公开。所有资金管理流程符合相关规定。</w:t>
      </w:r>
    </w:p>
    <w:p>
      <w:pPr>
        <w:keepNext w:val="0"/>
        <w:keepLines w:val="0"/>
        <w:pageBreakBefore w:val="0"/>
        <w:widowControl w:val="0"/>
        <w:numPr>
          <w:ilvl w:val="0"/>
          <w:numId w:val="10"/>
        </w:numPr>
        <w:kinsoku/>
        <w:wordWrap/>
        <w:overflowPunct/>
        <w:topLinePunct w:val="0"/>
        <w:autoSpaceDE/>
        <w:autoSpaceDN/>
        <w:bidi w:val="0"/>
        <w:adjustRightInd w:val="0"/>
        <w:snapToGrid w:val="0"/>
        <w:spacing w:line="576" w:lineRule="exact"/>
        <w:ind w:firstLine="643" w:firstLineChars="200"/>
        <w:textAlignment w:val="auto"/>
        <w:rPr>
          <w:rFonts w:hint="default" w:ascii="Times New Roman" w:hAnsi="Times New Roman" w:eastAsia="仿宋_GB2312" w:cs="Times New Roman"/>
          <w:kern w:val="0"/>
          <w:sz w:val="32"/>
          <w:szCs w:val="32"/>
          <w:highlight w:val="none"/>
          <w:lang w:val="zh-CN" w:eastAsia="zh-CN" w:bidi="ar-SA"/>
        </w:rPr>
      </w:pPr>
      <w:r>
        <w:rPr>
          <w:rFonts w:hint="default" w:ascii="Times New Roman" w:hAnsi="Times New Roman" w:eastAsia="楷体_GB2312" w:cs="Times New Roman"/>
          <w:b/>
          <w:sz w:val="32"/>
          <w:szCs w:val="32"/>
          <w:highlight w:val="none"/>
          <w:lang w:val="zh-CN"/>
        </w:rPr>
        <w:t>项目绩效目标。</w:t>
      </w:r>
      <w:r>
        <w:rPr>
          <w:rFonts w:hint="eastAsia" w:ascii="Times New Roman" w:hAnsi="Times New Roman" w:eastAsia="仿宋_GB2312" w:cs="Times New Roman"/>
          <w:kern w:val="0"/>
          <w:sz w:val="32"/>
          <w:szCs w:val="32"/>
          <w:highlight w:val="none"/>
          <w:lang w:val="zh-CN" w:eastAsia="zh-CN" w:bidi="ar-SA"/>
        </w:rPr>
        <w:t>该项目主要内容是区政府下达的招商引资目标任务，具体包括：参加招商引资推介次数大于等于</w:t>
      </w:r>
      <w:r>
        <w:rPr>
          <w:rFonts w:hint="eastAsia" w:ascii="Times New Roman" w:hAnsi="Times New Roman" w:eastAsia="仿宋_GB2312" w:cs="Times New Roman"/>
          <w:kern w:val="0"/>
          <w:sz w:val="32"/>
          <w:szCs w:val="32"/>
          <w:highlight w:val="none"/>
          <w:lang w:val="en-US" w:eastAsia="zh-CN" w:bidi="ar-SA"/>
        </w:rPr>
        <w:t>2次；累计洽谈项目个数大于等于3个，增加本地就业人数和增加税收收入，企业满意度大于等于90%。</w:t>
      </w:r>
    </w:p>
    <w:p>
      <w:pPr>
        <w:keepNext w:val="0"/>
        <w:keepLines w:val="0"/>
        <w:pageBreakBefore w:val="0"/>
        <w:widowControl w:val="0"/>
        <w:kinsoku/>
        <w:wordWrap/>
        <w:overflowPunct/>
        <w:topLinePunct w:val="0"/>
        <w:autoSpaceDE/>
        <w:autoSpaceDN/>
        <w:bidi w:val="0"/>
        <w:adjustRightInd w:val="0"/>
        <w:snapToGrid w:val="0"/>
        <w:spacing w:line="576" w:lineRule="exact"/>
        <w:ind w:firstLine="643" w:firstLineChars="200"/>
        <w:textAlignment w:val="auto"/>
        <w:rPr>
          <w:rFonts w:hint="default" w:ascii="Times New Roman" w:hAnsi="Times New Roman" w:eastAsia="仿宋_GB2312" w:cs="Times New Roman"/>
          <w:kern w:val="0"/>
          <w:sz w:val="32"/>
          <w:szCs w:val="32"/>
          <w:highlight w:val="none"/>
          <w:lang w:val="zh-CN" w:eastAsia="zh-CN" w:bidi="ar-SA"/>
        </w:rPr>
      </w:pPr>
      <w:r>
        <w:rPr>
          <w:rFonts w:hint="default" w:ascii="Times New Roman" w:hAnsi="Times New Roman" w:eastAsia="楷体_GB2312" w:cs="Times New Roman"/>
          <w:b/>
          <w:sz w:val="32"/>
          <w:szCs w:val="32"/>
          <w:highlight w:val="none"/>
          <w:lang w:val="zh-CN"/>
        </w:rPr>
        <w:t>（三）项目资金申报相符性。</w:t>
      </w:r>
      <w:r>
        <w:rPr>
          <w:rFonts w:hint="eastAsia" w:ascii="Times New Roman" w:hAnsi="Times New Roman" w:eastAsia="仿宋_GB2312" w:cs="Times New Roman"/>
          <w:kern w:val="0"/>
          <w:sz w:val="32"/>
          <w:szCs w:val="32"/>
          <w:highlight w:val="none"/>
          <w:lang w:val="zh-CN" w:eastAsia="zh-CN" w:bidi="ar-SA"/>
        </w:rPr>
        <w:t>招商引资工作经费</w:t>
      </w:r>
      <w:r>
        <w:rPr>
          <w:rFonts w:hint="default" w:ascii="Times New Roman" w:hAnsi="Times New Roman" w:eastAsia="仿宋_GB2312" w:cs="Times New Roman"/>
          <w:kern w:val="0"/>
          <w:sz w:val="32"/>
          <w:szCs w:val="32"/>
          <w:highlight w:val="none"/>
          <w:lang w:val="zh-CN" w:eastAsia="zh-CN" w:bidi="ar-SA"/>
        </w:rPr>
        <w:t>项目申报内容与具体实施内容相符、申报目标</w:t>
      </w:r>
      <w:r>
        <w:rPr>
          <w:rFonts w:hint="eastAsia" w:ascii="Times New Roman" w:hAnsi="Times New Roman" w:eastAsia="仿宋_GB2312" w:cs="Times New Roman"/>
          <w:kern w:val="0"/>
          <w:sz w:val="32"/>
          <w:szCs w:val="32"/>
          <w:highlight w:val="none"/>
          <w:lang w:val="zh-CN" w:eastAsia="zh-CN" w:bidi="ar-SA"/>
        </w:rPr>
        <w:t>合</w:t>
      </w:r>
      <w:r>
        <w:rPr>
          <w:rFonts w:hint="default" w:ascii="Times New Roman" w:hAnsi="Times New Roman" w:eastAsia="仿宋_GB2312" w:cs="Times New Roman"/>
          <w:kern w:val="0"/>
          <w:sz w:val="32"/>
          <w:szCs w:val="32"/>
          <w:highlight w:val="none"/>
          <w:lang w:val="zh-CN" w:eastAsia="zh-CN" w:bidi="ar-SA"/>
        </w:rPr>
        <w:t>理可行。</w:t>
      </w:r>
    </w:p>
    <w:p>
      <w:pPr>
        <w:keepNext w:val="0"/>
        <w:keepLines w:val="0"/>
        <w:pageBreakBefore w:val="0"/>
        <w:widowControl w:val="0"/>
        <w:kinsoku/>
        <w:wordWrap/>
        <w:overflowPunct/>
        <w:topLinePunct w:val="0"/>
        <w:autoSpaceDE/>
        <w:autoSpaceDN/>
        <w:bidi w:val="0"/>
        <w:adjustRightInd w:val="0"/>
        <w:snapToGrid w:val="0"/>
        <w:spacing w:line="576" w:lineRule="exact"/>
        <w:ind w:firstLine="643" w:firstLineChars="200"/>
        <w:textAlignment w:val="auto"/>
        <w:rPr>
          <w:rFonts w:hint="eastAsia" w:ascii="Times New Roman" w:hAnsi="Times New Roman" w:eastAsia="楷体_GB2312" w:cs="Times New Roman"/>
          <w:b/>
          <w:sz w:val="32"/>
          <w:szCs w:val="32"/>
          <w:highlight w:val="none"/>
          <w:lang w:val="zh-CN"/>
        </w:rPr>
      </w:pPr>
      <w:r>
        <w:rPr>
          <w:rFonts w:hint="eastAsia" w:ascii="Times New Roman" w:hAnsi="Times New Roman" w:eastAsia="楷体_GB2312" w:cs="Times New Roman"/>
          <w:b/>
          <w:sz w:val="32"/>
          <w:szCs w:val="32"/>
          <w:highlight w:val="none"/>
          <w:lang w:val="zh-CN"/>
        </w:rPr>
        <w:t>（四）自评步骤及方法</w:t>
      </w:r>
    </w:p>
    <w:p>
      <w:pPr>
        <w:keepNext w:val="0"/>
        <w:keepLines w:val="0"/>
        <w:pageBreakBefore w:val="0"/>
        <w:widowControl w:val="0"/>
        <w:kinsoku/>
        <w:wordWrap/>
        <w:overflowPunct/>
        <w:topLinePunct w:val="0"/>
        <w:autoSpaceDE/>
        <w:autoSpaceDN/>
        <w:bidi w:val="0"/>
        <w:adjustRightInd w:val="0"/>
        <w:snapToGrid w:val="0"/>
        <w:spacing w:line="576" w:lineRule="exact"/>
        <w:ind w:firstLine="640" w:firstLineChars="200"/>
        <w:textAlignment w:val="auto"/>
        <w:rPr>
          <w:rFonts w:hint="default" w:cs="Times New Roman"/>
          <w:sz w:val="32"/>
          <w:szCs w:val="32"/>
          <w:highlight w:val="none"/>
          <w:lang w:val="zh-CN"/>
        </w:rPr>
      </w:pPr>
      <w:r>
        <w:rPr>
          <w:rFonts w:hint="eastAsia" w:ascii="Times New Roman" w:hAnsi="Times New Roman" w:eastAsia="仿宋_GB2312" w:cs="Times New Roman"/>
          <w:kern w:val="0"/>
          <w:sz w:val="32"/>
          <w:szCs w:val="32"/>
          <w:highlight w:val="none"/>
          <w:lang w:val="zh-CN" w:eastAsia="zh-CN" w:bidi="ar-SA"/>
        </w:rPr>
        <w:t>项目绩效自评采用因素分析法，通过收集项目资料，会议讨论，考评打分进行自评。</w:t>
      </w:r>
    </w:p>
    <w:p>
      <w:pPr>
        <w:keepNext w:val="0"/>
        <w:keepLines w:val="0"/>
        <w:pageBreakBefore w:val="0"/>
        <w:widowControl w:val="0"/>
        <w:kinsoku/>
        <w:wordWrap/>
        <w:overflowPunct/>
        <w:topLinePunct w:val="0"/>
        <w:autoSpaceDE/>
        <w:autoSpaceDN/>
        <w:bidi w:val="0"/>
        <w:adjustRightInd w:val="0"/>
        <w:snapToGrid w:val="0"/>
        <w:spacing w:line="576" w:lineRule="exact"/>
        <w:ind w:firstLine="640" w:firstLineChars="200"/>
        <w:textAlignment w:val="auto"/>
        <w:rPr>
          <w:rFonts w:hint="default" w:ascii="Times New Roman" w:hAnsi="Times New Roman" w:eastAsia="黑体" w:cs="Times New Roman"/>
          <w:sz w:val="32"/>
          <w:szCs w:val="32"/>
          <w:highlight w:val="none"/>
        </w:rPr>
      </w:pPr>
      <w:r>
        <w:rPr>
          <w:rFonts w:hint="default" w:ascii="Times New Roman" w:hAnsi="Times New Roman" w:eastAsia="黑体" w:cs="Times New Roman"/>
          <w:sz w:val="32"/>
          <w:szCs w:val="32"/>
          <w:highlight w:val="none"/>
        </w:rPr>
        <w:t>二、项目实施及管理情况</w:t>
      </w:r>
    </w:p>
    <w:p>
      <w:pPr>
        <w:keepNext w:val="0"/>
        <w:keepLines w:val="0"/>
        <w:pageBreakBefore w:val="0"/>
        <w:widowControl w:val="0"/>
        <w:kinsoku/>
        <w:wordWrap/>
        <w:overflowPunct/>
        <w:topLinePunct w:val="0"/>
        <w:autoSpaceDE/>
        <w:autoSpaceDN/>
        <w:bidi w:val="0"/>
        <w:adjustRightInd w:val="0"/>
        <w:snapToGrid w:val="0"/>
        <w:spacing w:line="576" w:lineRule="exact"/>
        <w:ind w:firstLine="643" w:firstLineChars="200"/>
        <w:textAlignment w:val="auto"/>
        <w:rPr>
          <w:rFonts w:hint="default" w:ascii="Times New Roman" w:hAnsi="Times New Roman" w:eastAsia="楷体_GB2312" w:cs="Times New Roman"/>
          <w:b/>
          <w:sz w:val="32"/>
          <w:szCs w:val="32"/>
          <w:highlight w:val="none"/>
          <w:lang w:val="zh-CN"/>
        </w:rPr>
      </w:pPr>
      <w:r>
        <w:rPr>
          <w:rFonts w:hint="default" w:ascii="Times New Roman" w:hAnsi="Times New Roman" w:eastAsia="楷体_GB2312" w:cs="Times New Roman"/>
          <w:b/>
          <w:sz w:val="32"/>
          <w:szCs w:val="32"/>
          <w:highlight w:val="none"/>
          <w:lang w:val="zh-CN"/>
        </w:rPr>
        <w:t>（一）资金计划、到位及使用情况</w:t>
      </w:r>
      <w:r>
        <w:rPr>
          <w:rFonts w:hint="eastAsia" w:eastAsia="楷体_GB2312" w:cs="Times New Roman"/>
          <w:b/>
          <w:sz w:val="32"/>
          <w:szCs w:val="32"/>
          <w:highlight w:val="none"/>
          <w:lang w:val="zh-CN"/>
        </w:rPr>
        <w:t>（可用表格形式反映）</w:t>
      </w:r>
    </w:p>
    <w:p>
      <w:pPr>
        <w:keepNext w:val="0"/>
        <w:keepLines w:val="0"/>
        <w:pageBreakBefore w:val="0"/>
        <w:widowControl w:val="0"/>
        <w:numPr>
          <w:ilvl w:val="0"/>
          <w:numId w:val="0"/>
        </w:numPr>
        <w:kinsoku/>
        <w:wordWrap/>
        <w:overflowPunct/>
        <w:topLinePunct w:val="0"/>
        <w:autoSpaceDE/>
        <w:autoSpaceDN/>
        <w:bidi w:val="0"/>
        <w:adjustRightInd w:val="0"/>
        <w:snapToGrid w:val="0"/>
        <w:spacing w:line="576" w:lineRule="exact"/>
        <w:ind w:firstLine="640" w:firstLineChars="200"/>
        <w:textAlignment w:val="auto"/>
        <w:rPr>
          <w:rFonts w:hint="default" w:ascii="Times New Roman" w:hAnsi="Times New Roman" w:eastAsia="仿宋_GB2312" w:cs="Times New Roman"/>
          <w:kern w:val="0"/>
          <w:sz w:val="32"/>
          <w:szCs w:val="32"/>
          <w:highlight w:val="none"/>
          <w:lang w:val="en-US" w:eastAsia="zh-CN" w:bidi="ar-SA"/>
        </w:rPr>
      </w:pPr>
      <w:r>
        <w:rPr>
          <w:rFonts w:hint="default" w:ascii="Times New Roman" w:hAnsi="Times New Roman" w:eastAsia="仿宋_GB2312" w:cs="Times New Roman"/>
          <w:kern w:val="0"/>
          <w:sz w:val="32"/>
          <w:szCs w:val="32"/>
          <w:highlight w:val="none"/>
          <w:lang w:val="zh-CN" w:eastAsia="zh-CN" w:bidi="ar-SA"/>
        </w:rPr>
        <w:t>1.资金计划及到位。</w:t>
      </w:r>
      <w:r>
        <w:rPr>
          <w:rFonts w:hint="eastAsia" w:ascii="Times New Roman" w:hAnsi="Times New Roman" w:eastAsia="仿宋_GB2312" w:cs="Times New Roman"/>
          <w:kern w:val="0"/>
          <w:sz w:val="32"/>
          <w:szCs w:val="32"/>
          <w:highlight w:val="none"/>
          <w:lang w:val="zh-CN" w:eastAsia="zh-CN" w:bidi="ar-SA"/>
        </w:rPr>
        <w:t>该项目年初预算</w:t>
      </w:r>
      <w:r>
        <w:rPr>
          <w:rFonts w:hint="eastAsia" w:ascii="Times New Roman" w:hAnsi="Times New Roman" w:eastAsia="仿宋_GB2312" w:cs="Times New Roman"/>
          <w:kern w:val="0"/>
          <w:sz w:val="32"/>
          <w:szCs w:val="32"/>
          <w:highlight w:val="none"/>
          <w:lang w:val="en-US" w:eastAsia="zh-CN" w:bidi="ar-SA"/>
        </w:rPr>
        <w:t>2.5万元，实际到位2.5万元，到位率100%。</w:t>
      </w:r>
    </w:p>
    <w:p>
      <w:pPr>
        <w:keepNext w:val="0"/>
        <w:keepLines w:val="0"/>
        <w:pageBreakBefore w:val="0"/>
        <w:widowControl w:val="0"/>
        <w:numPr>
          <w:ilvl w:val="0"/>
          <w:numId w:val="0"/>
        </w:numPr>
        <w:kinsoku/>
        <w:wordWrap/>
        <w:overflowPunct/>
        <w:topLinePunct w:val="0"/>
        <w:autoSpaceDE/>
        <w:autoSpaceDN/>
        <w:bidi w:val="0"/>
        <w:adjustRightInd w:val="0"/>
        <w:snapToGrid w:val="0"/>
        <w:spacing w:line="576" w:lineRule="exact"/>
        <w:ind w:firstLine="640" w:firstLineChars="200"/>
        <w:textAlignment w:val="auto"/>
        <w:rPr>
          <w:rFonts w:hint="default" w:ascii="Times New Roman" w:hAnsi="Times New Roman" w:eastAsia="仿宋_GB2312" w:cs="Times New Roman"/>
          <w:kern w:val="0"/>
          <w:sz w:val="32"/>
          <w:szCs w:val="32"/>
          <w:highlight w:val="none"/>
          <w:lang w:val="en-US" w:eastAsia="zh-CN" w:bidi="ar-SA"/>
        </w:rPr>
      </w:pPr>
      <w:r>
        <w:rPr>
          <w:rFonts w:hint="default" w:ascii="Times New Roman" w:hAnsi="Times New Roman" w:eastAsia="仿宋_GB2312" w:cs="Times New Roman"/>
          <w:kern w:val="0"/>
          <w:sz w:val="32"/>
          <w:szCs w:val="32"/>
          <w:highlight w:val="none"/>
          <w:lang w:val="zh-CN" w:eastAsia="zh-CN" w:bidi="ar-SA"/>
        </w:rPr>
        <w:t>2.资金使用。</w:t>
      </w:r>
      <w:r>
        <w:rPr>
          <w:rFonts w:hint="eastAsia" w:ascii="Times New Roman" w:hAnsi="Times New Roman" w:eastAsia="仿宋_GB2312" w:cs="Times New Roman"/>
          <w:kern w:val="0"/>
          <w:sz w:val="32"/>
          <w:szCs w:val="32"/>
          <w:highlight w:val="none"/>
          <w:lang w:val="en-US" w:eastAsia="zh-CN" w:bidi="ar-SA"/>
        </w:rPr>
        <w:t>主要用于</w:t>
      </w:r>
      <w:r>
        <w:rPr>
          <w:rFonts w:hint="eastAsia" w:ascii="Times New Roman" w:hAnsi="Times New Roman" w:eastAsia="仿宋_GB2312" w:cs="Times New Roman"/>
          <w:kern w:val="0"/>
          <w:sz w:val="32"/>
          <w:szCs w:val="32"/>
          <w:highlight w:val="none"/>
          <w:lang w:val="zh-CN" w:eastAsia="zh-CN" w:bidi="ar-SA"/>
        </w:rPr>
        <w:t>招商引资相关公务接待费，以保证该项工作的正常开展，</w:t>
      </w:r>
      <w:r>
        <w:rPr>
          <w:rFonts w:hint="eastAsia" w:ascii="Times New Roman" w:hAnsi="Times New Roman" w:eastAsia="仿宋_GB2312" w:cs="Times New Roman"/>
          <w:kern w:val="0"/>
          <w:sz w:val="32"/>
          <w:szCs w:val="32"/>
          <w:highlight w:val="none"/>
          <w:lang w:val="en-US" w:eastAsia="zh-CN" w:bidi="ar-SA"/>
        </w:rPr>
        <w:t>2022年已使用2.5万元，资金使用率100%。</w:t>
      </w:r>
    </w:p>
    <w:p>
      <w:pPr>
        <w:keepNext w:val="0"/>
        <w:keepLines w:val="0"/>
        <w:pageBreakBefore w:val="0"/>
        <w:widowControl w:val="0"/>
        <w:kinsoku/>
        <w:wordWrap/>
        <w:overflowPunct/>
        <w:topLinePunct w:val="0"/>
        <w:autoSpaceDE/>
        <w:autoSpaceDN/>
        <w:bidi w:val="0"/>
        <w:adjustRightInd w:val="0"/>
        <w:snapToGrid w:val="0"/>
        <w:spacing w:line="576" w:lineRule="exact"/>
        <w:ind w:firstLine="643" w:firstLineChars="200"/>
        <w:textAlignment w:val="auto"/>
        <w:rPr>
          <w:rFonts w:hint="default" w:ascii="Times New Roman" w:hAnsi="Times New Roman" w:eastAsia="楷体_GB2312" w:cs="Times New Roman"/>
          <w:b/>
          <w:sz w:val="32"/>
          <w:szCs w:val="32"/>
          <w:highlight w:val="none"/>
          <w:lang w:val="zh-CN"/>
        </w:rPr>
      </w:pPr>
      <w:r>
        <w:rPr>
          <w:rFonts w:hint="default" w:ascii="Times New Roman" w:hAnsi="Times New Roman" w:eastAsia="楷体_GB2312" w:cs="Times New Roman"/>
          <w:b/>
          <w:sz w:val="32"/>
          <w:szCs w:val="32"/>
          <w:highlight w:val="none"/>
          <w:lang w:val="zh-CN"/>
        </w:rPr>
        <w:t>（二）项目财务管理情况</w:t>
      </w:r>
    </w:p>
    <w:p>
      <w:pPr>
        <w:keepNext w:val="0"/>
        <w:keepLines w:val="0"/>
        <w:pageBreakBefore w:val="0"/>
        <w:widowControl w:val="0"/>
        <w:numPr>
          <w:ilvl w:val="0"/>
          <w:numId w:val="0"/>
        </w:numPr>
        <w:kinsoku/>
        <w:wordWrap/>
        <w:overflowPunct/>
        <w:topLinePunct w:val="0"/>
        <w:autoSpaceDE/>
        <w:autoSpaceDN/>
        <w:bidi w:val="0"/>
        <w:adjustRightInd w:val="0"/>
        <w:snapToGrid w:val="0"/>
        <w:spacing w:line="576" w:lineRule="exact"/>
        <w:ind w:firstLine="640" w:firstLineChars="200"/>
        <w:textAlignment w:val="auto"/>
        <w:rPr>
          <w:rFonts w:hint="default" w:ascii="Times New Roman" w:hAnsi="Times New Roman" w:eastAsia="仿宋_GB2312" w:cs="Times New Roman"/>
          <w:kern w:val="0"/>
          <w:sz w:val="32"/>
          <w:szCs w:val="32"/>
          <w:highlight w:val="none"/>
          <w:lang w:val="en-US" w:eastAsia="zh-CN" w:bidi="ar-SA"/>
        </w:rPr>
      </w:pPr>
      <w:r>
        <w:rPr>
          <w:rFonts w:hint="eastAsia" w:ascii="Times New Roman" w:hAnsi="Times New Roman" w:eastAsia="仿宋_GB2312" w:cs="Times New Roman"/>
          <w:kern w:val="0"/>
          <w:sz w:val="32"/>
          <w:szCs w:val="32"/>
          <w:highlight w:val="none"/>
          <w:lang w:val="zh-CN" w:eastAsia="zh-CN" w:bidi="ar-SA"/>
        </w:rPr>
        <w:t>为有效落实项目资金的财务管理，我单位印发了《项目支出预算管理办法》，严重按照项目支出综合预算、科学论证、合理排序、追踪问效的原则实施项目。项目资金的使用各经办人员、规划财务股按照职责分工进行财务管理。项目资金的会计核算和账务处理由各经办人员提供相关资金资料，报规划财务股审核后按照会计处理法规进行账务处理。按照项目资金的管理办法，该项目资金严格执行财务管理制度，财务处理及时，会计核算规范。</w:t>
      </w:r>
    </w:p>
    <w:p>
      <w:pPr>
        <w:keepNext w:val="0"/>
        <w:keepLines w:val="0"/>
        <w:pageBreakBefore w:val="0"/>
        <w:widowControl w:val="0"/>
        <w:kinsoku/>
        <w:wordWrap/>
        <w:overflowPunct/>
        <w:topLinePunct w:val="0"/>
        <w:autoSpaceDE/>
        <w:autoSpaceDN/>
        <w:bidi w:val="0"/>
        <w:adjustRightInd w:val="0"/>
        <w:snapToGrid w:val="0"/>
        <w:spacing w:line="576" w:lineRule="exact"/>
        <w:ind w:firstLine="643" w:firstLineChars="200"/>
        <w:textAlignment w:val="auto"/>
        <w:rPr>
          <w:rFonts w:hint="default" w:ascii="Times New Roman" w:hAnsi="Times New Roman" w:eastAsia="楷体_GB2312" w:cs="Times New Roman"/>
          <w:b/>
          <w:sz w:val="32"/>
          <w:szCs w:val="32"/>
          <w:highlight w:val="none"/>
          <w:lang w:val="zh-CN"/>
        </w:rPr>
      </w:pPr>
      <w:r>
        <w:rPr>
          <w:rFonts w:hint="default" w:ascii="Times New Roman" w:hAnsi="Times New Roman" w:eastAsia="楷体_GB2312" w:cs="Times New Roman"/>
          <w:b/>
          <w:sz w:val="32"/>
          <w:szCs w:val="32"/>
          <w:highlight w:val="none"/>
          <w:lang w:val="zh-CN"/>
        </w:rPr>
        <w:t>（三）项目组织实施</w:t>
      </w:r>
      <w:r>
        <w:rPr>
          <w:rFonts w:hint="eastAsia" w:eastAsia="楷体_GB2312" w:cs="Times New Roman"/>
          <w:b/>
          <w:sz w:val="32"/>
          <w:szCs w:val="32"/>
          <w:highlight w:val="none"/>
          <w:lang w:val="zh-CN"/>
        </w:rPr>
        <w:t>及管理</w:t>
      </w:r>
      <w:r>
        <w:rPr>
          <w:rFonts w:hint="default" w:ascii="Times New Roman" w:hAnsi="Times New Roman" w:eastAsia="楷体_GB2312" w:cs="Times New Roman"/>
          <w:b/>
          <w:sz w:val="32"/>
          <w:szCs w:val="32"/>
          <w:highlight w:val="none"/>
          <w:lang w:val="zh-CN"/>
        </w:rPr>
        <w:t>情况</w:t>
      </w:r>
    </w:p>
    <w:p>
      <w:pPr>
        <w:keepNext w:val="0"/>
        <w:keepLines w:val="0"/>
        <w:pageBreakBefore w:val="0"/>
        <w:widowControl w:val="0"/>
        <w:numPr>
          <w:ilvl w:val="0"/>
          <w:numId w:val="0"/>
        </w:numPr>
        <w:kinsoku/>
        <w:wordWrap/>
        <w:overflowPunct/>
        <w:topLinePunct w:val="0"/>
        <w:autoSpaceDE/>
        <w:autoSpaceDN/>
        <w:bidi w:val="0"/>
        <w:adjustRightInd w:val="0"/>
        <w:snapToGrid w:val="0"/>
        <w:spacing w:line="576" w:lineRule="exact"/>
        <w:ind w:firstLine="640" w:firstLineChars="200"/>
        <w:textAlignment w:val="auto"/>
        <w:rPr>
          <w:rFonts w:hint="eastAsia" w:ascii="Times New Roman" w:hAnsi="Times New Roman" w:eastAsia="仿宋_GB2312" w:cs="Times New Roman"/>
          <w:kern w:val="0"/>
          <w:sz w:val="32"/>
          <w:szCs w:val="32"/>
          <w:highlight w:val="none"/>
          <w:lang w:val="zh-CN" w:eastAsia="zh-CN" w:bidi="ar-SA"/>
        </w:rPr>
      </w:pPr>
      <w:r>
        <w:rPr>
          <w:rFonts w:hint="eastAsia" w:ascii="Times New Roman" w:hAnsi="Times New Roman" w:eastAsia="仿宋_GB2312" w:cs="Times New Roman"/>
          <w:kern w:val="0"/>
          <w:sz w:val="32"/>
          <w:szCs w:val="32"/>
          <w:highlight w:val="none"/>
          <w:lang w:val="en-US" w:eastAsia="zh-CN" w:bidi="ar-SA"/>
        </w:rPr>
        <w:t>该项目组织框架主要包括局内各股室、下属事业单位和规划财务股组成。</w:t>
      </w:r>
      <w:r>
        <w:rPr>
          <w:rFonts w:hint="eastAsia" w:ascii="Times New Roman" w:hAnsi="Times New Roman" w:eastAsia="仿宋_GB2312" w:cs="Times New Roman"/>
          <w:kern w:val="0"/>
          <w:sz w:val="32"/>
          <w:szCs w:val="32"/>
          <w:highlight w:val="none"/>
          <w:lang w:val="zh-CN" w:eastAsia="zh-CN" w:bidi="ar-SA"/>
        </w:rPr>
        <w:t>规划财务股对项目支出的执行过程和完成结果进行监督、检查，并开展内审对项目支出进行重点审查。对违反有关法律、行政法规和财务规章制度的，依法进行处理，并通告处理结果。</w:t>
      </w:r>
    </w:p>
    <w:p>
      <w:pPr>
        <w:keepNext w:val="0"/>
        <w:keepLines w:val="0"/>
        <w:pageBreakBefore w:val="0"/>
        <w:widowControl w:val="0"/>
        <w:kinsoku/>
        <w:wordWrap/>
        <w:overflowPunct/>
        <w:topLinePunct w:val="0"/>
        <w:autoSpaceDE/>
        <w:autoSpaceDN/>
        <w:bidi w:val="0"/>
        <w:adjustRightInd w:val="0"/>
        <w:snapToGrid w:val="0"/>
        <w:spacing w:line="576" w:lineRule="exact"/>
        <w:ind w:firstLine="640" w:firstLineChars="200"/>
        <w:textAlignment w:val="auto"/>
        <w:rPr>
          <w:rFonts w:hint="default" w:ascii="Times New Roman" w:hAnsi="Times New Roman" w:cs="Times New Roman"/>
          <w:sz w:val="32"/>
          <w:szCs w:val="32"/>
          <w:highlight w:val="none"/>
          <w:lang w:val="zh-CN"/>
        </w:rPr>
      </w:pPr>
      <w:r>
        <w:rPr>
          <w:rFonts w:hint="default" w:ascii="Times New Roman" w:hAnsi="Times New Roman" w:eastAsia="黑体" w:cs="Times New Roman"/>
          <w:sz w:val="32"/>
          <w:szCs w:val="32"/>
          <w:highlight w:val="none"/>
        </w:rPr>
        <w:t>三、项目绩效情况</w:t>
      </w:r>
      <w:r>
        <w:rPr>
          <w:rFonts w:hint="default" w:ascii="Times New Roman" w:hAnsi="Times New Roman" w:cs="Times New Roman"/>
          <w:sz w:val="32"/>
          <w:szCs w:val="32"/>
          <w:highlight w:val="none"/>
          <w:lang w:val="zh-CN"/>
        </w:rPr>
        <w:tab/>
      </w:r>
    </w:p>
    <w:p>
      <w:pPr>
        <w:pStyle w:val="6"/>
        <w:spacing w:before="108" w:after="15"/>
        <w:ind w:left="871"/>
        <w:rPr>
          <w:highlight w:val="none"/>
        </w:rPr>
      </w:pPr>
      <w:r>
        <w:rPr>
          <w:highlight w:val="none"/>
        </w:rPr>
        <w:t>该项目绩效目标完成情况见下表：</w:t>
      </w:r>
    </w:p>
    <w:tbl>
      <w:tblPr>
        <w:tblStyle w:val="16"/>
        <w:tblW w:w="8798"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824"/>
        <w:gridCol w:w="1576"/>
        <w:gridCol w:w="2011"/>
        <w:gridCol w:w="463"/>
        <w:gridCol w:w="1490"/>
        <w:gridCol w:w="465"/>
        <w:gridCol w:w="96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7" w:hRule="atLeast"/>
        </w:trPr>
        <w:tc>
          <w:tcPr>
            <w:tcW w:w="1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年度预算数（万元）</w:t>
            </w:r>
          </w:p>
        </w:tc>
        <w:tc>
          <w:tcPr>
            <w:tcW w:w="15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年初预算</w:t>
            </w:r>
          </w:p>
        </w:tc>
        <w:tc>
          <w:tcPr>
            <w:tcW w:w="20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调整后预算数</w:t>
            </w:r>
          </w:p>
        </w:tc>
        <w:tc>
          <w:tcPr>
            <w:tcW w:w="241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预算执行数</w:t>
            </w:r>
          </w:p>
        </w:tc>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预算执行率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7" w:hRule="atLeast"/>
        </w:trPr>
        <w:tc>
          <w:tcPr>
            <w:tcW w:w="1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总额</w:t>
            </w:r>
          </w:p>
        </w:tc>
        <w:tc>
          <w:tcPr>
            <w:tcW w:w="15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3.34</w:t>
            </w:r>
          </w:p>
        </w:tc>
        <w:tc>
          <w:tcPr>
            <w:tcW w:w="20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3.34</w:t>
            </w:r>
          </w:p>
        </w:tc>
        <w:tc>
          <w:tcPr>
            <w:tcW w:w="241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3.34</w:t>
            </w:r>
          </w:p>
        </w:tc>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9" w:hRule="atLeast"/>
        </w:trPr>
        <w:tc>
          <w:tcPr>
            <w:tcW w:w="1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其中：财政资金</w:t>
            </w:r>
          </w:p>
        </w:tc>
        <w:tc>
          <w:tcPr>
            <w:tcW w:w="15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3.34</w:t>
            </w:r>
          </w:p>
        </w:tc>
        <w:tc>
          <w:tcPr>
            <w:tcW w:w="20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3.34</w:t>
            </w:r>
          </w:p>
        </w:tc>
        <w:tc>
          <w:tcPr>
            <w:tcW w:w="241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3.34</w:t>
            </w:r>
          </w:p>
        </w:tc>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3" w:hRule="atLeast"/>
        </w:trPr>
        <w:tc>
          <w:tcPr>
            <w:tcW w:w="1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财政专户管理资金</w:t>
            </w:r>
          </w:p>
        </w:tc>
        <w:tc>
          <w:tcPr>
            <w:tcW w:w="15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0.00</w:t>
            </w:r>
          </w:p>
        </w:tc>
        <w:tc>
          <w:tcPr>
            <w:tcW w:w="20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0.00</w:t>
            </w:r>
          </w:p>
        </w:tc>
        <w:tc>
          <w:tcPr>
            <w:tcW w:w="241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0.00</w:t>
            </w:r>
          </w:p>
        </w:tc>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2" w:hRule="atLeast"/>
        </w:trPr>
        <w:tc>
          <w:tcPr>
            <w:tcW w:w="1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单位资金</w:t>
            </w:r>
          </w:p>
        </w:tc>
        <w:tc>
          <w:tcPr>
            <w:tcW w:w="15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0.00</w:t>
            </w:r>
          </w:p>
        </w:tc>
        <w:tc>
          <w:tcPr>
            <w:tcW w:w="20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0.00</w:t>
            </w:r>
          </w:p>
        </w:tc>
        <w:tc>
          <w:tcPr>
            <w:tcW w:w="241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0.00</w:t>
            </w:r>
          </w:p>
        </w:tc>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1" w:hRule="atLeast"/>
        </w:trPr>
        <w:tc>
          <w:tcPr>
            <w:tcW w:w="1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其他资金</w:t>
            </w:r>
          </w:p>
        </w:tc>
        <w:tc>
          <w:tcPr>
            <w:tcW w:w="15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highlight w:val="none"/>
                <w:u w:val="none"/>
              </w:rPr>
            </w:pPr>
          </w:p>
        </w:tc>
        <w:tc>
          <w:tcPr>
            <w:tcW w:w="20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highlight w:val="none"/>
                <w:u w:val="none"/>
              </w:rPr>
            </w:pPr>
          </w:p>
        </w:tc>
        <w:tc>
          <w:tcPr>
            <w:tcW w:w="241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highlight w:val="none"/>
                <w:u w:val="none"/>
              </w:rPr>
            </w:pPr>
          </w:p>
        </w:tc>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3" w:hRule="atLeast"/>
        </w:trPr>
        <w:tc>
          <w:tcPr>
            <w:tcW w:w="1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一级指标</w:t>
            </w:r>
          </w:p>
        </w:tc>
        <w:tc>
          <w:tcPr>
            <w:tcW w:w="15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二级指标</w:t>
            </w:r>
          </w:p>
        </w:tc>
        <w:tc>
          <w:tcPr>
            <w:tcW w:w="20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三级指标</w:t>
            </w:r>
          </w:p>
        </w:tc>
        <w:tc>
          <w:tcPr>
            <w:tcW w:w="4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指标性质</w:t>
            </w:r>
          </w:p>
        </w:tc>
        <w:tc>
          <w:tcPr>
            <w:tcW w:w="14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指标值</w:t>
            </w:r>
          </w:p>
        </w:tc>
        <w:tc>
          <w:tcPr>
            <w:tcW w:w="4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度量单位</w:t>
            </w:r>
          </w:p>
        </w:tc>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完成值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7" w:hRule="atLeast"/>
        </w:trPr>
        <w:tc>
          <w:tcPr>
            <w:tcW w:w="182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产出指标</w:t>
            </w:r>
          </w:p>
        </w:tc>
        <w:tc>
          <w:tcPr>
            <w:tcW w:w="157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数量指标</w:t>
            </w:r>
          </w:p>
        </w:tc>
        <w:tc>
          <w:tcPr>
            <w:tcW w:w="20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参加招商引资推介会次数</w:t>
            </w:r>
          </w:p>
        </w:tc>
        <w:tc>
          <w:tcPr>
            <w:tcW w:w="4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w:t>
            </w:r>
          </w:p>
        </w:tc>
        <w:tc>
          <w:tcPr>
            <w:tcW w:w="14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2</w:t>
            </w:r>
          </w:p>
        </w:tc>
        <w:tc>
          <w:tcPr>
            <w:tcW w:w="4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次</w:t>
            </w:r>
          </w:p>
        </w:tc>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iCs/>
                <w:color w:val="000000"/>
                <w:sz w:val="16"/>
                <w:szCs w:val="16"/>
                <w:highlight w:val="none"/>
                <w:u w:val="none"/>
                <w:lang w:val="en-US" w:eastAsia="zh-CN"/>
              </w:rPr>
            </w:pPr>
            <w:r>
              <w:rPr>
                <w:rFonts w:hint="eastAsia" w:ascii="宋体" w:hAnsi="宋体" w:eastAsia="宋体" w:cs="宋体"/>
                <w:i w:val="0"/>
                <w:iCs w:val="0"/>
                <w:color w:val="000000"/>
                <w:kern w:val="0"/>
                <w:sz w:val="18"/>
                <w:szCs w:val="18"/>
                <w:highlight w:val="none"/>
                <w:u w:val="none"/>
                <w:lang w:val="en-US" w:eastAsia="zh-CN" w:bidi="ar"/>
              </w:rPr>
              <w:t>2次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3" w:hRule="atLeast"/>
        </w:trPr>
        <w:tc>
          <w:tcPr>
            <w:tcW w:w="182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highlight w:val="none"/>
                <w:u w:val="none"/>
              </w:rPr>
            </w:pPr>
          </w:p>
        </w:tc>
        <w:tc>
          <w:tcPr>
            <w:tcW w:w="15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highlight w:val="none"/>
                <w:u w:val="none"/>
              </w:rPr>
            </w:pPr>
          </w:p>
        </w:tc>
        <w:tc>
          <w:tcPr>
            <w:tcW w:w="20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累计洽谈项目个数</w:t>
            </w:r>
          </w:p>
        </w:tc>
        <w:tc>
          <w:tcPr>
            <w:tcW w:w="4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w:t>
            </w:r>
          </w:p>
        </w:tc>
        <w:tc>
          <w:tcPr>
            <w:tcW w:w="14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3</w:t>
            </w:r>
          </w:p>
        </w:tc>
        <w:tc>
          <w:tcPr>
            <w:tcW w:w="4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个</w:t>
            </w:r>
          </w:p>
        </w:tc>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iCs/>
                <w:color w:val="000000"/>
                <w:sz w:val="16"/>
                <w:szCs w:val="16"/>
                <w:highlight w:val="none"/>
                <w:u w:val="none"/>
              </w:rPr>
            </w:pPr>
            <w:r>
              <w:rPr>
                <w:rFonts w:hint="eastAsia" w:ascii="宋体" w:hAnsi="宋体" w:eastAsia="宋体" w:cs="宋体"/>
                <w:i w:val="0"/>
                <w:iCs w:val="0"/>
                <w:color w:val="000000"/>
                <w:kern w:val="0"/>
                <w:sz w:val="18"/>
                <w:szCs w:val="18"/>
                <w:highlight w:val="none"/>
                <w:u w:val="none"/>
                <w:lang w:val="en-US" w:eastAsia="zh-CN" w:bidi="ar"/>
              </w:rPr>
              <w:t>3个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7" w:hRule="atLeast"/>
        </w:trPr>
        <w:tc>
          <w:tcPr>
            <w:tcW w:w="182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highlight w:val="none"/>
                <w:u w:val="none"/>
              </w:rPr>
            </w:pPr>
          </w:p>
        </w:tc>
        <w:tc>
          <w:tcPr>
            <w:tcW w:w="15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质量指标</w:t>
            </w:r>
          </w:p>
        </w:tc>
        <w:tc>
          <w:tcPr>
            <w:tcW w:w="20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完成2022年区政府下达的招商引资目标任务</w:t>
            </w:r>
          </w:p>
        </w:tc>
        <w:tc>
          <w:tcPr>
            <w:tcW w:w="4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定性</w:t>
            </w:r>
          </w:p>
        </w:tc>
        <w:tc>
          <w:tcPr>
            <w:tcW w:w="14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优良中低差</w:t>
            </w:r>
          </w:p>
        </w:tc>
        <w:tc>
          <w:tcPr>
            <w:tcW w:w="4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highlight w:val="none"/>
                <w:u w:val="none"/>
              </w:rPr>
            </w:pPr>
          </w:p>
        </w:tc>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iCs/>
                <w:color w:val="000000"/>
                <w:sz w:val="16"/>
                <w:szCs w:val="16"/>
                <w:highlight w:val="none"/>
                <w:u w:val="none"/>
              </w:rPr>
            </w:pPr>
            <w:r>
              <w:rPr>
                <w:rFonts w:hint="eastAsia" w:ascii="宋体" w:hAnsi="宋体" w:eastAsia="宋体" w:cs="宋体"/>
                <w:i w:val="0"/>
                <w:iCs w:val="0"/>
                <w:color w:val="000000"/>
                <w:kern w:val="0"/>
                <w:sz w:val="18"/>
                <w:szCs w:val="18"/>
                <w:highlight w:val="none"/>
                <w:u w:val="none"/>
                <w:lang w:val="en-US" w:eastAsia="zh-CN" w:bidi="ar"/>
              </w:rPr>
              <w:t>优</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3" w:hRule="atLeast"/>
        </w:trPr>
        <w:tc>
          <w:tcPr>
            <w:tcW w:w="182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highlight w:val="none"/>
                <w:u w:val="none"/>
              </w:rPr>
            </w:pPr>
          </w:p>
        </w:tc>
        <w:tc>
          <w:tcPr>
            <w:tcW w:w="15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时效指标</w:t>
            </w:r>
          </w:p>
        </w:tc>
        <w:tc>
          <w:tcPr>
            <w:tcW w:w="20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完成年限</w:t>
            </w:r>
          </w:p>
        </w:tc>
        <w:tc>
          <w:tcPr>
            <w:tcW w:w="4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w:t>
            </w:r>
          </w:p>
        </w:tc>
        <w:tc>
          <w:tcPr>
            <w:tcW w:w="14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w:t>
            </w:r>
          </w:p>
        </w:tc>
        <w:tc>
          <w:tcPr>
            <w:tcW w:w="4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年</w:t>
            </w:r>
          </w:p>
        </w:tc>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iCs/>
                <w:color w:val="000000"/>
                <w:sz w:val="16"/>
                <w:szCs w:val="16"/>
                <w:highlight w:val="none"/>
                <w:u w:val="none"/>
              </w:rPr>
            </w:pPr>
            <w:r>
              <w:rPr>
                <w:rFonts w:hint="eastAsia" w:ascii="宋体" w:hAnsi="宋体" w:eastAsia="宋体" w:cs="宋体"/>
                <w:i w:val="0"/>
                <w:iCs w:val="0"/>
                <w:color w:val="000000"/>
                <w:kern w:val="0"/>
                <w:sz w:val="18"/>
                <w:szCs w:val="18"/>
                <w:highlight w:val="none"/>
                <w:u w:val="none"/>
                <w:lang w:val="en-US" w:eastAsia="zh-CN" w:bidi="ar"/>
              </w:rPr>
              <w:t>1年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7" w:hRule="atLeast"/>
        </w:trPr>
        <w:tc>
          <w:tcPr>
            <w:tcW w:w="182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highlight w:val="none"/>
                <w:u w:val="none"/>
              </w:rPr>
            </w:pPr>
          </w:p>
        </w:tc>
        <w:tc>
          <w:tcPr>
            <w:tcW w:w="15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成本指标</w:t>
            </w:r>
          </w:p>
        </w:tc>
        <w:tc>
          <w:tcPr>
            <w:tcW w:w="20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招商引资工作经费控制在预算批复之内</w:t>
            </w:r>
          </w:p>
        </w:tc>
        <w:tc>
          <w:tcPr>
            <w:tcW w:w="4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w:t>
            </w:r>
          </w:p>
        </w:tc>
        <w:tc>
          <w:tcPr>
            <w:tcW w:w="14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2.5</w:t>
            </w:r>
          </w:p>
        </w:tc>
        <w:tc>
          <w:tcPr>
            <w:tcW w:w="4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万元</w:t>
            </w:r>
          </w:p>
        </w:tc>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iCs/>
                <w:color w:val="000000"/>
                <w:sz w:val="16"/>
                <w:szCs w:val="16"/>
                <w:highlight w:val="none"/>
                <w:u w:val="none"/>
              </w:rPr>
            </w:pPr>
            <w:r>
              <w:rPr>
                <w:rFonts w:hint="eastAsia" w:ascii="宋体" w:hAnsi="宋体" w:eastAsia="宋体" w:cs="宋体"/>
                <w:i w:val="0"/>
                <w:iCs w:val="0"/>
                <w:color w:val="000000"/>
                <w:kern w:val="0"/>
                <w:sz w:val="18"/>
                <w:szCs w:val="18"/>
                <w:highlight w:val="none"/>
                <w:u w:val="none"/>
                <w:lang w:val="en-US" w:eastAsia="zh-CN" w:bidi="ar"/>
              </w:rPr>
              <w:t>2.5万元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7" w:hRule="atLeast"/>
        </w:trPr>
        <w:tc>
          <w:tcPr>
            <w:tcW w:w="182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效益指标</w:t>
            </w:r>
          </w:p>
        </w:tc>
        <w:tc>
          <w:tcPr>
            <w:tcW w:w="15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经济效益指标</w:t>
            </w:r>
          </w:p>
        </w:tc>
        <w:tc>
          <w:tcPr>
            <w:tcW w:w="20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增加税收收入</w:t>
            </w:r>
          </w:p>
        </w:tc>
        <w:tc>
          <w:tcPr>
            <w:tcW w:w="4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定性</w:t>
            </w:r>
          </w:p>
        </w:tc>
        <w:tc>
          <w:tcPr>
            <w:tcW w:w="14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优良中低差</w:t>
            </w:r>
          </w:p>
        </w:tc>
        <w:tc>
          <w:tcPr>
            <w:tcW w:w="4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highlight w:val="none"/>
                <w:u w:val="none"/>
              </w:rPr>
            </w:pPr>
          </w:p>
        </w:tc>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iCs/>
                <w:color w:val="000000"/>
                <w:sz w:val="16"/>
                <w:szCs w:val="16"/>
                <w:highlight w:val="none"/>
                <w:u w:val="none"/>
              </w:rPr>
            </w:pPr>
            <w:r>
              <w:rPr>
                <w:rFonts w:hint="eastAsia" w:ascii="宋体" w:hAnsi="宋体" w:eastAsia="宋体" w:cs="宋体"/>
                <w:i w:val="0"/>
                <w:iCs w:val="0"/>
                <w:color w:val="000000"/>
                <w:kern w:val="0"/>
                <w:sz w:val="18"/>
                <w:szCs w:val="18"/>
                <w:highlight w:val="none"/>
                <w:u w:val="none"/>
                <w:lang w:val="en-US" w:eastAsia="zh-CN" w:bidi="ar"/>
              </w:rPr>
              <w:t>优</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7" w:hRule="atLeast"/>
        </w:trPr>
        <w:tc>
          <w:tcPr>
            <w:tcW w:w="182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highlight w:val="none"/>
                <w:u w:val="none"/>
              </w:rPr>
            </w:pPr>
          </w:p>
        </w:tc>
        <w:tc>
          <w:tcPr>
            <w:tcW w:w="15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社会效益指标</w:t>
            </w:r>
          </w:p>
        </w:tc>
        <w:tc>
          <w:tcPr>
            <w:tcW w:w="20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增加本地就业人数</w:t>
            </w:r>
          </w:p>
        </w:tc>
        <w:tc>
          <w:tcPr>
            <w:tcW w:w="4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定性</w:t>
            </w:r>
          </w:p>
        </w:tc>
        <w:tc>
          <w:tcPr>
            <w:tcW w:w="14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优良中低差</w:t>
            </w:r>
          </w:p>
        </w:tc>
        <w:tc>
          <w:tcPr>
            <w:tcW w:w="4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highlight w:val="none"/>
                <w:u w:val="none"/>
              </w:rPr>
            </w:pPr>
          </w:p>
        </w:tc>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iCs/>
                <w:color w:val="000000"/>
                <w:sz w:val="16"/>
                <w:szCs w:val="16"/>
                <w:highlight w:val="none"/>
                <w:u w:val="none"/>
              </w:rPr>
            </w:pPr>
            <w:r>
              <w:rPr>
                <w:rFonts w:hint="eastAsia" w:ascii="宋体" w:hAnsi="宋体" w:eastAsia="宋体" w:cs="宋体"/>
                <w:i w:val="0"/>
                <w:iCs w:val="0"/>
                <w:color w:val="000000"/>
                <w:kern w:val="0"/>
                <w:sz w:val="18"/>
                <w:szCs w:val="18"/>
                <w:highlight w:val="none"/>
                <w:u w:val="none"/>
                <w:lang w:val="en-US" w:eastAsia="zh-CN" w:bidi="ar"/>
              </w:rPr>
              <w:t>优</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6" w:hRule="atLeast"/>
        </w:trPr>
        <w:tc>
          <w:tcPr>
            <w:tcW w:w="1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满意度指标</w:t>
            </w:r>
          </w:p>
        </w:tc>
        <w:tc>
          <w:tcPr>
            <w:tcW w:w="15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服务对象满意度指标</w:t>
            </w:r>
          </w:p>
        </w:tc>
        <w:tc>
          <w:tcPr>
            <w:tcW w:w="20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企业满意度</w:t>
            </w:r>
          </w:p>
        </w:tc>
        <w:tc>
          <w:tcPr>
            <w:tcW w:w="4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w:t>
            </w:r>
          </w:p>
        </w:tc>
        <w:tc>
          <w:tcPr>
            <w:tcW w:w="14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90</w:t>
            </w:r>
          </w:p>
        </w:tc>
        <w:tc>
          <w:tcPr>
            <w:tcW w:w="4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w:t>
            </w:r>
          </w:p>
        </w:tc>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iCs/>
                <w:color w:val="000000"/>
                <w:sz w:val="16"/>
                <w:szCs w:val="16"/>
                <w:highlight w:val="none"/>
                <w:u w:val="none"/>
              </w:rPr>
            </w:pPr>
            <w:r>
              <w:rPr>
                <w:rFonts w:hint="eastAsia" w:ascii="宋体" w:hAnsi="宋体" w:eastAsia="宋体" w:cs="宋体"/>
                <w:i w:val="0"/>
                <w:iCs w:val="0"/>
                <w:color w:val="000000"/>
                <w:kern w:val="0"/>
                <w:sz w:val="18"/>
                <w:szCs w:val="18"/>
                <w:highlight w:val="none"/>
                <w:u w:val="none"/>
                <w:lang w:val="en-US" w:eastAsia="zh-CN" w:bidi="ar"/>
              </w:rPr>
              <w:t>95%</w:t>
            </w:r>
          </w:p>
        </w:tc>
      </w:tr>
    </w:tbl>
    <w:p>
      <w:pPr>
        <w:keepNext w:val="0"/>
        <w:keepLines w:val="0"/>
        <w:pageBreakBefore w:val="0"/>
        <w:widowControl w:val="0"/>
        <w:kinsoku/>
        <w:wordWrap/>
        <w:overflowPunct/>
        <w:topLinePunct w:val="0"/>
        <w:autoSpaceDE/>
        <w:autoSpaceDN/>
        <w:bidi w:val="0"/>
        <w:adjustRightInd w:val="0"/>
        <w:snapToGrid w:val="0"/>
        <w:spacing w:line="576" w:lineRule="exact"/>
        <w:ind w:firstLine="640" w:firstLineChars="200"/>
        <w:textAlignment w:val="auto"/>
        <w:rPr>
          <w:rFonts w:hint="default" w:ascii="Times New Roman" w:hAnsi="Times New Roman" w:eastAsia="黑体" w:cs="Times New Roman"/>
          <w:sz w:val="32"/>
          <w:szCs w:val="32"/>
          <w:highlight w:val="none"/>
        </w:rPr>
      </w:pPr>
      <w:r>
        <w:rPr>
          <w:rFonts w:hint="default" w:ascii="Times New Roman" w:hAnsi="Times New Roman" w:eastAsia="黑体" w:cs="Times New Roman"/>
          <w:sz w:val="32"/>
          <w:szCs w:val="32"/>
          <w:highlight w:val="none"/>
        </w:rPr>
        <w:t>四、</w:t>
      </w:r>
      <w:r>
        <w:rPr>
          <w:rFonts w:hint="eastAsia" w:eastAsia="黑体" w:cs="Times New Roman"/>
          <w:sz w:val="32"/>
          <w:szCs w:val="32"/>
          <w:highlight w:val="none"/>
          <w:lang w:eastAsia="zh-CN"/>
        </w:rPr>
        <w:t>自评结论及</w:t>
      </w:r>
      <w:r>
        <w:rPr>
          <w:rFonts w:hint="default" w:ascii="Times New Roman" w:hAnsi="Times New Roman" w:eastAsia="黑体" w:cs="Times New Roman"/>
          <w:sz w:val="32"/>
          <w:szCs w:val="32"/>
          <w:highlight w:val="none"/>
        </w:rPr>
        <w:t>建议</w:t>
      </w:r>
    </w:p>
    <w:p>
      <w:pPr>
        <w:keepNext w:val="0"/>
        <w:keepLines w:val="0"/>
        <w:pageBreakBefore w:val="0"/>
        <w:widowControl w:val="0"/>
        <w:kinsoku/>
        <w:wordWrap/>
        <w:overflowPunct/>
        <w:topLinePunct w:val="0"/>
        <w:autoSpaceDE/>
        <w:autoSpaceDN/>
        <w:bidi w:val="0"/>
        <w:adjustRightInd w:val="0"/>
        <w:snapToGrid w:val="0"/>
        <w:spacing w:line="576" w:lineRule="exact"/>
        <w:ind w:firstLine="643" w:firstLineChars="200"/>
        <w:textAlignment w:val="auto"/>
        <w:rPr>
          <w:rFonts w:hint="eastAsia" w:ascii="Times New Roman" w:hAnsi="Times New Roman" w:eastAsia="仿宋_GB2312" w:cs="Times New Roman"/>
          <w:kern w:val="0"/>
          <w:sz w:val="32"/>
          <w:szCs w:val="32"/>
          <w:highlight w:val="none"/>
          <w:lang w:val="zh-CN" w:eastAsia="zh-CN" w:bidi="ar-SA"/>
        </w:rPr>
      </w:pPr>
      <w:r>
        <w:rPr>
          <w:rFonts w:hint="eastAsia" w:ascii="Times New Roman" w:hAnsi="Times New Roman" w:eastAsia="楷体_GB2312" w:cs="Times New Roman"/>
          <w:b/>
          <w:sz w:val="32"/>
          <w:szCs w:val="32"/>
          <w:highlight w:val="none"/>
          <w:lang w:val="zh-CN" w:eastAsia="zh-CN"/>
        </w:rPr>
        <w:t>（一）评价结论。</w:t>
      </w:r>
      <w:r>
        <w:rPr>
          <w:rFonts w:hint="eastAsia" w:ascii="Times New Roman" w:hAnsi="Times New Roman" w:eastAsia="仿宋_GB2312" w:cs="Times New Roman"/>
          <w:kern w:val="0"/>
          <w:sz w:val="32"/>
          <w:szCs w:val="32"/>
          <w:highlight w:val="none"/>
          <w:lang w:val="zh-CN" w:eastAsia="zh-CN" w:bidi="ar-SA"/>
        </w:rPr>
        <w:t>我局在该项目实施过程中，建立健全相关制度、机制，严格执行，推进各专项工作的落实。项目资金管理实行专项管理，严格审批制度，真正做到了专款专用，确保项目资金有效的利用。总体来说项目审核严格，管理到位，完成及时，社会效果良好，综合评价</w:t>
      </w:r>
      <w:r>
        <w:rPr>
          <w:rFonts w:hint="eastAsia" w:ascii="Times New Roman" w:hAnsi="Times New Roman" w:eastAsia="仿宋_GB2312" w:cs="Times New Roman"/>
          <w:kern w:val="0"/>
          <w:sz w:val="32"/>
          <w:szCs w:val="32"/>
          <w:highlight w:val="none"/>
          <w:lang w:val="en-US" w:eastAsia="zh-CN" w:bidi="ar-SA"/>
        </w:rPr>
        <w:t>96分。</w:t>
      </w:r>
      <w:r>
        <w:rPr>
          <w:rFonts w:hint="eastAsia" w:ascii="Times New Roman" w:hAnsi="Times New Roman" w:eastAsia="仿宋_GB2312" w:cs="Times New Roman"/>
          <w:kern w:val="0"/>
          <w:sz w:val="32"/>
          <w:szCs w:val="32"/>
          <w:highlight w:val="none"/>
          <w:lang w:val="zh-CN" w:eastAsia="zh-CN" w:bidi="ar-SA"/>
        </w:rPr>
        <w:t>自评得分情况如下：</w:t>
      </w:r>
    </w:p>
    <w:tbl>
      <w:tblPr>
        <w:tblStyle w:val="16"/>
        <w:tblW w:w="8856"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576"/>
        <w:gridCol w:w="1471"/>
        <w:gridCol w:w="1280"/>
        <w:gridCol w:w="1617"/>
        <w:gridCol w:w="400"/>
        <w:gridCol w:w="1204"/>
        <w:gridCol w:w="400"/>
        <w:gridCol w:w="846"/>
        <w:gridCol w:w="486"/>
        <w:gridCol w:w="57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3" w:hRule="atLeast"/>
        </w:trPr>
        <w:tc>
          <w:tcPr>
            <w:tcW w:w="5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预算执行情况（10分）</w:t>
            </w:r>
          </w:p>
        </w:tc>
        <w:tc>
          <w:tcPr>
            <w:tcW w:w="15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年度预算数（万元）</w:t>
            </w:r>
          </w:p>
        </w:tc>
        <w:tc>
          <w:tcPr>
            <w:tcW w:w="13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年初预算</w:t>
            </w:r>
          </w:p>
        </w:tc>
        <w:tc>
          <w:tcPr>
            <w:tcW w:w="17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调整后预算数</w:t>
            </w:r>
          </w:p>
        </w:tc>
        <w:tc>
          <w:tcPr>
            <w:tcW w:w="208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预算执行数</w:t>
            </w:r>
          </w:p>
        </w:tc>
        <w:tc>
          <w:tcPr>
            <w:tcW w:w="8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预算执行率</w:t>
            </w:r>
          </w:p>
        </w:tc>
        <w:tc>
          <w:tcPr>
            <w:tcW w:w="3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权重</w:t>
            </w:r>
          </w:p>
        </w:tc>
        <w:tc>
          <w:tcPr>
            <w:tcW w:w="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得分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8" w:hRule="atLeast"/>
        </w:trPr>
        <w:tc>
          <w:tcPr>
            <w:tcW w:w="5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highlight w:val="none"/>
                <w:u w:val="none"/>
              </w:rPr>
            </w:pPr>
          </w:p>
        </w:tc>
        <w:tc>
          <w:tcPr>
            <w:tcW w:w="15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总额</w:t>
            </w:r>
          </w:p>
        </w:tc>
        <w:tc>
          <w:tcPr>
            <w:tcW w:w="13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3.34</w:t>
            </w:r>
          </w:p>
        </w:tc>
        <w:tc>
          <w:tcPr>
            <w:tcW w:w="17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3.34</w:t>
            </w:r>
          </w:p>
        </w:tc>
        <w:tc>
          <w:tcPr>
            <w:tcW w:w="208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3.34</w:t>
            </w:r>
          </w:p>
        </w:tc>
        <w:tc>
          <w:tcPr>
            <w:tcW w:w="8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100.00%</w:t>
            </w:r>
          </w:p>
        </w:tc>
        <w:tc>
          <w:tcPr>
            <w:tcW w:w="3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10</w:t>
            </w:r>
          </w:p>
        </w:tc>
        <w:tc>
          <w:tcPr>
            <w:tcW w:w="3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宋体" w:hAnsi="宋体" w:eastAsia="宋体" w:cs="宋体"/>
                <w:i w:val="0"/>
                <w:iCs w:val="0"/>
                <w:color w:val="000000"/>
                <w:sz w:val="18"/>
                <w:szCs w:val="18"/>
                <w:highlight w:val="none"/>
                <w:u w:val="none"/>
                <w:lang w:val="en-US" w:eastAsia="zh-CN"/>
              </w:rPr>
            </w:pPr>
            <w:r>
              <w:rPr>
                <w:rFonts w:hint="eastAsia" w:ascii="宋体" w:hAnsi="宋体" w:cs="宋体"/>
                <w:i w:val="0"/>
                <w:iCs w:val="0"/>
                <w:color w:val="000000"/>
                <w:sz w:val="18"/>
                <w:szCs w:val="18"/>
                <w:highlight w:val="none"/>
                <w:u w:val="none"/>
                <w:lang w:val="en-US" w:eastAsia="zh-CN"/>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1" w:hRule="atLeast"/>
        </w:trPr>
        <w:tc>
          <w:tcPr>
            <w:tcW w:w="5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highlight w:val="none"/>
                <w:u w:val="none"/>
              </w:rPr>
            </w:pPr>
          </w:p>
        </w:tc>
        <w:tc>
          <w:tcPr>
            <w:tcW w:w="15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其中：财政资金</w:t>
            </w:r>
          </w:p>
        </w:tc>
        <w:tc>
          <w:tcPr>
            <w:tcW w:w="13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3.34</w:t>
            </w:r>
          </w:p>
        </w:tc>
        <w:tc>
          <w:tcPr>
            <w:tcW w:w="17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3.34</w:t>
            </w:r>
          </w:p>
        </w:tc>
        <w:tc>
          <w:tcPr>
            <w:tcW w:w="208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3.34</w:t>
            </w:r>
          </w:p>
        </w:tc>
        <w:tc>
          <w:tcPr>
            <w:tcW w:w="8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100.00%</w:t>
            </w:r>
          </w:p>
        </w:tc>
        <w:tc>
          <w:tcPr>
            <w:tcW w:w="3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w:t>
            </w:r>
          </w:p>
        </w:tc>
        <w:tc>
          <w:tcPr>
            <w:tcW w:w="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5" w:hRule="atLeast"/>
        </w:trPr>
        <w:tc>
          <w:tcPr>
            <w:tcW w:w="5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highlight w:val="none"/>
                <w:u w:val="none"/>
              </w:rPr>
            </w:pPr>
          </w:p>
        </w:tc>
        <w:tc>
          <w:tcPr>
            <w:tcW w:w="15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财政专户管理资金</w:t>
            </w:r>
          </w:p>
        </w:tc>
        <w:tc>
          <w:tcPr>
            <w:tcW w:w="13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0.00</w:t>
            </w:r>
          </w:p>
        </w:tc>
        <w:tc>
          <w:tcPr>
            <w:tcW w:w="17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0.00</w:t>
            </w:r>
          </w:p>
        </w:tc>
        <w:tc>
          <w:tcPr>
            <w:tcW w:w="208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0.00</w:t>
            </w:r>
          </w:p>
        </w:tc>
        <w:tc>
          <w:tcPr>
            <w:tcW w:w="8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0.00%</w:t>
            </w:r>
          </w:p>
        </w:tc>
        <w:tc>
          <w:tcPr>
            <w:tcW w:w="3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w:t>
            </w:r>
          </w:p>
        </w:tc>
        <w:tc>
          <w:tcPr>
            <w:tcW w:w="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2" w:hRule="atLeast"/>
        </w:trPr>
        <w:tc>
          <w:tcPr>
            <w:tcW w:w="5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highlight w:val="none"/>
                <w:u w:val="none"/>
              </w:rPr>
            </w:pPr>
          </w:p>
        </w:tc>
        <w:tc>
          <w:tcPr>
            <w:tcW w:w="15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单位资金</w:t>
            </w:r>
          </w:p>
        </w:tc>
        <w:tc>
          <w:tcPr>
            <w:tcW w:w="13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0.00</w:t>
            </w:r>
          </w:p>
        </w:tc>
        <w:tc>
          <w:tcPr>
            <w:tcW w:w="17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0.00</w:t>
            </w:r>
          </w:p>
        </w:tc>
        <w:tc>
          <w:tcPr>
            <w:tcW w:w="208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0.00</w:t>
            </w:r>
          </w:p>
        </w:tc>
        <w:tc>
          <w:tcPr>
            <w:tcW w:w="8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0.00%</w:t>
            </w:r>
          </w:p>
        </w:tc>
        <w:tc>
          <w:tcPr>
            <w:tcW w:w="3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w:t>
            </w:r>
          </w:p>
        </w:tc>
        <w:tc>
          <w:tcPr>
            <w:tcW w:w="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0" w:hRule="atLeast"/>
        </w:trPr>
        <w:tc>
          <w:tcPr>
            <w:tcW w:w="5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highlight w:val="none"/>
                <w:u w:val="none"/>
              </w:rPr>
            </w:pPr>
          </w:p>
        </w:tc>
        <w:tc>
          <w:tcPr>
            <w:tcW w:w="15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其他资金</w:t>
            </w:r>
          </w:p>
        </w:tc>
        <w:tc>
          <w:tcPr>
            <w:tcW w:w="136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highlight w:val="none"/>
                <w:u w:val="none"/>
              </w:rPr>
            </w:pPr>
          </w:p>
        </w:tc>
        <w:tc>
          <w:tcPr>
            <w:tcW w:w="173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highlight w:val="none"/>
                <w:u w:val="none"/>
              </w:rPr>
            </w:pPr>
          </w:p>
        </w:tc>
        <w:tc>
          <w:tcPr>
            <w:tcW w:w="208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highlight w:val="none"/>
                <w:u w:val="none"/>
              </w:rPr>
            </w:pPr>
          </w:p>
        </w:tc>
        <w:tc>
          <w:tcPr>
            <w:tcW w:w="8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highlight w:val="none"/>
                <w:u w:val="none"/>
              </w:rPr>
            </w:pPr>
          </w:p>
        </w:tc>
        <w:tc>
          <w:tcPr>
            <w:tcW w:w="3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w:t>
            </w:r>
          </w:p>
        </w:tc>
        <w:tc>
          <w:tcPr>
            <w:tcW w:w="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3" w:hRule="atLeast"/>
        </w:trPr>
        <w:tc>
          <w:tcPr>
            <w:tcW w:w="5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绩效指标（90分）</w:t>
            </w:r>
          </w:p>
        </w:tc>
        <w:tc>
          <w:tcPr>
            <w:tcW w:w="15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一级指标</w:t>
            </w:r>
          </w:p>
        </w:tc>
        <w:tc>
          <w:tcPr>
            <w:tcW w:w="13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二级指标</w:t>
            </w:r>
          </w:p>
        </w:tc>
        <w:tc>
          <w:tcPr>
            <w:tcW w:w="17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三级指标</w:t>
            </w:r>
          </w:p>
        </w:tc>
        <w:tc>
          <w:tcPr>
            <w:tcW w:w="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指标性质</w:t>
            </w:r>
          </w:p>
        </w:tc>
        <w:tc>
          <w:tcPr>
            <w:tcW w:w="12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指标值</w:t>
            </w:r>
          </w:p>
        </w:tc>
        <w:tc>
          <w:tcPr>
            <w:tcW w:w="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度量单位</w:t>
            </w:r>
          </w:p>
        </w:tc>
        <w:tc>
          <w:tcPr>
            <w:tcW w:w="8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完成值</w:t>
            </w:r>
          </w:p>
        </w:tc>
        <w:tc>
          <w:tcPr>
            <w:tcW w:w="3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权重</w:t>
            </w:r>
          </w:p>
        </w:tc>
        <w:tc>
          <w:tcPr>
            <w:tcW w:w="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得分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2" w:hRule="atLeast"/>
        </w:trPr>
        <w:tc>
          <w:tcPr>
            <w:tcW w:w="5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highlight w:val="none"/>
                <w:u w:val="none"/>
              </w:rPr>
            </w:pPr>
          </w:p>
        </w:tc>
        <w:tc>
          <w:tcPr>
            <w:tcW w:w="157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产出指标</w:t>
            </w:r>
          </w:p>
        </w:tc>
        <w:tc>
          <w:tcPr>
            <w:tcW w:w="136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数量指标</w:t>
            </w:r>
          </w:p>
        </w:tc>
        <w:tc>
          <w:tcPr>
            <w:tcW w:w="17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参加招商引资推介会次数</w:t>
            </w:r>
          </w:p>
        </w:tc>
        <w:tc>
          <w:tcPr>
            <w:tcW w:w="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w:t>
            </w:r>
          </w:p>
        </w:tc>
        <w:tc>
          <w:tcPr>
            <w:tcW w:w="12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2</w:t>
            </w:r>
          </w:p>
        </w:tc>
        <w:tc>
          <w:tcPr>
            <w:tcW w:w="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次</w:t>
            </w:r>
          </w:p>
        </w:tc>
        <w:tc>
          <w:tcPr>
            <w:tcW w:w="8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iCs/>
                <w:color w:val="000000"/>
                <w:sz w:val="16"/>
                <w:szCs w:val="16"/>
                <w:highlight w:val="none"/>
                <w:u w:val="none"/>
              </w:rPr>
            </w:pPr>
            <w:r>
              <w:rPr>
                <w:rFonts w:hint="eastAsia" w:ascii="宋体" w:hAnsi="宋体" w:eastAsia="宋体" w:cs="宋体"/>
                <w:i w:val="0"/>
                <w:iCs w:val="0"/>
                <w:color w:val="000000"/>
                <w:kern w:val="0"/>
                <w:sz w:val="18"/>
                <w:szCs w:val="18"/>
                <w:highlight w:val="none"/>
                <w:u w:val="none"/>
                <w:lang w:val="en-US" w:eastAsia="zh-CN" w:bidi="ar"/>
              </w:rPr>
              <w:t>2次</w:t>
            </w:r>
          </w:p>
        </w:tc>
        <w:tc>
          <w:tcPr>
            <w:tcW w:w="3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10</w:t>
            </w:r>
          </w:p>
        </w:tc>
        <w:tc>
          <w:tcPr>
            <w:tcW w:w="3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宋体" w:hAnsi="宋体" w:eastAsia="宋体" w:cs="宋体"/>
                <w:i w:val="0"/>
                <w:iCs w:val="0"/>
                <w:color w:val="000000"/>
                <w:sz w:val="18"/>
                <w:szCs w:val="18"/>
                <w:highlight w:val="none"/>
                <w:u w:val="none"/>
                <w:lang w:val="en-US" w:eastAsia="zh-CN"/>
              </w:rPr>
            </w:pPr>
            <w:r>
              <w:rPr>
                <w:rFonts w:hint="eastAsia" w:ascii="宋体" w:hAnsi="宋体" w:cs="宋体"/>
                <w:i w:val="0"/>
                <w:iCs w:val="0"/>
                <w:color w:val="000000"/>
                <w:sz w:val="18"/>
                <w:szCs w:val="18"/>
                <w:highlight w:val="none"/>
                <w:u w:val="none"/>
                <w:lang w:val="en-US" w:eastAsia="zh-CN"/>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2" w:hRule="atLeast"/>
        </w:trPr>
        <w:tc>
          <w:tcPr>
            <w:tcW w:w="5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highlight w:val="none"/>
                <w:u w:val="none"/>
              </w:rPr>
            </w:pPr>
          </w:p>
        </w:tc>
        <w:tc>
          <w:tcPr>
            <w:tcW w:w="157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highlight w:val="none"/>
                <w:u w:val="none"/>
              </w:rPr>
            </w:pPr>
          </w:p>
        </w:tc>
        <w:tc>
          <w:tcPr>
            <w:tcW w:w="136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highlight w:val="none"/>
                <w:u w:val="none"/>
              </w:rPr>
            </w:pPr>
          </w:p>
        </w:tc>
        <w:tc>
          <w:tcPr>
            <w:tcW w:w="17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累计洽谈项目个数</w:t>
            </w:r>
          </w:p>
        </w:tc>
        <w:tc>
          <w:tcPr>
            <w:tcW w:w="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w:t>
            </w:r>
          </w:p>
        </w:tc>
        <w:tc>
          <w:tcPr>
            <w:tcW w:w="12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3</w:t>
            </w:r>
          </w:p>
        </w:tc>
        <w:tc>
          <w:tcPr>
            <w:tcW w:w="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个</w:t>
            </w:r>
          </w:p>
        </w:tc>
        <w:tc>
          <w:tcPr>
            <w:tcW w:w="8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iCs/>
                <w:color w:val="000000"/>
                <w:sz w:val="16"/>
                <w:szCs w:val="16"/>
                <w:highlight w:val="none"/>
                <w:u w:val="none"/>
              </w:rPr>
            </w:pPr>
            <w:r>
              <w:rPr>
                <w:rFonts w:hint="eastAsia" w:ascii="宋体" w:hAnsi="宋体" w:eastAsia="宋体" w:cs="宋体"/>
                <w:i w:val="0"/>
                <w:iCs w:val="0"/>
                <w:color w:val="000000"/>
                <w:kern w:val="0"/>
                <w:sz w:val="18"/>
                <w:szCs w:val="18"/>
                <w:highlight w:val="none"/>
                <w:u w:val="none"/>
                <w:lang w:val="en-US" w:eastAsia="zh-CN" w:bidi="ar"/>
              </w:rPr>
              <w:t>3个</w:t>
            </w:r>
          </w:p>
        </w:tc>
        <w:tc>
          <w:tcPr>
            <w:tcW w:w="3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20</w:t>
            </w:r>
          </w:p>
        </w:tc>
        <w:tc>
          <w:tcPr>
            <w:tcW w:w="3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宋体" w:hAnsi="宋体" w:eastAsia="宋体" w:cs="宋体"/>
                <w:i w:val="0"/>
                <w:iCs w:val="0"/>
                <w:color w:val="000000"/>
                <w:sz w:val="18"/>
                <w:szCs w:val="18"/>
                <w:highlight w:val="none"/>
                <w:u w:val="none"/>
                <w:lang w:val="en-US" w:eastAsia="zh-CN"/>
              </w:rPr>
            </w:pPr>
            <w:r>
              <w:rPr>
                <w:rFonts w:hint="eastAsia" w:ascii="宋体" w:hAnsi="宋体" w:cs="宋体"/>
                <w:i w:val="0"/>
                <w:iCs w:val="0"/>
                <w:color w:val="000000"/>
                <w:sz w:val="18"/>
                <w:szCs w:val="18"/>
                <w:highlight w:val="none"/>
                <w:u w:val="none"/>
                <w:lang w:val="en-US" w:eastAsia="zh-CN"/>
              </w:rPr>
              <w:t>19.5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3" w:hRule="atLeast"/>
        </w:trPr>
        <w:tc>
          <w:tcPr>
            <w:tcW w:w="5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highlight w:val="none"/>
                <w:u w:val="none"/>
              </w:rPr>
            </w:pPr>
          </w:p>
        </w:tc>
        <w:tc>
          <w:tcPr>
            <w:tcW w:w="157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highlight w:val="none"/>
                <w:u w:val="none"/>
              </w:rPr>
            </w:pPr>
          </w:p>
        </w:tc>
        <w:tc>
          <w:tcPr>
            <w:tcW w:w="13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质量指标</w:t>
            </w:r>
          </w:p>
        </w:tc>
        <w:tc>
          <w:tcPr>
            <w:tcW w:w="17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完成2022年区政府下达的招商引资目标任务</w:t>
            </w:r>
          </w:p>
        </w:tc>
        <w:tc>
          <w:tcPr>
            <w:tcW w:w="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定性</w:t>
            </w:r>
          </w:p>
        </w:tc>
        <w:tc>
          <w:tcPr>
            <w:tcW w:w="12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优良中低差</w:t>
            </w:r>
          </w:p>
        </w:tc>
        <w:tc>
          <w:tcPr>
            <w:tcW w:w="4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highlight w:val="none"/>
                <w:u w:val="none"/>
              </w:rPr>
            </w:pPr>
          </w:p>
        </w:tc>
        <w:tc>
          <w:tcPr>
            <w:tcW w:w="8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iCs/>
                <w:color w:val="000000"/>
                <w:sz w:val="16"/>
                <w:szCs w:val="16"/>
                <w:highlight w:val="none"/>
                <w:u w:val="none"/>
              </w:rPr>
            </w:pPr>
            <w:r>
              <w:rPr>
                <w:rFonts w:hint="eastAsia" w:ascii="宋体" w:hAnsi="宋体" w:eastAsia="宋体" w:cs="宋体"/>
                <w:i w:val="0"/>
                <w:iCs w:val="0"/>
                <w:color w:val="000000"/>
                <w:kern w:val="0"/>
                <w:sz w:val="18"/>
                <w:szCs w:val="18"/>
                <w:highlight w:val="none"/>
                <w:u w:val="none"/>
                <w:lang w:val="en-US" w:eastAsia="zh-CN" w:bidi="ar"/>
              </w:rPr>
              <w:t>优</w:t>
            </w:r>
          </w:p>
        </w:tc>
        <w:tc>
          <w:tcPr>
            <w:tcW w:w="3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10</w:t>
            </w:r>
          </w:p>
        </w:tc>
        <w:tc>
          <w:tcPr>
            <w:tcW w:w="3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宋体" w:hAnsi="宋体" w:eastAsia="宋体" w:cs="宋体"/>
                <w:i w:val="0"/>
                <w:iCs w:val="0"/>
                <w:color w:val="000000"/>
                <w:sz w:val="18"/>
                <w:szCs w:val="18"/>
                <w:highlight w:val="none"/>
                <w:u w:val="none"/>
                <w:lang w:val="en-US" w:eastAsia="zh-CN"/>
              </w:rPr>
            </w:pPr>
            <w:r>
              <w:rPr>
                <w:rFonts w:hint="eastAsia" w:ascii="宋体" w:hAnsi="宋体" w:cs="宋体"/>
                <w:i w:val="0"/>
                <w:iCs w:val="0"/>
                <w:color w:val="000000"/>
                <w:sz w:val="18"/>
                <w:szCs w:val="18"/>
                <w:highlight w:val="none"/>
                <w:u w:val="none"/>
                <w:lang w:val="en-US" w:eastAsia="zh-CN"/>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2" w:hRule="atLeast"/>
        </w:trPr>
        <w:tc>
          <w:tcPr>
            <w:tcW w:w="5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highlight w:val="none"/>
                <w:u w:val="none"/>
              </w:rPr>
            </w:pPr>
          </w:p>
        </w:tc>
        <w:tc>
          <w:tcPr>
            <w:tcW w:w="157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highlight w:val="none"/>
                <w:u w:val="none"/>
              </w:rPr>
            </w:pPr>
          </w:p>
        </w:tc>
        <w:tc>
          <w:tcPr>
            <w:tcW w:w="13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时效指标</w:t>
            </w:r>
          </w:p>
        </w:tc>
        <w:tc>
          <w:tcPr>
            <w:tcW w:w="17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完成年限</w:t>
            </w:r>
          </w:p>
        </w:tc>
        <w:tc>
          <w:tcPr>
            <w:tcW w:w="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w:t>
            </w:r>
          </w:p>
        </w:tc>
        <w:tc>
          <w:tcPr>
            <w:tcW w:w="12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w:t>
            </w:r>
          </w:p>
        </w:tc>
        <w:tc>
          <w:tcPr>
            <w:tcW w:w="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年</w:t>
            </w:r>
          </w:p>
        </w:tc>
        <w:tc>
          <w:tcPr>
            <w:tcW w:w="8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iCs/>
                <w:color w:val="000000"/>
                <w:sz w:val="16"/>
                <w:szCs w:val="16"/>
                <w:highlight w:val="none"/>
                <w:u w:val="none"/>
              </w:rPr>
            </w:pPr>
            <w:r>
              <w:rPr>
                <w:rFonts w:hint="eastAsia" w:ascii="宋体" w:hAnsi="宋体" w:eastAsia="宋体" w:cs="宋体"/>
                <w:i w:val="0"/>
                <w:iCs w:val="0"/>
                <w:color w:val="000000"/>
                <w:kern w:val="0"/>
                <w:sz w:val="18"/>
                <w:szCs w:val="18"/>
                <w:highlight w:val="none"/>
                <w:u w:val="none"/>
                <w:lang w:val="en-US" w:eastAsia="zh-CN" w:bidi="ar"/>
              </w:rPr>
              <w:t>1年</w:t>
            </w:r>
          </w:p>
        </w:tc>
        <w:tc>
          <w:tcPr>
            <w:tcW w:w="3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10</w:t>
            </w:r>
          </w:p>
        </w:tc>
        <w:tc>
          <w:tcPr>
            <w:tcW w:w="3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宋体" w:hAnsi="宋体" w:eastAsia="宋体" w:cs="宋体"/>
                <w:i w:val="0"/>
                <w:iCs w:val="0"/>
                <w:color w:val="000000"/>
                <w:sz w:val="18"/>
                <w:szCs w:val="18"/>
                <w:highlight w:val="none"/>
                <w:u w:val="none"/>
                <w:lang w:val="en-US" w:eastAsia="zh-CN"/>
              </w:rPr>
            </w:pPr>
            <w:r>
              <w:rPr>
                <w:rFonts w:hint="eastAsia" w:ascii="宋体" w:hAnsi="宋体" w:cs="宋体"/>
                <w:i w:val="0"/>
                <w:iCs w:val="0"/>
                <w:color w:val="000000"/>
                <w:sz w:val="18"/>
                <w:szCs w:val="18"/>
                <w:highlight w:val="none"/>
                <w:u w:val="none"/>
                <w:lang w:val="en-US" w:eastAsia="zh-CN"/>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3" w:hRule="atLeast"/>
        </w:trPr>
        <w:tc>
          <w:tcPr>
            <w:tcW w:w="5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highlight w:val="none"/>
                <w:u w:val="none"/>
              </w:rPr>
            </w:pPr>
          </w:p>
        </w:tc>
        <w:tc>
          <w:tcPr>
            <w:tcW w:w="157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highlight w:val="none"/>
                <w:u w:val="none"/>
              </w:rPr>
            </w:pPr>
          </w:p>
        </w:tc>
        <w:tc>
          <w:tcPr>
            <w:tcW w:w="13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成本指标</w:t>
            </w:r>
          </w:p>
        </w:tc>
        <w:tc>
          <w:tcPr>
            <w:tcW w:w="17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招商引资工作经费控制在预算批复之内</w:t>
            </w:r>
          </w:p>
        </w:tc>
        <w:tc>
          <w:tcPr>
            <w:tcW w:w="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w:t>
            </w:r>
          </w:p>
        </w:tc>
        <w:tc>
          <w:tcPr>
            <w:tcW w:w="12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2.5</w:t>
            </w:r>
          </w:p>
        </w:tc>
        <w:tc>
          <w:tcPr>
            <w:tcW w:w="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万元</w:t>
            </w:r>
          </w:p>
        </w:tc>
        <w:tc>
          <w:tcPr>
            <w:tcW w:w="8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iCs/>
                <w:color w:val="000000"/>
                <w:sz w:val="16"/>
                <w:szCs w:val="16"/>
                <w:highlight w:val="none"/>
                <w:u w:val="none"/>
              </w:rPr>
            </w:pPr>
            <w:r>
              <w:rPr>
                <w:rFonts w:hint="eastAsia" w:ascii="宋体" w:hAnsi="宋体" w:eastAsia="宋体" w:cs="宋体"/>
                <w:i w:val="0"/>
                <w:iCs w:val="0"/>
                <w:color w:val="000000"/>
                <w:kern w:val="0"/>
                <w:sz w:val="18"/>
                <w:szCs w:val="18"/>
                <w:highlight w:val="none"/>
                <w:u w:val="none"/>
                <w:lang w:val="en-US" w:eastAsia="zh-CN" w:bidi="ar"/>
              </w:rPr>
              <w:t>2.5万元</w:t>
            </w:r>
          </w:p>
        </w:tc>
        <w:tc>
          <w:tcPr>
            <w:tcW w:w="3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10</w:t>
            </w:r>
          </w:p>
        </w:tc>
        <w:tc>
          <w:tcPr>
            <w:tcW w:w="3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宋体" w:hAnsi="宋体" w:eastAsia="宋体" w:cs="宋体"/>
                <w:i w:val="0"/>
                <w:iCs w:val="0"/>
                <w:color w:val="000000"/>
                <w:sz w:val="18"/>
                <w:szCs w:val="18"/>
                <w:highlight w:val="none"/>
                <w:u w:val="none"/>
                <w:lang w:val="en-US" w:eastAsia="zh-CN"/>
              </w:rPr>
            </w:pPr>
            <w:r>
              <w:rPr>
                <w:rFonts w:hint="eastAsia" w:ascii="宋体" w:hAnsi="宋体" w:cs="宋体"/>
                <w:i w:val="0"/>
                <w:iCs w:val="0"/>
                <w:color w:val="000000"/>
                <w:sz w:val="18"/>
                <w:szCs w:val="18"/>
                <w:highlight w:val="none"/>
                <w:u w:val="none"/>
                <w:lang w:val="en-US" w:eastAsia="zh-CN"/>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3" w:hRule="atLeast"/>
        </w:trPr>
        <w:tc>
          <w:tcPr>
            <w:tcW w:w="5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highlight w:val="none"/>
                <w:u w:val="none"/>
              </w:rPr>
            </w:pPr>
          </w:p>
        </w:tc>
        <w:tc>
          <w:tcPr>
            <w:tcW w:w="157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效益指标</w:t>
            </w:r>
          </w:p>
        </w:tc>
        <w:tc>
          <w:tcPr>
            <w:tcW w:w="13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经济效益指标</w:t>
            </w:r>
          </w:p>
        </w:tc>
        <w:tc>
          <w:tcPr>
            <w:tcW w:w="17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增加税收收入</w:t>
            </w:r>
          </w:p>
        </w:tc>
        <w:tc>
          <w:tcPr>
            <w:tcW w:w="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定性</w:t>
            </w:r>
          </w:p>
        </w:tc>
        <w:tc>
          <w:tcPr>
            <w:tcW w:w="12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优良中低差</w:t>
            </w:r>
          </w:p>
        </w:tc>
        <w:tc>
          <w:tcPr>
            <w:tcW w:w="4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highlight w:val="none"/>
                <w:u w:val="none"/>
              </w:rPr>
            </w:pPr>
          </w:p>
        </w:tc>
        <w:tc>
          <w:tcPr>
            <w:tcW w:w="8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iCs/>
                <w:color w:val="000000"/>
                <w:sz w:val="16"/>
                <w:szCs w:val="16"/>
                <w:highlight w:val="none"/>
                <w:u w:val="none"/>
              </w:rPr>
            </w:pPr>
            <w:r>
              <w:rPr>
                <w:rFonts w:hint="eastAsia" w:ascii="宋体" w:hAnsi="宋体" w:eastAsia="宋体" w:cs="宋体"/>
                <w:i w:val="0"/>
                <w:iCs w:val="0"/>
                <w:color w:val="000000"/>
                <w:kern w:val="0"/>
                <w:sz w:val="18"/>
                <w:szCs w:val="18"/>
                <w:highlight w:val="none"/>
                <w:u w:val="none"/>
                <w:lang w:val="en-US" w:eastAsia="zh-CN" w:bidi="ar"/>
              </w:rPr>
              <w:t>优</w:t>
            </w:r>
          </w:p>
        </w:tc>
        <w:tc>
          <w:tcPr>
            <w:tcW w:w="3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10</w:t>
            </w:r>
          </w:p>
        </w:tc>
        <w:tc>
          <w:tcPr>
            <w:tcW w:w="3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宋体" w:hAnsi="宋体" w:eastAsia="宋体" w:cs="宋体"/>
                <w:i w:val="0"/>
                <w:iCs w:val="0"/>
                <w:color w:val="000000"/>
                <w:sz w:val="18"/>
                <w:szCs w:val="18"/>
                <w:highlight w:val="none"/>
                <w:u w:val="none"/>
                <w:lang w:val="en-US" w:eastAsia="zh-CN"/>
              </w:rPr>
            </w:pPr>
            <w:r>
              <w:rPr>
                <w:rFonts w:hint="eastAsia" w:ascii="宋体" w:hAnsi="宋体" w:cs="宋体"/>
                <w:i w:val="0"/>
                <w:iCs w:val="0"/>
                <w:color w:val="000000"/>
                <w:sz w:val="18"/>
                <w:szCs w:val="18"/>
                <w:highlight w:val="none"/>
                <w:u w:val="none"/>
                <w:lang w:val="en-US" w:eastAsia="zh-CN"/>
              </w:rPr>
              <w:t>9.9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3" w:hRule="atLeast"/>
        </w:trPr>
        <w:tc>
          <w:tcPr>
            <w:tcW w:w="5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highlight w:val="none"/>
                <w:u w:val="none"/>
              </w:rPr>
            </w:pPr>
          </w:p>
        </w:tc>
        <w:tc>
          <w:tcPr>
            <w:tcW w:w="157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highlight w:val="none"/>
                <w:u w:val="none"/>
              </w:rPr>
            </w:pPr>
          </w:p>
        </w:tc>
        <w:tc>
          <w:tcPr>
            <w:tcW w:w="13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社会效益指标</w:t>
            </w:r>
          </w:p>
        </w:tc>
        <w:tc>
          <w:tcPr>
            <w:tcW w:w="17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增加本地就业人数</w:t>
            </w:r>
          </w:p>
        </w:tc>
        <w:tc>
          <w:tcPr>
            <w:tcW w:w="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定性</w:t>
            </w:r>
          </w:p>
        </w:tc>
        <w:tc>
          <w:tcPr>
            <w:tcW w:w="12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优良中低差</w:t>
            </w:r>
          </w:p>
        </w:tc>
        <w:tc>
          <w:tcPr>
            <w:tcW w:w="4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highlight w:val="none"/>
                <w:u w:val="none"/>
              </w:rPr>
            </w:pPr>
          </w:p>
        </w:tc>
        <w:tc>
          <w:tcPr>
            <w:tcW w:w="8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iCs/>
                <w:color w:val="000000"/>
                <w:sz w:val="16"/>
                <w:szCs w:val="16"/>
                <w:highlight w:val="none"/>
                <w:u w:val="none"/>
              </w:rPr>
            </w:pPr>
            <w:r>
              <w:rPr>
                <w:rFonts w:hint="eastAsia" w:ascii="宋体" w:hAnsi="宋体" w:eastAsia="宋体" w:cs="宋体"/>
                <w:i w:val="0"/>
                <w:iCs w:val="0"/>
                <w:color w:val="000000"/>
                <w:kern w:val="0"/>
                <w:sz w:val="18"/>
                <w:szCs w:val="18"/>
                <w:highlight w:val="none"/>
                <w:u w:val="none"/>
                <w:lang w:val="en-US" w:eastAsia="zh-CN" w:bidi="ar"/>
              </w:rPr>
              <w:t>优</w:t>
            </w:r>
          </w:p>
        </w:tc>
        <w:tc>
          <w:tcPr>
            <w:tcW w:w="3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10</w:t>
            </w:r>
          </w:p>
        </w:tc>
        <w:tc>
          <w:tcPr>
            <w:tcW w:w="3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宋体" w:hAnsi="宋体" w:eastAsia="宋体" w:cs="宋体"/>
                <w:i w:val="0"/>
                <w:iCs w:val="0"/>
                <w:color w:val="000000"/>
                <w:sz w:val="18"/>
                <w:szCs w:val="18"/>
                <w:highlight w:val="none"/>
                <w:u w:val="none"/>
                <w:lang w:val="en-US" w:eastAsia="zh-CN"/>
              </w:rPr>
            </w:pPr>
            <w:r>
              <w:rPr>
                <w:rFonts w:hint="eastAsia" w:ascii="宋体" w:hAnsi="宋体" w:cs="宋体"/>
                <w:i w:val="0"/>
                <w:iCs w:val="0"/>
                <w:color w:val="000000"/>
                <w:sz w:val="18"/>
                <w:szCs w:val="18"/>
                <w:highlight w:val="none"/>
                <w:u w:val="none"/>
                <w:lang w:val="en-US" w:eastAsia="zh-CN"/>
              </w:rPr>
              <w:t>9.9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3" w:hRule="atLeast"/>
        </w:trPr>
        <w:tc>
          <w:tcPr>
            <w:tcW w:w="5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highlight w:val="none"/>
                <w:u w:val="none"/>
              </w:rPr>
            </w:pPr>
          </w:p>
        </w:tc>
        <w:tc>
          <w:tcPr>
            <w:tcW w:w="15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满意度指标</w:t>
            </w:r>
          </w:p>
        </w:tc>
        <w:tc>
          <w:tcPr>
            <w:tcW w:w="13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服务对象满意度指标</w:t>
            </w:r>
          </w:p>
        </w:tc>
        <w:tc>
          <w:tcPr>
            <w:tcW w:w="17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企业满意度</w:t>
            </w:r>
          </w:p>
        </w:tc>
        <w:tc>
          <w:tcPr>
            <w:tcW w:w="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w:t>
            </w:r>
          </w:p>
        </w:tc>
        <w:tc>
          <w:tcPr>
            <w:tcW w:w="12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90</w:t>
            </w:r>
          </w:p>
        </w:tc>
        <w:tc>
          <w:tcPr>
            <w:tcW w:w="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w:t>
            </w:r>
          </w:p>
        </w:tc>
        <w:tc>
          <w:tcPr>
            <w:tcW w:w="8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iCs/>
                <w:color w:val="000000"/>
                <w:sz w:val="16"/>
                <w:szCs w:val="16"/>
                <w:highlight w:val="none"/>
                <w:u w:val="none"/>
              </w:rPr>
            </w:pPr>
            <w:r>
              <w:rPr>
                <w:rFonts w:hint="eastAsia" w:ascii="宋体" w:hAnsi="宋体" w:eastAsia="宋体" w:cs="宋体"/>
                <w:i w:val="0"/>
                <w:iCs w:val="0"/>
                <w:color w:val="000000"/>
                <w:kern w:val="0"/>
                <w:sz w:val="18"/>
                <w:szCs w:val="18"/>
                <w:highlight w:val="none"/>
                <w:u w:val="none"/>
                <w:lang w:val="en-US" w:eastAsia="zh-CN" w:bidi="ar"/>
              </w:rPr>
              <w:t>95%</w:t>
            </w:r>
          </w:p>
        </w:tc>
        <w:tc>
          <w:tcPr>
            <w:tcW w:w="3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10</w:t>
            </w:r>
          </w:p>
        </w:tc>
        <w:tc>
          <w:tcPr>
            <w:tcW w:w="3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宋体" w:hAnsi="宋体" w:eastAsia="宋体" w:cs="宋体"/>
                <w:i w:val="0"/>
                <w:iCs w:val="0"/>
                <w:color w:val="000000"/>
                <w:sz w:val="18"/>
                <w:szCs w:val="18"/>
                <w:highlight w:val="none"/>
                <w:u w:val="none"/>
                <w:lang w:val="en-US" w:eastAsia="zh-CN"/>
              </w:rPr>
            </w:pPr>
            <w:r>
              <w:rPr>
                <w:rFonts w:hint="eastAsia" w:ascii="宋体" w:hAnsi="宋体" w:cs="宋体"/>
                <w:i w:val="0"/>
                <w:iCs w:val="0"/>
                <w:color w:val="000000"/>
                <w:sz w:val="18"/>
                <w:szCs w:val="18"/>
                <w:highlight w:val="none"/>
                <w:u w:val="none"/>
                <w:lang w:val="en-US" w:eastAsia="zh-CN"/>
              </w:rPr>
              <w:t>9.9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6" w:hRule="atLeast"/>
        </w:trPr>
        <w:tc>
          <w:tcPr>
            <w:tcW w:w="8119"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合计</w:t>
            </w:r>
          </w:p>
        </w:tc>
        <w:tc>
          <w:tcPr>
            <w:tcW w:w="3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100</w:t>
            </w:r>
          </w:p>
        </w:tc>
        <w:tc>
          <w:tcPr>
            <w:tcW w:w="35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default" w:ascii="宋体" w:hAnsi="宋体" w:eastAsia="宋体" w:cs="宋体"/>
                <w:i w:val="0"/>
                <w:iCs w:val="0"/>
                <w:color w:val="000000"/>
                <w:sz w:val="18"/>
                <w:szCs w:val="18"/>
                <w:highlight w:val="none"/>
                <w:u w:val="none"/>
                <w:lang w:val="en-US" w:eastAsia="zh-CN"/>
              </w:rPr>
            </w:pPr>
            <w:r>
              <w:rPr>
                <w:rFonts w:hint="eastAsia" w:ascii="宋体" w:hAnsi="宋体" w:cs="宋体"/>
                <w:i w:val="0"/>
                <w:iCs w:val="0"/>
                <w:color w:val="000000"/>
                <w:sz w:val="18"/>
                <w:szCs w:val="18"/>
                <w:highlight w:val="none"/>
                <w:u w:val="none"/>
                <w:lang w:val="en-US" w:eastAsia="zh-CN"/>
              </w:rPr>
              <w:t>99.2</w:t>
            </w:r>
          </w:p>
        </w:tc>
      </w:tr>
    </w:tbl>
    <w:p>
      <w:pPr>
        <w:keepNext w:val="0"/>
        <w:keepLines w:val="0"/>
        <w:pageBreakBefore w:val="0"/>
        <w:widowControl w:val="0"/>
        <w:kinsoku/>
        <w:wordWrap/>
        <w:overflowPunct/>
        <w:topLinePunct w:val="0"/>
        <w:autoSpaceDE/>
        <w:autoSpaceDN/>
        <w:bidi w:val="0"/>
        <w:adjustRightInd w:val="0"/>
        <w:snapToGrid w:val="0"/>
        <w:spacing w:line="576" w:lineRule="exact"/>
        <w:ind w:firstLine="643" w:firstLineChars="200"/>
        <w:textAlignment w:val="auto"/>
        <w:rPr>
          <w:rFonts w:hint="eastAsia" w:ascii="Times New Roman" w:hAnsi="Times New Roman" w:eastAsia="仿宋_GB2312" w:cs="Times New Roman"/>
          <w:kern w:val="0"/>
          <w:sz w:val="32"/>
          <w:szCs w:val="32"/>
          <w:highlight w:val="none"/>
          <w:lang w:val="zh-CN" w:eastAsia="zh-CN" w:bidi="ar-SA"/>
        </w:rPr>
      </w:pPr>
      <w:r>
        <w:rPr>
          <w:rFonts w:hint="eastAsia" w:ascii="Times New Roman" w:hAnsi="Times New Roman" w:eastAsia="楷体_GB2312" w:cs="Times New Roman"/>
          <w:b/>
          <w:sz w:val="32"/>
          <w:szCs w:val="32"/>
          <w:highlight w:val="none"/>
          <w:lang w:val="zh-CN"/>
        </w:rPr>
        <w:t>（二）存在的问题。</w:t>
      </w:r>
      <w:r>
        <w:rPr>
          <w:rFonts w:hint="eastAsia" w:ascii="Times New Roman" w:hAnsi="Times New Roman" w:eastAsia="仿宋_GB2312" w:cs="Times New Roman"/>
          <w:kern w:val="0"/>
          <w:sz w:val="32"/>
          <w:szCs w:val="32"/>
          <w:highlight w:val="none"/>
          <w:lang w:val="zh-CN" w:eastAsia="zh-CN" w:bidi="ar-SA"/>
        </w:rPr>
        <w:t>无。</w:t>
      </w:r>
    </w:p>
    <w:p>
      <w:pPr>
        <w:pageBreakBefore w:val="0"/>
        <w:kinsoku/>
        <w:wordWrap/>
        <w:overflowPunct/>
        <w:topLinePunct w:val="0"/>
        <w:bidi w:val="0"/>
        <w:spacing w:line="576" w:lineRule="exact"/>
        <w:ind w:firstLine="643" w:firstLineChars="200"/>
        <w:jc w:val="left"/>
        <w:textAlignment w:val="auto"/>
        <w:outlineLvl w:val="9"/>
        <w:rPr>
          <w:rFonts w:hint="eastAsia" w:ascii="Times New Roman" w:hAnsi="Times New Roman" w:eastAsia="仿宋_GB2312" w:cs="Times New Roman"/>
          <w:kern w:val="0"/>
          <w:sz w:val="32"/>
          <w:szCs w:val="32"/>
          <w:highlight w:val="none"/>
          <w:lang w:val="zh-CN" w:eastAsia="zh-CN" w:bidi="ar-SA"/>
        </w:rPr>
      </w:pPr>
      <w:r>
        <w:rPr>
          <w:rFonts w:hint="eastAsia" w:ascii="Times New Roman" w:hAnsi="Times New Roman" w:eastAsia="楷体_GB2312" w:cs="Times New Roman"/>
          <w:b/>
          <w:sz w:val="32"/>
          <w:szCs w:val="32"/>
          <w:highlight w:val="none"/>
          <w:lang w:val="zh-CN"/>
        </w:rPr>
        <w:t>（三）相关建议。</w:t>
      </w:r>
      <w:r>
        <w:rPr>
          <w:rFonts w:hint="eastAsia" w:ascii="Times New Roman" w:hAnsi="Times New Roman" w:eastAsia="仿宋_GB2312" w:cs="Times New Roman"/>
          <w:kern w:val="0"/>
          <w:sz w:val="32"/>
          <w:szCs w:val="32"/>
          <w:highlight w:val="none"/>
          <w:lang w:val="zh-CN" w:eastAsia="zh-CN" w:bidi="ar-SA"/>
        </w:rPr>
        <w:t>无</w:t>
      </w:r>
    </w:p>
    <w:p>
      <w:pPr>
        <w:pageBreakBefore w:val="0"/>
        <w:kinsoku/>
        <w:wordWrap/>
        <w:overflowPunct/>
        <w:topLinePunct w:val="0"/>
        <w:bidi w:val="0"/>
        <w:spacing w:line="576" w:lineRule="exact"/>
        <w:ind w:left="960" w:hanging="960" w:hangingChars="300"/>
        <w:jc w:val="left"/>
        <w:textAlignment w:val="auto"/>
        <w:outlineLvl w:val="9"/>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eastAsia="zh-CN"/>
        </w:rPr>
        <w:t>附件：广元市昭化区人力资源和社会保障局</w:t>
      </w:r>
      <w:r>
        <w:rPr>
          <w:rFonts w:hint="eastAsia" w:ascii="仿宋_GB2312" w:hAnsi="仿宋_GB2312" w:eastAsia="仿宋_GB2312" w:cs="仿宋_GB2312"/>
          <w:color w:val="auto"/>
          <w:sz w:val="32"/>
          <w:szCs w:val="32"/>
          <w:highlight w:val="none"/>
          <w:lang w:val="en-US" w:eastAsia="zh-CN"/>
        </w:rPr>
        <w:t>2022年财政项目支出绩效自评表</w:t>
      </w:r>
    </w:p>
    <w:p>
      <w:pPr>
        <w:keepNext w:val="0"/>
        <w:keepLines w:val="0"/>
        <w:pageBreakBefore w:val="0"/>
        <w:widowControl w:val="0"/>
        <w:kinsoku/>
        <w:wordWrap/>
        <w:overflowPunct/>
        <w:topLinePunct w:val="0"/>
        <w:autoSpaceDE/>
        <w:autoSpaceDN/>
        <w:bidi w:val="0"/>
        <w:adjustRightInd w:val="0"/>
        <w:snapToGrid w:val="0"/>
        <w:spacing w:line="576" w:lineRule="exact"/>
        <w:ind w:firstLine="640" w:firstLineChars="200"/>
        <w:textAlignment w:val="auto"/>
        <w:rPr>
          <w:rFonts w:hint="eastAsia" w:ascii="Times New Roman" w:hAnsi="Times New Roman" w:eastAsia="仿宋_GB2312" w:cs="Times New Roman"/>
          <w:kern w:val="0"/>
          <w:sz w:val="32"/>
          <w:szCs w:val="32"/>
          <w:highlight w:val="none"/>
          <w:lang w:val="zh-CN" w:eastAsia="zh-CN" w:bidi="ar-SA"/>
        </w:rPr>
        <w:sectPr>
          <w:footerReference r:id="rId12" w:type="first"/>
          <w:footerReference r:id="rId11" w:type="default"/>
          <w:pgSz w:w="11906" w:h="16838"/>
          <w:pgMar w:top="1984" w:right="1474" w:bottom="1871" w:left="1587" w:header="851" w:footer="992" w:gutter="0"/>
          <w:pgNumType w:fmt="decimal"/>
          <w:cols w:space="0" w:num="1"/>
          <w:titlePg/>
          <w:rtlGutter w:val="0"/>
          <w:docGrid w:type="lines" w:linePitch="312" w:charSpace="0"/>
        </w:sectPr>
      </w:pPr>
    </w:p>
    <w:tbl>
      <w:tblPr>
        <w:tblStyle w:val="16"/>
        <w:tblW w:w="894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936"/>
        <w:gridCol w:w="743"/>
        <w:gridCol w:w="999"/>
        <w:gridCol w:w="971"/>
        <w:gridCol w:w="1124"/>
        <w:gridCol w:w="1553"/>
        <w:gridCol w:w="1439"/>
        <w:gridCol w:w="117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8940" w:type="dxa"/>
            <w:gridSpan w:val="8"/>
            <w:tcBorders>
              <w:top w:val="nil"/>
              <w:left w:val="nil"/>
              <w:bottom w:val="nil"/>
              <w:right w:val="nil"/>
            </w:tcBorders>
            <w:shd w:val="clear" w:color="auto" w:fill="auto"/>
            <w:vAlign w:val="center"/>
          </w:tcPr>
          <w:p>
            <w:pPr>
              <w:keepNext w:val="0"/>
              <w:keepLines w:val="0"/>
              <w:widowControl/>
              <w:suppressLineNumbers w:val="0"/>
              <w:jc w:val="left"/>
              <w:textAlignment w:val="center"/>
              <w:rPr>
                <w:rFonts w:hint="eastAsia" w:ascii="方正小标宋简体" w:hAnsi="方正小标宋简体" w:eastAsia="方正小标宋简体" w:cs="方正小标宋简体"/>
                <w:i w:val="0"/>
                <w:iCs w:val="0"/>
                <w:color w:val="000000"/>
                <w:kern w:val="0"/>
                <w:sz w:val="28"/>
                <w:szCs w:val="28"/>
                <w:u w:val="none"/>
                <w:lang w:val="en-US" w:eastAsia="zh-CN" w:bidi="ar"/>
              </w:rPr>
            </w:pPr>
            <w:r>
              <w:rPr>
                <w:rFonts w:hint="eastAsia" w:ascii="方正小标宋简体" w:hAnsi="方正小标宋简体" w:eastAsia="方正小标宋简体" w:cs="方正小标宋简体"/>
                <w:i w:val="0"/>
                <w:iCs w:val="0"/>
                <w:color w:val="000000"/>
                <w:kern w:val="0"/>
                <w:sz w:val="28"/>
                <w:szCs w:val="28"/>
                <w:u w:val="none"/>
                <w:lang w:val="en-US" w:eastAsia="zh-CN" w:bidi="ar"/>
              </w:rPr>
              <w:t>附件：</w:t>
            </w:r>
          </w:p>
          <w:p>
            <w:pPr>
              <w:keepNext w:val="0"/>
              <w:keepLines w:val="0"/>
              <w:widowControl/>
              <w:suppressLineNumbers w:val="0"/>
              <w:jc w:val="center"/>
              <w:textAlignment w:val="center"/>
              <w:rPr>
                <w:rFonts w:ascii="微软雅黑" w:hAnsi="微软雅黑" w:eastAsia="微软雅黑" w:cs="微软雅黑"/>
                <w:i w:val="0"/>
                <w:iCs w:val="0"/>
                <w:color w:val="000000"/>
                <w:sz w:val="40"/>
                <w:szCs w:val="40"/>
                <w:u w:val="none"/>
              </w:rPr>
            </w:pPr>
            <w:r>
              <w:rPr>
                <w:rFonts w:hint="eastAsia" w:ascii="方正小标宋简体" w:hAnsi="方正小标宋简体" w:eastAsia="方正小标宋简体" w:cs="方正小标宋简体"/>
                <w:i w:val="0"/>
                <w:iCs w:val="0"/>
                <w:color w:val="000000"/>
                <w:kern w:val="0"/>
                <w:sz w:val="40"/>
                <w:szCs w:val="40"/>
                <w:u w:val="none"/>
                <w:lang w:val="en-US" w:eastAsia="zh-CN" w:bidi="ar"/>
              </w:rPr>
              <w:t>广元市昭化区财政项目（政策）支出绩效自评表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8940" w:type="dxa"/>
            <w:gridSpan w:val="8"/>
            <w:tcBorders>
              <w:top w:val="nil"/>
              <w:left w:val="nil"/>
              <w:bottom w:val="nil"/>
              <w:right w:val="nil"/>
            </w:tcBorders>
            <w:shd w:val="clear" w:color="auto" w:fill="auto"/>
            <w:vAlign w:val="top"/>
          </w:tcPr>
          <w:p>
            <w:pPr>
              <w:keepNext w:val="0"/>
              <w:keepLines w:val="0"/>
              <w:widowControl/>
              <w:suppressLineNumbers w:val="0"/>
              <w:jc w:val="center"/>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（2022年度）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1592" w:type="dxa"/>
            <w:gridSpan w:val="2"/>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项目（政策）名称</w:t>
            </w:r>
          </w:p>
        </w:tc>
        <w:tc>
          <w:tcPr>
            <w:tcW w:w="7348" w:type="dxa"/>
            <w:gridSpan w:val="6"/>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招商引资工作经费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1592"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主管部门</w:t>
            </w:r>
          </w:p>
        </w:tc>
        <w:tc>
          <w:tcPr>
            <w:tcW w:w="3145"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广元市昭化区人力资源和社会保障局</w:t>
            </w:r>
          </w:p>
        </w:tc>
        <w:tc>
          <w:tcPr>
            <w:tcW w:w="156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实施单位</w:t>
            </w:r>
          </w:p>
        </w:tc>
        <w:tc>
          <w:tcPr>
            <w:tcW w:w="2638"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广元市昭化区人力资源和社会保障局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1592" w:type="dxa"/>
            <w:gridSpan w:val="2"/>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项目（政策）资金（万元）</w:t>
            </w:r>
          </w:p>
        </w:tc>
        <w:tc>
          <w:tcPr>
            <w:tcW w:w="2004"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宋体" w:hAnsi="宋体" w:eastAsia="宋体" w:cs="宋体"/>
                <w:i w:val="0"/>
                <w:iCs w:val="0"/>
                <w:color w:val="000000"/>
                <w:sz w:val="18"/>
                <w:szCs w:val="18"/>
                <w:u w:val="none"/>
              </w:rPr>
            </w:pPr>
          </w:p>
        </w:tc>
        <w:tc>
          <w:tcPr>
            <w:tcW w:w="114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年初预算数</w:t>
            </w:r>
          </w:p>
        </w:tc>
        <w:tc>
          <w:tcPr>
            <w:tcW w:w="156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全年预算数</w:t>
            </w:r>
          </w:p>
        </w:tc>
        <w:tc>
          <w:tcPr>
            <w:tcW w:w="145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全年执行数</w:t>
            </w:r>
          </w:p>
        </w:tc>
        <w:tc>
          <w:tcPr>
            <w:tcW w:w="118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执行率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1592" w:type="dxa"/>
            <w:gridSpan w:val="2"/>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宋体" w:hAnsi="宋体" w:eastAsia="宋体" w:cs="宋体"/>
                <w:i w:val="0"/>
                <w:iCs w:val="0"/>
                <w:color w:val="000000"/>
                <w:sz w:val="18"/>
                <w:szCs w:val="18"/>
                <w:u w:val="none"/>
              </w:rPr>
            </w:pPr>
          </w:p>
        </w:tc>
        <w:tc>
          <w:tcPr>
            <w:tcW w:w="2004"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年度资金总额</w:t>
            </w:r>
          </w:p>
        </w:tc>
        <w:tc>
          <w:tcPr>
            <w:tcW w:w="114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w:t>
            </w:r>
          </w:p>
        </w:tc>
        <w:tc>
          <w:tcPr>
            <w:tcW w:w="156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w:t>
            </w:r>
          </w:p>
        </w:tc>
        <w:tc>
          <w:tcPr>
            <w:tcW w:w="145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w:t>
            </w:r>
          </w:p>
        </w:tc>
        <w:tc>
          <w:tcPr>
            <w:tcW w:w="118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1592" w:type="dxa"/>
            <w:gridSpan w:val="2"/>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宋体" w:hAnsi="宋体" w:eastAsia="宋体" w:cs="宋体"/>
                <w:i w:val="0"/>
                <w:iCs w:val="0"/>
                <w:color w:val="000000"/>
                <w:sz w:val="18"/>
                <w:szCs w:val="18"/>
                <w:u w:val="none"/>
              </w:rPr>
            </w:pPr>
          </w:p>
        </w:tc>
        <w:tc>
          <w:tcPr>
            <w:tcW w:w="2004"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（一）财政拨款小计</w:t>
            </w:r>
          </w:p>
        </w:tc>
        <w:tc>
          <w:tcPr>
            <w:tcW w:w="114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w:t>
            </w:r>
          </w:p>
        </w:tc>
        <w:tc>
          <w:tcPr>
            <w:tcW w:w="156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w:t>
            </w:r>
          </w:p>
        </w:tc>
        <w:tc>
          <w:tcPr>
            <w:tcW w:w="145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w:t>
            </w:r>
          </w:p>
        </w:tc>
        <w:tc>
          <w:tcPr>
            <w:tcW w:w="118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1592" w:type="dxa"/>
            <w:gridSpan w:val="2"/>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宋体" w:hAnsi="宋体" w:eastAsia="宋体" w:cs="宋体"/>
                <w:i w:val="0"/>
                <w:iCs w:val="0"/>
                <w:color w:val="000000"/>
                <w:sz w:val="18"/>
                <w:szCs w:val="18"/>
                <w:u w:val="none"/>
              </w:rPr>
            </w:pPr>
          </w:p>
        </w:tc>
        <w:tc>
          <w:tcPr>
            <w:tcW w:w="2004"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   1.一般公共预算</w:t>
            </w:r>
          </w:p>
        </w:tc>
        <w:tc>
          <w:tcPr>
            <w:tcW w:w="114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w:t>
            </w:r>
          </w:p>
        </w:tc>
        <w:tc>
          <w:tcPr>
            <w:tcW w:w="156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w:t>
            </w:r>
          </w:p>
        </w:tc>
        <w:tc>
          <w:tcPr>
            <w:tcW w:w="145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w:t>
            </w:r>
          </w:p>
        </w:tc>
        <w:tc>
          <w:tcPr>
            <w:tcW w:w="118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1592" w:type="dxa"/>
            <w:gridSpan w:val="2"/>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宋体" w:hAnsi="宋体" w:eastAsia="宋体" w:cs="宋体"/>
                <w:i w:val="0"/>
                <w:iCs w:val="0"/>
                <w:color w:val="000000"/>
                <w:sz w:val="18"/>
                <w:szCs w:val="18"/>
                <w:u w:val="none"/>
              </w:rPr>
            </w:pPr>
          </w:p>
        </w:tc>
        <w:tc>
          <w:tcPr>
            <w:tcW w:w="2004"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   2.政府性基金</w:t>
            </w:r>
          </w:p>
        </w:tc>
        <w:tc>
          <w:tcPr>
            <w:tcW w:w="114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left"/>
              <w:rPr>
                <w:rFonts w:hint="eastAsia" w:ascii="宋体" w:hAnsi="宋体" w:eastAsia="宋体" w:cs="宋体"/>
                <w:i w:val="0"/>
                <w:iCs w:val="0"/>
                <w:color w:val="000000"/>
                <w:sz w:val="18"/>
                <w:szCs w:val="18"/>
                <w:u w:val="none"/>
              </w:rPr>
            </w:pPr>
          </w:p>
        </w:tc>
        <w:tc>
          <w:tcPr>
            <w:tcW w:w="156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宋体" w:hAnsi="宋体" w:eastAsia="宋体" w:cs="宋体"/>
                <w:i w:val="0"/>
                <w:iCs w:val="0"/>
                <w:color w:val="000000"/>
                <w:sz w:val="18"/>
                <w:szCs w:val="18"/>
                <w:u w:val="none"/>
              </w:rPr>
            </w:pPr>
          </w:p>
        </w:tc>
        <w:tc>
          <w:tcPr>
            <w:tcW w:w="145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宋体" w:hAnsi="宋体" w:eastAsia="宋体" w:cs="宋体"/>
                <w:i w:val="0"/>
                <w:iCs w:val="0"/>
                <w:color w:val="000000"/>
                <w:sz w:val="18"/>
                <w:szCs w:val="18"/>
                <w:u w:val="none"/>
              </w:rPr>
            </w:pPr>
          </w:p>
        </w:tc>
        <w:tc>
          <w:tcPr>
            <w:tcW w:w="118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1592" w:type="dxa"/>
            <w:gridSpan w:val="2"/>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宋体" w:hAnsi="宋体" w:eastAsia="宋体" w:cs="宋体"/>
                <w:i w:val="0"/>
                <w:iCs w:val="0"/>
                <w:color w:val="000000"/>
                <w:sz w:val="18"/>
                <w:szCs w:val="18"/>
                <w:u w:val="none"/>
              </w:rPr>
            </w:pPr>
          </w:p>
        </w:tc>
        <w:tc>
          <w:tcPr>
            <w:tcW w:w="2004"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  3.国有资本经营预算</w:t>
            </w:r>
          </w:p>
        </w:tc>
        <w:tc>
          <w:tcPr>
            <w:tcW w:w="114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left"/>
              <w:rPr>
                <w:rFonts w:hint="eastAsia" w:ascii="宋体" w:hAnsi="宋体" w:eastAsia="宋体" w:cs="宋体"/>
                <w:i w:val="0"/>
                <w:iCs w:val="0"/>
                <w:color w:val="000000"/>
                <w:sz w:val="18"/>
                <w:szCs w:val="18"/>
                <w:u w:val="none"/>
              </w:rPr>
            </w:pPr>
          </w:p>
        </w:tc>
        <w:tc>
          <w:tcPr>
            <w:tcW w:w="156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宋体" w:hAnsi="宋体" w:eastAsia="宋体" w:cs="宋体"/>
                <w:i w:val="0"/>
                <w:iCs w:val="0"/>
                <w:color w:val="000000"/>
                <w:sz w:val="18"/>
                <w:szCs w:val="18"/>
                <w:u w:val="none"/>
              </w:rPr>
            </w:pPr>
          </w:p>
        </w:tc>
        <w:tc>
          <w:tcPr>
            <w:tcW w:w="145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宋体" w:hAnsi="宋体" w:eastAsia="宋体" w:cs="宋体"/>
                <w:i w:val="0"/>
                <w:iCs w:val="0"/>
                <w:color w:val="000000"/>
                <w:sz w:val="18"/>
                <w:szCs w:val="18"/>
                <w:u w:val="none"/>
              </w:rPr>
            </w:pPr>
          </w:p>
        </w:tc>
        <w:tc>
          <w:tcPr>
            <w:tcW w:w="118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1592" w:type="dxa"/>
            <w:gridSpan w:val="2"/>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宋体" w:hAnsi="宋体" w:eastAsia="宋体" w:cs="宋体"/>
                <w:i w:val="0"/>
                <w:iCs w:val="0"/>
                <w:color w:val="000000"/>
                <w:sz w:val="18"/>
                <w:szCs w:val="18"/>
                <w:u w:val="none"/>
              </w:rPr>
            </w:pPr>
          </w:p>
        </w:tc>
        <w:tc>
          <w:tcPr>
            <w:tcW w:w="2004"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  4.社保基金</w:t>
            </w:r>
          </w:p>
        </w:tc>
        <w:tc>
          <w:tcPr>
            <w:tcW w:w="114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left"/>
              <w:rPr>
                <w:rFonts w:hint="eastAsia" w:ascii="宋体" w:hAnsi="宋体" w:eastAsia="宋体" w:cs="宋体"/>
                <w:i w:val="0"/>
                <w:iCs w:val="0"/>
                <w:color w:val="000000"/>
                <w:sz w:val="18"/>
                <w:szCs w:val="18"/>
                <w:u w:val="none"/>
              </w:rPr>
            </w:pPr>
          </w:p>
        </w:tc>
        <w:tc>
          <w:tcPr>
            <w:tcW w:w="156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宋体" w:hAnsi="宋体" w:eastAsia="宋体" w:cs="宋体"/>
                <w:i w:val="0"/>
                <w:iCs w:val="0"/>
                <w:color w:val="000000"/>
                <w:sz w:val="18"/>
                <w:szCs w:val="18"/>
                <w:u w:val="none"/>
              </w:rPr>
            </w:pPr>
          </w:p>
        </w:tc>
        <w:tc>
          <w:tcPr>
            <w:tcW w:w="145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宋体" w:hAnsi="宋体" w:eastAsia="宋体" w:cs="宋体"/>
                <w:i w:val="0"/>
                <w:iCs w:val="0"/>
                <w:color w:val="000000"/>
                <w:sz w:val="18"/>
                <w:szCs w:val="18"/>
                <w:u w:val="none"/>
              </w:rPr>
            </w:pPr>
          </w:p>
        </w:tc>
        <w:tc>
          <w:tcPr>
            <w:tcW w:w="118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1592" w:type="dxa"/>
            <w:gridSpan w:val="2"/>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宋体" w:hAnsi="宋体" w:eastAsia="宋体" w:cs="宋体"/>
                <w:i w:val="0"/>
                <w:iCs w:val="0"/>
                <w:color w:val="000000"/>
                <w:sz w:val="18"/>
                <w:szCs w:val="18"/>
                <w:u w:val="none"/>
              </w:rPr>
            </w:pPr>
          </w:p>
        </w:tc>
        <w:tc>
          <w:tcPr>
            <w:tcW w:w="2004"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（二）其他资金</w:t>
            </w:r>
          </w:p>
        </w:tc>
        <w:tc>
          <w:tcPr>
            <w:tcW w:w="114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宋体" w:hAnsi="宋体" w:eastAsia="宋体" w:cs="宋体"/>
                <w:i w:val="0"/>
                <w:iCs w:val="0"/>
                <w:color w:val="000000"/>
                <w:sz w:val="18"/>
                <w:szCs w:val="18"/>
                <w:u w:val="none"/>
              </w:rPr>
            </w:pPr>
          </w:p>
        </w:tc>
        <w:tc>
          <w:tcPr>
            <w:tcW w:w="156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宋体" w:hAnsi="宋体" w:eastAsia="宋体" w:cs="宋体"/>
                <w:i w:val="0"/>
                <w:iCs w:val="0"/>
                <w:color w:val="000000"/>
                <w:sz w:val="18"/>
                <w:szCs w:val="18"/>
                <w:u w:val="none"/>
              </w:rPr>
            </w:pPr>
          </w:p>
        </w:tc>
        <w:tc>
          <w:tcPr>
            <w:tcW w:w="145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宋体" w:hAnsi="宋体" w:eastAsia="宋体" w:cs="宋体"/>
                <w:i w:val="0"/>
                <w:iCs w:val="0"/>
                <w:color w:val="000000"/>
                <w:sz w:val="18"/>
                <w:szCs w:val="18"/>
                <w:u w:val="none"/>
              </w:rPr>
            </w:pPr>
          </w:p>
        </w:tc>
        <w:tc>
          <w:tcPr>
            <w:tcW w:w="118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84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年度总体目标</w:t>
            </w:r>
          </w:p>
        </w:tc>
        <w:tc>
          <w:tcPr>
            <w:tcW w:w="3897" w:type="dxa"/>
            <w:gridSpan w:val="4"/>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预期目标</w:t>
            </w:r>
          </w:p>
        </w:tc>
        <w:tc>
          <w:tcPr>
            <w:tcW w:w="4203"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完成情况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84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宋体" w:hAnsi="宋体" w:eastAsia="宋体" w:cs="宋体"/>
                <w:i w:val="0"/>
                <w:iCs w:val="0"/>
                <w:color w:val="000000"/>
                <w:sz w:val="18"/>
                <w:szCs w:val="18"/>
                <w:u w:val="none"/>
              </w:rPr>
            </w:pPr>
          </w:p>
        </w:tc>
        <w:tc>
          <w:tcPr>
            <w:tcW w:w="3897" w:type="dxa"/>
            <w:gridSpan w:val="4"/>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完成2022年区政府下达的招商引资目标任务，为实现经济转型和产业发展，助推我区经济发展；围绕全区“十四五”发展目标，树立“大招商、招大商、招好商”的理念，全力做好项目引进落地服务工作，使全区招商引资工作实现新提升、新突破、新发展。</w:t>
            </w:r>
          </w:p>
        </w:tc>
        <w:tc>
          <w:tcPr>
            <w:tcW w:w="4203"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完成2022年区政府下达的招商引资目标任务，为实现经济转型和产业发展，助推我区经济发展；围绕全区“十四五”发展目标，树立“大招商、招大商、招好商”的理念，全力做好项目引进落地服务工作，使全区招商引资工作实现新提升、新突破、新发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0" w:type="auto"/>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绩效指标</w:t>
            </w:r>
          </w:p>
        </w:tc>
        <w:tc>
          <w:tcPr>
            <w:tcW w:w="75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一级指标</w:t>
            </w:r>
          </w:p>
        </w:tc>
        <w:tc>
          <w:tcPr>
            <w:tcW w:w="100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二级指标</w:t>
            </w:r>
          </w:p>
        </w:tc>
        <w:tc>
          <w:tcPr>
            <w:tcW w:w="213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三级指标</w:t>
            </w:r>
          </w:p>
        </w:tc>
        <w:tc>
          <w:tcPr>
            <w:tcW w:w="156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年度指标值</w:t>
            </w:r>
          </w:p>
        </w:tc>
        <w:tc>
          <w:tcPr>
            <w:tcW w:w="145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实际完成值</w:t>
            </w:r>
          </w:p>
        </w:tc>
        <w:tc>
          <w:tcPr>
            <w:tcW w:w="118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偏差原因分析及改进措施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0" w:type="auto"/>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宋体" w:hAnsi="宋体" w:eastAsia="宋体" w:cs="宋体"/>
                <w:i w:val="0"/>
                <w:iCs w:val="0"/>
                <w:color w:val="000000"/>
                <w:sz w:val="18"/>
                <w:szCs w:val="18"/>
                <w:u w:val="none"/>
              </w:rPr>
            </w:pPr>
          </w:p>
        </w:tc>
        <w:tc>
          <w:tcPr>
            <w:tcW w:w="752"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产出指标</w:t>
            </w:r>
          </w:p>
        </w:tc>
        <w:tc>
          <w:tcPr>
            <w:tcW w:w="100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数量指标</w:t>
            </w:r>
          </w:p>
        </w:tc>
        <w:tc>
          <w:tcPr>
            <w:tcW w:w="213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参加招商引资推介会次数</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≧2个</w:t>
            </w:r>
          </w:p>
        </w:tc>
        <w:tc>
          <w:tcPr>
            <w:tcW w:w="145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2次</w:t>
            </w:r>
          </w:p>
        </w:tc>
        <w:tc>
          <w:tcPr>
            <w:tcW w:w="118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0" w:type="auto"/>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宋体" w:hAnsi="宋体" w:eastAsia="宋体" w:cs="宋体"/>
                <w:i w:val="0"/>
                <w:iCs w:val="0"/>
                <w:color w:val="000000"/>
                <w:sz w:val="18"/>
                <w:szCs w:val="18"/>
                <w:u w:val="none"/>
              </w:rPr>
            </w:pPr>
          </w:p>
        </w:tc>
        <w:tc>
          <w:tcPr>
            <w:tcW w:w="752"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宋体" w:hAnsi="宋体" w:eastAsia="宋体" w:cs="宋体"/>
                <w:i w:val="0"/>
                <w:iCs w:val="0"/>
                <w:color w:val="000000"/>
                <w:sz w:val="18"/>
                <w:szCs w:val="18"/>
                <w:u w:val="none"/>
              </w:rPr>
            </w:pPr>
          </w:p>
        </w:tc>
        <w:tc>
          <w:tcPr>
            <w:tcW w:w="100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宋体" w:hAnsi="宋体" w:eastAsia="宋体" w:cs="宋体"/>
                <w:i w:val="0"/>
                <w:iCs w:val="0"/>
                <w:color w:val="000000"/>
                <w:sz w:val="18"/>
                <w:szCs w:val="18"/>
                <w:u w:val="none"/>
              </w:rPr>
            </w:pPr>
          </w:p>
        </w:tc>
        <w:tc>
          <w:tcPr>
            <w:tcW w:w="213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累计洽谈项目个数</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≧3个</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3个</w:t>
            </w:r>
          </w:p>
        </w:tc>
        <w:tc>
          <w:tcPr>
            <w:tcW w:w="118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0" w:type="auto"/>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宋体" w:hAnsi="宋体" w:eastAsia="宋体" w:cs="宋体"/>
                <w:i w:val="0"/>
                <w:iCs w:val="0"/>
                <w:color w:val="000000"/>
                <w:sz w:val="18"/>
                <w:szCs w:val="18"/>
                <w:u w:val="none"/>
              </w:rPr>
            </w:pPr>
          </w:p>
        </w:tc>
        <w:tc>
          <w:tcPr>
            <w:tcW w:w="752"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宋体" w:hAnsi="宋体" w:eastAsia="宋体" w:cs="宋体"/>
                <w:i w:val="0"/>
                <w:iCs w:val="0"/>
                <w:color w:val="000000"/>
                <w:sz w:val="18"/>
                <w:szCs w:val="18"/>
                <w:u w:val="none"/>
              </w:rPr>
            </w:pPr>
          </w:p>
        </w:tc>
        <w:tc>
          <w:tcPr>
            <w:tcW w:w="100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质量指标</w:t>
            </w:r>
          </w:p>
        </w:tc>
        <w:tc>
          <w:tcPr>
            <w:tcW w:w="213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完成2022年区政府下达的招商引资目标任务</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优良中低差</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优</w:t>
            </w:r>
          </w:p>
        </w:tc>
        <w:tc>
          <w:tcPr>
            <w:tcW w:w="118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0" w:type="auto"/>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宋体" w:hAnsi="宋体" w:eastAsia="宋体" w:cs="宋体"/>
                <w:i w:val="0"/>
                <w:iCs w:val="0"/>
                <w:color w:val="000000"/>
                <w:sz w:val="18"/>
                <w:szCs w:val="18"/>
                <w:u w:val="none"/>
              </w:rPr>
            </w:pPr>
          </w:p>
        </w:tc>
        <w:tc>
          <w:tcPr>
            <w:tcW w:w="752"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宋体" w:hAnsi="宋体" w:eastAsia="宋体" w:cs="宋体"/>
                <w:i w:val="0"/>
                <w:iCs w:val="0"/>
                <w:color w:val="000000"/>
                <w:sz w:val="18"/>
                <w:szCs w:val="18"/>
                <w:u w:val="none"/>
              </w:rPr>
            </w:pPr>
          </w:p>
        </w:tc>
        <w:tc>
          <w:tcPr>
            <w:tcW w:w="100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时效指标</w:t>
            </w:r>
          </w:p>
        </w:tc>
        <w:tc>
          <w:tcPr>
            <w:tcW w:w="213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完成年限</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≦1年</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1年</w:t>
            </w:r>
          </w:p>
        </w:tc>
        <w:tc>
          <w:tcPr>
            <w:tcW w:w="118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0" w:type="auto"/>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宋体" w:hAnsi="宋体" w:eastAsia="宋体" w:cs="宋体"/>
                <w:i w:val="0"/>
                <w:iCs w:val="0"/>
                <w:color w:val="000000"/>
                <w:sz w:val="18"/>
                <w:szCs w:val="18"/>
                <w:u w:val="none"/>
              </w:rPr>
            </w:pPr>
          </w:p>
        </w:tc>
        <w:tc>
          <w:tcPr>
            <w:tcW w:w="752"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宋体" w:hAnsi="宋体" w:eastAsia="宋体" w:cs="宋体"/>
                <w:i w:val="0"/>
                <w:iCs w:val="0"/>
                <w:color w:val="000000"/>
                <w:sz w:val="18"/>
                <w:szCs w:val="18"/>
                <w:u w:val="none"/>
              </w:rPr>
            </w:pPr>
          </w:p>
        </w:tc>
        <w:tc>
          <w:tcPr>
            <w:tcW w:w="100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成本指标</w:t>
            </w:r>
          </w:p>
        </w:tc>
        <w:tc>
          <w:tcPr>
            <w:tcW w:w="213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招商引资工作经费控制在预算批复之内</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≦2.5万元</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2.5万元</w:t>
            </w:r>
          </w:p>
        </w:tc>
        <w:tc>
          <w:tcPr>
            <w:tcW w:w="118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0" w:type="auto"/>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宋体" w:hAnsi="宋体" w:eastAsia="宋体" w:cs="宋体"/>
                <w:i w:val="0"/>
                <w:iCs w:val="0"/>
                <w:color w:val="000000"/>
                <w:sz w:val="18"/>
                <w:szCs w:val="18"/>
                <w:u w:val="none"/>
              </w:rPr>
            </w:pPr>
          </w:p>
        </w:tc>
        <w:tc>
          <w:tcPr>
            <w:tcW w:w="752"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效益指标</w:t>
            </w:r>
          </w:p>
        </w:tc>
        <w:tc>
          <w:tcPr>
            <w:tcW w:w="100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社会效益</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指标</w:t>
            </w:r>
          </w:p>
        </w:tc>
        <w:tc>
          <w:tcPr>
            <w:tcW w:w="213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增加本地就业人数</w:t>
            </w:r>
          </w:p>
        </w:tc>
        <w:tc>
          <w:tcPr>
            <w:tcW w:w="156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优良中低差</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优</w:t>
            </w:r>
          </w:p>
        </w:tc>
        <w:tc>
          <w:tcPr>
            <w:tcW w:w="118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0" w:type="auto"/>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宋体" w:hAnsi="宋体" w:eastAsia="宋体" w:cs="宋体"/>
                <w:i w:val="0"/>
                <w:iCs w:val="0"/>
                <w:color w:val="000000"/>
                <w:sz w:val="18"/>
                <w:szCs w:val="18"/>
                <w:u w:val="none"/>
              </w:rPr>
            </w:pPr>
          </w:p>
        </w:tc>
        <w:tc>
          <w:tcPr>
            <w:tcW w:w="752"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宋体" w:hAnsi="宋体" w:eastAsia="宋体" w:cs="宋体"/>
                <w:i w:val="0"/>
                <w:iCs w:val="0"/>
                <w:color w:val="000000"/>
                <w:sz w:val="18"/>
                <w:szCs w:val="18"/>
                <w:u w:val="none"/>
              </w:rPr>
            </w:pPr>
          </w:p>
        </w:tc>
        <w:tc>
          <w:tcPr>
            <w:tcW w:w="100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经济效益指标</w:t>
            </w:r>
          </w:p>
        </w:tc>
        <w:tc>
          <w:tcPr>
            <w:tcW w:w="213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增加税收收入</w:t>
            </w:r>
          </w:p>
        </w:tc>
        <w:tc>
          <w:tcPr>
            <w:tcW w:w="156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优良中低差</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优</w:t>
            </w:r>
          </w:p>
        </w:tc>
        <w:tc>
          <w:tcPr>
            <w:tcW w:w="118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0" w:type="auto"/>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宋体" w:hAnsi="宋体" w:eastAsia="宋体" w:cs="宋体"/>
                <w:i w:val="0"/>
                <w:iCs w:val="0"/>
                <w:color w:val="000000"/>
                <w:sz w:val="18"/>
                <w:szCs w:val="18"/>
                <w:u w:val="none"/>
              </w:rPr>
            </w:pPr>
          </w:p>
        </w:tc>
        <w:tc>
          <w:tcPr>
            <w:tcW w:w="75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满意度</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指标</w:t>
            </w:r>
          </w:p>
        </w:tc>
        <w:tc>
          <w:tcPr>
            <w:tcW w:w="100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服务对象满意度指标</w:t>
            </w:r>
          </w:p>
        </w:tc>
        <w:tc>
          <w:tcPr>
            <w:tcW w:w="213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企业满意度</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≧90%</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95%</w:t>
            </w:r>
          </w:p>
        </w:tc>
        <w:tc>
          <w:tcPr>
            <w:tcW w:w="118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宋体" w:hAnsi="宋体" w:eastAsia="宋体" w:cs="宋体"/>
                <w:i w:val="0"/>
                <w:iCs w:val="0"/>
                <w:color w:val="000000"/>
                <w:sz w:val="18"/>
                <w:szCs w:val="18"/>
                <w:u w:val="none"/>
              </w:rPr>
            </w:pPr>
          </w:p>
        </w:tc>
      </w:tr>
    </w:tbl>
    <w:p>
      <w:pPr>
        <w:keepNext w:val="0"/>
        <w:keepLines w:val="0"/>
        <w:pageBreakBefore w:val="0"/>
        <w:widowControl w:val="0"/>
        <w:kinsoku/>
        <w:wordWrap/>
        <w:overflowPunct/>
        <w:topLinePunct w:val="0"/>
        <w:autoSpaceDE/>
        <w:autoSpaceDN/>
        <w:bidi w:val="0"/>
        <w:adjustRightInd w:val="0"/>
        <w:snapToGrid w:val="0"/>
        <w:spacing w:line="576" w:lineRule="exact"/>
        <w:ind w:firstLine="640" w:firstLineChars="200"/>
        <w:textAlignment w:val="auto"/>
        <w:rPr>
          <w:rFonts w:hint="eastAsia" w:ascii="Times New Roman" w:hAnsi="Times New Roman" w:eastAsia="仿宋_GB2312" w:cs="Times New Roman"/>
          <w:kern w:val="0"/>
          <w:sz w:val="32"/>
          <w:szCs w:val="32"/>
          <w:highlight w:val="none"/>
          <w:lang w:val="zh-CN" w:eastAsia="zh-CN" w:bidi="ar-SA"/>
        </w:rPr>
        <w:sectPr>
          <w:pgSz w:w="11906" w:h="16838"/>
          <w:pgMar w:top="1984" w:right="1474" w:bottom="1871" w:left="1587" w:header="851" w:footer="992" w:gutter="0"/>
          <w:pgNumType w:fmt="decimal"/>
          <w:cols w:space="0" w:num="1"/>
          <w:titlePg/>
          <w:rtlGutter w:val="0"/>
          <w:docGrid w:type="lines" w:linePitch="312" w:charSpace="0"/>
        </w:sectPr>
      </w:pPr>
    </w:p>
    <w:p>
      <w:pPr>
        <w:keepNext w:val="0"/>
        <w:keepLines w:val="0"/>
        <w:pageBreakBefore w:val="0"/>
        <w:widowControl/>
        <w:kinsoku/>
        <w:wordWrap/>
        <w:overflowPunct/>
        <w:topLinePunct w:val="0"/>
        <w:autoSpaceDE/>
        <w:autoSpaceDN/>
        <w:bidi w:val="0"/>
        <w:adjustRightInd w:val="0"/>
        <w:snapToGrid w:val="0"/>
        <w:spacing w:line="576" w:lineRule="exact"/>
        <w:contextualSpacing/>
        <w:jc w:val="left"/>
        <w:textAlignment w:val="auto"/>
        <w:outlineLvl w:val="1"/>
        <w:rPr>
          <w:rFonts w:hint="default" w:ascii="黑体" w:hAnsi="黑体" w:eastAsia="黑体" w:cs="黑体"/>
          <w:b w:val="0"/>
          <w:bCs/>
          <w:color w:val="auto"/>
          <w:sz w:val="32"/>
          <w:szCs w:val="32"/>
          <w:highlight w:val="none"/>
          <w:shd w:val="clear" w:color="auto" w:fill="FFFFFF"/>
          <w:lang w:val="en-US" w:eastAsia="zh-CN"/>
        </w:rPr>
      </w:pPr>
      <w:bookmarkStart w:id="102" w:name="_Toc9811"/>
      <w:r>
        <w:rPr>
          <w:rFonts w:hint="eastAsia" w:ascii="黑体" w:hAnsi="黑体" w:eastAsia="黑体" w:cs="黑体"/>
          <w:b w:val="0"/>
          <w:bCs/>
          <w:color w:val="auto"/>
          <w:sz w:val="32"/>
          <w:szCs w:val="32"/>
          <w:highlight w:val="none"/>
          <w:shd w:val="clear" w:color="auto" w:fill="FFFFFF"/>
          <w:lang w:val="en-US" w:eastAsia="zh-CN"/>
        </w:rPr>
        <w:t>附件5</w:t>
      </w:r>
      <w:bookmarkEnd w:id="102"/>
    </w:p>
    <w:p>
      <w:pPr>
        <w:pStyle w:val="6"/>
        <w:jc w:val="center"/>
        <w:outlineLvl w:val="1"/>
        <w:rPr>
          <w:rFonts w:hint="eastAsia" w:ascii="微软雅黑" w:hAnsi="微软雅黑" w:eastAsia="微软雅黑" w:cs="微软雅黑"/>
          <w:sz w:val="44"/>
          <w:szCs w:val="44"/>
          <w:highlight w:val="none"/>
          <w:lang w:val="en-US" w:eastAsia="zh-CN"/>
        </w:rPr>
      </w:pPr>
    </w:p>
    <w:p>
      <w:pPr>
        <w:pStyle w:val="6"/>
        <w:keepNext w:val="0"/>
        <w:keepLines w:val="0"/>
        <w:pageBreakBefore w:val="0"/>
        <w:widowControl w:val="0"/>
        <w:kinsoku/>
        <w:wordWrap/>
        <w:overflowPunct/>
        <w:topLinePunct w:val="0"/>
        <w:autoSpaceDE/>
        <w:autoSpaceDN/>
        <w:bidi w:val="0"/>
        <w:adjustRightInd/>
        <w:snapToGrid/>
        <w:spacing w:line="576" w:lineRule="exact"/>
        <w:jc w:val="center"/>
        <w:textAlignment w:val="auto"/>
        <w:outlineLvl w:val="1"/>
        <w:rPr>
          <w:rFonts w:hint="eastAsia" w:ascii="方正小标宋简体" w:hAnsi="方正小标宋简体" w:eastAsia="方正小标宋简体" w:cs="方正小标宋简体"/>
          <w:highlight w:val="none"/>
          <w:lang w:val="en-US"/>
        </w:rPr>
      </w:pPr>
      <w:bookmarkStart w:id="103" w:name="_Toc3265"/>
      <w:r>
        <w:rPr>
          <w:rFonts w:hint="eastAsia" w:ascii="方正小标宋简体" w:hAnsi="方正小标宋简体" w:eastAsia="方正小标宋简体" w:cs="方正小标宋简体"/>
          <w:sz w:val="44"/>
          <w:szCs w:val="44"/>
          <w:highlight w:val="none"/>
          <w:lang w:val="en-US" w:eastAsia="zh-CN"/>
        </w:rPr>
        <w:t>广元市昭化区人力资源和社会保障局</w:t>
      </w:r>
      <w:r>
        <w:rPr>
          <w:rFonts w:hint="eastAsia" w:ascii="方正小标宋简体" w:hAnsi="方正小标宋简体" w:eastAsia="方正小标宋简体" w:cs="方正小标宋简体"/>
          <w:sz w:val="44"/>
          <w:szCs w:val="44"/>
          <w:highlight w:val="none"/>
          <w:lang w:val="zh-CN" w:eastAsia="zh-CN"/>
        </w:rPr>
        <w:t>公开引进高层次人才和招聘急需紧缺专业人才工作经费项目支出自评报告</w:t>
      </w:r>
      <w:r>
        <w:rPr>
          <w:rFonts w:hint="eastAsia" w:ascii="方正小标宋简体" w:hAnsi="方正小标宋简体" w:eastAsia="方正小标宋简体" w:cs="方正小标宋简体"/>
          <w:sz w:val="44"/>
          <w:szCs w:val="44"/>
          <w:highlight w:val="none"/>
          <w:lang w:val="en-US" w:eastAsia="zh-CN"/>
        </w:rPr>
        <w:t>(自评表）</w:t>
      </w:r>
      <w:bookmarkEnd w:id="103"/>
    </w:p>
    <w:p>
      <w:pPr>
        <w:rPr>
          <w:highlight w:val="none"/>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576" w:lineRule="exact"/>
        <w:ind w:firstLine="640" w:firstLineChars="200"/>
        <w:textAlignment w:val="auto"/>
        <w:rPr>
          <w:rFonts w:hint="default" w:ascii="Times New Roman" w:hAnsi="Times New Roman" w:eastAsia="黑体" w:cs="Times New Roman"/>
          <w:sz w:val="32"/>
          <w:szCs w:val="32"/>
          <w:highlight w:val="none"/>
          <w:lang w:val="zh-CN"/>
        </w:rPr>
      </w:pPr>
      <w:r>
        <w:rPr>
          <w:rFonts w:hint="default" w:ascii="Times New Roman" w:hAnsi="Times New Roman" w:eastAsia="黑体" w:cs="Times New Roman"/>
          <w:kern w:val="2"/>
          <w:sz w:val="32"/>
          <w:szCs w:val="32"/>
          <w:highlight w:val="none"/>
          <w:lang w:val="zh-CN" w:eastAsia="zh-CN" w:bidi="ar-SA"/>
        </w:rPr>
        <w:t>一、</w:t>
      </w:r>
      <w:r>
        <w:rPr>
          <w:rFonts w:hint="default" w:ascii="Times New Roman" w:hAnsi="Times New Roman" w:eastAsia="黑体" w:cs="Times New Roman"/>
          <w:sz w:val="32"/>
          <w:szCs w:val="32"/>
          <w:highlight w:val="none"/>
          <w:lang w:val="zh-CN"/>
        </w:rPr>
        <w:t>项目概况</w:t>
      </w:r>
    </w:p>
    <w:p>
      <w:pPr>
        <w:keepNext w:val="0"/>
        <w:keepLines w:val="0"/>
        <w:pageBreakBefore w:val="0"/>
        <w:widowControl w:val="0"/>
        <w:numPr>
          <w:ilvl w:val="0"/>
          <w:numId w:val="0"/>
        </w:numPr>
        <w:kinsoku/>
        <w:wordWrap/>
        <w:overflowPunct/>
        <w:topLinePunct w:val="0"/>
        <w:autoSpaceDE/>
        <w:autoSpaceDN/>
        <w:bidi w:val="0"/>
        <w:adjustRightInd w:val="0"/>
        <w:snapToGrid w:val="0"/>
        <w:spacing w:line="576" w:lineRule="exact"/>
        <w:ind w:firstLine="643" w:firstLineChars="200"/>
        <w:textAlignment w:val="auto"/>
        <w:rPr>
          <w:rFonts w:hint="eastAsia" w:eastAsia="楷体_GB2312" w:cs="Times New Roman"/>
          <w:b/>
          <w:sz w:val="32"/>
          <w:szCs w:val="32"/>
          <w:highlight w:val="none"/>
          <w:lang w:val="zh-CN"/>
        </w:rPr>
      </w:pPr>
      <w:r>
        <w:rPr>
          <w:rFonts w:hint="eastAsia" w:eastAsia="楷体_GB2312" w:cs="Times New Roman"/>
          <w:b/>
          <w:sz w:val="32"/>
          <w:szCs w:val="32"/>
          <w:highlight w:val="none"/>
          <w:lang w:val="zh-CN"/>
        </w:rPr>
        <w:t>（一）</w:t>
      </w:r>
      <w:r>
        <w:rPr>
          <w:rFonts w:hint="default" w:ascii="Times New Roman" w:hAnsi="Times New Roman" w:eastAsia="楷体_GB2312" w:cs="Times New Roman"/>
          <w:b/>
          <w:sz w:val="32"/>
          <w:szCs w:val="32"/>
          <w:highlight w:val="none"/>
          <w:lang w:val="zh-CN"/>
        </w:rPr>
        <w:t>项目</w:t>
      </w:r>
      <w:r>
        <w:rPr>
          <w:rFonts w:hint="eastAsia" w:eastAsia="楷体_GB2312" w:cs="Times New Roman"/>
          <w:b/>
          <w:sz w:val="32"/>
          <w:szCs w:val="32"/>
          <w:highlight w:val="none"/>
          <w:lang w:val="zh-CN"/>
        </w:rPr>
        <w:t>资金申报及批复情况。</w:t>
      </w:r>
    </w:p>
    <w:p>
      <w:pPr>
        <w:keepNext w:val="0"/>
        <w:keepLines w:val="0"/>
        <w:pageBreakBefore w:val="0"/>
        <w:widowControl w:val="0"/>
        <w:kinsoku/>
        <w:wordWrap/>
        <w:overflowPunct/>
        <w:topLinePunct w:val="0"/>
        <w:autoSpaceDE/>
        <w:autoSpaceDN/>
        <w:bidi w:val="0"/>
        <w:adjustRightInd w:val="0"/>
        <w:snapToGrid w:val="0"/>
        <w:spacing w:line="576" w:lineRule="exact"/>
        <w:ind w:firstLine="640" w:firstLineChars="200"/>
        <w:textAlignment w:val="auto"/>
        <w:rPr>
          <w:rFonts w:hint="default" w:ascii="仿宋_GB2312" w:hAnsi="Times New Roman" w:eastAsia="仿宋_GB2312" w:cs="Times New Roman"/>
          <w:kern w:val="0"/>
          <w:sz w:val="32"/>
          <w:szCs w:val="32"/>
          <w:lang w:val="en-US" w:eastAsia="zh-CN" w:bidi="ar-SA"/>
        </w:rPr>
      </w:pPr>
      <w:r>
        <w:rPr>
          <w:rFonts w:hint="eastAsia" w:ascii="仿宋_GB2312" w:hAnsi="Times New Roman" w:eastAsia="仿宋_GB2312" w:cs="Times New Roman"/>
          <w:kern w:val="0"/>
          <w:sz w:val="32"/>
          <w:szCs w:val="32"/>
          <w:lang w:val="zh-CN" w:eastAsia="zh-CN" w:bidi="ar-SA"/>
        </w:rPr>
        <w:t>公开引进高层次人才和招聘急需紧缺专业人才工作经费是为深入落实区八次党代会精神，切实为“四城新区诗意昭化”建设提供坚强有力地人才智力支撑，为开展</w:t>
      </w:r>
      <w:r>
        <w:rPr>
          <w:rFonts w:hint="eastAsia" w:ascii="仿宋_GB2312" w:hAnsi="Times New Roman" w:eastAsia="仿宋_GB2312" w:cs="Times New Roman"/>
          <w:kern w:val="0"/>
          <w:sz w:val="32"/>
          <w:szCs w:val="32"/>
          <w:lang w:val="en-US" w:eastAsia="zh-CN" w:bidi="ar-SA"/>
        </w:rPr>
        <w:t>2021年招引高层次、紧缺型人才，保障考务活动、后勤保障、考察、入职体检等环节各项经费。属于当年追加项目，</w:t>
      </w:r>
      <w:r>
        <w:rPr>
          <w:rFonts w:hint="eastAsia" w:ascii="仿宋_GB2312" w:hAnsi="Times New Roman" w:eastAsia="仿宋_GB2312" w:cs="Times New Roman"/>
          <w:kern w:val="0"/>
          <w:sz w:val="32"/>
          <w:szCs w:val="32"/>
          <w:lang w:val="zh-CN" w:eastAsia="zh-CN" w:bidi="ar-SA"/>
        </w:rPr>
        <w:t>202</w:t>
      </w:r>
      <w:r>
        <w:rPr>
          <w:rFonts w:hint="eastAsia" w:ascii="仿宋_GB2312" w:hAnsi="Times New Roman" w:eastAsia="仿宋_GB2312" w:cs="Times New Roman"/>
          <w:kern w:val="0"/>
          <w:sz w:val="32"/>
          <w:szCs w:val="32"/>
          <w:lang w:val="en-US" w:eastAsia="zh-CN" w:bidi="ar-SA"/>
        </w:rPr>
        <w:t>2</w:t>
      </w:r>
      <w:r>
        <w:rPr>
          <w:rFonts w:hint="eastAsia" w:ascii="仿宋_GB2312" w:hAnsi="Times New Roman" w:eastAsia="仿宋_GB2312" w:cs="Times New Roman"/>
          <w:kern w:val="0"/>
          <w:sz w:val="32"/>
          <w:szCs w:val="32"/>
          <w:lang w:val="zh-CN" w:eastAsia="zh-CN" w:bidi="ar-SA"/>
        </w:rPr>
        <w:t>年区财政预算追加我单位公开引进高层次人才和招聘急需紧缺专业人才工作经费</w:t>
      </w:r>
      <w:r>
        <w:rPr>
          <w:rFonts w:hint="eastAsia" w:ascii="仿宋_GB2312" w:hAnsi="Times New Roman" w:eastAsia="仿宋_GB2312" w:cs="Times New Roman"/>
          <w:kern w:val="0"/>
          <w:sz w:val="32"/>
          <w:szCs w:val="32"/>
          <w:lang w:val="en-US" w:eastAsia="zh-CN" w:bidi="ar-SA"/>
        </w:rPr>
        <w:t>60</w:t>
      </w:r>
      <w:r>
        <w:rPr>
          <w:rFonts w:hint="eastAsia" w:ascii="仿宋_GB2312" w:hAnsi="Times New Roman" w:eastAsia="仿宋_GB2312" w:cs="Times New Roman"/>
          <w:kern w:val="0"/>
          <w:sz w:val="32"/>
          <w:szCs w:val="32"/>
          <w:lang w:val="zh-CN" w:eastAsia="zh-CN" w:bidi="ar-SA"/>
        </w:rPr>
        <w:t>万元。我单位</w:t>
      </w:r>
      <w:r>
        <w:rPr>
          <w:rFonts w:hint="eastAsia" w:ascii="仿宋_GB2312" w:hAnsi="Times New Roman" w:eastAsia="仿宋_GB2312" w:cs="Times New Roman"/>
          <w:kern w:val="0"/>
          <w:sz w:val="32"/>
          <w:szCs w:val="32"/>
          <w:lang w:val="en-US" w:eastAsia="zh-CN" w:bidi="ar-SA"/>
        </w:rPr>
        <w:t>严格按照预算要求编制、立项；资金申报按照项目支付需求，领导审批同意报请财政局审批；所有资金管理流程符合相关规定。</w:t>
      </w:r>
    </w:p>
    <w:p>
      <w:pPr>
        <w:keepNext w:val="0"/>
        <w:keepLines w:val="0"/>
        <w:pageBreakBefore w:val="0"/>
        <w:widowControl w:val="0"/>
        <w:kinsoku/>
        <w:wordWrap/>
        <w:overflowPunct/>
        <w:topLinePunct w:val="0"/>
        <w:autoSpaceDE/>
        <w:autoSpaceDN/>
        <w:bidi w:val="0"/>
        <w:adjustRightInd w:val="0"/>
        <w:snapToGrid w:val="0"/>
        <w:spacing w:line="576" w:lineRule="exact"/>
        <w:ind w:firstLine="643" w:firstLineChars="200"/>
        <w:textAlignment w:val="auto"/>
        <w:rPr>
          <w:rFonts w:hint="default" w:ascii="Times New Roman" w:hAnsi="Times New Roman" w:eastAsia="楷体_GB2312" w:cs="Times New Roman"/>
          <w:b/>
          <w:sz w:val="32"/>
          <w:szCs w:val="32"/>
          <w:highlight w:val="none"/>
          <w:lang w:val="zh-CN"/>
        </w:rPr>
      </w:pPr>
      <w:r>
        <w:rPr>
          <w:rFonts w:hint="default" w:ascii="Times New Roman" w:hAnsi="Times New Roman" w:eastAsia="楷体_GB2312" w:cs="Times New Roman"/>
          <w:b/>
          <w:sz w:val="32"/>
          <w:szCs w:val="32"/>
          <w:highlight w:val="none"/>
          <w:lang w:val="zh-CN"/>
        </w:rPr>
        <w:t>（二）项目绩效目标。</w:t>
      </w:r>
    </w:p>
    <w:p>
      <w:pPr>
        <w:keepNext w:val="0"/>
        <w:keepLines w:val="0"/>
        <w:pageBreakBefore w:val="0"/>
        <w:widowControl w:val="0"/>
        <w:kinsoku/>
        <w:wordWrap/>
        <w:overflowPunct/>
        <w:topLinePunct w:val="0"/>
        <w:autoSpaceDE/>
        <w:autoSpaceDN/>
        <w:bidi w:val="0"/>
        <w:adjustRightInd w:val="0"/>
        <w:snapToGrid w:val="0"/>
        <w:spacing w:line="576" w:lineRule="exact"/>
        <w:ind w:firstLine="640" w:firstLineChars="200"/>
        <w:textAlignment w:val="auto"/>
        <w:rPr>
          <w:rFonts w:hint="eastAsia" w:ascii="仿宋_GB2312" w:hAnsi="Times New Roman" w:eastAsia="仿宋_GB2312" w:cs="Times New Roman"/>
          <w:kern w:val="0"/>
          <w:sz w:val="32"/>
          <w:szCs w:val="32"/>
          <w:lang w:val="en-US" w:eastAsia="zh-CN" w:bidi="ar-SA"/>
        </w:rPr>
      </w:pPr>
      <w:r>
        <w:rPr>
          <w:rFonts w:hint="eastAsia" w:ascii="仿宋_GB2312" w:hAnsi="Times New Roman" w:eastAsia="仿宋_GB2312" w:cs="Times New Roman"/>
          <w:kern w:val="0"/>
          <w:sz w:val="32"/>
          <w:szCs w:val="32"/>
          <w:lang w:val="zh-CN" w:eastAsia="zh-CN" w:bidi="ar-SA"/>
        </w:rPr>
        <w:t>该项目主要内容是为解决2021年公开引进高层次人才和招聘急需专业人才工作经费。其中引进人才数量</w:t>
      </w:r>
      <w:r>
        <w:rPr>
          <w:rFonts w:hint="eastAsia" w:ascii="仿宋_GB2312" w:hAnsi="Times New Roman" w:eastAsia="仿宋_GB2312" w:cs="Times New Roman"/>
          <w:kern w:val="0"/>
          <w:sz w:val="32"/>
          <w:szCs w:val="32"/>
          <w:lang w:val="en-US" w:eastAsia="zh-CN" w:bidi="ar-SA"/>
        </w:rPr>
        <w:t>92人，引进人才到岗率大于等于95%，兑现工作经费及时率大于等于90%，有效扩充我区人才队伍，传播惜才、爱才精神，推动经济社会发展，服务对象满意度大于等于95%。</w:t>
      </w:r>
    </w:p>
    <w:p>
      <w:pPr>
        <w:keepNext w:val="0"/>
        <w:keepLines w:val="0"/>
        <w:pageBreakBefore w:val="0"/>
        <w:widowControl w:val="0"/>
        <w:kinsoku/>
        <w:wordWrap/>
        <w:overflowPunct/>
        <w:topLinePunct w:val="0"/>
        <w:autoSpaceDE/>
        <w:autoSpaceDN/>
        <w:bidi w:val="0"/>
        <w:adjustRightInd w:val="0"/>
        <w:snapToGrid w:val="0"/>
        <w:spacing w:line="576" w:lineRule="exact"/>
        <w:ind w:firstLine="643" w:firstLineChars="200"/>
        <w:textAlignment w:val="auto"/>
        <w:rPr>
          <w:rFonts w:hint="default" w:ascii="Times New Roman" w:hAnsi="Times New Roman" w:eastAsia="楷体_GB2312" w:cs="Times New Roman"/>
          <w:b/>
          <w:sz w:val="32"/>
          <w:szCs w:val="32"/>
          <w:highlight w:val="none"/>
          <w:lang w:val="zh-CN"/>
        </w:rPr>
      </w:pPr>
      <w:r>
        <w:rPr>
          <w:rFonts w:hint="default" w:ascii="Times New Roman" w:hAnsi="Times New Roman" w:eastAsia="楷体_GB2312" w:cs="Times New Roman"/>
          <w:b/>
          <w:sz w:val="32"/>
          <w:szCs w:val="32"/>
          <w:highlight w:val="none"/>
          <w:lang w:val="zh-CN"/>
        </w:rPr>
        <w:t>（三）项目资金申报相符性。</w:t>
      </w:r>
    </w:p>
    <w:p>
      <w:pPr>
        <w:keepNext w:val="0"/>
        <w:keepLines w:val="0"/>
        <w:pageBreakBefore w:val="0"/>
        <w:widowControl w:val="0"/>
        <w:kinsoku/>
        <w:wordWrap/>
        <w:overflowPunct/>
        <w:topLinePunct w:val="0"/>
        <w:autoSpaceDE/>
        <w:autoSpaceDN/>
        <w:bidi w:val="0"/>
        <w:adjustRightInd w:val="0"/>
        <w:snapToGrid w:val="0"/>
        <w:spacing w:line="576" w:lineRule="exact"/>
        <w:ind w:firstLine="640" w:firstLineChars="200"/>
        <w:textAlignment w:val="auto"/>
        <w:rPr>
          <w:rFonts w:hint="default" w:ascii="仿宋_GB2312" w:hAnsi="Times New Roman" w:eastAsia="仿宋_GB2312" w:cs="Times New Roman"/>
          <w:kern w:val="0"/>
          <w:sz w:val="32"/>
          <w:szCs w:val="32"/>
          <w:lang w:val="zh-CN" w:eastAsia="zh-CN" w:bidi="ar-SA"/>
        </w:rPr>
      </w:pPr>
      <w:r>
        <w:rPr>
          <w:rFonts w:hint="eastAsia" w:ascii="仿宋_GB2312" w:hAnsi="Times New Roman" w:eastAsia="仿宋_GB2312" w:cs="Times New Roman"/>
          <w:kern w:val="0"/>
          <w:sz w:val="32"/>
          <w:szCs w:val="32"/>
          <w:lang w:val="zh-CN" w:eastAsia="zh-CN" w:bidi="ar-SA"/>
        </w:rPr>
        <w:t>公开引进高层次人才和招聘急需紧缺专业人才工作经费</w:t>
      </w:r>
      <w:r>
        <w:rPr>
          <w:rFonts w:hint="default" w:ascii="仿宋_GB2312" w:hAnsi="Times New Roman" w:eastAsia="仿宋_GB2312" w:cs="Times New Roman"/>
          <w:kern w:val="0"/>
          <w:sz w:val="32"/>
          <w:szCs w:val="32"/>
          <w:lang w:val="zh-CN" w:eastAsia="zh-CN" w:bidi="ar-SA"/>
        </w:rPr>
        <w:t>项目申报内容与具体实施内容相符、申报目标</w:t>
      </w:r>
      <w:r>
        <w:rPr>
          <w:rFonts w:hint="eastAsia" w:ascii="仿宋_GB2312" w:hAnsi="Times New Roman" w:eastAsia="仿宋_GB2312" w:cs="Times New Roman"/>
          <w:kern w:val="0"/>
          <w:sz w:val="32"/>
          <w:szCs w:val="32"/>
          <w:lang w:val="zh-CN" w:eastAsia="zh-CN" w:bidi="ar-SA"/>
        </w:rPr>
        <w:t>合</w:t>
      </w:r>
      <w:r>
        <w:rPr>
          <w:rFonts w:hint="default" w:ascii="仿宋_GB2312" w:hAnsi="Times New Roman" w:eastAsia="仿宋_GB2312" w:cs="Times New Roman"/>
          <w:kern w:val="0"/>
          <w:sz w:val="32"/>
          <w:szCs w:val="32"/>
          <w:lang w:val="zh-CN" w:eastAsia="zh-CN" w:bidi="ar-SA"/>
        </w:rPr>
        <w:t>理可行。</w:t>
      </w:r>
    </w:p>
    <w:p>
      <w:pPr>
        <w:keepNext w:val="0"/>
        <w:keepLines w:val="0"/>
        <w:pageBreakBefore w:val="0"/>
        <w:widowControl w:val="0"/>
        <w:kinsoku/>
        <w:wordWrap/>
        <w:overflowPunct/>
        <w:topLinePunct w:val="0"/>
        <w:autoSpaceDE/>
        <w:autoSpaceDN/>
        <w:bidi w:val="0"/>
        <w:adjustRightInd w:val="0"/>
        <w:snapToGrid w:val="0"/>
        <w:spacing w:line="576" w:lineRule="exact"/>
        <w:ind w:firstLine="640" w:firstLineChars="200"/>
        <w:textAlignment w:val="auto"/>
        <w:rPr>
          <w:rFonts w:hint="default" w:ascii="Times New Roman" w:hAnsi="Times New Roman" w:eastAsia="黑体" w:cs="Times New Roman"/>
          <w:sz w:val="32"/>
          <w:szCs w:val="32"/>
          <w:highlight w:val="none"/>
        </w:rPr>
      </w:pPr>
      <w:r>
        <w:rPr>
          <w:rFonts w:hint="default" w:ascii="Times New Roman" w:hAnsi="Times New Roman" w:eastAsia="黑体" w:cs="Times New Roman"/>
          <w:sz w:val="32"/>
          <w:szCs w:val="32"/>
          <w:highlight w:val="none"/>
        </w:rPr>
        <w:t>二、项目实施及管理情况</w:t>
      </w:r>
    </w:p>
    <w:p>
      <w:pPr>
        <w:keepNext w:val="0"/>
        <w:keepLines w:val="0"/>
        <w:pageBreakBefore w:val="0"/>
        <w:widowControl w:val="0"/>
        <w:kinsoku/>
        <w:wordWrap/>
        <w:overflowPunct/>
        <w:topLinePunct w:val="0"/>
        <w:autoSpaceDE/>
        <w:autoSpaceDN/>
        <w:bidi w:val="0"/>
        <w:adjustRightInd w:val="0"/>
        <w:snapToGrid w:val="0"/>
        <w:spacing w:line="576" w:lineRule="exact"/>
        <w:ind w:firstLine="643" w:firstLineChars="200"/>
        <w:textAlignment w:val="auto"/>
        <w:rPr>
          <w:rFonts w:hint="default" w:ascii="Times New Roman" w:hAnsi="Times New Roman" w:eastAsia="楷体_GB2312" w:cs="Times New Roman"/>
          <w:b/>
          <w:sz w:val="32"/>
          <w:szCs w:val="32"/>
          <w:highlight w:val="none"/>
          <w:lang w:val="zh-CN"/>
        </w:rPr>
      </w:pPr>
      <w:r>
        <w:rPr>
          <w:rFonts w:hint="default" w:ascii="Times New Roman" w:hAnsi="Times New Roman" w:eastAsia="楷体_GB2312" w:cs="Times New Roman"/>
          <w:b/>
          <w:sz w:val="32"/>
          <w:szCs w:val="32"/>
          <w:highlight w:val="none"/>
          <w:lang w:val="zh-CN"/>
        </w:rPr>
        <w:t>（一）资金计划、到位及使用情况</w:t>
      </w:r>
    </w:p>
    <w:p>
      <w:pPr>
        <w:keepNext w:val="0"/>
        <w:keepLines w:val="0"/>
        <w:pageBreakBefore w:val="0"/>
        <w:widowControl w:val="0"/>
        <w:numPr>
          <w:ilvl w:val="0"/>
          <w:numId w:val="0"/>
        </w:numPr>
        <w:kinsoku/>
        <w:wordWrap/>
        <w:overflowPunct/>
        <w:topLinePunct w:val="0"/>
        <w:autoSpaceDE/>
        <w:autoSpaceDN/>
        <w:bidi w:val="0"/>
        <w:adjustRightInd w:val="0"/>
        <w:snapToGrid w:val="0"/>
        <w:spacing w:line="576" w:lineRule="exact"/>
        <w:ind w:firstLine="640" w:firstLineChars="200"/>
        <w:textAlignment w:val="auto"/>
        <w:rPr>
          <w:rFonts w:hint="default" w:ascii="Times New Roman" w:hAnsi="Times New Roman" w:eastAsia="仿宋_GB2312" w:cs="Times New Roman"/>
          <w:kern w:val="0"/>
          <w:sz w:val="32"/>
          <w:szCs w:val="32"/>
          <w:highlight w:val="none"/>
          <w:lang w:val="en-US" w:eastAsia="zh-CN" w:bidi="ar-SA"/>
        </w:rPr>
      </w:pPr>
      <w:r>
        <w:rPr>
          <w:rFonts w:hint="default" w:ascii="Times New Roman" w:hAnsi="Times New Roman" w:eastAsia="仿宋_GB2312" w:cs="Times New Roman"/>
          <w:kern w:val="0"/>
          <w:sz w:val="32"/>
          <w:szCs w:val="32"/>
          <w:highlight w:val="none"/>
          <w:lang w:val="zh-CN" w:eastAsia="zh-CN" w:bidi="ar-SA"/>
        </w:rPr>
        <w:t>1.资金计划及到位。</w:t>
      </w:r>
      <w:r>
        <w:rPr>
          <w:rFonts w:hint="eastAsia" w:ascii="Times New Roman" w:hAnsi="Times New Roman" w:eastAsia="仿宋_GB2312" w:cs="Times New Roman"/>
          <w:kern w:val="0"/>
          <w:sz w:val="32"/>
          <w:szCs w:val="32"/>
          <w:highlight w:val="none"/>
          <w:lang w:val="zh-CN" w:eastAsia="zh-CN" w:bidi="ar-SA"/>
        </w:rPr>
        <w:t>该项目年度追加预算</w:t>
      </w:r>
      <w:r>
        <w:rPr>
          <w:rFonts w:hint="eastAsia" w:ascii="Times New Roman" w:hAnsi="Times New Roman" w:eastAsia="仿宋_GB2312" w:cs="Times New Roman"/>
          <w:kern w:val="0"/>
          <w:sz w:val="32"/>
          <w:szCs w:val="32"/>
          <w:highlight w:val="none"/>
          <w:lang w:val="en-US" w:eastAsia="zh-CN" w:bidi="ar-SA"/>
        </w:rPr>
        <w:t>60万元，实际到位60万元（分两笔下达），到位率100%。</w:t>
      </w:r>
    </w:p>
    <w:p>
      <w:pPr>
        <w:keepNext w:val="0"/>
        <w:keepLines w:val="0"/>
        <w:pageBreakBefore w:val="0"/>
        <w:widowControl w:val="0"/>
        <w:numPr>
          <w:ilvl w:val="0"/>
          <w:numId w:val="0"/>
        </w:numPr>
        <w:kinsoku/>
        <w:wordWrap/>
        <w:overflowPunct/>
        <w:topLinePunct w:val="0"/>
        <w:autoSpaceDE/>
        <w:autoSpaceDN/>
        <w:bidi w:val="0"/>
        <w:adjustRightInd w:val="0"/>
        <w:snapToGrid w:val="0"/>
        <w:spacing w:line="576" w:lineRule="exact"/>
        <w:ind w:firstLine="640" w:firstLineChars="200"/>
        <w:textAlignment w:val="auto"/>
        <w:rPr>
          <w:rFonts w:hint="default" w:ascii="Times New Roman" w:hAnsi="Times New Roman" w:eastAsia="仿宋_GB2312" w:cs="Times New Roman"/>
          <w:kern w:val="0"/>
          <w:sz w:val="32"/>
          <w:szCs w:val="32"/>
          <w:highlight w:val="none"/>
          <w:lang w:val="en-US" w:eastAsia="zh-CN" w:bidi="ar-SA"/>
        </w:rPr>
      </w:pPr>
      <w:r>
        <w:rPr>
          <w:rFonts w:hint="default" w:ascii="Times New Roman" w:hAnsi="Times New Roman" w:eastAsia="仿宋_GB2312" w:cs="Times New Roman"/>
          <w:kern w:val="0"/>
          <w:sz w:val="32"/>
          <w:szCs w:val="32"/>
          <w:highlight w:val="none"/>
          <w:lang w:val="zh-CN" w:eastAsia="zh-CN" w:bidi="ar-SA"/>
        </w:rPr>
        <w:t>2.资金使用。</w:t>
      </w:r>
      <w:r>
        <w:rPr>
          <w:rFonts w:hint="eastAsia" w:ascii="Times New Roman" w:hAnsi="Times New Roman" w:eastAsia="仿宋_GB2312" w:cs="Times New Roman"/>
          <w:kern w:val="0"/>
          <w:sz w:val="32"/>
          <w:szCs w:val="32"/>
          <w:highlight w:val="none"/>
          <w:lang w:val="en-US" w:eastAsia="zh-CN" w:bidi="ar-SA"/>
        </w:rPr>
        <w:t>主要用于</w:t>
      </w:r>
      <w:r>
        <w:rPr>
          <w:rFonts w:hint="eastAsia" w:ascii="Times New Roman" w:hAnsi="Times New Roman" w:eastAsia="仿宋_GB2312" w:cs="Times New Roman"/>
          <w:kern w:val="0"/>
          <w:sz w:val="32"/>
          <w:szCs w:val="32"/>
          <w:highlight w:val="none"/>
          <w:lang w:val="zh-CN" w:eastAsia="zh-CN" w:bidi="ar-SA"/>
        </w:rPr>
        <w:t>开展</w:t>
      </w:r>
      <w:r>
        <w:rPr>
          <w:rFonts w:hint="eastAsia" w:ascii="Times New Roman" w:hAnsi="Times New Roman" w:eastAsia="仿宋_GB2312" w:cs="Times New Roman"/>
          <w:kern w:val="0"/>
          <w:sz w:val="32"/>
          <w:szCs w:val="32"/>
          <w:highlight w:val="none"/>
          <w:lang w:val="en-US" w:eastAsia="zh-CN" w:bidi="ar-SA"/>
        </w:rPr>
        <w:t>2021年公开引进高层次人才和招聘急需紧缺专业人才笔试、面试、宣传、考察、体检等环节发生的办公费、公务接待费、广告宣传费、印刷费、会议费、差旅费、其他交通费、劳务费、其他商品和服务支出，共计已支付60万元。</w:t>
      </w:r>
    </w:p>
    <w:p>
      <w:pPr>
        <w:keepNext w:val="0"/>
        <w:keepLines w:val="0"/>
        <w:pageBreakBefore w:val="0"/>
        <w:widowControl w:val="0"/>
        <w:kinsoku/>
        <w:wordWrap/>
        <w:overflowPunct/>
        <w:topLinePunct w:val="0"/>
        <w:autoSpaceDE/>
        <w:autoSpaceDN/>
        <w:bidi w:val="0"/>
        <w:adjustRightInd w:val="0"/>
        <w:snapToGrid w:val="0"/>
        <w:spacing w:line="576" w:lineRule="exact"/>
        <w:ind w:firstLine="643" w:firstLineChars="200"/>
        <w:textAlignment w:val="auto"/>
        <w:rPr>
          <w:rFonts w:hint="default" w:ascii="Times New Roman" w:hAnsi="Times New Roman" w:eastAsia="楷体_GB2312" w:cs="Times New Roman"/>
          <w:b/>
          <w:sz w:val="32"/>
          <w:szCs w:val="32"/>
          <w:highlight w:val="none"/>
          <w:lang w:val="zh-CN"/>
        </w:rPr>
      </w:pPr>
      <w:r>
        <w:rPr>
          <w:rFonts w:hint="default" w:ascii="Times New Roman" w:hAnsi="Times New Roman" w:eastAsia="楷体_GB2312" w:cs="Times New Roman"/>
          <w:b/>
          <w:sz w:val="32"/>
          <w:szCs w:val="32"/>
          <w:highlight w:val="none"/>
          <w:lang w:val="zh-CN"/>
        </w:rPr>
        <w:t>（二）项目财务管理情况</w:t>
      </w:r>
    </w:p>
    <w:p>
      <w:pPr>
        <w:keepNext w:val="0"/>
        <w:keepLines w:val="0"/>
        <w:pageBreakBefore w:val="0"/>
        <w:widowControl w:val="0"/>
        <w:numPr>
          <w:ilvl w:val="0"/>
          <w:numId w:val="0"/>
        </w:numPr>
        <w:kinsoku/>
        <w:wordWrap/>
        <w:overflowPunct/>
        <w:topLinePunct w:val="0"/>
        <w:autoSpaceDE/>
        <w:autoSpaceDN/>
        <w:bidi w:val="0"/>
        <w:adjustRightInd w:val="0"/>
        <w:snapToGrid w:val="0"/>
        <w:spacing w:line="576" w:lineRule="exact"/>
        <w:ind w:firstLine="640" w:firstLineChars="200"/>
        <w:textAlignment w:val="auto"/>
        <w:rPr>
          <w:rFonts w:hint="default" w:ascii="Times New Roman" w:hAnsi="Times New Roman" w:eastAsia="仿宋_GB2312" w:cs="Times New Roman"/>
          <w:kern w:val="0"/>
          <w:sz w:val="32"/>
          <w:szCs w:val="32"/>
          <w:highlight w:val="none"/>
          <w:lang w:val="en-US" w:eastAsia="zh-CN" w:bidi="ar-SA"/>
        </w:rPr>
      </w:pPr>
      <w:r>
        <w:rPr>
          <w:rFonts w:hint="eastAsia" w:ascii="Times New Roman" w:hAnsi="Times New Roman" w:eastAsia="仿宋_GB2312" w:cs="Times New Roman"/>
          <w:kern w:val="0"/>
          <w:sz w:val="32"/>
          <w:szCs w:val="32"/>
          <w:highlight w:val="none"/>
          <w:lang w:val="en-US" w:eastAsia="zh-CN" w:bidi="ar-SA"/>
        </w:rPr>
        <w:t>该项目通过报告请示，经区级领导同意，报财政局审批解决。项目资金的使用由局内事管股、人才交流中心、规划财务股按照职责分工进行财务管理。项目资金的会计核算和账务处理由事管股、人才交流中心提供相关资金资料，报</w:t>
      </w:r>
      <w:r>
        <w:rPr>
          <w:rFonts w:hint="eastAsia" w:eastAsia="仿宋_GB2312" w:cs="Times New Roman"/>
          <w:kern w:val="0"/>
          <w:sz w:val="32"/>
          <w:szCs w:val="32"/>
          <w:highlight w:val="none"/>
          <w:lang w:val="en-US" w:eastAsia="zh-CN" w:bidi="ar-SA"/>
        </w:rPr>
        <w:t>规划</w:t>
      </w:r>
      <w:r>
        <w:rPr>
          <w:rFonts w:hint="eastAsia" w:ascii="Times New Roman" w:hAnsi="Times New Roman" w:eastAsia="仿宋_GB2312" w:cs="Times New Roman"/>
          <w:kern w:val="0"/>
          <w:sz w:val="32"/>
          <w:szCs w:val="32"/>
          <w:highlight w:val="none"/>
          <w:lang w:val="en-US" w:eastAsia="zh-CN" w:bidi="ar-SA"/>
        </w:rPr>
        <w:t>财务股审核后按照会计处理法规进行账务处理。按照项目资金的管理办法，该项目资金严格执行财务管理制度，财务处理及时，会计核算规范。</w:t>
      </w:r>
    </w:p>
    <w:p>
      <w:pPr>
        <w:keepNext w:val="0"/>
        <w:keepLines w:val="0"/>
        <w:pageBreakBefore w:val="0"/>
        <w:widowControl w:val="0"/>
        <w:kinsoku/>
        <w:wordWrap/>
        <w:overflowPunct/>
        <w:topLinePunct w:val="0"/>
        <w:autoSpaceDE/>
        <w:autoSpaceDN/>
        <w:bidi w:val="0"/>
        <w:adjustRightInd w:val="0"/>
        <w:snapToGrid w:val="0"/>
        <w:spacing w:line="576" w:lineRule="exact"/>
        <w:ind w:firstLine="643" w:firstLineChars="200"/>
        <w:textAlignment w:val="auto"/>
        <w:rPr>
          <w:rFonts w:hint="default" w:ascii="Times New Roman" w:hAnsi="Times New Roman" w:eastAsia="楷体_GB2312" w:cs="Times New Roman"/>
          <w:b/>
          <w:sz w:val="32"/>
          <w:szCs w:val="32"/>
          <w:highlight w:val="none"/>
          <w:lang w:val="zh-CN"/>
        </w:rPr>
      </w:pPr>
      <w:r>
        <w:rPr>
          <w:rFonts w:hint="default" w:ascii="Times New Roman" w:hAnsi="Times New Roman" w:eastAsia="楷体_GB2312" w:cs="Times New Roman"/>
          <w:b/>
          <w:sz w:val="32"/>
          <w:szCs w:val="32"/>
          <w:highlight w:val="none"/>
          <w:lang w:val="zh-CN"/>
        </w:rPr>
        <w:t>（三）项目组织实施</w:t>
      </w:r>
      <w:r>
        <w:rPr>
          <w:rFonts w:hint="eastAsia" w:eastAsia="楷体_GB2312" w:cs="Times New Roman"/>
          <w:b/>
          <w:sz w:val="32"/>
          <w:szCs w:val="32"/>
          <w:highlight w:val="none"/>
          <w:lang w:val="zh-CN"/>
        </w:rPr>
        <w:t>及管理</w:t>
      </w:r>
      <w:r>
        <w:rPr>
          <w:rFonts w:hint="default" w:ascii="Times New Roman" w:hAnsi="Times New Roman" w:eastAsia="楷体_GB2312" w:cs="Times New Roman"/>
          <w:b/>
          <w:sz w:val="32"/>
          <w:szCs w:val="32"/>
          <w:highlight w:val="none"/>
          <w:lang w:val="zh-CN"/>
        </w:rPr>
        <w:t>情况</w:t>
      </w:r>
    </w:p>
    <w:p>
      <w:pPr>
        <w:keepNext w:val="0"/>
        <w:keepLines w:val="0"/>
        <w:pageBreakBefore w:val="0"/>
        <w:widowControl w:val="0"/>
        <w:numPr>
          <w:ilvl w:val="0"/>
          <w:numId w:val="0"/>
        </w:numPr>
        <w:kinsoku/>
        <w:wordWrap/>
        <w:overflowPunct/>
        <w:topLinePunct w:val="0"/>
        <w:autoSpaceDE/>
        <w:autoSpaceDN/>
        <w:bidi w:val="0"/>
        <w:adjustRightInd w:val="0"/>
        <w:snapToGrid w:val="0"/>
        <w:spacing w:line="576" w:lineRule="exact"/>
        <w:ind w:firstLine="640" w:firstLineChars="200"/>
        <w:textAlignment w:val="auto"/>
        <w:rPr>
          <w:rFonts w:hint="eastAsia" w:ascii="Times New Roman" w:hAnsi="Times New Roman" w:eastAsia="仿宋_GB2312" w:cs="Times New Roman"/>
          <w:kern w:val="0"/>
          <w:sz w:val="32"/>
          <w:szCs w:val="32"/>
          <w:highlight w:val="none"/>
          <w:lang w:val="en-US" w:eastAsia="zh-CN" w:bidi="ar-SA"/>
        </w:rPr>
      </w:pPr>
      <w:r>
        <w:rPr>
          <w:rFonts w:hint="eastAsia" w:ascii="Times New Roman" w:hAnsi="Times New Roman" w:eastAsia="仿宋_GB2312" w:cs="Times New Roman"/>
          <w:kern w:val="0"/>
          <w:sz w:val="32"/>
          <w:szCs w:val="32"/>
          <w:highlight w:val="none"/>
          <w:lang w:val="en-US" w:eastAsia="zh-CN" w:bidi="ar-SA"/>
        </w:rPr>
        <w:t>该项目组织框架主要包括局内事管股、人才交流中心和规划财务股组成。规划财务股对项目支出的执行过程和完成结果进行监督、检查，并开展内审对项目支出进行重点审查。对违反有关法律、行政法规和财务规章制度的，依法进行处理，并通告处理结果。</w:t>
      </w:r>
    </w:p>
    <w:p>
      <w:pPr>
        <w:keepNext w:val="0"/>
        <w:keepLines w:val="0"/>
        <w:pageBreakBefore w:val="0"/>
        <w:widowControl w:val="0"/>
        <w:kinsoku/>
        <w:wordWrap/>
        <w:overflowPunct/>
        <w:topLinePunct w:val="0"/>
        <w:autoSpaceDE/>
        <w:autoSpaceDN/>
        <w:bidi w:val="0"/>
        <w:adjustRightInd w:val="0"/>
        <w:snapToGrid w:val="0"/>
        <w:spacing w:line="576" w:lineRule="exact"/>
        <w:ind w:firstLine="640" w:firstLineChars="200"/>
        <w:textAlignment w:val="auto"/>
        <w:rPr>
          <w:rFonts w:hint="default" w:ascii="Times New Roman" w:hAnsi="Times New Roman" w:cs="Times New Roman"/>
          <w:sz w:val="32"/>
          <w:szCs w:val="32"/>
          <w:highlight w:val="none"/>
          <w:lang w:val="zh-CN"/>
        </w:rPr>
      </w:pPr>
      <w:r>
        <w:rPr>
          <w:rFonts w:hint="default" w:ascii="Times New Roman" w:hAnsi="Times New Roman" w:eastAsia="黑体" w:cs="Times New Roman"/>
          <w:sz w:val="32"/>
          <w:szCs w:val="32"/>
          <w:highlight w:val="none"/>
        </w:rPr>
        <w:t>三、项目绩效情况</w:t>
      </w:r>
      <w:r>
        <w:rPr>
          <w:rFonts w:hint="default" w:ascii="Times New Roman" w:hAnsi="Times New Roman" w:cs="Times New Roman"/>
          <w:sz w:val="32"/>
          <w:szCs w:val="32"/>
          <w:highlight w:val="none"/>
          <w:lang w:val="zh-CN"/>
        </w:rPr>
        <w:tab/>
      </w:r>
    </w:p>
    <w:p>
      <w:pPr>
        <w:pStyle w:val="6"/>
        <w:spacing w:before="108" w:after="15"/>
        <w:ind w:left="871"/>
        <w:rPr>
          <w:highlight w:val="none"/>
        </w:rPr>
      </w:pPr>
      <w:r>
        <w:rPr>
          <w:highlight w:val="none"/>
        </w:rPr>
        <w:t>该项目绩效目标完成情况见下表：</w:t>
      </w:r>
    </w:p>
    <w:tbl>
      <w:tblPr>
        <w:tblStyle w:val="16"/>
        <w:tblW w:w="8639"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936"/>
        <w:gridCol w:w="713"/>
        <w:gridCol w:w="963"/>
        <w:gridCol w:w="940"/>
        <w:gridCol w:w="1082"/>
        <w:gridCol w:w="1489"/>
        <w:gridCol w:w="1381"/>
        <w:gridCol w:w="113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7" w:hRule="atLeast"/>
        </w:trPr>
        <w:tc>
          <w:tcPr>
            <w:tcW w:w="160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项目（政策）名称</w:t>
            </w:r>
          </w:p>
        </w:tc>
        <w:tc>
          <w:tcPr>
            <w:tcW w:w="7031"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公开引进高层次人才和招聘急需紧缺专业人才工作经费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1" w:hRule="atLeast"/>
        </w:trPr>
        <w:tc>
          <w:tcPr>
            <w:tcW w:w="160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主管部门</w:t>
            </w:r>
          </w:p>
        </w:tc>
        <w:tc>
          <w:tcPr>
            <w:tcW w:w="300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广元市昭化区人力资源和社会保障局</w:t>
            </w:r>
          </w:p>
        </w:tc>
        <w:tc>
          <w:tcPr>
            <w:tcW w:w="1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实施单位</w:t>
            </w:r>
          </w:p>
        </w:tc>
        <w:tc>
          <w:tcPr>
            <w:tcW w:w="252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广元市昭化区人力资源和社会保障局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1608" w:type="dxa"/>
            <w:gridSpan w:val="2"/>
            <w:vMerge w:val="restart"/>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项目（政策）资金（万元）</w:t>
            </w:r>
          </w:p>
        </w:tc>
        <w:tc>
          <w:tcPr>
            <w:tcW w:w="1917" w:type="dxa"/>
            <w:gridSpan w:val="2"/>
            <w:tcBorders>
              <w:top w:val="nil"/>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090"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年初预算数</w:t>
            </w:r>
          </w:p>
        </w:tc>
        <w:tc>
          <w:tcPr>
            <w:tcW w:w="1496"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全年预算数</w:t>
            </w:r>
          </w:p>
        </w:tc>
        <w:tc>
          <w:tcPr>
            <w:tcW w:w="1389"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全年执行数</w:t>
            </w:r>
          </w:p>
        </w:tc>
        <w:tc>
          <w:tcPr>
            <w:tcW w:w="11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执行率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1608" w:type="dxa"/>
            <w:gridSpan w:val="2"/>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91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年度资金总额</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60</w:t>
            </w:r>
          </w:p>
        </w:tc>
        <w:tc>
          <w:tcPr>
            <w:tcW w:w="1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60</w:t>
            </w:r>
          </w:p>
        </w:tc>
        <w:tc>
          <w:tcPr>
            <w:tcW w:w="13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60</w:t>
            </w:r>
          </w:p>
        </w:tc>
        <w:tc>
          <w:tcPr>
            <w:tcW w:w="1139"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1608" w:type="dxa"/>
            <w:gridSpan w:val="2"/>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91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（一）财政拨款小计</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60</w:t>
            </w:r>
          </w:p>
        </w:tc>
        <w:tc>
          <w:tcPr>
            <w:tcW w:w="1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60</w:t>
            </w:r>
          </w:p>
        </w:tc>
        <w:tc>
          <w:tcPr>
            <w:tcW w:w="13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60</w:t>
            </w:r>
          </w:p>
        </w:tc>
        <w:tc>
          <w:tcPr>
            <w:tcW w:w="1139"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1608" w:type="dxa"/>
            <w:gridSpan w:val="2"/>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91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   1.一般公共预算</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60</w:t>
            </w:r>
          </w:p>
        </w:tc>
        <w:tc>
          <w:tcPr>
            <w:tcW w:w="1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60</w:t>
            </w:r>
          </w:p>
        </w:tc>
        <w:tc>
          <w:tcPr>
            <w:tcW w:w="13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60</w:t>
            </w:r>
          </w:p>
        </w:tc>
        <w:tc>
          <w:tcPr>
            <w:tcW w:w="1139"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1608" w:type="dxa"/>
            <w:gridSpan w:val="2"/>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91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   2.政府性基金</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8"/>
                <w:szCs w:val="18"/>
                <w:u w:val="none"/>
              </w:rPr>
            </w:pPr>
          </w:p>
        </w:tc>
        <w:tc>
          <w:tcPr>
            <w:tcW w:w="149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38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13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1" w:hRule="atLeast"/>
        </w:trPr>
        <w:tc>
          <w:tcPr>
            <w:tcW w:w="1608" w:type="dxa"/>
            <w:gridSpan w:val="2"/>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91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  3.国有资本经营预算</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8"/>
                <w:szCs w:val="18"/>
                <w:u w:val="none"/>
              </w:rPr>
            </w:pPr>
          </w:p>
        </w:tc>
        <w:tc>
          <w:tcPr>
            <w:tcW w:w="149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38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13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1608" w:type="dxa"/>
            <w:gridSpan w:val="2"/>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91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  4.社保基金</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8"/>
                <w:szCs w:val="18"/>
                <w:u w:val="none"/>
              </w:rPr>
            </w:pPr>
          </w:p>
        </w:tc>
        <w:tc>
          <w:tcPr>
            <w:tcW w:w="149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38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13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1608" w:type="dxa"/>
            <w:gridSpan w:val="2"/>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91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（二）其他资金</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18"/>
                <w:szCs w:val="18"/>
                <w:u w:val="none"/>
              </w:rPr>
            </w:pPr>
          </w:p>
        </w:tc>
        <w:tc>
          <w:tcPr>
            <w:tcW w:w="149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38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13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5" w:hRule="atLeast"/>
        </w:trPr>
        <w:tc>
          <w:tcPr>
            <w:tcW w:w="89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年度总体目标</w:t>
            </w:r>
          </w:p>
        </w:tc>
        <w:tc>
          <w:tcPr>
            <w:tcW w:w="372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预期目标</w:t>
            </w:r>
          </w:p>
        </w:tc>
        <w:tc>
          <w:tcPr>
            <w:tcW w:w="402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完成情况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8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372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解决公开引进高层次人才和招聘急需专业人才工作经费。</w:t>
            </w:r>
          </w:p>
        </w:tc>
        <w:tc>
          <w:tcPr>
            <w:tcW w:w="402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解决2021年公开引进高层次人才和招聘急需专业人才工作经费。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2"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绩效指标</w:t>
            </w:r>
          </w:p>
        </w:tc>
        <w:tc>
          <w:tcPr>
            <w:tcW w:w="7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一级指标</w:t>
            </w: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二级指标</w:t>
            </w:r>
          </w:p>
        </w:tc>
        <w:tc>
          <w:tcPr>
            <w:tcW w:w="204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三级指标</w:t>
            </w:r>
          </w:p>
        </w:tc>
        <w:tc>
          <w:tcPr>
            <w:tcW w:w="1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年度指标值</w:t>
            </w:r>
          </w:p>
        </w:tc>
        <w:tc>
          <w:tcPr>
            <w:tcW w:w="13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实际完成值</w:t>
            </w:r>
          </w:p>
        </w:tc>
        <w:tc>
          <w:tcPr>
            <w:tcW w:w="11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偏差原因分析及改进措施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1"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c>
          <w:tcPr>
            <w:tcW w:w="71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产出指标</w:t>
            </w:r>
          </w:p>
        </w:tc>
        <w:tc>
          <w:tcPr>
            <w:tcW w:w="967"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数量指标</w:t>
            </w:r>
          </w:p>
        </w:tc>
        <w:tc>
          <w:tcPr>
            <w:tcW w:w="204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引进和招聘人才数量（人）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92人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92人</w:t>
            </w:r>
          </w:p>
        </w:tc>
        <w:tc>
          <w:tcPr>
            <w:tcW w:w="113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1"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c>
          <w:tcPr>
            <w:tcW w:w="7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967"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质量指标</w:t>
            </w:r>
          </w:p>
        </w:tc>
        <w:tc>
          <w:tcPr>
            <w:tcW w:w="204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引进人才到岗率（%）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90%</w:t>
            </w:r>
          </w:p>
        </w:tc>
        <w:tc>
          <w:tcPr>
            <w:tcW w:w="11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存在中途放弃人员</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1"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c>
          <w:tcPr>
            <w:tcW w:w="7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时效指标</w:t>
            </w:r>
          </w:p>
        </w:tc>
        <w:tc>
          <w:tcPr>
            <w:tcW w:w="204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兑现工作经费及时率（%）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85%</w:t>
            </w:r>
          </w:p>
        </w:tc>
        <w:tc>
          <w:tcPr>
            <w:tcW w:w="11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资金分两笔下达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2"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c>
          <w:tcPr>
            <w:tcW w:w="7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成本指标</w:t>
            </w:r>
          </w:p>
        </w:tc>
        <w:tc>
          <w:tcPr>
            <w:tcW w:w="204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公开引进高层次人才和招聘急需专业人才工作经费（万元）</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≦60万元</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60万元</w:t>
            </w:r>
          </w:p>
        </w:tc>
        <w:tc>
          <w:tcPr>
            <w:tcW w:w="113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1"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c>
          <w:tcPr>
            <w:tcW w:w="718" w:type="dxa"/>
            <w:vMerge w:val="restart"/>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效益指标</w:t>
            </w:r>
          </w:p>
        </w:tc>
        <w:tc>
          <w:tcPr>
            <w:tcW w:w="967"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社会效益</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指标</w:t>
            </w:r>
          </w:p>
        </w:tc>
        <w:tc>
          <w:tcPr>
            <w:tcW w:w="204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扩充人才队伍</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高中低</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高</w:t>
            </w:r>
          </w:p>
        </w:tc>
        <w:tc>
          <w:tcPr>
            <w:tcW w:w="113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c>
          <w:tcPr>
            <w:tcW w:w="718"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可持续影响指标</w:t>
            </w:r>
          </w:p>
        </w:tc>
        <w:tc>
          <w:tcPr>
            <w:tcW w:w="204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传播惜才、爱才精神</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高中低</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高</w:t>
            </w:r>
          </w:p>
        </w:tc>
        <w:tc>
          <w:tcPr>
            <w:tcW w:w="113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1"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c>
          <w:tcPr>
            <w:tcW w:w="718"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经济效益指标</w:t>
            </w:r>
          </w:p>
        </w:tc>
        <w:tc>
          <w:tcPr>
            <w:tcW w:w="204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推动经济社会发展</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高中低</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高</w:t>
            </w:r>
          </w:p>
        </w:tc>
        <w:tc>
          <w:tcPr>
            <w:tcW w:w="113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1"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c>
          <w:tcPr>
            <w:tcW w:w="718" w:type="dxa"/>
            <w:vMerge w:val="restart"/>
            <w:tcBorders>
              <w:top w:val="nil"/>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满意度</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指标</w:t>
            </w: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服务对象满意度指标</w:t>
            </w:r>
          </w:p>
        </w:tc>
        <w:tc>
          <w:tcPr>
            <w:tcW w:w="204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服务对象满意度（%）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95%</w:t>
            </w:r>
          </w:p>
        </w:tc>
        <w:tc>
          <w:tcPr>
            <w:tcW w:w="113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2"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c>
          <w:tcPr>
            <w:tcW w:w="718" w:type="dxa"/>
            <w:vMerge w:val="continue"/>
            <w:tcBorders>
              <w:top w:val="nil"/>
              <w:left w:val="single" w:color="000000" w:sz="4" w:space="0"/>
              <w:bottom w:val="nil"/>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服务对象满意度指标</w:t>
            </w:r>
          </w:p>
        </w:tc>
        <w:tc>
          <w:tcPr>
            <w:tcW w:w="204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政府满意度（%）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95%</w:t>
            </w:r>
          </w:p>
        </w:tc>
        <w:tc>
          <w:tcPr>
            <w:tcW w:w="113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9" w:hRule="atLeast"/>
        </w:trPr>
        <w:tc>
          <w:tcPr>
            <w:tcW w:w="0" w:type="auto"/>
            <w:gridSpan w:val="7"/>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总分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96</w:t>
            </w:r>
          </w:p>
        </w:tc>
      </w:tr>
    </w:tbl>
    <w:p>
      <w:pPr>
        <w:keepNext w:val="0"/>
        <w:keepLines w:val="0"/>
        <w:pageBreakBefore w:val="0"/>
        <w:widowControl w:val="0"/>
        <w:kinsoku/>
        <w:wordWrap/>
        <w:overflowPunct/>
        <w:topLinePunct w:val="0"/>
        <w:autoSpaceDE/>
        <w:autoSpaceDN/>
        <w:bidi w:val="0"/>
        <w:adjustRightInd w:val="0"/>
        <w:snapToGrid w:val="0"/>
        <w:spacing w:line="576" w:lineRule="exact"/>
        <w:textAlignment w:val="auto"/>
        <w:rPr>
          <w:rFonts w:hint="default" w:ascii="Times New Roman" w:hAnsi="Times New Roman" w:eastAsia="黑体" w:cs="Times New Roman"/>
          <w:sz w:val="32"/>
          <w:szCs w:val="32"/>
          <w:highlight w:val="none"/>
        </w:rPr>
      </w:pPr>
    </w:p>
    <w:p>
      <w:pPr>
        <w:keepNext w:val="0"/>
        <w:keepLines w:val="0"/>
        <w:pageBreakBefore w:val="0"/>
        <w:widowControl w:val="0"/>
        <w:kinsoku/>
        <w:wordWrap/>
        <w:overflowPunct/>
        <w:topLinePunct w:val="0"/>
        <w:autoSpaceDE/>
        <w:autoSpaceDN/>
        <w:bidi w:val="0"/>
        <w:adjustRightInd w:val="0"/>
        <w:snapToGrid w:val="0"/>
        <w:spacing w:line="576" w:lineRule="exact"/>
        <w:ind w:firstLine="640" w:firstLineChars="200"/>
        <w:textAlignment w:val="auto"/>
        <w:rPr>
          <w:rFonts w:hint="default" w:ascii="Times New Roman" w:hAnsi="Times New Roman" w:eastAsia="黑体" w:cs="Times New Roman"/>
          <w:sz w:val="32"/>
          <w:szCs w:val="32"/>
          <w:highlight w:val="none"/>
        </w:rPr>
      </w:pPr>
      <w:r>
        <w:rPr>
          <w:rFonts w:hint="default" w:ascii="Times New Roman" w:hAnsi="Times New Roman" w:eastAsia="黑体" w:cs="Times New Roman"/>
          <w:sz w:val="32"/>
          <w:szCs w:val="32"/>
          <w:highlight w:val="none"/>
        </w:rPr>
        <w:t>四、</w:t>
      </w:r>
      <w:r>
        <w:rPr>
          <w:rFonts w:hint="eastAsia" w:eastAsia="黑体" w:cs="Times New Roman"/>
          <w:sz w:val="32"/>
          <w:szCs w:val="32"/>
          <w:highlight w:val="none"/>
          <w:lang w:eastAsia="zh-CN"/>
        </w:rPr>
        <w:t>自评结论及</w:t>
      </w:r>
      <w:r>
        <w:rPr>
          <w:rFonts w:hint="default" w:ascii="Times New Roman" w:hAnsi="Times New Roman" w:eastAsia="黑体" w:cs="Times New Roman"/>
          <w:sz w:val="32"/>
          <w:szCs w:val="32"/>
          <w:highlight w:val="none"/>
        </w:rPr>
        <w:t>建议</w:t>
      </w:r>
    </w:p>
    <w:p>
      <w:pPr>
        <w:keepNext w:val="0"/>
        <w:keepLines w:val="0"/>
        <w:pageBreakBefore w:val="0"/>
        <w:widowControl w:val="0"/>
        <w:kinsoku/>
        <w:wordWrap/>
        <w:overflowPunct/>
        <w:topLinePunct w:val="0"/>
        <w:autoSpaceDE/>
        <w:autoSpaceDN/>
        <w:bidi w:val="0"/>
        <w:adjustRightInd w:val="0"/>
        <w:snapToGrid w:val="0"/>
        <w:spacing w:line="576" w:lineRule="exact"/>
        <w:ind w:firstLine="643" w:firstLineChars="200"/>
        <w:textAlignment w:val="auto"/>
        <w:rPr>
          <w:rFonts w:hint="eastAsia" w:ascii="Times New Roman" w:hAnsi="Times New Roman" w:eastAsia="楷体_GB2312" w:cs="Times New Roman"/>
          <w:b/>
          <w:sz w:val="32"/>
          <w:szCs w:val="32"/>
          <w:highlight w:val="none"/>
          <w:lang w:val="zh-CN" w:eastAsia="zh-CN"/>
        </w:rPr>
      </w:pPr>
      <w:r>
        <w:rPr>
          <w:rFonts w:hint="eastAsia" w:ascii="Times New Roman" w:hAnsi="Times New Roman" w:eastAsia="楷体_GB2312" w:cs="Times New Roman"/>
          <w:b/>
          <w:sz w:val="32"/>
          <w:szCs w:val="32"/>
          <w:highlight w:val="none"/>
          <w:lang w:val="zh-CN" w:eastAsia="zh-CN"/>
        </w:rPr>
        <w:t>（一）评价结论。</w:t>
      </w:r>
    </w:p>
    <w:p>
      <w:pPr>
        <w:keepNext w:val="0"/>
        <w:keepLines w:val="0"/>
        <w:pageBreakBefore w:val="0"/>
        <w:widowControl w:val="0"/>
        <w:numPr>
          <w:ilvl w:val="0"/>
          <w:numId w:val="0"/>
        </w:numPr>
        <w:kinsoku/>
        <w:wordWrap/>
        <w:overflowPunct/>
        <w:topLinePunct w:val="0"/>
        <w:autoSpaceDE/>
        <w:autoSpaceDN/>
        <w:bidi w:val="0"/>
        <w:adjustRightInd w:val="0"/>
        <w:snapToGrid w:val="0"/>
        <w:spacing w:line="576" w:lineRule="exact"/>
        <w:ind w:firstLine="640" w:firstLineChars="200"/>
        <w:textAlignment w:val="auto"/>
        <w:rPr>
          <w:rFonts w:hint="default" w:ascii="Times New Roman" w:hAnsi="Times New Roman" w:eastAsia="仿宋_GB2312" w:cs="Times New Roman"/>
          <w:kern w:val="0"/>
          <w:sz w:val="32"/>
          <w:szCs w:val="32"/>
          <w:highlight w:val="none"/>
          <w:lang w:val="zh-CN" w:eastAsia="zh-CN" w:bidi="ar-SA"/>
        </w:rPr>
      </w:pPr>
      <w:r>
        <w:rPr>
          <w:rFonts w:hint="eastAsia" w:ascii="Times New Roman" w:hAnsi="Times New Roman" w:eastAsia="仿宋_GB2312" w:cs="Times New Roman"/>
          <w:kern w:val="0"/>
          <w:sz w:val="32"/>
          <w:szCs w:val="32"/>
          <w:highlight w:val="none"/>
          <w:lang w:val="zh-CN" w:eastAsia="zh-CN" w:bidi="ar-SA"/>
        </w:rPr>
        <w:t>我局在该项目实施过程中，建立健全相关制度、机制，严格执行，推进各专项工作的落实。项目资金管理实行专项管理，严格审批制度，真正做到了专款专用，确保项目资金有效的利用。总体来说项目审核严格，管理到位，社会效果良好</w:t>
      </w:r>
      <w:r>
        <w:rPr>
          <w:rFonts w:hint="eastAsia" w:ascii="Times New Roman" w:hAnsi="Times New Roman" w:eastAsia="仿宋_GB2312" w:cs="Times New Roman"/>
          <w:kern w:val="0"/>
          <w:sz w:val="32"/>
          <w:szCs w:val="32"/>
          <w:highlight w:val="none"/>
          <w:lang w:val="en-US" w:eastAsia="zh-CN" w:bidi="ar-SA"/>
        </w:rPr>
        <w:t>,</w:t>
      </w:r>
      <w:r>
        <w:rPr>
          <w:rFonts w:hint="eastAsia" w:ascii="Times New Roman" w:hAnsi="Times New Roman" w:eastAsia="仿宋_GB2312" w:cs="Times New Roman"/>
          <w:kern w:val="0"/>
          <w:sz w:val="32"/>
          <w:szCs w:val="32"/>
          <w:highlight w:val="none"/>
          <w:lang w:val="zh-CN" w:eastAsia="zh-CN" w:bidi="ar-SA"/>
        </w:rPr>
        <w:t>自评得分情况如下：</w:t>
      </w:r>
    </w:p>
    <w:tbl>
      <w:tblPr>
        <w:tblStyle w:val="16"/>
        <w:tblW w:w="9236"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560"/>
        <w:gridCol w:w="1612"/>
        <w:gridCol w:w="1395"/>
        <w:gridCol w:w="1782"/>
        <w:gridCol w:w="415"/>
        <w:gridCol w:w="1325"/>
        <w:gridCol w:w="419"/>
        <w:gridCol w:w="871"/>
        <w:gridCol w:w="472"/>
        <w:gridCol w:w="38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9" w:hRule="atLeast"/>
        </w:trPr>
        <w:tc>
          <w:tcPr>
            <w:tcW w:w="56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预算执行情况（10分）</w:t>
            </w:r>
          </w:p>
        </w:tc>
        <w:tc>
          <w:tcPr>
            <w:tcW w:w="16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年度预算数（万元）</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年初预算</w:t>
            </w:r>
          </w:p>
        </w:tc>
        <w:tc>
          <w:tcPr>
            <w:tcW w:w="17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调整后预算数</w:t>
            </w:r>
          </w:p>
        </w:tc>
        <w:tc>
          <w:tcPr>
            <w:tcW w:w="215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预算执行数</w:t>
            </w:r>
          </w:p>
        </w:tc>
        <w:tc>
          <w:tcPr>
            <w:tcW w:w="8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预算执行率</w:t>
            </w:r>
          </w:p>
        </w:tc>
        <w:tc>
          <w:tcPr>
            <w:tcW w:w="4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权重</w:t>
            </w:r>
          </w:p>
        </w:tc>
        <w:tc>
          <w:tcPr>
            <w:tcW w:w="3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得分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3" w:hRule="atLeast"/>
        </w:trPr>
        <w:tc>
          <w:tcPr>
            <w:tcW w:w="5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6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总额</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0.00</w:t>
            </w:r>
          </w:p>
        </w:tc>
        <w:tc>
          <w:tcPr>
            <w:tcW w:w="17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60.00</w:t>
            </w:r>
          </w:p>
        </w:tc>
        <w:tc>
          <w:tcPr>
            <w:tcW w:w="215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60.00</w:t>
            </w:r>
          </w:p>
        </w:tc>
        <w:tc>
          <w:tcPr>
            <w:tcW w:w="8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100.00%</w:t>
            </w:r>
          </w:p>
        </w:tc>
        <w:tc>
          <w:tcPr>
            <w:tcW w:w="4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10</w:t>
            </w:r>
          </w:p>
        </w:tc>
        <w:tc>
          <w:tcPr>
            <w:tcW w:w="38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6" w:hRule="atLeast"/>
        </w:trPr>
        <w:tc>
          <w:tcPr>
            <w:tcW w:w="5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6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其中：财政资金</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0.00</w:t>
            </w:r>
          </w:p>
        </w:tc>
        <w:tc>
          <w:tcPr>
            <w:tcW w:w="17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60.00</w:t>
            </w:r>
          </w:p>
        </w:tc>
        <w:tc>
          <w:tcPr>
            <w:tcW w:w="215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60.00</w:t>
            </w:r>
          </w:p>
        </w:tc>
        <w:tc>
          <w:tcPr>
            <w:tcW w:w="8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100.00%</w:t>
            </w:r>
          </w:p>
        </w:tc>
        <w:tc>
          <w:tcPr>
            <w:tcW w:w="4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w:t>
            </w:r>
          </w:p>
        </w:tc>
        <w:tc>
          <w:tcPr>
            <w:tcW w:w="3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8" w:hRule="atLeast"/>
        </w:trPr>
        <w:tc>
          <w:tcPr>
            <w:tcW w:w="5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6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财政专户管理资金</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0.00</w:t>
            </w:r>
          </w:p>
        </w:tc>
        <w:tc>
          <w:tcPr>
            <w:tcW w:w="17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0.00</w:t>
            </w:r>
          </w:p>
        </w:tc>
        <w:tc>
          <w:tcPr>
            <w:tcW w:w="215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0.00</w:t>
            </w:r>
          </w:p>
        </w:tc>
        <w:tc>
          <w:tcPr>
            <w:tcW w:w="8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0.00%</w:t>
            </w:r>
          </w:p>
        </w:tc>
        <w:tc>
          <w:tcPr>
            <w:tcW w:w="4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w:t>
            </w:r>
          </w:p>
        </w:tc>
        <w:tc>
          <w:tcPr>
            <w:tcW w:w="3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4" w:hRule="atLeast"/>
        </w:trPr>
        <w:tc>
          <w:tcPr>
            <w:tcW w:w="5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6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单位资金</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0.00</w:t>
            </w:r>
          </w:p>
        </w:tc>
        <w:tc>
          <w:tcPr>
            <w:tcW w:w="17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0.00</w:t>
            </w:r>
          </w:p>
        </w:tc>
        <w:tc>
          <w:tcPr>
            <w:tcW w:w="215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0.00</w:t>
            </w:r>
          </w:p>
        </w:tc>
        <w:tc>
          <w:tcPr>
            <w:tcW w:w="8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0.00%</w:t>
            </w:r>
          </w:p>
        </w:tc>
        <w:tc>
          <w:tcPr>
            <w:tcW w:w="4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w:t>
            </w:r>
          </w:p>
        </w:tc>
        <w:tc>
          <w:tcPr>
            <w:tcW w:w="3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0" w:hRule="atLeast"/>
        </w:trPr>
        <w:tc>
          <w:tcPr>
            <w:tcW w:w="5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6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其他资金</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5"/>
                <w:szCs w:val="15"/>
                <w:u w:val="none"/>
              </w:rPr>
            </w:pPr>
          </w:p>
        </w:tc>
        <w:tc>
          <w:tcPr>
            <w:tcW w:w="17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5"/>
                <w:szCs w:val="15"/>
                <w:u w:val="none"/>
              </w:rPr>
            </w:pPr>
          </w:p>
        </w:tc>
        <w:tc>
          <w:tcPr>
            <w:tcW w:w="215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5"/>
                <w:szCs w:val="15"/>
                <w:u w:val="none"/>
              </w:rPr>
            </w:pPr>
          </w:p>
        </w:tc>
        <w:tc>
          <w:tcPr>
            <w:tcW w:w="87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5"/>
                <w:szCs w:val="15"/>
                <w:u w:val="none"/>
              </w:rPr>
            </w:pPr>
          </w:p>
        </w:tc>
        <w:tc>
          <w:tcPr>
            <w:tcW w:w="4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w:t>
            </w:r>
          </w:p>
        </w:tc>
        <w:tc>
          <w:tcPr>
            <w:tcW w:w="3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8" w:hRule="atLeast"/>
        </w:trPr>
        <w:tc>
          <w:tcPr>
            <w:tcW w:w="56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绩效指标（90分）</w:t>
            </w:r>
          </w:p>
        </w:tc>
        <w:tc>
          <w:tcPr>
            <w:tcW w:w="16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一级指标</w:t>
            </w:r>
          </w:p>
        </w:tc>
        <w:tc>
          <w:tcPr>
            <w:tcW w:w="1395"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二级指标</w:t>
            </w:r>
          </w:p>
        </w:tc>
        <w:tc>
          <w:tcPr>
            <w:tcW w:w="1782"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三级指标</w:t>
            </w:r>
          </w:p>
        </w:tc>
        <w:tc>
          <w:tcPr>
            <w:tcW w:w="415"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指标性质</w:t>
            </w:r>
          </w:p>
        </w:tc>
        <w:tc>
          <w:tcPr>
            <w:tcW w:w="1325"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指标值</w:t>
            </w:r>
          </w:p>
        </w:tc>
        <w:tc>
          <w:tcPr>
            <w:tcW w:w="419"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度量单位</w:t>
            </w:r>
          </w:p>
        </w:tc>
        <w:tc>
          <w:tcPr>
            <w:tcW w:w="871"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完成值</w:t>
            </w:r>
          </w:p>
        </w:tc>
        <w:tc>
          <w:tcPr>
            <w:tcW w:w="4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权重</w:t>
            </w:r>
          </w:p>
        </w:tc>
        <w:tc>
          <w:tcPr>
            <w:tcW w:w="3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得分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9" w:hRule="atLeast"/>
        </w:trPr>
        <w:tc>
          <w:tcPr>
            <w:tcW w:w="5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61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产出指标</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数量指标</w:t>
            </w:r>
          </w:p>
        </w:tc>
        <w:tc>
          <w:tcPr>
            <w:tcW w:w="17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引进和招聘人才数量（人）</w:t>
            </w:r>
          </w:p>
        </w:tc>
        <w:tc>
          <w:tcPr>
            <w:tcW w:w="4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92</w:t>
            </w:r>
          </w:p>
        </w:tc>
        <w:tc>
          <w:tcPr>
            <w:tcW w:w="4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92人</w:t>
            </w:r>
          </w:p>
        </w:tc>
        <w:tc>
          <w:tcPr>
            <w:tcW w:w="472"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10</w:t>
            </w:r>
          </w:p>
        </w:tc>
        <w:tc>
          <w:tcPr>
            <w:tcW w:w="3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1" w:hRule="atLeast"/>
        </w:trPr>
        <w:tc>
          <w:tcPr>
            <w:tcW w:w="5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6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质量指标</w:t>
            </w:r>
          </w:p>
        </w:tc>
        <w:tc>
          <w:tcPr>
            <w:tcW w:w="17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引进人才到岗率（%）</w:t>
            </w:r>
          </w:p>
        </w:tc>
        <w:tc>
          <w:tcPr>
            <w:tcW w:w="4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95</w:t>
            </w:r>
          </w:p>
        </w:tc>
        <w:tc>
          <w:tcPr>
            <w:tcW w:w="4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90%</w:t>
            </w:r>
          </w:p>
        </w:tc>
        <w:tc>
          <w:tcPr>
            <w:tcW w:w="472"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10</w:t>
            </w:r>
          </w:p>
        </w:tc>
        <w:tc>
          <w:tcPr>
            <w:tcW w:w="3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9" w:hRule="atLeast"/>
        </w:trPr>
        <w:tc>
          <w:tcPr>
            <w:tcW w:w="5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6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时效指标</w:t>
            </w:r>
          </w:p>
        </w:tc>
        <w:tc>
          <w:tcPr>
            <w:tcW w:w="17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兑现工作经费及时率（%）</w:t>
            </w:r>
          </w:p>
        </w:tc>
        <w:tc>
          <w:tcPr>
            <w:tcW w:w="4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90</w:t>
            </w:r>
          </w:p>
        </w:tc>
        <w:tc>
          <w:tcPr>
            <w:tcW w:w="4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85%</w:t>
            </w:r>
          </w:p>
        </w:tc>
        <w:tc>
          <w:tcPr>
            <w:tcW w:w="472"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10</w:t>
            </w:r>
          </w:p>
        </w:tc>
        <w:tc>
          <w:tcPr>
            <w:tcW w:w="3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8" w:hRule="atLeast"/>
        </w:trPr>
        <w:tc>
          <w:tcPr>
            <w:tcW w:w="5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6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成本指标</w:t>
            </w:r>
          </w:p>
        </w:tc>
        <w:tc>
          <w:tcPr>
            <w:tcW w:w="17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公开引进高层次人才和招聘急需专业人才工作经费（万元）</w:t>
            </w:r>
          </w:p>
        </w:tc>
        <w:tc>
          <w:tcPr>
            <w:tcW w:w="4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60</w:t>
            </w:r>
          </w:p>
        </w:tc>
        <w:tc>
          <w:tcPr>
            <w:tcW w:w="4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万元</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60万元</w:t>
            </w:r>
          </w:p>
        </w:tc>
        <w:tc>
          <w:tcPr>
            <w:tcW w:w="472"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10</w:t>
            </w:r>
          </w:p>
        </w:tc>
        <w:tc>
          <w:tcPr>
            <w:tcW w:w="3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9" w:hRule="atLeast"/>
        </w:trPr>
        <w:tc>
          <w:tcPr>
            <w:tcW w:w="5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612" w:type="dxa"/>
            <w:vMerge w:val="restart"/>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效益指标</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社会效益</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指标</w:t>
            </w:r>
          </w:p>
        </w:tc>
        <w:tc>
          <w:tcPr>
            <w:tcW w:w="17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扩充人才队伍</w:t>
            </w:r>
          </w:p>
        </w:tc>
        <w:tc>
          <w:tcPr>
            <w:tcW w:w="4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定性</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高中低</w:t>
            </w:r>
          </w:p>
        </w:tc>
        <w:tc>
          <w:tcPr>
            <w:tcW w:w="4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高</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高</w:t>
            </w:r>
          </w:p>
        </w:tc>
        <w:tc>
          <w:tcPr>
            <w:tcW w:w="472"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10</w:t>
            </w:r>
          </w:p>
        </w:tc>
        <w:tc>
          <w:tcPr>
            <w:tcW w:w="3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14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9" w:hRule="atLeast"/>
        </w:trPr>
        <w:tc>
          <w:tcPr>
            <w:tcW w:w="5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612"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可持续影响指标</w:t>
            </w:r>
          </w:p>
        </w:tc>
        <w:tc>
          <w:tcPr>
            <w:tcW w:w="17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传播惜才、爱才精神</w:t>
            </w:r>
          </w:p>
        </w:tc>
        <w:tc>
          <w:tcPr>
            <w:tcW w:w="4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定性</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高中低</w:t>
            </w:r>
          </w:p>
        </w:tc>
        <w:tc>
          <w:tcPr>
            <w:tcW w:w="4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高</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高</w:t>
            </w:r>
          </w:p>
        </w:tc>
        <w:tc>
          <w:tcPr>
            <w:tcW w:w="472"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10</w:t>
            </w:r>
          </w:p>
        </w:tc>
        <w:tc>
          <w:tcPr>
            <w:tcW w:w="3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13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9" w:hRule="atLeast"/>
        </w:trPr>
        <w:tc>
          <w:tcPr>
            <w:tcW w:w="5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612"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经济效益指标</w:t>
            </w:r>
          </w:p>
        </w:tc>
        <w:tc>
          <w:tcPr>
            <w:tcW w:w="17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推动经济社会发展</w:t>
            </w:r>
          </w:p>
        </w:tc>
        <w:tc>
          <w:tcPr>
            <w:tcW w:w="4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定性</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高中低</w:t>
            </w:r>
          </w:p>
        </w:tc>
        <w:tc>
          <w:tcPr>
            <w:tcW w:w="4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高</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高</w:t>
            </w:r>
          </w:p>
        </w:tc>
        <w:tc>
          <w:tcPr>
            <w:tcW w:w="472"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10</w:t>
            </w:r>
          </w:p>
        </w:tc>
        <w:tc>
          <w:tcPr>
            <w:tcW w:w="3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11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9" w:hRule="atLeast"/>
        </w:trPr>
        <w:tc>
          <w:tcPr>
            <w:tcW w:w="5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612" w:type="dxa"/>
            <w:vMerge w:val="restart"/>
            <w:tcBorders>
              <w:top w:val="nil"/>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满意度</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指标</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服务对象满意度指标</w:t>
            </w:r>
          </w:p>
        </w:tc>
        <w:tc>
          <w:tcPr>
            <w:tcW w:w="17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服务对象满意度（%）</w:t>
            </w:r>
          </w:p>
        </w:tc>
        <w:tc>
          <w:tcPr>
            <w:tcW w:w="4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95</w:t>
            </w:r>
          </w:p>
        </w:tc>
        <w:tc>
          <w:tcPr>
            <w:tcW w:w="4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95%</w:t>
            </w:r>
          </w:p>
        </w:tc>
        <w:tc>
          <w:tcPr>
            <w:tcW w:w="472"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10</w:t>
            </w:r>
          </w:p>
        </w:tc>
        <w:tc>
          <w:tcPr>
            <w:tcW w:w="3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9" w:hRule="atLeast"/>
        </w:trPr>
        <w:tc>
          <w:tcPr>
            <w:tcW w:w="5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612" w:type="dxa"/>
            <w:vMerge w:val="continue"/>
            <w:tcBorders>
              <w:top w:val="nil"/>
              <w:left w:val="single" w:color="000000" w:sz="4" w:space="0"/>
              <w:bottom w:val="nil"/>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服务对象满意度指标</w:t>
            </w:r>
          </w:p>
        </w:tc>
        <w:tc>
          <w:tcPr>
            <w:tcW w:w="17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政府满意度（%）</w:t>
            </w:r>
          </w:p>
        </w:tc>
        <w:tc>
          <w:tcPr>
            <w:tcW w:w="4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95</w:t>
            </w:r>
          </w:p>
        </w:tc>
        <w:tc>
          <w:tcPr>
            <w:tcW w:w="4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95%</w:t>
            </w:r>
          </w:p>
        </w:tc>
        <w:tc>
          <w:tcPr>
            <w:tcW w:w="472"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10</w:t>
            </w:r>
          </w:p>
        </w:tc>
        <w:tc>
          <w:tcPr>
            <w:tcW w:w="3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9" w:hRule="atLeast"/>
        </w:trPr>
        <w:tc>
          <w:tcPr>
            <w:tcW w:w="8379"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合计</w:t>
            </w:r>
          </w:p>
        </w:tc>
        <w:tc>
          <w:tcPr>
            <w:tcW w:w="4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100</w:t>
            </w:r>
          </w:p>
        </w:tc>
        <w:tc>
          <w:tcPr>
            <w:tcW w:w="3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96</w:t>
            </w:r>
          </w:p>
        </w:tc>
      </w:tr>
    </w:tbl>
    <w:p>
      <w:pPr>
        <w:keepNext w:val="0"/>
        <w:keepLines w:val="0"/>
        <w:pageBreakBefore w:val="0"/>
        <w:widowControl w:val="0"/>
        <w:kinsoku/>
        <w:wordWrap/>
        <w:overflowPunct/>
        <w:topLinePunct w:val="0"/>
        <w:autoSpaceDE/>
        <w:autoSpaceDN/>
        <w:bidi w:val="0"/>
        <w:adjustRightInd w:val="0"/>
        <w:snapToGrid w:val="0"/>
        <w:spacing w:line="576" w:lineRule="exact"/>
        <w:textAlignment w:val="auto"/>
        <w:rPr>
          <w:rFonts w:hint="eastAsia" w:ascii="Times New Roman" w:hAnsi="Times New Roman" w:eastAsia="楷体_GB2312" w:cs="Times New Roman"/>
          <w:b/>
          <w:sz w:val="32"/>
          <w:szCs w:val="32"/>
          <w:highlight w:val="none"/>
          <w:lang w:val="zh-CN"/>
        </w:rPr>
      </w:pPr>
    </w:p>
    <w:p>
      <w:pPr>
        <w:keepNext w:val="0"/>
        <w:keepLines w:val="0"/>
        <w:pageBreakBefore w:val="0"/>
        <w:widowControl w:val="0"/>
        <w:kinsoku/>
        <w:wordWrap/>
        <w:overflowPunct/>
        <w:topLinePunct w:val="0"/>
        <w:autoSpaceDE/>
        <w:autoSpaceDN/>
        <w:bidi w:val="0"/>
        <w:adjustRightInd w:val="0"/>
        <w:snapToGrid w:val="0"/>
        <w:spacing w:line="576" w:lineRule="exact"/>
        <w:ind w:firstLine="643" w:firstLineChars="200"/>
        <w:textAlignment w:val="auto"/>
        <w:rPr>
          <w:rFonts w:hint="eastAsia" w:cs="Times New Roman"/>
          <w:sz w:val="32"/>
          <w:szCs w:val="32"/>
          <w:highlight w:val="none"/>
          <w:lang w:val="zh-CN"/>
        </w:rPr>
      </w:pPr>
      <w:r>
        <w:rPr>
          <w:rFonts w:hint="eastAsia" w:ascii="Times New Roman" w:hAnsi="Times New Roman" w:eastAsia="楷体_GB2312" w:cs="Times New Roman"/>
          <w:b/>
          <w:sz w:val="32"/>
          <w:szCs w:val="32"/>
          <w:highlight w:val="none"/>
          <w:lang w:val="zh-CN"/>
        </w:rPr>
        <w:t>（二）存在的问题。</w:t>
      </w:r>
      <w:r>
        <w:rPr>
          <w:rFonts w:hint="eastAsia" w:ascii="Times New Roman" w:hAnsi="Times New Roman" w:eastAsia="仿宋_GB2312" w:cs="Times New Roman"/>
          <w:kern w:val="0"/>
          <w:sz w:val="32"/>
          <w:szCs w:val="32"/>
          <w:highlight w:val="none"/>
          <w:lang w:val="zh-CN" w:eastAsia="zh-CN" w:bidi="ar-SA"/>
        </w:rPr>
        <w:t>无。</w:t>
      </w:r>
    </w:p>
    <w:p>
      <w:pPr>
        <w:keepNext w:val="0"/>
        <w:keepLines w:val="0"/>
        <w:pageBreakBefore w:val="0"/>
        <w:widowControl w:val="0"/>
        <w:kinsoku/>
        <w:wordWrap/>
        <w:overflowPunct/>
        <w:topLinePunct w:val="0"/>
        <w:autoSpaceDE/>
        <w:autoSpaceDN/>
        <w:bidi w:val="0"/>
        <w:adjustRightInd w:val="0"/>
        <w:snapToGrid w:val="0"/>
        <w:spacing w:line="576" w:lineRule="exact"/>
        <w:ind w:firstLine="643" w:firstLineChars="200"/>
        <w:textAlignment w:val="auto"/>
        <w:rPr>
          <w:rFonts w:hint="eastAsia" w:ascii="Times New Roman" w:hAnsi="Times New Roman" w:eastAsia="仿宋_GB2312" w:cs="Times New Roman"/>
          <w:kern w:val="0"/>
          <w:sz w:val="32"/>
          <w:szCs w:val="32"/>
          <w:highlight w:val="none"/>
          <w:lang w:val="zh-CN" w:eastAsia="zh-CN" w:bidi="ar-SA"/>
        </w:rPr>
      </w:pPr>
      <w:r>
        <w:rPr>
          <w:rFonts w:hint="eastAsia" w:ascii="Times New Roman" w:hAnsi="Times New Roman" w:eastAsia="楷体_GB2312" w:cs="Times New Roman"/>
          <w:b/>
          <w:sz w:val="32"/>
          <w:szCs w:val="32"/>
          <w:highlight w:val="none"/>
          <w:lang w:val="zh-CN"/>
        </w:rPr>
        <w:t>（三）相关建议。</w:t>
      </w:r>
      <w:r>
        <w:rPr>
          <w:rFonts w:hint="eastAsia" w:ascii="Times New Roman" w:hAnsi="Times New Roman" w:eastAsia="仿宋_GB2312" w:cs="Times New Roman"/>
          <w:kern w:val="0"/>
          <w:sz w:val="32"/>
          <w:szCs w:val="32"/>
          <w:highlight w:val="none"/>
          <w:lang w:val="zh-CN" w:eastAsia="zh-CN" w:bidi="ar-SA"/>
        </w:rPr>
        <w:t>无。</w:t>
      </w:r>
    </w:p>
    <w:p>
      <w:pPr>
        <w:pageBreakBefore w:val="0"/>
        <w:kinsoku/>
        <w:wordWrap/>
        <w:overflowPunct/>
        <w:topLinePunct w:val="0"/>
        <w:bidi w:val="0"/>
        <w:spacing w:line="576" w:lineRule="exact"/>
        <w:ind w:left="960" w:hanging="960" w:hangingChars="300"/>
        <w:jc w:val="left"/>
        <w:textAlignment w:val="auto"/>
        <w:outlineLvl w:val="9"/>
        <w:rPr>
          <w:rFonts w:hint="eastAsia" w:ascii="仿宋_GB2312" w:hAnsi="仿宋_GB2312" w:eastAsia="仿宋_GB2312" w:cs="仿宋_GB2312"/>
          <w:color w:val="auto"/>
          <w:sz w:val="32"/>
          <w:szCs w:val="32"/>
          <w:highlight w:val="none"/>
          <w:lang w:eastAsia="zh-CN"/>
        </w:rPr>
      </w:pPr>
    </w:p>
    <w:p>
      <w:pPr>
        <w:pageBreakBefore w:val="0"/>
        <w:kinsoku/>
        <w:wordWrap/>
        <w:overflowPunct/>
        <w:topLinePunct w:val="0"/>
        <w:bidi w:val="0"/>
        <w:spacing w:line="576" w:lineRule="exact"/>
        <w:ind w:left="960" w:hanging="960" w:hangingChars="300"/>
        <w:jc w:val="left"/>
        <w:textAlignment w:val="auto"/>
        <w:outlineLvl w:val="9"/>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eastAsia="zh-CN"/>
        </w:rPr>
        <w:t>附件：广元市昭化区人力资源和社会保障局</w:t>
      </w:r>
      <w:r>
        <w:rPr>
          <w:rFonts w:hint="eastAsia" w:ascii="仿宋_GB2312" w:hAnsi="仿宋_GB2312" w:eastAsia="仿宋_GB2312" w:cs="仿宋_GB2312"/>
          <w:color w:val="auto"/>
          <w:sz w:val="32"/>
          <w:szCs w:val="32"/>
          <w:highlight w:val="none"/>
          <w:lang w:val="en-US" w:eastAsia="zh-CN"/>
        </w:rPr>
        <w:t>2022年财政项目支出绩效自评表</w:t>
      </w:r>
    </w:p>
    <w:p>
      <w:pPr>
        <w:pStyle w:val="2"/>
        <w:rPr>
          <w:rFonts w:hint="eastAsia"/>
          <w:lang w:val="zh-CN"/>
        </w:rPr>
      </w:pPr>
    </w:p>
    <w:p>
      <w:pPr>
        <w:rPr>
          <w:rFonts w:hint="eastAsia" w:cs="Times New Roman"/>
          <w:sz w:val="32"/>
          <w:szCs w:val="32"/>
          <w:highlight w:val="none"/>
          <w:lang w:val="zh-CN"/>
        </w:rPr>
        <w:sectPr>
          <w:footerReference r:id="rId14" w:type="first"/>
          <w:footerReference r:id="rId13" w:type="default"/>
          <w:pgSz w:w="11906" w:h="16838"/>
          <w:pgMar w:top="1984" w:right="1474" w:bottom="1871" w:left="1587" w:header="851" w:footer="992" w:gutter="0"/>
          <w:pgNumType w:fmt="decimal"/>
          <w:cols w:space="0" w:num="1"/>
          <w:titlePg/>
          <w:rtlGutter w:val="0"/>
          <w:docGrid w:type="lines" w:linePitch="312" w:charSpace="0"/>
        </w:sectPr>
      </w:pPr>
    </w:p>
    <w:tbl>
      <w:tblPr>
        <w:tblStyle w:val="16"/>
        <w:tblW w:w="9078"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016"/>
        <w:gridCol w:w="787"/>
        <w:gridCol w:w="1294"/>
        <w:gridCol w:w="798"/>
        <w:gridCol w:w="1191"/>
        <w:gridCol w:w="1635"/>
        <w:gridCol w:w="1101"/>
        <w:gridCol w:w="125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5" w:hRule="atLeast"/>
        </w:trPr>
        <w:tc>
          <w:tcPr>
            <w:tcW w:w="9078" w:type="dxa"/>
            <w:gridSpan w:val="8"/>
            <w:tcBorders>
              <w:top w:val="nil"/>
              <w:left w:val="nil"/>
              <w:bottom w:val="nil"/>
              <w:right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微软雅黑" w:hAnsi="微软雅黑" w:eastAsia="微软雅黑" w:cs="微软雅黑"/>
                <w:b/>
                <w:bCs/>
                <w:i w:val="0"/>
                <w:iCs w:val="0"/>
                <w:color w:val="000000"/>
                <w:kern w:val="0"/>
                <w:sz w:val="28"/>
                <w:szCs w:val="28"/>
                <w:u w:val="none"/>
                <w:lang w:val="en-US" w:eastAsia="zh-CN" w:bidi="ar"/>
              </w:rPr>
            </w:pPr>
            <w:r>
              <w:rPr>
                <w:rFonts w:hint="eastAsia" w:ascii="微软雅黑" w:hAnsi="微软雅黑" w:eastAsia="微软雅黑" w:cs="微软雅黑"/>
                <w:b/>
                <w:bCs/>
                <w:i w:val="0"/>
                <w:iCs w:val="0"/>
                <w:color w:val="000000"/>
                <w:kern w:val="0"/>
                <w:sz w:val="28"/>
                <w:szCs w:val="28"/>
                <w:u w:val="none"/>
                <w:lang w:val="en-US" w:eastAsia="zh-CN" w:bidi="ar"/>
              </w:rPr>
              <w:t>附件：</w:t>
            </w:r>
          </w:p>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ascii="微软雅黑" w:hAnsi="微软雅黑" w:eastAsia="微软雅黑" w:cs="微软雅黑"/>
                <w:i w:val="0"/>
                <w:iCs w:val="0"/>
                <w:color w:val="000000"/>
                <w:sz w:val="40"/>
                <w:szCs w:val="40"/>
                <w:u w:val="none"/>
              </w:rPr>
            </w:pPr>
            <w:r>
              <w:rPr>
                <w:rFonts w:hint="eastAsia" w:ascii="微软雅黑" w:hAnsi="微软雅黑" w:eastAsia="微软雅黑" w:cs="微软雅黑"/>
                <w:i w:val="0"/>
                <w:iCs w:val="0"/>
                <w:color w:val="000000"/>
                <w:kern w:val="0"/>
                <w:sz w:val="40"/>
                <w:szCs w:val="40"/>
                <w:u w:val="none"/>
                <w:lang w:val="en-US" w:eastAsia="zh-CN" w:bidi="ar"/>
              </w:rPr>
              <w:t>广元市昭化区财政项目（政策）支出绩效自评表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9078" w:type="dxa"/>
            <w:gridSpan w:val="8"/>
            <w:tcBorders>
              <w:top w:val="nil"/>
              <w:left w:val="nil"/>
              <w:bottom w:val="nil"/>
              <w:right w:val="nil"/>
            </w:tcBorders>
            <w:shd w:val="clear" w:color="auto" w:fill="auto"/>
            <w:vAlign w:val="top"/>
          </w:tcPr>
          <w:p>
            <w:pPr>
              <w:keepNext w:val="0"/>
              <w:keepLines w:val="0"/>
              <w:widowControl/>
              <w:suppressLineNumbers w:val="0"/>
              <w:jc w:val="center"/>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（2022年度）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2" w:hRule="atLeast"/>
        </w:trPr>
        <w:tc>
          <w:tcPr>
            <w:tcW w:w="180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项目（政策）名称</w:t>
            </w:r>
          </w:p>
        </w:tc>
        <w:tc>
          <w:tcPr>
            <w:tcW w:w="7275"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公开引进高层次人才和招聘急需紧缺专业人才工作经费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5" w:hRule="atLeast"/>
        </w:trPr>
        <w:tc>
          <w:tcPr>
            <w:tcW w:w="180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主管部门</w:t>
            </w:r>
          </w:p>
        </w:tc>
        <w:tc>
          <w:tcPr>
            <w:tcW w:w="3283"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广元市昭化区人力资源和社会保障局</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实施单位</w:t>
            </w:r>
          </w:p>
        </w:tc>
        <w:tc>
          <w:tcPr>
            <w:tcW w:w="235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广元市昭化区人力资源和社会保障局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2" w:hRule="atLeast"/>
        </w:trPr>
        <w:tc>
          <w:tcPr>
            <w:tcW w:w="1803" w:type="dxa"/>
            <w:gridSpan w:val="2"/>
            <w:vMerge w:val="restart"/>
            <w:tcBorders>
              <w:top w:val="single" w:color="000000" w:sz="4" w:space="0"/>
              <w:left w:val="single" w:color="000000" w:sz="4" w:space="0"/>
              <w:bottom w:val="nil"/>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项目（政策）资金（万元）</w:t>
            </w:r>
          </w:p>
        </w:tc>
        <w:tc>
          <w:tcPr>
            <w:tcW w:w="2092" w:type="dxa"/>
            <w:gridSpan w:val="2"/>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宋体" w:hAnsi="宋体" w:eastAsia="宋体" w:cs="宋体"/>
                <w:i w:val="0"/>
                <w:iCs w:val="0"/>
                <w:color w:val="000000"/>
                <w:sz w:val="18"/>
                <w:szCs w:val="18"/>
                <w:u w:val="none"/>
              </w:rPr>
            </w:pPr>
          </w:p>
        </w:tc>
        <w:tc>
          <w:tcPr>
            <w:tcW w:w="1191"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年初预算数</w:t>
            </w:r>
          </w:p>
        </w:tc>
        <w:tc>
          <w:tcPr>
            <w:tcW w:w="1635"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全年预算数</w:t>
            </w:r>
          </w:p>
        </w:tc>
        <w:tc>
          <w:tcPr>
            <w:tcW w:w="1101"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全年执行数</w:t>
            </w:r>
          </w:p>
        </w:tc>
        <w:tc>
          <w:tcPr>
            <w:tcW w:w="12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执行率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2" w:hRule="atLeast"/>
        </w:trPr>
        <w:tc>
          <w:tcPr>
            <w:tcW w:w="1803" w:type="dxa"/>
            <w:gridSpan w:val="2"/>
            <w:vMerge w:val="continue"/>
            <w:tcBorders>
              <w:top w:val="single" w:color="000000" w:sz="4" w:space="0"/>
              <w:left w:val="single" w:color="000000" w:sz="4" w:space="0"/>
              <w:bottom w:val="nil"/>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宋体" w:hAnsi="宋体" w:eastAsia="宋体" w:cs="宋体"/>
                <w:i w:val="0"/>
                <w:iCs w:val="0"/>
                <w:color w:val="000000"/>
                <w:sz w:val="18"/>
                <w:szCs w:val="18"/>
                <w:u w:val="none"/>
              </w:rPr>
            </w:pPr>
          </w:p>
        </w:tc>
        <w:tc>
          <w:tcPr>
            <w:tcW w:w="209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年度资金总额</w:t>
            </w:r>
          </w:p>
        </w:tc>
        <w:tc>
          <w:tcPr>
            <w:tcW w:w="11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60</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60</w:t>
            </w:r>
          </w:p>
        </w:tc>
        <w:tc>
          <w:tcPr>
            <w:tcW w:w="11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60</w:t>
            </w:r>
          </w:p>
        </w:tc>
        <w:tc>
          <w:tcPr>
            <w:tcW w:w="1256"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2" w:hRule="atLeast"/>
        </w:trPr>
        <w:tc>
          <w:tcPr>
            <w:tcW w:w="1803" w:type="dxa"/>
            <w:gridSpan w:val="2"/>
            <w:vMerge w:val="continue"/>
            <w:tcBorders>
              <w:top w:val="single" w:color="000000" w:sz="4" w:space="0"/>
              <w:left w:val="single" w:color="000000" w:sz="4" w:space="0"/>
              <w:bottom w:val="nil"/>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宋体" w:hAnsi="宋体" w:eastAsia="宋体" w:cs="宋体"/>
                <w:i w:val="0"/>
                <w:iCs w:val="0"/>
                <w:color w:val="000000"/>
                <w:sz w:val="18"/>
                <w:szCs w:val="18"/>
                <w:u w:val="none"/>
              </w:rPr>
            </w:pPr>
          </w:p>
        </w:tc>
        <w:tc>
          <w:tcPr>
            <w:tcW w:w="209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（一）财政拨款小计</w:t>
            </w:r>
          </w:p>
        </w:tc>
        <w:tc>
          <w:tcPr>
            <w:tcW w:w="11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60</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60</w:t>
            </w:r>
          </w:p>
        </w:tc>
        <w:tc>
          <w:tcPr>
            <w:tcW w:w="11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60</w:t>
            </w:r>
          </w:p>
        </w:tc>
        <w:tc>
          <w:tcPr>
            <w:tcW w:w="1256"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2" w:hRule="atLeast"/>
        </w:trPr>
        <w:tc>
          <w:tcPr>
            <w:tcW w:w="1803" w:type="dxa"/>
            <w:gridSpan w:val="2"/>
            <w:vMerge w:val="continue"/>
            <w:tcBorders>
              <w:top w:val="single" w:color="000000" w:sz="4" w:space="0"/>
              <w:left w:val="single" w:color="000000" w:sz="4" w:space="0"/>
              <w:bottom w:val="nil"/>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宋体" w:hAnsi="宋体" w:eastAsia="宋体" w:cs="宋体"/>
                <w:i w:val="0"/>
                <w:iCs w:val="0"/>
                <w:color w:val="000000"/>
                <w:sz w:val="18"/>
                <w:szCs w:val="18"/>
                <w:u w:val="none"/>
              </w:rPr>
            </w:pPr>
          </w:p>
        </w:tc>
        <w:tc>
          <w:tcPr>
            <w:tcW w:w="209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   1.一般公共预算</w:t>
            </w:r>
          </w:p>
        </w:tc>
        <w:tc>
          <w:tcPr>
            <w:tcW w:w="11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60</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60</w:t>
            </w:r>
          </w:p>
        </w:tc>
        <w:tc>
          <w:tcPr>
            <w:tcW w:w="11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60</w:t>
            </w:r>
          </w:p>
        </w:tc>
        <w:tc>
          <w:tcPr>
            <w:tcW w:w="1256"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2" w:hRule="atLeast"/>
        </w:trPr>
        <w:tc>
          <w:tcPr>
            <w:tcW w:w="1803" w:type="dxa"/>
            <w:gridSpan w:val="2"/>
            <w:vMerge w:val="continue"/>
            <w:tcBorders>
              <w:top w:val="single" w:color="000000" w:sz="4" w:space="0"/>
              <w:left w:val="single" w:color="000000" w:sz="4" w:space="0"/>
              <w:bottom w:val="nil"/>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宋体" w:hAnsi="宋体" w:eastAsia="宋体" w:cs="宋体"/>
                <w:i w:val="0"/>
                <w:iCs w:val="0"/>
                <w:color w:val="000000"/>
                <w:sz w:val="18"/>
                <w:szCs w:val="18"/>
                <w:u w:val="none"/>
              </w:rPr>
            </w:pPr>
          </w:p>
        </w:tc>
        <w:tc>
          <w:tcPr>
            <w:tcW w:w="209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   2.政府性基金</w:t>
            </w:r>
          </w:p>
        </w:tc>
        <w:tc>
          <w:tcPr>
            <w:tcW w:w="11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left"/>
              <w:rPr>
                <w:rFonts w:hint="eastAsia" w:ascii="宋体" w:hAnsi="宋体" w:eastAsia="宋体" w:cs="宋体"/>
                <w:i w:val="0"/>
                <w:iCs w:val="0"/>
                <w:color w:val="000000"/>
                <w:sz w:val="18"/>
                <w:szCs w:val="18"/>
                <w:u w:val="none"/>
              </w:rPr>
            </w:pP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宋体" w:hAnsi="宋体" w:eastAsia="宋体" w:cs="宋体"/>
                <w:i w:val="0"/>
                <w:iCs w:val="0"/>
                <w:color w:val="000000"/>
                <w:sz w:val="18"/>
                <w:szCs w:val="18"/>
                <w:u w:val="none"/>
              </w:rPr>
            </w:pPr>
          </w:p>
        </w:tc>
        <w:tc>
          <w:tcPr>
            <w:tcW w:w="11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宋体" w:hAnsi="宋体" w:eastAsia="宋体" w:cs="宋体"/>
                <w:i w:val="0"/>
                <w:iCs w:val="0"/>
                <w:color w:val="000000"/>
                <w:sz w:val="18"/>
                <w:szCs w:val="18"/>
                <w:u w:val="none"/>
              </w:rPr>
            </w:pPr>
          </w:p>
        </w:tc>
        <w:tc>
          <w:tcPr>
            <w:tcW w:w="12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2" w:hRule="atLeast"/>
        </w:trPr>
        <w:tc>
          <w:tcPr>
            <w:tcW w:w="1803" w:type="dxa"/>
            <w:gridSpan w:val="2"/>
            <w:vMerge w:val="continue"/>
            <w:tcBorders>
              <w:top w:val="single" w:color="000000" w:sz="4" w:space="0"/>
              <w:left w:val="single" w:color="000000" w:sz="4" w:space="0"/>
              <w:bottom w:val="nil"/>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宋体" w:hAnsi="宋体" w:eastAsia="宋体" w:cs="宋体"/>
                <w:i w:val="0"/>
                <w:iCs w:val="0"/>
                <w:color w:val="000000"/>
                <w:sz w:val="18"/>
                <w:szCs w:val="18"/>
                <w:u w:val="none"/>
              </w:rPr>
            </w:pPr>
          </w:p>
        </w:tc>
        <w:tc>
          <w:tcPr>
            <w:tcW w:w="209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  3.国有资本经营预算</w:t>
            </w:r>
          </w:p>
        </w:tc>
        <w:tc>
          <w:tcPr>
            <w:tcW w:w="11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left"/>
              <w:rPr>
                <w:rFonts w:hint="eastAsia" w:ascii="宋体" w:hAnsi="宋体" w:eastAsia="宋体" w:cs="宋体"/>
                <w:i w:val="0"/>
                <w:iCs w:val="0"/>
                <w:color w:val="000000"/>
                <w:sz w:val="18"/>
                <w:szCs w:val="18"/>
                <w:u w:val="none"/>
              </w:rPr>
            </w:pP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宋体" w:hAnsi="宋体" w:eastAsia="宋体" w:cs="宋体"/>
                <w:i w:val="0"/>
                <w:iCs w:val="0"/>
                <w:color w:val="000000"/>
                <w:sz w:val="18"/>
                <w:szCs w:val="18"/>
                <w:u w:val="none"/>
              </w:rPr>
            </w:pPr>
          </w:p>
        </w:tc>
        <w:tc>
          <w:tcPr>
            <w:tcW w:w="11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宋体" w:hAnsi="宋体" w:eastAsia="宋体" w:cs="宋体"/>
                <w:i w:val="0"/>
                <w:iCs w:val="0"/>
                <w:color w:val="000000"/>
                <w:sz w:val="18"/>
                <w:szCs w:val="18"/>
                <w:u w:val="none"/>
              </w:rPr>
            </w:pPr>
          </w:p>
        </w:tc>
        <w:tc>
          <w:tcPr>
            <w:tcW w:w="12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7" w:hRule="atLeast"/>
        </w:trPr>
        <w:tc>
          <w:tcPr>
            <w:tcW w:w="1803" w:type="dxa"/>
            <w:gridSpan w:val="2"/>
            <w:vMerge w:val="continue"/>
            <w:tcBorders>
              <w:top w:val="single" w:color="000000" w:sz="4" w:space="0"/>
              <w:left w:val="single" w:color="000000" w:sz="4" w:space="0"/>
              <w:bottom w:val="nil"/>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宋体" w:hAnsi="宋体" w:eastAsia="宋体" w:cs="宋体"/>
                <w:i w:val="0"/>
                <w:iCs w:val="0"/>
                <w:color w:val="000000"/>
                <w:sz w:val="18"/>
                <w:szCs w:val="18"/>
                <w:u w:val="none"/>
              </w:rPr>
            </w:pPr>
          </w:p>
        </w:tc>
        <w:tc>
          <w:tcPr>
            <w:tcW w:w="209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  4.社保基金</w:t>
            </w:r>
          </w:p>
        </w:tc>
        <w:tc>
          <w:tcPr>
            <w:tcW w:w="11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left"/>
              <w:rPr>
                <w:rFonts w:hint="eastAsia" w:ascii="宋体" w:hAnsi="宋体" w:eastAsia="宋体" w:cs="宋体"/>
                <w:i w:val="0"/>
                <w:iCs w:val="0"/>
                <w:color w:val="000000"/>
                <w:sz w:val="18"/>
                <w:szCs w:val="18"/>
                <w:u w:val="none"/>
              </w:rPr>
            </w:pP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宋体" w:hAnsi="宋体" w:eastAsia="宋体" w:cs="宋体"/>
                <w:i w:val="0"/>
                <w:iCs w:val="0"/>
                <w:color w:val="000000"/>
                <w:sz w:val="18"/>
                <w:szCs w:val="18"/>
                <w:u w:val="none"/>
              </w:rPr>
            </w:pPr>
          </w:p>
        </w:tc>
        <w:tc>
          <w:tcPr>
            <w:tcW w:w="11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宋体" w:hAnsi="宋体" w:eastAsia="宋体" w:cs="宋体"/>
                <w:i w:val="0"/>
                <w:iCs w:val="0"/>
                <w:color w:val="000000"/>
                <w:sz w:val="18"/>
                <w:szCs w:val="18"/>
                <w:u w:val="none"/>
              </w:rPr>
            </w:pPr>
          </w:p>
        </w:tc>
        <w:tc>
          <w:tcPr>
            <w:tcW w:w="12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2" w:hRule="atLeast"/>
        </w:trPr>
        <w:tc>
          <w:tcPr>
            <w:tcW w:w="1803" w:type="dxa"/>
            <w:gridSpan w:val="2"/>
            <w:vMerge w:val="continue"/>
            <w:tcBorders>
              <w:top w:val="single" w:color="000000" w:sz="4" w:space="0"/>
              <w:left w:val="single" w:color="000000" w:sz="4" w:space="0"/>
              <w:bottom w:val="nil"/>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宋体" w:hAnsi="宋体" w:eastAsia="宋体" w:cs="宋体"/>
                <w:i w:val="0"/>
                <w:iCs w:val="0"/>
                <w:color w:val="000000"/>
                <w:sz w:val="18"/>
                <w:szCs w:val="18"/>
                <w:u w:val="none"/>
              </w:rPr>
            </w:pPr>
          </w:p>
        </w:tc>
        <w:tc>
          <w:tcPr>
            <w:tcW w:w="209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（二）其他资金</w:t>
            </w:r>
          </w:p>
        </w:tc>
        <w:tc>
          <w:tcPr>
            <w:tcW w:w="11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宋体" w:hAnsi="宋体" w:eastAsia="宋体" w:cs="宋体"/>
                <w:i w:val="0"/>
                <w:iCs w:val="0"/>
                <w:color w:val="000000"/>
                <w:sz w:val="18"/>
                <w:szCs w:val="18"/>
                <w:u w:val="none"/>
              </w:rPr>
            </w:pP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宋体" w:hAnsi="宋体" w:eastAsia="宋体" w:cs="宋体"/>
                <w:i w:val="0"/>
                <w:iCs w:val="0"/>
                <w:color w:val="000000"/>
                <w:sz w:val="18"/>
                <w:szCs w:val="18"/>
                <w:u w:val="none"/>
              </w:rPr>
            </w:pPr>
          </w:p>
        </w:tc>
        <w:tc>
          <w:tcPr>
            <w:tcW w:w="11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宋体" w:hAnsi="宋体" w:eastAsia="宋体" w:cs="宋体"/>
                <w:i w:val="0"/>
                <w:iCs w:val="0"/>
                <w:color w:val="000000"/>
                <w:sz w:val="18"/>
                <w:szCs w:val="18"/>
                <w:u w:val="none"/>
              </w:rPr>
            </w:pPr>
          </w:p>
        </w:tc>
        <w:tc>
          <w:tcPr>
            <w:tcW w:w="12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2" w:hRule="atLeast"/>
        </w:trPr>
        <w:tc>
          <w:tcPr>
            <w:tcW w:w="101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年度总体目标</w:t>
            </w:r>
          </w:p>
        </w:tc>
        <w:tc>
          <w:tcPr>
            <w:tcW w:w="407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预期目标</w:t>
            </w:r>
          </w:p>
        </w:tc>
        <w:tc>
          <w:tcPr>
            <w:tcW w:w="3992"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完成情况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5" w:hRule="atLeast"/>
        </w:trPr>
        <w:tc>
          <w:tcPr>
            <w:tcW w:w="1016" w:type="dxa"/>
            <w:vMerge w:val="continue"/>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宋体" w:hAnsi="宋体" w:eastAsia="宋体" w:cs="宋体"/>
                <w:i w:val="0"/>
                <w:iCs w:val="0"/>
                <w:color w:val="000000"/>
                <w:sz w:val="18"/>
                <w:szCs w:val="18"/>
                <w:u w:val="none"/>
              </w:rPr>
            </w:pPr>
          </w:p>
        </w:tc>
        <w:tc>
          <w:tcPr>
            <w:tcW w:w="4070" w:type="dxa"/>
            <w:gridSpan w:val="4"/>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解决公开引进高层次人才和招聘急需专业人才工作经费。</w:t>
            </w:r>
          </w:p>
        </w:tc>
        <w:tc>
          <w:tcPr>
            <w:tcW w:w="3992" w:type="dxa"/>
            <w:gridSpan w:val="3"/>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解决2021年公开引进高层次人才和招聘急需专业人才工作经费。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8" w:hRule="atLeast"/>
        </w:trPr>
        <w:tc>
          <w:tcPr>
            <w:tcW w:w="0" w:type="auto"/>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绩效指标</w:t>
            </w:r>
          </w:p>
        </w:tc>
        <w:tc>
          <w:tcPr>
            <w:tcW w:w="78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一级指标</w:t>
            </w:r>
          </w:p>
        </w:tc>
        <w:tc>
          <w:tcPr>
            <w:tcW w:w="129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二级指标</w:t>
            </w:r>
          </w:p>
        </w:tc>
        <w:tc>
          <w:tcPr>
            <w:tcW w:w="198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三级指标</w:t>
            </w:r>
          </w:p>
        </w:tc>
        <w:tc>
          <w:tcPr>
            <w:tcW w:w="163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年度指标值</w:t>
            </w:r>
          </w:p>
        </w:tc>
        <w:tc>
          <w:tcPr>
            <w:tcW w:w="110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实际完成值</w:t>
            </w:r>
          </w:p>
        </w:tc>
        <w:tc>
          <w:tcPr>
            <w:tcW w:w="125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偏差原因分析及改进措施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2" w:hRule="atLeast"/>
        </w:trPr>
        <w:tc>
          <w:tcPr>
            <w:tcW w:w="0" w:type="auto"/>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宋体" w:hAnsi="宋体" w:eastAsia="宋体" w:cs="宋体"/>
                <w:i w:val="0"/>
                <w:iCs w:val="0"/>
                <w:color w:val="000000"/>
                <w:sz w:val="18"/>
                <w:szCs w:val="18"/>
                <w:u w:val="none"/>
              </w:rPr>
            </w:pPr>
          </w:p>
        </w:tc>
        <w:tc>
          <w:tcPr>
            <w:tcW w:w="78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产出指标</w:t>
            </w:r>
          </w:p>
        </w:tc>
        <w:tc>
          <w:tcPr>
            <w:tcW w:w="129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数量指标</w:t>
            </w:r>
          </w:p>
        </w:tc>
        <w:tc>
          <w:tcPr>
            <w:tcW w:w="198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引进和招聘人才数量（人）</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92人</w:t>
            </w:r>
          </w:p>
        </w:tc>
        <w:tc>
          <w:tcPr>
            <w:tcW w:w="110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92人</w:t>
            </w:r>
          </w:p>
        </w:tc>
        <w:tc>
          <w:tcPr>
            <w:tcW w:w="125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5" w:hRule="atLeast"/>
        </w:trPr>
        <w:tc>
          <w:tcPr>
            <w:tcW w:w="0" w:type="auto"/>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宋体" w:hAnsi="宋体" w:eastAsia="宋体" w:cs="宋体"/>
                <w:i w:val="0"/>
                <w:iCs w:val="0"/>
                <w:color w:val="000000"/>
                <w:sz w:val="18"/>
                <w:szCs w:val="18"/>
                <w:u w:val="none"/>
              </w:rPr>
            </w:pPr>
          </w:p>
        </w:tc>
        <w:tc>
          <w:tcPr>
            <w:tcW w:w="78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宋体" w:hAnsi="宋体" w:eastAsia="宋体" w:cs="宋体"/>
                <w:i w:val="0"/>
                <w:iCs w:val="0"/>
                <w:color w:val="000000"/>
                <w:sz w:val="18"/>
                <w:szCs w:val="18"/>
                <w:u w:val="none"/>
              </w:rPr>
            </w:pPr>
          </w:p>
        </w:tc>
        <w:tc>
          <w:tcPr>
            <w:tcW w:w="129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质量指标</w:t>
            </w:r>
          </w:p>
        </w:tc>
        <w:tc>
          <w:tcPr>
            <w:tcW w:w="198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引进人才到岗率（%）</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≧95%</w:t>
            </w:r>
          </w:p>
        </w:tc>
        <w:tc>
          <w:tcPr>
            <w:tcW w:w="110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90%</w:t>
            </w:r>
          </w:p>
        </w:tc>
        <w:tc>
          <w:tcPr>
            <w:tcW w:w="125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存在中途放弃人员</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5" w:hRule="atLeast"/>
        </w:trPr>
        <w:tc>
          <w:tcPr>
            <w:tcW w:w="0" w:type="auto"/>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宋体" w:hAnsi="宋体" w:eastAsia="宋体" w:cs="宋体"/>
                <w:i w:val="0"/>
                <w:iCs w:val="0"/>
                <w:color w:val="000000"/>
                <w:sz w:val="18"/>
                <w:szCs w:val="18"/>
                <w:u w:val="none"/>
              </w:rPr>
            </w:pPr>
          </w:p>
        </w:tc>
        <w:tc>
          <w:tcPr>
            <w:tcW w:w="78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宋体" w:hAnsi="宋体" w:eastAsia="宋体" w:cs="宋体"/>
                <w:i w:val="0"/>
                <w:iCs w:val="0"/>
                <w:color w:val="000000"/>
                <w:sz w:val="18"/>
                <w:szCs w:val="18"/>
                <w:u w:val="none"/>
              </w:rPr>
            </w:pPr>
          </w:p>
        </w:tc>
        <w:tc>
          <w:tcPr>
            <w:tcW w:w="129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时效指标</w:t>
            </w:r>
          </w:p>
        </w:tc>
        <w:tc>
          <w:tcPr>
            <w:tcW w:w="198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兑现工作经费及时率（%）</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≧90%</w:t>
            </w:r>
          </w:p>
        </w:tc>
        <w:tc>
          <w:tcPr>
            <w:tcW w:w="110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85%</w:t>
            </w:r>
          </w:p>
        </w:tc>
        <w:tc>
          <w:tcPr>
            <w:tcW w:w="125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资金分两笔下达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48" w:hRule="atLeast"/>
        </w:trPr>
        <w:tc>
          <w:tcPr>
            <w:tcW w:w="0" w:type="auto"/>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宋体" w:hAnsi="宋体" w:eastAsia="宋体" w:cs="宋体"/>
                <w:i w:val="0"/>
                <w:iCs w:val="0"/>
                <w:color w:val="000000"/>
                <w:sz w:val="18"/>
                <w:szCs w:val="18"/>
                <w:u w:val="none"/>
              </w:rPr>
            </w:pPr>
          </w:p>
        </w:tc>
        <w:tc>
          <w:tcPr>
            <w:tcW w:w="78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宋体" w:hAnsi="宋体" w:eastAsia="宋体" w:cs="宋体"/>
                <w:i w:val="0"/>
                <w:iCs w:val="0"/>
                <w:color w:val="000000"/>
                <w:sz w:val="18"/>
                <w:szCs w:val="18"/>
                <w:u w:val="none"/>
              </w:rPr>
            </w:pPr>
          </w:p>
        </w:tc>
        <w:tc>
          <w:tcPr>
            <w:tcW w:w="129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成本指标</w:t>
            </w:r>
          </w:p>
        </w:tc>
        <w:tc>
          <w:tcPr>
            <w:tcW w:w="198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公开引进高层次人才和招聘急需专业人才工作经费（万元）</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≦60万元</w:t>
            </w:r>
          </w:p>
        </w:tc>
        <w:tc>
          <w:tcPr>
            <w:tcW w:w="110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60万元</w:t>
            </w:r>
          </w:p>
        </w:tc>
        <w:tc>
          <w:tcPr>
            <w:tcW w:w="125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5" w:hRule="atLeast"/>
        </w:trPr>
        <w:tc>
          <w:tcPr>
            <w:tcW w:w="0" w:type="auto"/>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宋体" w:hAnsi="宋体" w:eastAsia="宋体" w:cs="宋体"/>
                <w:i w:val="0"/>
                <w:iCs w:val="0"/>
                <w:color w:val="000000"/>
                <w:sz w:val="18"/>
                <w:szCs w:val="18"/>
                <w:u w:val="none"/>
              </w:rPr>
            </w:pPr>
          </w:p>
        </w:tc>
        <w:tc>
          <w:tcPr>
            <w:tcW w:w="78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效益指标</w:t>
            </w:r>
          </w:p>
        </w:tc>
        <w:tc>
          <w:tcPr>
            <w:tcW w:w="129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社会效益</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指标</w:t>
            </w:r>
          </w:p>
        </w:tc>
        <w:tc>
          <w:tcPr>
            <w:tcW w:w="198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扩充人才队伍</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高中低</w:t>
            </w:r>
          </w:p>
        </w:tc>
        <w:tc>
          <w:tcPr>
            <w:tcW w:w="110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高</w:t>
            </w:r>
          </w:p>
        </w:tc>
        <w:tc>
          <w:tcPr>
            <w:tcW w:w="125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5" w:hRule="atLeast"/>
        </w:trPr>
        <w:tc>
          <w:tcPr>
            <w:tcW w:w="0" w:type="auto"/>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宋体" w:hAnsi="宋体" w:eastAsia="宋体" w:cs="宋体"/>
                <w:i w:val="0"/>
                <w:iCs w:val="0"/>
                <w:color w:val="000000"/>
                <w:sz w:val="18"/>
                <w:szCs w:val="18"/>
                <w:u w:val="none"/>
              </w:rPr>
            </w:pPr>
          </w:p>
        </w:tc>
        <w:tc>
          <w:tcPr>
            <w:tcW w:w="78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宋体" w:hAnsi="宋体" w:eastAsia="宋体" w:cs="宋体"/>
                <w:i w:val="0"/>
                <w:iCs w:val="0"/>
                <w:color w:val="000000"/>
                <w:sz w:val="18"/>
                <w:szCs w:val="18"/>
                <w:u w:val="none"/>
              </w:rPr>
            </w:pPr>
          </w:p>
        </w:tc>
        <w:tc>
          <w:tcPr>
            <w:tcW w:w="129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可持续影响指标</w:t>
            </w:r>
          </w:p>
        </w:tc>
        <w:tc>
          <w:tcPr>
            <w:tcW w:w="198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传播惜才、爱才精神</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高中低</w:t>
            </w:r>
          </w:p>
        </w:tc>
        <w:tc>
          <w:tcPr>
            <w:tcW w:w="110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高</w:t>
            </w:r>
          </w:p>
        </w:tc>
        <w:tc>
          <w:tcPr>
            <w:tcW w:w="125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5" w:hRule="atLeast"/>
        </w:trPr>
        <w:tc>
          <w:tcPr>
            <w:tcW w:w="0" w:type="auto"/>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宋体" w:hAnsi="宋体" w:eastAsia="宋体" w:cs="宋体"/>
                <w:i w:val="0"/>
                <w:iCs w:val="0"/>
                <w:color w:val="000000"/>
                <w:sz w:val="18"/>
                <w:szCs w:val="18"/>
                <w:u w:val="none"/>
              </w:rPr>
            </w:pPr>
          </w:p>
        </w:tc>
        <w:tc>
          <w:tcPr>
            <w:tcW w:w="78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宋体" w:hAnsi="宋体" w:eastAsia="宋体" w:cs="宋体"/>
                <w:i w:val="0"/>
                <w:iCs w:val="0"/>
                <w:color w:val="000000"/>
                <w:sz w:val="18"/>
                <w:szCs w:val="18"/>
                <w:u w:val="none"/>
              </w:rPr>
            </w:pPr>
          </w:p>
        </w:tc>
        <w:tc>
          <w:tcPr>
            <w:tcW w:w="129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经济效益指标</w:t>
            </w:r>
          </w:p>
        </w:tc>
        <w:tc>
          <w:tcPr>
            <w:tcW w:w="198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推动经济社会发展</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高中低</w:t>
            </w:r>
          </w:p>
        </w:tc>
        <w:tc>
          <w:tcPr>
            <w:tcW w:w="110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高</w:t>
            </w:r>
          </w:p>
        </w:tc>
        <w:tc>
          <w:tcPr>
            <w:tcW w:w="125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0" w:type="auto"/>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宋体" w:hAnsi="宋体" w:eastAsia="宋体" w:cs="宋体"/>
                <w:i w:val="0"/>
                <w:iCs w:val="0"/>
                <w:color w:val="000000"/>
                <w:sz w:val="18"/>
                <w:szCs w:val="18"/>
                <w:u w:val="none"/>
              </w:rPr>
            </w:pPr>
          </w:p>
        </w:tc>
        <w:tc>
          <w:tcPr>
            <w:tcW w:w="78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满意度</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指标</w:t>
            </w:r>
          </w:p>
        </w:tc>
        <w:tc>
          <w:tcPr>
            <w:tcW w:w="129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服务对象满意度指标</w:t>
            </w:r>
          </w:p>
        </w:tc>
        <w:tc>
          <w:tcPr>
            <w:tcW w:w="198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服务对象满意度（%）</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≧95%</w:t>
            </w:r>
          </w:p>
        </w:tc>
        <w:tc>
          <w:tcPr>
            <w:tcW w:w="110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95%</w:t>
            </w:r>
          </w:p>
        </w:tc>
        <w:tc>
          <w:tcPr>
            <w:tcW w:w="125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59" w:hRule="atLeast"/>
        </w:trPr>
        <w:tc>
          <w:tcPr>
            <w:tcW w:w="0" w:type="auto"/>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c>
          <w:tcPr>
            <w:tcW w:w="78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29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服务对象满意度指标</w:t>
            </w:r>
          </w:p>
        </w:tc>
        <w:tc>
          <w:tcPr>
            <w:tcW w:w="198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政府满意度（%）</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≧95%</w:t>
            </w:r>
          </w:p>
        </w:tc>
        <w:tc>
          <w:tcPr>
            <w:tcW w:w="110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95%</w:t>
            </w:r>
          </w:p>
        </w:tc>
        <w:tc>
          <w:tcPr>
            <w:tcW w:w="1256"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bl>
    <w:p>
      <w:pPr>
        <w:rPr>
          <w:rFonts w:hint="eastAsia" w:cs="Times New Roman"/>
          <w:sz w:val="32"/>
          <w:szCs w:val="32"/>
          <w:highlight w:val="none"/>
          <w:lang w:val="zh-CN"/>
        </w:rPr>
        <w:sectPr>
          <w:pgSz w:w="11906" w:h="16838"/>
          <w:pgMar w:top="1984" w:right="1474" w:bottom="1871" w:left="1587" w:header="851" w:footer="992" w:gutter="0"/>
          <w:pgNumType w:fmt="decimal"/>
          <w:cols w:space="0" w:num="1"/>
          <w:titlePg/>
          <w:rtlGutter w:val="0"/>
          <w:docGrid w:type="lines" w:linePitch="312" w:charSpace="0"/>
        </w:sectPr>
      </w:pPr>
    </w:p>
    <w:p>
      <w:pPr>
        <w:keepNext w:val="0"/>
        <w:keepLines w:val="0"/>
        <w:pageBreakBefore w:val="0"/>
        <w:widowControl/>
        <w:kinsoku/>
        <w:wordWrap/>
        <w:overflowPunct/>
        <w:topLinePunct w:val="0"/>
        <w:autoSpaceDE/>
        <w:autoSpaceDN/>
        <w:bidi w:val="0"/>
        <w:adjustRightInd w:val="0"/>
        <w:snapToGrid w:val="0"/>
        <w:spacing w:line="576" w:lineRule="exact"/>
        <w:contextualSpacing/>
        <w:jc w:val="left"/>
        <w:textAlignment w:val="auto"/>
        <w:outlineLvl w:val="1"/>
        <w:rPr>
          <w:rFonts w:hint="default" w:ascii="黑体" w:hAnsi="黑体" w:eastAsia="黑体" w:cs="黑体"/>
          <w:b w:val="0"/>
          <w:bCs/>
          <w:color w:val="auto"/>
          <w:sz w:val="32"/>
          <w:szCs w:val="32"/>
          <w:highlight w:val="none"/>
          <w:shd w:val="clear" w:color="auto" w:fill="FFFFFF"/>
          <w:lang w:val="en-US" w:eastAsia="zh-CN"/>
        </w:rPr>
      </w:pPr>
      <w:bookmarkStart w:id="104" w:name="_Toc26886"/>
      <w:r>
        <w:rPr>
          <w:rFonts w:hint="eastAsia" w:ascii="黑体" w:hAnsi="黑体" w:eastAsia="黑体" w:cs="黑体"/>
          <w:b w:val="0"/>
          <w:bCs/>
          <w:color w:val="auto"/>
          <w:sz w:val="32"/>
          <w:szCs w:val="32"/>
          <w:highlight w:val="none"/>
          <w:shd w:val="clear" w:color="auto" w:fill="FFFFFF"/>
          <w:lang w:val="en-US" w:eastAsia="zh-CN"/>
        </w:rPr>
        <w:t>附件6</w:t>
      </w:r>
      <w:bookmarkEnd w:id="104"/>
    </w:p>
    <w:p>
      <w:pPr>
        <w:pStyle w:val="2"/>
        <w:rPr>
          <w:rFonts w:hint="eastAsia"/>
          <w:lang w:val="zh-CN"/>
        </w:rPr>
      </w:pPr>
    </w:p>
    <w:p>
      <w:pPr>
        <w:pStyle w:val="6"/>
        <w:keepNext w:val="0"/>
        <w:keepLines w:val="0"/>
        <w:pageBreakBefore w:val="0"/>
        <w:widowControl w:val="0"/>
        <w:kinsoku/>
        <w:wordWrap/>
        <w:overflowPunct/>
        <w:topLinePunct w:val="0"/>
        <w:autoSpaceDE/>
        <w:autoSpaceDN/>
        <w:bidi w:val="0"/>
        <w:adjustRightInd/>
        <w:snapToGrid/>
        <w:spacing w:line="576" w:lineRule="exact"/>
        <w:jc w:val="center"/>
        <w:textAlignment w:val="auto"/>
        <w:outlineLvl w:val="1"/>
        <w:rPr>
          <w:rFonts w:hint="eastAsia" w:ascii="方正小标宋简体" w:hAnsi="方正小标宋简体" w:eastAsia="方正小标宋简体" w:cs="方正小标宋简体"/>
          <w:sz w:val="44"/>
          <w:szCs w:val="44"/>
          <w:highlight w:val="none"/>
          <w:lang w:val="en-US" w:eastAsia="zh-CN"/>
        </w:rPr>
      </w:pPr>
      <w:bookmarkStart w:id="105" w:name="_Toc4599"/>
      <w:r>
        <w:rPr>
          <w:rFonts w:hint="eastAsia" w:ascii="方正小标宋简体" w:hAnsi="方正小标宋简体" w:eastAsia="方正小标宋简体" w:cs="方正小标宋简体"/>
          <w:sz w:val="44"/>
          <w:szCs w:val="44"/>
          <w:highlight w:val="none"/>
          <w:lang w:val="en-US" w:eastAsia="zh-CN"/>
        </w:rPr>
        <w:t>广元市昭化区人力资源和社会保障局</w:t>
      </w:r>
      <w:r>
        <w:rPr>
          <w:rFonts w:hint="eastAsia" w:ascii="方正小标宋简体" w:hAnsi="方正小标宋简体" w:eastAsia="方正小标宋简体" w:cs="方正小标宋简体"/>
          <w:sz w:val="44"/>
          <w:szCs w:val="44"/>
          <w:highlight w:val="none"/>
          <w:lang w:val="zh-CN" w:eastAsia="zh-CN"/>
        </w:rPr>
        <w:t>普惠金融发展专项资金项目支出自评报告（自评表）</w:t>
      </w:r>
      <w:bookmarkEnd w:id="105"/>
    </w:p>
    <w:p>
      <w:pPr>
        <w:keepNext w:val="0"/>
        <w:keepLines w:val="0"/>
        <w:pageBreakBefore w:val="0"/>
        <w:widowControl w:val="0"/>
        <w:numPr>
          <w:ilvl w:val="0"/>
          <w:numId w:val="0"/>
        </w:numPr>
        <w:kinsoku/>
        <w:wordWrap/>
        <w:overflowPunct/>
        <w:topLinePunct w:val="0"/>
        <w:autoSpaceDE/>
        <w:autoSpaceDN/>
        <w:bidi w:val="0"/>
        <w:adjustRightInd w:val="0"/>
        <w:snapToGrid w:val="0"/>
        <w:spacing w:line="576" w:lineRule="exact"/>
        <w:ind w:firstLine="640" w:firstLineChars="200"/>
        <w:textAlignment w:val="auto"/>
        <w:rPr>
          <w:rFonts w:hint="default" w:ascii="Times New Roman" w:hAnsi="Times New Roman" w:eastAsia="黑体" w:cs="Times New Roman"/>
          <w:kern w:val="2"/>
          <w:sz w:val="32"/>
          <w:szCs w:val="32"/>
          <w:highlight w:val="none"/>
          <w:lang w:val="zh-CN" w:eastAsia="zh-CN" w:bidi="ar-SA"/>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576" w:lineRule="exact"/>
        <w:ind w:firstLine="640" w:firstLineChars="200"/>
        <w:textAlignment w:val="auto"/>
        <w:rPr>
          <w:rFonts w:hint="default" w:ascii="Times New Roman" w:hAnsi="Times New Roman" w:eastAsia="黑体" w:cs="Times New Roman"/>
          <w:sz w:val="32"/>
          <w:szCs w:val="32"/>
          <w:highlight w:val="none"/>
          <w:lang w:val="zh-CN"/>
        </w:rPr>
      </w:pPr>
      <w:r>
        <w:rPr>
          <w:rFonts w:hint="default" w:ascii="Times New Roman" w:hAnsi="Times New Roman" w:eastAsia="黑体" w:cs="Times New Roman"/>
          <w:kern w:val="2"/>
          <w:sz w:val="32"/>
          <w:szCs w:val="32"/>
          <w:highlight w:val="none"/>
          <w:lang w:val="zh-CN" w:eastAsia="zh-CN" w:bidi="ar-SA"/>
        </w:rPr>
        <w:t>一、</w:t>
      </w:r>
      <w:r>
        <w:rPr>
          <w:rFonts w:hint="default" w:ascii="Times New Roman" w:hAnsi="Times New Roman" w:eastAsia="黑体" w:cs="Times New Roman"/>
          <w:sz w:val="32"/>
          <w:szCs w:val="32"/>
          <w:highlight w:val="none"/>
          <w:lang w:val="zh-CN"/>
        </w:rPr>
        <w:t>项目概况</w:t>
      </w:r>
    </w:p>
    <w:p>
      <w:pPr>
        <w:keepNext w:val="0"/>
        <w:keepLines w:val="0"/>
        <w:pageBreakBefore w:val="0"/>
        <w:widowControl w:val="0"/>
        <w:numPr>
          <w:ilvl w:val="0"/>
          <w:numId w:val="0"/>
        </w:numPr>
        <w:kinsoku/>
        <w:wordWrap/>
        <w:overflowPunct/>
        <w:topLinePunct w:val="0"/>
        <w:autoSpaceDE/>
        <w:autoSpaceDN/>
        <w:bidi w:val="0"/>
        <w:adjustRightInd w:val="0"/>
        <w:snapToGrid w:val="0"/>
        <w:spacing w:line="576" w:lineRule="exact"/>
        <w:ind w:firstLine="643" w:firstLineChars="200"/>
        <w:textAlignment w:val="auto"/>
        <w:rPr>
          <w:rFonts w:hint="eastAsia" w:eastAsia="楷体_GB2312" w:cs="Times New Roman"/>
          <w:b/>
          <w:sz w:val="32"/>
          <w:szCs w:val="32"/>
          <w:highlight w:val="none"/>
          <w:lang w:val="zh-CN"/>
        </w:rPr>
      </w:pPr>
      <w:r>
        <w:rPr>
          <w:rFonts w:hint="eastAsia" w:eastAsia="楷体_GB2312" w:cs="Times New Roman"/>
          <w:b/>
          <w:sz w:val="32"/>
          <w:szCs w:val="32"/>
          <w:highlight w:val="none"/>
          <w:lang w:val="zh-CN"/>
        </w:rPr>
        <w:t>（一）</w:t>
      </w:r>
      <w:r>
        <w:rPr>
          <w:rFonts w:hint="default" w:ascii="Times New Roman" w:hAnsi="Times New Roman" w:eastAsia="楷体_GB2312" w:cs="Times New Roman"/>
          <w:b/>
          <w:sz w:val="32"/>
          <w:szCs w:val="32"/>
          <w:highlight w:val="none"/>
          <w:lang w:val="zh-CN"/>
        </w:rPr>
        <w:t>项目</w:t>
      </w:r>
      <w:r>
        <w:rPr>
          <w:rFonts w:hint="eastAsia" w:eastAsia="楷体_GB2312" w:cs="Times New Roman"/>
          <w:b/>
          <w:sz w:val="32"/>
          <w:szCs w:val="32"/>
          <w:highlight w:val="none"/>
          <w:lang w:val="zh-CN"/>
        </w:rPr>
        <w:t>资金申报及批复情况。</w:t>
      </w:r>
    </w:p>
    <w:p>
      <w:pPr>
        <w:keepNext w:val="0"/>
        <w:keepLines w:val="0"/>
        <w:pageBreakBefore w:val="0"/>
        <w:widowControl w:val="0"/>
        <w:numPr>
          <w:ilvl w:val="0"/>
          <w:numId w:val="0"/>
        </w:numPr>
        <w:kinsoku/>
        <w:wordWrap/>
        <w:overflowPunct/>
        <w:topLinePunct w:val="0"/>
        <w:autoSpaceDE/>
        <w:autoSpaceDN/>
        <w:bidi w:val="0"/>
        <w:adjustRightInd w:val="0"/>
        <w:snapToGrid w:val="0"/>
        <w:spacing w:line="576" w:lineRule="exact"/>
        <w:ind w:firstLine="640" w:firstLineChars="200"/>
        <w:textAlignment w:val="auto"/>
        <w:rPr>
          <w:rFonts w:hint="default" w:ascii="Times New Roman" w:hAnsi="Times New Roman" w:eastAsia="仿宋_GB2312" w:cs="Times New Roman"/>
          <w:kern w:val="0"/>
          <w:sz w:val="32"/>
          <w:szCs w:val="32"/>
          <w:highlight w:val="none"/>
          <w:lang w:val="en-US" w:eastAsia="zh-CN" w:bidi="ar-SA"/>
        </w:rPr>
      </w:pPr>
      <w:r>
        <w:rPr>
          <w:rFonts w:hint="eastAsia" w:ascii="Times New Roman" w:hAnsi="Times New Roman" w:eastAsia="仿宋_GB2312" w:cs="Times New Roman"/>
          <w:kern w:val="0"/>
          <w:sz w:val="32"/>
          <w:szCs w:val="32"/>
          <w:highlight w:val="none"/>
          <w:lang w:val="zh-CN" w:eastAsia="zh-CN" w:bidi="ar-SA"/>
        </w:rPr>
        <w:t>普惠金融发展专项资金是根据（昭财金〔2022〕5号）下达我单位的年度追加项目，属上级资金，共计</w:t>
      </w:r>
      <w:r>
        <w:rPr>
          <w:rFonts w:hint="eastAsia" w:ascii="Times New Roman" w:hAnsi="Times New Roman" w:eastAsia="仿宋_GB2312" w:cs="Times New Roman"/>
          <w:kern w:val="0"/>
          <w:sz w:val="32"/>
          <w:szCs w:val="32"/>
          <w:highlight w:val="none"/>
          <w:lang w:val="en-US" w:eastAsia="zh-CN" w:bidi="ar-SA"/>
        </w:rPr>
        <w:t>121.88万元；</w:t>
      </w:r>
      <w:r>
        <w:rPr>
          <w:rFonts w:hint="eastAsia" w:ascii="Times New Roman" w:hAnsi="Times New Roman" w:eastAsia="仿宋_GB2312" w:cs="Times New Roman"/>
          <w:kern w:val="0"/>
          <w:sz w:val="32"/>
          <w:szCs w:val="32"/>
          <w:highlight w:val="none"/>
          <w:lang w:val="zh-CN" w:eastAsia="zh-CN" w:bidi="ar-SA"/>
        </w:rPr>
        <w:t>我单位</w:t>
      </w:r>
      <w:r>
        <w:rPr>
          <w:rFonts w:hint="eastAsia" w:ascii="Times New Roman" w:hAnsi="Times New Roman" w:eastAsia="仿宋_GB2312" w:cs="Times New Roman"/>
          <w:kern w:val="0"/>
          <w:sz w:val="32"/>
          <w:szCs w:val="32"/>
          <w:highlight w:val="none"/>
          <w:lang w:val="en-US" w:eastAsia="zh-CN" w:bidi="ar-SA"/>
        </w:rPr>
        <w:t>严格按照预算要求编制、立项；资金申报按照项目支付需求，领导审批同意报请财政局审批；所有资金管理流程符合相关规定。</w:t>
      </w:r>
    </w:p>
    <w:p>
      <w:pPr>
        <w:keepNext w:val="0"/>
        <w:keepLines w:val="0"/>
        <w:pageBreakBefore w:val="0"/>
        <w:widowControl w:val="0"/>
        <w:kinsoku/>
        <w:wordWrap/>
        <w:overflowPunct/>
        <w:topLinePunct w:val="0"/>
        <w:autoSpaceDE/>
        <w:autoSpaceDN/>
        <w:bidi w:val="0"/>
        <w:adjustRightInd w:val="0"/>
        <w:snapToGrid w:val="0"/>
        <w:spacing w:line="576" w:lineRule="exact"/>
        <w:ind w:firstLine="643" w:firstLineChars="200"/>
        <w:textAlignment w:val="auto"/>
        <w:rPr>
          <w:rFonts w:hint="default" w:ascii="Times New Roman" w:hAnsi="Times New Roman" w:eastAsia="楷体_GB2312" w:cs="Times New Roman"/>
          <w:b/>
          <w:sz w:val="32"/>
          <w:szCs w:val="32"/>
          <w:highlight w:val="none"/>
          <w:lang w:val="zh-CN"/>
        </w:rPr>
      </w:pPr>
      <w:r>
        <w:rPr>
          <w:rFonts w:hint="default" w:ascii="Times New Roman" w:hAnsi="Times New Roman" w:eastAsia="楷体_GB2312" w:cs="Times New Roman"/>
          <w:b/>
          <w:sz w:val="32"/>
          <w:szCs w:val="32"/>
          <w:highlight w:val="none"/>
          <w:lang w:val="zh-CN"/>
        </w:rPr>
        <w:t>（二）项目绩效目标。</w:t>
      </w:r>
    </w:p>
    <w:p>
      <w:pPr>
        <w:keepNext w:val="0"/>
        <w:keepLines w:val="0"/>
        <w:pageBreakBefore w:val="0"/>
        <w:widowControl w:val="0"/>
        <w:numPr>
          <w:ilvl w:val="0"/>
          <w:numId w:val="0"/>
        </w:numPr>
        <w:kinsoku/>
        <w:wordWrap/>
        <w:overflowPunct/>
        <w:topLinePunct w:val="0"/>
        <w:autoSpaceDE/>
        <w:autoSpaceDN/>
        <w:bidi w:val="0"/>
        <w:adjustRightInd w:val="0"/>
        <w:snapToGrid w:val="0"/>
        <w:spacing w:line="576" w:lineRule="exact"/>
        <w:ind w:firstLine="640" w:firstLineChars="200"/>
        <w:textAlignment w:val="auto"/>
        <w:rPr>
          <w:rFonts w:hint="eastAsia" w:ascii="Times New Roman" w:hAnsi="Times New Roman" w:eastAsia="仿宋_GB2312" w:cs="Times New Roman"/>
          <w:kern w:val="0"/>
          <w:sz w:val="32"/>
          <w:szCs w:val="32"/>
          <w:highlight w:val="none"/>
          <w:lang w:val="en-US" w:eastAsia="zh-CN" w:bidi="ar-SA"/>
        </w:rPr>
      </w:pPr>
      <w:r>
        <w:rPr>
          <w:rFonts w:hint="default" w:ascii="Times New Roman" w:hAnsi="Times New Roman" w:eastAsia="仿宋_GB2312" w:cs="Times New Roman"/>
          <w:kern w:val="0"/>
          <w:sz w:val="32"/>
          <w:szCs w:val="32"/>
          <w:highlight w:val="none"/>
          <w:lang w:val="zh-CN" w:eastAsia="zh-CN" w:bidi="ar-SA"/>
        </w:rPr>
        <w:t>支持农村金融组织体系建设，扩大农村金融服务覆盖面。支持重点群体和符合条件的小微企业融资发展。支持地方因地制宜打造各具特色的普惠金融发展示范区，增强金融普惠性，推动普惠金融高质量发展。</w:t>
      </w:r>
      <w:r>
        <w:rPr>
          <w:rFonts w:hint="eastAsia" w:ascii="Times New Roman" w:hAnsi="Times New Roman" w:eastAsia="仿宋_GB2312" w:cs="Times New Roman"/>
          <w:kern w:val="0"/>
          <w:sz w:val="32"/>
          <w:szCs w:val="32"/>
          <w:highlight w:val="none"/>
          <w:lang w:val="en-US" w:eastAsia="zh-CN" w:bidi="ar-SA"/>
        </w:rPr>
        <w:t>创业担保贷款发放额增长率大于等于10%，创业担保贷款回收率大于等于90%，资金足额拨付率100%，地方配套到位率100%，创业担保基金放大倍数大于等于2倍，金融机构网点覆盖率大于等于80%，申请定向费用补贴金额机构满意度大于等于80%，申报创业担保贷款贴息个人满意度大于等于80%，申报创业担保贷款贴息小微企业的满意度大于等于80%。</w:t>
      </w:r>
    </w:p>
    <w:p>
      <w:pPr>
        <w:keepNext w:val="0"/>
        <w:keepLines w:val="0"/>
        <w:pageBreakBefore w:val="0"/>
        <w:widowControl w:val="0"/>
        <w:kinsoku/>
        <w:wordWrap/>
        <w:overflowPunct/>
        <w:topLinePunct w:val="0"/>
        <w:autoSpaceDE/>
        <w:autoSpaceDN/>
        <w:bidi w:val="0"/>
        <w:adjustRightInd w:val="0"/>
        <w:snapToGrid w:val="0"/>
        <w:spacing w:line="576" w:lineRule="exact"/>
        <w:ind w:firstLine="643" w:firstLineChars="200"/>
        <w:textAlignment w:val="auto"/>
        <w:rPr>
          <w:rFonts w:hint="default" w:ascii="Times New Roman" w:hAnsi="Times New Roman" w:eastAsia="楷体_GB2312" w:cs="Times New Roman"/>
          <w:b/>
          <w:sz w:val="32"/>
          <w:szCs w:val="32"/>
          <w:highlight w:val="none"/>
          <w:lang w:val="zh-CN"/>
        </w:rPr>
      </w:pPr>
      <w:r>
        <w:rPr>
          <w:rFonts w:hint="default" w:ascii="Times New Roman" w:hAnsi="Times New Roman" w:eastAsia="楷体_GB2312" w:cs="Times New Roman"/>
          <w:b/>
          <w:sz w:val="32"/>
          <w:szCs w:val="32"/>
          <w:highlight w:val="none"/>
          <w:lang w:val="zh-CN"/>
        </w:rPr>
        <w:t>（三）项目资金申报相符性。</w:t>
      </w:r>
    </w:p>
    <w:p>
      <w:pPr>
        <w:keepNext w:val="0"/>
        <w:keepLines w:val="0"/>
        <w:pageBreakBefore w:val="0"/>
        <w:widowControl w:val="0"/>
        <w:numPr>
          <w:ilvl w:val="0"/>
          <w:numId w:val="0"/>
        </w:numPr>
        <w:kinsoku/>
        <w:wordWrap/>
        <w:overflowPunct/>
        <w:topLinePunct w:val="0"/>
        <w:autoSpaceDE/>
        <w:autoSpaceDN/>
        <w:bidi w:val="0"/>
        <w:adjustRightInd w:val="0"/>
        <w:snapToGrid w:val="0"/>
        <w:spacing w:line="576" w:lineRule="exact"/>
        <w:ind w:firstLine="640" w:firstLineChars="200"/>
        <w:textAlignment w:val="auto"/>
        <w:rPr>
          <w:rFonts w:hint="eastAsia" w:ascii="Times New Roman" w:hAnsi="Times New Roman" w:eastAsia="仿宋_GB2312" w:cs="Times New Roman"/>
          <w:kern w:val="0"/>
          <w:sz w:val="32"/>
          <w:szCs w:val="32"/>
          <w:highlight w:val="none"/>
          <w:lang w:val="en-US" w:eastAsia="zh-CN" w:bidi="ar-SA"/>
        </w:rPr>
      </w:pPr>
      <w:r>
        <w:rPr>
          <w:rFonts w:hint="eastAsia" w:ascii="Times New Roman" w:hAnsi="Times New Roman" w:eastAsia="仿宋_GB2312" w:cs="Times New Roman"/>
          <w:kern w:val="0"/>
          <w:sz w:val="32"/>
          <w:szCs w:val="32"/>
          <w:highlight w:val="none"/>
          <w:lang w:val="zh-CN" w:eastAsia="zh-CN" w:bidi="ar-SA"/>
        </w:rPr>
        <w:t>普惠金融发展专项资金</w:t>
      </w:r>
      <w:r>
        <w:rPr>
          <w:rFonts w:hint="default" w:ascii="Times New Roman" w:hAnsi="Times New Roman" w:eastAsia="仿宋_GB2312" w:cs="Times New Roman"/>
          <w:kern w:val="0"/>
          <w:sz w:val="32"/>
          <w:szCs w:val="32"/>
          <w:highlight w:val="none"/>
          <w:lang w:val="zh-CN" w:eastAsia="zh-CN" w:bidi="ar-SA"/>
        </w:rPr>
        <w:t>项目申报内容与具体实施内容相符、申报目标</w:t>
      </w:r>
      <w:r>
        <w:rPr>
          <w:rFonts w:hint="eastAsia" w:ascii="Times New Roman" w:hAnsi="Times New Roman" w:eastAsia="仿宋_GB2312" w:cs="Times New Roman"/>
          <w:kern w:val="0"/>
          <w:sz w:val="32"/>
          <w:szCs w:val="32"/>
          <w:highlight w:val="none"/>
          <w:lang w:val="zh-CN" w:eastAsia="zh-CN" w:bidi="ar-SA"/>
        </w:rPr>
        <w:t>合</w:t>
      </w:r>
      <w:r>
        <w:rPr>
          <w:rFonts w:hint="default" w:ascii="Times New Roman" w:hAnsi="Times New Roman" w:eastAsia="仿宋_GB2312" w:cs="Times New Roman"/>
          <w:kern w:val="0"/>
          <w:sz w:val="32"/>
          <w:szCs w:val="32"/>
          <w:highlight w:val="none"/>
          <w:lang w:val="zh-CN" w:eastAsia="zh-CN" w:bidi="ar-SA"/>
        </w:rPr>
        <w:t>理可行。</w:t>
      </w:r>
    </w:p>
    <w:p>
      <w:pPr>
        <w:keepNext w:val="0"/>
        <w:keepLines w:val="0"/>
        <w:pageBreakBefore w:val="0"/>
        <w:widowControl w:val="0"/>
        <w:kinsoku/>
        <w:wordWrap/>
        <w:overflowPunct/>
        <w:topLinePunct w:val="0"/>
        <w:autoSpaceDE/>
        <w:autoSpaceDN/>
        <w:bidi w:val="0"/>
        <w:adjustRightInd w:val="0"/>
        <w:snapToGrid w:val="0"/>
        <w:spacing w:line="576" w:lineRule="exact"/>
        <w:ind w:firstLine="640" w:firstLineChars="200"/>
        <w:textAlignment w:val="auto"/>
        <w:rPr>
          <w:rFonts w:hint="default" w:ascii="Times New Roman" w:hAnsi="Times New Roman" w:eastAsia="黑体" w:cs="Times New Roman"/>
          <w:sz w:val="32"/>
          <w:szCs w:val="32"/>
          <w:highlight w:val="none"/>
        </w:rPr>
      </w:pPr>
      <w:r>
        <w:rPr>
          <w:rFonts w:hint="default" w:ascii="Times New Roman" w:hAnsi="Times New Roman" w:eastAsia="黑体" w:cs="Times New Roman"/>
          <w:sz w:val="32"/>
          <w:szCs w:val="32"/>
          <w:highlight w:val="none"/>
        </w:rPr>
        <w:t>二、项目实施及管理情况</w:t>
      </w:r>
    </w:p>
    <w:p>
      <w:pPr>
        <w:keepNext w:val="0"/>
        <w:keepLines w:val="0"/>
        <w:pageBreakBefore w:val="0"/>
        <w:widowControl w:val="0"/>
        <w:kinsoku/>
        <w:wordWrap/>
        <w:overflowPunct/>
        <w:topLinePunct w:val="0"/>
        <w:autoSpaceDE/>
        <w:autoSpaceDN/>
        <w:bidi w:val="0"/>
        <w:adjustRightInd w:val="0"/>
        <w:snapToGrid w:val="0"/>
        <w:spacing w:line="576" w:lineRule="exact"/>
        <w:ind w:firstLine="643" w:firstLineChars="200"/>
        <w:textAlignment w:val="auto"/>
        <w:rPr>
          <w:rFonts w:hint="default" w:ascii="Times New Roman" w:hAnsi="Times New Roman" w:eastAsia="楷体_GB2312" w:cs="Times New Roman"/>
          <w:b/>
          <w:sz w:val="32"/>
          <w:szCs w:val="32"/>
          <w:highlight w:val="none"/>
          <w:lang w:val="zh-CN"/>
        </w:rPr>
      </w:pPr>
      <w:r>
        <w:rPr>
          <w:rFonts w:hint="default" w:ascii="Times New Roman" w:hAnsi="Times New Roman" w:eastAsia="楷体_GB2312" w:cs="Times New Roman"/>
          <w:b/>
          <w:sz w:val="32"/>
          <w:szCs w:val="32"/>
          <w:highlight w:val="none"/>
          <w:lang w:val="zh-CN"/>
        </w:rPr>
        <w:t>（一）资金计划、到位及使用情况</w:t>
      </w:r>
    </w:p>
    <w:p>
      <w:pPr>
        <w:keepNext w:val="0"/>
        <w:keepLines w:val="0"/>
        <w:pageBreakBefore w:val="0"/>
        <w:widowControl w:val="0"/>
        <w:numPr>
          <w:ilvl w:val="0"/>
          <w:numId w:val="0"/>
        </w:numPr>
        <w:kinsoku/>
        <w:wordWrap/>
        <w:overflowPunct/>
        <w:topLinePunct w:val="0"/>
        <w:autoSpaceDE/>
        <w:autoSpaceDN/>
        <w:bidi w:val="0"/>
        <w:adjustRightInd w:val="0"/>
        <w:snapToGrid w:val="0"/>
        <w:spacing w:line="576" w:lineRule="exact"/>
        <w:ind w:firstLine="640" w:firstLineChars="200"/>
        <w:textAlignment w:val="auto"/>
        <w:rPr>
          <w:rFonts w:hint="default" w:ascii="Times New Roman" w:hAnsi="Times New Roman" w:eastAsia="仿宋_GB2312" w:cs="Times New Roman"/>
          <w:kern w:val="0"/>
          <w:sz w:val="32"/>
          <w:szCs w:val="32"/>
          <w:highlight w:val="none"/>
          <w:lang w:val="en-US" w:eastAsia="zh-CN" w:bidi="ar-SA"/>
        </w:rPr>
      </w:pPr>
      <w:r>
        <w:rPr>
          <w:rFonts w:hint="default" w:ascii="Times New Roman" w:hAnsi="Times New Roman" w:eastAsia="仿宋_GB2312" w:cs="Times New Roman"/>
          <w:kern w:val="0"/>
          <w:sz w:val="32"/>
          <w:szCs w:val="32"/>
          <w:highlight w:val="none"/>
          <w:lang w:val="zh-CN" w:eastAsia="zh-CN" w:bidi="ar-SA"/>
        </w:rPr>
        <w:t>1.资金计划及到位。</w:t>
      </w:r>
      <w:r>
        <w:rPr>
          <w:rFonts w:hint="eastAsia" w:ascii="Times New Roman" w:hAnsi="Times New Roman" w:eastAsia="仿宋_GB2312" w:cs="Times New Roman"/>
          <w:kern w:val="0"/>
          <w:sz w:val="32"/>
          <w:szCs w:val="32"/>
          <w:highlight w:val="none"/>
          <w:lang w:val="zh-CN" w:eastAsia="zh-CN" w:bidi="ar-SA"/>
        </w:rPr>
        <w:t>该项目年度追加</w:t>
      </w:r>
      <w:r>
        <w:rPr>
          <w:rFonts w:hint="eastAsia" w:ascii="Times New Roman" w:hAnsi="Times New Roman" w:eastAsia="仿宋_GB2312" w:cs="Times New Roman"/>
          <w:kern w:val="0"/>
          <w:sz w:val="32"/>
          <w:szCs w:val="32"/>
          <w:highlight w:val="none"/>
          <w:lang w:val="en-US" w:eastAsia="zh-CN" w:bidi="ar-SA"/>
        </w:rPr>
        <w:t>121.88万元，实际到位121.88万元，到位率100%。</w:t>
      </w:r>
    </w:p>
    <w:p>
      <w:pPr>
        <w:keepNext w:val="0"/>
        <w:keepLines w:val="0"/>
        <w:pageBreakBefore w:val="0"/>
        <w:widowControl w:val="0"/>
        <w:numPr>
          <w:ilvl w:val="0"/>
          <w:numId w:val="0"/>
        </w:numPr>
        <w:kinsoku/>
        <w:wordWrap/>
        <w:overflowPunct/>
        <w:topLinePunct w:val="0"/>
        <w:autoSpaceDE/>
        <w:autoSpaceDN/>
        <w:bidi w:val="0"/>
        <w:adjustRightInd w:val="0"/>
        <w:snapToGrid w:val="0"/>
        <w:spacing w:line="576" w:lineRule="exact"/>
        <w:ind w:firstLine="640" w:firstLineChars="200"/>
        <w:textAlignment w:val="auto"/>
        <w:rPr>
          <w:rFonts w:hint="default" w:ascii="Times New Roman" w:hAnsi="Times New Roman" w:eastAsia="仿宋_GB2312" w:cs="Times New Roman"/>
          <w:kern w:val="0"/>
          <w:sz w:val="32"/>
          <w:szCs w:val="32"/>
          <w:highlight w:val="none"/>
          <w:lang w:val="en-US" w:eastAsia="zh-CN" w:bidi="ar-SA"/>
        </w:rPr>
      </w:pPr>
      <w:r>
        <w:rPr>
          <w:rFonts w:hint="default" w:ascii="Times New Roman" w:hAnsi="Times New Roman" w:eastAsia="仿宋_GB2312" w:cs="Times New Roman"/>
          <w:kern w:val="0"/>
          <w:sz w:val="32"/>
          <w:szCs w:val="32"/>
          <w:highlight w:val="none"/>
          <w:lang w:val="zh-CN" w:eastAsia="zh-CN" w:bidi="ar-SA"/>
        </w:rPr>
        <w:t>2.资金使用。</w:t>
      </w:r>
      <w:r>
        <w:rPr>
          <w:rFonts w:hint="eastAsia" w:ascii="Times New Roman" w:hAnsi="Times New Roman" w:eastAsia="仿宋_GB2312" w:cs="Times New Roman"/>
          <w:kern w:val="0"/>
          <w:sz w:val="32"/>
          <w:szCs w:val="32"/>
          <w:highlight w:val="none"/>
          <w:lang w:val="zh-CN" w:eastAsia="zh-CN" w:bidi="ar-SA"/>
        </w:rPr>
        <w:t>用于符合条件的个人和小微企业创业担保贷款财政贴息，资金使用</w:t>
      </w:r>
      <w:r>
        <w:rPr>
          <w:rFonts w:hint="eastAsia" w:ascii="Times New Roman" w:hAnsi="Times New Roman" w:eastAsia="仿宋_GB2312" w:cs="Times New Roman"/>
          <w:kern w:val="0"/>
          <w:sz w:val="32"/>
          <w:szCs w:val="32"/>
          <w:highlight w:val="none"/>
          <w:lang w:val="en-US" w:eastAsia="zh-CN" w:bidi="ar-SA"/>
        </w:rPr>
        <w:t>121.88万元，使用率100%。</w:t>
      </w:r>
    </w:p>
    <w:p>
      <w:pPr>
        <w:keepNext w:val="0"/>
        <w:keepLines w:val="0"/>
        <w:pageBreakBefore w:val="0"/>
        <w:widowControl w:val="0"/>
        <w:kinsoku/>
        <w:wordWrap/>
        <w:overflowPunct/>
        <w:topLinePunct w:val="0"/>
        <w:autoSpaceDE/>
        <w:autoSpaceDN/>
        <w:bidi w:val="0"/>
        <w:adjustRightInd w:val="0"/>
        <w:snapToGrid w:val="0"/>
        <w:spacing w:line="576" w:lineRule="exact"/>
        <w:ind w:firstLine="643" w:firstLineChars="200"/>
        <w:textAlignment w:val="auto"/>
        <w:rPr>
          <w:rFonts w:hint="default" w:ascii="Times New Roman" w:hAnsi="Times New Roman" w:eastAsia="楷体_GB2312" w:cs="Times New Roman"/>
          <w:b/>
          <w:sz w:val="32"/>
          <w:szCs w:val="32"/>
          <w:highlight w:val="none"/>
          <w:lang w:val="zh-CN"/>
        </w:rPr>
      </w:pPr>
      <w:r>
        <w:rPr>
          <w:rFonts w:hint="default" w:ascii="Times New Roman" w:hAnsi="Times New Roman" w:eastAsia="楷体_GB2312" w:cs="Times New Roman"/>
          <w:b/>
          <w:sz w:val="32"/>
          <w:szCs w:val="32"/>
          <w:highlight w:val="none"/>
          <w:lang w:val="zh-CN"/>
        </w:rPr>
        <w:t>（二）项目财务管理情况</w:t>
      </w:r>
    </w:p>
    <w:p>
      <w:pPr>
        <w:keepNext w:val="0"/>
        <w:keepLines w:val="0"/>
        <w:pageBreakBefore w:val="0"/>
        <w:widowControl w:val="0"/>
        <w:numPr>
          <w:ilvl w:val="0"/>
          <w:numId w:val="0"/>
        </w:numPr>
        <w:kinsoku/>
        <w:wordWrap/>
        <w:overflowPunct/>
        <w:topLinePunct w:val="0"/>
        <w:autoSpaceDE/>
        <w:autoSpaceDN/>
        <w:bidi w:val="0"/>
        <w:adjustRightInd w:val="0"/>
        <w:snapToGrid w:val="0"/>
        <w:spacing w:line="576" w:lineRule="exact"/>
        <w:ind w:firstLine="640" w:firstLineChars="200"/>
        <w:textAlignment w:val="auto"/>
        <w:rPr>
          <w:rFonts w:hint="default" w:ascii="Times New Roman" w:hAnsi="Times New Roman" w:eastAsia="仿宋_GB2312" w:cs="Times New Roman"/>
          <w:kern w:val="0"/>
          <w:sz w:val="32"/>
          <w:szCs w:val="32"/>
          <w:highlight w:val="none"/>
          <w:lang w:val="en-US" w:eastAsia="zh-CN" w:bidi="ar-SA"/>
        </w:rPr>
      </w:pPr>
      <w:r>
        <w:rPr>
          <w:rFonts w:hint="eastAsia" w:ascii="Times New Roman" w:hAnsi="Times New Roman" w:eastAsia="仿宋_GB2312" w:cs="Times New Roman"/>
          <w:kern w:val="0"/>
          <w:sz w:val="32"/>
          <w:szCs w:val="32"/>
          <w:highlight w:val="none"/>
          <w:lang w:val="zh-CN" w:eastAsia="zh-CN" w:bidi="ar-SA"/>
        </w:rPr>
        <w:t>为有效落实项目资金的财务管理，我单位严格按照（昭财金〔2022〕5号）文件进行项目财务管理，严重按照项目支出综合预算、科学论证、合理排序、追踪问效的原则实施项目。项目资金的使用由就业服务中心、规划财务股按照职责分工进行财务管理。项目资金的会计核算和账务处理由各股室提供相关资金资料，报</w:t>
      </w:r>
      <w:r>
        <w:rPr>
          <w:rFonts w:hint="eastAsia" w:eastAsia="仿宋_GB2312" w:cs="Times New Roman"/>
          <w:kern w:val="0"/>
          <w:sz w:val="32"/>
          <w:szCs w:val="32"/>
          <w:highlight w:val="none"/>
          <w:lang w:val="zh-CN" w:eastAsia="zh-CN" w:bidi="ar-SA"/>
        </w:rPr>
        <w:t>规划</w:t>
      </w:r>
      <w:bookmarkStart w:id="133" w:name="_GoBack"/>
      <w:bookmarkEnd w:id="133"/>
      <w:r>
        <w:rPr>
          <w:rFonts w:hint="eastAsia" w:ascii="Times New Roman" w:hAnsi="Times New Roman" w:eastAsia="仿宋_GB2312" w:cs="Times New Roman"/>
          <w:kern w:val="0"/>
          <w:sz w:val="32"/>
          <w:szCs w:val="32"/>
          <w:highlight w:val="none"/>
          <w:lang w:val="zh-CN" w:eastAsia="zh-CN" w:bidi="ar-SA"/>
        </w:rPr>
        <w:t>财务股审核后按照会计处理法规进行账务处理。按照项目资金的管理办法，该项目资金严格执行财务管理制度，财务处理及时，会计核算规范。</w:t>
      </w:r>
    </w:p>
    <w:p>
      <w:pPr>
        <w:keepNext w:val="0"/>
        <w:keepLines w:val="0"/>
        <w:pageBreakBefore w:val="0"/>
        <w:widowControl w:val="0"/>
        <w:kinsoku/>
        <w:wordWrap/>
        <w:overflowPunct/>
        <w:topLinePunct w:val="0"/>
        <w:autoSpaceDE/>
        <w:autoSpaceDN/>
        <w:bidi w:val="0"/>
        <w:adjustRightInd w:val="0"/>
        <w:snapToGrid w:val="0"/>
        <w:spacing w:line="576" w:lineRule="exact"/>
        <w:ind w:firstLine="643" w:firstLineChars="200"/>
        <w:textAlignment w:val="auto"/>
        <w:rPr>
          <w:rFonts w:hint="default" w:ascii="Times New Roman" w:hAnsi="Times New Roman" w:eastAsia="楷体_GB2312" w:cs="Times New Roman"/>
          <w:b/>
          <w:sz w:val="32"/>
          <w:szCs w:val="32"/>
          <w:highlight w:val="none"/>
          <w:lang w:val="zh-CN"/>
        </w:rPr>
      </w:pPr>
      <w:r>
        <w:rPr>
          <w:rFonts w:hint="default" w:ascii="Times New Roman" w:hAnsi="Times New Roman" w:eastAsia="楷体_GB2312" w:cs="Times New Roman"/>
          <w:b/>
          <w:sz w:val="32"/>
          <w:szCs w:val="32"/>
          <w:highlight w:val="none"/>
          <w:lang w:val="zh-CN"/>
        </w:rPr>
        <w:t>（三）项目组织实施</w:t>
      </w:r>
      <w:r>
        <w:rPr>
          <w:rFonts w:hint="eastAsia" w:eastAsia="楷体_GB2312" w:cs="Times New Roman"/>
          <w:b/>
          <w:sz w:val="32"/>
          <w:szCs w:val="32"/>
          <w:highlight w:val="none"/>
          <w:lang w:val="zh-CN"/>
        </w:rPr>
        <w:t>及管理</w:t>
      </w:r>
      <w:r>
        <w:rPr>
          <w:rFonts w:hint="default" w:ascii="Times New Roman" w:hAnsi="Times New Roman" w:eastAsia="楷体_GB2312" w:cs="Times New Roman"/>
          <w:b/>
          <w:sz w:val="32"/>
          <w:szCs w:val="32"/>
          <w:highlight w:val="none"/>
          <w:lang w:val="zh-CN"/>
        </w:rPr>
        <w:t>情况</w:t>
      </w:r>
    </w:p>
    <w:p>
      <w:pPr>
        <w:keepNext w:val="0"/>
        <w:keepLines w:val="0"/>
        <w:pageBreakBefore w:val="0"/>
        <w:widowControl w:val="0"/>
        <w:numPr>
          <w:ilvl w:val="0"/>
          <w:numId w:val="0"/>
        </w:numPr>
        <w:kinsoku/>
        <w:wordWrap/>
        <w:overflowPunct/>
        <w:topLinePunct w:val="0"/>
        <w:autoSpaceDE/>
        <w:autoSpaceDN/>
        <w:bidi w:val="0"/>
        <w:adjustRightInd w:val="0"/>
        <w:snapToGrid w:val="0"/>
        <w:spacing w:line="576" w:lineRule="exact"/>
        <w:ind w:firstLine="640" w:firstLineChars="200"/>
        <w:textAlignment w:val="auto"/>
        <w:rPr>
          <w:rFonts w:hint="eastAsia" w:ascii="Times New Roman" w:hAnsi="Times New Roman" w:eastAsia="仿宋_GB2312" w:cs="Times New Roman"/>
          <w:kern w:val="0"/>
          <w:sz w:val="32"/>
          <w:szCs w:val="32"/>
          <w:highlight w:val="none"/>
          <w:lang w:val="zh-CN" w:eastAsia="zh-CN" w:bidi="ar-SA"/>
        </w:rPr>
      </w:pPr>
      <w:r>
        <w:rPr>
          <w:rFonts w:hint="eastAsia" w:ascii="Times New Roman" w:hAnsi="Times New Roman" w:eastAsia="仿宋_GB2312" w:cs="Times New Roman"/>
          <w:kern w:val="0"/>
          <w:sz w:val="32"/>
          <w:szCs w:val="32"/>
          <w:highlight w:val="none"/>
          <w:lang w:val="en-US" w:eastAsia="zh-CN" w:bidi="ar-SA"/>
        </w:rPr>
        <w:t>该项目组织框架主要包括就业服务中心和规划财务股组成。</w:t>
      </w:r>
      <w:r>
        <w:rPr>
          <w:rFonts w:hint="eastAsia" w:ascii="Times New Roman" w:hAnsi="Times New Roman" w:eastAsia="仿宋_GB2312" w:cs="Times New Roman"/>
          <w:kern w:val="0"/>
          <w:sz w:val="32"/>
          <w:szCs w:val="32"/>
          <w:highlight w:val="none"/>
          <w:lang w:val="zh-CN" w:eastAsia="zh-CN" w:bidi="ar-SA"/>
        </w:rPr>
        <w:t>规划财务股对项目支出的执行过程和完成结果进行监督、检查，并开展内审对项目支出进行重点审查。对违反有关法律、行政法规和财务规章制度的，依法进行处理，并通告处理结果。</w:t>
      </w:r>
    </w:p>
    <w:p>
      <w:pPr>
        <w:keepNext w:val="0"/>
        <w:keepLines w:val="0"/>
        <w:pageBreakBefore w:val="0"/>
        <w:widowControl w:val="0"/>
        <w:kinsoku/>
        <w:wordWrap/>
        <w:overflowPunct/>
        <w:topLinePunct w:val="0"/>
        <w:autoSpaceDE/>
        <w:autoSpaceDN/>
        <w:bidi w:val="0"/>
        <w:adjustRightInd w:val="0"/>
        <w:snapToGrid w:val="0"/>
        <w:spacing w:line="576" w:lineRule="exact"/>
        <w:ind w:firstLine="640" w:firstLineChars="200"/>
        <w:textAlignment w:val="auto"/>
        <w:rPr>
          <w:rFonts w:hint="default" w:ascii="Times New Roman" w:hAnsi="Times New Roman" w:cs="Times New Roman"/>
          <w:sz w:val="32"/>
          <w:szCs w:val="32"/>
          <w:highlight w:val="none"/>
          <w:lang w:val="zh-CN"/>
        </w:rPr>
      </w:pPr>
      <w:r>
        <w:rPr>
          <w:rFonts w:hint="default" w:ascii="Times New Roman" w:hAnsi="Times New Roman" w:eastAsia="黑体" w:cs="Times New Roman"/>
          <w:sz w:val="32"/>
          <w:szCs w:val="32"/>
          <w:highlight w:val="none"/>
        </w:rPr>
        <w:t>三、项目绩效情况</w:t>
      </w:r>
      <w:r>
        <w:rPr>
          <w:rFonts w:hint="default" w:ascii="Times New Roman" w:hAnsi="Times New Roman" w:cs="Times New Roman"/>
          <w:sz w:val="32"/>
          <w:szCs w:val="32"/>
          <w:highlight w:val="none"/>
          <w:lang w:val="zh-CN"/>
        </w:rPr>
        <w:tab/>
      </w:r>
    </w:p>
    <w:p>
      <w:pPr>
        <w:pStyle w:val="6"/>
        <w:spacing w:before="108" w:after="15"/>
        <w:ind w:left="871"/>
        <w:rPr>
          <w:highlight w:val="none"/>
        </w:rPr>
      </w:pPr>
      <w:r>
        <w:rPr>
          <w:highlight w:val="none"/>
        </w:rPr>
        <w:t>该项目绩效目标完成情况见下表：</w:t>
      </w:r>
    </w:p>
    <w:tbl>
      <w:tblPr>
        <w:tblStyle w:val="16"/>
        <w:tblW w:w="9219"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528"/>
        <w:gridCol w:w="504"/>
        <w:gridCol w:w="1005"/>
        <w:gridCol w:w="2189"/>
        <w:gridCol w:w="877"/>
        <w:gridCol w:w="1159"/>
        <w:gridCol w:w="891"/>
        <w:gridCol w:w="206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9" w:hRule="atLeast"/>
        </w:trPr>
        <w:tc>
          <w:tcPr>
            <w:tcW w:w="202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转移支付（项目）名称</w:t>
            </w:r>
          </w:p>
        </w:tc>
        <w:tc>
          <w:tcPr>
            <w:tcW w:w="719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普惠金融发展专项资金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9" w:hRule="atLeast"/>
        </w:trPr>
        <w:tc>
          <w:tcPr>
            <w:tcW w:w="202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中央主管部门</w:t>
            </w:r>
          </w:p>
        </w:tc>
        <w:tc>
          <w:tcPr>
            <w:tcW w:w="719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3" w:hRule="atLeast"/>
        </w:trPr>
        <w:tc>
          <w:tcPr>
            <w:tcW w:w="202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地方主管部门</w:t>
            </w:r>
          </w:p>
        </w:tc>
        <w:tc>
          <w:tcPr>
            <w:tcW w:w="307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18"/>
                <w:szCs w:val="18"/>
                <w:highlight w:val="none"/>
                <w:u w:val="none"/>
              </w:rPr>
            </w:pPr>
          </w:p>
        </w:tc>
        <w:tc>
          <w:tcPr>
            <w:tcW w:w="11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资金使用单位</w:t>
            </w:r>
          </w:p>
        </w:tc>
        <w:tc>
          <w:tcPr>
            <w:tcW w:w="295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广元市昭化区人力资源和社会保障局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3" w:hRule="atLeast"/>
        </w:trPr>
        <w:tc>
          <w:tcPr>
            <w:tcW w:w="2029" w:type="dxa"/>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资金投入情况</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（万元）</w:t>
            </w:r>
          </w:p>
        </w:tc>
        <w:tc>
          <w:tcPr>
            <w:tcW w:w="2194"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18"/>
                <w:szCs w:val="18"/>
                <w:highlight w:val="none"/>
                <w:u w:val="none"/>
              </w:rPr>
            </w:pPr>
          </w:p>
        </w:tc>
        <w:tc>
          <w:tcPr>
            <w:tcW w:w="8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全年预算数（A）</w:t>
            </w:r>
          </w:p>
        </w:tc>
        <w:tc>
          <w:tcPr>
            <w:tcW w:w="205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全年执行数（B）</w:t>
            </w:r>
          </w:p>
        </w:tc>
        <w:tc>
          <w:tcPr>
            <w:tcW w:w="20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预算执行率（B/A×100%)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9" w:hRule="atLeast"/>
        </w:trPr>
        <w:tc>
          <w:tcPr>
            <w:tcW w:w="2029"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highlight w:val="none"/>
                <w:u w:val="none"/>
              </w:rPr>
            </w:pPr>
          </w:p>
        </w:tc>
        <w:tc>
          <w:tcPr>
            <w:tcW w:w="21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年度资金总额：</w:t>
            </w:r>
          </w:p>
        </w:tc>
        <w:tc>
          <w:tcPr>
            <w:tcW w:w="87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highlight w:val="none"/>
                <w:u w:val="none"/>
              </w:rPr>
            </w:pPr>
          </w:p>
        </w:tc>
        <w:tc>
          <w:tcPr>
            <w:tcW w:w="205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highlight w:val="none"/>
                <w:u w:val="none"/>
              </w:rPr>
            </w:pPr>
          </w:p>
        </w:tc>
        <w:tc>
          <w:tcPr>
            <w:tcW w:w="206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9" w:hRule="atLeast"/>
        </w:trPr>
        <w:tc>
          <w:tcPr>
            <w:tcW w:w="2029"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highlight w:val="none"/>
                <w:u w:val="none"/>
              </w:rPr>
            </w:pPr>
          </w:p>
        </w:tc>
        <w:tc>
          <w:tcPr>
            <w:tcW w:w="21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Style w:val="37"/>
                <w:sz w:val="18"/>
                <w:szCs w:val="18"/>
                <w:highlight w:val="none"/>
                <w:lang w:val="en-US" w:eastAsia="zh-CN" w:bidi="ar"/>
              </w:rPr>
              <w:t xml:space="preserve"> </w:t>
            </w:r>
            <w:r>
              <w:rPr>
                <w:rStyle w:val="38"/>
                <w:sz w:val="18"/>
                <w:szCs w:val="18"/>
                <w:highlight w:val="none"/>
                <w:lang w:val="en-US" w:eastAsia="zh-CN" w:bidi="ar"/>
              </w:rPr>
              <w:t>其中：中央财政资金</w:t>
            </w:r>
          </w:p>
        </w:tc>
        <w:tc>
          <w:tcPr>
            <w:tcW w:w="8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121.88</w:t>
            </w:r>
          </w:p>
        </w:tc>
        <w:tc>
          <w:tcPr>
            <w:tcW w:w="205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121.88</w:t>
            </w:r>
          </w:p>
        </w:tc>
        <w:tc>
          <w:tcPr>
            <w:tcW w:w="20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9" w:hRule="atLeast"/>
        </w:trPr>
        <w:tc>
          <w:tcPr>
            <w:tcW w:w="2029"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highlight w:val="none"/>
                <w:u w:val="none"/>
              </w:rPr>
            </w:pPr>
          </w:p>
        </w:tc>
        <w:tc>
          <w:tcPr>
            <w:tcW w:w="21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Style w:val="37"/>
                <w:sz w:val="18"/>
                <w:szCs w:val="18"/>
                <w:highlight w:val="none"/>
                <w:lang w:val="en-US" w:eastAsia="zh-CN" w:bidi="ar"/>
              </w:rPr>
              <w:t xml:space="preserve"> </w:t>
            </w:r>
            <w:r>
              <w:rPr>
                <w:rStyle w:val="38"/>
                <w:sz w:val="18"/>
                <w:szCs w:val="18"/>
                <w:highlight w:val="none"/>
                <w:lang w:val="en-US" w:eastAsia="zh-CN" w:bidi="ar"/>
              </w:rPr>
              <w:t xml:space="preserve">      地方资金</w:t>
            </w:r>
          </w:p>
        </w:tc>
        <w:tc>
          <w:tcPr>
            <w:tcW w:w="87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highlight w:val="none"/>
                <w:u w:val="none"/>
              </w:rPr>
            </w:pPr>
          </w:p>
        </w:tc>
        <w:tc>
          <w:tcPr>
            <w:tcW w:w="205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highlight w:val="none"/>
                <w:u w:val="none"/>
              </w:rPr>
            </w:pPr>
          </w:p>
        </w:tc>
        <w:tc>
          <w:tcPr>
            <w:tcW w:w="206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9" w:hRule="atLeast"/>
        </w:trPr>
        <w:tc>
          <w:tcPr>
            <w:tcW w:w="2029"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highlight w:val="none"/>
                <w:u w:val="none"/>
              </w:rPr>
            </w:pPr>
          </w:p>
        </w:tc>
        <w:tc>
          <w:tcPr>
            <w:tcW w:w="21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Style w:val="39"/>
                <w:sz w:val="16"/>
                <w:szCs w:val="16"/>
                <w:highlight w:val="none"/>
                <w:lang w:val="en-US" w:eastAsia="zh-CN" w:bidi="ar"/>
              </w:rPr>
              <w:t xml:space="preserve">      </w:t>
            </w:r>
            <w:r>
              <w:rPr>
                <w:rStyle w:val="38"/>
                <w:sz w:val="18"/>
                <w:szCs w:val="18"/>
                <w:highlight w:val="none"/>
                <w:lang w:val="en-US" w:eastAsia="zh-CN" w:bidi="ar"/>
              </w:rPr>
              <w:t xml:space="preserve">  其他资金</w:t>
            </w:r>
          </w:p>
        </w:tc>
        <w:tc>
          <w:tcPr>
            <w:tcW w:w="87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highlight w:val="none"/>
                <w:u w:val="none"/>
              </w:rPr>
            </w:pPr>
          </w:p>
        </w:tc>
        <w:tc>
          <w:tcPr>
            <w:tcW w:w="205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highlight w:val="none"/>
                <w:u w:val="none"/>
              </w:rPr>
            </w:pPr>
          </w:p>
        </w:tc>
        <w:tc>
          <w:tcPr>
            <w:tcW w:w="206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9" w:hRule="atLeast"/>
        </w:trPr>
        <w:tc>
          <w:tcPr>
            <w:tcW w:w="2029" w:type="dxa"/>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资金管理情况</w:t>
            </w:r>
          </w:p>
        </w:tc>
        <w:tc>
          <w:tcPr>
            <w:tcW w:w="2194"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18"/>
                <w:szCs w:val="18"/>
                <w:highlight w:val="none"/>
                <w:u w:val="none"/>
              </w:rPr>
            </w:pPr>
          </w:p>
        </w:tc>
        <w:tc>
          <w:tcPr>
            <w:tcW w:w="292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情况说明</w:t>
            </w:r>
          </w:p>
        </w:tc>
        <w:tc>
          <w:tcPr>
            <w:tcW w:w="20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存在问题和改进措施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9" w:hRule="atLeast"/>
        </w:trPr>
        <w:tc>
          <w:tcPr>
            <w:tcW w:w="2029"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highlight w:val="none"/>
                <w:u w:val="none"/>
              </w:rPr>
            </w:pPr>
          </w:p>
        </w:tc>
        <w:tc>
          <w:tcPr>
            <w:tcW w:w="21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分配科学性</w:t>
            </w:r>
          </w:p>
        </w:tc>
        <w:tc>
          <w:tcPr>
            <w:tcW w:w="292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全部用于创业担保贷款贴息</w:t>
            </w:r>
          </w:p>
        </w:tc>
        <w:tc>
          <w:tcPr>
            <w:tcW w:w="206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9" w:hRule="atLeast"/>
        </w:trPr>
        <w:tc>
          <w:tcPr>
            <w:tcW w:w="2029"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highlight w:val="none"/>
                <w:u w:val="none"/>
              </w:rPr>
            </w:pPr>
          </w:p>
        </w:tc>
        <w:tc>
          <w:tcPr>
            <w:tcW w:w="21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下达及时性</w:t>
            </w:r>
          </w:p>
        </w:tc>
        <w:tc>
          <w:tcPr>
            <w:tcW w:w="292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年度内下达</w:t>
            </w:r>
          </w:p>
        </w:tc>
        <w:tc>
          <w:tcPr>
            <w:tcW w:w="206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3" w:hRule="atLeast"/>
        </w:trPr>
        <w:tc>
          <w:tcPr>
            <w:tcW w:w="2029"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highlight w:val="none"/>
                <w:u w:val="none"/>
              </w:rPr>
            </w:pPr>
          </w:p>
        </w:tc>
        <w:tc>
          <w:tcPr>
            <w:tcW w:w="21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拨付合规性</w:t>
            </w:r>
          </w:p>
        </w:tc>
        <w:tc>
          <w:tcPr>
            <w:tcW w:w="292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严格按创业担保贷款贴息资金政策使用</w:t>
            </w:r>
          </w:p>
        </w:tc>
        <w:tc>
          <w:tcPr>
            <w:tcW w:w="206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9" w:hRule="atLeast"/>
        </w:trPr>
        <w:tc>
          <w:tcPr>
            <w:tcW w:w="2029"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highlight w:val="none"/>
                <w:u w:val="none"/>
              </w:rPr>
            </w:pPr>
          </w:p>
        </w:tc>
        <w:tc>
          <w:tcPr>
            <w:tcW w:w="21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使用规范性</w:t>
            </w:r>
          </w:p>
        </w:tc>
        <w:tc>
          <w:tcPr>
            <w:tcW w:w="292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川财规（2022）9号</w:t>
            </w:r>
          </w:p>
        </w:tc>
        <w:tc>
          <w:tcPr>
            <w:tcW w:w="206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3" w:hRule="atLeast"/>
        </w:trPr>
        <w:tc>
          <w:tcPr>
            <w:tcW w:w="2029"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highlight w:val="none"/>
                <w:u w:val="none"/>
              </w:rPr>
            </w:pPr>
          </w:p>
        </w:tc>
        <w:tc>
          <w:tcPr>
            <w:tcW w:w="21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执行准确性</w:t>
            </w:r>
          </w:p>
        </w:tc>
        <w:tc>
          <w:tcPr>
            <w:tcW w:w="292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仅用于个人、小微企业创业担保贷款财政贴息</w:t>
            </w:r>
          </w:p>
        </w:tc>
        <w:tc>
          <w:tcPr>
            <w:tcW w:w="206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8" w:hRule="atLeast"/>
        </w:trPr>
        <w:tc>
          <w:tcPr>
            <w:tcW w:w="2029"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highlight w:val="none"/>
                <w:u w:val="none"/>
              </w:rPr>
            </w:pPr>
          </w:p>
        </w:tc>
        <w:tc>
          <w:tcPr>
            <w:tcW w:w="21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预算绩效管理情况</w:t>
            </w:r>
          </w:p>
        </w:tc>
        <w:tc>
          <w:tcPr>
            <w:tcW w:w="292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严格按预算绩效管理开展绩效工作</w:t>
            </w:r>
          </w:p>
        </w:tc>
        <w:tc>
          <w:tcPr>
            <w:tcW w:w="206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9" w:hRule="atLeast"/>
        </w:trPr>
        <w:tc>
          <w:tcPr>
            <w:tcW w:w="2029"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highlight w:val="none"/>
                <w:u w:val="none"/>
              </w:rPr>
            </w:pPr>
          </w:p>
        </w:tc>
        <w:tc>
          <w:tcPr>
            <w:tcW w:w="21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支出责任履行情况</w:t>
            </w:r>
          </w:p>
        </w:tc>
        <w:tc>
          <w:tcPr>
            <w:tcW w:w="292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就业中心审核、规划财务股支付</w:t>
            </w:r>
          </w:p>
        </w:tc>
        <w:tc>
          <w:tcPr>
            <w:tcW w:w="206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9" w:hRule="atLeast"/>
        </w:trPr>
        <w:tc>
          <w:tcPr>
            <w:tcW w:w="517" w:type="dxa"/>
            <w:vMerge w:val="restart"/>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总体目标完成情况</w:t>
            </w:r>
          </w:p>
        </w:tc>
        <w:tc>
          <w:tcPr>
            <w:tcW w:w="4583" w:type="dxa"/>
            <w:gridSpan w:val="4"/>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总体目标</w:t>
            </w:r>
          </w:p>
        </w:tc>
        <w:tc>
          <w:tcPr>
            <w:tcW w:w="4119" w:type="dxa"/>
            <w:gridSpan w:val="3"/>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全年实际完成情况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82" w:hRule="atLeast"/>
        </w:trPr>
        <w:tc>
          <w:tcPr>
            <w:tcW w:w="517" w:type="dxa"/>
            <w:vMerge w:val="continue"/>
            <w:tcBorders>
              <w:top w:val="nil"/>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highlight w:val="none"/>
                <w:u w:val="none"/>
              </w:rPr>
            </w:pPr>
          </w:p>
        </w:tc>
        <w:tc>
          <w:tcPr>
            <w:tcW w:w="4583"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支持农村金融组织体系建设，扩大农村金融服务覆盖面。支持重点群体和符合条件的小微企业融资发展。支持地方因地制宜打造各具特色的普惠金融发展示范区，增强金融普惠性，推动普惠金融高质量发展。</w:t>
            </w:r>
          </w:p>
        </w:tc>
        <w:tc>
          <w:tcPr>
            <w:tcW w:w="411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支持农村金融组织体系建设，扩大农村金融服务覆盖面。支持重点群体和符合条件的小微企业融资发展。支持地方因地制宜打造各具特色的普惠金融发展示范区，增强金融普惠性，推动普惠金融高质量发展。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39" w:hRule="atLeast"/>
        </w:trPr>
        <w:tc>
          <w:tcPr>
            <w:tcW w:w="517" w:type="dxa"/>
            <w:vMerge w:val="restart"/>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绩效指标</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一级</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指标</w:t>
            </w:r>
          </w:p>
        </w:tc>
        <w:tc>
          <w:tcPr>
            <w:tcW w:w="10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二级指标</w:t>
            </w:r>
          </w:p>
        </w:tc>
        <w:tc>
          <w:tcPr>
            <w:tcW w:w="307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三级指标</w:t>
            </w:r>
          </w:p>
        </w:tc>
        <w:tc>
          <w:tcPr>
            <w:tcW w:w="11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指标值</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全年实际完成值</w:t>
            </w:r>
          </w:p>
        </w:tc>
        <w:tc>
          <w:tcPr>
            <w:tcW w:w="20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未完成原因和改进措施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3" w:hRule="atLeast"/>
        </w:trPr>
        <w:tc>
          <w:tcPr>
            <w:tcW w:w="517"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jc w:val="center"/>
              <w:rPr>
                <w:rFonts w:hint="eastAsia" w:ascii="宋体" w:hAnsi="宋体" w:eastAsia="宋体" w:cs="宋体"/>
                <w:i w:val="0"/>
                <w:iCs w:val="0"/>
                <w:color w:val="000000"/>
                <w:sz w:val="18"/>
                <w:szCs w:val="18"/>
                <w:highlight w:val="none"/>
                <w:u w:val="none"/>
              </w:rPr>
            </w:pPr>
          </w:p>
        </w:tc>
        <w:tc>
          <w:tcPr>
            <w:tcW w:w="50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产</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出</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指</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标</w:t>
            </w:r>
          </w:p>
        </w:tc>
        <w:tc>
          <w:tcPr>
            <w:tcW w:w="10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数量指标</w:t>
            </w:r>
          </w:p>
        </w:tc>
        <w:tc>
          <w:tcPr>
            <w:tcW w:w="307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创业担保贷款发放额增长率</w:t>
            </w:r>
          </w:p>
        </w:tc>
        <w:tc>
          <w:tcPr>
            <w:tcW w:w="11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≥10%</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413.83%</w:t>
            </w:r>
          </w:p>
        </w:tc>
        <w:tc>
          <w:tcPr>
            <w:tcW w:w="20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2021年发放347万元，2022年发放1783万。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9" w:hRule="atLeast"/>
        </w:trPr>
        <w:tc>
          <w:tcPr>
            <w:tcW w:w="517"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jc w:val="center"/>
              <w:rPr>
                <w:rFonts w:hint="eastAsia" w:ascii="宋体" w:hAnsi="宋体" w:eastAsia="宋体" w:cs="宋体"/>
                <w:i w:val="0"/>
                <w:iCs w:val="0"/>
                <w:color w:val="000000"/>
                <w:sz w:val="18"/>
                <w:szCs w:val="18"/>
                <w:highlight w:val="none"/>
                <w:u w:val="none"/>
              </w:rPr>
            </w:pPr>
          </w:p>
        </w:tc>
        <w:tc>
          <w:tcPr>
            <w:tcW w:w="5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highlight w:val="none"/>
                <w:u w:val="none"/>
              </w:rPr>
            </w:pPr>
          </w:p>
        </w:tc>
        <w:tc>
          <w:tcPr>
            <w:tcW w:w="100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质量指标</w:t>
            </w:r>
          </w:p>
        </w:tc>
        <w:tc>
          <w:tcPr>
            <w:tcW w:w="307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创业担保贷款回收率</w:t>
            </w:r>
          </w:p>
        </w:tc>
        <w:tc>
          <w:tcPr>
            <w:tcW w:w="11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≥90%</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100%</w:t>
            </w:r>
          </w:p>
        </w:tc>
        <w:tc>
          <w:tcPr>
            <w:tcW w:w="206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9" w:hRule="atLeast"/>
        </w:trPr>
        <w:tc>
          <w:tcPr>
            <w:tcW w:w="517"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jc w:val="center"/>
              <w:rPr>
                <w:rFonts w:hint="eastAsia" w:ascii="宋体" w:hAnsi="宋体" w:eastAsia="宋体" w:cs="宋体"/>
                <w:i w:val="0"/>
                <w:iCs w:val="0"/>
                <w:color w:val="000000"/>
                <w:sz w:val="18"/>
                <w:szCs w:val="18"/>
                <w:highlight w:val="none"/>
                <w:u w:val="none"/>
              </w:rPr>
            </w:pPr>
          </w:p>
        </w:tc>
        <w:tc>
          <w:tcPr>
            <w:tcW w:w="5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highlight w:val="none"/>
                <w:u w:val="none"/>
              </w:rPr>
            </w:pPr>
          </w:p>
        </w:tc>
        <w:tc>
          <w:tcPr>
            <w:tcW w:w="100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highlight w:val="none"/>
                <w:u w:val="none"/>
              </w:rPr>
            </w:pPr>
          </w:p>
        </w:tc>
        <w:tc>
          <w:tcPr>
            <w:tcW w:w="307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资金足额拨付率</w:t>
            </w:r>
          </w:p>
        </w:tc>
        <w:tc>
          <w:tcPr>
            <w:tcW w:w="11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=100%</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100%</w:t>
            </w:r>
          </w:p>
        </w:tc>
        <w:tc>
          <w:tcPr>
            <w:tcW w:w="206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9" w:hRule="atLeast"/>
        </w:trPr>
        <w:tc>
          <w:tcPr>
            <w:tcW w:w="517"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jc w:val="center"/>
              <w:rPr>
                <w:rFonts w:hint="eastAsia" w:ascii="宋体" w:hAnsi="宋体" w:eastAsia="宋体" w:cs="宋体"/>
                <w:i w:val="0"/>
                <w:iCs w:val="0"/>
                <w:color w:val="000000"/>
                <w:sz w:val="18"/>
                <w:szCs w:val="18"/>
                <w:highlight w:val="none"/>
                <w:u w:val="none"/>
              </w:rPr>
            </w:pPr>
          </w:p>
        </w:tc>
        <w:tc>
          <w:tcPr>
            <w:tcW w:w="5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highlight w:val="none"/>
                <w:u w:val="none"/>
              </w:rPr>
            </w:pPr>
          </w:p>
        </w:tc>
        <w:tc>
          <w:tcPr>
            <w:tcW w:w="100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highlight w:val="none"/>
                <w:u w:val="none"/>
              </w:rPr>
            </w:pPr>
          </w:p>
        </w:tc>
        <w:tc>
          <w:tcPr>
            <w:tcW w:w="307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地方配套到位率</w:t>
            </w:r>
          </w:p>
        </w:tc>
        <w:tc>
          <w:tcPr>
            <w:tcW w:w="11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=100%</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100%</w:t>
            </w:r>
          </w:p>
        </w:tc>
        <w:tc>
          <w:tcPr>
            <w:tcW w:w="206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3" w:hRule="atLeast"/>
        </w:trPr>
        <w:tc>
          <w:tcPr>
            <w:tcW w:w="517"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jc w:val="center"/>
              <w:rPr>
                <w:rFonts w:hint="eastAsia" w:ascii="宋体" w:hAnsi="宋体" w:eastAsia="宋体" w:cs="宋体"/>
                <w:i w:val="0"/>
                <w:iCs w:val="0"/>
                <w:color w:val="000000"/>
                <w:sz w:val="18"/>
                <w:szCs w:val="18"/>
                <w:highlight w:val="none"/>
                <w:u w:val="none"/>
              </w:rPr>
            </w:pPr>
          </w:p>
        </w:tc>
        <w:tc>
          <w:tcPr>
            <w:tcW w:w="50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效</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益</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指</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标</w:t>
            </w:r>
          </w:p>
        </w:tc>
        <w:tc>
          <w:tcPr>
            <w:tcW w:w="10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经济效益</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指标</w:t>
            </w:r>
          </w:p>
        </w:tc>
        <w:tc>
          <w:tcPr>
            <w:tcW w:w="307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创业担保基金放大倍数</w:t>
            </w:r>
          </w:p>
        </w:tc>
        <w:tc>
          <w:tcPr>
            <w:tcW w:w="11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≥200%</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1000%</w:t>
            </w:r>
          </w:p>
        </w:tc>
        <w:tc>
          <w:tcPr>
            <w:tcW w:w="206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3" w:hRule="atLeast"/>
        </w:trPr>
        <w:tc>
          <w:tcPr>
            <w:tcW w:w="517"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jc w:val="center"/>
              <w:rPr>
                <w:rFonts w:hint="eastAsia" w:ascii="宋体" w:hAnsi="宋体" w:eastAsia="宋体" w:cs="宋体"/>
                <w:i w:val="0"/>
                <w:iCs w:val="0"/>
                <w:color w:val="000000"/>
                <w:sz w:val="18"/>
                <w:szCs w:val="18"/>
                <w:highlight w:val="none"/>
                <w:u w:val="none"/>
              </w:rPr>
            </w:pPr>
          </w:p>
        </w:tc>
        <w:tc>
          <w:tcPr>
            <w:tcW w:w="5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highlight w:val="none"/>
                <w:u w:val="none"/>
              </w:rPr>
            </w:pPr>
          </w:p>
        </w:tc>
        <w:tc>
          <w:tcPr>
            <w:tcW w:w="10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社会效益</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指标</w:t>
            </w:r>
          </w:p>
        </w:tc>
        <w:tc>
          <w:tcPr>
            <w:tcW w:w="307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金融机构网点覆盖率</w:t>
            </w:r>
          </w:p>
        </w:tc>
        <w:tc>
          <w:tcPr>
            <w:tcW w:w="11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≥80%</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100%</w:t>
            </w:r>
          </w:p>
        </w:tc>
        <w:tc>
          <w:tcPr>
            <w:tcW w:w="206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9" w:hRule="atLeast"/>
        </w:trPr>
        <w:tc>
          <w:tcPr>
            <w:tcW w:w="517"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jc w:val="center"/>
              <w:rPr>
                <w:rFonts w:hint="eastAsia" w:ascii="宋体" w:hAnsi="宋体" w:eastAsia="宋体" w:cs="宋体"/>
                <w:i w:val="0"/>
                <w:iCs w:val="0"/>
                <w:color w:val="000000"/>
                <w:sz w:val="18"/>
                <w:szCs w:val="18"/>
                <w:highlight w:val="none"/>
                <w:u w:val="none"/>
              </w:rPr>
            </w:pPr>
          </w:p>
        </w:tc>
        <w:tc>
          <w:tcPr>
            <w:tcW w:w="50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满意度指标</w:t>
            </w:r>
          </w:p>
        </w:tc>
        <w:tc>
          <w:tcPr>
            <w:tcW w:w="100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服务对象</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满意度指标</w:t>
            </w:r>
          </w:p>
        </w:tc>
        <w:tc>
          <w:tcPr>
            <w:tcW w:w="307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申请定向费用补贴金额机构满意度</w:t>
            </w:r>
          </w:p>
        </w:tc>
        <w:tc>
          <w:tcPr>
            <w:tcW w:w="11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≥80%</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95%</w:t>
            </w:r>
          </w:p>
        </w:tc>
        <w:tc>
          <w:tcPr>
            <w:tcW w:w="206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189" w:hRule="atLeast"/>
        </w:trPr>
        <w:tc>
          <w:tcPr>
            <w:tcW w:w="517"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jc w:val="center"/>
              <w:rPr>
                <w:rFonts w:hint="eastAsia" w:ascii="宋体" w:hAnsi="宋体" w:eastAsia="宋体" w:cs="宋体"/>
                <w:i w:val="0"/>
                <w:iCs w:val="0"/>
                <w:color w:val="000000"/>
                <w:sz w:val="18"/>
                <w:szCs w:val="18"/>
                <w:highlight w:val="none"/>
                <w:u w:val="none"/>
              </w:rPr>
            </w:pPr>
          </w:p>
        </w:tc>
        <w:tc>
          <w:tcPr>
            <w:tcW w:w="5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highlight w:val="none"/>
                <w:u w:val="none"/>
              </w:rPr>
            </w:pPr>
          </w:p>
        </w:tc>
        <w:tc>
          <w:tcPr>
            <w:tcW w:w="100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highlight w:val="none"/>
                <w:u w:val="none"/>
              </w:rPr>
            </w:pPr>
          </w:p>
        </w:tc>
        <w:tc>
          <w:tcPr>
            <w:tcW w:w="307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申报创业担保贷款贴息个人满意度</w:t>
            </w:r>
          </w:p>
        </w:tc>
        <w:tc>
          <w:tcPr>
            <w:tcW w:w="11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≥80%</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95%</w:t>
            </w:r>
          </w:p>
        </w:tc>
        <w:tc>
          <w:tcPr>
            <w:tcW w:w="206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4" w:hRule="atLeast"/>
        </w:trPr>
        <w:tc>
          <w:tcPr>
            <w:tcW w:w="517"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jc w:val="center"/>
              <w:rPr>
                <w:rFonts w:hint="eastAsia" w:ascii="宋体" w:hAnsi="宋体" w:eastAsia="宋体" w:cs="宋体"/>
                <w:i w:val="0"/>
                <w:iCs w:val="0"/>
                <w:color w:val="000000"/>
                <w:sz w:val="18"/>
                <w:szCs w:val="18"/>
                <w:highlight w:val="none"/>
                <w:u w:val="none"/>
              </w:rPr>
            </w:pPr>
          </w:p>
        </w:tc>
        <w:tc>
          <w:tcPr>
            <w:tcW w:w="5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highlight w:val="none"/>
                <w:u w:val="none"/>
              </w:rPr>
            </w:pPr>
          </w:p>
        </w:tc>
        <w:tc>
          <w:tcPr>
            <w:tcW w:w="100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highlight w:val="none"/>
                <w:u w:val="none"/>
              </w:rPr>
            </w:pPr>
          </w:p>
        </w:tc>
        <w:tc>
          <w:tcPr>
            <w:tcW w:w="307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申报创业担保贷款贴息小微企业的满意度</w:t>
            </w:r>
          </w:p>
        </w:tc>
        <w:tc>
          <w:tcPr>
            <w:tcW w:w="11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≥80%</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95%</w:t>
            </w:r>
          </w:p>
        </w:tc>
        <w:tc>
          <w:tcPr>
            <w:tcW w:w="206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7" w:hRule="atLeast"/>
        </w:trPr>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说明</w:t>
            </w:r>
          </w:p>
        </w:tc>
        <w:tc>
          <w:tcPr>
            <w:tcW w:w="8702"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无</w:t>
            </w:r>
          </w:p>
        </w:tc>
      </w:tr>
    </w:tbl>
    <w:p>
      <w:pPr>
        <w:rPr>
          <w:highlight w:val="none"/>
        </w:rPr>
      </w:pPr>
    </w:p>
    <w:p>
      <w:pPr>
        <w:keepNext w:val="0"/>
        <w:keepLines w:val="0"/>
        <w:pageBreakBefore w:val="0"/>
        <w:widowControl w:val="0"/>
        <w:kinsoku/>
        <w:wordWrap/>
        <w:overflowPunct/>
        <w:topLinePunct w:val="0"/>
        <w:autoSpaceDE/>
        <w:autoSpaceDN/>
        <w:bidi w:val="0"/>
        <w:adjustRightInd w:val="0"/>
        <w:snapToGrid w:val="0"/>
        <w:spacing w:line="576" w:lineRule="exact"/>
        <w:ind w:firstLine="640" w:firstLineChars="200"/>
        <w:textAlignment w:val="auto"/>
        <w:rPr>
          <w:rFonts w:hint="default" w:ascii="Times New Roman" w:hAnsi="Times New Roman" w:eastAsia="黑体" w:cs="Times New Roman"/>
          <w:sz w:val="32"/>
          <w:szCs w:val="32"/>
          <w:highlight w:val="none"/>
        </w:rPr>
      </w:pPr>
      <w:r>
        <w:rPr>
          <w:rFonts w:hint="default" w:ascii="Times New Roman" w:hAnsi="Times New Roman" w:eastAsia="黑体" w:cs="Times New Roman"/>
          <w:sz w:val="32"/>
          <w:szCs w:val="32"/>
          <w:highlight w:val="none"/>
        </w:rPr>
        <w:t>四、</w:t>
      </w:r>
      <w:r>
        <w:rPr>
          <w:rFonts w:hint="eastAsia" w:eastAsia="黑体" w:cs="Times New Roman"/>
          <w:sz w:val="32"/>
          <w:szCs w:val="32"/>
          <w:highlight w:val="none"/>
          <w:lang w:eastAsia="zh-CN"/>
        </w:rPr>
        <w:t>自评结论及</w:t>
      </w:r>
      <w:r>
        <w:rPr>
          <w:rFonts w:hint="default" w:ascii="Times New Roman" w:hAnsi="Times New Roman" w:eastAsia="黑体" w:cs="Times New Roman"/>
          <w:sz w:val="32"/>
          <w:szCs w:val="32"/>
          <w:highlight w:val="none"/>
        </w:rPr>
        <w:t>建议</w:t>
      </w:r>
    </w:p>
    <w:p>
      <w:pPr>
        <w:keepNext w:val="0"/>
        <w:keepLines w:val="0"/>
        <w:pageBreakBefore w:val="0"/>
        <w:widowControl w:val="0"/>
        <w:kinsoku/>
        <w:wordWrap/>
        <w:overflowPunct/>
        <w:topLinePunct w:val="0"/>
        <w:autoSpaceDE/>
        <w:autoSpaceDN/>
        <w:bidi w:val="0"/>
        <w:adjustRightInd w:val="0"/>
        <w:snapToGrid w:val="0"/>
        <w:spacing w:line="576" w:lineRule="exact"/>
        <w:ind w:firstLine="643" w:firstLineChars="200"/>
        <w:textAlignment w:val="auto"/>
        <w:rPr>
          <w:rFonts w:hint="eastAsia" w:ascii="Times New Roman" w:hAnsi="Times New Roman" w:eastAsia="楷体_GB2312" w:cs="Times New Roman"/>
          <w:b/>
          <w:sz w:val="32"/>
          <w:szCs w:val="32"/>
          <w:highlight w:val="none"/>
          <w:lang w:val="zh-CN" w:eastAsia="zh-CN"/>
        </w:rPr>
      </w:pPr>
      <w:r>
        <w:rPr>
          <w:rFonts w:hint="eastAsia" w:ascii="Times New Roman" w:hAnsi="Times New Roman" w:eastAsia="楷体_GB2312" w:cs="Times New Roman"/>
          <w:b/>
          <w:sz w:val="32"/>
          <w:szCs w:val="32"/>
          <w:highlight w:val="none"/>
          <w:lang w:val="zh-CN" w:eastAsia="zh-CN"/>
        </w:rPr>
        <w:t>（一）评价结论。</w:t>
      </w:r>
    </w:p>
    <w:p>
      <w:pPr>
        <w:keepNext w:val="0"/>
        <w:keepLines w:val="0"/>
        <w:pageBreakBefore w:val="0"/>
        <w:widowControl w:val="0"/>
        <w:kinsoku/>
        <w:wordWrap/>
        <w:overflowPunct/>
        <w:topLinePunct w:val="0"/>
        <w:autoSpaceDE/>
        <w:autoSpaceDN/>
        <w:bidi w:val="0"/>
        <w:adjustRightInd w:val="0"/>
        <w:snapToGrid w:val="0"/>
        <w:spacing w:line="576" w:lineRule="exact"/>
        <w:ind w:firstLine="640" w:firstLineChars="200"/>
        <w:textAlignment w:val="auto"/>
        <w:rPr>
          <w:rFonts w:hint="eastAsia" w:ascii="Times New Roman" w:hAnsi="Times New Roman" w:eastAsia="仿宋_GB2312" w:cs="Times New Roman"/>
          <w:color w:val="000000"/>
          <w:sz w:val="32"/>
          <w:szCs w:val="32"/>
          <w:highlight w:val="none"/>
          <w:lang w:val="zh-CN" w:eastAsia="zh-CN"/>
        </w:rPr>
      </w:pPr>
      <w:r>
        <w:rPr>
          <w:rFonts w:hint="eastAsia" w:ascii="Times New Roman" w:hAnsi="Times New Roman" w:eastAsia="仿宋_GB2312" w:cs="Times New Roman"/>
          <w:color w:val="000000"/>
          <w:sz w:val="32"/>
          <w:szCs w:val="32"/>
          <w:highlight w:val="none"/>
          <w:lang w:val="zh-CN" w:eastAsia="zh-CN"/>
        </w:rPr>
        <w:t>我局在该项目实施过程中，建立健全相关制度、机制，严格执行，推进各专项工作的落实。项目资金管理实行专项管理，严格审批制度，真正做到了专款专用，确保项目资金有效的利用。总体来说项目审核严格，管理到位，完成及时，社会效果良好。自评得分情况如下：</w:t>
      </w:r>
    </w:p>
    <w:tbl>
      <w:tblPr>
        <w:tblStyle w:val="16"/>
        <w:tblW w:w="9775"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578"/>
        <w:gridCol w:w="1730"/>
        <w:gridCol w:w="1495"/>
        <w:gridCol w:w="1909"/>
        <w:gridCol w:w="441"/>
        <w:gridCol w:w="1413"/>
        <w:gridCol w:w="443"/>
        <w:gridCol w:w="925"/>
        <w:gridCol w:w="456"/>
        <w:gridCol w:w="38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7" w:hRule="atLeast"/>
          <w:jc w:val="center"/>
        </w:trPr>
        <w:tc>
          <w:tcPr>
            <w:tcW w:w="57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6"/>
                <w:szCs w:val="16"/>
                <w:highlight w:val="none"/>
                <w:u w:val="none"/>
              </w:rPr>
            </w:pPr>
            <w:r>
              <w:rPr>
                <w:rFonts w:ascii="宋体" w:hAnsi="宋体" w:eastAsia="宋体" w:cs="宋体"/>
                <w:i w:val="0"/>
                <w:iCs w:val="0"/>
                <w:color w:val="000000"/>
                <w:kern w:val="0"/>
                <w:sz w:val="16"/>
                <w:szCs w:val="16"/>
                <w:highlight w:val="none"/>
                <w:u w:val="none"/>
                <w:lang w:val="en-US" w:eastAsia="zh-CN" w:bidi="ar"/>
              </w:rPr>
              <w:t>预算执行情况（10分）</w:t>
            </w:r>
          </w:p>
        </w:tc>
        <w:tc>
          <w:tcPr>
            <w:tcW w:w="17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6"/>
                <w:szCs w:val="16"/>
                <w:highlight w:val="none"/>
                <w:u w:val="none"/>
              </w:rPr>
            </w:pPr>
            <w:r>
              <w:rPr>
                <w:rFonts w:ascii="宋体" w:hAnsi="宋体" w:eastAsia="宋体" w:cs="宋体"/>
                <w:i w:val="0"/>
                <w:iCs w:val="0"/>
                <w:color w:val="000000"/>
                <w:kern w:val="0"/>
                <w:sz w:val="16"/>
                <w:szCs w:val="16"/>
                <w:highlight w:val="none"/>
                <w:u w:val="none"/>
                <w:lang w:val="en-US" w:eastAsia="zh-CN" w:bidi="ar"/>
              </w:rPr>
              <w:t>年度预算数（万元）</w:t>
            </w:r>
          </w:p>
        </w:tc>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6"/>
                <w:szCs w:val="16"/>
                <w:highlight w:val="none"/>
                <w:u w:val="none"/>
              </w:rPr>
            </w:pPr>
            <w:r>
              <w:rPr>
                <w:rFonts w:ascii="宋体" w:hAnsi="宋体" w:eastAsia="宋体" w:cs="宋体"/>
                <w:i w:val="0"/>
                <w:iCs w:val="0"/>
                <w:color w:val="000000"/>
                <w:kern w:val="0"/>
                <w:sz w:val="16"/>
                <w:szCs w:val="16"/>
                <w:highlight w:val="none"/>
                <w:u w:val="none"/>
                <w:lang w:val="en-US" w:eastAsia="zh-CN" w:bidi="ar"/>
              </w:rPr>
              <w:t>年初预算</w:t>
            </w:r>
          </w:p>
        </w:tc>
        <w:tc>
          <w:tcPr>
            <w:tcW w:w="19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6"/>
                <w:szCs w:val="16"/>
                <w:highlight w:val="none"/>
                <w:u w:val="none"/>
              </w:rPr>
            </w:pPr>
            <w:r>
              <w:rPr>
                <w:rFonts w:ascii="宋体" w:hAnsi="宋体" w:eastAsia="宋体" w:cs="宋体"/>
                <w:i w:val="0"/>
                <w:iCs w:val="0"/>
                <w:color w:val="000000"/>
                <w:kern w:val="0"/>
                <w:sz w:val="16"/>
                <w:szCs w:val="16"/>
                <w:highlight w:val="none"/>
                <w:u w:val="none"/>
                <w:lang w:val="en-US" w:eastAsia="zh-CN" w:bidi="ar"/>
              </w:rPr>
              <w:t>调整后预算数</w:t>
            </w:r>
          </w:p>
        </w:tc>
        <w:tc>
          <w:tcPr>
            <w:tcW w:w="23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6"/>
                <w:szCs w:val="16"/>
                <w:highlight w:val="none"/>
                <w:u w:val="none"/>
              </w:rPr>
            </w:pPr>
            <w:r>
              <w:rPr>
                <w:rFonts w:ascii="宋体" w:hAnsi="宋体" w:eastAsia="宋体" w:cs="宋体"/>
                <w:i w:val="0"/>
                <w:iCs w:val="0"/>
                <w:color w:val="000000"/>
                <w:kern w:val="0"/>
                <w:sz w:val="16"/>
                <w:szCs w:val="16"/>
                <w:highlight w:val="none"/>
                <w:u w:val="none"/>
                <w:lang w:val="en-US" w:eastAsia="zh-CN" w:bidi="ar"/>
              </w:rPr>
              <w:t>预算执行数</w:t>
            </w:r>
          </w:p>
        </w:tc>
        <w:tc>
          <w:tcPr>
            <w:tcW w:w="9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6"/>
                <w:szCs w:val="16"/>
                <w:highlight w:val="none"/>
                <w:u w:val="none"/>
              </w:rPr>
            </w:pPr>
            <w:r>
              <w:rPr>
                <w:rFonts w:ascii="宋体" w:hAnsi="宋体" w:eastAsia="宋体" w:cs="宋体"/>
                <w:i w:val="0"/>
                <w:iCs w:val="0"/>
                <w:color w:val="000000"/>
                <w:kern w:val="0"/>
                <w:sz w:val="16"/>
                <w:szCs w:val="16"/>
                <w:highlight w:val="none"/>
                <w:u w:val="none"/>
                <w:lang w:val="en-US" w:eastAsia="zh-CN" w:bidi="ar"/>
              </w:rPr>
              <w:t>预算执行率</w:t>
            </w:r>
          </w:p>
        </w:tc>
        <w:tc>
          <w:tcPr>
            <w:tcW w:w="4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6"/>
                <w:szCs w:val="16"/>
                <w:highlight w:val="none"/>
                <w:u w:val="none"/>
              </w:rPr>
            </w:pPr>
            <w:r>
              <w:rPr>
                <w:rFonts w:ascii="宋体" w:hAnsi="宋体" w:eastAsia="宋体" w:cs="宋体"/>
                <w:i w:val="0"/>
                <w:iCs w:val="0"/>
                <w:color w:val="000000"/>
                <w:kern w:val="0"/>
                <w:sz w:val="16"/>
                <w:szCs w:val="16"/>
                <w:highlight w:val="none"/>
                <w:u w:val="none"/>
                <w:lang w:val="en-US" w:eastAsia="zh-CN" w:bidi="ar"/>
              </w:rPr>
              <w:t>权重</w:t>
            </w:r>
          </w:p>
        </w:tc>
        <w:tc>
          <w:tcPr>
            <w:tcW w:w="3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6"/>
                <w:szCs w:val="16"/>
                <w:highlight w:val="none"/>
                <w:u w:val="none"/>
              </w:rPr>
            </w:pPr>
            <w:r>
              <w:rPr>
                <w:rFonts w:ascii="宋体" w:hAnsi="宋体" w:eastAsia="宋体" w:cs="宋体"/>
                <w:i w:val="0"/>
                <w:iCs w:val="0"/>
                <w:color w:val="000000"/>
                <w:kern w:val="0"/>
                <w:sz w:val="16"/>
                <w:szCs w:val="16"/>
                <w:highlight w:val="none"/>
                <w:u w:val="none"/>
                <w:lang w:val="en-US" w:eastAsia="zh-CN" w:bidi="ar"/>
              </w:rPr>
              <w:t>得分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3" w:hRule="atLeast"/>
          <w:jc w:val="center"/>
        </w:trPr>
        <w:tc>
          <w:tcPr>
            <w:tcW w:w="5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highlight w:val="none"/>
                <w:u w:val="none"/>
              </w:rPr>
            </w:pPr>
          </w:p>
        </w:tc>
        <w:tc>
          <w:tcPr>
            <w:tcW w:w="17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6"/>
                <w:szCs w:val="16"/>
                <w:highlight w:val="none"/>
                <w:u w:val="none"/>
              </w:rPr>
            </w:pPr>
            <w:r>
              <w:rPr>
                <w:rFonts w:ascii="宋体" w:hAnsi="宋体" w:eastAsia="宋体" w:cs="宋体"/>
                <w:i w:val="0"/>
                <w:iCs w:val="0"/>
                <w:color w:val="000000"/>
                <w:kern w:val="0"/>
                <w:sz w:val="16"/>
                <w:szCs w:val="16"/>
                <w:highlight w:val="none"/>
                <w:u w:val="none"/>
                <w:lang w:val="en-US" w:eastAsia="zh-CN" w:bidi="ar"/>
              </w:rPr>
              <w:t>总额</w:t>
            </w:r>
          </w:p>
        </w:tc>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6"/>
                <w:szCs w:val="16"/>
                <w:highlight w:val="none"/>
                <w:u w:val="none"/>
              </w:rPr>
            </w:pPr>
            <w:r>
              <w:rPr>
                <w:rFonts w:ascii="宋体" w:hAnsi="宋体" w:eastAsia="宋体" w:cs="宋体"/>
                <w:i w:val="0"/>
                <w:iCs w:val="0"/>
                <w:color w:val="000000"/>
                <w:kern w:val="0"/>
                <w:sz w:val="16"/>
                <w:szCs w:val="16"/>
                <w:highlight w:val="none"/>
                <w:u w:val="none"/>
                <w:lang w:val="en-US" w:eastAsia="zh-CN" w:bidi="ar"/>
              </w:rPr>
              <w:t>0.00</w:t>
            </w:r>
          </w:p>
        </w:tc>
        <w:tc>
          <w:tcPr>
            <w:tcW w:w="19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6"/>
                <w:szCs w:val="16"/>
                <w:highlight w:val="none"/>
                <w:u w:val="none"/>
              </w:rPr>
            </w:pPr>
            <w:r>
              <w:rPr>
                <w:rFonts w:ascii="宋体" w:hAnsi="宋体" w:eastAsia="宋体" w:cs="宋体"/>
                <w:i w:val="0"/>
                <w:iCs w:val="0"/>
                <w:color w:val="000000"/>
                <w:kern w:val="0"/>
                <w:sz w:val="16"/>
                <w:szCs w:val="16"/>
                <w:highlight w:val="none"/>
                <w:u w:val="none"/>
                <w:lang w:val="en-US" w:eastAsia="zh-CN" w:bidi="ar"/>
              </w:rPr>
              <w:t>121.88</w:t>
            </w:r>
          </w:p>
        </w:tc>
        <w:tc>
          <w:tcPr>
            <w:tcW w:w="23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6"/>
                <w:szCs w:val="16"/>
                <w:highlight w:val="none"/>
                <w:u w:val="none"/>
              </w:rPr>
            </w:pPr>
            <w:r>
              <w:rPr>
                <w:rFonts w:ascii="宋体" w:hAnsi="宋体" w:eastAsia="宋体" w:cs="宋体"/>
                <w:i w:val="0"/>
                <w:iCs w:val="0"/>
                <w:color w:val="000000"/>
                <w:kern w:val="0"/>
                <w:sz w:val="16"/>
                <w:szCs w:val="16"/>
                <w:highlight w:val="none"/>
                <w:u w:val="none"/>
                <w:lang w:val="en-US" w:eastAsia="zh-CN" w:bidi="ar"/>
              </w:rPr>
              <w:t>121.88</w:t>
            </w:r>
          </w:p>
        </w:tc>
        <w:tc>
          <w:tcPr>
            <w:tcW w:w="9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6"/>
                <w:szCs w:val="16"/>
                <w:highlight w:val="none"/>
                <w:u w:val="none"/>
              </w:rPr>
            </w:pPr>
            <w:r>
              <w:rPr>
                <w:rFonts w:ascii="宋体" w:hAnsi="宋体" w:eastAsia="宋体" w:cs="宋体"/>
                <w:i w:val="0"/>
                <w:iCs w:val="0"/>
                <w:color w:val="000000"/>
                <w:kern w:val="0"/>
                <w:sz w:val="16"/>
                <w:szCs w:val="16"/>
                <w:highlight w:val="none"/>
                <w:u w:val="none"/>
                <w:lang w:val="en-US" w:eastAsia="zh-CN" w:bidi="ar"/>
              </w:rPr>
              <w:t>100.00%</w:t>
            </w:r>
          </w:p>
        </w:tc>
        <w:tc>
          <w:tcPr>
            <w:tcW w:w="4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6"/>
                <w:szCs w:val="16"/>
                <w:highlight w:val="none"/>
                <w:u w:val="none"/>
              </w:rPr>
            </w:pPr>
            <w:r>
              <w:rPr>
                <w:rFonts w:ascii="宋体" w:hAnsi="宋体" w:eastAsia="宋体" w:cs="宋体"/>
                <w:i w:val="0"/>
                <w:iCs w:val="0"/>
                <w:color w:val="000000"/>
                <w:kern w:val="0"/>
                <w:sz w:val="16"/>
                <w:szCs w:val="16"/>
                <w:highlight w:val="none"/>
                <w:u w:val="none"/>
                <w:lang w:val="en-US" w:eastAsia="zh-CN" w:bidi="ar"/>
              </w:rPr>
              <w:t>10</w:t>
            </w:r>
          </w:p>
        </w:tc>
        <w:tc>
          <w:tcPr>
            <w:tcW w:w="38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9" w:hRule="atLeast"/>
          <w:jc w:val="center"/>
        </w:trPr>
        <w:tc>
          <w:tcPr>
            <w:tcW w:w="5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highlight w:val="none"/>
                <w:u w:val="none"/>
              </w:rPr>
            </w:pPr>
          </w:p>
        </w:tc>
        <w:tc>
          <w:tcPr>
            <w:tcW w:w="17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6"/>
                <w:szCs w:val="16"/>
                <w:highlight w:val="none"/>
                <w:u w:val="none"/>
              </w:rPr>
            </w:pPr>
            <w:r>
              <w:rPr>
                <w:rFonts w:ascii="宋体" w:hAnsi="宋体" w:eastAsia="宋体" w:cs="宋体"/>
                <w:i w:val="0"/>
                <w:iCs w:val="0"/>
                <w:color w:val="000000"/>
                <w:kern w:val="0"/>
                <w:sz w:val="16"/>
                <w:szCs w:val="16"/>
                <w:highlight w:val="none"/>
                <w:u w:val="none"/>
                <w:lang w:val="en-US" w:eastAsia="zh-CN" w:bidi="ar"/>
              </w:rPr>
              <w:t>其中：财政资金</w:t>
            </w:r>
          </w:p>
        </w:tc>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6"/>
                <w:szCs w:val="16"/>
                <w:highlight w:val="none"/>
                <w:u w:val="none"/>
              </w:rPr>
            </w:pPr>
            <w:r>
              <w:rPr>
                <w:rFonts w:ascii="宋体" w:hAnsi="宋体" w:eastAsia="宋体" w:cs="宋体"/>
                <w:i w:val="0"/>
                <w:iCs w:val="0"/>
                <w:color w:val="000000"/>
                <w:kern w:val="0"/>
                <w:sz w:val="16"/>
                <w:szCs w:val="16"/>
                <w:highlight w:val="none"/>
                <w:u w:val="none"/>
                <w:lang w:val="en-US" w:eastAsia="zh-CN" w:bidi="ar"/>
              </w:rPr>
              <w:t>0.00</w:t>
            </w:r>
          </w:p>
        </w:tc>
        <w:tc>
          <w:tcPr>
            <w:tcW w:w="19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6"/>
                <w:szCs w:val="16"/>
                <w:highlight w:val="none"/>
                <w:u w:val="none"/>
              </w:rPr>
            </w:pPr>
            <w:r>
              <w:rPr>
                <w:rFonts w:ascii="宋体" w:hAnsi="宋体" w:eastAsia="宋体" w:cs="宋体"/>
                <w:i w:val="0"/>
                <w:iCs w:val="0"/>
                <w:color w:val="000000"/>
                <w:kern w:val="0"/>
                <w:sz w:val="16"/>
                <w:szCs w:val="16"/>
                <w:highlight w:val="none"/>
                <w:u w:val="none"/>
                <w:lang w:val="en-US" w:eastAsia="zh-CN" w:bidi="ar"/>
              </w:rPr>
              <w:t>121.88</w:t>
            </w:r>
          </w:p>
        </w:tc>
        <w:tc>
          <w:tcPr>
            <w:tcW w:w="23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6"/>
                <w:szCs w:val="16"/>
                <w:highlight w:val="none"/>
                <w:u w:val="none"/>
              </w:rPr>
            </w:pPr>
            <w:r>
              <w:rPr>
                <w:rFonts w:ascii="宋体" w:hAnsi="宋体" w:eastAsia="宋体" w:cs="宋体"/>
                <w:i w:val="0"/>
                <w:iCs w:val="0"/>
                <w:color w:val="000000"/>
                <w:kern w:val="0"/>
                <w:sz w:val="16"/>
                <w:szCs w:val="16"/>
                <w:highlight w:val="none"/>
                <w:u w:val="none"/>
                <w:lang w:val="en-US" w:eastAsia="zh-CN" w:bidi="ar"/>
              </w:rPr>
              <w:t>121.88</w:t>
            </w:r>
          </w:p>
        </w:tc>
        <w:tc>
          <w:tcPr>
            <w:tcW w:w="9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6"/>
                <w:szCs w:val="16"/>
                <w:highlight w:val="none"/>
                <w:u w:val="none"/>
              </w:rPr>
            </w:pPr>
            <w:r>
              <w:rPr>
                <w:rFonts w:ascii="宋体" w:hAnsi="宋体" w:eastAsia="宋体" w:cs="宋体"/>
                <w:i w:val="0"/>
                <w:iCs w:val="0"/>
                <w:color w:val="000000"/>
                <w:kern w:val="0"/>
                <w:sz w:val="16"/>
                <w:szCs w:val="16"/>
                <w:highlight w:val="none"/>
                <w:u w:val="none"/>
                <w:lang w:val="en-US" w:eastAsia="zh-CN" w:bidi="ar"/>
              </w:rPr>
              <w:t>100.00%</w:t>
            </w:r>
          </w:p>
        </w:tc>
        <w:tc>
          <w:tcPr>
            <w:tcW w:w="4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6"/>
                <w:szCs w:val="16"/>
                <w:highlight w:val="none"/>
                <w:u w:val="none"/>
              </w:rPr>
            </w:pPr>
            <w:r>
              <w:rPr>
                <w:rFonts w:ascii="宋体" w:hAnsi="宋体" w:eastAsia="宋体" w:cs="宋体"/>
                <w:i w:val="0"/>
                <w:iCs w:val="0"/>
                <w:color w:val="000000"/>
                <w:kern w:val="0"/>
                <w:sz w:val="16"/>
                <w:szCs w:val="16"/>
                <w:highlight w:val="none"/>
                <w:u w:val="none"/>
                <w:lang w:val="en-US" w:eastAsia="zh-CN" w:bidi="ar"/>
              </w:rPr>
              <w:t>/</w:t>
            </w:r>
          </w:p>
        </w:tc>
        <w:tc>
          <w:tcPr>
            <w:tcW w:w="3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6"/>
                <w:szCs w:val="16"/>
                <w:highlight w:val="none"/>
                <w:u w:val="none"/>
              </w:rPr>
            </w:pPr>
            <w:r>
              <w:rPr>
                <w:rFonts w:ascii="宋体" w:hAnsi="宋体" w:eastAsia="宋体" w:cs="宋体"/>
                <w:i w:val="0"/>
                <w:iCs w:val="0"/>
                <w:color w:val="000000"/>
                <w:kern w:val="0"/>
                <w:sz w:val="16"/>
                <w:szCs w:val="16"/>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9" w:hRule="atLeast"/>
          <w:jc w:val="center"/>
        </w:trPr>
        <w:tc>
          <w:tcPr>
            <w:tcW w:w="5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highlight w:val="none"/>
                <w:u w:val="none"/>
              </w:rPr>
            </w:pPr>
          </w:p>
        </w:tc>
        <w:tc>
          <w:tcPr>
            <w:tcW w:w="17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6"/>
                <w:szCs w:val="16"/>
                <w:highlight w:val="none"/>
                <w:u w:val="none"/>
              </w:rPr>
            </w:pPr>
            <w:r>
              <w:rPr>
                <w:rFonts w:ascii="宋体" w:hAnsi="宋体" w:eastAsia="宋体" w:cs="宋体"/>
                <w:i w:val="0"/>
                <w:iCs w:val="0"/>
                <w:color w:val="000000"/>
                <w:kern w:val="0"/>
                <w:sz w:val="16"/>
                <w:szCs w:val="16"/>
                <w:highlight w:val="none"/>
                <w:u w:val="none"/>
                <w:lang w:val="en-US" w:eastAsia="zh-CN" w:bidi="ar"/>
              </w:rPr>
              <w:t>财政专户管理资金</w:t>
            </w:r>
          </w:p>
        </w:tc>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6"/>
                <w:szCs w:val="16"/>
                <w:highlight w:val="none"/>
                <w:u w:val="none"/>
              </w:rPr>
            </w:pPr>
            <w:r>
              <w:rPr>
                <w:rFonts w:ascii="宋体" w:hAnsi="宋体" w:eastAsia="宋体" w:cs="宋体"/>
                <w:i w:val="0"/>
                <w:iCs w:val="0"/>
                <w:color w:val="000000"/>
                <w:kern w:val="0"/>
                <w:sz w:val="16"/>
                <w:szCs w:val="16"/>
                <w:highlight w:val="none"/>
                <w:u w:val="none"/>
                <w:lang w:val="en-US" w:eastAsia="zh-CN" w:bidi="ar"/>
              </w:rPr>
              <w:t>0.00</w:t>
            </w:r>
          </w:p>
        </w:tc>
        <w:tc>
          <w:tcPr>
            <w:tcW w:w="19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6"/>
                <w:szCs w:val="16"/>
                <w:highlight w:val="none"/>
                <w:u w:val="none"/>
              </w:rPr>
            </w:pPr>
            <w:r>
              <w:rPr>
                <w:rFonts w:ascii="宋体" w:hAnsi="宋体" w:eastAsia="宋体" w:cs="宋体"/>
                <w:i w:val="0"/>
                <w:iCs w:val="0"/>
                <w:color w:val="000000"/>
                <w:kern w:val="0"/>
                <w:sz w:val="16"/>
                <w:szCs w:val="16"/>
                <w:highlight w:val="none"/>
                <w:u w:val="none"/>
                <w:lang w:val="en-US" w:eastAsia="zh-CN" w:bidi="ar"/>
              </w:rPr>
              <w:t>0.00</w:t>
            </w:r>
          </w:p>
        </w:tc>
        <w:tc>
          <w:tcPr>
            <w:tcW w:w="23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6"/>
                <w:szCs w:val="16"/>
                <w:highlight w:val="none"/>
                <w:u w:val="none"/>
              </w:rPr>
            </w:pPr>
            <w:r>
              <w:rPr>
                <w:rFonts w:ascii="宋体" w:hAnsi="宋体" w:eastAsia="宋体" w:cs="宋体"/>
                <w:i w:val="0"/>
                <w:iCs w:val="0"/>
                <w:color w:val="000000"/>
                <w:kern w:val="0"/>
                <w:sz w:val="16"/>
                <w:szCs w:val="16"/>
                <w:highlight w:val="none"/>
                <w:u w:val="none"/>
                <w:lang w:val="en-US" w:eastAsia="zh-CN" w:bidi="ar"/>
              </w:rPr>
              <w:t>0.00</w:t>
            </w:r>
          </w:p>
        </w:tc>
        <w:tc>
          <w:tcPr>
            <w:tcW w:w="9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6"/>
                <w:szCs w:val="16"/>
                <w:highlight w:val="none"/>
                <w:u w:val="none"/>
              </w:rPr>
            </w:pPr>
            <w:r>
              <w:rPr>
                <w:rFonts w:ascii="宋体" w:hAnsi="宋体" w:eastAsia="宋体" w:cs="宋体"/>
                <w:i w:val="0"/>
                <w:iCs w:val="0"/>
                <w:color w:val="000000"/>
                <w:kern w:val="0"/>
                <w:sz w:val="16"/>
                <w:szCs w:val="16"/>
                <w:highlight w:val="none"/>
                <w:u w:val="none"/>
                <w:lang w:val="en-US" w:eastAsia="zh-CN" w:bidi="ar"/>
              </w:rPr>
              <w:t>0.00%</w:t>
            </w:r>
          </w:p>
        </w:tc>
        <w:tc>
          <w:tcPr>
            <w:tcW w:w="4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6"/>
                <w:szCs w:val="16"/>
                <w:highlight w:val="none"/>
                <w:u w:val="none"/>
              </w:rPr>
            </w:pPr>
            <w:r>
              <w:rPr>
                <w:rFonts w:ascii="宋体" w:hAnsi="宋体" w:eastAsia="宋体" w:cs="宋体"/>
                <w:i w:val="0"/>
                <w:iCs w:val="0"/>
                <w:color w:val="000000"/>
                <w:kern w:val="0"/>
                <w:sz w:val="16"/>
                <w:szCs w:val="16"/>
                <w:highlight w:val="none"/>
                <w:u w:val="none"/>
                <w:lang w:val="en-US" w:eastAsia="zh-CN" w:bidi="ar"/>
              </w:rPr>
              <w:t>/</w:t>
            </w:r>
          </w:p>
        </w:tc>
        <w:tc>
          <w:tcPr>
            <w:tcW w:w="3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6"/>
                <w:szCs w:val="16"/>
                <w:highlight w:val="none"/>
                <w:u w:val="none"/>
              </w:rPr>
            </w:pPr>
            <w:r>
              <w:rPr>
                <w:rFonts w:ascii="宋体" w:hAnsi="宋体" w:eastAsia="宋体" w:cs="宋体"/>
                <w:i w:val="0"/>
                <w:iCs w:val="0"/>
                <w:color w:val="000000"/>
                <w:kern w:val="0"/>
                <w:sz w:val="16"/>
                <w:szCs w:val="16"/>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3" w:hRule="atLeast"/>
          <w:jc w:val="center"/>
        </w:trPr>
        <w:tc>
          <w:tcPr>
            <w:tcW w:w="5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highlight w:val="none"/>
                <w:u w:val="none"/>
              </w:rPr>
            </w:pPr>
          </w:p>
        </w:tc>
        <w:tc>
          <w:tcPr>
            <w:tcW w:w="17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6"/>
                <w:szCs w:val="16"/>
                <w:highlight w:val="none"/>
                <w:u w:val="none"/>
              </w:rPr>
            </w:pPr>
            <w:r>
              <w:rPr>
                <w:rFonts w:ascii="宋体" w:hAnsi="宋体" w:eastAsia="宋体" w:cs="宋体"/>
                <w:i w:val="0"/>
                <w:iCs w:val="0"/>
                <w:color w:val="000000"/>
                <w:kern w:val="0"/>
                <w:sz w:val="16"/>
                <w:szCs w:val="16"/>
                <w:highlight w:val="none"/>
                <w:u w:val="none"/>
                <w:lang w:val="en-US" w:eastAsia="zh-CN" w:bidi="ar"/>
              </w:rPr>
              <w:t>单位资金</w:t>
            </w:r>
          </w:p>
        </w:tc>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6"/>
                <w:szCs w:val="16"/>
                <w:highlight w:val="none"/>
                <w:u w:val="none"/>
              </w:rPr>
            </w:pPr>
            <w:r>
              <w:rPr>
                <w:rFonts w:ascii="宋体" w:hAnsi="宋体" w:eastAsia="宋体" w:cs="宋体"/>
                <w:i w:val="0"/>
                <w:iCs w:val="0"/>
                <w:color w:val="000000"/>
                <w:kern w:val="0"/>
                <w:sz w:val="16"/>
                <w:szCs w:val="16"/>
                <w:highlight w:val="none"/>
                <w:u w:val="none"/>
                <w:lang w:val="en-US" w:eastAsia="zh-CN" w:bidi="ar"/>
              </w:rPr>
              <w:t>0.00</w:t>
            </w:r>
          </w:p>
        </w:tc>
        <w:tc>
          <w:tcPr>
            <w:tcW w:w="19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6"/>
                <w:szCs w:val="16"/>
                <w:highlight w:val="none"/>
                <w:u w:val="none"/>
              </w:rPr>
            </w:pPr>
            <w:r>
              <w:rPr>
                <w:rFonts w:ascii="宋体" w:hAnsi="宋体" w:eastAsia="宋体" w:cs="宋体"/>
                <w:i w:val="0"/>
                <w:iCs w:val="0"/>
                <w:color w:val="000000"/>
                <w:kern w:val="0"/>
                <w:sz w:val="16"/>
                <w:szCs w:val="16"/>
                <w:highlight w:val="none"/>
                <w:u w:val="none"/>
                <w:lang w:val="en-US" w:eastAsia="zh-CN" w:bidi="ar"/>
              </w:rPr>
              <w:t>0.00</w:t>
            </w:r>
          </w:p>
        </w:tc>
        <w:tc>
          <w:tcPr>
            <w:tcW w:w="23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6"/>
                <w:szCs w:val="16"/>
                <w:highlight w:val="none"/>
                <w:u w:val="none"/>
              </w:rPr>
            </w:pPr>
            <w:r>
              <w:rPr>
                <w:rFonts w:ascii="宋体" w:hAnsi="宋体" w:eastAsia="宋体" w:cs="宋体"/>
                <w:i w:val="0"/>
                <w:iCs w:val="0"/>
                <w:color w:val="000000"/>
                <w:kern w:val="0"/>
                <w:sz w:val="16"/>
                <w:szCs w:val="16"/>
                <w:highlight w:val="none"/>
                <w:u w:val="none"/>
                <w:lang w:val="en-US" w:eastAsia="zh-CN" w:bidi="ar"/>
              </w:rPr>
              <w:t>0.00</w:t>
            </w:r>
          </w:p>
        </w:tc>
        <w:tc>
          <w:tcPr>
            <w:tcW w:w="9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6"/>
                <w:szCs w:val="16"/>
                <w:highlight w:val="none"/>
                <w:u w:val="none"/>
              </w:rPr>
            </w:pPr>
            <w:r>
              <w:rPr>
                <w:rFonts w:ascii="宋体" w:hAnsi="宋体" w:eastAsia="宋体" w:cs="宋体"/>
                <w:i w:val="0"/>
                <w:iCs w:val="0"/>
                <w:color w:val="000000"/>
                <w:kern w:val="0"/>
                <w:sz w:val="16"/>
                <w:szCs w:val="16"/>
                <w:highlight w:val="none"/>
                <w:u w:val="none"/>
                <w:lang w:val="en-US" w:eastAsia="zh-CN" w:bidi="ar"/>
              </w:rPr>
              <w:t>0.00%</w:t>
            </w:r>
          </w:p>
        </w:tc>
        <w:tc>
          <w:tcPr>
            <w:tcW w:w="4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6"/>
                <w:szCs w:val="16"/>
                <w:highlight w:val="none"/>
                <w:u w:val="none"/>
              </w:rPr>
            </w:pPr>
            <w:r>
              <w:rPr>
                <w:rFonts w:ascii="宋体" w:hAnsi="宋体" w:eastAsia="宋体" w:cs="宋体"/>
                <w:i w:val="0"/>
                <w:iCs w:val="0"/>
                <w:color w:val="000000"/>
                <w:kern w:val="0"/>
                <w:sz w:val="16"/>
                <w:szCs w:val="16"/>
                <w:highlight w:val="none"/>
                <w:u w:val="none"/>
                <w:lang w:val="en-US" w:eastAsia="zh-CN" w:bidi="ar"/>
              </w:rPr>
              <w:t>/</w:t>
            </w:r>
          </w:p>
        </w:tc>
        <w:tc>
          <w:tcPr>
            <w:tcW w:w="3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6"/>
                <w:szCs w:val="16"/>
                <w:highlight w:val="none"/>
                <w:u w:val="none"/>
              </w:rPr>
            </w:pPr>
            <w:r>
              <w:rPr>
                <w:rFonts w:ascii="宋体" w:hAnsi="宋体" w:eastAsia="宋体" w:cs="宋体"/>
                <w:i w:val="0"/>
                <w:iCs w:val="0"/>
                <w:color w:val="000000"/>
                <w:kern w:val="0"/>
                <w:sz w:val="16"/>
                <w:szCs w:val="16"/>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3" w:hRule="atLeast"/>
          <w:jc w:val="center"/>
        </w:trPr>
        <w:tc>
          <w:tcPr>
            <w:tcW w:w="5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highlight w:val="none"/>
                <w:u w:val="none"/>
              </w:rPr>
            </w:pPr>
          </w:p>
        </w:tc>
        <w:tc>
          <w:tcPr>
            <w:tcW w:w="17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6"/>
                <w:szCs w:val="16"/>
                <w:highlight w:val="none"/>
                <w:u w:val="none"/>
              </w:rPr>
            </w:pPr>
            <w:r>
              <w:rPr>
                <w:rFonts w:ascii="宋体" w:hAnsi="宋体" w:eastAsia="宋体" w:cs="宋体"/>
                <w:i w:val="0"/>
                <w:iCs w:val="0"/>
                <w:color w:val="000000"/>
                <w:kern w:val="0"/>
                <w:sz w:val="16"/>
                <w:szCs w:val="16"/>
                <w:highlight w:val="none"/>
                <w:u w:val="none"/>
                <w:lang w:val="en-US" w:eastAsia="zh-CN" w:bidi="ar"/>
              </w:rPr>
              <w:t>其他资金</w:t>
            </w:r>
          </w:p>
        </w:tc>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5"/>
                <w:szCs w:val="15"/>
                <w:highlight w:val="none"/>
                <w:u w:val="none"/>
              </w:rPr>
            </w:pPr>
          </w:p>
        </w:tc>
        <w:tc>
          <w:tcPr>
            <w:tcW w:w="19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5"/>
                <w:szCs w:val="15"/>
                <w:highlight w:val="none"/>
                <w:u w:val="none"/>
              </w:rPr>
            </w:pPr>
          </w:p>
        </w:tc>
        <w:tc>
          <w:tcPr>
            <w:tcW w:w="23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5"/>
                <w:szCs w:val="15"/>
                <w:highlight w:val="none"/>
                <w:u w:val="none"/>
              </w:rPr>
            </w:pPr>
          </w:p>
        </w:tc>
        <w:tc>
          <w:tcPr>
            <w:tcW w:w="9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5"/>
                <w:szCs w:val="15"/>
                <w:highlight w:val="none"/>
                <w:u w:val="none"/>
              </w:rPr>
            </w:pPr>
          </w:p>
        </w:tc>
        <w:tc>
          <w:tcPr>
            <w:tcW w:w="4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6"/>
                <w:szCs w:val="16"/>
                <w:highlight w:val="none"/>
                <w:u w:val="none"/>
              </w:rPr>
            </w:pPr>
            <w:r>
              <w:rPr>
                <w:rFonts w:ascii="宋体" w:hAnsi="宋体" w:eastAsia="宋体" w:cs="宋体"/>
                <w:i w:val="0"/>
                <w:iCs w:val="0"/>
                <w:color w:val="000000"/>
                <w:kern w:val="0"/>
                <w:sz w:val="16"/>
                <w:szCs w:val="16"/>
                <w:highlight w:val="none"/>
                <w:u w:val="none"/>
                <w:lang w:val="en-US" w:eastAsia="zh-CN" w:bidi="ar"/>
              </w:rPr>
              <w:t>/</w:t>
            </w:r>
          </w:p>
        </w:tc>
        <w:tc>
          <w:tcPr>
            <w:tcW w:w="3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6"/>
                <w:szCs w:val="16"/>
                <w:highlight w:val="none"/>
                <w:u w:val="none"/>
              </w:rPr>
            </w:pPr>
            <w:r>
              <w:rPr>
                <w:rFonts w:ascii="宋体" w:hAnsi="宋体" w:eastAsia="宋体" w:cs="宋体"/>
                <w:i w:val="0"/>
                <w:iCs w:val="0"/>
                <w:color w:val="000000"/>
                <w:kern w:val="0"/>
                <w:sz w:val="16"/>
                <w:szCs w:val="16"/>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44" w:hRule="atLeast"/>
          <w:jc w:val="center"/>
        </w:trPr>
        <w:tc>
          <w:tcPr>
            <w:tcW w:w="57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6"/>
                <w:szCs w:val="16"/>
                <w:highlight w:val="none"/>
                <w:u w:val="none"/>
              </w:rPr>
            </w:pPr>
            <w:r>
              <w:rPr>
                <w:rFonts w:ascii="宋体" w:hAnsi="宋体" w:eastAsia="宋体" w:cs="宋体"/>
                <w:i w:val="0"/>
                <w:iCs w:val="0"/>
                <w:color w:val="000000"/>
                <w:kern w:val="0"/>
                <w:sz w:val="16"/>
                <w:szCs w:val="16"/>
                <w:highlight w:val="none"/>
                <w:u w:val="none"/>
                <w:lang w:val="en-US" w:eastAsia="zh-CN" w:bidi="ar"/>
              </w:rPr>
              <w:t>绩效指标（90分）</w:t>
            </w:r>
          </w:p>
        </w:tc>
        <w:tc>
          <w:tcPr>
            <w:tcW w:w="17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6"/>
                <w:szCs w:val="16"/>
                <w:highlight w:val="none"/>
                <w:u w:val="none"/>
              </w:rPr>
            </w:pPr>
            <w:r>
              <w:rPr>
                <w:rFonts w:ascii="宋体" w:hAnsi="宋体" w:eastAsia="宋体" w:cs="宋体"/>
                <w:i w:val="0"/>
                <w:iCs w:val="0"/>
                <w:color w:val="000000"/>
                <w:kern w:val="0"/>
                <w:sz w:val="16"/>
                <w:szCs w:val="16"/>
                <w:highlight w:val="none"/>
                <w:u w:val="none"/>
                <w:lang w:val="en-US" w:eastAsia="zh-CN" w:bidi="ar"/>
              </w:rPr>
              <w:t>一级指标</w:t>
            </w:r>
          </w:p>
        </w:tc>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6"/>
                <w:szCs w:val="16"/>
                <w:highlight w:val="none"/>
                <w:u w:val="none"/>
              </w:rPr>
            </w:pPr>
            <w:r>
              <w:rPr>
                <w:rFonts w:ascii="宋体" w:hAnsi="宋体" w:eastAsia="宋体" w:cs="宋体"/>
                <w:i w:val="0"/>
                <w:iCs w:val="0"/>
                <w:color w:val="000000"/>
                <w:kern w:val="0"/>
                <w:sz w:val="16"/>
                <w:szCs w:val="16"/>
                <w:highlight w:val="none"/>
                <w:u w:val="none"/>
                <w:lang w:val="en-US" w:eastAsia="zh-CN" w:bidi="ar"/>
              </w:rPr>
              <w:t>二级指标</w:t>
            </w:r>
          </w:p>
        </w:tc>
        <w:tc>
          <w:tcPr>
            <w:tcW w:w="19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6"/>
                <w:szCs w:val="16"/>
                <w:highlight w:val="none"/>
                <w:u w:val="none"/>
              </w:rPr>
            </w:pPr>
            <w:r>
              <w:rPr>
                <w:rFonts w:ascii="宋体" w:hAnsi="宋体" w:eastAsia="宋体" w:cs="宋体"/>
                <w:i w:val="0"/>
                <w:iCs w:val="0"/>
                <w:color w:val="000000"/>
                <w:kern w:val="0"/>
                <w:sz w:val="16"/>
                <w:szCs w:val="16"/>
                <w:highlight w:val="none"/>
                <w:u w:val="none"/>
                <w:lang w:val="en-US" w:eastAsia="zh-CN" w:bidi="ar"/>
              </w:rPr>
              <w:t>三级指标</w:t>
            </w:r>
          </w:p>
        </w:tc>
        <w:tc>
          <w:tcPr>
            <w:tcW w:w="4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6"/>
                <w:szCs w:val="16"/>
                <w:highlight w:val="none"/>
                <w:u w:val="none"/>
              </w:rPr>
            </w:pPr>
            <w:r>
              <w:rPr>
                <w:rFonts w:ascii="宋体" w:hAnsi="宋体" w:eastAsia="宋体" w:cs="宋体"/>
                <w:i w:val="0"/>
                <w:iCs w:val="0"/>
                <w:color w:val="000000"/>
                <w:kern w:val="0"/>
                <w:sz w:val="16"/>
                <w:szCs w:val="16"/>
                <w:highlight w:val="none"/>
                <w:u w:val="none"/>
                <w:lang w:val="en-US" w:eastAsia="zh-CN" w:bidi="ar"/>
              </w:rPr>
              <w:t>指标性质</w:t>
            </w:r>
          </w:p>
        </w:tc>
        <w:tc>
          <w:tcPr>
            <w:tcW w:w="14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6"/>
                <w:szCs w:val="16"/>
                <w:highlight w:val="none"/>
                <w:u w:val="none"/>
              </w:rPr>
            </w:pPr>
            <w:r>
              <w:rPr>
                <w:rFonts w:ascii="宋体" w:hAnsi="宋体" w:eastAsia="宋体" w:cs="宋体"/>
                <w:i w:val="0"/>
                <w:iCs w:val="0"/>
                <w:color w:val="000000"/>
                <w:kern w:val="0"/>
                <w:sz w:val="16"/>
                <w:szCs w:val="16"/>
                <w:highlight w:val="none"/>
                <w:u w:val="none"/>
                <w:lang w:val="en-US" w:eastAsia="zh-CN" w:bidi="ar"/>
              </w:rPr>
              <w:t>指标值</w:t>
            </w:r>
          </w:p>
        </w:tc>
        <w:tc>
          <w:tcPr>
            <w:tcW w:w="4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6"/>
                <w:szCs w:val="16"/>
                <w:highlight w:val="none"/>
                <w:u w:val="none"/>
              </w:rPr>
            </w:pPr>
            <w:r>
              <w:rPr>
                <w:rFonts w:ascii="宋体" w:hAnsi="宋体" w:eastAsia="宋体" w:cs="宋体"/>
                <w:i w:val="0"/>
                <w:iCs w:val="0"/>
                <w:color w:val="000000"/>
                <w:kern w:val="0"/>
                <w:sz w:val="16"/>
                <w:szCs w:val="16"/>
                <w:highlight w:val="none"/>
                <w:u w:val="none"/>
                <w:lang w:val="en-US" w:eastAsia="zh-CN" w:bidi="ar"/>
              </w:rPr>
              <w:t>度量单位</w:t>
            </w:r>
          </w:p>
        </w:tc>
        <w:tc>
          <w:tcPr>
            <w:tcW w:w="9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6"/>
                <w:szCs w:val="16"/>
                <w:highlight w:val="none"/>
                <w:u w:val="none"/>
              </w:rPr>
            </w:pPr>
            <w:r>
              <w:rPr>
                <w:rFonts w:ascii="宋体" w:hAnsi="宋体" w:eastAsia="宋体" w:cs="宋体"/>
                <w:i w:val="0"/>
                <w:iCs w:val="0"/>
                <w:color w:val="000000"/>
                <w:kern w:val="0"/>
                <w:sz w:val="16"/>
                <w:szCs w:val="16"/>
                <w:highlight w:val="none"/>
                <w:u w:val="none"/>
                <w:lang w:val="en-US" w:eastAsia="zh-CN" w:bidi="ar"/>
              </w:rPr>
              <w:t>完成值</w:t>
            </w:r>
          </w:p>
        </w:tc>
        <w:tc>
          <w:tcPr>
            <w:tcW w:w="4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6"/>
                <w:szCs w:val="16"/>
                <w:highlight w:val="none"/>
                <w:u w:val="none"/>
              </w:rPr>
            </w:pPr>
            <w:r>
              <w:rPr>
                <w:rFonts w:ascii="宋体" w:hAnsi="宋体" w:eastAsia="宋体" w:cs="宋体"/>
                <w:i w:val="0"/>
                <w:iCs w:val="0"/>
                <w:color w:val="000000"/>
                <w:kern w:val="0"/>
                <w:sz w:val="16"/>
                <w:szCs w:val="16"/>
                <w:highlight w:val="none"/>
                <w:u w:val="none"/>
                <w:lang w:val="en-US" w:eastAsia="zh-CN" w:bidi="ar"/>
              </w:rPr>
              <w:t>权重</w:t>
            </w:r>
          </w:p>
        </w:tc>
        <w:tc>
          <w:tcPr>
            <w:tcW w:w="3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6"/>
                <w:szCs w:val="16"/>
                <w:highlight w:val="none"/>
                <w:u w:val="none"/>
              </w:rPr>
            </w:pPr>
            <w:r>
              <w:rPr>
                <w:rFonts w:ascii="宋体" w:hAnsi="宋体" w:eastAsia="宋体" w:cs="宋体"/>
                <w:i w:val="0"/>
                <w:iCs w:val="0"/>
                <w:color w:val="000000"/>
                <w:kern w:val="0"/>
                <w:sz w:val="16"/>
                <w:szCs w:val="16"/>
                <w:highlight w:val="none"/>
                <w:u w:val="none"/>
                <w:lang w:val="en-US" w:eastAsia="zh-CN" w:bidi="ar"/>
              </w:rPr>
              <w:t>得分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7" w:hRule="atLeast"/>
          <w:jc w:val="center"/>
        </w:trPr>
        <w:tc>
          <w:tcPr>
            <w:tcW w:w="5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highlight w:val="none"/>
                <w:u w:val="none"/>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宋体" w:hAnsi="宋体" w:eastAsia="宋体" w:cs="宋体"/>
                <w:i w:val="0"/>
                <w:iCs w:val="0"/>
                <w:color w:val="000000"/>
                <w:sz w:val="16"/>
                <w:szCs w:val="16"/>
                <w:highlight w:val="none"/>
                <w:u w:val="none"/>
              </w:rPr>
            </w:pPr>
            <w:r>
              <w:rPr>
                <w:rFonts w:ascii="宋体" w:hAnsi="宋体" w:eastAsia="宋体" w:cs="宋体"/>
                <w:i w:val="0"/>
                <w:iCs w:val="0"/>
                <w:color w:val="000000"/>
                <w:kern w:val="0"/>
                <w:sz w:val="16"/>
                <w:szCs w:val="16"/>
                <w:highlight w:val="none"/>
                <w:u w:val="none"/>
                <w:lang w:val="en-US" w:eastAsia="zh-CN" w:bidi="ar"/>
              </w:rPr>
              <w:t>产</w:t>
            </w:r>
            <w:r>
              <w:rPr>
                <w:rFonts w:ascii="宋体" w:hAnsi="宋体" w:eastAsia="宋体" w:cs="宋体"/>
                <w:i w:val="0"/>
                <w:iCs w:val="0"/>
                <w:color w:val="000000"/>
                <w:kern w:val="0"/>
                <w:sz w:val="16"/>
                <w:szCs w:val="16"/>
                <w:highlight w:val="none"/>
                <w:u w:val="none"/>
                <w:lang w:val="en-US" w:eastAsia="zh-CN" w:bidi="ar"/>
              </w:rPr>
              <w:br w:type="textWrapping"/>
            </w:r>
            <w:r>
              <w:rPr>
                <w:rFonts w:ascii="宋体" w:hAnsi="宋体" w:eastAsia="宋体" w:cs="宋体"/>
                <w:i w:val="0"/>
                <w:iCs w:val="0"/>
                <w:color w:val="000000"/>
                <w:kern w:val="0"/>
                <w:sz w:val="16"/>
                <w:szCs w:val="16"/>
                <w:highlight w:val="none"/>
                <w:u w:val="none"/>
                <w:lang w:val="en-US" w:eastAsia="zh-CN" w:bidi="ar"/>
              </w:rPr>
              <w:t>出</w:t>
            </w:r>
            <w:r>
              <w:rPr>
                <w:rFonts w:ascii="宋体" w:hAnsi="宋体" w:eastAsia="宋体" w:cs="宋体"/>
                <w:i w:val="0"/>
                <w:iCs w:val="0"/>
                <w:color w:val="000000"/>
                <w:kern w:val="0"/>
                <w:sz w:val="16"/>
                <w:szCs w:val="16"/>
                <w:highlight w:val="none"/>
                <w:u w:val="none"/>
                <w:lang w:val="en-US" w:eastAsia="zh-CN" w:bidi="ar"/>
              </w:rPr>
              <w:br w:type="textWrapping"/>
            </w:r>
            <w:r>
              <w:rPr>
                <w:rFonts w:ascii="宋体" w:hAnsi="宋体" w:eastAsia="宋体" w:cs="宋体"/>
                <w:i w:val="0"/>
                <w:iCs w:val="0"/>
                <w:color w:val="000000"/>
                <w:kern w:val="0"/>
                <w:sz w:val="16"/>
                <w:szCs w:val="16"/>
                <w:highlight w:val="none"/>
                <w:u w:val="none"/>
                <w:lang w:val="en-US" w:eastAsia="zh-CN" w:bidi="ar"/>
              </w:rPr>
              <w:t>指</w:t>
            </w:r>
            <w:r>
              <w:rPr>
                <w:rFonts w:ascii="宋体" w:hAnsi="宋体" w:eastAsia="宋体" w:cs="宋体"/>
                <w:i w:val="0"/>
                <w:iCs w:val="0"/>
                <w:color w:val="000000"/>
                <w:kern w:val="0"/>
                <w:sz w:val="16"/>
                <w:szCs w:val="16"/>
                <w:highlight w:val="none"/>
                <w:u w:val="none"/>
                <w:lang w:val="en-US" w:eastAsia="zh-CN" w:bidi="ar"/>
              </w:rPr>
              <w:br w:type="textWrapping"/>
            </w:r>
            <w:r>
              <w:rPr>
                <w:rFonts w:ascii="宋体" w:hAnsi="宋体" w:eastAsia="宋体" w:cs="宋体"/>
                <w:i w:val="0"/>
                <w:iCs w:val="0"/>
                <w:color w:val="000000"/>
                <w:kern w:val="0"/>
                <w:sz w:val="16"/>
                <w:szCs w:val="16"/>
                <w:highlight w:val="none"/>
                <w:u w:val="none"/>
                <w:lang w:val="en-US" w:eastAsia="zh-CN" w:bidi="ar"/>
              </w:rPr>
              <w:t>标</w:t>
            </w:r>
          </w:p>
        </w:tc>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6"/>
                <w:szCs w:val="16"/>
                <w:highlight w:val="none"/>
                <w:u w:val="none"/>
              </w:rPr>
            </w:pPr>
            <w:r>
              <w:rPr>
                <w:rFonts w:ascii="宋体" w:hAnsi="宋体" w:eastAsia="宋体" w:cs="宋体"/>
                <w:i w:val="0"/>
                <w:iCs w:val="0"/>
                <w:color w:val="000000"/>
                <w:kern w:val="0"/>
                <w:sz w:val="16"/>
                <w:szCs w:val="16"/>
                <w:highlight w:val="none"/>
                <w:u w:val="none"/>
                <w:lang w:val="en-US" w:eastAsia="zh-CN" w:bidi="ar"/>
              </w:rPr>
              <w:t>数量指标</w:t>
            </w:r>
          </w:p>
        </w:tc>
        <w:tc>
          <w:tcPr>
            <w:tcW w:w="19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6"/>
                <w:szCs w:val="16"/>
                <w:highlight w:val="none"/>
                <w:u w:val="none"/>
              </w:rPr>
            </w:pPr>
            <w:r>
              <w:rPr>
                <w:rFonts w:ascii="宋体" w:hAnsi="宋体" w:eastAsia="宋体" w:cs="宋体"/>
                <w:i w:val="0"/>
                <w:iCs w:val="0"/>
                <w:color w:val="000000"/>
                <w:kern w:val="0"/>
                <w:sz w:val="16"/>
                <w:szCs w:val="16"/>
                <w:highlight w:val="none"/>
                <w:u w:val="none"/>
                <w:lang w:val="en-US" w:eastAsia="zh-CN" w:bidi="ar"/>
              </w:rPr>
              <w:t>创业担保贷款发放额增长率</w:t>
            </w:r>
          </w:p>
        </w:tc>
        <w:tc>
          <w:tcPr>
            <w:tcW w:w="4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6"/>
                <w:szCs w:val="16"/>
                <w:highlight w:val="none"/>
                <w:u w:val="none"/>
              </w:rPr>
            </w:pPr>
            <w:r>
              <w:rPr>
                <w:rFonts w:ascii="宋体" w:hAnsi="宋体" w:eastAsia="宋体" w:cs="宋体"/>
                <w:i w:val="0"/>
                <w:iCs w:val="0"/>
                <w:color w:val="000000"/>
                <w:kern w:val="0"/>
                <w:sz w:val="16"/>
                <w:szCs w:val="16"/>
                <w:highlight w:val="none"/>
                <w:u w:val="none"/>
                <w:lang w:val="en-US" w:eastAsia="zh-CN" w:bidi="ar"/>
              </w:rPr>
              <w:t>≥</w:t>
            </w:r>
          </w:p>
        </w:tc>
        <w:tc>
          <w:tcPr>
            <w:tcW w:w="14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6"/>
                <w:szCs w:val="16"/>
                <w:highlight w:val="none"/>
                <w:u w:val="none"/>
              </w:rPr>
            </w:pPr>
            <w:r>
              <w:rPr>
                <w:rFonts w:ascii="宋体" w:hAnsi="宋体" w:eastAsia="宋体" w:cs="宋体"/>
                <w:i w:val="0"/>
                <w:iCs w:val="0"/>
                <w:color w:val="000000"/>
                <w:kern w:val="0"/>
                <w:sz w:val="16"/>
                <w:szCs w:val="16"/>
                <w:highlight w:val="none"/>
                <w:u w:val="none"/>
                <w:lang w:val="en-US" w:eastAsia="zh-CN" w:bidi="ar"/>
              </w:rPr>
              <w:t>10</w:t>
            </w:r>
          </w:p>
        </w:tc>
        <w:tc>
          <w:tcPr>
            <w:tcW w:w="4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6"/>
                <w:szCs w:val="16"/>
                <w:highlight w:val="none"/>
                <w:u w:val="none"/>
              </w:rPr>
            </w:pPr>
            <w:r>
              <w:rPr>
                <w:rFonts w:ascii="宋体" w:hAnsi="宋体" w:eastAsia="宋体" w:cs="宋体"/>
                <w:i w:val="0"/>
                <w:iCs w:val="0"/>
                <w:color w:val="000000"/>
                <w:kern w:val="0"/>
                <w:sz w:val="16"/>
                <w:szCs w:val="16"/>
                <w:highlight w:val="none"/>
                <w:u w:val="none"/>
                <w:lang w:val="en-US" w:eastAsia="zh-CN" w:bidi="ar"/>
              </w:rPr>
              <w:t>%</w:t>
            </w:r>
          </w:p>
        </w:tc>
        <w:tc>
          <w:tcPr>
            <w:tcW w:w="9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413.83%</w:t>
            </w:r>
          </w:p>
        </w:tc>
        <w:tc>
          <w:tcPr>
            <w:tcW w:w="4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6"/>
                <w:szCs w:val="16"/>
                <w:highlight w:val="none"/>
                <w:u w:val="none"/>
              </w:rPr>
            </w:pPr>
            <w:r>
              <w:rPr>
                <w:rFonts w:ascii="宋体" w:hAnsi="宋体" w:eastAsia="宋体" w:cs="宋体"/>
                <w:i w:val="0"/>
                <w:iCs w:val="0"/>
                <w:color w:val="000000"/>
                <w:kern w:val="0"/>
                <w:sz w:val="16"/>
                <w:szCs w:val="16"/>
                <w:highlight w:val="none"/>
                <w:u w:val="none"/>
                <w:lang w:val="en-US" w:eastAsia="zh-CN" w:bidi="ar"/>
              </w:rPr>
              <w:t>10</w:t>
            </w:r>
          </w:p>
        </w:tc>
        <w:tc>
          <w:tcPr>
            <w:tcW w:w="3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6"/>
                <w:szCs w:val="16"/>
                <w:highlight w:val="none"/>
                <w:u w:val="none"/>
              </w:rPr>
            </w:pPr>
            <w:r>
              <w:rPr>
                <w:rFonts w:ascii="宋体" w:hAnsi="宋体" w:eastAsia="宋体" w:cs="宋体"/>
                <w:i w:val="0"/>
                <w:iCs w:val="0"/>
                <w:color w:val="000000"/>
                <w:kern w:val="0"/>
                <w:sz w:val="16"/>
                <w:szCs w:val="16"/>
                <w:highlight w:val="none"/>
                <w:u w:val="none"/>
                <w:lang w:val="en-US" w:eastAsia="zh-CN" w:bidi="ar"/>
              </w:rPr>
              <w:t>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jc w:val="center"/>
        </w:trPr>
        <w:tc>
          <w:tcPr>
            <w:tcW w:w="5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highlight w:val="none"/>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6"/>
                <w:szCs w:val="16"/>
                <w:highlight w:val="none"/>
                <w:u w:val="none"/>
              </w:rPr>
            </w:pPr>
          </w:p>
        </w:tc>
        <w:tc>
          <w:tcPr>
            <w:tcW w:w="149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6"/>
                <w:szCs w:val="16"/>
                <w:highlight w:val="none"/>
                <w:u w:val="none"/>
              </w:rPr>
            </w:pPr>
            <w:r>
              <w:rPr>
                <w:rFonts w:ascii="宋体" w:hAnsi="宋体" w:eastAsia="宋体" w:cs="宋体"/>
                <w:i w:val="0"/>
                <w:iCs w:val="0"/>
                <w:color w:val="000000"/>
                <w:kern w:val="0"/>
                <w:sz w:val="16"/>
                <w:szCs w:val="16"/>
                <w:highlight w:val="none"/>
                <w:u w:val="none"/>
                <w:lang w:val="en-US" w:eastAsia="zh-CN" w:bidi="ar"/>
              </w:rPr>
              <w:t>质量指标</w:t>
            </w:r>
          </w:p>
        </w:tc>
        <w:tc>
          <w:tcPr>
            <w:tcW w:w="19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6"/>
                <w:szCs w:val="16"/>
                <w:highlight w:val="none"/>
                <w:u w:val="none"/>
              </w:rPr>
            </w:pPr>
            <w:r>
              <w:rPr>
                <w:rFonts w:ascii="宋体" w:hAnsi="宋体" w:eastAsia="宋体" w:cs="宋体"/>
                <w:i w:val="0"/>
                <w:iCs w:val="0"/>
                <w:color w:val="000000"/>
                <w:kern w:val="0"/>
                <w:sz w:val="16"/>
                <w:szCs w:val="16"/>
                <w:highlight w:val="none"/>
                <w:u w:val="none"/>
                <w:lang w:val="en-US" w:eastAsia="zh-CN" w:bidi="ar"/>
              </w:rPr>
              <w:t>创业担保贷款回收率</w:t>
            </w:r>
          </w:p>
        </w:tc>
        <w:tc>
          <w:tcPr>
            <w:tcW w:w="4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6"/>
                <w:szCs w:val="16"/>
                <w:highlight w:val="none"/>
                <w:u w:val="none"/>
              </w:rPr>
            </w:pPr>
            <w:r>
              <w:rPr>
                <w:rFonts w:ascii="宋体" w:hAnsi="宋体" w:eastAsia="宋体" w:cs="宋体"/>
                <w:i w:val="0"/>
                <w:iCs w:val="0"/>
                <w:color w:val="000000"/>
                <w:kern w:val="0"/>
                <w:sz w:val="16"/>
                <w:szCs w:val="16"/>
                <w:highlight w:val="none"/>
                <w:u w:val="none"/>
                <w:lang w:val="en-US" w:eastAsia="zh-CN" w:bidi="ar"/>
              </w:rPr>
              <w:t>≥</w:t>
            </w:r>
          </w:p>
        </w:tc>
        <w:tc>
          <w:tcPr>
            <w:tcW w:w="14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6"/>
                <w:szCs w:val="16"/>
                <w:highlight w:val="none"/>
                <w:u w:val="none"/>
              </w:rPr>
            </w:pPr>
            <w:r>
              <w:rPr>
                <w:rFonts w:ascii="宋体" w:hAnsi="宋体" w:eastAsia="宋体" w:cs="宋体"/>
                <w:i w:val="0"/>
                <w:iCs w:val="0"/>
                <w:color w:val="000000"/>
                <w:kern w:val="0"/>
                <w:sz w:val="16"/>
                <w:szCs w:val="16"/>
                <w:highlight w:val="none"/>
                <w:u w:val="none"/>
                <w:lang w:val="en-US" w:eastAsia="zh-CN" w:bidi="ar"/>
              </w:rPr>
              <w:t>90</w:t>
            </w:r>
          </w:p>
        </w:tc>
        <w:tc>
          <w:tcPr>
            <w:tcW w:w="4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6"/>
                <w:szCs w:val="16"/>
                <w:highlight w:val="none"/>
                <w:u w:val="none"/>
              </w:rPr>
            </w:pPr>
            <w:r>
              <w:rPr>
                <w:rFonts w:ascii="宋体" w:hAnsi="宋体" w:eastAsia="宋体" w:cs="宋体"/>
                <w:i w:val="0"/>
                <w:iCs w:val="0"/>
                <w:color w:val="000000"/>
                <w:kern w:val="0"/>
                <w:sz w:val="16"/>
                <w:szCs w:val="16"/>
                <w:highlight w:val="none"/>
                <w:u w:val="none"/>
                <w:lang w:val="en-US" w:eastAsia="zh-CN" w:bidi="ar"/>
              </w:rPr>
              <w:t>%</w:t>
            </w:r>
          </w:p>
        </w:tc>
        <w:tc>
          <w:tcPr>
            <w:tcW w:w="9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100%</w:t>
            </w:r>
          </w:p>
        </w:tc>
        <w:tc>
          <w:tcPr>
            <w:tcW w:w="4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6"/>
                <w:szCs w:val="16"/>
                <w:highlight w:val="none"/>
                <w:u w:val="none"/>
              </w:rPr>
            </w:pPr>
            <w:r>
              <w:rPr>
                <w:rFonts w:ascii="宋体" w:hAnsi="宋体" w:eastAsia="宋体" w:cs="宋体"/>
                <w:i w:val="0"/>
                <w:iCs w:val="0"/>
                <w:color w:val="000000"/>
                <w:kern w:val="0"/>
                <w:sz w:val="16"/>
                <w:szCs w:val="16"/>
                <w:highlight w:val="none"/>
                <w:u w:val="none"/>
                <w:lang w:val="en-US" w:eastAsia="zh-CN" w:bidi="ar"/>
              </w:rPr>
              <w:t>10</w:t>
            </w:r>
          </w:p>
        </w:tc>
        <w:tc>
          <w:tcPr>
            <w:tcW w:w="3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6"/>
                <w:szCs w:val="16"/>
                <w:highlight w:val="none"/>
                <w:u w:val="none"/>
              </w:rPr>
            </w:pPr>
            <w:r>
              <w:rPr>
                <w:rFonts w:ascii="宋体" w:hAnsi="宋体" w:eastAsia="宋体" w:cs="宋体"/>
                <w:i w:val="0"/>
                <w:iCs w:val="0"/>
                <w:color w:val="000000"/>
                <w:kern w:val="0"/>
                <w:sz w:val="16"/>
                <w:szCs w:val="16"/>
                <w:highlight w:val="none"/>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jc w:val="center"/>
        </w:trPr>
        <w:tc>
          <w:tcPr>
            <w:tcW w:w="5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highlight w:val="none"/>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6"/>
                <w:szCs w:val="16"/>
                <w:highlight w:val="none"/>
                <w:u w:val="none"/>
              </w:rPr>
            </w:pPr>
          </w:p>
        </w:tc>
        <w:tc>
          <w:tcPr>
            <w:tcW w:w="1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highlight w:val="none"/>
                <w:u w:val="none"/>
              </w:rPr>
            </w:pPr>
          </w:p>
        </w:tc>
        <w:tc>
          <w:tcPr>
            <w:tcW w:w="19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6"/>
                <w:szCs w:val="16"/>
                <w:highlight w:val="none"/>
                <w:u w:val="none"/>
              </w:rPr>
            </w:pPr>
            <w:r>
              <w:rPr>
                <w:rFonts w:ascii="宋体" w:hAnsi="宋体" w:eastAsia="宋体" w:cs="宋体"/>
                <w:i w:val="0"/>
                <w:iCs w:val="0"/>
                <w:color w:val="000000"/>
                <w:kern w:val="0"/>
                <w:sz w:val="16"/>
                <w:szCs w:val="16"/>
                <w:highlight w:val="none"/>
                <w:u w:val="none"/>
                <w:lang w:val="en-US" w:eastAsia="zh-CN" w:bidi="ar"/>
              </w:rPr>
              <w:t>资金足额拨付率</w:t>
            </w:r>
          </w:p>
        </w:tc>
        <w:tc>
          <w:tcPr>
            <w:tcW w:w="4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6"/>
                <w:szCs w:val="16"/>
                <w:highlight w:val="none"/>
                <w:u w:val="none"/>
              </w:rPr>
            </w:pPr>
            <w:r>
              <w:rPr>
                <w:rFonts w:ascii="宋体" w:hAnsi="宋体" w:eastAsia="宋体" w:cs="宋体"/>
                <w:i w:val="0"/>
                <w:iCs w:val="0"/>
                <w:color w:val="000000"/>
                <w:kern w:val="0"/>
                <w:sz w:val="16"/>
                <w:szCs w:val="16"/>
                <w:highlight w:val="none"/>
                <w:u w:val="none"/>
                <w:lang w:val="en-US" w:eastAsia="zh-CN" w:bidi="ar"/>
              </w:rPr>
              <w:t>＝</w:t>
            </w:r>
          </w:p>
        </w:tc>
        <w:tc>
          <w:tcPr>
            <w:tcW w:w="14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6"/>
                <w:szCs w:val="16"/>
                <w:highlight w:val="none"/>
                <w:u w:val="none"/>
              </w:rPr>
            </w:pPr>
            <w:r>
              <w:rPr>
                <w:rFonts w:ascii="宋体" w:hAnsi="宋体" w:eastAsia="宋体" w:cs="宋体"/>
                <w:i w:val="0"/>
                <w:iCs w:val="0"/>
                <w:color w:val="000000"/>
                <w:kern w:val="0"/>
                <w:sz w:val="16"/>
                <w:szCs w:val="16"/>
                <w:highlight w:val="none"/>
                <w:u w:val="none"/>
                <w:lang w:val="en-US" w:eastAsia="zh-CN" w:bidi="ar"/>
              </w:rPr>
              <w:t>100</w:t>
            </w:r>
          </w:p>
        </w:tc>
        <w:tc>
          <w:tcPr>
            <w:tcW w:w="4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6"/>
                <w:szCs w:val="16"/>
                <w:highlight w:val="none"/>
                <w:u w:val="none"/>
              </w:rPr>
            </w:pPr>
            <w:r>
              <w:rPr>
                <w:rFonts w:ascii="宋体" w:hAnsi="宋体" w:eastAsia="宋体" w:cs="宋体"/>
                <w:i w:val="0"/>
                <w:iCs w:val="0"/>
                <w:color w:val="000000"/>
                <w:kern w:val="0"/>
                <w:sz w:val="16"/>
                <w:szCs w:val="16"/>
                <w:highlight w:val="none"/>
                <w:u w:val="none"/>
                <w:lang w:val="en-US" w:eastAsia="zh-CN" w:bidi="ar"/>
              </w:rPr>
              <w:t>%</w:t>
            </w:r>
          </w:p>
        </w:tc>
        <w:tc>
          <w:tcPr>
            <w:tcW w:w="9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100%</w:t>
            </w:r>
          </w:p>
        </w:tc>
        <w:tc>
          <w:tcPr>
            <w:tcW w:w="4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6"/>
                <w:szCs w:val="16"/>
                <w:highlight w:val="none"/>
                <w:u w:val="none"/>
              </w:rPr>
            </w:pPr>
            <w:r>
              <w:rPr>
                <w:rFonts w:ascii="宋体" w:hAnsi="宋体" w:eastAsia="宋体" w:cs="宋体"/>
                <w:i w:val="0"/>
                <w:iCs w:val="0"/>
                <w:color w:val="000000"/>
                <w:kern w:val="0"/>
                <w:sz w:val="16"/>
                <w:szCs w:val="16"/>
                <w:highlight w:val="none"/>
                <w:u w:val="none"/>
                <w:lang w:val="en-US" w:eastAsia="zh-CN" w:bidi="ar"/>
              </w:rPr>
              <w:t>10</w:t>
            </w:r>
          </w:p>
        </w:tc>
        <w:tc>
          <w:tcPr>
            <w:tcW w:w="3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6"/>
                <w:szCs w:val="16"/>
                <w:highlight w:val="none"/>
                <w:u w:val="none"/>
              </w:rPr>
            </w:pPr>
            <w:r>
              <w:rPr>
                <w:rFonts w:ascii="宋体" w:hAnsi="宋体" w:eastAsia="宋体" w:cs="宋体"/>
                <w:i w:val="0"/>
                <w:iCs w:val="0"/>
                <w:color w:val="000000"/>
                <w:kern w:val="0"/>
                <w:sz w:val="16"/>
                <w:szCs w:val="16"/>
                <w:highlight w:val="none"/>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jc w:val="center"/>
        </w:trPr>
        <w:tc>
          <w:tcPr>
            <w:tcW w:w="5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highlight w:val="none"/>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6"/>
                <w:szCs w:val="16"/>
                <w:highlight w:val="none"/>
                <w:u w:val="none"/>
              </w:rPr>
            </w:pPr>
          </w:p>
        </w:tc>
        <w:tc>
          <w:tcPr>
            <w:tcW w:w="1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highlight w:val="none"/>
                <w:u w:val="none"/>
              </w:rPr>
            </w:pPr>
          </w:p>
        </w:tc>
        <w:tc>
          <w:tcPr>
            <w:tcW w:w="19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6"/>
                <w:szCs w:val="16"/>
                <w:highlight w:val="none"/>
                <w:u w:val="none"/>
              </w:rPr>
            </w:pPr>
            <w:r>
              <w:rPr>
                <w:rFonts w:ascii="宋体" w:hAnsi="宋体" w:eastAsia="宋体" w:cs="宋体"/>
                <w:i w:val="0"/>
                <w:iCs w:val="0"/>
                <w:color w:val="000000"/>
                <w:kern w:val="0"/>
                <w:sz w:val="16"/>
                <w:szCs w:val="16"/>
                <w:highlight w:val="none"/>
                <w:u w:val="none"/>
                <w:lang w:val="en-US" w:eastAsia="zh-CN" w:bidi="ar"/>
              </w:rPr>
              <w:t>地方配套到位率</w:t>
            </w:r>
          </w:p>
        </w:tc>
        <w:tc>
          <w:tcPr>
            <w:tcW w:w="4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6"/>
                <w:szCs w:val="16"/>
                <w:highlight w:val="none"/>
                <w:u w:val="none"/>
              </w:rPr>
            </w:pPr>
            <w:r>
              <w:rPr>
                <w:rFonts w:ascii="宋体" w:hAnsi="宋体" w:eastAsia="宋体" w:cs="宋体"/>
                <w:i w:val="0"/>
                <w:iCs w:val="0"/>
                <w:color w:val="000000"/>
                <w:kern w:val="0"/>
                <w:sz w:val="16"/>
                <w:szCs w:val="16"/>
                <w:highlight w:val="none"/>
                <w:u w:val="none"/>
                <w:lang w:val="en-US" w:eastAsia="zh-CN" w:bidi="ar"/>
              </w:rPr>
              <w:t>＝</w:t>
            </w:r>
          </w:p>
        </w:tc>
        <w:tc>
          <w:tcPr>
            <w:tcW w:w="14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6"/>
                <w:szCs w:val="16"/>
                <w:highlight w:val="none"/>
                <w:u w:val="none"/>
              </w:rPr>
            </w:pPr>
            <w:r>
              <w:rPr>
                <w:rFonts w:ascii="宋体" w:hAnsi="宋体" w:eastAsia="宋体" w:cs="宋体"/>
                <w:i w:val="0"/>
                <w:iCs w:val="0"/>
                <w:color w:val="000000"/>
                <w:kern w:val="0"/>
                <w:sz w:val="16"/>
                <w:szCs w:val="16"/>
                <w:highlight w:val="none"/>
                <w:u w:val="none"/>
                <w:lang w:val="en-US" w:eastAsia="zh-CN" w:bidi="ar"/>
              </w:rPr>
              <w:t>100</w:t>
            </w:r>
          </w:p>
        </w:tc>
        <w:tc>
          <w:tcPr>
            <w:tcW w:w="4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6"/>
                <w:szCs w:val="16"/>
                <w:highlight w:val="none"/>
                <w:u w:val="none"/>
              </w:rPr>
            </w:pPr>
            <w:r>
              <w:rPr>
                <w:rFonts w:ascii="宋体" w:hAnsi="宋体" w:eastAsia="宋体" w:cs="宋体"/>
                <w:i w:val="0"/>
                <w:iCs w:val="0"/>
                <w:color w:val="000000"/>
                <w:kern w:val="0"/>
                <w:sz w:val="16"/>
                <w:szCs w:val="16"/>
                <w:highlight w:val="none"/>
                <w:u w:val="none"/>
                <w:lang w:val="en-US" w:eastAsia="zh-CN" w:bidi="ar"/>
              </w:rPr>
              <w:t>%</w:t>
            </w:r>
          </w:p>
        </w:tc>
        <w:tc>
          <w:tcPr>
            <w:tcW w:w="9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100%</w:t>
            </w:r>
          </w:p>
        </w:tc>
        <w:tc>
          <w:tcPr>
            <w:tcW w:w="4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6"/>
                <w:szCs w:val="16"/>
                <w:highlight w:val="none"/>
                <w:u w:val="none"/>
              </w:rPr>
            </w:pPr>
            <w:r>
              <w:rPr>
                <w:rFonts w:ascii="宋体" w:hAnsi="宋体" w:eastAsia="宋体" w:cs="宋体"/>
                <w:i w:val="0"/>
                <w:iCs w:val="0"/>
                <w:color w:val="000000"/>
                <w:kern w:val="0"/>
                <w:sz w:val="16"/>
                <w:szCs w:val="16"/>
                <w:highlight w:val="none"/>
                <w:u w:val="none"/>
                <w:lang w:val="en-US" w:eastAsia="zh-CN" w:bidi="ar"/>
              </w:rPr>
              <w:t>10</w:t>
            </w:r>
          </w:p>
        </w:tc>
        <w:tc>
          <w:tcPr>
            <w:tcW w:w="3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6"/>
                <w:szCs w:val="16"/>
                <w:highlight w:val="none"/>
                <w:u w:val="none"/>
              </w:rPr>
            </w:pPr>
            <w:r>
              <w:rPr>
                <w:rFonts w:ascii="宋体" w:hAnsi="宋体" w:eastAsia="宋体" w:cs="宋体"/>
                <w:i w:val="0"/>
                <w:iCs w:val="0"/>
                <w:color w:val="000000"/>
                <w:kern w:val="0"/>
                <w:sz w:val="16"/>
                <w:szCs w:val="16"/>
                <w:highlight w:val="none"/>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jc w:val="center"/>
        </w:trPr>
        <w:tc>
          <w:tcPr>
            <w:tcW w:w="5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highlight w:val="none"/>
                <w:u w:val="none"/>
              </w:rPr>
            </w:pPr>
          </w:p>
        </w:tc>
        <w:tc>
          <w:tcPr>
            <w:tcW w:w="173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6"/>
                <w:szCs w:val="16"/>
                <w:highlight w:val="none"/>
                <w:u w:val="none"/>
              </w:rPr>
            </w:pPr>
            <w:r>
              <w:rPr>
                <w:rFonts w:ascii="宋体" w:hAnsi="宋体" w:eastAsia="宋体" w:cs="宋体"/>
                <w:i w:val="0"/>
                <w:iCs w:val="0"/>
                <w:color w:val="000000"/>
                <w:kern w:val="0"/>
                <w:sz w:val="16"/>
                <w:szCs w:val="16"/>
                <w:highlight w:val="none"/>
                <w:u w:val="none"/>
                <w:lang w:val="en-US" w:eastAsia="zh-CN" w:bidi="ar"/>
              </w:rPr>
              <w:t>效益指标</w:t>
            </w:r>
          </w:p>
        </w:tc>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6"/>
                <w:szCs w:val="16"/>
                <w:highlight w:val="none"/>
                <w:u w:val="none"/>
              </w:rPr>
            </w:pPr>
            <w:r>
              <w:rPr>
                <w:rFonts w:ascii="宋体" w:hAnsi="宋体" w:eastAsia="宋体" w:cs="宋体"/>
                <w:i w:val="0"/>
                <w:iCs w:val="0"/>
                <w:color w:val="000000"/>
                <w:kern w:val="0"/>
                <w:sz w:val="16"/>
                <w:szCs w:val="16"/>
                <w:highlight w:val="none"/>
                <w:u w:val="none"/>
                <w:lang w:val="en-US" w:eastAsia="zh-CN" w:bidi="ar"/>
              </w:rPr>
              <w:t>经济效益指标</w:t>
            </w:r>
          </w:p>
        </w:tc>
        <w:tc>
          <w:tcPr>
            <w:tcW w:w="19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6"/>
                <w:szCs w:val="16"/>
                <w:highlight w:val="none"/>
                <w:u w:val="none"/>
              </w:rPr>
            </w:pPr>
            <w:r>
              <w:rPr>
                <w:rFonts w:ascii="宋体" w:hAnsi="宋体" w:eastAsia="宋体" w:cs="宋体"/>
                <w:i w:val="0"/>
                <w:iCs w:val="0"/>
                <w:color w:val="000000"/>
                <w:kern w:val="0"/>
                <w:sz w:val="16"/>
                <w:szCs w:val="16"/>
                <w:highlight w:val="none"/>
                <w:u w:val="none"/>
                <w:lang w:val="en-US" w:eastAsia="zh-CN" w:bidi="ar"/>
              </w:rPr>
              <w:t>创业担保基金放大倍数</w:t>
            </w:r>
          </w:p>
        </w:tc>
        <w:tc>
          <w:tcPr>
            <w:tcW w:w="4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6"/>
                <w:szCs w:val="16"/>
                <w:highlight w:val="none"/>
                <w:u w:val="none"/>
              </w:rPr>
            </w:pPr>
            <w:r>
              <w:rPr>
                <w:rFonts w:ascii="宋体" w:hAnsi="宋体" w:eastAsia="宋体" w:cs="宋体"/>
                <w:i w:val="0"/>
                <w:iCs w:val="0"/>
                <w:color w:val="000000"/>
                <w:kern w:val="0"/>
                <w:sz w:val="16"/>
                <w:szCs w:val="16"/>
                <w:highlight w:val="none"/>
                <w:u w:val="none"/>
                <w:lang w:val="en-US" w:eastAsia="zh-CN" w:bidi="ar"/>
              </w:rPr>
              <w:t>≥</w:t>
            </w:r>
          </w:p>
        </w:tc>
        <w:tc>
          <w:tcPr>
            <w:tcW w:w="14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6"/>
                <w:szCs w:val="16"/>
                <w:highlight w:val="none"/>
                <w:u w:val="none"/>
              </w:rPr>
            </w:pPr>
            <w:r>
              <w:rPr>
                <w:rFonts w:ascii="宋体" w:hAnsi="宋体" w:eastAsia="宋体" w:cs="宋体"/>
                <w:i w:val="0"/>
                <w:iCs w:val="0"/>
                <w:color w:val="000000"/>
                <w:kern w:val="0"/>
                <w:sz w:val="16"/>
                <w:szCs w:val="16"/>
                <w:highlight w:val="none"/>
                <w:u w:val="none"/>
                <w:lang w:val="en-US" w:eastAsia="zh-CN" w:bidi="ar"/>
              </w:rPr>
              <w:t>200</w:t>
            </w:r>
          </w:p>
        </w:tc>
        <w:tc>
          <w:tcPr>
            <w:tcW w:w="4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6"/>
                <w:szCs w:val="16"/>
                <w:highlight w:val="none"/>
                <w:u w:val="none"/>
              </w:rPr>
            </w:pPr>
            <w:r>
              <w:rPr>
                <w:rFonts w:ascii="宋体" w:hAnsi="宋体" w:eastAsia="宋体" w:cs="宋体"/>
                <w:i w:val="0"/>
                <w:iCs w:val="0"/>
                <w:color w:val="000000"/>
                <w:kern w:val="0"/>
                <w:sz w:val="16"/>
                <w:szCs w:val="16"/>
                <w:highlight w:val="none"/>
                <w:u w:val="none"/>
                <w:lang w:val="en-US" w:eastAsia="zh-CN" w:bidi="ar"/>
              </w:rPr>
              <w:t>%</w:t>
            </w:r>
          </w:p>
        </w:tc>
        <w:tc>
          <w:tcPr>
            <w:tcW w:w="9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1000%</w:t>
            </w:r>
          </w:p>
        </w:tc>
        <w:tc>
          <w:tcPr>
            <w:tcW w:w="4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6"/>
                <w:szCs w:val="16"/>
                <w:highlight w:val="none"/>
                <w:u w:val="none"/>
              </w:rPr>
            </w:pPr>
            <w:r>
              <w:rPr>
                <w:rFonts w:ascii="宋体" w:hAnsi="宋体" w:eastAsia="宋体" w:cs="宋体"/>
                <w:i w:val="0"/>
                <w:iCs w:val="0"/>
                <w:color w:val="000000"/>
                <w:kern w:val="0"/>
                <w:sz w:val="16"/>
                <w:szCs w:val="16"/>
                <w:highlight w:val="none"/>
                <w:u w:val="none"/>
                <w:lang w:val="en-US" w:eastAsia="zh-CN" w:bidi="ar"/>
              </w:rPr>
              <w:t>10</w:t>
            </w:r>
          </w:p>
        </w:tc>
        <w:tc>
          <w:tcPr>
            <w:tcW w:w="3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6"/>
                <w:szCs w:val="16"/>
                <w:highlight w:val="none"/>
                <w:u w:val="none"/>
              </w:rPr>
            </w:pPr>
            <w:r>
              <w:rPr>
                <w:rFonts w:ascii="宋体" w:hAnsi="宋体" w:eastAsia="宋体" w:cs="宋体"/>
                <w:i w:val="0"/>
                <w:iCs w:val="0"/>
                <w:color w:val="000000"/>
                <w:kern w:val="0"/>
                <w:sz w:val="16"/>
                <w:szCs w:val="16"/>
                <w:highlight w:val="none"/>
                <w:u w:val="none"/>
                <w:lang w:val="en-US" w:eastAsia="zh-CN" w:bidi="ar"/>
              </w:rPr>
              <w:t>11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jc w:val="center"/>
        </w:trPr>
        <w:tc>
          <w:tcPr>
            <w:tcW w:w="5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highlight w:val="none"/>
                <w:u w:val="none"/>
              </w:rPr>
            </w:pPr>
          </w:p>
        </w:tc>
        <w:tc>
          <w:tcPr>
            <w:tcW w:w="173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highlight w:val="none"/>
                <w:u w:val="none"/>
              </w:rPr>
            </w:pPr>
          </w:p>
        </w:tc>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6"/>
                <w:szCs w:val="16"/>
                <w:highlight w:val="none"/>
                <w:u w:val="none"/>
              </w:rPr>
            </w:pPr>
            <w:r>
              <w:rPr>
                <w:rFonts w:ascii="宋体" w:hAnsi="宋体" w:eastAsia="宋体" w:cs="宋体"/>
                <w:i w:val="0"/>
                <w:iCs w:val="0"/>
                <w:color w:val="000000"/>
                <w:kern w:val="0"/>
                <w:sz w:val="16"/>
                <w:szCs w:val="16"/>
                <w:highlight w:val="none"/>
                <w:u w:val="none"/>
                <w:lang w:val="en-US" w:eastAsia="zh-CN" w:bidi="ar"/>
              </w:rPr>
              <w:t>社会效益指标</w:t>
            </w:r>
          </w:p>
        </w:tc>
        <w:tc>
          <w:tcPr>
            <w:tcW w:w="19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6"/>
                <w:szCs w:val="16"/>
                <w:highlight w:val="none"/>
                <w:u w:val="none"/>
              </w:rPr>
            </w:pPr>
            <w:r>
              <w:rPr>
                <w:rFonts w:ascii="宋体" w:hAnsi="宋体" w:eastAsia="宋体" w:cs="宋体"/>
                <w:i w:val="0"/>
                <w:iCs w:val="0"/>
                <w:color w:val="000000"/>
                <w:kern w:val="0"/>
                <w:sz w:val="16"/>
                <w:szCs w:val="16"/>
                <w:highlight w:val="none"/>
                <w:u w:val="none"/>
                <w:lang w:val="en-US" w:eastAsia="zh-CN" w:bidi="ar"/>
              </w:rPr>
              <w:t>金融机构网点覆盖率</w:t>
            </w:r>
          </w:p>
        </w:tc>
        <w:tc>
          <w:tcPr>
            <w:tcW w:w="4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6"/>
                <w:szCs w:val="16"/>
                <w:highlight w:val="none"/>
                <w:u w:val="none"/>
              </w:rPr>
            </w:pPr>
            <w:r>
              <w:rPr>
                <w:rFonts w:ascii="宋体" w:hAnsi="宋体" w:eastAsia="宋体" w:cs="宋体"/>
                <w:i w:val="0"/>
                <w:iCs w:val="0"/>
                <w:color w:val="000000"/>
                <w:kern w:val="0"/>
                <w:sz w:val="16"/>
                <w:szCs w:val="16"/>
                <w:highlight w:val="none"/>
                <w:u w:val="none"/>
                <w:lang w:val="en-US" w:eastAsia="zh-CN" w:bidi="ar"/>
              </w:rPr>
              <w:t>≥</w:t>
            </w:r>
          </w:p>
        </w:tc>
        <w:tc>
          <w:tcPr>
            <w:tcW w:w="14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6"/>
                <w:szCs w:val="16"/>
                <w:highlight w:val="none"/>
                <w:u w:val="none"/>
              </w:rPr>
            </w:pPr>
            <w:r>
              <w:rPr>
                <w:rFonts w:ascii="宋体" w:hAnsi="宋体" w:eastAsia="宋体" w:cs="宋体"/>
                <w:i w:val="0"/>
                <w:iCs w:val="0"/>
                <w:color w:val="000000"/>
                <w:kern w:val="0"/>
                <w:sz w:val="16"/>
                <w:szCs w:val="16"/>
                <w:highlight w:val="none"/>
                <w:u w:val="none"/>
                <w:lang w:val="en-US" w:eastAsia="zh-CN" w:bidi="ar"/>
              </w:rPr>
              <w:t>80</w:t>
            </w:r>
          </w:p>
        </w:tc>
        <w:tc>
          <w:tcPr>
            <w:tcW w:w="4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6"/>
                <w:szCs w:val="16"/>
                <w:highlight w:val="none"/>
                <w:u w:val="none"/>
              </w:rPr>
            </w:pPr>
            <w:r>
              <w:rPr>
                <w:rFonts w:ascii="宋体" w:hAnsi="宋体" w:eastAsia="宋体" w:cs="宋体"/>
                <w:i w:val="0"/>
                <w:iCs w:val="0"/>
                <w:color w:val="000000"/>
                <w:kern w:val="0"/>
                <w:sz w:val="16"/>
                <w:szCs w:val="16"/>
                <w:highlight w:val="none"/>
                <w:u w:val="none"/>
                <w:lang w:val="en-US" w:eastAsia="zh-CN" w:bidi="ar"/>
              </w:rPr>
              <w:t>%</w:t>
            </w:r>
          </w:p>
        </w:tc>
        <w:tc>
          <w:tcPr>
            <w:tcW w:w="9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100%</w:t>
            </w:r>
          </w:p>
        </w:tc>
        <w:tc>
          <w:tcPr>
            <w:tcW w:w="4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6"/>
                <w:szCs w:val="16"/>
                <w:highlight w:val="none"/>
                <w:u w:val="none"/>
              </w:rPr>
            </w:pPr>
            <w:r>
              <w:rPr>
                <w:rFonts w:ascii="宋体" w:hAnsi="宋体" w:eastAsia="宋体" w:cs="宋体"/>
                <w:i w:val="0"/>
                <w:iCs w:val="0"/>
                <w:color w:val="000000"/>
                <w:kern w:val="0"/>
                <w:sz w:val="16"/>
                <w:szCs w:val="16"/>
                <w:highlight w:val="none"/>
                <w:u w:val="none"/>
                <w:lang w:val="en-US" w:eastAsia="zh-CN" w:bidi="ar"/>
              </w:rPr>
              <w:t>10</w:t>
            </w:r>
          </w:p>
        </w:tc>
        <w:tc>
          <w:tcPr>
            <w:tcW w:w="3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6"/>
                <w:szCs w:val="16"/>
                <w:highlight w:val="none"/>
                <w:u w:val="none"/>
              </w:rPr>
            </w:pPr>
            <w:r>
              <w:rPr>
                <w:rFonts w:ascii="宋体" w:hAnsi="宋体" w:eastAsia="宋体" w:cs="宋体"/>
                <w:i w:val="0"/>
                <w:iCs w:val="0"/>
                <w:color w:val="000000"/>
                <w:kern w:val="0"/>
                <w:sz w:val="16"/>
                <w:szCs w:val="16"/>
                <w:highlight w:val="none"/>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7" w:hRule="atLeast"/>
          <w:jc w:val="center"/>
        </w:trPr>
        <w:tc>
          <w:tcPr>
            <w:tcW w:w="5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highlight w:val="none"/>
                <w:u w:val="none"/>
              </w:rPr>
            </w:pPr>
          </w:p>
        </w:tc>
        <w:tc>
          <w:tcPr>
            <w:tcW w:w="173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6"/>
                <w:szCs w:val="16"/>
                <w:highlight w:val="none"/>
                <w:u w:val="none"/>
              </w:rPr>
            </w:pPr>
            <w:r>
              <w:rPr>
                <w:rFonts w:ascii="宋体" w:hAnsi="宋体" w:eastAsia="宋体" w:cs="宋体"/>
                <w:i w:val="0"/>
                <w:iCs w:val="0"/>
                <w:color w:val="000000"/>
                <w:kern w:val="0"/>
                <w:sz w:val="16"/>
                <w:szCs w:val="16"/>
                <w:highlight w:val="none"/>
                <w:u w:val="none"/>
                <w:lang w:val="en-US" w:eastAsia="zh-CN" w:bidi="ar"/>
              </w:rPr>
              <w:t>满意度指标</w:t>
            </w:r>
          </w:p>
        </w:tc>
        <w:tc>
          <w:tcPr>
            <w:tcW w:w="149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6"/>
                <w:szCs w:val="16"/>
                <w:highlight w:val="none"/>
                <w:u w:val="none"/>
              </w:rPr>
            </w:pPr>
            <w:r>
              <w:rPr>
                <w:rFonts w:ascii="宋体" w:hAnsi="宋体" w:eastAsia="宋体" w:cs="宋体"/>
                <w:i w:val="0"/>
                <w:iCs w:val="0"/>
                <w:color w:val="000000"/>
                <w:kern w:val="0"/>
                <w:sz w:val="16"/>
                <w:szCs w:val="16"/>
                <w:highlight w:val="none"/>
                <w:u w:val="none"/>
                <w:lang w:val="en-US" w:eastAsia="zh-CN" w:bidi="ar"/>
              </w:rPr>
              <w:t>服务对象满意度指标</w:t>
            </w:r>
          </w:p>
        </w:tc>
        <w:tc>
          <w:tcPr>
            <w:tcW w:w="19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6"/>
                <w:szCs w:val="16"/>
                <w:highlight w:val="none"/>
                <w:u w:val="none"/>
              </w:rPr>
            </w:pPr>
            <w:r>
              <w:rPr>
                <w:rFonts w:ascii="宋体" w:hAnsi="宋体" w:eastAsia="宋体" w:cs="宋体"/>
                <w:i w:val="0"/>
                <w:iCs w:val="0"/>
                <w:color w:val="000000"/>
                <w:kern w:val="0"/>
                <w:sz w:val="16"/>
                <w:szCs w:val="16"/>
                <w:highlight w:val="none"/>
                <w:u w:val="none"/>
                <w:lang w:val="en-US" w:eastAsia="zh-CN" w:bidi="ar"/>
              </w:rPr>
              <w:t>申请定向费用补贴金额机构满意度</w:t>
            </w:r>
          </w:p>
        </w:tc>
        <w:tc>
          <w:tcPr>
            <w:tcW w:w="4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6"/>
                <w:szCs w:val="16"/>
                <w:highlight w:val="none"/>
                <w:u w:val="none"/>
              </w:rPr>
            </w:pPr>
            <w:r>
              <w:rPr>
                <w:rFonts w:ascii="宋体" w:hAnsi="宋体" w:eastAsia="宋体" w:cs="宋体"/>
                <w:i w:val="0"/>
                <w:iCs w:val="0"/>
                <w:color w:val="000000"/>
                <w:kern w:val="0"/>
                <w:sz w:val="16"/>
                <w:szCs w:val="16"/>
                <w:highlight w:val="none"/>
                <w:u w:val="none"/>
                <w:lang w:val="en-US" w:eastAsia="zh-CN" w:bidi="ar"/>
              </w:rPr>
              <w:t>≥</w:t>
            </w:r>
          </w:p>
        </w:tc>
        <w:tc>
          <w:tcPr>
            <w:tcW w:w="14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6"/>
                <w:szCs w:val="16"/>
                <w:highlight w:val="none"/>
                <w:u w:val="none"/>
              </w:rPr>
            </w:pPr>
            <w:r>
              <w:rPr>
                <w:rFonts w:ascii="宋体" w:hAnsi="宋体" w:eastAsia="宋体" w:cs="宋体"/>
                <w:i w:val="0"/>
                <w:iCs w:val="0"/>
                <w:color w:val="000000"/>
                <w:kern w:val="0"/>
                <w:sz w:val="16"/>
                <w:szCs w:val="16"/>
                <w:highlight w:val="none"/>
                <w:u w:val="none"/>
                <w:lang w:val="en-US" w:eastAsia="zh-CN" w:bidi="ar"/>
              </w:rPr>
              <w:t>80</w:t>
            </w:r>
          </w:p>
        </w:tc>
        <w:tc>
          <w:tcPr>
            <w:tcW w:w="4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6"/>
                <w:szCs w:val="16"/>
                <w:highlight w:val="none"/>
                <w:u w:val="none"/>
              </w:rPr>
            </w:pPr>
            <w:r>
              <w:rPr>
                <w:rFonts w:ascii="宋体" w:hAnsi="宋体" w:eastAsia="宋体" w:cs="宋体"/>
                <w:i w:val="0"/>
                <w:iCs w:val="0"/>
                <w:color w:val="000000"/>
                <w:kern w:val="0"/>
                <w:sz w:val="16"/>
                <w:szCs w:val="16"/>
                <w:highlight w:val="none"/>
                <w:u w:val="none"/>
                <w:lang w:val="en-US" w:eastAsia="zh-CN" w:bidi="ar"/>
              </w:rPr>
              <w:t>%</w:t>
            </w:r>
          </w:p>
        </w:tc>
        <w:tc>
          <w:tcPr>
            <w:tcW w:w="9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95%</w:t>
            </w:r>
          </w:p>
        </w:tc>
        <w:tc>
          <w:tcPr>
            <w:tcW w:w="4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6"/>
                <w:szCs w:val="16"/>
                <w:highlight w:val="none"/>
                <w:u w:val="none"/>
              </w:rPr>
            </w:pPr>
            <w:r>
              <w:rPr>
                <w:rFonts w:ascii="宋体" w:hAnsi="宋体" w:eastAsia="宋体" w:cs="宋体"/>
                <w:i w:val="0"/>
                <w:iCs w:val="0"/>
                <w:color w:val="000000"/>
                <w:kern w:val="0"/>
                <w:sz w:val="16"/>
                <w:szCs w:val="16"/>
                <w:highlight w:val="none"/>
                <w:u w:val="none"/>
                <w:lang w:val="en-US" w:eastAsia="zh-CN" w:bidi="ar"/>
              </w:rPr>
              <w:t>10</w:t>
            </w:r>
          </w:p>
        </w:tc>
        <w:tc>
          <w:tcPr>
            <w:tcW w:w="3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6"/>
                <w:szCs w:val="16"/>
                <w:highlight w:val="none"/>
                <w:u w:val="none"/>
              </w:rPr>
            </w:pPr>
            <w:r>
              <w:rPr>
                <w:rFonts w:ascii="宋体" w:hAnsi="宋体" w:eastAsia="宋体" w:cs="宋体"/>
                <w:i w:val="0"/>
                <w:iCs w:val="0"/>
                <w:color w:val="000000"/>
                <w:kern w:val="0"/>
                <w:sz w:val="16"/>
                <w:szCs w:val="16"/>
                <w:highlight w:val="none"/>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7" w:hRule="atLeast"/>
          <w:jc w:val="center"/>
        </w:trPr>
        <w:tc>
          <w:tcPr>
            <w:tcW w:w="5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highlight w:val="none"/>
                <w:u w:val="none"/>
              </w:rPr>
            </w:pPr>
          </w:p>
        </w:tc>
        <w:tc>
          <w:tcPr>
            <w:tcW w:w="173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highlight w:val="none"/>
                <w:u w:val="none"/>
              </w:rPr>
            </w:pPr>
          </w:p>
        </w:tc>
        <w:tc>
          <w:tcPr>
            <w:tcW w:w="1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highlight w:val="none"/>
                <w:u w:val="none"/>
              </w:rPr>
            </w:pPr>
          </w:p>
        </w:tc>
        <w:tc>
          <w:tcPr>
            <w:tcW w:w="19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6"/>
                <w:szCs w:val="16"/>
                <w:highlight w:val="none"/>
                <w:u w:val="none"/>
              </w:rPr>
            </w:pPr>
            <w:r>
              <w:rPr>
                <w:rFonts w:ascii="宋体" w:hAnsi="宋体" w:eastAsia="宋体" w:cs="宋体"/>
                <w:i w:val="0"/>
                <w:iCs w:val="0"/>
                <w:color w:val="000000"/>
                <w:kern w:val="0"/>
                <w:sz w:val="16"/>
                <w:szCs w:val="16"/>
                <w:highlight w:val="none"/>
                <w:u w:val="none"/>
                <w:lang w:val="en-US" w:eastAsia="zh-CN" w:bidi="ar"/>
              </w:rPr>
              <w:t>申报创业担保贷款贴息个人满意度</w:t>
            </w:r>
          </w:p>
        </w:tc>
        <w:tc>
          <w:tcPr>
            <w:tcW w:w="4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6"/>
                <w:szCs w:val="16"/>
                <w:highlight w:val="none"/>
                <w:u w:val="none"/>
              </w:rPr>
            </w:pPr>
            <w:r>
              <w:rPr>
                <w:rFonts w:ascii="宋体" w:hAnsi="宋体" w:eastAsia="宋体" w:cs="宋体"/>
                <w:i w:val="0"/>
                <w:iCs w:val="0"/>
                <w:color w:val="000000"/>
                <w:kern w:val="0"/>
                <w:sz w:val="16"/>
                <w:szCs w:val="16"/>
                <w:highlight w:val="none"/>
                <w:u w:val="none"/>
                <w:lang w:val="en-US" w:eastAsia="zh-CN" w:bidi="ar"/>
              </w:rPr>
              <w:t>≥</w:t>
            </w:r>
          </w:p>
        </w:tc>
        <w:tc>
          <w:tcPr>
            <w:tcW w:w="14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6"/>
                <w:szCs w:val="16"/>
                <w:highlight w:val="none"/>
                <w:u w:val="none"/>
              </w:rPr>
            </w:pPr>
            <w:r>
              <w:rPr>
                <w:rFonts w:ascii="宋体" w:hAnsi="宋体" w:eastAsia="宋体" w:cs="宋体"/>
                <w:i w:val="0"/>
                <w:iCs w:val="0"/>
                <w:color w:val="000000"/>
                <w:kern w:val="0"/>
                <w:sz w:val="16"/>
                <w:szCs w:val="16"/>
                <w:highlight w:val="none"/>
                <w:u w:val="none"/>
                <w:lang w:val="en-US" w:eastAsia="zh-CN" w:bidi="ar"/>
              </w:rPr>
              <w:t>80</w:t>
            </w:r>
          </w:p>
        </w:tc>
        <w:tc>
          <w:tcPr>
            <w:tcW w:w="4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6"/>
                <w:szCs w:val="16"/>
                <w:highlight w:val="none"/>
                <w:u w:val="none"/>
              </w:rPr>
            </w:pPr>
            <w:r>
              <w:rPr>
                <w:rFonts w:ascii="宋体" w:hAnsi="宋体" w:eastAsia="宋体" w:cs="宋体"/>
                <w:i w:val="0"/>
                <w:iCs w:val="0"/>
                <w:color w:val="000000"/>
                <w:kern w:val="0"/>
                <w:sz w:val="16"/>
                <w:szCs w:val="16"/>
                <w:highlight w:val="none"/>
                <w:u w:val="none"/>
                <w:lang w:val="en-US" w:eastAsia="zh-CN" w:bidi="ar"/>
              </w:rPr>
              <w:t>%</w:t>
            </w:r>
          </w:p>
        </w:tc>
        <w:tc>
          <w:tcPr>
            <w:tcW w:w="9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95%</w:t>
            </w:r>
          </w:p>
        </w:tc>
        <w:tc>
          <w:tcPr>
            <w:tcW w:w="4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6"/>
                <w:szCs w:val="16"/>
                <w:highlight w:val="none"/>
                <w:u w:val="none"/>
              </w:rPr>
            </w:pPr>
            <w:r>
              <w:rPr>
                <w:rFonts w:ascii="宋体" w:hAnsi="宋体" w:eastAsia="宋体" w:cs="宋体"/>
                <w:i w:val="0"/>
                <w:iCs w:val="0"/>
                <w:color w:val="000000"/>
                <w:kern w:val="0"/>
                <w:sz w:val="16"/>
                <w:szCs w:val="16"/>
                <w:highlight w:val="none"/>
                <w:u w:val="none"/>
                <w:lang w:val="en-US" w:eastAsia="zh-CN" w:bidi="ar"/>
              </w:rPr>
              <w:t>10</w:t>
            </w:r>
          </w:p>
        </w:tc>
        <w:tc>
          <w:tcPr>
            <w:tcW w:w="3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6"/>
                <w:szCs w:val="16"/>
                <w:highlight w:val="none"/>
                <w:u w:val="none"/>
              </w:rPr>
            </w:pPr>
            <w:r>
              <w:rPr>
                <w:rFonts w:ascii="宋体" w:hAnsi="宋体" w:eastAsia="宋体" w:cs="宋体"/>
                <w:i w:val="0"/>
                <w:iCs w:val="0"/>
                <w:color w:val="000000"/>
                <w:kern w:val="0"/>
                <w:sz w:val="16"/>
                <w:szCs w:val="16"/>
                <w:highlight w:val="none"/>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7" w:hRule="atLeast"/>
          <w:jc w:val="center"/>
        </w:trPr>
        <w:tc>
          <w:tcPr>
            <w:tcW w:w="5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highlight w:val="none"/>
                <w:u w:val="none"/>
              </w:rPr>
            </w:pPr>
          </w:p>
        </w:tc>
        <w:tc>
          <w:tcPr>
            <w:tcW w:w="173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highlight w:val="none"/>
                <w:u w:val="none"/>
              </w:rPr>
            </w:pPr>
          </w:p>
        </w:tc>
        <w:tc>
          <w:tcPr>
            <w:tcW w:w="1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highlight w:val="none"/>
                <w:u w:val="none"/>
              </w:rPr>
            </w:pPr>
          </w:p>
        </w:tc>
        <w:tc>
          <w:tcPr>
            <w:tcW w:w="19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6"/>
                <w:szCs w:val="16"/>
                <w:highlight w:val="none"/>
                <w:u w:val="none"/>
              </w:rPr>
            </w:pPr>
            <w:r>
              <w:rPr>
                <w:rFonts w:ascii="宋体" w:hAnsi="宋体" w:eastAsia="宋体" w:cs="宋体"/>
                <w:i w:val="0"/>
                <w:iCs w:val="0"/>
                <w:color w:val="000000"/>
                <w:kern w:val="0"/>
                <w:sz w:val="16"/>
                <w:szCs w:val="16"/>
                <w:highlight w:val="none"/>
                <w:u w:val="none"/>
                <w:lang w:val="en-US" w:eastAsia="zh-CN" w:bidi="ar"/>
              </w:rPr>
              <w:t>申报创业担保贷款贴息小微企业的满意度</w:t>
            </w:r>
          </w:p>
        </w:tc>
        <w:tc>
          <w:tcPr>
            <w:tcW w:w="4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6"/>
                <w:szCs w:val="16"/>
                <w:highlight w:val="none"/>
                <w:u w:val="none"/>
              </w:rPr>
            </w:pPr>
            <w:r>
              <w:rPr>
                <w:rFonts w:ascii="宋体" w:hAnsi="宋体" w:eastAsia="宋体" w:cs="宋体"/>
                <w:i w:val="0"/>
                <w:iCs w:val="0"/>
                <w:color w:val="000000"/>
                <w:kern w:val="0"/>
                <w:sz w:val="16"/>
                <w:szCs w:val="16"/>
                <w:highlight w:val="none"/>
                <w:u w:val="none"/>
                <w:lang w:val="en-US" w:eastAsia="zh-CN" w:bidi="ar"/>
              </w:rPr>
              <w:t>≥</w:t>
            </w:r>
          </w:p>
        </w:tc>
        <w:tc>
          <w:tcPr>
            <w:tcW w:w="14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6"/>
                <w:szCs w:val="16"/>
                <w:highlight w:val="none"/>
                <w:u w:val="none"/>
              </w:rPr>
            </w:pPr>
            <w:r>
              <w:rPr>
                <w:rFonts w:ascii="宋体" w:hAnsi="宋体" w:eastAsia="宋体" w:cs="宋体"/>
                <w:i w:val="0"/>
                <w:iCs w:val="0"/>
                <w:color w:val="000000"/>
                <w:kern w:val="0"/>
                <w:sz w:val="16"/>
                <w:szCs w:val="16"/>
                <w:highlight w:val="none"/>
                <w:u w:val="none"/>
                <w:lang w:val="en-US" w:eastAsia="zh-CN" w:bidi="ar"/>
              </w:rPr>
              <w:t>80</w:t>
            </w:r>
          </w:p>
        </w:tc>
        <w:tc>
          <w:tcPr>
            <w:tcW w:w="4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6"/>
                <w:szCs w:val="16"/>
                <w:highlight w:val="none"/>
                <w:u w:val="none"/>
              </w:rPr>
            </w:pPr>
            <w:r>
              <w:rPr>
                <w:rFonts w:ascii="宋体" w:hAnsi="宋体" w:eastAsia="宋体" w:cs="宋体"/>
                <w:i w:val="0"/>
                <w:iCs w:val="0"/>
                <w:color w:val="000000"/>
                <w:kern w:val="0"/>
                <w:sz w:val="16"/>
                <w:szCs w:val="16"/>
                <w:highlight w:val="none"/>
                <w:u w:val="none"/>
                <w:lang w:val="en-US" w:eastAsia="zh-CN" w:bidi="ar"/>
              </w:rPr>
              <w:t>%</w:t>
            </w:r>
          </w:p>
        </w:tc>
        <w:tc>
          <w:tcPr>
            <w:tcW w:w="9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95%</w:t>
            </w:r>
          </w:p>
        </w:tc>
        <w:tc>
          <w:tcPr>
            <w:tcW w:w="4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6"/>
                <w:szCs w:val="16"/>
                <w:highlight w:val="none"/>
                <w:u w:val="none"/>
              </w:rPr>
            </w:pPr>
            <w:r>
              <w:rPr>
                <w:rFonts w:ascii="宋体" w:hAnsi="宋体" w:eastAsia="宋体" w:cs="宋体"/>
                <w:i w:val="0"/>
                <w:iCs w:val="0"/>
                <w:color w:val="000000"/>
                <w:kern w:val="0"/>
                <w:sz w:val="16"/>
                <w:szCs w:val="16"/>
                <w:highlight w:val="none"/>
                <w:u w:val="none"/>
                <w:lang w:val="en-US" w:eastAsia="zh-CN" w:bidi="ar"/>
              </w:rPr>
              <w:t>10</w:t>
            </w:r>
          </w:p>
        </w:tc>
        <w:tc>
          <w:tcPr>
            <w:tcW w:w="3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6"/>
                <w:szCs w:val="16"/>
                <w:highlight w:val="none"/>
                <w:u w:val="none"/>
              </w:rPr>
            </w:pPr>
            <w:r>
              <w:rPr>
                <w:rFonts w:ascii="宋体" w:hAnsi="宋体" w:eastAsia="宋体" w:cs="宋体"/>
                <w:i w:val="0"/>
                <w:iCs w:val="0"/>
                <w:color w:val="000000"/>
                <w:kern w:val="0"/>
                <w:sz w:val="16"/>
                <w:szCs w:val="16"/>
                <w:highlight w:val="none"/>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2" w:hRule="atLeast"/>
          <w:jc w:val="center"/>
        </w:trPr>
        <w:tc>
          <w:tcPr>
            <w:tcW w:w="8946"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6"/>
                <w:szCs w:val="16"/>
                <w:highlight w:val="none"/>
                <w:u w:val="none"/>
              </w:rPr>
            </w:pPr>
            <w:r>
              <w:rPr>
                <w:rFonts w:ascii="宋体" w:hAnsi="宋体" w:eastAsia="宋体" w:cs="宋体"/>
                <w:i w:val="0"/>
                <w:iCs w:val="0"/>
                <w:color w:val="000000"/>
                <w:kern w:val="0"/>
                <w:sz w:val="16"/>
                <w:szCs w:val="16"/>
                <w:highlight w:val="none"/>
                <w:u w:val="none"/>
                <w:lang w:val="en-US" w:eastAsia="zh-CN" w:bidi="ar"/>
              </w:rPr>
              <w:t>合计</w:t>
            </w:r>
          </w:p>
        </w:tc>
        <w:tc>
          <w:tcPr>
            <w:tcW w:w="4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6"/>
                <w:szCs w:val="16"/>
                <w:highlight w:val="none"/>
                <w:u w:val="none"/>
              </w:rPr>
            </w:pPr>
            <w:r>
              <w:rPr>
                <w:rFonts w:ascii="宋体" w:hAnsi="宋体" w:eastAsia="宋体" w:cs="宋体"/>
                <w:i w:val="0"/>
                <w:iCs w:val="0"/>
                <w:color w:val="000000"/>
                <w:kern w:val="0"/>
                <w:sz w:val="16"/>
                <w:szCs w:val="16"/>
                <w:highlight w:val="none"/>
                <w:u w:val="none"/>
                <w:lang w:val="en-US" w:eastAsia="zh-CN" w:bidi="ar"/>
              </w:rPr>
              <w:t>100</w:t>
            </w:r>
          </w:p>
        </w:tc>
        <w:tc>
          <w:tcPr>
            <w:tcW w:w="3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ascii="宋体" w:hAnsi="宋体" w:eastAsia="宋体" w:cs="宋体"/>
                <w:i w:val="0"/>
                <w:iCs w:val="0"/>
                <w:color w:val="000000"/>
                <w:sz w:val="16"/>
                <w:szCs w:val="16"/>
                <w:highlight w:val="none"/>
                <w:u w:val="none"/>
              </w:rPr>
            </w:pPr>
            <w:r>
              <w:rPr>
                <w:rFonts w:ascii="宋体" w:hAnsi="宋体" w:eastAsia="宋体" w:cs="宋体"/>
                <w:i w:val="0"/>
                <w:iCs w:val="0"/>
                <w:color w:val="000000"/>
                <w:kern w:val="0"/>
                <w:sz w:val="16"/>
                <w:szCs w:val="16"/>
                <w:highlight w:val="none"/>
                <w:u w:val="none"/>
                <w:lang w:val="en-US" w:eastAsia="zh-CN" w:bidi="ar"/>
              </w:rPr>
              <w:t>96</w:t>
            </w:r>
          </w:p>
        </w:tc>
      </w:tr>
    </w:tbl>
    <w:p>
      <w:pPr>
        <w:keepNext w:val="0"/>
        <w:keepLines w:val="0"/>
        <w:pageBreakBefore w:val="0"/>
        <w:widowControl w:val="0"/>
        <w:kinsoku/>
        <w:wordWrap/>
        <w:overflowPunct/>
        <w:topLinePunct w:val="0"/>
        <w:autoSpaceDE/>
        <w:autoSpaceDN/>
        <w:bidi w:val="0"/>
        <w:adjustRightInd w:val="0"/>
        <w:snapToGrid w:val="0"/>
        <w:spacing w:line="576" w:lineRule="exact"/>
        <w:textAlignment w:val="auto"/>
        <w:rPr>
          <w:rFonts w:hint="eastAsia" w:ascii="Times New Roman" w:hAnsi="Times New Roman" w:eastAsia="仿宋_GB2312" w:cs="Times New Roman"/>
          <w:color w:val="000000"/>
          <w:sz w:val="32"/>
          <w:szCs w:val="32"/>
          <w:highlight w:val="none"/>
          <w:lang w:val="zh-CN" w:eastAsia="zh-CN"/>
        </w:rPr>
      </w:pPr>
    </w:p>
    <w:p>
      <w:pPr>
        <w:keepNext w:val="0"/>
        <w:keepLines w:val="0"/>
        <w:pageBreakBefore w:val="0"/>
        <w:widowControl w:val="0"/>
        <w:kinsoku/>
        <w:wordWrap/>
        <w:overflowPunct/>
        <w:topLinePunct w:val="0"/>
        <w:autoSpaceDE/>
        <w:autoSpaceDN/>
        <w:bidi w:val="0"/>
        <w:adjustRightInd w:val="0"/>
        <w:snapToGrid w:val="0"/>
        <w:spacing w:line="576" w:lineRule="exact"/>
        <w:ind w:firstLine="643" w:firstLineChars="200"/>
        <w:textAlignment w:val="auto"/>
        <w:rPr>
          <w:rFonts w:hint="eastAsia" w:ascii="Times New Roman" w:hAnsi="Times New Roman" w:eastAsia="仿宋_GB2312" w:cs="Times New Roman"/>
          <w:kern w:val="0"/>
          <w:sz w:val="32"/>
          <w:szCs w:val="32"/>
          <w:highlight w:val="none"/>
          <w:lang w:val="zh-CN" w:eastAsia="zh-CN" w:bidi="ar-SA"/>
        </w:rPr>
      </w:pPr>
      <w:r>
        <w:rPr>
          <w:rFonts w:hint="eastAsia" w:ascii="Times New Roman" w:hAnsi="Times New Roman" w:eastAsia="楷体_GB2312" w:cs="Times New Roman"/>
          <w:b/>
          <w:sz w:val="32"/>
          <w:szCs w:val="32"/>
          <w:highlight w:val="none"/>
          <w:lang w:val="zh-CN"/>
        </w:rPr>
        <w:t>（二）存在的问题。</w:t>
      </w:r>
      <w:r>
        <w:rPr>
          <w:rFonts w:hint="eastAsia" w:ascii="Times New Roman" w:hAnsi="Times New Roman" w:eastAsia="仿宋_GB2312" w:cs="Times New Roman"/>
          <w:kern w:val="0"/>
          <w:sz w:val="32"/>
          <w:szCs w:val="32"/>
          <w:highlight w:val="none"/>
          <w:lang w:val="zh-CN" w:eastAsia="zh-CN" w:bidi="ar-SA"/>
        </w:rPr>
        <w:t>无。</w:t>
      </w:r>
    </w:p>
    <w:p>
      <w:pPr>
        <w:keepNext w:val="0"/>
        <w:keepLines w:val="0"/>
        <w:pageBreakBefore w:val="0"/>
        <w:widowControl w:val="0"/>
        <w:kinsoku/>
        <w:wordWrap/>
        <w:overflowPunct/>
        <w:topLinePunct w:val="0"/>
        <w:autoSpaceDE/>
        <w:autoSpaceDN/>
        <w:bidi w:val="0"/>
        <w:adjustRightInd w:val="0"/>
        <w:snapToGrid w:val="0"/>
        <w:spacing w:line="576" w:lineRule="exact"/>
        <w:ind w:firstLine="643" w:firstLineChars="200"/>
        <w:textAlignment w:val="auto"/>
        <w:rPr>
          <w:rFonts w:hint="eastAsia" w:ascii="仿宋_GB2312" w:hAnsi="仿宋_GB2312" w:eastAsia="仿宋_GB2312" w:cs="仿宋_GB2312"/>
          <w:color w:val="auto"/>
          <w:sz w:val="32"/>
          <w:szCs w:val="32"/>
          <w:highlight w:val="none"/>
          <w:lang w:eastAsia="zh-CN"/>
        </w:rPr>
      </w:pPr>
      <w:r>
        <w:rPr>
          <w:rFonts w:hint="eastAsia" w:ascii="Times New Roman" w:hAnsi="Times New Roman" w:eastAsia="楷体_GB2312" w:cs="Times New Roman"/>
          <w:b/>
          <w:sz w:val="32"/>
          <w:szCs w:val="32"/>
          <w:highlight w:val="none"/>
          <w:lang w:val="zh-CN" w:eastAsia="zh-CN"/>
        </w:rPr>
        <w:t>（三）相关建议。</w:t>
      </w:r>
      <w:r>
        <w:rPr>
          <w:rFonts w:hint="eastAsia" w:ascii="Times New Roman" w:hAnsi="Times New Roman" w:eastAsia="仿宋_GB2312" w:cs="Times New Roman"/>
          <w:kern w:val="0"/>
          <w:sz w:val="32"/>
          <w:szCs w:val="32"/>
          <w:highlight w:val="none"/>
          <w:lang w:val="zh-CN" w:eastAsia="zh-CN" w:bidi="ar-SA"/>
        </w:rPr>
        <w:t>无。</w:t>
      </w:r>
    </w:p>
    <w:p>
      <w:pPr>
        <w:pageBreakBefore w:val="0"/>
        <w:kinsoku/>
        <w:wordWrap/>
        <w:overflowPunct/>
        <w:topLinePunct w:val="0"/>
        <w:bidi w:val="0"/>
        <w:spacing w:line="576" w:lineRule="exact"/>
        <w:ind w:left="960" w:hanging="960" w:hangingChars="300"/>
        <w:jc w:val="left"/>
        <w:textAlignment w:val="auto"/>
        <w:outlineLvl w:val="9"/>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eastAsia="zh-CN"/>
        </w:rPr>
        <w:t>附件：广元市昭化区人力资源和社会保障局</w:t>
      </w:r>
      <w:r>
        <w:rPr>
          <w:rFonts w:hint="eastAsia" w:ascii="仿宋_GB2312" w:hAnsi="仿宋_GB2312" w:eastAsia="仿宋_GB2312" w:cs="仿宋_GB2312"/>
          <w:color w:val="auto"/>
          <w:sz w:val="32"/>
          <w:szCs w:val="32"/>
          <w:highlight w:val="none"/>
          <w:lang w:val="en-US" w:eastAsia="zh-CN"/>
        </w:rPr>
        <w:t>2022年财政项目支出绩效自评表</w:t>
      </w:r>
    </w:p>
    <w:p>
      <w:pPr>
        <w:pStyle w:val="2"/>
        <w:rPr>
          <w:rFonts w:hint="eastAsia"/>
          <w:lang w:val="zh-CN" w:eastAsia="zh-CN"/>
        </w:rPr>
      </w:pPr>
    </w:p>
    <w:p>
      <w:pPr>
        <w:pStyle w:val="6"/>
        <w:rPr>
          <w:rFonts w:hint="default"/>
          <w:highlight w:val="none"/>
          <w:lang w:val="en-US" w:eastAsia="zh-CN"/>
        </w:rPr>
      </w:pPr>
    </w:p>
    <w:p>
      <w:pPr>
        <w:pStyle w:val="6"/>
        <w:rPr>
          <w:rFonts w:hint="eastAsia"/>
          <w:highlight w:val="none"/>
          <w:lang w:val="en-US" w:eastAsia="zh-CN"/>
        </w:rPr>
      </w:pPr>
    </w:p>
    <w:p>
      <w:pPr>
        <w:pStyle w:val="6"/>
        <w:rPr>
          <w:rFonts w:hint="default"/>
          <w:highlight w:val="none"/>
          <w:lang w:val="en-US"/>
        </w:rPr>
      </w:pPr>
    </w:p>
    <w:p>
      <w:pPr>
        <w:pStyle w:val="6"/>
        <w:spacing w:before="111" w:line="304" w:lineRule="auto"/>
        <w:ind w:left="231" w:right="276" w:firstLine="640"/>
        <w:jc w:val="both"/>
        <w:rPr>
          <w:rFonts w:hint="default" w:eastAsia="仿宋_GB2312"/>
          <w:highlight w:val="none"/>
          <w:lang w:val="en-US" w:eastAsia="zh-CN"/>
        </w:rPr>
      </w:pPr>
    </w:p>
    <w:p>
      <w:pPr>
        <w:pStyle w:val="6"/>
        <w:rPr>
          <w:rFonts w:hint="eastAsia"/>
          <w:highlight w:val="none"/>
        </w:rPr>
      </w:pPr>
    </w:p>
    <w:p>
      <w:pPr>
        <w:pageBreakBefore w:val="0"/>
        <w:kinsoku/>
        <w:wordWrap/>
        <w:overflowPunct/>
        <w:topLinePunct w:val="0"/>
        <w:bidi w:val="0"/>
        <w:spacing w:line="576" w:lineRule="exact"/>
        <w:jc w:val="center"/>
        <w:textAlignment w:val="auto"/>
        <w:outlineLvl w:val="9"/>
        <w:rPr>
          <w:rFonts w:hint="eastAsia" w:ascii="黑体" w:hAnsi="黑体" w:eastAsia="黑体"/>
          <w:color w:val="auto"/>
          <w:sz w:val="44"/>
          <w:szCs w:val="44"/>
          <w:highlight w:val="none"/>
        </w:rPr>
      </w:pPr>
    </w:p>
    <w:p>
      <w:pPr>
        <w:pageBreakBefore w:val="0"/>
        <w:kinsoku/>
        <w:wordWrap/>
        <w:overflowPunct/>
        <w:topLinePunct w:val="0"/>
        <w:bidi w:val="0"/>
        <w:spacing w:line="576" w:lineRule="exact"/>
        <w:jc w:val="center"/>
        <w:textAlignment w:val="auto"/>
        <w:outlineLvl w:val="9"/>
        <w:rPr>
          <w:rFonts w:hint="eastAsia" w:ascii="黑体" w:hAnsi="黑体" w:eastAsia="黑体"/>
          <w:color w:val="auto"/>
          <w:sz w:val="44"/>
          <w:szCs w:val="44"/>
          <w:highlight w:val="none"/>
        </w:rPr>
      </w:pPr>
    </w:p>
    <w:p>
      <w:pPr>
        <w:pageBreakBefore w:val="0"/>
        <w:kinsoku/>
        <w:wordWrap/>
        <w:overflowPunct/>
        <w:topLinePunct w:val="0"/>
        <w:bidi w:val="0"/>
        <w:spacing w:line="576" w:lineRule="exact"/>
        <w:jc w:val="center"/>
        <w:textAlignment w:val="auto"/>
        <w:outlineLvl w:val="9"/>
        <w:rPr>
          <w:rFonts w:hint="eastAsia" w:ascii="黑体" w:hAnsi="黑体" w:eastAsia="黑体"/>
          <w:color w:val="auto"/>
          <w:sz w:val="44"/>
          <w:szCs w:val="44"/>
          <w:highlight w:val="none"/>
        </w:rPr>
      </w:pPr>
    </w:p>
    <w:p>
      <w:pPr>
        <w:pageBreakBefore w:val="0"/>
        <w:kinsoku/>
        <w:wordWrap/>
        <w:overflowPunct/>
        <w:topLinePunct w:val="0"/>
        <w:bidi w:val="0"/>
        <w:spacing w:line="576" w:lineRule="exact"/>
        <w:jc w:val="both"/>
        <w:textAlignment w:val="auto"/>
        <w:outlineLvl w:val="9"/>
        <w:rPr>
          <w:rFonts w:hint="eastAsia" w:ascii="黑体" w:hAnsi="黑体" w:eastAsia="黑体"/>
          <w:color w:val="auto"/>
          <w:sz w:val="44"/>
          <w:szCs w:val="44"/>
          <w:highlight w:val="none"/>
        </w:rPr>
      </w:pPr>
    </w:p>
    <w:p>
      <w:pPr>
        <w:pageBreakBefore w:val="0"/>
        <w:kinsoku/>
        <w:wordWrap/>
        <w:overflowPunct/>
        <w:topLinePunct w:val="0"/>
        <w:bidi w:val="0"/>
        <w:spacing w:line="576" w:lineRule="exact"/>
        <w:jc w:val="both"/>
        <w:textAlignment w:val="auto"/>
        <w:outlineLvl w:val="9"/>
        <w:rPr>
          <w:rFonts w:hint="eastAsia" w:ascii="黑体" w:hAnsi="黑体" w:eastAsia="黑体"/>
          <w:color w:val="auto"/>
          <w:sz w:val="44"/>
          <w:szCs w:val="44"/>
          <w:highlight w:val="none"/>
        </w:rPr>
        <w:sectPr>
          <w:pgSz w:w="11906" w:h="16838"/>
          <w:pgMar w:top="1984" w:right="1474" w:bottom="1871" w:left="1587" w:header="851" w:footer="992" w:gutter="0"/>
          <w:pgNumType w:fmt="decimal"/>
          <w:cols w:space="0" w:num="1"/>
          <w:titlePg/>
          <w:rtlGutter w:val="0"/>
          <w:docGrid w:type="lines" w:linePitch="312" w:charSpace="0"/>
        </w:sectPr>
      </w:pPr>
    </w:p>
    <w:tbl>
      <w:tblPr>
        <w:tblStyle w:val="16"/>
        <w:tblW w:w="882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528"/>
        <w:gridCol w:w="480"/>
        <w:gridCol w:w="947"/>
        <w:gridCol w:w="2050"/>
        <w:gridCol w:w="838"/>
        <w:gridCol w:w="1096"/>
        <w:gridCol w:w="916"/>
        <w:gridCol w:w="196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trPr>
        <w:tc>
          <w:tcPr>
            <w:tcW w:w="8820" w:type="dxa"/>
            <w:gridSpan w:val="8"/>
            <w:tcBorders>
              <w:top w:val="nil"/>
              <w:left w:val="nil"/>
              <w:bottom w:val="nil"/>
              <w:right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方正小标宋简体" w:hAnsi="方正小标宋简体" w:eastAsia="方正小标宋简体" w:cs="方正小标宋简体"/>
                <w:i w:val="0"/>
                <w:iCs w:val="0"/>
                <w:color w:val="000000"/>
                <w:kern w:val="0"/>
                <w:sz w:val="32"/>
                <w:szCs w:val="32"/>
                <w:u w:val="none"/>
                <w:lang w:val="en-US" w:eastAsia="zh-CN" w:bidi="ar"/>
              </w:rPr>
            </w:pPr>
            <w:r>
              <w:rPr>
                <w:rFonts w:hint="eastAsia" w:ascii="方正小标宋简体" w:hAnsi="方正小标宋简体" w:eastAsia="方正小标宋简体" w:cs="方正小标宋简体"/>
                <w:i w:val="0"/>
                <w:iCs w:val="0"/>
                <w:color w:val="000000"/>
                <w:kern w:val="0"/>
                <w:sz w:val="32"/>
                <w:szCs w:val="32"/>
                <w:u w:val="none"/>
                <w:lang w:val="en-US" w:eastAsia="zh-CN" w:bidi="ar"/>
              </w:rPr>
              <w:t xml:space="preserve">附件：    </w:t>
            </w:r>
          </w:p>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ascii="微软雅黑" w:hAnsi="微软雅黑" w:eastAsia="微软雅黑" w:cs="微软雅黑"/>
                <w:i w:val="0"/>
                <w:iCs w:val="0"/>
                <w:color w:val="000000"/>
                <w:sz w:val="32"/>
                <w:szCs w:val="32"/>
                <w:u w:val="none"/>
              </w:rPr>
            </w:pPr>
            <w:r>
              <w:rPr>
                <w:rFonts w:hint="eastAsia" w:ascii="方正小标宋简体" w:hAnsi="方正小标宋简体" w:eastAsia="方正小标宋简体" w:cs="方正小标宋简体"/>
                <w:i w:val="0"/>
                <w:iCs w:val="0"/>
                <w:color w:val="000000"/>
                <w:kern w:val="0"/>
                <w:sz w:val="40"/>
                <w:szCs w:val="40"/>
                <w:u w:val="none"/>
                <w:lang w:val="en-US" w:eastAsia="zh-CN" w:bidi="ar"/>
              </w:rPr>
              <w:t>转移支付区域（项目）绩效目标自评表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2" w:hRule="atLeast"/>
        </w:trPr>
        <w:tc>
          <w:tcPr>
            <w:tcW w:w="8820" w:type="dxa"/>
            <w:gridSpan w:val="8"/>
            <w:tcBorders>
              <w:top w:val="nil"/>
              <w:left w:val="nil"/>
              <w:bottom w:val="single" w:color="000000" w:sz="4" w:space="0"/>
              <w:right w:val="nil"/>
            </w:tcBorders>
            <w:shd w:val="clear" w:color="auto" w:fill="auto"/>
            <w:vAlign w:val="top"/>
          </w:tcPr>
          <w:p>
            <w:pPr>
              <w:keepNext w:val="0"/>
              <w:keepLines w:val="0"/>
              <w:widowControl/>
              <w:suppressLineNumbers w:val="0"/>
              <w:jc w:val="center"/>
              <w:textAlignment w:val="top"/>
              <w:rPr>
                <w:rFonts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bidi="ar"/>
              </w:rPr>
              <w:t>（2022年度）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195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转移支付（项目）名称</w:t>
            </w:r>
          </w:p>
        </w:tc>
        <w:tc>
          <w:tcPr>
            <w:tcW w:w="6866"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普惠金融发展专项资金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5" w:hRule="atLeast"/>
        </w:trPr>
        <w:tc>
          <w:tcPr>
            <w:tcW w:w="195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中央主管部门</w:t>
            </w:r>
          </w:p>
        </w:tc>
        <w:tc>
          <w:tcPr>
            <w:tcW w:w="6866"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8" w:hRule="atLeast"/>
        </w:trPr>
        <w:tc>
          <w:tcPr>
            <w:tcW w:w="195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地方主管部门</w:t>
            </w:r>
          </w:p>
        </w:tc>
        <w:tc>
          <w:tcPr>
            <w:tcW w:w="289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0"/>
                <w:szCs w:val="20"/>
                <w:u w:val="none"/>
              </w:rPr>
            </w:pPr>
          </w:p>
        </w:tc>
        <w:tc>
          <w:tcPr>
            <w:tcW w:w="10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资金使用单位</w:t>
            </w:r>
          </w:p>
        </w:tc>
        <w:tc>
          <w:tcPr>
            <w:tcW w:w="287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广元市昭化区人力资源和社会保障局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6" w:hRule="atLeast"/>
        </w:trPr>
        <w:tc>
          <w:tcPr>
            <w:tcW w:w="1954" w:type="dxa"/>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资金投入情况</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（万元）</w:t>
            </w:r>
          </w:p>
        </w:tc>
        <w:tc>
          <w:tcPr>
            <w:tcW w:w="205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0"/>
                <w:szCs w:val="20"/>
                <w:u w:val="none"/>
              </w:rPr>
            </w:pPr>
          </w:p>
        </w:tc>
        <w:tc>
          <w:tcPr>
            <w:tcW w:w="8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全年预算数（A）</w:t>
            </w:r>
          </w:p>
        </w:tc>
        <w:tc>
          <w:tcPr>
            <w:tcW w:w="201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全年执行数（B）</w:t>
            </w:r>
          </w:p>
        </w:tc>
        <w:tc>
          <w:tcPr>
            <w:tcW w:w="19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预算执行率（B/A×100%)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5" w:hRule="atLeast"/>
        </w:trPr>
        <w:tc>
          <w:tcPr>
            <w:tcW w:w="1954"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20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年度资金总额：</w:t>
            </w:r>
          </w:p>
        </w:tc>
        <w:tc>
          <w:tcPr>
            <w:tcW w:w="8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201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9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5" w:hRule="atLeast"/>
        </w:trPr>
        <w:tc>
          <w:tcPr>
            <w:tcW w:w="1954"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20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Style w:val="42"/>
                <w:lang w:val="en-US" w:eastAsia="zh-CN" w:bidi="ar"/>
              </w:rPr>
              <w:t xml:space="preserve"> </w:t>
            </w:r>
            <w:r>
              <w:rPr>
                <w:rStyle w:val="43"/>
                <w:lang w:val="en-US" w:eastAsia="zh-CN" w:bidi="ar"/>
              </w:rPr>
              <w:t>其中：中央财政资金</w:t>
            </w:r>
          </w:p>
        </w:tc>
        <w:tc>
          <w:tcPr>
            <w:tcW w:w="8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121.88</w:t>
            </w:r>
          </w:p>
        </w:tc>
        <w:tc>
          <w:tcPr>
            <w:tcW w:w="201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121.88</w:t>
            </w:r>
          </w:p>
        </w:tc>
        <w:tc>
          <w:tcPr>
            <w:tcW w:w="19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5" w:hRule="atLeast"/>
        </w:trPr>
        <w:tc>
          <w:tcPr>
            <w:tcW w:w="1954"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20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Style w:val="42"/>
                <w:lang w:val="en-US" w:eastAsia="zh-CN" w:bidi="ar"/>
              </w:rPr>
              <w:t xml:space="preserve"> </w:t>
            </w:r>
            <w:r>
              <w:rPr>
                <w:rStyle w:val="43"/>
                <w:lang w:val="en-US" w:eastAsia="zh-CN" w:bidi="ar"/>
              </w:rPr>
              <w:t xml:space="preserve">      地方资金</w:t>
            </w:r>
          </w:p>
        </w:tc>
        <w:tc>
          <w:tcPr>
            <w:tcW w:w="8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201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9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5" w:hRule="atLeast"/>
        </w:trPr>
        <w:tc>
          <w:tcPr>
            <w:tcW w:w="1954"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20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Style w:val="44"/>
                <w:lang w:val="en-US" w:eastAsia="zh-CN" w:bidi="ar"/>
              </w:rPr>
              <w:t xml:space="preserve">      </w:t>
            </w:r>
            <w:r>
              <w:rPr>
                <w:rStyle w:val="43"/>
                <w:lang w:val="en-US" w:eastAsia="zh-CN" w:bidi="ar"/>
              </w:rPr>
              <w:t xml:space="preserve">  其他资金</w:t>
            </w:r>
          </w:p>
        </w:tc>
        <w:tc>
          <w:tcPr>
            <w:tcW w:w="8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201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9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1954" w:type="dxa"/>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资金管理情况</w:t>
            </w:r>
          </w:p>
        </w:tc>
        <w:tc>
          <w:tcPr>
            <w:tcW w:w="205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0"/>
                <w:szCs w:val="20"/>
                <w:u w:val="none"/>
              </w:rPr>
            </w:pPr>
          </w:p>
        </w:tc>
        <w:tc>
          <w:tcPr>
            <w:tcW w:w="284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情况说明</w:t>
            </w:r>
          </w:p>
        </w:tc>
        <w:tc>
          <w:tcPr>
            <w:tcW w:w="19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存在问题和改进措施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5" w:hRule="atLeast"/>
        </w:trPr>
        <w:tc>
          <w:tcPr>
            <w:tcW w:w="1954"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20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分配科学性</w:t>
            </w:r>
          </w:p>
        </w:tc>
        <w:tc>
          <w:tcPr>
            <w:tcW w:w="284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全部用于创业担保贷款贴息</w:t>
            </w:r>
          </w:p>
        </w:tc>
        <w:tc>
          <w:tcPr>
            <w:tcW w:w="19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5" w:hRule="atLeast"/>
        </w:trPr>
        <w:tc>
          <w:tcPr>
            <w:tcW w:w="1954"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20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下达及时性</w:t>
            </w:r>
          </w:p>
        </w:tc>
        <w:tc>
          <w:tcPr>
            <w:tcW w:w="284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年度内下达</w:t>
            </w:r>
          </w:p>
        </w:tc>
        <w:tc>
          <w:tcPr>
            <w:tcW w:w="19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8" w:hRule="atLeast"/>
        </w:trPr>
        <w:tc>
          <w:tcPr>
            <w:tcW w:w="1954"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20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拨付合规性</w:t>
            </w:r>
          </w:p>
        </w:tc>
        <w:tc>
          <w:tcPr>
            <w:tcW w:w="284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严格按创业担保贷款贴息资金政策使用</w:t>
            </w:r>
          </w:p>
        </w:tc>
        <w:tc>
          <w:tcPr>
            <w:tcW w:w="19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5" w:hRule="atLeast"/>
        </w:trPr>
        <w:tc>
          <w:tcPr>
            <w:tcW w:w="1954"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20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使用规范性</w:t>
            </w:r>
          </w:p>
        </w:tc>
        <w:tc>
          <w:tcPr>
            <w:tcW w:w="284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川财规（2022）9号</w:t>
            </w:r>
          </w:p>
        </w:tc>
        <w:tc>
          <w:tcPr>
            <w:tcW w:w="19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8" w:hRule="atLeast"/>
        </w:trPr>
        <w:tc>
          <w:tcPr>
            <w:tcW w:w="1954"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20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执行准确性</w:t>
            </w:r>
          </w:p>
        </w:tc>
        <w:tc>
          <w:tcPr>
            <w:tcW w:w="284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仅用于个人、小微企业创业担保贷款财政贴息</w:t>
            </w:r>
          </w:p>
        </w:tc>
        <w:tc>
          <w:tcPr>
            <w:tcW w:w="19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8" w:hRule="atLeast"/>
        </w:trPr>
        <w:tc>
          <w:tcPr>
            <w:tcW w:w="1954"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20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预算绩效管理情况</w:t>
            </w:r>
          </w:p>
        </w:tc>
        <w:tc>
          <w:tcPr>
            <w:tcW w:w="284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严格按预算绩效管理开展绩效工作</w:t>
            </w:r>
          </w:p>
        </w:tc>
        <w:tc>
          <w:tcPr>
            <w:tcW w:w="19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1954"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20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支出责任履行情况</w:t>
            </w:r>
          </w:p>
        </w:tc>
        <w:tc>
          <w:tcPr>
            <w:tcW w:w="284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就业中心审核、规划财务股支付</w:t>
            </w:r>
          </w:p>
        </w:tc>
        <w:tc>
          <w:tcPr>
            <w:tcW w:w="19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5" w:hRule="atLeast"/>
        </w:trPr>
        <w:tc>
          <w:tcPr>
            <w:tcW w:w="526" w:type="dxa"/>
            <w:vMerge w:val="restart"/>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总体目标完成情况</w:t>
            </w:r>
          </w:p>
        </w:tc>
        <w:tc>
          <w:tcPr>
            <w:tcW w:w="4318" w:type="dxa"/>
            <w:gridSpan w:val="4"/>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总体目标</w:t>
            </w:r>
          </w:p>
        </w:tc>
        <w:tc>
          <w:tcPr>
            <w:tcW w:w="3976" w:type="dxa"/>
            <w:gridSpan w:val="3"/>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全年实际完成情况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93" w:hRule="atLeast"/>
        </w:trPr>
        <w:tc>
          <w:tcPr>
            <w:tcW w:w="526" w:type="dxa"/>
            <w:vMerge w:val="continue"/>
            <w:tcBorders>
              <w:top w:val="nil"/>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4318"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支持农村金融组织体系建设，扩大农村金融服务覆盖面。支持重点群体和符合条件的小微企业融资发展。支持地方因地制宜打造各具特色的普惠金融发展示范区，增强金融普惠性，推动普惠金融高质量发展。</w:t>
            </w:r>
          </w:p>
        </w:tc>
        <w:tc>
          <w:tcPr>
            <w:tcW w:w="397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支持农村金融组织体系建设，扩大农村金融服务覆盖面。支持重点群体和符合条件的小微企业融资发展。支持地方因地制宜打造各具特色的普惠金融发展示范区，增强金融普惠性，推动普惠金融高质量发展。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63" w:hRule="atLeast"/>
        </w:trPr>
        <w:tc>
          <w:tcPr>
            <w:tcW w:w="526" w:type="dxa"/>
            <w:vMerge w:val="restart"/>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绩效指标</w:t>
            </w: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一级</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指标</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二级指标</w:t>
            </w:r>
          </w:p>
        </w:tc>
        <w:tc>
          <w:tcPr>
            <w:tcW w:w="289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三级指标</w:t>
            </w:r>
          </w:p>
        </w:tc>
        <w:tc>
          <w:tcPr>
            <w:tcW w:w="10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指标值</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全年实际完成值</w:t>
            </w:r>
          </w:p>
        </w:tc>
        <w:tc>
          <w:tcPr>
            <w:tcW w:w="19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未完成原因和改进措施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8" w:hRule="atLeast"/>
        </w:trPr>
        <w:tc>
          <w:tcPr>
            <w:tcW w:w="526"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jc w:val="center"/>
              <w:rPr>
                <w:rFonts w:hint="eastAsia" w:ascii="宋体" w:hAnsi="宋体" w:eastAsia="宋体" w:cs="宋体"/>
                <w:i w:val="0"/>
                <w:iCs w:val="0"/>
                <w:color w:val="000000"/>
                <w:sz w:val="20"/>
                <w:szCs w:val="20"/>
                <w:u w:val="none"/>
              </w:rPr>
            </w:pPr>
          </w:p>
        </w:tc>
        <w:tc>
          <w:tcPr>
            <w:tcW w:w="4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产</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出</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指</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标</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数量指标</w:t>
            </w:r>
          </w:p>
        </w:tc>
        <w:tc>
          <w:tcPr>
            <w:tcW w:w="289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创业担保贷款发放额增长率</w:t>
            </w:r>
          </w:p>
        </w:tc>
        <w:tc>
          <w:tcPr>
            <w:tcW w:w="10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413.83%</w:t>
            </w:r>
          </w:p>
        </w:tc>
        <w:tc>
          <w:tcPr>
            <w:tcW w:w="19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2021年发放347万元，2022年发放1783万。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526"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jc w:val="center"/>
              <w:rPr>
                <w:rFonts w:hint="eastAsia" w:ascii="宋体" w:hAnsi="宋体" w:eastAsia="宋体" w:cs="宋体"/>
                <w:i w:val="0"/>
                <w:iCs w:val="0"/>
                <w:color w:val="000000"/>
                <w:sz w:val="20"/>
                <w:szCs w:val="20"/>
                <w:u w:val="none"/>
              </w:rPr>
            </w:pPr>
          </w:p>
        </w:tc>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94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质量指标</w:t>
            </w:r>
          </w:p>
        </w:tc>
        <w:tc>
          <w:tcPr>
            <w:tcW w:w="289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创业担保贷款回收率</w:t>
            </w:r>
          </w:p>
        </w:tc>
        <w:tc>
          <w:tcPr>
            <w:tcW w:w="10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≥90%</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w:t>
            </w:r>
          </w:p>
        </w:tc>
        <w:tc>
          <w:tcPr>
            <w:tcW w:w="19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526"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jc w:val="center"/>
              <w:rPr>
                <w:rFonts w:hint="eastAsia" w:ascii="宋体" w:hAnsi="宋体" w:eastAsia="宋体" w:cs="宋体"/>
                <w:i w:val="0"/>
                <w:iCs w:val="0"/>
                <w:color w:val="000000"/>
                <w:sz w:val="20"/>
                <w:szCs w:val="20"/>
                <w:u w:val="none"/>
              </w:rPr>
            </w:pPr>
          </w:p>
        </w:tc>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9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289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资金足额拨付率</w:t>
            </w:r>
          </w:p>
        </w:tc>
        <w:tc>
          <w:tcPr>
            <w:tcW w:w="10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w:t>
            </w:r>
          </w:p>
        </w:tc>
        <w:tc>
          <w:tcPr>
            <w:tcW w:w="19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526"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jc w:val="center"/>
              <w:rPr>
                <w:rFonts w:hint="eastAsia" w:ascii="宋体" w:hAnsi="宋体" w:eastAsia="宋体" w:cs="宋体"/>
                <w:i w:val="0"/>
                <w:iCs w:val="0"/>
                <w:color w:val="000000"/>
                <w:sz w:val="20"/>
                <w:szCs w:val="20"/>
                <w:u w:val="none"/>
              </w:rPr>
            </w:pPr>
          </w:p>
        </w:tc>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9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289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地方配套到位率</w:t>
            </w:r>
          </w:p>
        </w:tc>
        <w:tc>
          <w:tcPr>
            <w:tcW w:w="10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w:t>
            </w:r>
          </w:p>
        </w:tc>
        <w:tc>
          <w:tcPr>
            <w:tcW w:w="19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6" w:hRule="atLeast"/>
        </w:trPr>
        <w:tc>
          <w:tcPr>
            <w:tcW w:w="526"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jc w:val="center"/>
              <w:rPr>
                <w:rFonts w:hint="eastAsia" w:ascii="宋体" w:hAnsi="宋体" w:eastAsia="宋体" w:cs="宋体"/>
                <w:i w:val="0"/>
                <w:iCs w:val="0"/>
                <w:color w:val="000000"/>
                <w:sz w:val="20"/>
                <w:szCs w:val="20"/>
                <w:u w:val="none"/>
              </w:rPr>
            </w:pPr>
          </w:p>
        </w:tc>
        <w:tc>
          <w:tcPr>
            <w:tcW w:w="4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效</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指</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标</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经济效益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指标</w:t>
            </w:r>
          </w:p>
        </w:tc>
        <w:tc>
          <w:tcPr>
            <w:tcW w:w="289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创业担保基金放大倍数</w:t>
            </w:r>
          </w:p>
        </w:tc>
        <w:tc>
          <w:tcPr>
            <w:tcW w:w="10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≥200%</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1000%</w:t>
            </w:r>
          </w:p>
        </w:tc>
        <w:tc>
          <w:tcPr>
            <w:tcW w:w="19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6" w:hRule="atLeast"/>
        </w:trPr>
        <w:tc>
          <w:tcPr>
            <w:tcW w:w="526"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jc w:val="center"/>
              <w:rPr>
                <w:rFonts w:hint="eastAsia" w:ascii="宋体" w:hAnsi="宋体" w:eastAsia="宋体" w:cs="宋体"/>
                <w:i w:val="0"/>
                <w:iCs w:val="0"/>
                <w:color w:val="000000"/>
                <w:sz w:val="20"/>
                <w:szCs w:val="20"/>
                <w:u w:val="none"/>
              </w:rPr>
            </w:pPr>
          </w:p>
        </w:tc>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社会效益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指标</w:t>
            </w:r>
          </w:p>
        </w:tc>
        <w:tc>
          <w:tcPr>
            <w:tcW w:w="289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金融机构网点覆盖率</w:t>
            </w:r>
          </w:p>
        </w:tc>
        <w:tc>
          <w:tcPr>
            <w:tcW w:w="10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≥80%</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w:t>
            </w:r>
          </w:p>
        </w:tc>
        <w:tc>
          <w:tcPr>
            <w:tcW w:w="19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526"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jc w:val="center"/>
              <w:rPr>
                <w:rFonts w:hint="eastAsia" w:ascii="宋体" w:hAnsi="宋体" w:eastAsia="宋体" w:cs="宋体"/>
                <w:i w:val="0"/>
                <w:iCs w:val="0"/>
                <w:color w:val="000000"/>
                <w:sz w:val="20"/>
                <w:szCs w:val="20"/>
                <w:u w:val="none"/>
              </w:rPr>
            </w:pPr>
          </w:p>
        </w:tc>
        <w:tc>
          <w:tcPr>
            <w:tcW w:w="4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满意度指标</w:t>
            </w:r>
          </w:p>
        </w:tc>
        <w:tc>
          <w:tcPr>
            <w:tcW w:w="94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服务对象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满意度指标</w:t>
            </w:r>
          </w:p>
        </w:tc>
        <w:tc>
          <w:tcPr>
            <w:tcW w:w="289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申请定向费用补贴金额机构满意度</w:t>
            </w:r>
          </w:p>
        </w:tc>
        <w:tc>
          <w:tcPr>
            <w:tcW w:w="10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≥80%</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95%</w:t>
            </w:r>
          </w:p>
        </w:tc>
        <w:tc>
          <w:tcPr>
            <w:tcW w:w="19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526"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jc w:val="center"/>
              <w:rPr>
                <w:rFonts w:hint="eastAsia" w:ascii="宋体" w:hAnsi="宋体" w:eastAsia="宋体" w:cs="宋体"/>
                <w:i w:val="0"/>
                <w:iCs w:val="0"/>
                <w:color w:val="000000"/>
                <w:sz w:val="20"/>
                <w:szCs w:val="20"/>
                <w:u w:val="none"/>
              </w:rPr>
            </w:pPr>
          </w:p>
        </w:tc>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9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289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申报创业担保贷款贴息个人满意度</w:t>
            </w:r>
          </w:p>
        </w:tc>
        <w:tc>
          <w:tcPr>
            <w:tcW w:w="10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≥80%</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95%</w:t>
            </w:r>
          </w:p>
        </w:tc>
        <w:tc>
          <w:tcPr>
            <w:tcW w:w="19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93" w:hRule="atLeast"/>
        </w:trPr>
        <w:tc>
          <w:tcPr>
            <w:tcW w:w="526"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jc w:val="center"/>
              <w:rPr>
                <w:rFonts w:hint="eastAsia" w:ascii="宋体" w:hAnsi="宋体" w:eastAsia="宋体" w:cs="宋体"/>
                <w:i w:val="0"/>
                <w:iCs w:val="0"/>
                <w:color w:val="000000"/>
                <w:sz w:val="20"/>
                <w:szCs w:val="20"/>
                <w:u w:val="none"/>
              </w:rPr>
            </w:pPr>
          </w:p>
        </w:tc>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9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289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申报创业担保贷款贴息小微企业的满意度</w:t>
            </w:r>
          </w:p>
        </w:tc>
        <w:tc>
          <w:tcPr>
            <w:tcW w:w="10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≥80%</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95%</w:t>
            </w:r>
          </w:p>
        </w:tc>
        <w:tc>
          <w:tcPr>
            <w:tcW w:w="19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bl>
    <w:p>
      <w:pPr>
        <w:pStyle w:val="2"/>
        <w:rPr>
          <w:rFonts w:hint="eastAsia"/>
        </w:rPr>
        <w:sectPr>
          <w:pgSz w:w="11906" w:h="16838"/>
          <w:pgMar w:top="1984" w:right="1474" w:bottom="1871" w:left="1587" w:header="851" w:footer="992" w:gutter="0"/>
          <w:pgNumType w:fmt="decimal"/>
          <w:cols w:space="0" w:num="1"/>
          <w:titlePg/>
          <w:rtlGutter w:val="0"/>
          <w:docGrid w:type="lines" w:linePitch="312" w:charSpace="0"/>
        </w:sectPr>
      </w:pPr>
    </w:p>
    <w:p>
      <w:pPr>
        <w:pageBreakBefore w:val="0"/>
        <w:kinsoku/>
        <w:wordWrap/>
        <w:overflowPunct/>
        <w:topLinePunct w:val="0"/>
        <w:bidi w:val="0"/>
        <w:spacing w:line="576" w:lineRule="exact"/>
        <w:jc w:val="both"/>
        <w:textAlignment w:val="auto"/>
        <w:outlineLvl w:val="9"/>
        <w:rPr>
          <w:rFonts w:hint="eastAsia" w:ascii="黑体" w:hAnsi="黑体" w:eastAsia="黑体"/>
          <w:color w:val="auto"/>
          <w:sz w:val="44"/>
          <w:szCs w:val="44"/>
          <w:highlight w:val="none"/>
        </w:rPr>
      </w:pPr>
    </w:p>
    <w:p>
      <w:pPr>
        <w:pageBreakBefore w:val="0"/>
        <w:kinsoku/>
        <w:wordWrap/>
        <w:overflowPunct/>
        <w:topLinePunct w:val="0"/>
        <w:bidi w:val="0"/>
        <w:spacing w:line="576" w:lineRule="exact"/>
        <w:ind w:firstLine="2640" w:firstLineChars="600"/>
        <w:jc w:val="both"/>
        <w:textAlignment w:val="auto"/>
        <w:outlineLvl w:val="0"/>
        <w:rPr>
          <w:rFonts w:hint="eastAsia" w:ascii="仿宋" w:hAnsi="仿宋" w:eastAsia="仿宋"/>
          <w:b w:val="0"/>
          <w:color w:val="auto"/>
          <w:highlight w:val="none"/>
        </w:rPr>
      </w:pPr>
      <w:bookmarkStart w:id="106" w:name="_Toc22679"/>
      <w:r>
        <w:rPr>
          <w:rFonts w:hint="eastAsia" w:ascii="黑体" w:hAnsi="黑体" w:eastAsia="黑体"/>
          <w:color w:val="auto"/>
          <w:sz w:val="44"/>
          <w:szCs w:val="44"/>
          <w:highlight w:val="none"/>
        </w:rPr>
        <w:t>第</w:t>
      </w:r>
      <w:r>
        <w:rPr>
          <w:rStyle w:val="28"/>
          <w:rFonts w:hint="eastAsia" w:ascii="黑体" w:hAnsi="黑体" w:eastAsia="黑体"/>
          <w:b w:val="0"/>
          <w:color w:val="auto"/>
          <w:highlight w:val="none"/>
        </w:rPr>
        <w:t>五部分 附表</w:t>
      </w:r>
      <w:bookmarkEnd w:id="83"/>
      <w:bookmarkEnd w:id="96"/>
      <w:bookmarkEnd w:id="106"/>
      <w:bookmarkStart w:id="107" w:name="_Toc15396619"/>
    </w:p>
    <w:p>
      <w:pPr>
        <w:pStyle w:val="4"/>
        <w:pageBreakBefore w:val="0"/>
        <w:kinsoku/>
        <w:wordWrap/>
        <w:overflowPunct/>
        <w:topLinePunct w:val="0"/>
        <w:bidi w:val="0"/>
        <w:spacing w:line="576" w:lineRule="exact"/>
        <w:textAlignment w:val="auto"/>
        <w:rPr>
          <w:rFonts w:ascii="仿宋" w:hAnsi="仿宋" w:eastAsia="仿宋"/>
          <w:color w:val="auto"/>
          <w:highlight w:val="none"/>
        </w:rPr>
      </w:pPr>
      <w:bookmarkStart w:id="108" w:name="_Toc4172"/>
      <w:r>
        <w:rPr>
          <w:rFonts w:hint="eastAsia" w:ascii="仿宋" w:hAnsi="仿宋" w:eastAsia="仿宋"/>
          <w:b w:val="0"/>
          <w:color w:val="auto"/>
          <w:highlight w:val="none"/>
        </w:rPr>
        <w:t>一、收</w:t>
      </w:r>
      <w:r>
        <w:rPr>
          <w:rStyle w:val="29"/>
          <w:rFonts w:hint="eastAsia" w:ascii="仿宋" w:hAnsi="仿宋" w:eastAsia="仿宋"/>
          <w:b w:val="0"/>
          <w:bCs w:val="0"/>
          <w:color w:val="auto"/>
          <w:highlight w:val="none"/>
        </w:rPr>
        <w:t>入支出决算总表</w:t>
      </w:r>
      <w:bookmarkEnd w:id="107"/>
      <w:bookmarkEnd w:id="108"/>
    </w:p>
    <w:p>
      <w:pPr>
        <w:pStyle w:val="4"/>
        <w:pageBreakBefore w:val="0"/>
        <w:kinsoku/>
        <w:wordWrap/>
        <w:overflowPunct/>
        <w:topLinePunct w:val="0"/>
        <w:bidi w:val="0"/>
        <w:spacing w:line="576" w:lineRule="exact"/>
        <w:textAlignment w:val="auto"/>
        <w:rPr>
          <w:rFonts w:ascii="仿宋" w:hAnsi="仿宋" w:eastAsia="仿宋"/>
          <w:color w:val="auto"/>
          <w:highlight w:val="none"/>
        </w:rPr>
      </w:pPr>
      <w:bookmarkStart w:id="109" w:name="_Toc15396620"/>
      <w:bookmarkStart w:id="110" w:name="_Toc5787"/>
      <w:r>
        <w:rPr>
          <w:rFonts w:hint="eastAsia" w:ascii="仿宋" w:hAnsi="仿宋" w:eastAsia="仿宋"/>
          <w:b w:val="0"/>
          <w:color w:val="auto"/>
          <w:highlight w:val="none"/>
        </w:rPr>
        <w:t>二、收</w:t>
      </w:r>
      <w:r>
        <w:rPr>
          <w:rStyle w:val="29"/>
          <w:rFonts w:hint="eastAsia" w:ascii="仿宋" w:hAnsi="仿宋" w:eastAsia="仿宋"/>
          <w:b w:val="0"/>
          <w:bCs w:val="0"/>
          <w:color w:val="auto"/>
          <w:highlight w:val="none"/>
        </w:rPr>
        <w:t>入决算表</w:t>
      </w:r>
      <w:bookmarkEnd w:id="109"/>
      <w:bookmarkEnd w:id="110"/>
    </w:p>
    <w:p>
      <w:pPr>
        <w:pStyle w:val="4"/>
        <w:pageBreakBefore w:val="0"/>
        <w:kinsoku/>
        <w:wordWrap/>
        <w:overflowPunct/>
        <w:topLinePunct w:val="0"/>
        <w:bidi w:val="0"/>
        <w:spacing w:line="576" w:lineRule="exact"/>
        <w:textAlignment w:val="auto"/>
        <w:rPr>
          <w:rFonts w:ascii="仿宋" w:hAnsi="仿宋" w:eastAsia="仿宋"/>
          <w:color w:val="auto"/>
          <w:highlight w:val="none"/>
        </w:rPr>
      </w:pPr>
      <w:bookmarkStart w:id="111" w:name="_Toc15396621"/>
      <w:bookmarkStart w:id="112" w:name="_Toc19160"/>
      <w:r>
        <w:rPr>
          <w:rStyle w:val="29"/>
          <w:rFonts w:hint="eastAsia" w:ascii="仿宋" w:hAnsi="仿宋" w:eastAsia="仿宋"/>
          <w:b w:val="0"/>
          <w:bCs w:val="0"/>
          <w:color w:val="auto"/>
          <w:highlight w:val="none"/>
        </w:rPr>
        <w:t>三、</w:t>
      </w:r>
      <w:r>
        <w:rPr>
          <w:rFonts w:hint="eastAsia" w:ascii="仿宋" w:hAnsi="仿宋" w:eastAsia="仿宋"/>
          <w:b w:val="0"/>
          <w:color w:val="auto"/>
          <w:highlight w:val="none"/>
        </w:rPr>
        <w:t>支</w:t>
      </w:r>
      <w:r>
        <w:rPr>
          <w:rStyle w:val="29"/>
          <w:rFonts w:hint="eastAsia" w:ascii="仿宋" w:hAnsi="仿宋" w:eastAsia="仿宋"/>
          <w:b w:val="0"/>
          <w:bCs w:val="0"/>
          <w:color w:val="auto"/>
          <w:highlight w:val="none"/>
        </w:rPr>
        <w:t>出决算表</w:t>
      </w:r>
      <w:bookmarkEnd w:id="111"/>
      <w:bookmarkEnd w:id="112"/>
    </w:p>
    <w:p>
      <w:pPr>
        <w:pStyle w:val="4"/>
        <w:pageBreakBefore w:val="0"/>
        <w:kinsoku/>
        <w:wordWrap/>
        <w:overflowPunct/>
        <w:topLinePunct w:val="0"/>
        <w:bidi w:val="0"/>
        <w:spacing w:line="576" w:lineRule="exact"/>
        <w:textAlignment w:val="auto"/>
        <w:rPr>
          <w:rFonts w:ascii="仿宋" w:hAnsi="仿宋" w:eastAsia="仿宋"/>
          <w:b w:val="0"/>
          <w:color w:val="auto"/>
          <w:highlight w:val="none"/>
        </w:rPr>
      </w:pPr>
      <w:bookmarkStart w:id="113" w:name="_Toc10838"/>
      <w:bookmarkStart w:id="114" w:name="_Toc15396622"/>
      <w:r>
        <w:rPr>
          <w:rStyle w:val="29"/>
          <w:rFonts w:hint="eastAsia" w:ascii="仿宋" w:hAnsi="仿宋" w:eastAsia="仿宋"/>
          <w:b w:val="0"/>
          <w:bCs w:val="0"/>
          <w:color w:val="auto"/>
          <w:highlight w:val="none"/>
        </w:rPr>
        <w:t>四、</w:t>
      </w:r>
      <w:r>
        <w:rPr>
          <w:rFonts w:hint="eastAsia" w:ascii="仿宋" w:hAnsi="仿宋" w:eastAsia="仿宋"/>
          <w:b w:val="0"/>
          <w:color w:val="auto"/>
          <w:highlight w:val="none"/>
        </w:rPr>
        <w:t>财</w:t>
      </w:r>
      <w:r>
        <w:rPr>
          <w:rStyle w:val="29"/>
          <w:rFonts w:hint="eastAsia" w:ascii="仿宋" w:hAnsi="仿宋" w:eastAsia="仿宋"/>
          <w:b w:val="0"/>
          <w:bCs w:val="0"/>
          <w:color w:val="auto"/>
          <w:highlight w:val="none"/>
        </w:rPr>
        <w:t>政拨款收入支出决算总表</w:t>
      </w:r>
      <w:bookmarkEnd w:id="113"/>
      <w:bookmarkEnd w:id="114"/>
    </w:p>
    <w:p>
      <w:pPr>
        <w:pStyle w:val="4"/>
        <w:pageBreakBefore w:val="0"/>
        <w:kinsoku/>
        <w:wordWrap/>
        <w:overflowPunct/>
        <w:topLinePunct w:val="0"/>
        <w:bidi w:val="0"/>
        <w:spacing w:line="576" w:lineRule="exact"/>
        <w:textAlignment w:val="auto"/>
        <w:rPr>
          <w:rStyle w:val="29"/>
          <w:rFonts w:ascii="仿宋" w:hAnsi="仿宋" w:eastAsia="仿宋"/>
          <w:b w:val="0"/>
          <w:bCs w:val="0"/>
          <w:color w:val="auto"/>
          <w:highlight w:val="none"/>
        </w:rPr>
      </w:pPr>
      <w:bookmarkStart w:id="115" w:name="_Toc25130"/>
      <w:bookmarkStart w:id="116" w:name="_Toc15396623"/>
      <w:r>
        <w:rPr>
          <w:rStyle w:val="29"/>
          <w:rFonts w:hint="eastAsia" w:ascii="仿宋" w:hAnsi="仿宋" w:eastAsia="仿宋"/>
          <w:b w:val="0"/>
          <w:bCs w:val="0"/>
          <w:color w:val="auto"/>
          <w:highlight w:val="none"/>
        </w:rPr>
        <w:t>五、</w:t>
      </w:r>
      <w:r>
        <w:rPr>
          <w:rFonts w:hint="eastAsia" w:ascii="仿宋" w:hAnsi="仿宋" w:eastAsia="仿宋"/>
          <w:b w:val="0"/>
          <w:color w:val="auto"/>
          <w:highlight w:val="none"/>
        </w:rPr>
        <w:t>财</w:t>
      </w:r>
      <w:r>
        <w:rPr>
          <w:rStyle w:val="29"/>
          <w:rFonts w:hint="eastAsia" w:ascii="仿宋" w:hAnsi="仿宋" w:eastAsia="仿宋"/>
          <w:b w:val="0"/>
          <w:bCs w:val="0"/>
          <w:color w:val="auto"/>
          <w:highlight w:val="none"/>
        </w:rPr>
        <w:t>政拨款支出决算明细表</w:t>
      </w:r>
      <w:bookmarkEnd w:id="115"/>
      <w:bookmarkEnd w:id="116"/>
      <w:bookmarkStart w:id="117" w:name="_Toc15396624"/>
    </w:p>
    <w:p>
      <w:pPr>
        <w:pStyle w:val="4"/>
        <w:pageBreakBefore w:val="0"/>
        <w:kinsoku/>
        <w:wordWrap/>
        <w:overflowPunct/>
        <w:topLinePunct w:val="0"/>
        <w:bidi w:val="0"/>
        <w:spacing w:line="576" w:lineRule="exact"/>
        <w:textAlignment w:val="auto"/>
        <w:rPr>
          <w:rFonts w:ascii="仿宋" w:hAnsi="仿宋" w:eastAsia="仿宋"/>
          <w:color w:val="auto"/>
          <w:highlight w:val="none"/>
        </w:rPr>
      </w:pPr>
      <w:bookmarkStart w:id="118" w:name="_Toc5878"/>
      <w:r>
        <w:rPr>
          <w:rStyle w:val="29"/>
          <w:rFonts w:hint="eastAsia" w:ascii="仿宋" w:hAnsi="仿宋" w:eastAsia="仿宋"/>
          <w:b w:val="0"/>
          <w:bCs w:val="0"/>
          <w:color w:val="auto"/>
          <w:highlight w:val="none"/>
        </w:rPr>
        <w:t>六、</w:t>
      </w:r>
      <w:r>
        <w:rPr>
          <w:rFonts w:hint="eastAsia" w:ascii="仿宋" w:hAnsi="仿宋" w:eastAsia="仿宋"/>
          <w:b w:val="0"/>
          <w:color w:val="auto"/>
          <w:highlight w:val="none"/>
        </w:rPr>
        <w:t>一</w:t>
      </w:r>
      <w:r>
        <w:rPr>
          <w:rStyle w:val="29"/>
          <w:rFonts w:hint="eastAsia" w:ascii="仿宋" w:hAnsi="仿宋" w:eastAsia="仿宋"/>
          <w:b w:val="0"/>
          <w:bCs w:val="0"/>
          <w:color w:val="auto"/>
          <w:highlight w:val="none"/>
        </w:rPr>
        <w:t>般公共预算财政拨款支出决算表</w:t>
      </w:r>
      <w:bookmarkEnd w:id="117"/>
      <w:bookmarkEnd w:id="118"/>
    </w:p>
    <w:p>
      <w:pPr>
        <w:pStyle w:val="4"/>
        <w:pageBreakBefore w:val="0"/>
        <w:kinsoku/>
        <w:wordWrap/>
        <w:overflowPunct/>
        <w:topLinePunct w:val="0"/>
        <w:bidi w:val="0"/>
        <w:spacing w:line="576" w:lineRule="exact"/>
        <w:textAlignment w:val="auto"/>
        <w:rPr>
          <w:rFonts w:ascii="仿宋" w:hAnsi="仿宋" w:eastAsia="仿宋"/>
          <w:color w:val="auto"/>
          <w:highlight w:val="none"/>
        </w:rPr>
      </w:pPr>
      <w:bookmarkStart w:id="119" w:name="_Toc1584"/>
      <w:bookmarkStart w:id="120" w:name="_Toc15396625"/>
      <w:r>
        <w:rPr>
          <w:rStyle w:val="29"/>
          <w:rFonts w:hint="eastAsia" w:ascii="仿宋" w:hAnsi="仿宋" w:eastAsia="仿宋"/>
          <w:b w:val="0"/>
          <w:bCs w:val="0"/>
          <w:color w:val="auto"/>
          <w:highlight w:val="none"/>
        </w:rPr>
        <w:t>七、</w:t>
      </w:r>
      <w:r>
        <w:rPr>
          <w:rFonts w:hint="eastAsia" w:ascii="仿宋" w:hAnsi="仿宋" w:eastAsia="仿宋"/>
          <w:b w:val="0"/>
          <w:color w:val="auto"/>
          <w:highlight w:val="none"/>
        </w:rPr>
        <w:t>一</w:t>
      </w:r>
      <w:r>
        <w:rPr>
          <w:rStyle w:val="29"/>
          <w:rFonts w:hint="eastAsia" w:ascii="仿宋" w:hAnsi="仿宋" w:eastAsia="仿宋"/>
          <w:b w:val="0"/>
          <w:bCs w:val="0"/>
          <w:color w:val="auto"/>
          <w:highlight w:val="none"/>
        </w:rPr>
        <w:t>般公共预算财政拨款支出决算明细表</w:t>
      </w:r>
      <w:bookmarkEnd w:id="119"/>
      <w:bookmarkEnd w:id="120"/>
    </w:p>
    <w:p>
      <w:pPr>
        <w:pStyle w:val="4"/>
        <w:pageBreakBefore w:val="0"/>
        <w:kinsoku/>
        <w:wordWrap/>
        <w:overflowPunct/>
        <w:topLinePunct w:val="0"/>
        <w:bidi w:val="0"/>
        <w:spacing w:line="576" w:lineRule="exact"/>
        <w:textAlignment w:val="auto"/>
        <w:rPr>
          <w:rFonts w:ascii="仿宋" w:hAnsi="仿宋" w:eastAsia="仿宋"/>
          <w:color w:val="auto"/>
          <w:highlight w:val="none"/>
        </w:rPr>
      </w:pPr>
      <w:bookmarkStart w:id="121" w:name="_Toc26710"/>
      <w:bookmarkStart w:id="122" w:name="_Toc15396626"/>
      <w:r>
        <w:rPr>
          <w:rStyle w:val="29"/>
          <w:rFonts w:hint="eastAsia" w:ascii="仿宋" w:hAnsi="仿宋" w:eastAsia="仿宋"/>
          <w:b w:val="0"/>
          <w:bCs w:val="0"/>
          <w:color w:val="auto"/>
          <w:highlight w:val="none"/>
        </w:rPr>
        <w:t>八、</w:t>
      </w:r>
      <w:r>
        <w:rPr>
          <w:rFonts w:hint="eastAsia" w:ascii="仿宋" w:hAnsi="仿宋" w:eastAsia="仿宋"/>
          <w:b w:val="0"/>
          <w:color w:val="auto"/>
          <w:highlight w:val="none"/>
        </w:rPr>
        <w:t>一</w:t>
      </w:r>
      <w:r>
        <w:rPr>
          <w:rStyle w:val="29"/>
          <w:rFonts w:hint="eastAsia" w:ascii="仿宋" w:hAnsi="仿宋" w:eastAsia="仿宋"/>
          <w:b w:val="0"/>
          <w:bCs w:val="0"/>
          <w:color w:val="auto"/>
          <w:highlight w:val="none"/>
        </w:rPr>
        <w:t>般公共预算财政拨款基本支出决算表</w:t>
      </w:r>
      <w:bookmarkEnd w:id="121"/>
      <w:bookmarkEnd w:id="122"/>
    </w:p>
    <w:p>
      <w:pPr>
        <w:pStyle w:val="4"/>
        <w:pageBreakBefore w:val="0"/>
        <w:kinsoku/>
        <w:wordWrap/>
        <w:overflowPunct/>
        <w:topLinePunct w:val="0"/>
        <w:bidi w:val="0"/>
        <w:spacing w:line="576" w:lineRule="exact"/>
        <w:textAlignment w:val="auto"/>
        <w:rPr>
          <w:rFonts w:ascii="仿宋" w:hAnsi="仿宋" w:eastAsia="仿宋"/>
          <w:color w:val="auto"/>
          <w:highlight w:val="none"/>
        </w:rPr>
      </w:pPr>
      <w:bookmarkStart w:id="123" w:name="_Toc15396627"/>
      <w:bookmarkStart w:id="124" w:name="_Toc26709"/>
      <w:r>
        <w:rPr>
          <w:rStyle w:val="29"/>
          <w:rFonts w:hint="eastAsia" w:ascii="仿宋" w:hAnsi="仿宋" w:eastAsia="仿宋"/>
          <w:b w:val="0"/>
          <w:bCs w:val="0"/>
          <w:color w:val="auto"/>
          <w:highlight w:val="none"/>
        </w:rPr>
        <w:t>九、</w:t>
      </w:r>
      <w:r>
        <w:rPr>
          <w:rFonts w:hint="eastAsia" w:ascii="仿宋" w:hAnsi="仿宋" w:eastAsia="仿宋"/>
          <w:b w:val="0"/>
          <w:color w:val="auto"/>
          <w:highlight w:val="none"/>
        </w:rPr>
        <w:t>一</w:t>
      </w:r>
      <w:r>
        <w:rPr>
          <w:rStyle w:val="29"/>
          <w:rFonts w:hint="eastAsia" w:ascii="仿宋" w:hAnsi="仿宋" w:eastAsia="仿宋"/>
          <w:b w:val="0"/>
          <w:bCs w:val="0"/>
          <w:color w:val="auto"/>
          <w:highlight w:val="none"/>
        </w:rPr>
        <w:t>般公共预算财政拨款项目支出决算表</w:t>
      </w:r>
      <w:bookmarkEnd w:id="123"/>
      <w:bookmarkEnd w:id="124"/>
    </w:p>
    <w:p>
      <w:pPr>
        <w:pStyle w:val="4"/>
        <w:pageBreakBefore w:val="0"/>
        <w:kinsoku/>
        <w:wordWrap/>
        <w:overflowPunct/>
        <w:topLinePunct w:val="0"/>
        <w:bidi w:val="0"/>
        <w:spacing w:line="576" w:lineRule="exact"/>
        <w:textAlignment w:val="auto"/>
        <w:rPr>
          <w:rFonts w:ascii="仿宋" w:hAnsi="仿宋" w:eastAsia="仿宋"/>
          <w:color w:val="auto"/>
          <w:highlight w:val="none"/>
        </w:rPr>
      </w:pPr>
      <w:bookmarkStart w:id="125" w:name="_Toc15396628"/>
      <w:bookmarkStart w:id="126" w:name="_Toc4916"/>
      <w:r>
        <w:rPr>
          <w:rStyle w:val="29"/>
          <w:rFonts w:hint="eastAsia" w:ascii="仿宋" w:hAnsi="仿宋" w:eastAsia="仿宋"/>
          <w:b w:val="0"/>
          <w:bCs w:val="0"/>
          <w:color w:val="auto"/>
          <w:highlight w:val="none"/>
        </w:rPr>
        <w:t>十、</w:t>
      </w:r>
      <w:bookmarkEnd w:id="125"/>
      <w:r>
        <w:rPr>
          <w:rFonts w:hint="eastAsia" w:ascii="仿宋" w:hAnsi="仿宋" w:eastAsia="仿宋"/>
          <w:b w:val="0"/>
          <w:color w:val="auto"/>
          <w:highlight w:val="none"/>
        </w:rPr>
        <w:t>政</w:t>
      </w:r>
      <w:r>
        <w:rPr>
          <w:rStyle w:val="29"/>
          <w:rFonts w:hint="eastAsia" w:ascii="仿宋" w:hAnsi="仿宋" w:eastAsia="仿宋"/>
          <w:b w:val="0"/>
          <w:bCs w:val="0"/>
          <w:color w:val="auto"/>
          <w:highlight w:val="none"/>
        </w:rPr>
        <w:t>府性基金预算财政拨款收入支出决算表</w:t>
      </w:r>
      <w:bookmarkEnd w:id="126"/>
    </w:p>
    <w:p>
      <w:pPr>
        <w:pStyle w:val="4"/>
        <w:pageBreakBefore w:val="0"/>
        <w:kinsoku/>
        <w:wordWrap/>
        <w:overflowPunct/>
        <w:topLinePunct w:val="0"/>
        <w:bidi w:val="0"/>
        <w:spacing w:line="576" w:lineRule="exact"/>
        <w:textAlignment w:val="auto"/>
        <w:rPr>
          <w:rFonts w:ascii="仿宋" w:hAnsi="仿宋" w:eastAsia="仿宋"/>
          <w:color w:val="auto"/>
          <w:highlight w:val="none"/>
        </w:rPr>
      </w:pPr>
      <w:bookmarkStart w:id="127" w:name="_Toc15396629"/>
      <w:bookmarkStart w:id="128" w:name="_Toc30582"/>
      <w:r>
        <w:rPr>
          <w:rStyle w:val="29"/>
          <w:rFonts w:hint="eastAsia" w:ascii="仿宋" w:hAnsi="仿宋" w:eastAsia="仿宋"/>
          <w:b w:val="0"/>
          <w:bCs w:val="0"/>
          <w:color w:val="auto"/>
          <w:highlight w:val="none"/>
        </w:rPr>
        <w:t>十一、</w:t>
      </w:r>
      <w:bookmarkEnd w:id="127"/>
      <w:r>
        <w:rPr>
          <w:rFonts w:hint="eastAsia" w:ascii="仿宋" w:hAnsi="仿宋" w:eastAsia="仿宋"/>
          <w:b w:val="0"/>
          <w:color w:val="auto"/>
          <w:highlight w:val="none"/>
        </w:rPr>
        <w:t>国</w:t>
      </w:r>
      <w:r>
        <w:rPr>
          <w:rStyle w:val="29"/>
          <w:rFonts w:hint="eastAsia" w:ascii="仿宋" w:hAnsi="仿宋" w:eastAsia="仿宋"/>
          <w:b w:val="0"/>
          <w:bCs w:val="0"/>
          <w:color w:val="auto"/>
          <w:highlight w:val="none"/>
        </w:rPr>
        <w:t>有资本经营预算</w:t>
      </w:r>
      <w:r>
        <w:rPr>
          <w:rStyle w:val="29"/>
          <w:rFonts w:hint="eastAsia" w:ascii="仿宋" w:hAnsi="仿宋" w:eastAsia="仿宋"/>
          <w:b w:val="0"/>
          <w:bCs w:val="0"/>
          <w:color w:val="auto"/>
          <w:highlight w:val="none"/>
          <w:lang w:eastAsia="zh-CN"/>
        </w:rPr>
        <w:t>财政拨款收入</w:t>
      </w:r>
      <w:r>
        <w:rPr>
          <w:rStyle w:val="29"/>
          <w:rFonts w:hint="eastAsia" w:ascii="仿宋" w:hAnsi="仿宋" w:eastAsia="仿宋"/>
          <w:b w:val="0"/>
          <w:bCs w:val="0"/>
          <w:color w:val="auto"/>
          <w:highlight w:val="none"/>
        </w:rPr>
        <w:t>支出决算表</w:t>
      </w:r>
      <w:bookmarkEnd w:id="128"/>
    </w:p>
    <w:p>
      <w:pPr>
        <w:pStyle w:val="4"/>
        <w:pageBreakBefore w:val="0"/>
        <w:kinsoku/>
        <w:wordWrap/>
        <w:overflowPunct/>
        <w:topLinePunct w:val="0"/>
        <w:bidi w:val="0"/>
        <w:spacing w:line="576" w:lineRule="exact"/>
        <w:textAlignment w:val="auto"/>
        <w:rPr>
          <w:rFonts w:ascii="仿宋" w:hAnsi="仿宋" w:eastAsia="仿宋"/>
          <w:color w:val="auto"/>
          <w:highlight w:val="none"/>
        </w:rPr>
      </w:pPr>
      <w:bookmarkStart w:id="129" w:name="_Toc15396630"/>
      <w:bookmarkStart w:id="130" w:name="_Toc11200"/>
      <w:r>
        <w:rPr>
          <w:rStyle w:val="29"/>
          <w:rFonts w:hint="eastAsia" w:ascii="仿宋" w:hAnsi="仿宋" w:eastAsia="仿宋"/>
          <w:b w:val="0"/>
          <w:bCs w:val="0"/>
          <w:color w:val="auto"/>
          <w:highlight w:val="none"/>
        </w:rPr>
        <w:t>十二、</w:t>
      </w:r>
      <w:bookmarkEnd w:id="129"/>
      <w:r>
        <w:rPr>
          <w:rStyle w:val="29"/>
          <w:rFonts w:hint="eastAsia" w:ascii="仿宋" w:hAnsi="仿宋" w:eastAsia="仿宋"/>
          <w:b w:val="0"/>
          <w:bCs w:val="0"/>
          <w:color w:val="auto"/>
          <w:highlight w:val="none"/>
          <w:lang w:eastAsia="zh-CN"/>
        </w:rPr>
        <w:t>国有资本经营预算财政拨款支出决算表</w:t>
      </w:r>
      <w:bookmarkEnd w:id="130"/>
    </w:p>
    <w:p>
      <w:pPr>
        <w:pStyle w:val="4"/>
        <w:pageBreakBefore w:val="0"/>
        <w:kinsoku/>
        <w:wordWrap/>
        <w:overflowPunct/>
        <w:topLinePunct w:val="0"/>
        <w:bidi w:val="0"/>
        <w:spacing w:line="576" w:lineRule="exact"/>
        <w:textAlignment w:val="auto"/>
        <w:rPr>
          <w:rFonts w:hint="eastAsia" w:eastAsia="仿宋"/>
          <w:color w:val="auto"/>
          <w:highlight w:val="none"/>
          <w:lang w:eastAsia="zh-CN"/>
        </w:rPr>
      </w:pPr>
      <w:bookmarkStart w:id="131" w:name="_Toc15396631"/>
      <w:bookmarkStart w:id="132" w:name="_Toc31906"/>
      <w:r>
        <w:rPr>
          <w:rStyle w:val="29"/>
          <w:rFonts w:hint="eastAsia" w:ascii="仿宋" w:hAnsi="仿宋" w:eastAsia="仿宋"/>
          <w:b w:val="0"/>
          <w:bCs w:val="0"/>
          <w:color w:val="auto"/>
          <w:highlight w:val="none"/>
        </w:rPr>
        <w:t>十三、</w:t>
      </w:r>
      <w:bookmarkEnd w:id="131"/>
      <w:r>
        <w:rPr>
          <w:rStyle w:val="29"/>
          <w:rFonts w:hint="eastAsia" w:ascii="仿宋" w:hAnsi="仿宋" w:eastAsia="仿宋"/>
          <w:b w:val="0"/>
          <w:bCs w:val="0"/>
          <w:color w:val="auto"/>
          <w:highlight w:val="none"/>
          <w:lang w:eastAsia="zh-CN"/>
        </w:rPr>
        <w:t>财政拨款“三公”经费支出决算表</w:t>
      </w:r>
      <w:bookmarkEnd w:id="132"/>
    </w:p>
    <w:sectPr>
      <w:pgSz w:w="11906" w:h="16838"/>
      <w:pgMar w:top="1984" w:right="1474" w:bottom="1871" w:left="1587" w:header="851" w:footer="992" w:gutter="0"/>
      <w:pgNumType w:fmt="decimal"/>
      <w:cols w:space="0" w:num="1"/>
      <w:titlePg/>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7C7CB12D-3B2E-4E12-90CC-D0E600E3F126}"/>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9B37AB5F-477D-4C5F-AAC0-DE97EE661B98}"/>
  </w:font>
  <w:font w:name="Cambria">
    <w:panose1 w:val="02040503050406030204"/>
    <w:charset w:val="00"/>
    <w:family w:val="roman"/>
    <w:pitch w:val="default"/>
    <w:sig w:usb0="E00006FF" w:usb1="420024FF" w:usb2="02000000" w:usb3="00000000" w:csb0="2000019F" w:csb1="00000000"/>
    <w:embedRegular r:id="rId3" w:fontKey="{587ABA21-C827-4B69-B57E-4A98690626EC}"/>
  </w:font>
  <w:font w:name="仿宋">
    <w:panose1 w:val="02010609060101010101"/>
    <w:charset w:val="86"/>
    <w:family w:val="modern"/>
    <w:pitch w:val="default"/>
    <w:sig w:usb0="800002BF" w:usb1="38CF7CFA" w:usb2="00000016" w:usb3="00000000" w:csb0="00040001" w:csb1="00000000"/>
    <w:embedRegular r:id="rId4" w:fontKey="{D839362E-B982-4E80-AA04-309B64626171}"/>
  </w:font>
  <w:font w:name="仿宋_GB2312">
    <w:panose1 w:val="02010609030101010101"/>
    <w:charset w:val="86"/>
    <w:family w:val="modern"/>
    <w:pitch w:val="default"/>
    <w:sig w:usb0="00000001" w:usb1="080E0000" w:usb2="00000000" w:usb3="00000000" w:csb0="00040000" w:csb1="00000000"/>
    <w:embedRegular r:id="rId5" w:fontKey="{C6116AD5-2C5C-44F5-BF4D-2D88FD271B15}"/>
  </w:font>
  <w:font w:name="??">
    <w:altName w:val="Times New Roman"/>
    <w:panose1 w:val="00000000000000000000"/>
    <w:charset w:val="00"/>
    <w:family w:val="roman"/>
    <w:pitch w:val="default"/>
    <w:sig w:usb0="00000000" w:usb1="00000000" w:usb2="00000000" w:usb3="00000000" w:csb0="00000000" w:csb1="00000000"/>
  </w:font>
  <w:font w:name="微软雅黑">
    <w:panose1 w:val="020B0503020204020204"/>
    <w:charset w:val="86"/>
    <w:family w:val="auto"/>
    <w:pitch w:val="default"/>
    <w:sig w:usb0="80000287" w:usb1="2ACF3C50" w:usb2="00000016" w:usb3="00000000" w:csb0="0004001F" w:csb1="00000000"/>
    <w:embedRegular r:id="rId6" w:fontKey="{4359B901-11C3-4194-96BF-DFFA4B795BD1}"/>
  </w:font>
  <w:font w:name="方正小标宋简体">
    <w:altName w:val="Arial Unicode MS"/>
    <w:panose1 w:val="02010601030101010101"/>
    <w:charset w:val="86"/>
    <w:family w:val="auto"/>
    <w:pitch w:val="default"/>
    <w:sig w:usb0="00000000" w:usb1="00000000" w:usb2="00000000" w:usb3="00000000" w:csb0="00040000" w:csb1="00000000"/>
    <w:embedRegular r:id="rId7" w:fontKey="{E2CAFE72-A291-4454-88C6-98765D9E0F4B}"/>
  </w:font>
  <w:font w:name="楷体_GB2312">
    <w:panose1 w:val="02010609030101010101"/>
    <w:charset w:val="86"/>
    <w:family w:val="auto"/>
    <w:pitch w:val="default"/>
    <w:sig w:usb0="00000001" w:usb1="080E0000" w:usb2="00000000" w:usb3="00000000" w:csb0="00040000" w:csb1="00000000"/>
    <w:embedRegular r:id="rId8" w:fontKey="{DAE3EF4A-217E-4320-965F-AF59D5B69F05}"/>
  </w:font>
  <w:font w:name="方正粗黑宋简体">
    <w:panose1 w:val="02000000000000000000"/>
    <w:charset w:val="86"/>
    <w:family w:val="auto"/>
    <w:pitch w:val="default"/>
    <w:sig w:usb0="A00002BF" w:usb1="184F6CFA" w:usb2="00000012" w:usb3="00000000" w:csb0="00040001" w:csb1="00000000"/>
    <w:embedRegular r:id="rId9" w:fontKey="{082F1979-C418-42D0-BDB7-A995AFC91F9B}"/>
  </w:font>
  <w:font w:name="Arial Unicode MS">
    <w:panose1 w:val="020B0604020202020204"/>
    <w:charset w:val="86"/>
    <w:family w:val="auto"/>
    <w:pitch w:val="default"/>
    <w:sig w:usb0="FFFFFFFF" w:usb1="E9FFFFFF"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center"/>
    </w:pPr>
  </w:p>
  <w:p>
    <w:pPr>
      <w:pStyle w:val="11"/>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center"/>
    </w:pPr>
    <w:r>
      <w:rPr>
        <w:sz w:val="18"/>
      </w:rP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994781956"/>
                          </w:sdtPr>
                          <w:sdtContent>
                            <w:p>
                              <w:pPr>
                                <w:pStyle w:val="11"/>
                                <w:jc w:val="center"/>
                              </w:pPr>
                              <w:r>
                                <w:fldChar w:fldCharType="begin"/>
                              </w:r>
                              <w:r>
                                <w:instrText xml:space="preserve">PAGE   \* MERGEFORMAT</w:instrText>
                              </w:r>
                              <w:r>
                                <w:fldChar w:fldCharType="separate"/>
                              </w:r>
                              <w:r>
                                <w:rPr>
                                  <w:lang w:val="zh-CN"/>
                                </w:rPr>
                                <w:t>8</w:t>
                              </w:r>
                              <w:r>
                                <w:fldChar w:fldCharType="end"/>
                              </w:r>
                            </w:p>
                          </w:sdtContent>
                        </w:sdt>
                        <w:p>
                          <w:pPr>
                            <w:pStyle w:val="6"/>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OJUQ0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6/ejt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OJUQ0zAgAAYwQAAA4AAAAAAAAAAQAgAAAAHwEAAGRycy9lMm9Eb2MueG1sUEsF&#10;BgAAAAAGAAYAWQEAAMQFAAAAAA==&#10;">
              <v:fill on="f" focussize="0,0"/>
              <v:stroke on="f" weight="0.5pt"/>
              <v:imagedata o:title=""/>
              <o:lock v:ext="edit" aspectratio="f"/>
              <v:textbox inset="0mm,0mm,0mm,0mm" style="mso-fit-shape-to-text:t;">
                <w:txbxContent>
                  <w:sdt>
                    <w:sdtPr>
                      <w:id w:val="-1994781956"/>
                    </w:sdtPr>
                    <w:sdtContent>
                      <w:p>
                        <w:pPr>
                          <w:pStyle w:val="11"/>
                          <w:jc w:val="center"/>
                        </w:pPr>
                        <w:r>
                          <w:fldChar w:fldCharType="begin"/>
                        </w:r>
                        <w:r>
                          <w:instrText xml:space="preserve">PAGE   \* MERGEFORMAT</w:instrText>
                        </w:r>
                        <w:r>
                          <w:fldChar w:fldCharType="separate"/>
                        </w:r>
                        <w:r>
                          <w:rPr>
                            <w:lang w:val="zh-CN"/>
                          </w:rPr>
                          <w:t>8</w:t>
                        </w:r>
                        <w:r>
                          <w:fldChar w:fldCharType="end"/>
                        </w:r>
                      </w:p>
                    </w:sdtContent>
                  </w:sdt>
                  <w:p>
                    <w:pPr>
                      <w:pStyle w:val="6"/>
                    </w:pPr>
                  </w:p>
                </w:txbxContent>
              </v:textbox>
            </v:shape>
          </w:pict>
        </mc:Fallback>
      </mc:AlternateContent>
    </w:r>
  </w:p>
  <w:p>
    <w:pPr>
      <w:pStyle w:val="11"/>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w:rPr>
        <w:sz w:val="18"/>
      </w:rP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7aJO4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GEsM0Kn768f30&#10;8+H06xvBGQRqXJgh7t4hMrbvbIu2Gc4DDhPvtvI6fcGIwA95jxd5RRsJT5emk+k0h4vDN2yAnz1e&#10;dz7E98JqkoyCetSvk5UdNiH2oUNIymbsWirV1VAZ0hT06vX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7aJO4zAgAAYwQAAA4AAAAAAAAAAQAgAAAAHwEAAGRycy9lMm9Eb2MueG1sUEsF&#10;BgAAAAAGAAYAWQEAAMQFAAAAAA==&#10;">
              <v:fill on="f" focussize="0,0"/>
              <v:stroke on="f" weight="0.5pt"/>
              <v:imagedata o:title=""/>
              <o:lock v:ext="edit" aspectratio="f"/>
              <v:textbox inset="0mm,0mm,0mm,0mm" style="mso-fit-shape-to-text:t;">
                <w:txbxContent>
                  <w:p>
                    <w:pPr>
                      <w:pStyle w:val="11"/>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center"/>
    </w:pPr>
    <w:r>
      <w:rPr>
        <w:sz w:val="18"/>
      </w:rP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994781956"/>
                          </w:sdtPr>
                          <w:sdtContent>
                            <w:p>
                              <w:pPr>
                                <w:pStyle w:val="11"/>
                                <w:jc w:val="center"/>
                              </w:pPr>
                              <w:r>
                                <w:fldChar w:fldCharType="begin"/>
                              </w:r>
                              <w:r>
                                <w:instrText xml:space="preserve">PAGE   \* MERGEFORMAT</w:instrText>
                              </w:r>
                              <w:r>
                                <w:fldChar w:fldCharType="separate"/>
                              </w:r>
                              <w:r>
                                <w:rPr>
                                  <w:lang w:val="zh-CN"/>
                                </w:rPr>
                                <w:t>8</w:t>
                              </w:r>
                              <w:r>
                                <w:fldChar w:fldCharType="end"/>
                              </w:r>
                            </w:p>
                          </w:sdtContent>
                        </w:sdt>
                        <w:p>
                          <w:pPr>
                            <w:pStyle w:val="6"/>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sdt>
                    <w:sdtPr>
                      <w:id w:val="-1994781956"/>
                    </w:sdtPr>
                    <w:sdtContent>
                      <w:p>
                        <w:pPr>
                          <w:pStyle w:val="11"/>
                          <w:jc w:val="center"/>
                        </w:pPr>
                        <w:r>
                          <w:fldChar w:fldCharType="begin"/>
                        </w:r>
                        <w:r>
                          <w:instrText xml:space="preserve">PAGE   \* MERGEFORMAT</w:instrText>
                        </w:r>
                        <w:r>
                          <w:fldChar w:fldCharType="separate"/>
                        </w:r>
                        <w:r>
                          <w:rPr>
                            <w:lang w:val="zh-CN"/>
                          </w:rPr>
                          <w:t>8</w:t>
                        </w:r>
                        <w:r>
                          <w:fldChar w:fldCharType="end"/>
                        </w:r>
                      </w:p>
                    </w:sdtContent>
                  </w:sdt>
                  <w:p>
                    <w:pPr>
                      <w:pStyle w:val="6"/>
                    </w:pPr>
                  </w:p>
                </w:txbxContent>
              </v:textbox>
            </v:shape>
          </w:pict>
        </mc:Fallback>
      </mc:AlternateContent>
    </w:r>
  </w:p>
  <w:p>
    <w:pPr>
      <w:pStyle w:val="11"/>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w:rPr>
        <w:sz w:val="18"/>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pPr>
                      <w:pStyle w:val="11"/>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cente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994781956"/>
                          </w:sdtPr>
                          <w:sdtContent>
                            <w:p>
                              <w:pPr>
                                <w:pStyle w:val="11"/>
                                <w:jc w:val="center"/>
                              </w:pPr>
                              <w:r>
                                <w:fldChar w:fldCharType="begin"/>
                              </w:r>
                              <w:r>
                                <w:instrText xml:space="preserve">PAGE   \* MERGEFORMAT</w:instrText>
                              </w:r>
                              <w:r>
                                <w:fldChar w:fldCharType="separate"/>
                              </w:r>
                              <w:r>
                                <w:rPr>
                                  <w:lang w:val="zh-CN"/>
                                </w:rPr>
                                <w:t>8</w:t>
                              </w:r>
                              <w:r>
                                <w:fldChar w:fldCharType="end"/>
                              </w:r>
                            </w:p>
                          </w:sdtContent>
                        </w:sdt>
                        <w:p>
                          <w:pPr>
                            <w:pStyle w:val="6"/>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T72nYy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pPvadjICAABjBAAADgAAAAAAAAABACAAAAAfAQAAZHJzL2Uyb0RvYy54bWxQSwUG&#10;AAAAAAYABgBZAQAAwwUAAAAA&#10;">
              <v:fill on="f" focussize="0,0"/>
              <v:stroke on="f" weight="0.5pt"/>
              <v:imagedata o:title=""/>
              <o:lock v:ext="edit" aspectratio="f"/>
              <v:textbox inset="0mm,0mm,0mm,0mm" style="mso-fit-shape-to-text:t;">
                <w:txbxContent>
                  <w:sdt>
                    <w:sdtPr>
                      <w:id w:val="-1994781956"/>
                    </w:sdtPr>
                    <w:sdtContent>
                      <w:p>
                        <w:pPr>
                          <w:pStyle w:val="11"/>
                          <w:jc w:val="center"/>
                        </w:pPr>
                        <w:r>
                          <w:fldChar w:fldCharType="begin"/>
                        </w:r>
                        <w:r>
                          <w:instrText xml:space="preserve">PAGE   \* MERGEFORMAT</w:instrText>
                        </w:r>
                        <w:r>
                          <w:fldChar w:fldCharType="separate"/>
                        </w:r>
                        <w:r>
                          <w:rPr>
                            <w:lang w:val="zh-CN"/>
                          </w:rPr>
                          <w:t>8</w:t>
                        </w:r>
                        <w:r>
                          <w:fldChar w:fldCharType="end"/>
                        </w:r>
                      </w:p>
                    </w:sdtContent>
                  </w:sdt>
                  <w:p>
                    <w:pPr>
                      <w:pStyle w:val="6"/>
                    </w:pPr>
                  </w:p>
                </w:txbxContent>
              </v:textbox>
            </v:shape>
          </w:pict>
        </mc:Fallback>
      </mc:AlternateContent>
    </w:r>
  </w:p>
  <w:p>
    <w:pPr>
      <w:pStyle w:val="11"/>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3z1oQ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989aEMQIAAGMEAAAOAAAAAAAAAAEAIAAAAB8BAABkcnMvZTJvRG9jLnhtbFBLBQYA&#10;AAAABgAGAFkBAADCBQAAAAA=&#10;">
              <v:fill on="f" focussize="0,0"/>
              <v:stroke on="f" weight="0.5pt"/>
              <v:imagedata o:title=""/>
              <o:lock v:ext="edit" aspectratio="f"/>
              <v:textbox inset="0mm,0mm,0mm,0mm" style="mso-fit-shape-to-text:t;">
                <w:txbxContent>
                  <w:p>
                    <w:pPr>
                      <w:pStyle w:val="11"/>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center"/>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994781956"/>
                          </w:sdtPr>
                          <w:sdtContent>
                            <w:p>
                              <w:pPr>
                                <w:pStyle w:val="11"/>
                                <w:jc w:val="center"/>
                              </w:pPr>
                              <w:r>
                                <w:fldChar w:fldCharType="begin"/>
                              </w:r>
                              <w:r>
                                <w:instrText xml:space="preserve">PAGE   \* MERGEFORMAT</w:instrText>
                              </w:r>
                              <w:r>
                                <w:fldChar w:fldCharType="separate"/>
                              </w:r>
                              <w:r>
                                <w:rPr>
                                  <w:lang w:val="zh-CN"/>
                                </w:rPr>
                                <w:t>8</w:t>
                              </w:r>
                              <w:r>
                                <w:fldChar w:fldCharType="end"/>
                              </w:r>
                            </w:p>
                          </w:sdtContent>
                        </w:sdt>
                        <w:p>
                          <w:pPr>
                            <w:pStyle w:val="6"/>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9bQWsy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tBazICAABjBAAADgAAAAAAAAABACAAAAAfAQAAZHJzL2Uyb0RvYy54bWxQSwUG&#10;AAAAAAYABgBZAQAAwwUAAAAA&#10;">
              <v:fill on="f" focussize="0,0"/>
              <v:stroke on="f" weight="0.5pt"/>
              <v:imagedata o:title=""/>
              <o:lock v:ext="edit" aspectratio="f"/>
              <v:textbox inset="0mm,0mm,0mm,0mm" style="mso-fit-shape-to-text:t;">
                <w:txbxContent>
                  <w:sdt>
                    <w:sdtPr>
                      <w:id w:val="-1994781956"/>
                    </w:sdtPr>
                    <w:sdtContent>
                      <w:p>
                        <w:pPr>
                          <w:pStyle w:val="11"/>
                          <w:jc w:val="center"/>
                        </w:pPr>
                        <w:r>
                          <w:fldChar w:fldCharType="begin"/>
                        </w:r>
                        <w:r>
                          <w:instrText xml:space="preserve">PAGE   \* MERGEFORMAT</w:instrText>
                        </w:r>
                        <w:r>
                          <w:fldChar w:fldCharType="separate"/>
                        </w:r>
                        <w:r>
                          <w:rPr>
                            <w:lang w:val="zh-CN"/>
                          </w:rPr>
                          <w:t>8</w:t>
                        </w:r>
                        <w:r>
                          <w:fldChar w:fldCharType="end"/>
                        </w:r>
                      </w:p>
                    </w:sdtContent>
                  </w:sdt>
                  <w:p>
                    <w:pPr>
                      <w:pStyle w:val="6"/>
                    </w:pPr>
                  </w:p>
                </w:txbxContent>
              </v:textbox>
            </v:shape>
          </w:pict>
        </mc:Fallback>
      </mc:AlternateContent>
    </w:r>
  </w:p>
  <w:p>
    <w:pPr>
      <w:pStyle w:val="11"/>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w:rPr>
        <w:sz w:val="1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R3mOY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HeY5jICAABjBAAADgAAAAAAAAABACAAAAAfAQAAZHJzL2Uyb0RvYy54bWxQSwUG&#10;AAAAAAYABgBZAQAAwwUAAAAA&#10;">
              <v:fill on="f" focussize="0,0"/>
              <v:stroke on="f" weight="0.5pt"/>
              <v:imagedata o:title=""/>
              <o:lock v:ext="edit" aspectratio="f"/>
              <v:textbox inset="0mm,0mm,0mm,0mm" style="mso-fit-shape-to-text:t;">
                <w:txbxContent>
                  <w:p>
                    <w:pPr>
                      <w:pStyle w:val="11"/>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center"/>
    </w:pPr>
    <w:r>
      <w:rPr>
        <w:sz w:val="18"/>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994781956"/>
                          </w:sdtPr>
                          <w:sdtContent>
                            <w:p>
                              <w:pPr>
                                <w:pStyle w:val="11"/>
                                <w:jc w:val="center"/>
                              </w:pPr>
                              <w:r>
                                <w:fldChar w:fldCharType="begin"/>
                              </w:r>
                              <w:r>
                                <w:instrText xml:space="preserve">PAGE   \* MERGEFORMAT</w:instrText>
                              </w:r>
                              <w:r>
                                <w:fldChar w:fldCharType="separate"/>
                              </w:r>
                              <w:r>
                                <w:rPr>
                                  <w:lang w:val="zh-CN"/>
                                </w:rPr>
                                <w:t>8</w:t>
                              </w:r>
                              <w:r>
                                <w:fldChar w:fldCharType="end"/>
                              </w:r>
                            </w:p>
                          </w:sdtContent>
                        </w:sdt>
                        <w:p>
                          <w:pPr>
                            <w:pStyle w:val="6"/>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bfDwky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t8PCTICAABjBAAADgAAAAAAAAABACAAAAAfAQAAZHJzL2Uyb0RvYy54bWxQSwUG&#10;AAAAAAYABgBZAQAAwwUAAAAA&#10;">
              <v:fill on="f" focussize="0,0"/>
              <v:stroke on="f" weight="0.5pt"/>
              <v:imagedata o:title=""/>
              <o:lock v:ext="edit" aspectratio="f"/>
              <v:textbox inset="0mm,0mm,0mm,0mm" style="mso-fit-shape-to-text:t;">
                <w:txbxContent>
                  <w:sdt>
                    <w:sdtPr>
                      <w:id w:val="-1994781956"/>
                    </w:sdtPr>
                    <w:sdtContent>
                      <w:p>
                        <w:pPr>
                          <w:pStyle w:val="11"/>
                          <w:jc w:val="center"/>
                        </w:pPr>
                        <w:r>
                          <w:fldChar w:fldCharType="begin"/>
                        </w:r>
                        <w:r>
                          <w:instrText xml:space="preserve">PAGE   \* MERGEFORMAT</w:instrText>
                        </w:r>
                        <w:r>
                          <w:fldChar w:fldCharType="separate"/>
                        </w:r>
                        <w:r>
                          <w:rPr>
                            <w:lang w:val="zh-CN"/>
                          </w:rPr>
                          <w:t>8</w:t>
                        </w:r>
                        <w:r>
                          <w:fldChar w:fldCharType="end"/>
                        </w:r>
                      </w:p>
                    </w:sdtContent>
                  </w:sdt>
                  <w:p>
                    <w:pPr>
                      <w:pStyle w:val="6"/>
                    </w:pPr>
                  </w:p>
                </w:txbxContent>
              </v:textbox>
            </v:shape>
          </w:pict>
        </mc:Fallback>
      </mc:AlternateContent>
    </w:r>
  </w:p>
  <w:p>
    <w:pPr>
      <w:pStyle w:val="11"/>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w:rPr>
        <w:sz w:val="18"/>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EhxuI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ESHG4jICAABjBAAADgAAAAAAAAABACAAAAAfAQAAZHJzL2Uyb0RvYy54bWxQSwUG&#10;AAAAAAYABgBZAQAAwwUAAAAA&#10;">
              <v:fill on="f" focussize="0,0"/>
              <v:stroke on="f" weight="0.5pt"/>
              <v:imagedata o:title=""/>
              <o:lock v:ext="edit" aspectratio="f"/>
              <v:textbox inset="0mm,0mm,0mm,0mm" style="mso-fit-shape-to-text:t;">
                <w:txbxContent>
                  <w:p>
                    <w:pPr>
                      <w:pStyle w:val="11"/>
                    </w:pPr>
                    <w:r>
                      <w:fldChar w:fldCharType="begin"/>
                    </w:r>
                    <w:r>
                      <w:instrText xml:space="preserve"> PAGE  \* MERGEFORMAT </w:instrText>
                    </w:r>
                    <w:r>
                      <w:fldChar w:fldCharType="separate"/>
                    </w:r>
                    <w:r>
                      <w:t>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9088300"/>
    <w:multiLevelType w:val="singleLevel"/>
    <w:tmpl w:val="89088300"/>
    <w:lvl w:ilvl="0" w:tentative="0">
      <w:start w:val="1"/>
      <w:numFmt w:val="chineseCounting"/>
      <w:suff w:val="nothing"/>
      <w:lvlText w:val="（%1）"/>
      <w:lvlJc w:val="left"/>
      <w:rPr>
        <w:rFonts w:hint="eastAsia"/>
      </w:rPr>
    </w:lvl>
  </w:abstractNum>
  <w:abstractNum w:abstractNumId="1">
    <w:nsid w:val="BB602194"/>
    <w:multiLevelType w:val="singleLevel"/>
    <w:tmpl w:val="BB602194"/>
    <w:lvl w:ilvl="0" w:tentative="0">
      <w:start w:val="2"/>
      <w:numFmt w:val="chineseCounting"/>
      <w:suff w:val="nothing"/>
      <w:lvlText w:val="（%1）"/>
      <w:lvlJc w:val="left"/>
      <w:rPr>
        <w:rFonts w:hint="eastAsia"/>
      </w:rPr>
    </w:lvl>
  </w:abstractNum>
  <w:abstractNum w:abstractNumId="2">
    <w:nsid w:val="CF652CEC"/>
    <w:multiLevelType w:val="singleLevel"/>
    <w:tmpl w:val="CF652CEC"/>
    <w:lvl w:ilvl="0" w:tentative="0">
      <w:start w:val="9"/>
      <w:numFmt w:val="chineseCounting"/>
      <w:suff w:val="nothing"/>
      <w:lvlText w:val="%1、"/>
      <w:lvlJc w:val="left"/>
      <w:rPr>
        <w:rFonts w:hint="eastAsia"/>
      </w:rPr>
    </w:lvl>
  </w:abstractNum>
  <w:abstractNum w:abstractNumId="3">
    <w:nsid w:val="D3CCFDC4"/>
    <w:multiLevelType w:val="singleLevel"/>
    <w:tmpl w:val="D3CCFDC4"/>
    <w:lvl w:ilvl="0" w:tentative="0">
      <w:start w:val="2"/>
      <w:numFmt w:val="chineseCounting"/>
      <w:suff w:val="nothing"/>
      <w:lvlText w:val="（%1）"/>
      <w:lvlJc w:val="left"/>
      <w:rPr>
        <w:rFonts w:hint="eastAsia"/>
      </w:rPr>
    </w:lvl>
  </w:abstractNum>
  <w:abstractNum w:abstractNumId="4">
    <w:nsid w:val="D6D39AF2"/>
    <w:multiLevelType w:val="singleLevel"/>
    <w:tmpl w:val="D6D39AF2"/>
    <w:lvl w:ilvl="0" w:tentative="0">
      <w:start w:val="1"/>
      <w:numFmt w:val="chineseCounting"/>
      <w:suff w:val="nothing"/>
      <w:lvlText w:val="（%1）"/>
      <w:lvlJc w:val="left"/>
      <w:rPr>
        <w:rFonts w:hint="eastAsia"/>
      </w:rPr>
    </w:lvl>
  </w:abstractNum>
  <w:abstractNum w:abstractNumId="5">
    <w:nsid w:val="DEBEF323"/>
    <w:multiLevelType w:val="singleLevel"/>
    <w:tmpl w:val="DEBEF323"/>
    <w:lvl w:ilvl="0" w:tentative="0">
      <w:start w:val="4"/>
      <w:numFmt w:val="chineseCounting"/>
      <w:suff w:val="nothing"/>
      <w:lvlText w:val="（%1）"/>
      <w:lvlJc w:val="left"/>
      <w:rPr>
        <w:rFonts w:hint="eastAsia"/>
      </w:rPr>
    </w:lvl>
  </w:abstractNum>
  <w:abstractNum w:abstractNumId="6">
    <w:nsid w:val="E2FA047D"/>
    <w:multiLevelType w:val="singleLevel"/>
    <w:tmpl w:val="E2FA047D"/>
    <w:lvl w:ilvl="0" w:tentative="0">
      <w:start w:val="3"/>
      <w:numFmt w:val="chineseCounting"/>
      <w:suff w:val="space"/>
      <w:lvlText w:val="第%1部分"/>
      <w:lvlJc w:val="left"/>
      <w:rPr>
        <w:rFonts w:hint="eastAsia"/>
      </w:rPr>
    </w:lvl>
  </w:abstractNum>
  <w:abstractNum w:abstractNumId="7">
    <w:nsid w:val="FFF674BC"/>
    <w:multiLevelType w:val="singleLevel"/>
    <w:tmpl w:val="FFF674BC"/>
    <w:lvl w:ilvl="0" w:tentative="0">
      <w:start w:val="1"/>
      <w:numFmt w:val="chineseCounting"/>
      <w:suff w:val="nothing"/>
      <w:lvlText w:val="%1、"/>
      <w:lvlJc w:val="left"/>
      <w:rPr>
        <w:rFonts w:hint="eastAsia"/>
      </w:rPr>
    </w:lvl>
  </w:abstractNum>
  <w:abstractNum w:abstractNumId="8">
    <w:nsid w:val="1272550B"/>
    <w:multiLevelType w:val="multilevel"/>
    <w:tmpl w:val="1272550B"/>
    <w:lvl w:ilvl="0" w:tentative="0">
      <w:start w:val="1"/>
      <w:numFmt w:val="japaneseCounting"/>
      <w:lvlText w:val="%1、"/>
      <w:lvlJc w:val="left"/>
      <w:pPr>
        <w:ind w:left="1360" w:hanging="720"/>
      </w:pPr>
      <w:rPr>
        <w:rFonts w:hint="default"/>
        <w:b w:val="0"/>
      </w:rPr>
    </w:lvl>
    <w:lvl w:ilvl="1" w:tentative="0">
      <w:start w:val="1"/>
      <w:numFmt w:val="lowerLetter"/>
      <w:lvlText w:val="%2)"/>
      <w:lvlJc w:val="left"/>
      <w:pPr>
        <w:ind w:left="1480" w:hanging="420"/>
      </w:pPr>
    </w:lvl>
    <w:lvl w:ilvl="2" w:tentative="0">
      <w:start w:val="1"/>
      <w:numFmt w:val="lowerRoman"/>
      <w:lvlText w:val="%3."/>
      <w:lvlJc w:val="right"/>
      <w:pPr>
        <w:ind w:left="1900" w:hanging="420"/>
      </w:pPr>
    </w:lvl>
    <w:lvl w:ilvl="3" w:tentative="0">
      <w:start w:val="1"/>
      <w:numFmt w:val="decimal"/>
      <w:lvlText w:val="%4."/>
      <w:lvlJc w:val="left"/>
      <w:pPr>
        <w:ind w:left="2320" w:hanging="420"/>
      </w:pPr>
    </w:lvl>
    <w:lvl w:ilvl="4" w:tentative="0">
      <w:start w:val="1"/>
      <w:numFmt w:val="lowerLetter"/>
      <w:lvlText w:val="%5)"/>
      <w:lvlJc w:val="left"/>
      <w:pPr>
        <w:ind w:left="2740" w:hanging="420"/>
      </w:pPr>
    </w:lvl>
    <w:lvl w:ilvl="5" w:tentative="0">
      <w:start w:val="1"/>
      <w:numFmt w:val="lowerRoman"/>
      <w:lvlText w:val="%6."/>
      <w:lvlJc w:val="right"/>
      <w:pPr>
        <w:ind w:left="3160" w:hanging="420"/>
      </w:pPr>
    </w:lvl>
    <w:lvl w:ilvl="6" w:tentative="0">
      <w:start w:val="1"/>
      <w:numFmt w:val="decimal"/>
      <w:lvlText w:val="%7."/>
      <w:lvlJc w:val="left"/>
      <w:pPr>
        <w:ind w:left="3580" w:hanging="420"/>
      </w:pPr>
    </w:lvl>
    <w:lvl w:ilvl="7" w:tentative="0">
      <w:start w:val="1"/>
      <w:numFmt w:val="lowerLetter"/>
      <w:lvlText w:val="%8)"/>
      <w:lvlJc w:val="left"/>
      <w:pPr>
        <w:ind w:left="4000" w:hanging="420"/>
      </w:pPr>
    </w:lvl>
    <w:lvl w:ilvl="8" w:tentative="0">
      <w:start w:val="1"/>
      <w:numFmt w:val="lowerRoman"/>
      <w:lvlText w:val="%9."/>
      <w:lvlJc w:val="right"/>
      <w:pPr>
        <w:ind w:left="4420" w:hanging="420"/>
      </w:pPr>
    </w:lvl>
  </w:abstractNum>
  <w:abstractNum w:abstractNumId="9">
    <w:nsid w:val="1FF1046A"/>
    <w:multiLevelType w:val="singleLevel"/>
    <w:tmpl w:val="1FF1046A"/>
    <w:lvl w:ilvl="0" w:tentative="0">
      <w:start w:val="1"/>
      <w:numFmt w:val="chineseCounting"/>
      <w:suff w:val="nothing"/>
      <w:lvlText w:val="%1、"/>
      <w:lvlJc w:val="left"/>
      <w:rPr>
        <w:rFonts w:hint="eastAsia"/>
      </w:rPr>
    </w:lvl>
  </w:abstractNum>
  <w:num w:numId="1">
    <w:abstractNumId w:val="9"/>
  </w:num>
  <w:num w:numId="2">
    <w:abstractNumId w:val="8"/>
  </w:num>
  <w:num w:numId="3">
    <w:abstractNumId w:val="2"/>
  </w:num>
  <w:num w:numId="4">
    <w:abstractNumId w:val="6"/>
  </w:num>
  <w:num w:numId="5">
    <w:abstractNumId w:val="7"/>
  </w:num>
  <w:num w:numId="6">
    <w:abstractNumId w:val="0"/>
  </w:num>
  <w:num w:numId="7">
    <w:abstractNumId w:val="5"/>
  </w:num>
  <w:num w:numId="8">
    <w:abstractNumId w:val="1"/>
  </w:num>
  <w:num w:numId="9">
    <w:abstractNumId w:val="4"/>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VhYTg4NGNkZWJkODFjNzcyZDRjM2M4Y2UzNjI5ZmUifQ=="/>
  </w:docVars>
  <w:rsids>
    <w:rsidRoot w:val="00F1361C"/>
    <w:rsid w:val="000222C6"/>
    <w:rsid w:val="0002549F"/>
    <w:rsid w:val="000468DB"/>
    <w:rsid w:val="0006487A"/>
    <w:rsid w:val="00065F8F"/>
    <w:rsid w:val="00070A43"/>
    <w:rsid w:val="000768F2"/>
    <w:rsid w:val="0009184B"/>
    <w:rsid w:val="00094236"/>
    <w:rsid w:val="0009593C"/>
    <w:rsid w:val="00097322"/>
    <w:rsid w:val="000A6A92"/>
    <w:rsid w:val="000B047F"/>
    <w:rsid w:val="000B5923"/>
    <w:rsid w:val="000B5A48"/>
    <w:rsid w:val="000B6FF3"/>
    <w:rsid w:val="000C3467"/>
    <w:rsid w:val="000C3CA6"/>
    <w:rsid w:val="000D1267"/>
    <w:rsid w:val="000D1D50"/>
    <w:rsid w:val="000D5782"/>
    <w:rsid w:val="000E6613"/>
    <w:rsid w:val="000E7119"/>
    <w:rsid w:val="00114E9B"/>
    <w:rsid w:val="00142216"/>
    <w:rsid w:val="00144D6A"/>
    <w:rsid w:val="0014729F"/>
    <w:rsid w:val="00157BAB"/>
    <w:rsid w:val="001654D1"/>
    <w:rsid w:val="00174518"/>
    <w:rsid w:val="0018106D"/>
    <w:rsid w:val="001877A7"/>
    <w:rsid w:val="00191536"/>
    <w:rsid w:val="00196687"/>
    <w:rsid w:val="001C0962"/>
    <w:rsid w:val="001D7531"/>
    <w:rsid w:val="001E737D"/>
    <w:rsid w:val="001F0592"/>
    <w:rsid w:val="001F7506"/>
    <w:rsid w:val="002006CD"/>
    <w:rsid w:val="00202B36"/>
    <w:rsid w:val="00204B7A"/>
    <w:rsid w:val="00204CDE"/>
    <w:rsid w:val="0021101A"/>
    <w:rsid w:val="00220536"/>
    <w:rsid w:val="00235629"/>
    <w:rsid w:val="00260C38"/>
    <w:rsid w:val="002616C0"/>
    <w:rsid w:val="00265372"/>
    <w:rsid w:val="002662AA"/>
    <w:rsid w:val="00280496"/>
    <w:rsid w:val="00294DC9"/>
    <w:rsid w:val="00295495"/>
    <w:rsid w:val="002A31DE"/>
    <w:rsid w:val="002B2613"/>
    <w:rsid w:val="002D6D05"/>
    <w:rsid w:val="002F1818"/>
    <w:rsid w:val="002F567B"/>
    <w:rsid w:val="003216A9"/>
    <w:rsid w:val="00335A74"/>
    <w:rsid w:val="0036561B"/>
    <w:rsid w:val="0037013F"/>
    <w:rsid w:val="00380C92"/>
    <w:rsid w:val="003A484F"/>
    <w:rsid w:val="003A4883"/>
    <w:rsid w:val="003B0BE0"/>
    <w:rsid w:val="003B0C1B"/>
    <w:rsid w:val="003B688C"/>
    <w:rsid w:val="003C0291"/>
    <w:rsid w:val="003C39AE"/>
    <w:rsid w:val="003C7B60"/>
    <w:rsid w:val="003D0C0F"/>
    <w:rsid w:val="003D1FB2"/>
    <w:rsid w:val="003D66DA"/>
    <w:rsid w:val="003E1310"/>
    <w:rsid w:val="003E6F55"/>
    <w:rsid w:val="00406254"/>
    <w:rsid w:val="004223DE"/>
    <w:rsid w:val="00434489"/>
    <w:rsid w:val="00437085"/>
    <w:rsid w:val="00443880"/>
    <w:rsid w:val="004464F4"/>
    <w:rsid w:val="00471401"/>
    <w:rsid w:val="00473F31"/>
    <w:rsid w:val="0048263A"/>
    <w:rsid w:val="00487E5D"/>
    <w:rsid w:val="004A711F"/>
    <w:rsid w:val="004B199D"/>
    <w:rsid w:val="004B4690"/>
    <w:rsid w:val="004E0A2D"/>
    <w:rsid w:val="004E206B"/>
    <w:rsid w:val="004E6DF7"/>
    <w:rsid w:val="004F0FBD"/>
    <w:rsid w:val="00505A47"/>
    <w:rsid w:val="00512FDA"/>
    <w:rsid w:val="00520DA0"/>
    <w:rsid w:val="005664BB"/>
    <w:rsid w:val="00566FFA"/>
    <w:rsid w:val="0057481D"/>
    <w:rsid w:val="0058486E"/>
    <w:rsid w:val="00585B33"/>
    <w:rsid w:val="0059014D"/>
    <w:rsid w:val="005B5C64"/>
    <w:rsid w:val="005C5337"/>
    <w:rsid w:val="005C6BD0"/>
    <w:rsid w:val="005D1C8B"/>
    <w:rsid w:val="005D468D"/>
    <w:rsid w:val="005D5CED"/>
    <w:rsid w:val="005F1A4C"/>
    <w:rsid w:val="00605688"/>
    <w:rsid w:val="006070AF"/>
    <w:rsid w:val="00607E6C"/>
    <w:rsid w:val="006101B1"/>
    <w:rsid w:val="00614E44"/>
    <w:rsid w:val="0062270A"/>
    <w:rsid w:val="00622830"/>
    <w:rsid w:val="00623DA0"/>
    <w:rsid w:val="00630AEF"/>
    <w:rsid w:val="006325F8"/>
    <w:rsid w:val="00633463"/>
    <w:rsid w:val="00634C9A"/>
    <w:rsid w:val="006440E4"/>
    <w:rsid w:val="0066343B"/>
    <w:rsid w:val="00664777"/>
    <w:rsid w:val="006748A4"/>
    <w:rsid w:val="00681A31"/>
    <w:rsid w:val="00683E73"/>
    <w:rsid w:val="006A3141"/>
    <w:rsid w:val="006A5E34"/>
    <w:rsid w:val="006B2422"/>
    <w:rsid w:val="006B2B9A"/>
    <w:rsid w:val="006C1937"/>
    <w:rsid w:val="006F020C"/>
    <w:rsid w:val="007127B7"/>
    <w:rsid w:val="0071798E"/>
    <w:rsid w:val="007416B6"/>
    <w:rsid w:val="00746F48"/>
    <w:rsid w:val="0075404D"/>
    <w:rsid w:val="0076182A"/>
    <w:rsid w:val="00767B7E"/>
    <w:rsid w:val="007770C3"/>
    <w:rsid w:val="00784D24"/>
    <w:rsid w:val="00785FBA"/>
    <w:rsid w:val="00786E4A"/>
    <w:rsid w:val="007875EB"/>
    <w:rsid w:val="0079426B"/>
    <w:rsid w:val="007D1682"/>
    <w:rsid w:val="007D312A"/>
    <w:rsid w:val="007D3F19"/>
    <w:rsid w:val="007E23B0"/>
    <w:rsid w:val="007E23E5"/>
    <w:rsid w:val="007F1991"/>
    <w:rsid w:val="007F2C2F"/>
    <w:rsid w:val="007F55FC"/>
    <w:rsid w:val="007F5665"/>
    <w:rsid w:val="00800112"/>
    <w:rsid w:val="00813348"/>
    <w:rsid w:val="008253BB"/>
    <w:rsid w:val="0083706E"/>
    <w:rsid w:val="008408F6"/>
    <w:rsid w:val="008423A5"/>
    <w:rsid w:val="00850625"/>
    <w:rsid w:val="00853718"/>
    <w:rsid w:val="00855221"/>
    <w:rsid w:val="00860645"/>
    <w:rsid w:val="00871F71"/>
    <w:rsid w:val="00872FD8"/>
    <w:rsid w:val="00885AF4"/>
    <w:rsid w:val="008939CD"/>
    <w:rsid w:val="008B768C"/>
    <w:rsid w:val="008C4DB1"/>
    <w:rsid w:val="008C4EAF"/>
    <w:rsid w:val="008C5176"/>
    <w:rsid w:val="008C7FD0"/>
    <w:rsid w:val="008E1DE7"/>
    <w:rsid w:val="008E707C"/>
    <w:rsid w:val="00900B08"/>
    <w:rsid w:val="00902155"/>
    <w:rsid w:val="00902FA3"/>
    <w:rsid w:val="00923564"/>
    <w:rsid w:val="0092392E"/>
    <w:rsid w:val="009315F9"/>
    <w:rsid w:val="00933499"/>
    <w:rsid w:val="00935C98"/>
    <w:rsid w:val="00946945"/>
    <w:rsid w:val="00951248"/>
    <w:rsid w:val="0095152F"/>
    <w:rsid w:val="00954C49"/>
    <w:rsid w:val="00955E37"/>
    <w:rsid w:val="0097099F"/>
    <w:rsid w:val="00971997"/>
    <w:rsid w:val="00971FFC"/>
    <w:rsid w:val="0098660A"/>
    <w:rsid w:val="009931C3"/>
    <w:rsid w:val="009B2C43"/>
    <w:rsid w:val="009B4EAE"/>
    <w:rsid w:val="009B7573"/>
    <w:rsid w:val="009C22F4"/>
    <w:rsid w:val="009C2A4B"/>
    <w:rsid w:val="009C2E98"/>
    <w:rsid w:val="009D3447"/>
    <w:rsid w:val="009D4711"/>
    <w:rsid w:val="009F1185"/>
    <w:rsid w:val="009F18CD"/>
    <w:rsid w:val="009F2A13"/>
    <w:rsid w:val="009F7527"/>
    <w:rsid w:val="00A04EB0"/>
    <w:rsid w:val="00A13CC1"/>
    <w:rsid w:val="00A16847"/>
    <w:rsid w:val="00A237D8"/>
    <w:rsid w:val="00A268C4"/>
    <w:rsid w:val="00A307CD"/>
    <w:rsid w:val="00A331C8"/>
    <w:rsid w:val="00A40A00"/>
    <w:rsid w:val="00A4142F"/>
    <w:rsid w:val="00A422EB"/>
    <w:rsid w:val="00A45BB7"/>
    <w:rsid w:val="00A56DF2"/>
    <w:rsid w:val="00A56E6E"/>
    <w:rsid w:val="00A67AB5"/>
    <w:rsid w:val="00A733B2"/>
    <w:rsid w:val="00A741C2"/>
    <w:rsid w:val="00A91760"/>
    <w:rsid w:val="00A93B00"/>
    <w:rsid w:val="00A93C21"/>
    <w:rsid w:val="00AB64C9"/>
    <w:rsid w:val="00AC3C6A"/>
    <w:rsid w:val="00AD5620"/>
    <w:rsid w:val="00AD656B"/>
    <w:rsid w:val="00AD7C1B"/>
    <w:rsid w:val="00AE16BA"/>
    <w:rsid w:val="00AE1EBE"/>
    <w:rsid w:val="00B03C9D"/>
    <w:rsid w:val="00B060AE"/>
    <w:rsid w:val="00B10517"/>
    <w:rsid w:val="00B14E76"/>
    <w:rsid w:val="00B161B8"/>
    <w:rsid w:val="00B2048C"/>
    <w:rsid w:val="00B310B9"/>
    <w:rsid w:val="00B35F3F"/>
    <w:rsid w:val="00B36CBB"/>
    <w:rsid w:val="00B425E0"/>
    <w:rsid w:val="00B440AA"/>
    <w:rsid w:val="00B44B70"/>
    <w:rsid w:val="00B53C56"/>
    <w:rsid w:val="00B57DAF"/>
    <w:rsid w:val="00B77EA6"/>
    <w:rsid w:val="00B81598"/>
    <w:rsid w:val="00B841F1"/>
    <w:rsid w:val="00B944D6"/>
    <w:rsid w:val="00BB4DF0"/>
    <w:rsid w:val="00BC289F"/>
    <w:rsid w:val="00BC2D50"/>
    <w:rsid w:val="00BC5361"/>
    <w:rsid w:val="00BC5460"/>
    <w:rsid w:val="00BC6B50"/>
    <w:rsid w:val="00BD0E25"/>
    <w:rsid w:val="00BF5BD6"/>
    <w:rsid w:val="00C03E31"/>
    <w:rsid w:val="00C33E72"/>
    <w:rsid w:val="00C354B2"/>
    <w:rsid w:val="00C35554"/>
    <w:rsid w:val="00C42709"/>
    <w:rsid w:val="00C533CC"/>
    <w:rsid w:val="00C5751C"/>
    <w:rsid w:val="00C61BFC"/>
    <w:rsid w:val="00C62B85"/>
    <w:rsid w:val="00C65438"/>
    <w:rsid w:val="00C87FD8"/>
    <w:rsid w:val="00C91381"/>
    <w:rsid w:val="00C91CBB"/>
    <w:rsid w:val="00CB4E70"/>
    <w:rsid w:val="00CC09B6"/>
    <w:rsid w:val="00CC666F"/>
    <w:rsid w:val="00CD1E3F"/>
    <w:rsid w:val="00CE44F6"/>
    <w:rsid w:val="00CE49DA"/>
    <w:rsid w:val="00CE7B61"/>
    <w:rsid w:val="00D00095"/>
    <w:rsid w:val="00D114F0"/>
    <w:rsid w:val="00D20620"/>
    <w:rsid w:val="00D254F7"/>
    <w:rsid w:val="00D26091"/>
    <w:rsid w:val="00D2685C"/>
    <w:rsid w:val="00D34E7C"/>
    <w:rsid w:val="00D35489"/>
    <w:rsid w:val="00D36AFE"/>
    <w:rsid w:val="00D51276"/>
    <w:rsid w:val="00D7035F"/>
    <w:rsid w:val="00DA634F"/>
    <w:rsid w:val="00DA65AC"/>
    <w:rsid w:val="00DB1913"/>
    <w:rsid w:val="00DC410D"/>
    <w:rsid w:val="00DC5A81"/>
    <w:rsid w:val="00DC68CA"/>
    <w:rsid w:val="00DC7CBA"/>
    <w:rsid w:val="00DD73B7"/>
    <w:rsid w:val="00DF28BC"/>
    <w:rsid w:val="00DF34B9"/>
    <w:rsid w:val="00E01053"/>
    <w:rsid w:val="00E07ACF"/>
    <w:rsid w:val="00E331A1"/>
    <w:rsid w:val="00E33202"/>
    <w:rsid w:val="00E336A9"/>
    <w:rsid w:val="00E472B1"/>
    <w:rsid w:val="00E50624"/>
    <w:rsid w:val="00E568DF"/>
    <w:rsid w:val="00E64269"/>
    <w:rsid w:val="00E82267"/>
    <w:rsid w:val="00E853CE"/>
    <w:rsid w:val="00E867B6"/>
    <w:rsid w:val="00EA010F"/>
    <w:rsid w:val="00ED1B63"/>
    <w:rsid w:val="00ED3C1F"/>
    <w:rsid w:val="00ED4085"/>
    <w:rsid w:val="00ED420E"/>
    <w:rsid w:val="00ED6FBE"/>
    <w:rsid w:val="00EE2F57"/>
    <w:rsid w:val="00EF4C34"/>
    <w:rsid w:val="00EF77C6"/>
    <w:rsid w:val="00F05438"/>
    <w:rsid w:val="00F1361C"/>
    <w:rsid w:val="00F156F0"/>
    <w:rsid w:val="00F160C7"/>
    <w:rsid w:val="00F2408F"/>
    <w:rsid w:val="00F240E9"/>
    <w:rsid w:val="00F36D8F"/>
    <w:rsid w:val="00F417B1"/>
    <w:rsid w:val="00F45853"/>
    <w:rsid w:val="00F602DF"/>
    <w:rsid w:val="00F754A1"/>
    <w:rsid w:val="00F81FD9"/>
    <w:rsid w:val="00F841AA"/>
    <w:rsid w:val="00F84A94"/>
    <w:rsid w:val="00F87E96"/>
    <w:rsid w:val="00FA23E8"/>
    <w:rsid w:val="00FD3CC1"/>
    <w:rsid w:val="00FF1E02"/>
    <w:rsid w:val="00FF30B4"/>
    <w:rsid w:val="015975B8"/>
    <w:rsid w:val="02143E91"/>
    <w:rsid w:val="066E0107"/>
    <w:rsid w:val="07996F6E"/>
    <w:rsid w:val="0A1B7BBD"/>
    <w:rsid w:val="0A2032A3"/>
    <w:rsid w:val="0AD614F6"/>
    <w:rsid w:val="0CCE17EE"/>
    <w:rsid w:val="0F98263C"/>
    <w:rsid w:val="101860EC"/>
    <w:rsid w:val="10C055FF"/>
    <w:rsid w:val="10FB74EC"/>
    <w:rsid w:val="112D4BBA"/>
    <w:rsid w:val="118107EC"/>
    <w:rsid w:val="11F8418B"/>
    <w:rsid w:val="13D50BC4"/>
    <w:rsid w:val="16BB723D"/>
    <w:rsid w:val="1BE8440E"/>
    <w:rsid w:val="1D155CEE"/>
    <w:rsid w:val="1D807E56"/>
    <w:rsid w:val="1FF35744"/>
    <w:rsid w:val="21EC25BC"/>
    <w:rsid w:val="23860B96"/>
    <w:rsid w:val="240371BF"/>
    <w:rsid w:val="25BD7748"/>
    <w:rsid w:val="26790739"/>
    <w:rsid w:val="290C72E3"/>
    <w:rsid w:val="29FD04D3"/>
    <w:rsid w:val="2C8A61B5"/>
    <w:rsid w:val="2DF04E50"/>
    <w:rsid w:val="2F040D46"/>
    <w:rsid w:val="319F7F4E"/>
    <w:rsid w:val="320C5120"/>
    <w:rsid w:val="3304709D"/>
    <w:rsid w:val="36AA5135"/>
    <w:rsid w:val="374E0983"/>
    <w:rsid w:val="376D39B2"/>
    <w:rsid w:val="376E52D8"/>
    <w:rsid w:val="377F22AA"/>
    <w:rsid w:val="37E16F03"/>
    <w:rsid w:val="38D469F0"/>
    <w:rsid w:val="3A0813F0"/>
    <w:rsid w:val="3D98207C"/>
    <w:rsid w:val="3E78745D"/>
    <w:rsid w:val="406D2E5D"/>
    <w:rsid w:val="42BC5370"/>
    <w:rsid w:val="44E268DA"/>
    <w:rsid w:val="45D70594"/>
    <w:rsid w:val="49DD4854"/>
    <w:rsid w:val="4A627F82"/>
    <w:rsid w:val="4B0E749A"/>
    <w:rsid w:val="4B4F25DA"/>
    <w:rsid w:val="4BE068DB"/>
    <w:rsid w:val="4D577224"/>
    <w:rsid w:val="4EAB630A"/>
    <w:rsid w:val="4ECE2238"/>
    <w:rsid w:val="4F1814E9"/>
    <w:rsid w:val="51496A4D"/>
    <w:rsid w:val="537E6D0A"/>
    <w:rsid w:val="541F16BE"/>
    <w:rsid w:val="58275A5E"/>
    <w:rsid w:val="59200B3E"/>
    <w:rsid w:val="5AF92295"/>
    <w:rsid w:val="5CD71FC4"/>
    <w:rsid w:val="635E1F10"/>
    <w:rsid w:val="644A0487"/>
    <w:rsid w:val="648F41DA"/>
    <w:rsid w:val="64EF09EB"/>
    <w:rsid w:val="652033A4"/>
    <w:rsid w:val="66B6356E"/>
    <w:rsid w:val="6C092F52"/>
    <w:rsid w:val="6C4A05C8"/>
    <w:rsid w:val="6E7E3605"/>
    <w:rsid w:val="6FB568D3"/>
    <w:rsid w:val="6FF5CC65"/>
    <w:rsid w:val="715C0E4B"/>
    <w:rsid w:val="72734D90"/>
    <w:rsid w:val="73AD73D5"/>
    <w:rsid w:val="73B6EB34"/>
    <w:rsid w:val="73D43285"/>
    <w:rsid w:val="744731E5"/>
    <w:rsid w:val="745B7503"/>
    <w:rsid w:val="76E3355F"/>
    <w:rsid w:val="778769C8"/>
    <w:rsid w:val="79947DBD"/>
    <w:rsid w:val="79AD6F71"/>
    <w:rsid w:val="79EE5BA4"/>
    <w:rsid w:val="7A894339"/>
    <w:rsid w:val="7EEF11D3"/>
    <w:rsid w:val="7FA30C79"/>
    <w:rsid w:val="7FB7269E"/>
    <w:rsid w:val="7FC96657"/>
    <w:rsid w:val="D8D6DB89"/>
    <w:rsid w:val="DB6F4CAB"/>
    <w:rsid w:val="DF6F9789"/>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99"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nhideWhenUsed="0"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iPriority="99"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99"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28"/>
    <w:qFormat/>
    <w:uiPriority w:val="9"/>
    <w:pPr>
      <w:keepNext/>
      <w:keepLines/>
      <w:spacing w:before="340" w:after="330" w:line="578" w:lineRule="auto"/>
      <w:outlineLvl w:val="0"/>
    </w:pPr>
    <w:rPr>
      <w:b/>
      <w:bCs/>
      <w:kern w:val="44"/>
      <w:sz w:val="44"/>
      <w:szCs w:val="44"/>
    </w:rPr>
  </w:style>
  <w:style w:type="paragraph" w:styleId="4">
    <w:name w:val="heading 2"/>
    <w:basedOn w:val="1"/>
    <w:next w:val="1"/>
    <w:link w:val="29"/>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5">
    <w:name w:val="heading 3"/>
    <w:basedOn w:val="1"/>
    <w:next w:val="1"/>
    <w:link w:val="32"/>
    <w:unhideWhenUsed/>
    <w:qFormat/>
    <w:uiPriority w:val="9"/>
    <w:pPr>
      <w:keepNext/>
      <w:keepLines/>
      <w:spacing w:before="260" w:after="260" w:line="416" w:lineRule="auto"/>
      <w:outlineLvl w:val="2"/>
    </w:pPr>
    <w:rPr>
      <w:b/>
      <w:bCs/>
      <w:sz w:val="32"/>
      <w:szCs w:val="32"/>
    </w:rPr>
  </w:style>
  <w:style w:type="character" w:default="1" w:styleId="17">
    <w:name w:val="Default Paragraph Font"/>
    <w:unhideWhenUsed/>
    <w:qFormat/>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customStyle="1" w:styleId="2">
    <w:name w:val="Default"/>
    <w:qFormat/>
    <w:uiPriority w:val="99"/>
    <w:pPr>
      <w:widowControl w:val="0"/>
      <w:autoSpaceDE w:val="0"/>
      <w:autoSpaceDN w:val="0"/>
      <w:adjustRightInd w:val="0"/>
    </w:pPr>
    <w:rPr>
      <w:rFonts w:ascii="仿宋" w:hAnsi="Calibri" w:eastAsia="仿宋" w:cs="仿宋"/>
      <w:color w:val="000000"/>
      <w:sz w:val="24"/>
      <w:szCs w:val="24"/>
      <w:lang w:val="en-US" w:eastAsia="zh-CN" w:bidi="ar-SA"/>
    </w:rPr>
  </w:style>
  <w:style w:type="paragraph" w:styleId="6">
    <w:name w:val="Body Text"/>
    <w:basedOn w:val="1"/>
    <w:next w:val="1"/>
    <w:link w:val="26"/>
    <w:qFormat/>
    <w:uiPriority w:val="99"/>
    <w:pPr>
      <w:spacing w:beforeLines="30"/>
    </w:pPr>
    <w:rPr>
      <w:rFonts w:ascii="仿宋_GB2312" w:eastAsia="仿宋_GB2312"/>
      <w:kern w:val="0"/>
      <w:sz w:val="30"/>
    </w:rPr>
  </w:style>
  <w:style w:type="paragraph" w:styleId="7">
    <w:name w:val="Body Text Indent"/>
    <w:basedOn w:val="1"/>
    <w:next w:val="8"/>
    <w:qFormat/>
    <w:uiPriority w:val="0"/>
    <w:pPr>
      <w:spacing w:after="120"/>
      <w:ind w:leftChars="200"/>
    </w:pPr>
    <w:rPr>
      <w:rFonts w:ascii="仿宋_GB2312"/>
      <w:szCs w:val="32"/>
    </w:rPr>
  </w:style>
  <w:style w:type="paragraph" w:styleId="8">
    <w:name w:val="Body Text First Indent 2"/>
    <w:basedOn w:val="7"/>
    <w:next w:val="1"/>
    <w:unhideWhenUsed/>
    <w:qFormat/>
    <w:uiPriority w:val="99"/>
    <w:pPr>
      <w:ind w:firstLine="420" w:firstLineChars="200"/>
    </w:pPr>
  </w:style>
  <w:style w:type="paragraph" w:styleId="9">
    <w:name w:val="toc 3"/>
    <w:basedOn w:val="1"/>
    <w:next w:val="1"/>
    <w:unhideWhenUsed/>
    <w:qFormat/>
    <w:uiPriority w:val="39"/>
    <w:pPr>
      <w:tabs>
        <w:tab w:val="right" w:leader="dot" w:pos="8296"/>
      </w:tabs>
      <w:ind w:left="840" w:leftChars="400"/>
    </w:pPr>
  </w:style>
  <w:style w:type="paragraph" w:styleId="10">
    <w:name w:val="Balloon Text"/>
    <w:basedOn w:val="1"/>
    <w:link w:val="31"/>
    <w:semiHidden/>
    <w:unhideWhenUsed/>
    <w:qFormat/>
    <w:uiPriority w:val="99"/>
    <w:rPr>
      <w:sz w:val="18"/>
      <w:szCs w:val="18"/>
    </w:rPr>
  </w:style>
  <w:style w:type="paragraph" w:styleId="11">
    <w:name w:val="footer"/>
    <w:basedOn w:val="1"/>
    <w:link w:val="24"/>
    <w:qFormat/>
    <w:uiPriority w:val="99"/>
    <w:pPr>
      <w:tabs>
        <w:tab w:val="center" w:pos="4153"/>
        <w:tab w:val="right" w:pos="8306"/>
      </w:tabs>
      <w:snapToGrid w:val="0"/>
      <w:jc w:val="left"/>
    </w:pPr>
    <w:rPr>
      <w:rFonts w:ascii="Calibri" w:hAnsi="Calibri"/>
      <w:kern w:val="0"/>
      <w:sz w:val="18"/>
      <w:szCs w:val="18"/>
    </w:rPr>
  </w:style>
  <w:style w:type="paragraph" w:styleId="12">
    <w:name w:val="header"/>
    <w:basedOn w:val="1"/>
    <w:link w:val="22"/>
    <w:semiHidden/>
    <w:qFormat/>
    <w:uiPriority w:val="99"/>
    <w:pPr>
      <w:pBdr>
        <w:bottom w:val="single" w:color="auto" w:sz="6" w:space="1"/>
      </w:pBdr>
      <w:tabs>
        <w:tab w:val="center" w:pos="4153"/>
        <w:tab w:val="right" w:pos="8306"/>
      </w:tabs>
      <w:snapToGrid w:val="0"/>
      <w:jc w:val="center"/>
    </w:pPr>
    <w:rPr>
      <w:rFonts w:ascii="Calibri" w:hAnsi="Calibri"/>
      <w:kern w:val="0"/>
      <w:sz w:val="18"/>
      <w:szCs w:val="18"/>
    </w:rPr>
  </w:style>
  <w:style w:type="paragraph" w:styleId="13">
    <w:name w:val="toc 1"/>
    <w:basedOn w:val="1"/>
    <w:next w:val="1"/>
    <w:unhideWhenUsed/>
    <w:qFormat/>
    <w:uiPriority w:val="39"/>
    <w:pPr>
      <w:tabs>
        <w:tab w:val="right" w:leader="dot" w:pos="8296"/>
      </w:tabs>
      <w:spacing w:before="93"/>
      <w:jc w:val="center"/>
    </w:pPr>
    <w:rPr>
      <w:rFonts w:ascii="仿宋" w:hAnsi="仿宋" w:eastAsia="仿宋"/>
      <w:sz w:val="28"/>
      <w:szCs w:val="28"/>
    </w:rPr>
  </w:style>
  <w:style w:type="paragraph" w:styleId="14">
    <w:name w:val="toc 2"/>
    <w:basedOn w:val="1"/>
    <w:next w:val="1"/>
    <w:unhideWhenUsed/>
    <w:qFormat/>
    <w:uiPriority w:val="39"/>
    <w:pPr>
      <w:tabs>
        <w:tab w:val="right" w:leader="dot" w:pos="8296"/>
      </w:tabs>
      <w:ind w:left="420" w:leftChars="200"/>
    </w:pPr>
  </w:style>
  <w:style w:type="paragraph" w:styleId="15">
    <w:name w:val="Normal (Web)"/>
    <w:basedOn w:val="1"/>
    <w:qFormat/>
    <w:uiPriority w:val="0"/>
    <w:pPr>
      <w:spacing w:beforeAutospacing="1" w:afterAutospacing="1"/>
      <w:jc w:val="left"/>
    </w:pPr>
    <w:rPr>
      <w:rFonts w:ascii="Calibri" w:hAnsi="Calibri"/>
      <w:kern w:val="0"/>
      <w:sz w:val="24"/>
    </w:rPr>
  </w:style>
  <w:style w:type="character" w:styleId="18">
    <w:name w:val="Strong"/>
    <w:basedOn w:val="17"/>
    <w:qFormat/>
    <w:uiPriority w:val="99"/>
    <w:rPr>
      <w:b/>
    </w:rPr>
  </w:style>
  <w:style w:type="character" w:styleId="19">
    <w:name w:val="Hyperlink"/>
    <w:basedOn w:val="17"/>
    <w:unhideWhenUsed/>
    <w:qFormat/>
    <w:uiPriority w:val="99"/>
    <w:rPr>
      <w:color w:val="0000FF" w:themeColor="hyperlink"/>
      <w:u w:val="single"/>
      <w14:textFill>
        <w14:solidFill>
          <w14:schemeClr w14:val="hlink"/>
        </w14:solidFill>
      </w14:textFill>
    </w:rPr>
  </w:style>
  <w:style w:type="paragraph" w:customStyle="1" w:styleId="20">
    <w:name w:val="标题 5（有编号）（绿盟科技）"/>
    <w:next w:val="1"/>
    <w:qFormat/>
    <w:uiPriority w:val="99"/>
    <w:pPr>
      <w:keepNext/>
      <w:keepLines/>
      <w:widowControl w:val="0"/>
      <w:spacing w:before="280" w:after="156" w:line="377" w:lineRule="auto"/>
      <w:jc w:val="left"/>
      <w:outlineLvl w:val="4"/>
    </w:pPr>
    <w:rPr>
      <w:rFonts w:ascii="Arial" w:hAnsi="Arial" w:eastAsia="黑体" w:cs="Times New Roman"/>
      <w:b/>
      <w:kern w:val="2"/>
      <w:sz w:val="24"/>
      <w:szCs w:val="28"/>
      <w:lang w:val="en-US" w:eastAsia="zh-CN" w:bidi="ar-SA"/>
    </w:rPr>
  </w:style>
  <w:style w:type="character" w:customStyle="1" w:styleId="21">
    <w:name w:val="Header Char"/>
    <w:basedOn w:val="17"/>
    <w:semiHidden/>
    <w:qFormat/>
    <w:uiPriority w:val="99"/>
    <w:rPr>
      <w:rFonts w:ascii="Times New Roman" w:hAnsi="Times New Roman"/>
      <w:sz w:val="18"/>
      <w:szCs w:val="18"/>
    </w:rPr>
  </w:style>
  <w:style w:type="character" w:customStyle="1" w:styleId="22">
    <w:name w:val="页眉 Char"/>
    <w:link w:val="12"/>
    <w:semiHidden/>
    <w:qFormat/>
    <w:locked/>
    <w:uiPriority w:val="99"/>
    <w:rPr>
      <w:sz w:val="18"/>
    </w:rPr>
  </w:style>
  <w:style w:type="character" w:customStyle="1" w:styleId="23">
    <w:name w:val="Footer Char"/>
    <w:basedOn w:val="17"/>
    <w:semiHidden/>
    <w:qFormat/>
    <w:uiPriority w:val="99"/>
    <w:rPr>
      <w:rFonts w:ascii="Times New Roman" w:hAnsi="Times New Roman"/>
      <w:sz w:val="18"/>
      <w:szCs w:val="18"/>
    </w:rPr>
  </w:style>
  <w:style w:type="character" w:customStyle="1" w:styleId="24">
    <w:name w:val="页脚 Char"/>
    <w:link w:val="11"/>
    <w:qFormat/>
    <w:locked/>
    <w:uiPriority w:val="99"/>
    <w:rPr>
      <w:sz w:val="18"/>
    </w:rPr>
  </w:style>
  <w:style w:type="character" w:customStyle="1" w:styleId="25">
    <w:name w:val="Body Text Char"/>
    <w:basedOn w:val="17"/>
    <w:semiHidden/>
    <w:qFormat/>
    <w:uiPriority w:val="99"/>
    <w:rPr>
      <w:rFonts w:ascii="Times New Roman" w:hAnsi="Times New Roman"/>
      <w:szCs w:val="24"/>
    </w:rPr>
  </w:style>
  <w:style w:type="character" w:customStyle="1" w:styleId="26">
    <w:name w:val="正文文本 Char"/>
    <w:link w:val="6"/>
    <w:qFormat/>
    <w:locked/>
    <w:uiPriority w:val="99"/>
    <w:rPr>
      <w:rFonts w:ascii="仿宋_GB2312" w:hAnsi="Times New Roman" w:eastAsia="仿宋_GB2312"/>
      <w:sz w:val="24"/>
    </w:rPr>
  </w:style>
  <w:style w:type="paragraph" w:styleId="27">
    <w:name w:val="List Paragraph"/>
    <w:basedOn w:val="1"/>
    <w:qFormat/>
    <w:uiPriority w:val="34"/>
    <w:pPr>
      <w:ind w:firstLine="420" w:firstLineChars="200"/>
    </w:pPr>
  </w:style>
  <w:style w:type="character" w:customStyle="1" w:styleId="28">
    <w:name w:val="标题 1 Char"/>
    <w:basedOn w:val="17"/>
    <w:link w:val="3"/>
    <w:qFormat/>
    <w:uiPriority w:val="9"/>
    <w:rPr>
      <w:rFonts w:ascii="Times New Roman" w:hAnsi="Times New Roman"/>
      <w:b/>
      <w:bCs/>
      <w:kern w:val="44"/>
      <w:sz w:val="44"/>
      <w:szCs w:val="44"/>
    </w:rPr>
  </w:style>
  <w:style w:type="character" w:customStyle="1" w:styleId="29">
    <w:name w:val="标题 2 Char"/>
    <w:basedOn w:val="17"/>
    <w:link w:val="4"/>
    <w:qFormat/>
    <w:uiPriority w:val="9"/>
    <w:rPr>
      <w:rFonts w:asciiTheme="majorHAnsi" w:hAnsiTheme="majorHAnsi" w:eastAsiaTheme="majorEastAsia" w:cstheme="majorBidi"/>
      <w:b/>
      <w:bCs/>
      <w:kern w:val="2"/>
      <w:sz w:val="32"/>
      <w:szCs w:val="32"/>
    </w:rPr>
  </w:style>
  <w:style w:type="paragraph" w:customStyle="1" w:styleId="30">
    <w:name w:val="TOC 标题1"/>
    <w:basedOn w:val="3"/>
    <w:next w:val="1"/>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character" w:customStyle="1" w:styleId="31">
    <w:name w:val="批注框文本 Char"/>
    <w:basedOn w:val="17"/>
    <w:link w:val="10"/>
    <w:semiHidden/>
    <w:qFormat/>
    <w:uiPriority w:val="99"/>
    <w:rPr>
      <w:rFonts w:ascii="Times New Roman" w:hAnsi="Times New Roman"/>
      <w:kern w:val="2"/>
      <w:sz w:val="18"/>
      <w:szCs w:val="18"/>
    </w:rPr>
  </w:style>
  <w:style w:type="character" w:customStyle="1" w:styleId="32">
    <w:name w:val="标题 3 Char"/>
    <w:basedOn w:val="17"/>
    <w:link w:val="5"/>
    <w:qFormat/>
    <w:uiPriority w:val="9"/>
    <w:rPr>
      <w:rFonts w:ascii="Times New Roman" w:hAnsi="Times New Roman"/>
      <w:b/>
      <w:bCs/>
      <w:kern w:val="2"/>
      <w:sz w:val="32"/>
      <w:szCs w:val="32"/>
    </w:rPr>
  </w:style>
  <w:style w:type="paragraph" w:customStyle="1" w:styleId="33">
    <w:name w:val="TOC Heading"/>
    <w:basedOn w:val="3"/>
    <w:next w:val="1"/>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paragraph" w:customStyle="1" w:styleId="34">
    <w:name w:val="四号正文"/>
    <w:basedOn w:val="1"/>
    <w:qFormat/>
    <w:uiPriority w:val="0"/>
    <w:pPr>
      <w:spacing w:line="360" w:lineRule="auto"/>
    </w:pPr>
    <w:rPr>
      <w:rFonts w:ascii="??" w:hAnsi="??" w:eastAsia="宋体"/>
      <w:color w:val="000000"/>
      <w:kern w:val="0"/>
      <w:sz w:val="28"/>
      <w:szCs w:val="21"/>
      <w:lang w:val="zh-CN" w:eastAsia="zh-CN"/>
    </w:rPr>
  </w:style>
  <w:style w:type="paragraph" w:customStyle="1" w:styleId="35">
    <w:name w:val="WPSOffice手动目录 1"/>
    <w:qFormat/>
    <w:uiPriority w:val="0"/>
    <w:pPr>
      <w:ind w:leftChars="0"/>
    </w:pPr>
    <w:rPr>
      <w:rFonts w:ascii="Times New Roman" w:hAnsi="Times New Roman" w:eastAsia="宋体" w:cs="Times New Roman"/>
      <w:sz w:val="20"/>
      <w:szCs w:val="20"/>
    </w:rPr>
  </w:style>
  <w:style w:type="paragraph" w:customStyle="1" w:styleId="36">
    <w:name w:val="WPSOffice手动目录 2"/>
    <w:qFormat/>
    <w:uiPriority w:val="0"/>
    <w:pPr>
      <w:ind w:leftChars="200"/>
    </w:pPr>
    <w:rPr>
      <w:rFonts w:ascii="Times New Roman" w:hAnsi="Times New Roman" w:eastAsia="宋体" w:cs="Times New Roman"/>
      <w:sz w:val="20"/>
      <w:szCs w:val="20"/>
    </w:rPr>
  </w:style>
  <w:style w:type="character" w:customStyle="1" w:styleId="37">
    <w:name w:val="font21"/>
    <w:basedOn w:val="17"/>
    <w:qFormat/>
    <w:uiPriority w:val="0"/>
    <w:rPr>
      <w:rFonts w:hint="eastAsia" w:ascii="宋体" w:hAnsi="宋体" w:eastAsia="宋体" w:cs="宋体"/>
      <w:color w:val="000000"/>
      <w:sz w:val="20"/>
      <w:szCs w:val="20"/>
      <w:u w:val="none"/>
    </w:rPr>
  </w:style>
  <w:style w:type="character" w:customStyle="1" w:styleId="38">
    <w:name w:val="font71"/>
    <w:basedOn w:val="17"/>
    <w:qFormat/>
    <w:uiPriority w:val="0"/>
    <w:rPr>
      <w:rFonts w:hint="eastAsia" w:ascii="宋体" w:hAnsi="宋体" w:eastAsia="宋体" w:cs="宋体"/>
      <w:color w:val="000000"/>
      <w:sz w:val="20"/>
      <w:szCs w:val="20"/>
      <w:u w:val="none"/>
    </w:rPr>
  </w:style>
  <w:style w:type="character" w:customStyle="1" w:styleId="39">
    <w:name w:val="font41"/>
    <w:basedOn w:val="17"/>
    <w:qFormat/>
    <w:uiPriority w:val="0"/>
    <w:rPr>
      <w:rFonts w:hint="eastAsia" w:ascii="宋体" w:hAnsi="宋体" w:eastAsia="宋体" w:cs="宋体"/>
      <w:color w:val="000000"/>
      <w:sz w:val="18"/>
      <w:szCs w:val="18"/>
      <w:u w:val="none"/>
    </w:rPr>
  </w:style>
  <w:style w:type="character" w:customStyle="1" w:styleId="40">
    <w:name w:val="font51"/>
    <w:basedOn w:val="17"/>
    <w:qFormat/>
    <w:uiPriority w:val="0"/>
    <w:rPr>
      <w:rFonts w:hint="eastAsia" w:ascii="宋体" w:hAnsi="宋体" w:eastAsia="宋体" w:cs="宋体"/>
      <w:color w:val="000000"/>
      <w:sz w:val="18"/>
      <w:szCs w:val="18"/>
      <w:u w:val="none"/>
    </w:rPr>
  </w:style>
  <w:style w:type="character" w:customStyle="1" w:styleId="41">
    <w:name w:val="font31"/>
    <w:basedOn w:val="17"/>
    <w:qFormat/>
    <w:uiPriority w:val="0"/>
    <w:rPr>
      <w:rFonts w:hint="eastAsia" w:ascii="宋体" w:hAnsi="宋体" w:eastAsia="宋体" w:cs="宋体"/>
      <w:color w:val="000000"/>
      <w:sz w:val="18"/>
      <w:szCs w:val="18"/>
      <w:u w:val="none"/>
    </w:rPr>
  </w:style>
  <w:style w:type="character" w:customStyle="1" w:styleId="42">
    <w:name w:val="font11"/>
    <w:basedOn w:val="17"/>
    <w:qFormat/>
    <w:uiPriority w:val="0"/>
    <w:rPr>
      <w:rFonts w:hint="eastAsia" w:ascii="宋体" w:hAnsi="宋体" w:eastAsia="宋体" w:cs="宋体"/>
      <w:color w:val="000000"/>
      <w:sz w:val="20"/>
      <w:szCs w:val="20"/>
      <w:u w:val="none"/>
    </w:rPr>
  </w:style>
  <w:style w:type="character" w:customStyle="1" w:styleId="43">
    <w:name w:val="font101"/>
    <w:basedOn w:val="17"/>
    <w:qFormat/>
    <w:uiPriority w:val="0"/>
    <w:rPr>
      <w:rFonts w:hint="eastAsia" w:ascii="宋体" w:hAnsi="宋体" w:eastAsia="宋体" w:cs="宋体"/>
      <w:color w:val="000000"/>
      <w:sz w:val="20"/>
      <w:szCs w:val="20"/>
      <w:u w:val="none"/>
    </w:rPr>
  </w:style>
  <w:style w:type="character" w:customStyle="1" w:styleId="44">
    <w:name w:val="font61"/>
    <w:basedOn w:val="17"/>
    <w:qFormat/>
    <w:uiPriority w:val="0"/>
    <w:rPr>
      <w:rFonts w:hint="eastAsia" w:ascii="宋体" w:hAnsi="宋体" w:eastAsia="宋体" w:cs="宋体"/>
      <w:color w:val="000000"/>
      <w:sz w:val="18"/>
      <w:szCs w:val="18"/>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chart" Target="charts/chart7.xml"/><Relationship Id="rId21" Type="http://schemas.openxmlformats.org/officeDocument/2006/relationships/chart" Target="charts/chart6.xml"/><Relationship Id="rId20" Type="http://schemas.openxmlformats.org/officeDocument/2006/relationships/chart" Target="charts/chart5.xml"/><Relationship Id="rId2" Type="http://schemas.openxmlformats.org/officeDocument/2006/relationships/settings" Target="settings.xml"/><Relationship Id="rId19" Type="http://schemas.openxmlformats.org/officeDocument/2006/relationships/chart" Target="charts/chart4.xml"/><Relationship Id="rId18" Type="http://schemas.openxmlformats.org/officeDocument/2006/relationships/chart" Target="charts/chart3.xml"/><Relationship Id="rId17" Type="http://schemas.openxmlformats.org/officeDocument/2006/relationships/chart" Target="charts/chart2.xml"/><Relationship Id="rId16" Type="http://schemas.openxmlformats.org/officeDocument/2006/relationships/chart" Target="charts/chart1.xml"/><Relationship Id="rId15" Type="http://schemas.openxmlformats.org/officeDocument/2006/relationships/theme" Target="theme/theme1.xml"/><Relationship Id="rId14" Type="http://schemas.openxmlformats.org/officeDocument/2006/relationships/footer" Target="footer11.xml"/><Relationship Id="rId13" Type="http://schemas.openxmlformats.org/officeDocument/2006/relationships/footer" Target="footer10.xml"/><Relationship Id="rId12" Type="http://schemas.openxmlformats.org/officeDocument/2006/relationships/footer" Target="footer9.xml"/><Relationship Id="rId11" Type="http://schemas.openxmlformats.org/officeDocument/2006/relationships/footer" Target="footer8.xml"/><Relationship Id="rId10" Type="http://schemas.openxmlformats.org/officeDocument/2006/relationships/footer" Target="footer7.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charts/_rels/chart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24037;&#20316;&#31807;2" TargetMode="External"/></Relationships>
</file>

<file path=word/charts/_rels/chart2.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oleObject" Target="&#24037;&#20316;&#31807;2" TargetMode="External"/></Relationships>
</file>

<file path=word/charts/_rels/chart3.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oleObject" Target="&#24037;&#20316;&#31807;2" TargetMode="External"/></Relationships>
</file>

<file path=word/charts/_rels/chart4.xml.rels><?xml version="1.0" encoding="UTF-8" standalone="yes"?>
<Relationships xmlns="http://schemas.openxmlformats.org/package/2006/relationships"><Relationship Id="rId3" Type="http://schemas.microsoft.com/office/2011/relationships/chartColorStyle" Target="colors4.xml"/><Relationship Id="rId2" Type="http://schemas.microsoft.com/office/2011/relationships/chartStyle" Target="style4.xml"/><Relationship Id="rId1" Type="http://schemas.openxmlformats.org/officeDocument/2006/relationships/oleObject" Target="&#24037;&#20316;&#31807;2" TargetMode="External"/></Relationships>
</file>

<file path=word/charts/_rels/chart5.xml.rels><?xml version="1.0" encoding="UTF-8" standalone="yes"?>
<Relationships xmlns="http://schemas.openxmlformats.org/package/2006/relationships"><Relationship Id="rId3" Type="http://schemas.microsoft.com/office/2011/relationships/chartColorStyle" Target="colors5.xml"/><Relationship Id="rId2" Type="http://schemas.microsoft.com/office/2011/relationships/chartStyle" Target="style5.xml"/><Relationship Id="rId1" Type="http://schemas.openxmlformats.org/officeDocument/2006/relationships/oleObject" Target="&#24037;&#20316;&#31807;2" TargetMode="External"/></Relationships>
</file>

<file path=word/charts/_rels/chart6.xml.rels><?xml version="1.0" encoding="UTF-8" standalone="yes"?>
<Relationships xmlns="http://schemas.openxmlformats.org/package/2006/relationships"><Relationship Id="rId3" Type="http://schemas.microsoft.com/office/2011/relationships/chartColorStyle" Target="colors6.xml"/><Relationship Id="rId2" Type="http://schemas.microsoft.com/office/2011/relationships/chartStyle" Target="style6.xml"/><Relationship Id="rId1" Type="http://schemas.openxmlformats.org/officeDocument/2006/relationships/oleObject" Target="&#24037;&#20316;&#31807;4"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I:\2023&#24180;\&#36130;&#21153;\&#39044;&#20915;&#31639;&#20844;&#24320;\2022&#24180;&#20915;&#31639;&#20844;&#24320;\&#26609;&#29366;&#22270;&#12289;&#39292;&#29366;&#22270;.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delete val="1"/>
          </c:dLbls>
          <c:cat>
            <c:strRef>
              <c:f>[工作簿2]Sheet1!$B$1:$C$1</c:f>
              <c:strCache>
                <c:ptCount val="2"/>
                <c:pt idx="0">
                  <c:v>2021年</c:v>
                </c:pt>
                <c:pt idx="1">
                  <c:v>2022年</c:v>
                </c:pt>
              </c:strCache>
            </c:strRef>
          </c:cat>
          <c:val>
            <c:numRef>
              <c:f>[工作簿2]Sheet1!$B$2:$C$2</c:f>
              <c:numCache>
                <c:formatCode>General</c:formatCode>
                <c:ptCount val="2"/>
                <c:pt idx="0">
                  <c:v>3798.93</c:v>
                </c:pt>
                <c:pt idx="1">
                  <c:v>4228.88</c:v>
                </c:pt>
              </c:numCache>
            </c:numRef>
          </c:val>
        </c:ser>
        <c:dLbls>
          <c:showLegendKey val="0"/>
          <c:showVal val="0"/>
          <c:showCatName val="0"/>
          <c:showSerName val="0"/>
          <c:showPercent val="0"/>
          <c:showBubbleSize val="0"/>
        </c:dLbls>
        <c:gapWidth val="246"/>
        <c:overlap val="-28"/>
        <c:axId val="920951807"/>
        <c:axId val="935406654"/>
      </c:barChart>
      <c:catAx>
        <c:axId val="920951807"/>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35406654"/>
        <c:crosses val="autoZero"/>
        <c:auto val="1"/>
        <c:lblAlgn val="ctr"/>
        <c:lblOffset val="100"/>
        <c:noMultiLvlLbl val="0"/>
      </c:catAx>
      <c:valAx>
        <c:axId val="935406654"/>
        <c:scaling>
          <c:orientation val="minMax"/>
        </c:scaling>
        <c:delete val="0"/>
        <c:axPos val="l"/>
        <c:majorGridlines>
          <c:spPr>
            <a:ln w="9525" cap="flat" cmpd="sng" algn="ctr">
              <a:solidFill>
                <a:schemeClr val="bg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20951807"/>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[工作簿2]Sheet1!$I$19</c:f>
              <c:strCache>
                <c:ptCount val="1"/>
                <c:pt idx="0">
                  <c:v>占比</c:v>
                </c:pt>
              </c:strCache>
            </c:strRef>
          </c:tx>
          <c:spPr/>
          <c:explosion val="0"/>
          <c:dPt>
            <c:idx val="0"/>
            <c:bubble3D val="0"/>
            <c:spPr>
              <a:gradFill>
                <a:gsLst>
                  <a:gs pos="0">
                    <a:schemeClr val="accent1">
                      <a:lumMod val="40000"/>
                      <a:lumOff val="60000"/>
                    </a:schemeClr>
                  </a:gs>
                  <a:gs pos="90000">
                    <a:schemeClr val="accent1"/>
                  </a:gs>
                </a:gsLst>
                <a:lin ang="5400000" scaled="0"/>
              </a:gradFill>
              <a:ln>
                <a:gradFill>
                  <a:gsLst>
                    <a:gs pos="0">
                      <a:schemeClr val="accent1"/>
                    </a:gs>
                    <a:gs pos="100000">
                      <a:schemeClr val="accent1">
                        <a:lumMod val="75000"/>
                      </a:schemeClr>
                    </a:gs>
                  </a:gsLst>
                  <a:lin ang="5400000" scaled="1"/>
                </a:gradFill>
              </a:ln>
              <a:effectLst>
                <a:outerShdw blurRad="76200" dist="25400" dir="2700000" algn="tl" rotWithShape="0">
                  <a:schemeClr val="accent1">
                    <a:lumMod val="50000"/>
                    <a:alpha val="30000"/>
                  </a:schemeClr>
                </a:outerShdw>
              </a:effectLst>
            </c:spPr>
          </c:dPt>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inEnd"/>
            <c:showLegendKey val="0"/>
            <c:showVal val="0"/>
            <c:showCatName val="1"/>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[工作簿2]Sheet1!$J$18</c:f>
              <c:strCache>
                <c:ptCount val="1"/>
                <c:pt idx="0">
                  <c:v>一般公共预算财政拨款收入</c:v>
                </c:pt>
              </c:strCache>
            </c:strRef>
          </c:cat>
          <c:val>
            <c:numRef>
              <c:f>[工作簿2]Sheet1!$J$19</c:f>
              <c:numCache>
                <c:formatCode>0%</c:formatCode>
                <c:ptCount val="1"/>
                <c:pt idx="0">
                  <c:v>1</c:v>
                </c:pt>
              </c:numCache>
            </c:numRef>
          </c:val>
        </c:ser>
        <c:dLbls>
          <c:showLegendKey val="0"/>
          <c:showVal val="0"/>
          <c:showCatName val="1"/>
          <c:showSerName val="0"/>
          <c:showPercent val="1"/>
          <c:showBubbleSize val="0"/>
          <c:showLeaderLines val="1"/>
        </c:dLbls>
        <c:firstSliceAng val="0"/>
      </c:pieChart>
      <c:spPr>
        <a:noFill/>
        <a:ln>
          <a:noFill/>
        </a:ln>
        <a:effectLst/>
      </c:spPr>
    </c:plotArea>
    <c:legend>
      <c:legendPos val="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[工作簿2]Sheet1!$I$19</c:f>
              <c:strCache>
                <c:ptCount val="1"/>
                <c:pt idx="0">
                  <c:v>占比</c:v>
                </c:pt>
              </c:strCache>
            </c:strRef>
          </c:tx>
          <c:spPr/>
          <c:explosion val="0"/>
          <c:dPt>
            <c:idx val="0"/>
            <c:bubble3D val="0"/>
            <c:spPr>
              <a:gradFill>
                <a:gsLst>
                  <a:gs pos="0">
                    <a:schemeClr val="accent1">
                      <a:lumMod val="40000"/>
                      <a:lumOff val="60000"/>
                    </a:schemeClr>
                  </a:gs>
                  <a:gs pos="90000">
                    <a:schemeClr val="accent1"/>
                  </a:gs>
                </a:gsLst>
                <a:lin ang="5400000" scaled="0"/>
              </a:gradFill>
              <a:ln>
                <a:gradFill>
                  <a:gsLst>
                    <a:gs pos="0">
                      <a:schemeClr val="accent1"/>
                    </a:gs>
                    <a:gs pos="100000">
                      <a:schemeClr val="accent1">
                        <a:lumMod val="75000"/>
                      </a:schemeClr>
                    </a:gs>
                  </a:gsLst>
                  <a:lin ang="5400000" scaled="1"/>
                </a:gradFill>
              </a:ln>
              <a:effectLst>
                <a:outerShdw blurRad="76200" dist="25400" dir="2700000" algn="tl" rotWithShape="0">
                  <a:schemeClr val="accent1">
                    <a:lumMod val="50000"/>
                    <a:alpha val="30000"/>
                  </a:schemeClr>
                </a:outerShdw>
              </a:effectLst>
            </c:spPr>
          </c:dPt>
          <c:dPt>
            <c:idx val="1"/>
            <c:bubble3D val="0"/>
            <c:spPr>
              <a:gradFill>
                <a:gsLst>
                  <a:gs pos="0">
                    <a:schemeClr val="accent2">
                      <a:lumMod val="40000"/>
                      <a:lumOff val="60000"/>
                    </a:schemeClr>
                  </a:gs>
                  <a:gs pos="90000">
                    <a:schemeClr val="accent2"/>
                  </a:gs>
                </a:gsLst>
                <a:lin ang="5400000" scaled="0"/>
              </a:gradFill>
              <a:ln>
                <a:gradFill>
                  <a:gsLst>
                    <a:gs pos="0">
                      <a:schemeClr val="accent2"/>
                    </a:gs>
                    <a:gs pos="100000">
                      <a:schemeClr val="accent2">
                        <a:lumMod val="75000"/>
                      </a:schemeClr>
                    </a:gs>
                  </a:gsLst>
                  <a:lin ang="5400000" scaled="1"/>
                </a:gradFill>
              </a:ln>
              <a:effectLst>
                <a:outerShdw blurRad="76200" dist="25400" dir="2700000" algn="tl" rotWithShape="0">
                  <a:schemeClr val="accent2">
                    <a:lumMod val="50000"/>
                    <a:alpha val="30000"/>
                  </a:schemeClr>
                </a:outerShdw>
              </a:effectLst>
            </c:spPr>
          </c:dPt>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inEnd"/>
            <c:showLegendKey val="0"/>
            <c:showVal val="0"/>
            <c:showCatName val="1"/>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[工作簿2]Sheet1!$J$18:$K$18</c:f>
              <c:strCache>
                <c:ptCount val="2"/>
                <c:pt idx="0">
                  <c:v>基本支出</c:v>
                </c:pt>
                <c:pt idx="1">
                  <c:v>项目支出</c:v>
                </c:pt>
              </c:strCache>
            </c:strRef>
          </c:cat>
          <c:val>
            <c:numRef>
              <c:f>[工作簿2]Sheet1!$J$19:$K$19</c:f>
              <c:numCache>
                <c:formatCode>General</c:formatCode>
                <c:ptCount val="2"/>
                <c:pt idx="0">
                  <c:v>1016.4</c:v>
                </c:pt>
                <c:pt idx="1">
                  <c:v>3212.48</c:v>
                </c:pt>
              </c:numCache>
            </c:numRef>
          </c:val>
        </c:ser>
        <c:dLbls>
          <c:showLegendKey val="0"/>
          <c:showVal val="0"/>
          <c:showCatName val="1"/>
          <c:showSerName val="0"/>
          <c:showPercent val="1"/>
          <c:showBubbleSize val="0"/>
          <c:showLeaderLines val="1"/>
        </c:dLbls>
        <c:firstSliceAng val="0"/>
      </c:pieChart>
      <c:spPr>
        <a:noFill/>
        <a:ln>
          <a:noFill/>
        </a:ln>
        <a:effectLst/>
      </c:spPr>
    </c:plotArea>
    <c:legend>
      <c:legendPos val="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delete val="1"/>
          </c:dLbls>
          <c:cat>
            <c:strRef>
              <c:f>[工作簿2]Sheet1!$B$1:$C$1</c:f>
              <c:strCache>
                <c:ptCount val="2"/>
                <c:pt idx="0">
                  <c:v>2021年</c:v>
                </c:pt>
                <c:pt idx="1">
                  <c:v>2022年</c:v>
                </c:pt>
              </c:strCache>
            </c:strRef>
          </c:cat>
          <c:val>
            <c:numRef>
              <c:f>[工作簿2]Sheet1!$B$2:$C$2</c:f>
              <c:numCache>
                <c:formatCode>General</c:formatCode>
                <c:ptCount val="2"/>
                <c:pt idx="0">
                  <c:v>3798.93</c:v>
                </c:pt>
                <c:pt idx="1">
                  <c:v>4228.88</c:v>
                </c:pt>
              </c:numCache>
            </c:numRef>
          </c:val>
        </c:ser>
        <c:dLbls>
          <c:showLegendKey val="0"/>
          <c:showVal val="0"/>
          <c:showCatName val="0"/>
          <c:showSerName val="0"/>
          <c:showPercent val="0"/>
          <c:showBubbleSize val="0"/>
        </c:dLbls>
        <c:gapWidth val="246"/>
        <c:overlap val="-28"/>
        <c:axId val="920951807"/>
        <c:axId val="935406654"/>
      </c:barChart>
      <c:catAx>
        <c:axId val="920951807"/>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35406654"/>
        <c:crosses val="autoZero"/>
        <c:auto val="1"/>
        <c:lblAlgn val="ctr"/>
        <c:lblOffset val="100"/>
        <c:noMultiLvlLbl val="0"/>
      </c:catAx>
      <c:valAx>
        <c:axId val="935406654"/>
        <c:scaling>
          <c:orientation val="minMax"/>
        </c:scaling>
        <c:delete val="0"/>
        <c:axPos val="l"/>
        <c:majorGridlines>
          <c:spPr>
            <a:ln w="9525" cap="flat" cmpd="sng" algn="ctr">
              <a:solidFill>
                <a:schemeClr val="bg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20951807"/>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delete val="1"/>
          </c:dLbls>
          <c:cat>
            <c:strRef>
              <c:f>[工作簿2]Sheet1!$B$1:$C$1</c:f>
              <c:strCache>
                <c:ptCount val="2"/>
                <c:pt idx="0">
                  <c:v>2021年</c:v>
                </c:pt>
                <c:pt idx="1">
                  <c:v>2022年</c:v>
                </c:pt>
              </c:strCache>
            </c:strRef>
          </c:cat>
          <c:val>
            <c:numRef>
              <c:f>[工作簿2]Sheet1!$B$2:$C$2</c:f>
              <c:numCache>
                <c:formatCode>General</c:formatCode>
                <c:ptCount val="2"/>
                <c:pt idx="0">
                  <c:v>3798.93</c:v>
                </c:pt>
                <c:pt idx="1">
                  <c:v>4228.88</c:v>
                </c:pt>
              </c:numCache>
            </c:numRef>
          </c:val>
        </c:ser>
        <c:dLbls>
          <c:showLegendKey val="0"/>
          <c:showVal val="0"/>
          <c:showCatName val="0"/>
          <c:showSerName val="0"/>
          <c:showPercent val="0"/>
          <c:showBubbleSize val="0"/>
        </c:dLbls>
        <c:gapWidth val="246"/>
        <c:overlap val="-28"/>
        <c:axId val="920951807"/>
        <c:axId val="935406654"/>
      </c:barChart>
      <c:catAx>
        <c:axId val="920951807"/>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35406654"/>
        <c:crosses val="autoZero"/>
        <c:auto val="1"/>
        <c:lblAlgn val="ctr"/>
        <c:lblOffset val="100"/>
        <c:noMultiLvlLbl val="0"/>
      </c:catAx>
      <c:valAx>
        <c:axId val="935406654"/>
        <c:scaling>
          <c:orientation val="minMax"/>
        </c:scaling>
        <c:delete val="0"/>
        <c:axPos val="l"/>
        <c:majorGridlines>
          <c:spPr>
            <a:ln w="9525" cap="flat" cmpd="sng" algn="ctr">
              <a:solidFill>
                <a:schemeClr val="bg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20951807"/>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Pt>
            <c:idx val="3"/>
            <c:bubble3D val="0"/>
            <c:spPr>
              <a:solidFill>
                <a:schemeClr val="accent4"/>
              </a:solidFill>
              <a:ln>
                <a:solidFill>
                  <a:schemeClr val="bg1"/>
                </a:solidFill>
              </a:ln>
              <a:effectLst/>
            </c:spPr>
          </c:dPt>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inEnd"/>
            <c:showLegendKey val="0"/>
            <c:showVal val="0"/>
            <c:showCatName val="0"/>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[工作簿4]Sheet1!$D$1:$G$1</c:f>
              <c:strCache>
                <c:ptCount val="4"/>
                <c:pt idx="0">
                  <c:v>社会保障和就业支出</c:v>
                </c:pt>
                <c:pt idx="1">
                  <c:v>卫生健康支出</c:v>
                </c:pt>
                <c:pt idx="2">
                  <c:v>农村水支出</c:v>
                </c:pt>
                <c:pt idx="3">
                  <c:v>住房保障支出</c:v>
                </c:pt>
              </c:strCache>
            </c:strRef>
          </c:cat>
          <c:val>
            <c:numRef>
              <c:f>[工作簿4]Sheet1!$D$2:$G$2</c:f>
              <c:numCache>
                <c:formatCode>General</c:formatCode>
                <c:ptCount val="4"/>
                <c:pt idx="0">
                  <c:v>3763.76</c:v>
                </c:pt>
                <c:pt idx="1">
                  <c:v>44.24</c:v>
                </c:pt>
                <c:pt idx="2">
                  <c:v>342.88</c:v>
                </c:pt>
                <c:pt idx="3">
                  <c:v>77.99</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0"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p>
      </c:txPr>
    </c:title>
    <c:autoTitleDeleted val="0"/>
    <c:plotArea>
      <c:layout/>
      <c:pieChart>
        <c:varyColors val="1"/>
        <c:ser>
          <c:idx val="0"/>
          <c:order val="0"/>
          <c:tx>
            <c:strRef>
              <c:f>[柱状图、饼状图.xls]Sheet1!$D$74</c:f>
              <c:strCache>
                <c:ptCount val="1"/>
                <c:pt idx="0">
                  <c:v>公务接待支出</c:v>
                </c:pt>
              </c:strCache>
            </c:strRef>
          </c:tx>
          <c:explosion val="0"/>
          <c:dPt>
            <c:idx val="0"/>
            <c:bubble3D val="0"/>
            <c:explosion val="0"/>
            <c:spPr>
              <a:solidFill>
                <a:schemeClr val="accent1"/>
              </a:solidFill>
              <a:ln w="19050">
                <a:solidFill>
                  <a:schemeClr val="lt1"/>
                </a:solidFill>
              </a:ln>
              <a:effectLst/>
            </c:spPr>
          </c:dPt>
          <c:dLbls>
            <c:numFmt formatCode="General" sourceLinked="1"/>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ctr"/>
            <c:showLegendKey val="0"/>
            <c:showVal val="0"/>
            <c:showCatName val="0"/>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rgbClr val="000000">
                          <a:alpha val="100000"/>
                        </a:srgbClr>
                      </a:solidFill>
                      <a:prstDash val="solid"/>
                      <a:round/>
                    </a:ln>
                  </c:spPr>
                </c15:leaderLines>
              </c:ext>
            </c:extLst>
          </c:dLbls>
          <c:val>
            <c:numRef>
              <c:f>[柱状图、饼状图.xls]Sheet1!$E$74</c:f>
              <c:numCache>
                <c:formatCode>General</c:formatCode>
                <c:ptCount val="1"/>
                <c:pt idx="0">
                  <c:v>5</c:v>
                </c:pt>
              </c:numCache>
            </c:numRef>
          </c:val>
        </c:ser>
        <c:ser>
          <c:idx val="1"/>
          <c:order val="1"/>
          <c:tx>
            <c:strRef>
              <c:f>[柱状图、饼状图.xls]Sheet1!$D$75</c:f>
              <c:strCache>
                <c:ptCount val="1"/>
                <c:pt idx="0">
                  <c:v>因公出国（境）费支出</c:v>
                </c:pt>
              </c:strCache>
            </c:strRef>
          </c:tx>
          <c:explosion val="0"/>
          <c:dPt>
            <c:idx val="0"/>
            <c:bubble3D val="0"/>
            <c:explosion val="0"/>
          </c:dPt>
          <c:dLbls>
            <c:numFmt formatCode="General" sourceLinked="1"/>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ctr"/>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rgbClr val="000000">
                          <a:alpha val="100000"/>
                        </a:srgbClr>
                      </a:solidFill>
                      <a:prstDash val="solid"/>
                      <a:round/>
                    </a:ln>
                  </c:spPr>
                </c15:leaderLines>
              </c:ext>
            </c:extLst>
          </c:dLbls>
          <c:val>
            <c:numRef>
              <c:f>[柱状图、饼状图.xls]Sheet1!$E$75</c:f>
              <c:numCache>
                <c:formatCode>General</c:formatCode>
                <c:ptCount val="1"/>
                <c:pt idx="0">
                  <c:v>0</c:v>
                </c:pt>
              </c:numCache>
            </c:numRef>
          </c:val>
        </c:ser>
        <c:ser>
          <c:idx val="2"/>
          <c:order val="2"/>
          <c:tx>
            <c:strRef>
              <c:f>[柱状图、饼状图.xls]Sheet1!$D$76</c:f>
              <c:strCache>
                <c:ptCount val="1"/>
                <c:pt idx="0">
                  <c:v>公务用车购置及运行维护费支出</c:v>
                </c:pt>
              </c:strCache>
            </c:strRef>
          </c:tx>
          <c:explosion val="0"/>
          <c:dPt>
            <c:idx val="0"/>
            <c:bubble3D val="0"/>
            <c:explosion val="0"/>
          </c:dPt>
          <c:dLbls>
            <c:numFmt formatCode="General" sourceLinked="1"/>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ctr"/>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rgbClr val="000000">
                          <a:alpha val="100000"/>
                        </a:srgbClr>
                      </a:solidFill>
                      <a:prstDash val="solid"/>
                      <a:round/>
                    </a:ln>
                  </c:spPr>
                </c15:leaderLines>
              </c:ext>
            </c:extLst>
          </c:dLbls>
          <c:val>
            <c:numRef>
              <c:f>[柱状图、饼状图.xls]Sheet1!$E$76</c:f>
              <c:numCache>
                <c:formatCode>General</c:formatCode>
                <c:ptCount val="1"/>
                <c:pt idx="0">
                  <c:v>0</c:v>
                </c:pt>
              </c:numCache>
            </c:numRef>
          </c:val>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wrap="square"/>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bg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dk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10085">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styleClr val="auto"/>
    </cs:effectRef>
    <cs:fontRef idx="minor">
      <a:schemeClr val="dk1"/>
    </cs:fontRef>
    <cs:spPr>
      <a:gradFill>
        <a:gsLst>
          <a:gs pos="0">
            <a:schemeClr val="phClr">
              <a:lumMod val="40000"/>
              <a:lumOff val="60000"/>
            </a:schemeClr>
          </a:gs>
          <a:gs pos="90000">
            <a:schemeClr val="phClr"/>
          </a:gs>
        </a:gsLst>
        <a:lin ang="5400000" scaled="0"/>
      </a:gradFill>
      <a:ln>
        <a:gradFill>
          <a:gsLst>
            <a:gs pos="0">
              <a:schemeClr val="phClr"/>
            </a:gs>
            <a:gs pos="100000">
              <a:schemeClr val="phClr">
                <a:lumMod val="75000"/>
              </a:schemeClr>
            </a:gs>
          </a:gsLst>
          <a:lin ang="5400000" scaled="1"/>
        </a:gradFill>
      </a:ln>
      <a:effectLst>
        <a:outerShdw blurRad="76200" dist="25400" dir="2700000" algn="tl" rotWithShape="0">
          <a:schemeClr val="phClr">
            <a:lumMod val="50000"/>
            <a:alpha val="30000"/>
          </a:schemeClr>
        </a:outerShdw>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bg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dk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10085">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styleClr val="auto"/>
    </cs:effectRef>
    <cs:fontRef idx="minor">
      <a:schemeClr val="dk1"/>
    </cs:fontRef>
    <cs:spPr>
      <a:gradFill>
        <a:gsLst>
          <a:gs pos="0">
            <a:schemeClr val="phClr">
              <a:lumMod val="40000"/>
              <a:lumOff val="60000"/>
            </a:schemeClr>
          </a:gs>
          <a:gs pos="90000">
            <a:schemeClr val="phClr"/>
          </a:gs>
        </a:gsLst>
        <a:lin ang="5400000" scaled="0"/>
      </a:gradFill>
      <a:ln>
        <a:gradFill>
          <a:gsLst>
            <a:gs pos="0">
              <a:schemeClr val="phClr"/>
            </a:gs>
            <a:gs pos="100000">
              <a:schemeClr val="phClr">
                <a:lumMod val="75000"/>
              </a:schemeClr>
            </a:gs>
          </a:gsLst>
          <a:lin ang="5400000" scaled="1"/>
        </a:gradFill>
      </a:ln>
      <a:effectLst>
        <a:outerShdw blurRad="76200" dist="25400" dir="2700000" algn="tl" rotWithShape="0">
          <a:schemeClr val="phClr">
            <a:lumMod val="50000"/>
            <a:alpha val="30000"/>
          </a:schemeClr>
        </a:outerShdw>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bg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dk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bg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dk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bg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dk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bg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dk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四川省财政厅</Company>
  <Pages>63</Pages>
  <Words>25112</Words>
  <Characters>27716</Characters>
  <Lines>61</Lines>
  <Paragraphs>17</Paragraphs>
  <TotalTime>19</TotalTime>
  <ScaleCrop>false</ScaleCrop>
  <LinksUpToDate>false</LinksUpToDate>
  <CharactersWithSpaces>28016</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2020-08-05T01:49:00Z</dcterms:created>
  <dc:creator>曹颖</dc:creator>
  <cp:lastModifiedBy>DELL</cp:lastModifiedBy>
  <cp:lastPrinted>2023-07-31T02:35:00Z</cp:lastPrinted>
  <dcterms:modified xsi:type="dcterms:W3CDTF">2023-09-28T11:14:58Z</dcterms:modified>
  <dc:title>四川省***</dc:title>
  <cp:revision>32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5D8668B494764243AFC5167FB8282DAA_13</vt:lpwstr>
  </property>
</Properties>
</file>