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广元市昭化区</w:t>
      </w:r>
      <w:bookmarkStart w:id="0" w:name="_GoBack"/>
      <w:r>
        <w:rPr>
          <w:rFonts w:hint="eastAsia" w:ascii="方正小标宋简体" w:hAnsi="方正小标宋简体" w:eastAsia="方正小标宋简体" w:cs="方正小标宋简体"/>
          <w:b w:val="0"/>
        </w:rPr>
        <w:t>人力资源和社会保障局社会保险领域政务公开标准目录</w:t>
      </w:r>
    </w:p>
    <w:bookmarkEnd w:id="0"/>
    <w:tbl>
      <w:tblPr>
        <w:tblStyle w:val="5"/>
        <w:tblpPr w:leftFromText="180" w:rightFromText="180" w:vertAnchor="text" w:horzAnchor="page" w:tblpX="433" w:tblpY="933"/>
        <w:tblOverlap w:val="never"/>
        <w:tblW w:w="55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750"/>
        <w:gridCol w:w="1417"/>
        <w:gridCol w:w="2183"/>
        <w:gridCol w:w="2484"/>
        <w:gridCol w:w="1300"/>
        <w:gridCol w:w="1900"/>
        <w:gridCol w:w="1150"/>
        <w:gridCol w:w="533"/>
        <w:gridCol w:w="417"/>
        <w:gridCol w:w="400"/>
        <w:gridCol w:w="483"/>
        <w:gridCol w:w="467"/>
        <w:gridCol w:w="400"/>
        <w:gridCol w:w="56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48" w:type="pct"/>
            <w:vMerge w:val="restart"/>
            <w:shd w:val="clear" w:color="auto" w:fill="auto"/>
            <w:noWrap/>
            <w:vAlign w:val="center"/>
          </w:tcPr>
          <w:p>
            <w:pPr>
              <w:widowControl/>
              <w:rPr>
                <w:rFonts w:ascii="黑体" w:hAnsi="Times New Roman" w:eastAsia="黑体"/>
                <w:color w:val="000000"/>
                <w:kern w:val="0"/>
                <w:sz w:val="22"/>
              </w:rPr>
            </w:pPr>
            <w:r>
              <w:rPr>
                <w:rFonts w:hint="eastAsia" w:ascii="黑体" w:hAnsi="宋体" w:eastAsia="黑体"/>
                <w:color w:val="000000"/>
                <w:kern w:val="0"/>
                <w:sz w:val="22"/>
              </w:rPr>
              <w:t>序号</w:t>
            </w:r>
          </w:p>
        </w:tc>
        <w:tc>
          <w:tcPr>
            <w:tcW w:w="684" w:type="pct"/>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689" w:type="pct"/>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（要素）</w:t>
            </w:r>
          </w:p>
        </w:tc>
        <w:tc>
          <w:tcPr>
            <w:tcW w:w="785" w:type="pct"/>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410" w:type="pct"/>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600" w:type="pct"/>
            <w:vMerge w:val="restar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363" w:type="pct"/>
            <w:vMerge w:val="restart"/>
            <w:shd w:val="clear" w:color="auto" w:fill="auto"/>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300" w:type="pct"/>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279" w:type="pct"/>
            <w:gridSpan w:val="2"/>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452" w:type="pct"/>
            <w:gridSpan w:val="3"/>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c>
          <w:tcPr>
            <w:tcW w:w="284" w:type="pct"/>
            <w:vMerge w:val="restart"/>
            <w:shd w:val="clear" w:color="auto" w:fill="auto"/>
            <w:noWrap/>
            <w:vAlign w:val="center"/>
          </w:tcPr>
          <w:p>
            <w:pPr>
              <w:widowControl/>
              <w:jc w:val="center"/>
              <w:rPr>
                <w:rFonts w:hint="eastAsia" w:ascii="黑体" w:hAnsi="宋体" w:eastAsia="黑体" w:cs="宋体"/>
                <w:color w:val="000000"/>
                <w:kern w:val="0"/>
                <w:sz w:val="22"/>
              </w:rPr>
            </w:pPr>
            <w:r>
              <w:rPr>
                <w:rFonts w:ascii="Times New Roman" w:hAnsi="Times New Roman" w:eastAsia="黑体"/>
                <w:color w:val="000000"/>
                <w:kern w:val="0"/>
                <w:szCs w:val="21"/>
              </w:rPr>
              <w:t>属于生命（企业）周期清单范围内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148" w:type="pct"/>
            <w:vMerge w:val="continue"/>
            <w:shd w:val="clear" w:color="auto" w:fill="auto"/>
            <w:noWrap/>
            <w:vAlign w:val="center"/>
          </w:tcPr>
          <w:p>
            <w:pPr>
              <w:widowControl/>
              <w:rPr>
                <w:rFonts w:ascii="Times New Roman" w:hAnsi="Times New Roman"/>
                <w:color w:val="000000"/>
                <w:kern w:val="0"/>
                <w:sz w:val="15"/>
                <w:szCs w:val="15"/>
              </w:rPr>
            </w:pPr>
          </w:p>
        </w:tc>
        <w:tc>
          <w:tcPr>
            <w:tcW w:w="237"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47"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689" w:type="pct"/>
            <w:vMerge w:val="continue"/>
            <w:shd w:val="clear" w:color="auto" w:fill="auto"/>
            <w:noWrap/>
            <w:vAlign w:val="center"/>
          </w:tcPr>
          <w:p>
            <w:pPr>
              <w:widowControl/>
              <w:rPr>
                <w:rFonts w:ascii="黑体" w:hAnsi="宋体" w:eastAsia="黑体" w:cs="宋体"/>
                <w:color w:val="000000"/>
                <w:kern w:val="0"/>
                <w:sz w:val="22"/>
              </w:rPr>
            </w:pPr>
          </w:p>
        </w:tc>
        <w:tc>
          <w:tcPr>
            <w:tcW w:w="785" w:type="pct"/>
            <w:vMerge w:val="continue"/>
            <w:shd w:val="clear" w:color="auto" w:fill="auto"/>
            <w:noWrap/>
            <w:vAlign w:val="center"/>
          </w:tcPr>
          <w:p>
            <w:pPr>
              <w:widowControl/>
              <w:rPr>
                <w:rFonts w:ascii="黑体" w:hAnsi="宋体" w:eastAsia="黑体" w:cs="宋体"/>
                <w:color w:val="000000"/>
                <w:kern w:val="0"/>
                <w:sz w:val="22"/>
              </w:rPr>
            </w:pPr>
          </w:p>
        </w:tc>
        <w:tc>
          <w:tcPr>
            <w:tcW w:w="410" w:type="pct"/>
            <w:vMerge w:val="continue"/>
            <w:shd w:val="clear" w:color="auto" w:fill="auto"/>
            <w:noWrap/>
            <w:vAlign w:val="center"/>
          </w:tcPr>
          <w:p>
            <w:pPr>
              <w:widowControl/>
              <w:rPr>
                <w:rFonts w:ascii="黑体" w:hAnsi="宋体" w:eastAsia="黑体" w:cs="宋体"/>
                <w:color w:val="000000"/>
                <w:kern w:val="0"/>
                <w:sz w:val="22"/>
              </w:rPr>
            </w:pPr>
          </w:p>
        </w:tc>
        <w:tc>
          <w:tcPr>
            <w:tcW w:w="600" w:type="pct"/>
            <w:vMerge w:val="continue"/>
            <w:shd w:val="clear" w:color="auto" w:fill="auto"/>
            <w:noWrap/>
            <w:vAlign w:val="center"/>
          </w:tcPr>
          <w:p>
            <w:pPr>
              <w:widowControl/>
              <w:rPr>
                <w:rFonts w:ascii="黑体" w:hAnsi="宋体" w:eastAsia="黑体" w:cs="宋体"/>
                <w:color w:val="000000"/>
                <w:kern w:val="0"/>
                <w:sz w:val="22"/>
              </w:rPr>
            </w:pPr>
          </w:p>
        </w:tc>
        <w:tc>
          <w:tcPr>
            <w:tcW w:w="363" w:type="pct"/>
            <w:vMerge w:val="continue"/>
            <w:shd w:val="clear" w:color="auto" w:fill="auto"/>
            <w:noWrap/>
            <w:vAlign w:val="center"/>
          </w:tcPr>
          <w:p>
            <w:pPr>
              <w:widowControl/>
              <w:rPr>
                <w:rFonts w:ascii="黑体" w:hAnsi="宋体" w:eastAsia="黑体" w:cs="宋体"/>
                <w:kern w:val="0"/>
                <w:sz w:val="22"/>
              </w:rPr>
            </w:pPr>
          </w:p>
        </w:tc>
        <w:tc>
          <w:tcPr>
            <w:tcW w:w="168"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131"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126"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152"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7" w:type="pct"/>
            <w:shd w:val="clear" w:color="auto" w:fill="auto"/>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26" w:type="pct"/>
            <w:shd w:val="clear" w:color="auto" w:fill="auto"/>
            <w:noWrap/>
            <w:vAlign w:val="center"/>
          </w:tcPr>
          <w:p>
            <w:pPr>
              <w:jc w:val="center"/>
              <w:rPr>
                <w:rFonts w:ascii="黑体" w:hAnsi="宋体" w:eastAsia="黑体" w:cs="宋体"/>
                <w:color w:val="000000"/>
                <w:kern w:val="0"/>
                <w:sz w:val="22"/>
              </w:rPr>
            </w:pPr>
            <w:r>
              <w:rPr>
                <w:rFonts w:hint="eastAsia" w:ascii="Times New Roman" w:hAnsi="Times New Roman" w:eastAsia="黑体"/>
                <w:color w:val="000000"/>
                <w:kern w:val="0"/>
                <w:szCs w:val="21"/>
              </w:rPr>
              <w:t>镇级</w:t>
            </w:r>
          </w:p>
        </w:tc>
        <w:tc>
          <w:tcPr>
            <w:tcW w:w="178" w:type="pct"/>
            <w:shd w:val="clear" w:color="auto" w:fill="auto"/>
            <w:noWrap/>
            <w:vAlign w:val="center"/>
          </w:tcPr>
          <w:p>
            <w:pPr>
              <w:jc w:val="center"/>
              <w:rPr>
                <w:rFonts w:hint="eastAsia" w:ascii="黑体" w:hAnsi="宋体" w:eastAsia="黑体" w:cs="宋体"/>
                <w:color w:val="000000"/>
                <w:kern w:val="0"/>
                <w:sz w:val="22"/>
              </w:rPr>
            </w:pPr>
            <w:r>
              <w:rPr>
                <w:rFonts w:hint="eastAsia" w:ascii="Times New Roman" w:hAnsi="Times New Roman" w:eastAsia="黑体"/>
                <w:color w:val="000000"/>
                <w:kern w:val="0"/>
                <w:szCs w:val="21"/>
              </w:rPr>
              <w:t>村级</w:t>
            </w:r>
          </w:p>
        </w:tc>
        <w:tc>
          <w:tcPr>
            <w:tcW w:w="284" w:type="pct"/>
            <w:vMerge w:val="continue"/>
            <w:shd w:val="clear" w:color="auto" w:fill="auto"/>
            <w:noWrap/>
            <w:vAlign w:val="center"/>
          </w:tcPr>
          <w:p>
            <w:pPr>
              <w:widowControl/>
              <w:jc w:val="center"/>
              <w:rPr>
                <w:rFonts w:hint="eastAsia" w:ascii="黑体" w:hAnsi="宋体" w:eastAsia="黑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区人力资源和社会保障局机关事业单位社会保险事务中心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snapToGrid w:val="0"/>
              <w:spacing w:line="240" w:lineRule="auto"/>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p>
            <w:pPr>
              <w:rPr>
                <w:rFonts w:ascii="仿宋_GB2312" w:hAnsi="宋体" w:eastAsia="仿宋_GB2312"/>
                <w:color w:val="000000"/>
                <w:sz w:val="18"/>
                <w:szCs w:val="18"/>
              </w:rPr>
            </w:pP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区人力资源和社会保障局社会保险事务中心、城乡居民社会养老保险事务中心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sz w:val="18"/>
              </w:rPr>
            </w:pPr>
            <w:r>
              <w:rPr>
                <w:rFonts w:hint="eastAsia" w:ascii="仿宋_GB2312" w:hAnsi="宋体" w:eastAsia="仿宋_GB2312"/>
                <w:color w:val="000000"/>
                <w:sz w:val="18"/>
                <w:szCs w:val="18"/>
              </w:rPr>
              <w:t>企业社会保险登记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灵活就业人员、企业职工基本养老保险参保登记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区人力资源和社会保障局社会保险事务中心、城乡居民社会养老保险事务中心、机关事业单位社会保险事务中心、就业服务中心</w:t>
            </w:r>
          </w:p>
          <w:p>
            <w:pPr>
              <w:rPr>
                <w:rFonts w:ascii="仿宋_GB2312" w:hAnsi="宋体" w:eastAsia="仿宋_GB2312"/>
                <w:color w:val="000000"/>
                <w:sz w:val="18"/>
                <w:szCs w:val="18"/>
              </w:rPr>
            </w:pP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6"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12</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highlight w:val="yellow"/>
              </w:rPr>
            </w:pPr>
            <w:r>
              <w:rPr>
                <w:rFonts w:hint="eastAsia" w:ascii="仿宋_GB2312" w:hAnsi="宋体" w:eastAsia="仿宋_GB2312"/>
                <w:sz w:val="18"/>
                <w:szCs w:val="18"/>
              </w:rPr>
              <w:t>失业保险待遇发放账户维护申请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13</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6"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社会保险费欠费、断缴补缴申报</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17</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区人力资源和社会保障局社会保险事务中心、机关事业单位社会保险事务中心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18</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19</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区人力资源和社会保障局社会保险事务中心、机关事业单位社会保险事务中心、城乡居民社会养老保险事务中心</w:t>
            </w:r>
          </w:p>
          <w:p>
            <w:pPr>
              <w:jc w:val="center"/>
              <w:rPr>
                <w:rFonts w:ascii="仿宋_GB2312" w:hAnsi="宋体" w:eastAsia="仿宋_GB2312"/>
                <w:color w:val="000000"/>
                <w:sz w:val="18"/>
                <w:szCs w:val="18"/>
              </w:rPr>
            </w:pP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22</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23</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3"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2</w:t>
            </w:r>
            <w:r>
              <w:rPr>
                <w:rFonts w:hint="eastAsia" w:ascii="仿宋_GB2312" w:hAnsi="宋体" w:eastAsia="仿宋_GB2312"/>
                <w:color w:val="000000"/>
                <w:sz w:val="18"/>
                <w:szCs w:val="18"/>
              </w:rPr>
              <w:t>8</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区人力资源和社会保障局机关事业单位社会保险事务中心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区人力资源和社会保障局城乡居民社会养老保险事务中心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5"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w:t>
            </w:r>
            <w:r>
              <w:rPr>
                <w:rFonts w:hint="eastAsia" w:ascii="仿宋_GB2312" w:hAnsi="宋体" w:eastAsia="仿宋_GB2312"/>
                <w:color w:val="000000"/>
                <w:sz w:val="18"/>
                <w:szCs w:val="18"/>
              </w:rPr>
              <w:t>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区人力资源和社会保障局机关事业单位社会保险事务中心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8"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w:t>
            </w:r>
            <w:r>
              <w:rPr>
                <w:rFonts w:hint="eastAsia" w:ascii="仿宋_GB2312" w:hAnsi="宋体" w:eastAsia="仿宋_GB2312"/>
                <w:color w:val="000000"/>
                <w:sz w:val="18"/>
                <w:szCs w:val="18"/>
              </w:rPr>
              <w:t>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w:t>
            </w:r>
            <w:r>
              <w:rPr>
                <w:rFonts w:hint="eastAsia" w:ascii="仿宋_GB2312" w:hAnsi="宋体" w:eastAsia="仿宋_GB2312"/>
                <w:color w:val="000000"/>
                <w:sz w:val="18"/>
                <w:szCs w:val="18"/>
              </w:rPr>
              <w:t>2</w:t>
            </w:r>
          </w:p>
        </w:tc>
        <w:tc>
          <w:tcPr>
            <w:tcW w:w="23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9"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w:t>
            </w:r>
            <w:r>
              <w:rPr>
                <w:rFonts w:hint="eastAsia" w:ascii="仿宋_GB2312" w:hAnsi="宋体" w:eastAsia="仿宋_GB2312"/>
                <w:color w:val="000000"/>
                <w:sz w:val="18"/>
                <w:szCs w:val="18"/>
              </w:rPr>
              <w:t>3</w:t>
            </w:r>
          </w:p>
        </w:tc>
        <w:tc>
          <w:tcPr>
            <w:tcW w:w="23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447" w:type="pct"/>
            <w:shd w:val="clear" w:color="auto" w:fill="auto"/>
            <w:noWrap/>
            <w:vAlign w:val="center"/>
          </w:tcPr>
          <w:p>
            <w:r>
              <w:rPr>
                <w:rFonts w:hint="eastAsia" w:ascii="仿宋_GB2312" w:hAnsi="宋体" w:eastAsia="仿宋_GB2312"/>
                <w:color w:val="000000"/>
                <w:sz w:val="18"/>
                <w:szCs w:val="18"/>
              </w:rPr>
              <w:t>多重养老保险关系个人账户退费</w:t>
            </w:r>
          </w:p>
        </w:tc>
        <w:tc>
          <w:tcPr>
            <w:tcW w:w="689"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shd w:val="clear" w:color="auto" w:fill="auto"/>
            <w:noWrap/>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tc>
        <w:tc>
          <w:tcPr>
            <w:tcW w:w="410"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w:t>
            </w:r>
          </w:p>
        </w:tc>
        <w:tc>
          <w:tcPr>
            <w:tcW w:w="363"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w:t>
            </w:r>
            <w:r>
              <w:rPr>
                <w:rFonts w:hint="eastAsia" w:ascii="仿宋_GB2312" w:hAnsi="宋体" w:eastAsia="仿宋_GB2312"/>
                <w:color w:val="000000"/>
                <w:sz w:val="18"/>
                <w:szCs w:val="18"/>
              </w:rPr>
              <w:t>4</w:t>
            </w:r>
          </w:p>
        </w:tc>
        <w:tc>
          <w:tcPr>
            <w:tcW w:w="237" w:type="pct"/>
            <w:vMerge w:val="restart"/>
            <w:shd w:val="clear" w:color="auto" w:fill="auto"/>
            <w:noWrap/>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区人力资源和社会保障局基金监督股、社会保险事务中心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38</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42</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43</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45</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区人力资源和社会保障局基金监督股、社会保险事务中心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w:t>
            </w:r>
            <w:r>
              <w:rPr>
                <w:rFonts w:hint="eastAsia" w:ascii="仿宋_GB2312" w:hAnsi="宋体" w:eastAsia="仿宋_GB2312"/>
                <w:color w:val="000000"/>
                <w:sz w:val="18"/>
                <w:szCs w:val="18"/>
              </w:rPr>
              <w:t>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48</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49</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2</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3</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5</w:t>
            </w:r>
            <w:r>
              <w:rPr>
                <w:rFonts w:hint="eastAsia" w:ascii="仿宋_GB2312" w:hAnsi="宋体" w:eastAsia="仿宋_GB2312"/>
                <w:color w:val="000000"/>
                <w:sz w:val="18"/>
                <w:szCs w:val="18"/>
              </w:rPr>
              <w:t>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56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57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p>
            <w:pPr>
              <w:rPr>
                <w:rFonts w:ascii="仿宋_GB2312" w:hAnsi="宋体" w:eastAsia="仿宋_GB2312"/>
                <w:color w:val="000000"/>
                <w:sz w:val="18"/>
                <w:szCs w:val="18"/>
              </w:rPr>
            </w:pP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58</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区人力资源和社会保障局就业服务中心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59</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60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61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62</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领取失业保险待遇期间自助创业的失业人员一次性领取失业保险金申请</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63</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代缴基本医疗保险费</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64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65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66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67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68</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领取失业保险待遇期间生育补助金申请和发放</w:t>
            </w:r>
          </w:p>
          <w:p>
            <w:pPr>
              <w:rPr>
                <w:rFonts w:ascii="仿宋_GB2312" w:hAnsi="宋体" w:eastAsia="仿宋_GB2312"/>
                <w:color w:val="000000" w:themeColor="text1"/>
                <w:sz w:val="18"/>
                <w:szCs w:val="18"/>
              </w:rPr>
            </w:pP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69</w:t>
            </w:r>
          </w:p>
        </w:tc>
        <w:tc>
          <w:tcPr>
            <w:tcW w:w="237" w:type="pct"/>
            <w:vMerge w:val="restart"/>
            <w:shd w:val="clear" w:color="auto" w:fill="auto"/>
            <w:noWrap/>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71</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72</w:t>
            </w:r>
          </w:p>
        </w:tc>
        <w:tc>
          <w:tcPr>
            <w:tcW w:w="237"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689"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785"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410" w:type="pct"/>
            <w:vMerge w:val="restar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600" w:type="pct"/>
            <w:vMerge w:val="restar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区人力资源和社会保障局社会保险事务中心</w:t>
            </w:r>
          </w:p>
        </w:tc>
        <w:tc>
          <w:tcPr>
            <w:tcW w:w="363" w:type="pct"/>
            <w:vMerge w:val="restart"/>
            <w:shd w:val="clear" w:color="auto" w:fill="auto"/>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rPr>
                <w:rFonts w:ascii="仿宋_GB2312" w:hAnsi="宋体" w:eastAsia="仿宋_GB2312"/>
                <w:color w:val="000000"/>
                <w:sz w:val="18"/>
                <w:szCs w:val="18"/>
              </w:rPr>
            </w:pPr>
            <w:r>
              <w:rPr>
                <w:rFonts w:hint="eastAsia" w:ascii="仿宋_GB2312" w:hAnsi="宋体" w:eastAsia="仿宋_GB2312"/>
                <w:color w:val="000000" w:themeColor="text1"/>
                <w:sz w:val="18"/>
                <w:szCs w:val="18"/>
              </w:rPr>
              <w:t>■政务服务网</w:t>
            </w: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73</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74</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75</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76</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77</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8" w:type="pct"/>
            <w:shd w:val="clear" w:color="auto" w:fill="auto"/>
            <w:noWrap/>
            <w:vAlign w:val="center"/>
          </w:tcPr>
          <w:p>
            <w:pPr>
              <w:rPr>
                <w:rFonts w:ascii="仿宋_GB2312" w:hAnsi="宋体" w:eastAsia="仿宋_GB2312"/>
                <w:color w:val="000000"/>
                <w:sz w:val="18"/>
                <w:szCs w:val="18"/>
              </w:rPr>
            </w:pPr>
            <w:r>
              <w:rPr>
                <w:rFonts w:ascii="仿宋_GB2312" w:hAnsi="宋体" w:eastAsia="仿宋_GB2312"/>
                <w:color w:val="000000"/>
                <w:sz w:val="18"/>
                <w:szCs w:val="18"/>
              </w:rPr>
              <w:t>78</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79</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48"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80</w:t>
            </w:r>
          </w:p>
        </w:tc>
        <w:tc>
          <w:tcPr>
            <w:tcW w:w="237" w:type="pct"/>
            <w:vMerge w:val="continue"/>
            <w:shd w:val="clear" w:color="auto" w:fill="auto"/>
            <w:noWrap/>
            <w:vAlign w:val="center"/>
          </w:tcPr>
          <w:p>
            <w:pPr>
              <w:rPr>
                <w:rFonts w:ascii="仿宋_GB2312" w:hAnsi="宋体" w:eastAsia="仿宋_GB2312"/>
                <w:color w:val="000000"/>
                <w:sz w:val="18"/>
                <w:szCs w:val="18"/>
              </w:rPr>
            </w:pPr>
          </w:p>
        </w:tc>
        <w:tc>
          <w:tcPr>
            <w:tcW w:w="447" w:type="pct"/>
            <w:shd w:val="clear" w:color="auto" w:fill="auto"/>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社会保障卡参保地转移</w:t>
            </w:r>
          </w:p>
        </w:tc>
        <w:tc>
          <w:tcPr>
            <w:tcW w:w="689" w:type="pct"/>
            <w:vMerge w:val="continue"/>
            <w:shd w:val="clear" w:color="auto" w:fill="auto"/>
            <w:noWrap/>
            <w:vAlign w:val="center"/>
          </w:tcPr>
          <w:p>
            <w:pPr>
              <w:rPr>
                <w:rFonts w:ascii="仿宋_GB2312" w:hAnsi="宋体" w:eastAsia="仿宋_GB2312"/>
                <w:color w:val="000000"/>
                <w:sz w:val="18"/>
                <w:szCs w:val="18"/>
              </w:rPr>
            </w:pPr>
          </w:p>
        </w:tc>
        <w:tc>
          <w:tcPr>
            <w:tcW w:w="785" w:type="pct"/>
            <w:vMerge w:val="continue"/>
            <w:shd w:val="clear" w:color="auto" w:fill="auto"/>
            <w:noWrap/>
            <w:vAlign w:val="center"/>
          </w:tcPr>
          <w:p>
            <w:pPr>
              <w:rPr>
                <w:rFonts w:ascii="仿宋_GB2312" w:hAnsi="宋体" w:eastAsia="仿宋_GB2312"/>
                <w:color w:val="000000"/>
                <w:sz w:val="18"/>
                <w:szCs w:val="18"/>
              </w:rPr>
            </w:pPr>
          </w:p>
        </w:tc>
        <w:tc>
          <w:tcPr>
            <w:tcW w:w="410" w:type="pct"/>
            <w:vMerge w:val="continue"/>
            <w:shd w:val="clear" w:color="auto" w:fill="auto"/>
            <w:noWrap/>
            <w:vAlign w:val="center"/>
          </w:tcPr>
          <w:p>
            <w:pPr>
              <w:rPr>
                <w:rFonts w:ascii="仿宋_GB2312" w:hAnsi="宋体" w:eastAsia="仿宋_GB2312"/>
                <w:color w:val="000000"/>
                <w:sz w:val="18"/>
                <w:szCs w:val="18"/>
              </w:rPr>
            </w:pPr>
          </w:p>
        </w:tc>
        <w:tc>
          <w:tcPr>
            <w:tcW w:w="600" w:type="pct"/>
            <w:vMerge w:val="continue"/>
            <w:shd w:val="clear" w:color="auto" w:fill="auto"/>
            <w:noWrap/>
            <w:vAlign w:val="center"/>
          </w:tcPr>
          <w:p>
            <w:pPr>
              <w:jc w:val="center"/>
              <w:rPr>
                <w:rFonts w:ascii="仿宋_GB2312" w:hAnsi="宋体" w:eastAsia="仿宋_GB2312"/>
                <w:color w:val="000000"/>
                <w:sz w:val="18"/>
                <w:szCs w:val="18"/>
              </w:rPr>
            </w:pPr>
          </w:p>
        </w:tc>
        <w:tc>
          <w:tcPr>
            <w:tcW w:w="363" w:type="pct"/>
            <w:vMerge w:val="continue"/>
            <w:shd w:val="clear" w:color="auto" w:fill="auto"/>
            <w:noWrap/>
            <w:vAlign w:val="center"/>
          </w:tcPr>
          <w:p>
            <w:pPr>
              <w:rPr>
                <w:rFonts w:ascii="仿宋_GB2312" w:hAnsi="宋体" w:eastAsia="仿宋_GB2312"/>
                <w:color w:val="000000"/>
                <w:sz w:val="18"/>
                <w:szCs w:val="18"/>
              </w:rPr>
            </w:pPr>
          </w:p>
        </w:tc>
        <w:tc>
          <w:tcPr>
            <w:tcW w:w="16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auto"/>
            <w:noWrap/>
            <w:vAlign w:val="center"/>
          </w:tcPr>
          <w:p>
            <w:pPr>
              <w:jc w:val="center"/>
              <w:rPr>
                <w:rFonts w:ascii="仿宋_GB2312" w:hAnsi="宋体" w:eastAsia="仿宋_GB2312"/>
                <w:color w:val="000000"/>
                <w:sz w:val="18"/>
                <w:szCs w:val="18"/>
              </w:rPr>
            </w:pP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52" w:type="pct"/>
            <w:shd w:val="clear" w:color="auto" w:fill="auto"/>
            <w:noWrap/>
            <w:vAlign w:val="center"/>
          </w:tcPr>
          <w:p>
            <w:pPr>
              <w:jc w:val="center"/>
              <w:rPr>
                <w:rFonts w:ascii="仿宋_GB2312" w:hAnsi="宋体" w:eastAsia="仿宋_GB2312"/>
                <w:color w:val="000000"/>
                <w:sz w:val="18"/>
                <w:szCs w:val="18"/>
              </w:rPr>
            </w:pPr>
          </w:p>
        </w:tc>
        <w:tc>
          <w:tcPr>
            <w:tcW w:w="147"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26"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78" w:type="pct"/>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4" w:type="pct"/>
            <w:shd w:val="clear" w:color="auto" w:fill="auto"/>
            <w:noWrap/>
            <w:vAlign w:val="center"/>
          </w:tcPr>
          <w:p>
            <w:pPr>
              <w:jc w:val="center"/>
              <w:rPr>
                <w:rFonts w:ascii="仿宋_GB2312" w:hAnsi="宋体" w:eastAsia="仿宋_GB2312"/>
                <w:color w:val="000000"/>
                <w:sz w:val="18"/>
                <w:szCs w:val="18"/>
              </w:rPr>
            </w:pPr>
          </w:p>
        </w:tc>
      </w:tr>
    </w:tbl>
    <w:p>
      <w:pPr>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85"/>
    <w:rsid w:val="000174C8"/>
    <w:rsid w:val="00195B54"/>
    <w:rsid w:val="003621A9"/>
    <w:rsid w:val="00366303"/>
    <w:rsid w:val="0039489A"/>
    <w:rsid w:val="003A4D85"/>
    <w:rsid w:val="008F1087"/>
    <w:rsid w:val="00DA42B6"/>
    <w:rsid w:val="01B67D33"/>
    <w:rsid w:val="08293F56"/>
    <w:rsid w:val="15BC4238"/>
    <w:rsid w:val="1CC3451B"/>
    <w:rsid w:val="1D304FF6"/>
    <w:rsid w:val="2B525E69"/>
    <w:rsid w:val="2EFD3F92"/>
    <w:rsid w:val="31CC3407"/>
    <w:rsid w:val="337A32B3"/>
    <w:rsid w:val="38354A00"/>
    <w:rsid w:val="41B925E3"/>
    <w:rsid w:val="49276E08"/>
    <w:rsid w:val="605E6231"/>
    <w:rsid w:val="67A91165"/>
    <w:rsid w:val="693D1B42"/>
    <w:rsid w:val="6AB76F4A"/>
    <w:rsid w:val="75774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0"/>
    <w:rPr>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864</Words>
  <Characters>4926</Characters>
  <Lines>41</Lines>
  <Paragraphs>11</Paragraphs>
  <TotalTime>0</TotalTime>
  <ScaleCrop>false</ScaleCrop>
  <LinksUpToDate>false</LinksUpToDate>
  <CharactersWithSpaces>5779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2020-07-30T07:37:00Z</dcterms:created>
  <dc:creator>AutoBVT</dc:creator>
  <cp:lastModifiedBy>汽水更可口</cp:lastModifiedBy>
  <cp:lastPrinted>2021-11-16T09:47:00Z</cp:lastPrinted>
  <dcterms:modified xsi:type="dcterms:W3CDTF">2021-11-18T01:05:35Z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313CE843A59D42DA8B28DA677D023AB3</vt:lpwstr>
  </property>
</Properties>
</file>