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193"/>
      <w:bookmarkStart w:id="1" w:name="_Toc15396475"/>
      <w:bookmarkStart w:id="2" w:name="_Toc15378441"/>
      <w:bookmarkStart w:id="3" w:name="_Toc15396597"/>
      <w:bookmarkStart w:id="4" w:name="_Toc1537742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5915"/>
      <w:bookmarkStart w:id="7" w:name="_Toc253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78442"/>
      <w:bookmarkStart w:id="9" w:name="_Toc15377194"/>
      <w:bookmarkStart w:id="10" w:name="_Toc15377426"/>
      <w:bookmarkStart w:id="11" w:name="_Toc15396476"/>
      <w:bookmarkStart w:id="12" w:name="_Toc15396598"/>
      <w:bookmarkStart w:id="13" w:name="_Toc13653"/>
      <w:bookmarkStart w:id="14" w:name="_Toc11993"/>
      <w:r>
        <w:rPr>
          <w:rFonts w:hint="eastAsia" w:ascii="方正小标宋简体" w:hAnsi="方正小标宋简体" w:eastAsia="方正小标宋简体" w:cs="方正小标宋简体"/>
          <w:color w:val="auto"/>
          <w:w w:val="90"/>
          <w:sz w:val="72"/>
          <w:szCs w:val="72"/>
          <w:highlight w:val="none"/>
        </w:rPr>
        <w:t>四川省</w:t>
      </w:r>
      <w:bookmarkEnd w:id="5"/>
      <w:bookmarkStart w:id="15" w:name="_Toc15306268"/>
      <w:r>
        <w:rPr>
          <w:rFonts w:hint="eastAsia" w:ascii="方正小标宋简体" w:hAnsi="方正小标宋简体" w:eastAsia="方正小标宋简体" w:cs="方正小标宋简体"/>
          <w:color w:val="auto"/>
          <w:w w:val="90"/>
          <w:sz w:val="72"/>
          <w:szCs w:val="72"/>
          <w:highlight w:val="none"/>
          <w:lang w:eastAsia="zh-CN"/>
        </w:rPr>
        <w:t>广元市昭化区财政局</w:t>
      </w:r>
      <w:r>
        <w:rPr>
          <w:rFonts w:hint="eastAsia" w:ascii="方正小标宋简体" w:hAnsi="方正小标宋简体" w:eastAsia="方正小标宋简体" w:cs="方正小标宋简体"/>
          <w:color w:val="auto"/>
          <w:sz w:val="72"/>
          <w:szCs w:val="72"/>
          <w:highlight w:val="none"/>
        </w:rPr>
        <w:t>部门决算</w:t>
      </w:r>
      <w:bookmarkEnd w:id="8"/>
      <w:bookmarkEnd w:id="9"/>
      <w:bookmarkEnd w:id="10"/>
      <w:bookmarkEnd w:id="11"/>
      <w:bookmarkEnd w:id="12"/>
      <w:bookmarkEnd w:id="13"/>
      <w:bookmarkEnd w:id="14"/>
      <w:bookmarkEnd w:id="15"/>
    </w:p>
    <w:p>
      <w:pPr>
        <w:widowControl/>
        <w:spacing w:line="440" w:lineRule="exact"/>
        <w:jc w:val="left"/>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54958"/>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440" w:lineRule="exact"/>
            <w:ind w:left="0" w:leftChars="0" w:right="0" w:rightChars="0" w:firstLine="0" w:firstLineChars="0"/>
            <w:jc w:val="center"/>
            <w:textAlignment w:val="auto"/>
            <w:rPr>
              <w:rFonts w:hint="eastAsia" w:ascii="黑体" w:hAnsi="黑体" w:eastAsia="黑体" w:cs="黑体"/>
              <w:sz w:val="44"/>
              <w:szCs w:val="44"/>
            </w:rPr>
          </w:pPr>
          <w:bookmarkStart w:id="16" w:name="_Toc13239"/>
          <w:r>
            <w:rPr>
              <w:rFonts w:hint="eastAsia" w:ascii="黑体" w:hAnsi="黑体" w:eastAsia="黑体" w:cs="黑体"/>
              <w:sz w:val="44"/>
              <w:szCs w:val="44"/>
            </w:rPr>
            <w:t>目录</w:t>
          </w:r>
        </w:p>
        <w:p>
          <w:pPr>
            <w:pStyle w:val="36"/>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黑体" w:hAnsi="黑体" w:eastAsia="黑体" w:cs="黑体"/>
              <w:b w:val="0"/>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_Toc4410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highlight w:val="none"/>
            </w:rPr>
            <w:t>第一部分 部门概况</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_Toc4410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2</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eastAsia="zh-CN"/>
            </w:rPr>
            <w:t>部门职责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_Toc10664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二、机</w:t>
          </w:r>
          <w:r>
            <w:rPr>
              <w:rFonts w:hint="eastAsia" w:ascii="仿宋_GB2312" w:hAnsi="仿宋_GB2312" w:eastAsia="仿宋_GB2312" w:cs="仿宋_GB2312"/>
              <w:bCs w:val="0"/>
              <w:sz w:val="32"/>
              <w:szCs w:val="32"/>
              <w:highlight w:val="none"/>
            </w:rPr>
            <w:t>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_Toc11616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_Toc22560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highlight w:val="none"/>
            </w:rPr>
            <w:t xml:space="preserve">第二部分 </w:t>
          </w:r>
          <w:r>
            <w:rPr>
              <w:rFonts w:hint="eastAsia" w:ascii="黑体" w:hAnsi="黑体" w:eastAsia="黑体" w:cs="黑体"/>
              <w:b w:val="0"/>
              <w:bCs/>
              <w:sz w:val="32"/>
              <w:szCs w:val="32"/>
              <w:highlight w:val="none"/>
              <w:lang w:val="en-US" w:eastAsia="zh-CN"/>
            </w:rPr>
            <w:t>2022年度</w:t>
          </w:r>
          <w:r>
            <w:rPr>
              <w:rFonts w:hint="eastAsia" w:ascii="黑体" w:hAnsi="黑体" w:eastAsia="黑体" w:cs="黑体"/>
              <w:b w:val="0"/>
              <w:bCs/>
              <w:sz w:val="32"/>
              <w:szCs w:val="32"/>
              <w:highlight w:val="none"/>
            </w:rPr>
            <w:t>部门决算情况说明</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_Toc22560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5</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一、 </w:t>
          </w:r>
          <w:r>
            <w:rPr>
              <w:rFonts w:hint="eastAsia" w:ascii="仿宋_GB2312" w:hAnsi="仿宋_GB2312" w:eastAsia="仿宋_GB2312" w:cs="仿宋_GB2312"/>
              <w:sz w:val="32"/>
              <w:szCs w:val="32"/>
              <w:highlight w:val="none"/>
            </w:rPr>
            <w:t>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_Toc30652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二、 </w:t>
          </w:r>
          <w:r>
            <w:rPr>
              <w:rFonts w:hint="eastAsia" w:ascii="仿宋_GB2312" w:hAnsi="仿宋_GB2312" w:eastAsia="仿宋_GB2312" w:cs="仿宋_GB2312"/>
              <w:sz w:val="32"/>
              <w:szCs w:val="32"/>
              <w:highlight w:val="none"/>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_Toc30652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三、 </w:t>
          </w:r>
          <w:r>
            <w:rPr>
              <w:rFonts w:hint="eastAsia" w:ascii="仿宋_GB2312" w:hAnsi="仿宋_GB2312" w:eastAsia="仿宋_GB2312" w:cs="仿宋_GB2312"/>
              <w:sz w:val="32"/>
              <w:szCs w:val="32"/>
              <w:highlight w:val="none"/>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_Toc13273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_Toc6516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_Toc6516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_Toc31719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_Toc31719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七、财政拨款“三公”经费支出决算情况说明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_Toc20296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_Toc22941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_Toc22941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_Toc26367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九、 </w:t>
          </w:r>
          <w:r>
            <w:rPr>
              <w:rFonts w:hint="eastAsia" w:ascii="仿宋_GB2312" w:hAnsi="仿宋_GB2312" w:eastAsia="仿宋_GB2312" w:cs="仿宋_GB2312"/>
              <w:sz w:val="32"/>
              <w:szCs w:val="32"/>
              <w:highlight w:val="none"/>
            </w:rPr>
            <w:t>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_Toc26367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7"/>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_Toc14120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十、 </w:t>
          </w:r>
          <w:r>
            <w:rPr>
              <w:rFonts w:hint="eastAsia" w:ascii="仿宋_GB2312" w:hAnsi="仿宋_GB2312" w:eastAsia="仿宋_GB2312" w:cs="仿宋_GB2312"/>
              <w:sz w:val="32"/>
              <w:szCs w:val="32"/>
              <w:highlight w:val="none"/>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_Toc14120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_Toc9585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 xml:space="preserve">第三部分 </w:t>
          </w:r>
          <w:r>
            <w:rPr>
              <w:rFonts w:hint="eastAsia" w:ascii="黑体" w:hAnsi="黑体" w:eastAsia="黑体" w:cs="黑体"/>
              <w:b w:val="0"/>
              <w:bCs/>
              <w:sz w:val="32"/>
              <w:szCs w:val="32"/>
              <w:highlight w:val="none"/>
            </w:rPr>
            <w:t>名词解释</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_Toc9585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15</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_Toc10039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highlight w:val="none"/>
            </w:rPr>
            <w:t>第四部分 附件</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_Toc10039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18</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spacing w:line="4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_Toc13488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highlight w:val="none"/>
            </w:rPr>
            <w:t>第五部分 附表</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_Toc13488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32</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lang w:val="en-US" w:eastAsia="zh-CN"/>
            </w:rPr>
            <w:t xml:space="preserve">  </w:t>
          </w:r>
          <w:r>
            <w:rPr>
              <w:rFonts w:hint="default" w:ascii="Times New Roman" w:hAnsi="Times New Roman" w:eastAsia="仿宋_GB2312" w:cs="Times New Roman"/>
              <w:color w:val="auto"/>
              <w:sz w:val="32"/>
              <w:szCs w:val="32"/>
              <w:highlight w:val="none"/>
            </w:rPr>
            <w:t>一、收入支出决算总表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二、收入决算表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四、财政拨款收入支出决算总表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六、一般公共预算财政拨款支出决算表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七、一般公共预算财政拨款支出决算明细表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八、一般公共预算财政拨款基本支出决算</w:t>
          </w:r>
          <w:r>
            <w:rPr>
              <w:rFonts w:hint="default" w:ascii="Times New Roman" w:hAnsi="Times New Roman" w:eastAsia="仿宋_GB2312" w:cs="Times New Roman"/>
              <w:color w:val="auto"/>
              <w:sz w:val="32"/>
              <w:szCs w:val="32"/>
              <w:highlight w:val="none"/>
              <w:lang w:eastAsia="zh-CN"/>
            </w:rPr>
            <w:t>明细</w:t>
          </w:r>
          <w:r>
            <w:rPr>
              <w:rFonts w:hint="default" w:ascii="Times New Roman" w:hAnsi="Times New Roman" w:eastAsia="仿宋_GB2312" w:cs="Times New Roman"/>
              <w:color w:val="auto"/>
              <w:sz w:val="32"/>
              <w:szCs w:val="32"/>
              <w:highlight w:val="none"/>
            </w:rPr>
            <w:t>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九、一般公共预算财政拨款项目支出决算表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十、政府性基金预算财政拨款收入支出决算表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十一、国有资本经营预算财政拨款收入支出决算表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十二、</w:t>
          </w:r>
          <w:r>
            <w:rPr>
              <w:rFonts w:hint="default" w:ascii="Times New Roman" w:hAnsi="Times New Roman" w:eastAsia="仿宋_GB2312" w:cs="Times New Roman"/>
              <w:color w:val="auto"/>
              <w:sz w:val="32"/>
              <w:szCs w:val="32"/>
              <w:highlight w:val="none"/>
              <w:lang w:val="en-US" w:eastAsia="zh-CN"/>
            </w:rPr>
            <w:t>国有资本经营预算财政拨款支出决算表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pPr>
          <w:r>
            <w:rPr>
              <w:rFonts w:hint="default" w:ascii="Times New Roman" w:hAnsi="Times New Roman" w:eastAsia="仿宋_GB2312" w:cs="Times New Roman"/>
              <w:color w:val="auto"/>
              <w:sz w:val="32"/>
              <w:szCs w:val="32"/>
              <w:highlight w:val="none"/>
            </w:rPr>
            <w:t>十三、财政拨款“三公”经费支出决算表</w:t>
          </w:r>
          <w:bookmarkStart w:id="17" w:name="_Toc4410"/>
        </w:p>
      </w:sdtContent>
    </w:sdt>
    <w:p>
      <w:pPr>
        <w:keepNext w:val="0"/>
        <w:keepLines w:val="0"/>
        <w:pageBreakBefore w:val="0"/>
        <w:kinsoku/>
        <w:wordWrap/>
        <w:overflowPunct/>
        <w:topLinePunct w:val="0"/>
        <w:autoSpaceDE/>
        <w:autoSpaceDN/>
        <w:bidi w:val="0"/>
        <w:spacing w:line="440" w:lineRule="exact"/>
        <w:jc w:val="center"/>
        <w:textAlignment w:val="auto"/>
        <w:rPr>
          <w:rStyle w:val="29"/>
          <w:rFonts w:ascii="黑体" w:hAnsi="黑体" w:eastAsia="黑体"/>
          <w:b/>
          <w:bCs w:val="0"/>
          <w:color w:val="auto"/>
          <w:sz w:val="44"/>
          <w:szCs w:val="44"/>
          <w:highlight w:val="none"/>
        </w:rPr>
      </w:pPr>
      <w:r>
        <w:rPr>
          <w:rFonts w:hint="eastAsia" w:ascii="黑体" w:hAnsi="黑体" w:eastAsia="黑体"/>
          <w:b w:val="0"/>
          <w:color w:val="auto"/>
          <w:sz w:val="44"/>
          <w:szCs w:val="44"/>
          <w:highlight w:val="none"/>
        </w:rPr>
        <w:t xml:space="preserve">第一部分 </w:t>
      </w:r>
      <w:r>
        <w:rPr>
          <w:rStyle w:val="29"/>
          <w:rFonts w:hint="eastAsia" w:ascii="黑体" w:hAnsi="黑体" w:eastAsia="黑体"/>
          <w:b w:val="0"/>
          <w:bCs w:val="0"/>
          <w:color w:val="auto"/>
          <w:sz w:val="44"/>
          <w:szCs w:val="44"/>
          <w:highlight w:val="none"/>
        </w:rPr>
        <w:t>部门概况</w:t>
      </w:r>
      <w:bookmarkEnd w:id="16"/>
      <w:bookmarkEnd w:id="17"/>
    </w:p>
    <w:p>
      <w:pPr>
        <w:widowControl/>
        <w:jc w:val="left"/>
        <w:rPr>
          <w:rFonts w:ascii="黑体" w:eastAsia="黑体"/>
          <w:color w:val="auto"/>
          <w:sz w:val="32"/>
          <w:szCs w:val="32"/>
          <w:highlight w:val="none"/>
        </w:rPr>
      </w:pPr>
    </w:p>
    <w:p>
      <w:pPr>
        <w:pStyle w:val="5"/>
        <w:ind w:firstLine="640" w:firstLineChars="200"/>
        <w:rPr>
          <w:rFonts w:hint="eastAsia" w:ascii="黑体" w:hAnsi="黑体" w:eastAsia="黑体"/>
          <w:b w:val="0"/>
          <w:color w:val="auto"/>
          <w:highlight w:val="none"/>
          <w:lang w:eastAsia="zh-CN"/>
        </w:rPr>
      </w:pPr>
      <w:bookmarkStart w:id="18" w:name="_Toc15377197"/>
      <w:bookmarkStart w:id="19" w:name="_Toc15396600"/>
      <w:bookmarkStart w:id="20" w:name="_Toc10664"/>
      <w:bookmarkStart w:id="21" w:name="_Toc1292"/>
      <w:r>
        <w:rPr>
          <w:rFonts w:hint="eastAsia" w:ascii="黑体" w:hAnsi="黑体" w:eastAsia="黑体"/>
          <w:b w:val="0"/>
          <w:color w:val="auto"/>
          <w:highlight w:val="none"/>
        </w:rPr>
        <w:t>一、</w:t>
      </w:r>
      <w:bookmarkEnd w:id="18"/>
      <w:bookmarkEnd w:id="19"/>
      <w:r>
        <w:rPr>
          <w:rFonts w:hint="eastAsia" w:ascii="黑体" w:hAnsi="黑体" w:eastAsia="黑体"/>
          <w:b w:val="0"/>
          <w:color w:val="auto"/>
          <w:highlight w:val="none"/>
          <w:lang w:eastAsia="zh-CN"/>
        </w:rPr>
        <w:t>部门职责</w:t>
      </w:r>
      <w:bookmarkEnd w:id="20"/>
      <w:bookmarkEnd w:id="21"/>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w:t>
      </w:r>
      <w:r>
        <w:rPr>
          <w:rFonts w:hint="default" w:ascii="Times New Roman" w:hAnsi="Times New Roman" w:eastAsia="FangSong_GB2312" w:cs="Times New Roman"/>
          <w:color w:val="auto"/>
          <w:kern w:val="2"/>
          <w:sz w:val="32"/>
          <w:szCs w:val="32"/>
        </w:rPr>
        <w:t>拟订和执行全区财政、税收的发展规划、政策和改革方案并组织实施。参与宏观经济分析预测和全区重大宏观经济政策的制定。提出运用财税政策实施宏观经济调控和综合平衡全区财力的建议。</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2.</w:t>
      </w:r>
      <w:r>
        <w:rPr>
          <w:rFonts w:hint="default" w:ascii="Times New Roman" w:hAnsi="Times New Roman" w:eastAsia="FangSong_GB2312" w:cs="Times New Roman"/>
          <w:color w:val="auto"/>
          <w:kern w:val="2"/>
          <w:sz w:val="32"/>
          <w:szCs w:val="32"/>
        </w:rPr>
        <w:t>贯彻执行国家财税法律、法规和方针、政策。按照管理权限管理全区税政事项，承办上级要求承担的税政工作。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3.</w:t>
      </w:r>
      <w:r>
        <w:rPr>
          <w:rFonts w:hint="default" w:ascii="Times New Roman" w:hAnsi="Times New Roman" w:eastAsia="FangSong_GB2312" w:cs="Times New Roman"/>
          <w:color w:val="auto"/>
          <w:kern w:val="2"/>
          <w:sz w:val="32"/>
          <w:szCs w:val="32"/>
        </w:rPr>
        <w:t>承担各项财政收支管理。负责编制年度区级预决算草案并组织实施。受区政府委托，向区人民代表大会报告全区和区级预算及其执行情况，向区人大常委会报告决算。管理区级各项财政收入、预算外资金（包括政府性基金的行政事业性收费）；</w:t>
      </w:r>
      <w:r>
        <w:rPr>
          <w:rFonts w:hint="default" w:ascii="Times New Roman" w:hAnsi="Times New Roman" w:eastAsia="FangSong_GB2312" w:cs="Times New Roman"/>
          <w:color w:val="auto"/>
          <w:kern w:val="2"/>
          <w:sz w:val="32"/>
          <w:szCs w:val="32"/>
          <w:lang w:eastAsia="zh-CN"/>
        </w:rPr>
        <w:t>参与</w:t>
      </w:r>
      <w:r>
        <w:rPr>
          <w:rFonts w:hint="default" w:ascii="Times New Roman" w:hAnsi="Times New Roman" w:eastAsia="FangSong_GB2312" w:cs="Times New Roman"/>
          <w:color w:val="auto"/>
          <w:kern w:val="2"/>
          <w:sz w:val="32"/>
          <w:szCs w:val="32"/>
        </w:rPr>
        <w:t>组织制定</w:t>
      </w:r>
      <w:r>
        <w:rPr>
          <w:rFonts w:hint="default" w:ascii="Times New Roman" w:hAnsi="Times New Roman" w:eastAsia="FangSong_GB2312" w:cs="Times New Roman"/>
          <w:color w:val="auto"/>
          <w:kern w:val="2"/>
          <w:sz w:val="32"/>
          <w:szCs w:val="32"/>
          <w:lang w:eastAsia="zh-CN"/>
        </w:rPr>
        <w:t>行政、政法</w:t>
      </w:r>
      <w:r>
        <w:rPr>
          <w:rFonts w:hint="default" w:ascii="Times New Roman" w:hAnsi="Times New Roman" w:eastAsia="FangSong_GB2312" w:cs="Times New Roman"/>
          <w:color w:val="auto"/>
          <w:kern w:val="2"/>
          <w:sz w:val="32"/>
          <w:szCs w:val="32"/>
        </w:rPr>
        <w:t>开支标准，负责审核批复部分（单位）的年度预决算。</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highlight w:val="none"/>
        </w:rPr>
      </w:pPr>
      <w:r>
        <w:rPr>
          <w:rFonts w:hint="eastAsia" w:ascii="Times New Roman" w:hAnsi="Times New Roman" w:eastAsia="FangSong_GB2312" w:cs="Times New Roman"/>
          <w:color w:val="auto"/>
          <w:kern w:val="2"/>
          <w:sz w:val="32"/>
          <w:szCs w:val="32"/>
          <w:lang w:val="en-US" w:eastAsia="zh-CN"/>
        </w:rPr>
        <w:t>4.</w:t>
      </w:r>
      <w:r>
        <w:rPr>
          <w:rFonts w:hint="default" w:ascii="Times New Roman" w:hAnsi="Times New Roman" w:eastAsia="FangSong_GB2312" w:cs="Times New Roman"/>
          <w:color w:val="auto"/>
          <w:kern w:val="2"/>
          <w:sz w:val="32"/>
          <w:szCs w:val="32"/>
        </w:rPr>
        <w:t>负责政府非税收入管理。负责制定和组织实施非税收入国库集</w:t>
      </w:r>
      <w:r>
        <w:rPr>
          <w:rFonts w:hint="default" w:ascii="Times New Roman" w:hAnsi="Times New Roman" w:eastAsia="FangSong_GB2312" w:cs="Times New Roman"/>
          <w:color w:val="auto"/>
          <w:kern w:val="2"/>
          <w:sz w:val="32"/>
          <w:szCs w:val="32"/>
          <w:highlight w:val="none"/>
        </w:rPr>
        <w:t>中收缴制度。管理财政票据。</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highlight w:val="none"/>
        </w:rPr>
      </w:pPr>
      <w:r>
        <w:rPr>
          <w:rFonts w:hint="eastAsia" w:ascii="Times New Roman" w:hAnsi="Times New Roman" w:eastAsia="FangSong_GB2312" w:cs="Times New Roman"/>
          <w:color w:val="auto"/>
          <w:kern w:val="2"/>
          <w:sz w:val="32"/>
          <w:szCs w:val="32"/>
          <w:highlight w:val="none"/>
          <w:lang w:val="en-US" w:eastAsia="zh-CN"/>
        </w:rPr>
        <w:t>5.</w:t>
      </w:r>
      <w:r>
        <w:rPr>
          <w:rFonts w:hint="default" w:ascii="Times New Roman" w:hAnsi="Times New Roman" w:eastAsia="FangSong_GB2312" w:cs="Times New Roman"/>
          <w:color w:val="auto"/>
          <w:kern w:val="2"/>
          <w:sz w:val="32"/>
          <w:szCs w:val="32"/>
          <w:highlight w:val="none"/>
        </w:rPr>
        <w:t>制定全区国库管理制度、国库集中收付制度，指导和监督国库业</w:t>
      </w:r>
      <w:r>
        <w:rPr>
          <w:rFonts w:hint="default" w:ascii="Times New Roman" w:hAnsi="Times New Roman" w:eastAsia="FangSong_GB2312" w:cs="Times New Roman"/>
          <w:color w:val="auto"/>
          <w:kern w:val="2"/>
          <w:sz w:val="32"/>
          <w:szCs w:val="32"/>
          <w:highlight w:val="none"/>
          <w:lang w:eastAsia="zh-CN"/>
        </w:rPr>
        <w:t>务</w:t>
      </w:r>
      <w:r>
        <w:rPr>
          <w:rFonts w:hint="default" w:ascii="Times New Roman" w:hAnsi="Times New Roman" w:eastAsia="FangSong_GB2312" w:cs="Times New Roman"/>
          <w:color w:val="auto"/>
          <w:kern w:val="2"/>
          <w:sz w:val="32"/>
          <w:szCs w:val="32"/>
          <w:highlight w:val="none"/>
        </w:rPr>
        <w:t>，组织开展国库现金管理工作。制定政府采购</w:t>
      </w:r>
      <w:r>
        <w:rPr>
          <w:rFonts w:hint="default" w:ascii="Times New Roman" w:hAnsi="Times New Roman" w:eastAsia="FangSong_GB2312" w:cs="Times New Roman"/>
          <w:color w:val="auto"/>
          <w:kern w:val="2"/>
          <w:sz w:val="32"/>
          <w:szCs w:val="32"/>
          <w:highlight w:val="none"/>
          <w:lang w:eastAsia="zh-CN"/>
        </w:rPr>
        <w:t>管理</w:t>
      </w:r>
      <w:r>
        <w:rPr>
          <w:rFonts w:hint="default" w:ascii="Times New Roman" w:hAnsi="Times New Roman" w:eastAsia="FangSong_GB2312" w:cs="Times New Roman"/>
          <w:color w:val="auto"/>
          <w:kern w:val="2"/>
          <w:sz w:val="32"/>
          <w:szCs w:val="32"/>
          <w:highlight w:val="none"/>
        </w:rPr>
        <w:t>制度，监督管理全区政府采购工作。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6.</w:t>
      </w:r>
      <w:r>
        <w:rPr>
          <w:rFonts w:hint="default" w:ascii="Times New Roman" w:hAnsi="Times New Roman" w:eastAsia="FangSong_GB2312" w:cs="Times New Roman"/>
          <w:color w:val="auto"/>
          <w:kern w:val="2"/>
          <w:sz w:val="32"/>
          <w:szCs w:val="32"/>
        </w:rPr>
        <w:t>负责制定行政事业单位国有资产管理制度、办法，并负责组织实施和监督检查。会同相关部门负责区级行政事业单位国有资产管理。</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7.</w:t>
      </w:r>
      <w:r>
        <w:rPr>
          <w:rFonts w:hint="default" w:ascii="Times New Roman" w:hAnsi="Times New Roman" w:eastAsia="FangSong_GB2312" w:cs="Times New Roman"/>
          <w:color w:val="auto"/>
          <w:kern w:val="2"/>
          <w:sz w:val="32"/>
          <w:szCs w:val="32"/>
        </w:rPr>
        <w:t>审核和汇总编制全区国有资本经营预决算草案，制订国有资本经营预算的制度和办法。负责监督区级机关国有资产经营收益收缴工作。组织实施企业财务制度，拟订</w:t>
      </w:r>
      <w:r>
        <w:rPr>
          <w:rFonts w:hint="default" w:ascii="Times New Roman" w:hAnsi="Times New Roman" w:eastAsia="FangSong_GB2312" w:cs="Times New Roman"/>
          <w:color w:val="auto"/>
          <w:kern w:val="2"/>
          <w:sz w:val="32"/>
          <w:szCs w:val="32"/>
          <w:lang w:eastAsia="zh-CN"/>
        </w:rPr>
        <w:t>区属国有企业</w:t>
      </w:r>
      <w:r>
        <w:rPr>
          <w:rFonts w:hint="default" w:ascii="Times New Roman" w:hAnsi="Times New Roman" w:eastAsia="FangSong_GB2312" w:cs="Times New Roman"/>
          <w:color w:val="auto"/>
          <w:kern w:val="2"/>
          <w:sz w:val="32"/>
          <w:szCs w:val="32"/>
        </w:rPr>
        <w:t>国有资产管理制度</w:t>
      </w:r>
      <w:r>
        <w:rPr>
          <w:rFonts w:hint="default" w:ascii="Times New Roman" w:hAnsi="Times New Roman" w:eastAsia="FangSong_GB2312" w:cs="Times New Roman"/>
          <w:color w:val="auto"/>
          <w:kern w:val="2"/>
          <w:sz w:val="32"/>
          <w:szCs w:val="32"/>
          <w:lang w:eastAsia="zh-CN"/>
        </w:rPr>
        <w:t>并组织实施</w:t>
      </w:r>
      <w:r>
        <w:rPr>
          <w:rFonts w:hint="default" w:ascii="Times New Roman" w:hAnsi="Times New Roman" w:eastAsia="FangSong_GB2312" w:cs="Times New Roman"/>
          <w:color w:val="auto"/>
          <w:kern w:val="2"/>
          <w:sz w:val="32"/>
          <w:szCs w:val="32"/>
        </w:rPr>
        <w:t>。</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8.</w:t>
      </w:r>
      <w:r>
        <w:rPr>
          <w:rFonts w:hint="default" w:ascii="Times New Roman" w:hAnsi="Times New Roman" w:eastAsia="FangSong_GB2312" w:cs="Times New Roman"/>
          <w:color w:val="auto"/>
          <w:kern w:val="2"/>
          <w:sz w:val="32"/>
          <w:szCs w:val="32"/>
        </w:rPr>
        <w:t>参与拟订政府性建设投资的有关政策，制定基本建设财务制度，负责投资评审管理工作。负责有关政策性补贴和专项储备资金财政管理工作。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9.</w:t>
      </w:r>
      <w:r>
        <w:rPr>
          <w:rFonts w:hint="default" w:ascii="Times New Roman" w:hAnsi="Times New Roman" w:eastAsia="FangSong_GB2312" w:cs="Times New Roman"/>
          <w:color w:val="auto"/>
          <w:kern w:val="2"/>
          <w:sz w:val="32"/>
          <w:szCs w:val="32"/>
        </w:rPr>
        <w:t>负责管理全区社会保障和就业及医疗卫生支出，拟订社会保障资金（基金）的财务管理制度，编制全区社会保障预决算草案。</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10.</w:t>
      </w:r>
      <w:r>
        <w:rPr>
          <w:rFonts w:hint="default" w:ascii="Times New Roman" w:hAnsi="Times New Roman" w:eastAsia="FangSong_GB2312" w:cs="Times New Roman"/>
          <w:color w:val="auto"/>
          <w:kern w:val="2"/>
          <w:sz w:val="32"/>
          <w:szCs w:val="32"/>
        </w:rPr>
        <w:t>执行政府债务管理制度和政策，制定具体管理办法，管理政府债务，防范财政风险。管理外国政府和国际金融机构贷（赠）款项目的有关业务。</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11.</w:t>
      </w:r>
      <w:r>
        <w:rPr>
          <w:rFonts w:hint="default" w:ascii="Times New Roman" w:hAnsi="Times New Roman" w:eastAsia="FangSong_GB2312" w:cs="Times New Roman"/>
          <w:color w:val="auto"/>
          <w:kern w:val="2"/>
          <w:sz w:val="32"/>
          <w:szCs w:val="32"/>
        </w:rPr>
        <w:t>负责管理全区会计工作，贯彻实施国家统一的会计法律法规和会计制度。指导会计人才队伍建设有关工作，按规定承担会计专业技术资格管理工作。管理全区会计人员的考试和业务培训。</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lang w:val="en-US" w:eastAsia="zh-CN"/>
        </w:rPr>
      </w:pPr>
      <w:r>
        <w:rPr>
          <w:rFonts w:hint="eastAsia" w:ascii="Times New Roman" w:hAnsi="Times New Roman" w:eastAsia="FangSong_GB2312" w:cs="Times New Roman"/>
          <w:color w:val="auto"/>
          <w:kern w:val="2"/>
          <w:sz w:val="32"/>
          <w:szCs w:val="32"/>
          <w:lang w:val="en-US" w:eastAsia="zh-CN"/>
        </w:rPr>
        <w:t>12.</w:t>
      </w:r>
      <w:r>
        <w:rPr>
          <w:rFonts w:hint="default" w:ascii="Times New Roman" w:hAnsi="Times New Roman" w:eastAsia="FangSong_GB2312" w:cs="Times New Roman"/>
          <w:color w:val="auto"/>
          <w:kern w:val="2"/>
          <w:sz w:val="32"/>
          <w:szCs w:val="32"/>
        </w:rPr>
        <w:t>负责财政资金绩效评价工作。</w:t>
      </w:r>
      <w:r>
        <w:rPr>
          <w:rFonts w:hint="default" w:ascii="Times New Roman" w:hAnsi="Times New Roman" w:eastAsia="FangSong_GB2312" w:cs="Times New Roman"/>
          <w:color w:val="auto"/>
          <w:kern w:val="2"/>
          <w:sz w:val="32"/>
          <w:szCs w:val="32"/>
          <w:lang w:val="en-US" w:eastAsia="zh-CN"/>
        </w:rPr>
        <w:t>牵头建立绩效管理制度机制。承担全面实施预算绩效管理有关工作。</w:t>
      </w:r>
      <w:r>
        <w:rPr>
          <w:rFonts w:hint="default" w:ascii="Times New Roman" w:hAnsi="Times New Roman" w:eastAsia="FangSong_GB2312" w:cs="Times New Roman"/>
          <w:color w:val="auto"/>
          <w:kern w:val="2"/>
          <w:sz w:val="32"/>
          <w:szCs w:val="32"/>
        </w:rPr>
        <w:t>监督检查财税法规、政策的执行情况，依法查处违反财经纪律的行为。</w:t>
      </w:r>
      <w:r>
        <w:rPr>
          <w:rFonts w:hint="default" w:ascii="Times New Roman" w:hAnsi="Times New Roman" w:eastAsia="FangSong_GB2312" w:cs="Times New Roman"/>
          <w:color w:val="auto"/>
          <w:kern w:val="2"/>
          <w:sz w:val="32"/>
          <w:szCs w:val="32"/>
          <w:lang w:val="en-US" w:eastAsia="zh-CN"/>
        </w:rPr>
        <w:t xml:space="preserve">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13.</w:t>
      </w:r>
      <w:r>
        <w:rPr>
          <w:rFonts w:hint="default" w:ascii="Times New Roman" w:hAnsi="Times New Roman" w:eastAsia="FangSong_GB2312" w:cs="Times New Roman"/>
          <w:color w:val="auto"/>
          <w:kern w:val="2"/>
          <w:sz w:val="32"/>
          <w:szCs w:val="32"/>
        </w:rPr>
        <w:t>负责财政宣传和财政信息管理系统工作。负责全区财政干部业务培训。</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14.</w:t>
      </w:r>
      <w:r>
        <w:rPr>
          <w:rFonts w:hint="default" w:ascii="Times New Roman" w:hAnsi="Times New Roman" w:eastAsia="仿宋_GB2312" w:cs="Times New Roman"/>
          <w:color w:val="000000"/>
          <w:kern w:val="2"/>
          <w:sz w:val="32"/>
          <w:szCs w:val="32"/>
        </w:rPr>
        <w:t>承担区农村综合改革</w:t>
      </w:r>
      <w:r>
        <w:rPr>
          <w:rFonts w:hint="eastAsia" w:ascii="Times New Roman" w:hAnsi="Times New Roman" w:eastAsia="仿宋_GB2312" w:cs="Times New Roman"/>
          <w:color w:val="000000"/>
          <w:kern w:val="2"/>
          <w:sz w:val="32"/>
          <w:szCs w:val="32"/>
          <w:lang w:eastAsia="zh-CN"/>
        </w:rPr>
        <w:t>相关</w:t>
      </w:r>
      <w:r>
        <w:rPr>
          <w:rFonts w:hint="default" w:ascii="Times New Roman" w:hAnsi="Times New Roman" w:eastAsia="仿宋_GB2312" w:cs="Times New Roman"/>
          <w:color w:val="000000"/>
          <w:kern w:val="2"/>
          <w:sz w:val="32"/>
          <w:szCs w:val="32"/>
        </w:rPr>
        <w:t>工作</w:t>
      </w:r>
      <w:r>
        <w:rPr>
          <w:rFonts w:hint="default" w:ascii="Times New Roman" w:hAnsi="Times New Roman" w:eastAsia="FangSong_GB2312" w:cs="Times New Roman"/>
          <w:color w:val="auto"/>
          <w:kern w:val="2"/>
          <w:sz w:val="32"/>
          <w:szCs w:val="32"/>
        </w:rPr>
        <w:t>。</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15.</w:t>
      </w:r>
      <w:r>
        <w:rPr>
          <w:rFonts w:hint="default" w:ascii="Times New Roman" w:hAnsi="Times New Roman" w:eastAsia="FangSong_GB2312" w:cs="Times New Roman"/>
          <w:color w:val="auto"/>
          <w:kern w:val="2"/>
          <w:sz w:val="32"/>
          <w:szCs w:val="32"/>
        </w:rPr>
        <w:t>承担区政府公布的有关行政审批事项。</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eastAsia"/>
          <w:lang w:eastAsia="zh-CN"/>
        </w:rPr>
      </w:pPr>
      <w:r>
        <w:rPr>
          <w:rFonts w:hint="eastAsia" w:ascii="Times New Roman" w:hAnsi="Times New Roman" w:eastAsia="FangSong_GB2312" w:cs="Times New Roman"/>
          <w:color w:val="auto"/>
          <w:kern w:val="2"/>
          <w:sz w:val="32"/>
          <w:szCs w:val="32"/>
          <w:lang w:val="en-US" w:eastAsia="zh-CN"/>
        </w:rPr>
        <w:t>16.</w:t>
      </w:r>
      <w:r>
        <w:rPr>
          <w:rFonts w:hint="default" w:ascii="Times New Roman" w:hAnsi="Times New Roman" w:eastAsia="FangSong_GB2312" w:cs="Times New Roman"/>
          <w:color w:val="auto"/>
          <w:kern w:val="2"/>
          <w:sz w:val="32"/>
          <w:szCs w:val="32"/>
        </w:rPr>
        <w:t>承办区政府交办的其他事项。</w:t>
      </w:r>
    </w:p>
    <w:p>
      <w:pPr>
        <w:pStyle w:val="5"/>
        <w:ind w:firstLine="640" w:firstLineChars="200"/>
        <w:rPr>
          <w:rStyle w:val="30"/>
          <w:b w:val="0"/>
          <w:bCs w:val="0"/>
          <w:color w:val="auto"/>
          <w:highlight w:val="none"/>
        </w:rPr>
      </w:pPr>
      <w:bookmarkStart w:id="22" w:name="_Toc15377200"/>
      <w:bookmarkStart w:id="23" w:name="_Toc25744"/>
      <w:bookmarkStart w:id="24" w:name="_Toc15396601"/>
      <w:bookmarkStart w:id="25" w:name="_Toc11616"/>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2"/>
      <w:bookmarkEnd w:id="23"/>
      <w:bookmarkEnd w:id="24"/>
      <w:bookmarkEnd w:id="25"/>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668"/>
        <w:jc w:val="both"/>
        <w:textAlignment w:val="auto"/>
      </w:pPr>
      <w:r>
        <w:rPr>
          <w:rFonts w:hint="eastAsia" w:ascii="Times New Roman" w:hAnsi="Times New Roman" w:eastAsia="仿宋_GB2312" w:cs="Times New Roman"/>
          <w:kern w:val="2"/>
          <w:sz w:val="32"/>
          <w:szCs w:val="32"/>
          <w:lang w:val="en-US" w:eastAsia="zh-CN" w:bidi="ar-SA"/>
        </w:rPr>
        <w:t>财政局</w:t>
      </w:r>
      <w:r>
        <w:rPr>
          <w:rFonts w:hint="default" w:ascii="Times New Roman" w:hAnsi="Times New Roman" w:eastAsia="仿宋_GB2312" w:cs="Times New Roman"/>
          <w:kern w:val="2"/>
          <w:sz w:val="32"/>
          <w:szCs w:val="32"/>
          <w:lang w:val="en-US" w:eastAsia="zh-CN" w:bidi="ar-SA"/>
        </w:rPr>
        <w:t>下属二级预算单位</w:t>
      </w:r>
      <w:r>
        <w:rPr>
          <w:rFonts w:hint="eastAsia"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个，其中行政单位1个，</w:t>
      </w:r>
      <w:r>
        <w:rPr>
          <w:rFonts w:hint="eastAsia" w:ascii="Times New Roman" w:hAnsi="Times New Roman" w:eastAsia="仿宋_GB2312" w:cs="Times New Roman"/>
          <w:kern w:val="2"/>
          <w:sz w:val="32"/>
          <w:szCs w:val="32"/>
          <w:lang w:val="en-US" w:eastAsia="zh-CN" w:bidi="ar-SA"/>
        </w:rPr>
        <w:t>参照公务员法管理的事业单位2个，公益一类</w:t>
      </w:r>
      <w:r>
        <w:rPr>
          <w:rFonts w:hint="default" w:ascii="Times New Roman" w:hAnsi="Times New Roman" w:eastAsia="仿宋_GB2312" w:cs="Times New Roman"/>
          <w:kern w:val="2"/>
          <w:sz w:val="32"/>
          <w:szCs w:val="32"/>
          <w:lang w:val="en-US" w:eastAsia="zh-CN" w:bidi="ar-SA"/>
        </w:rPr>
        <w:t>事业单位</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个。</w:t>
      </w:r>
      <w:r>
        <w:rPr>
          <w:rFonts w:hint="eastAsia" w:eastAsia="仿宋_GB2312" w:cs="Times New Roman"/>
          <w:kern w:val="2"/>
          <w:sz w:val="32"/>
          <w:szCs w:val="32"/>
          <w:lang w:val="en-US" w:eastAsia="zh-CN" w:bidi="ar-SA"/>
        </w:rPr>
        <w:t>纳入财政局2022年度部门决算编制范围的二级预算单位包括</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昭化区财政局机关、昭化区财政国库支付中心、昭化区财政财政投资评审中心、昭化区财政绩效事务中心、昭化区财政信息中心</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昭化区国有资产事务中心预算单列</w:t>
      </w:r>
      <w:r>
        <w:rPr>
          <w:rFonts w:hint="eastAsia" w:eastAsia="仿宋_GB2312" w:cs="Times New Roman"/>
          <w:kern w:val="2"/>
          <w:sz w:val="32"/>
          <w:szCs w:val="32"/>
          <w:lang w:val="en-US" w:eastAsia="zh-CN" w:bidi="ar-SA"/>
        </w:rPr>
        <w:t>。</w:t>
      </w:r>
    </w:p>
    <w:p>
      <w:pPr>
        <w:pStyle w:val="4"/>
        <w:ind w:right="440"/>
        <w:jc w:val="center"/>
        <w:rPr>
          <w:rFonts w:hint="eastAsia" w:ascii="黑体" w:hAnsi="黑体" w:eastAsia="黑体"/>
          <w:b w:val="0"/>
          <w:bCs/>
          <w:color w:val="auto"/>
          <w:highlight w:val="none"/>
        </w:rPr>
      </w:pPr>
      <w:bookmarkStart w:id="26" w:name="_Toc24745"/>
      <w:bookmarkStart w:id="27" w:name="_Toc15377204"/>
      <w:bookmarkStart w:id="28" w:name="_Toc15396602"/>
      <w:bookmarkStart w:id="29" w:name="_Toc22560"/>
    </w:p>
    <w:p>
      <w:pPr>
        <w:pStyle w:val="4"/>
        <w:ind w:right="440"/>
        <w:jc w:val="center"/>
        <w:rPr>
          <w:rFonts w:hint="eastAsia" w:ascii="黑体" w:hAnsi="黑体" w:eastAsia="黑体"/>
          <w:b w:val="0"/>
          <w:bCs/>
          <w:color w:val="auto"/>
          <w:highlight w:val="none"/>
        </w:rPr>
      </w:pPr>
    </w:p>
    <w:p>
      <w:pPr>
        <w:pStyle w:val="4"/>
        <w:ind w:right="440"/>
        <w:jc w:val="center"/>
        <w:rPr>
          <w:rFonts w:hint="eastAsia" w:ascii="黑体" w:hAnsi="黑体" w:eastAsia="黑体"/>
          <w:b w:val="0"/>
          <w:bCs/>
          <w:color w:val="auto"/>
          <w:highlight w:val="none"/>
        </w:rPr>
      </w:pPr>
    </w:p>
    <w:p>
      <w:pPr>
        <w:pStyle w:val="4"/>
        <w:ind w:right="440"/>
        <w:jc w:val="center"/>
        <w:rPr>
          <w:rStyle w:val="29"/>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26"/>
      <w:bookmarkEnd w:id="27"/>
      <w:bookmarkEnd w:id="28"/>
      <w:bookmarkEnd w:id="29"/>
    </w:p>
    <w:p>
      <w:pPr>
        <w:rPr>
          <w:color w:val="auto"/>
          <w:highlight w:val="none"/>
        </w:rPr>
      </w:pP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30" w:name="_Toc7391"/>
      <w:bookmarkStart w:id="31" w:name="_Toc15396603"/>
      <w:bookmarkStart w:id="32" w:name="_Toc15377205"/>
      <w:bookmarkStart w:id="33" w:name="_Toc802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0"/>
      <w:bookmarkEnd w:id="31"/>
      <w:bookmarkEnd w:id="32"/>
      <w:bookmarkEnd w:id="33"/>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31.78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人员支出减少。</w:t>
      </w:r>
    </w:p>
    <w:p>
      <w:pPr>
        <w:spacing w:line="600" w:lineRule="exact"/>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309245</wp:posOffset>
            </wp:positionH>
            <wp:positionV relativeFrom="paragraph">
              <wp:posOffset>93980</wp:posOffset>
            </wp:positionV>
            <wp:extent cx="4693285" cy="2677160"/>
            <wp:effectExtent l="4445" t="4445" r="7620" b="2349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lang w:val="en-US" w:eastAsia="zh-CN"/>
        </w:rPr>
        <w:t xml:space="preserve">    </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34" w:name="_Toc15396604"/>
      <w:bookmarkStart w:id="35" w:name="_Toc15377206"/>
      <w:bookmarkStart w:id="36" w:name="_Toc30652"/>
      <w:bookmarkStart w:id="37" w:name="_Toc548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34"/>
      <w:bookmarkEnd w:id="35"/>
      <w:bookmarkEnd w:id="36"/>
      <w:bookmarkEnd w:id="37"/>
    </w:p>
    <w:p>
      <w:pPr>
        <w:spacing w:line="600" w:lineRule="exact"/>
        <w:ind w:firstLine="420" w:firstLineChars="200"/>
        <w:outlineLvl w:val="1"/>
        <w:rPr>
          <w:rFonts w:hint="eastAsia" w:ascii="仿宋" w:hAnsi="仿宋" w:eastAsia="仿宋"/>
          <w:color w:val="auto"/>
          <w:sz w:val="32"/>
          <w:szCs w:val="32"/>
          <w:highlight w:val="none"/>
        </w:rPr>
      </w:pPr>
      <w:bookmarkStart w:id="38" w:name="_Toc10279"/>
      <w:bookmarkStart w:id="39" w:name="_Toc5914"/>
      <w:r>
        <w:drawing>
          <wp:anchor distT="0" distB="0" distL="114300" distR="114300" simplePos="0" relativeHeight="251660288" behindDoc="0" locked="0" layoutInCell="1" allowOverlap="1">
            <wp:simplePos x="0" y="0"/>
            <wp:positionH relativeFrom="column">
              <wp:posOffset>347345</wp:posOffset>
            </wp:positionH>
            <wp:positionV relativeFrom="paragraph">
              <wp:posOffset>1011555</wp:posOffset>
            </wp:positionV>
            <wp:extent cx="4674235" cy="2410460"/>
            <wp:effectExtent l="5080" t="4445" r="6985" b="2349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8"/>
      <w:bookmarkEnd w:id="39"/>
    </w:p>
    <w:p>
      <w:pPr>
        <w:pStyle w:val="20"/>
      </w:pPr>
    </w:p>
    <w:p>
      <w:pPr>
        <w:spacing w:line="600" w:lineRule="exact"/>
        <w:ind w:firstLine="640" w:firstLineChars="200"/>
        <w:outlineLvl w:val="1"/>
        <w:rPr>
          <w:rFonts w:ascii="仿宋_GB2312" w:eastAsia="仿宋_GB2312"/>
          <w:color w:val="auto"/>
          <w:sz w:val="32"/>
          <w:szCs w:val="32"/>
          <w:highlight w:val="none"/>
        </w:rPr>
      </w:pPr>
      <w:bookmarkStart w:id="40" w:name="_Toc26452"/>
      <w:bookmarkStart w:id="41" w:name="_Toc12040"/>
      <w:r>
        <w:rPr>
          <w:rFonts w:hint="eastAsia" w:ascii="仿宋" w:hAnsi="仿宋" w:eastAsia="仿宋"/>
          <w:color w:val="auto"/>
          <w:sz w:val="32"/>
          <w:szCs w:val="32"/>
          <w:highlight w:val="none"/>
        </w:rPr>
        <w:t>（图2：收入决算结构图）</w:t>
      </w:r>
      <w:bookmarkEnd w:id="40"/>
      <w:bookmarkEnd w:id="41"/>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42" w:name="_Toc15377207"/>
      <w:bookmarkStart w:id="43" w:name="_Toc15396605"/>
      <w:bookmarkStart w:id="44" w:name="_Toc158"/>
      <w:bookmarkStart w:id="45" w:name="_Toc13273"/>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42"/>
      <w:bookmarkEnd w:id="43"/>
      <w:bookmarkEnd w:id="44"/>
      <w:bookmarkEnd w:id="45"/>
    </w:p>
    <w:p>
      <w:pPr>
        <w:spacing w:line="600" w:lineRule="exact"/>
        <w:ind w:firstLine="640" w:firstLineChars="200"/>
        <w:outlineLvl w:val="1"/>
        <w:rPr>
          <w:rFonts w:hint="eastAsia" w:ascii="仿宋" w:hAnsi="仿宋" w:eastAsia="仿宋"/>
          <w:color w:val="auto"/>
          <w:sz w:val="32"/>
          <w:szCs w:val="32"/>
          <w:highlight w:val="none"/>
          <w:lang w:eastAsia="zh-CN"/>
        </w:rPr>
      </w:pPr>
      <w:bookmarkStart w:id="46" w:name="_Toc11998"/>
      <w:bookmarkStart w:id="47" w:name="_Toc3228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1548.7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1146.1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72.32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438.6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27.68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46"/>
      <w:bookmarkEnd w:id="47"/>
    </w:p>
    <w:p>
      <w:pPr>
        <w:spacing w:line="600" w:lineRule="exact"/>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496570</wp:posOffset>
            </wp:positionH>
            <wp:positionV relativeFrom="paragraph">
              <wp:posOffset>61595</wp:posOffset>
            </wp:positionV>
            <wp:extent cx="4378325" cy="2485390"/>
            <wp:effectExtent l="4445" t="4445" r="17780" b="5715"/>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lang w:val="en-US" w:eastAsia="zh-CN"/>
        </w:rPr>
        <w:t xml:space="preserve">      </w:t>
      </w: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30"/>
          <w:rFonts w:ascii="黑体" w:hAnsi="黑体" w:eastAsia="黑体"/>
          <w:b w:val="0"/>
          <w:color w:val="auto"/>
          <w:highlight w:val="none"/>
        </w:rPr>
      </w:pPr>
      <w:bookmarkStart w:id="48" w:name="_Toc31239"/>
      <w:bookmarkStart w:id="49" w:name="_Toc6516"/>
      <w:bookmarkStart w:id="50" w:name="_Toc15396606"/>
      <w:bookmarkStart w:id="51" w:name="_Toc15377208"/>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48"/>
      <w:bookmarkEnd w:id="49"/>
      <w:bookmarkEnd w:id="50"/>
      <w:bookmarkEnd w:id="51"/>
    </w:p>
    <w:p>
      <w:pPr>
        <w:spacing w:line="600" w:lineRule="exact"/>
        <w:ind w:firstLine="640"/>
        <w:rPr>
          <w:rFonts w:hint="eastAsia" w:ascii="仿宋" w:hAnsi="仿宋" w:eastAsia="仿宋"/>
          <w:color w:val="auto"/>
          <w:sz w:val="32"/>
          <w:szCs w:val="32"/>
          <w:lang w:val="en-US" w:eastAsia="zh-CN"/>
        </w:rPr>
      </w:pPr>
      <w:r>
        <w:drawing>
          <wp:anchor distT="0" distB="0" distL="114300" distR="114300" simplePos="0" relativeHeight="251662336" behindDoc="0" locked="0" layoutInCell="1" allowOverlap="1">
            <wp:simplePos x="0" y="0"/>
            <wp:positionH relativeFrom="column">
              <wp:posOffset>423545</wp:posOffset>
            </wp:positionH>
            <wp:positionV relativeFrom="paragraph">
              <wp:posOffset>1703070</wp:posOffset>
            </wp:positionV>
            <wp:extent cx="3978275" cy="2371725"/>
            <wp:effectExtent l="4445" t="4445" r="17780" b="5080"/>
            <wp:wrapTopAndBottom/>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入增加</w:t>
      </w:r>
      <w:r>
        <w:rPr>
          <w:rFonts w:hint="eastAsia" w:ascii="仿宋" w:hAnsi="仿宋" w:eastAsia="仿宋"/>
          <w:color w:val="auto"/>
          <w:sz w:val="32"/>
          <w:szCs w:val="32"/>
          <w:highlight w:val="none"/>
          <w:lang w:val="en-US" w:eastAsia="zh-CN"/>
        </w:rPr>
        <w:t>304.5万元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23.79%；</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总计增加</w:t>
      </w:r>
      <w:r>
        <w:rPr>
          <w:rFonts w:hint="eastAsia" w:ascii="仿宋" w:hAnsi="仿宋" w:eastAsia="仿宋"/>
          <w:color w:val="auto"/>
          <w:sz w:val="32"/>
          <w:szCs w:val="32"/>
          <w:highlight w:val="none"/>
          <w:lang w:val="en-US" w:eastAsia="zh-CN"/>
        </w:rPr>
        <w:t>221.46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16.25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信息化建设、</w:t>
      </w:r>
      <w:r>
        <w:rPr>
          <w:rFonts w:hint="eastAsia" w:ascii="仿宋" w:hAnsi="仿宋" w:eastAsia="仿宋"/>
          <w:color w:val="auto"/>
          <w:sz w:val="32"/>
          <w:szCs w:val="32"/>
          <w:highlight w:val="none"/>
          <w:lang w:eastAsia="zh-CN"/>
        </w:rPr>
        <w:t>财评费用等财政委托业务支出增加</w:t>
      </w:r>
      <w:r>
        <w:rPr>
          <w:rFonts w:hint="eastAsia" w:ascii="仿宋" w:hAnsi="仿宋" w:eastAsia="仿宋"/>
          <w:color w:val="auto"/>
          <w:sz w:val="32"/>
          <w:szCs w:val="32"/>
          <w:lang w:val="en-US" w:eastAsia="zh-CN"/>
        </w:rPr>
        <w:t>。</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30"/>
          <w:rFonts w:ascii="黑体" w:hAnsi="黑体" w:eastAsia="黑体"/>
          <w:b w:val="0"/>
          <w:color w:val="auto"/>
          <w:highlight w:val="none"/>
        </w:rPr>
      </w:pPr>
      <w:bookmarkStart w:id="52" w:name="_Toc6662"/>
      <w:bookmarkStart w:id="53" w:name="_Toc31719"/>
      <w:bookmarkStart w:id="54" w:name="_Toc15396607"/>
      <w:bookmarkStart w:id="55"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color w:val="auto"/>
          <w:sz w:val="32"/>
          <w:szCs w:val="32"/>
          <w:highlight w:val="none"/>
        </w:rPr>
      </w:pPr>
      <w:bookmarkStart w:id="56" w:name="_Toc15377210"/>
      <w:r>
        <w:rPr>
          <w:rFonts w:hint="eastAsia" w:ascii="仿宋" w:hAnsi="仿宋" w:eastAsia="仿宋"/>
          <w:b/>
          <w:color w:val="auto"/>
          <w:sz w:val="32"/>
          <w:szCs w:val="32"/>
          <w:highlight w:val="none"/>
        </w:rPr>
        <w:t>（一）一般公共预算财政拨款支出决算总体情况</w:t>
      </w:r>
      <w:bookmarkEnd w:id="56"/>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194945</wp:posOffset>
            </wp:positionH>
            <wp:positionV relativeFrom="paragraph">
              <wp:posOffset>1725295</wp:posOffset>
            </wp:positionV>
            <wp:extent cx="4826000" cy="2743200"/>
            <wp:effectExtent l="4445" t="4445" r="8255" b="14605"/>
            <wp:wrapTopAndBottom/>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221.46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16.25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lang w:eastAsia="zh-CN"/>
        </w:rPr>
        <w:t>信息化建设、</w:t>
      </w:r>
      <w:r>
        <w:rPr>
          <w:rFonts w:hint="eastAsia" w:ascii="仿宋" w:hAnsi="仿宋" w:eastAsia="仿宋"/>
          <w:color w:val="auto"/>
          <w:sz w:val="32"/>
          <w:szCs w:val="32"/>
          <w:highlight w:val="none"/>
          <w:lang w:eastAsia="zh-CN"/>
        </w:rPr>
        <w:t>财评费用等财政委托业务支出增加</w:t>
      </w:r>
      <w:r>
        <w:rPr>
          <w:rFonts w:hint="eastAsia" w:ascii="仿宋" w:hAnsi="仿宋" w:eastAsia="仿宋"/>
          <w:color w:val="auto"/>
          <w:sz w:val="32"/>
          <w:szCs w:val="32"/>
          <w:lang w:val="en-US" w:eastAsia="zh-CN"/>
        </w:rPr>
        <w:t>。</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57" w:name="_Toc15377211"/>
      <w:r>
        <w:rPr>
          <w:rFonts w:hint="eastAsia" w:ascii="仿宋" w:hAnsi="仿宋" w:eastAsia="仿宋"/>
          <w:b/>
          <w:color w:val="auto"/>
          <w:sz w:val="32"/>
          <w:szCs w:val="32"/>
          <w:highlight w:val="none"/>
        </w:rPr>
        <w:t>（二）一般公共预算财政拨款支出决算结构情况</w:t>
      </w:r>
      <w:bookmarkEnd w:id="57"/>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1584.7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1473.05万元，占</w:t>
      </w:r>
      <w:r>
        <w:rPr>
          <w:rFonts w:hint="eastAsia" w:ascii="仿宋" w:hAnsi="仿宋" w:eastAsia="仿宋"/>
          <w:color w:val="auto"/>
          <w:sz w:val="32"/>
          <w:szCs w:val="32"/>
          <w:highlight w:val="none"/>
          <w:lang w:val="en-US" w:eastAsia="zh-CN"/>
        </w:rPr>
        <w:t>92.95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52.03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18.61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41.02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0"/>
        <w:jc w:val="center"/>
        <w:rPr>
          <w:rFonts w:ascii="仿宋" w:hAnsi="仿宋" w:eastAsia="仿宋"/>
          <w:color w:val="auto"/>
          <w:sz w:val="32"/>
          <w:szCs w:val="32"/>
          <w:highlight w:val="none"/>
        </w:rPr>
      </w:pPr>
      <w:r>
        <w:drawing>
          <wp:inline distT="0" distB="0" distL="114300" distR="114300">
            <wp:extent cx="4740275" cy="3019425"/>
            <wp:effectExtent l="4445" t="4445" r="17780" b="508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58" w:name="_Toc15377212"/>
      <w:r>
        <w:rPr>
          <w:rFonts w:hint="eastAsia" w:ascii="仿宋" w:hAnsi="仿宋" w:eastAsia="仿宋"/>
          <w:b/>
          <w:color w:val="auto"/>
          <w:sz w:val="32"/>
          <w:szCs w:val="32"/>
          <w:highlight w:val="none"/>
        </w:rPr>
        <w:t>（三）一般公共预算财政拨款支出决算具体情况</w:t>
      </w:r>
      <w:bookmarkEnd w:id="58"/>
    </w:p>
    <w:p>
      <w:pPr>
        <w:spacing w:line="600" w:lineRule="exact"/>
        <w:ind w:firstLine="643" w:firstLineChars="200"/>
        <w:outlineLvl w:val="1"/>
        <w:rPr>
          <w:rFonts w:ascii="仿宋" w:hAnsi="仿宋" w:eastAsia="仿宋"/>
          <w:color w:val="auto"/>
          <w:sz w:val="32"/>
          <w:szCs w:val="32"/>
          <w:highlight w:val="none"/>
        </w:rPr>
      </w:pPr>
      <w:bookmarkStart w:id="59" w:name="_Toc27654"/>
      <w:bookmarkStart w:id="60" w:name="_Toc15378460"/>
      <w:bookmarkStart w:id="61" w:name="_Toc15377444"/>
      <w:bookmarkStart w:id="62" w:name="_Toc15377213"/>
      <w:bookmarkStart w:id="63" w:name="_Toc3707"/>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1584.7万元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59"/>
      <w:bookmarkEnd w:id="60"/>
      <w:bookmarkEnd w:id="61"/>
      <w:bookmarkEnd w:id="62"/>
      <w:bookmarkEnd w:id="63"/>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highlight w:val="none"/>
          <w:lang w:val="en-US" w:eastAsia="zh-CN"/>
        </w:rPr>
        <w:t>1.</w:t>
      </w: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auto"/>
          <w:sz w:val="32"/>
          <w:szCs w:val="32"/>
          <w:highlight w:val="none"/>
          <w:lang w:eastAsia="zh-CN"/>
        </w:rPr>
        <w:t>财政事务</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891.11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highlight w:val="none"/>
          <w:lang w:val="en-US" w:eastAsia="zh-CN"/>
        </w:rPr>
        <w:t>2.</w:t>
      </w: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auto"/>
          <w:sz w:val="32"/>
          <w:szCs w:val="32"/>
          <w:highlight w:val="none"/>
          <w:lang w:eastAsia="zh-CN"/>
        </w:rPr>
        <w:t>财政事务</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预算改革业务</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39.89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highlight w:val="none"/>
          <w:lang w:val="en-US" w:eastAsia="zh-CN"/>
        </w:rPr>
        <w:t>3.</w:t>
      </w: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auto"/>
          <w:sz w:val="32"/>
          <w:szCs w:val="32"/>
          <w:highlight w:val="none"/>
          <w:lang w:eastAsia="zh-CN"/>
        </w:rPr>
        <w:t>财政事务</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财政国库业务</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24.92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highlight w:val="none"/>
          <w:lang w:val="en-US" w:eastAsia="zh-CN"/>
        </w:rPr>
        <w:t>4.</w:t>
      </w: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auto"/>
          <w:sz w:val="32"/>
          <w:szCs w:val="32"/>
          <w:highlight w:val="none"/>
          <w:lang w:eastAsia="zh-CN"/>
        </w:rPr>
        <w:t>财政事务</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信息化建设</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125.09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lang w:val="en-US" w:eastAsia="zh-CN"/>
        </w:rPr>
        <w:t>5.</w:t>
      </w:r>
      <w:r>
        <w:rPr>
          <w:rStyle w:val="18"/>
          <w:rFonts w:hint="eastAsia" w:ascii="仿宋" w:hAnsi="仿宋" w:eastAsia="仿宋"/>
          <w:bCs/>
          <w:color w:val="auto"/>
          <w:sz w:val="32"/>
          <w:szCs w:val="32"/>
        </w:rPr>
        <w:t>一般公共服务（类）</w:t>
      </w:r>
      <w:r>
        <w:rPr>
          <w:rStyle w:val="18"/>
          <w:rFonts w:hint="eastAsia" w:ascii="仿宋" w:hAnsi="仿宋" w:eastAsia="仿宋"/>
          <w:bCs/>
          <w:color w:val="auto"/>
          <w:sz w:val="32"/>
          <w:szCs w:val="32"/>
          <w:lang w:eastAsia="zh-CN"/>
        </w:rPr>
        <w:t>财政事务（</w:t>
      </w:r>
      <w:r>
        <w:rPr>
          <w:rStyle w:val="18"/>
          <w:rFonts w:hint="eastAsia" w:ascii="仿宋" w:hAnsi="仿宋" w:eastAsia="仿宋"/>
          <w:bCs/>
          <w:color w:val="auto"/>
          <w:sz w:val="32"/>
          <w:szCs w:val="32"/>
        </w:rPr>
        <w:t>款）</w:t>
      </w:r>
      <w:r>
        <w:rPr>
          <w:rStyle w:val="18"/>
          <w:rFonts w:hint="eastAsia" w:ascii="仿宋" w:hAnsi="仿宋" w:eastAsia="仿宋"/>
          <w:bCs/>
          <w:color w:val="auto"/>
          <w:sz w:val="32"/>
          <w:szCs w:val="32"/>
          <w:lang w:eastAsia="zh-CN"/>
        </w:rPr>
        <w:t>财政委托业务支出</w:t>
      </w:r>
      <w:r>
        <w:rPr>
          <w:rStyle w:val="18"/>
          <w:rFonts w:hint="eastAsia" w:ascii="仿宋" w:hAnsi="仿宋" w:eastAsia="仿宋"/>
          <w:bCs/>
          <w:color w:val="auto"/>
          <w:sz w:val="32"/>
          <w:szCs w:val="32"/>
        </w:rPr>
        <w:t>（项）</w:t>
      </w:r>
      <w:r>
        <w:rPr>
          <w:rStyle w:val="18"/>
          <w:rFonts w:ascii="仿宋" w:hAnsi="仿宋" w:eastAsia="仿宋"/>
          <w:bCs/>
          <w:color w:val="auto"/>
          <w:sz w:val="32"/>
          <w:szCs w:val="32"/>
        </w:rPr>
        <w:t>:</w:t>
      </w:r>
      <w:r>
        <w:rPr>
          <w:rStyle w:val="18"/>
          <w:rFonts w:ascii="仿宋" w:hAnsi="仿宋" w:eastAsia="仿宋"/>
          <w:b w:val="0"/>
          <w:bCs/>
          <w:color w:val="auto"/>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246.84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420" w:firstLineChars="200"/>
        <w:rPr>
          <w:rStyle w:val="18"/>
          <w:rFonts w:hint="eastAsia" w:ascii="仿宋" w:hAnsi="仿宋" w:eastAsia="仿宋"/>
          <w:b w:val="0"/>
          <w:bCs/>
          <w:color w:val="auto"/>
          <w:sz w:val="32"/>
          <w:szCs w:val="32"/>
          <w:highlight w:val="none"/>
          <w:lang w:eastAsia="zh-CN"/>
        </w:rPr>
      </w:pPr>
      <w:r>
        <w:rPr>
          <w:rFonts w:hint="eastAsia"/>
          <w:lang w:val="en-US" w:eastAsia="zh-CN"/>
        </w:rPr>
        <w:t xml:space="preserve">  </w:t>
      </w:r>
      <w:r>
        <w:rPr>
          <w:rStyle w:val="18"/>
          <w:rFonts w:hint="eastAsia" w:hAnsi="仿宋"/>
          <w:bCs/>
          <w:color w:val="auto"/>
          <w:sz w:val="32"/>
          <w:szCs w:val="32"/>
          <w:lang w:val="en-US" w:eastAsia="zh-CN"/>
        </w:rPr>
        <w:t>6.</w:t>
      </w:r>
      <w:r>
        <w:rPr>
          <w:rStyle w:val="18"/>
          <w:rFonts w:hint="eastAsia" w:ascii="仿宋" w:hAnsi="仿宋" w:eastAsia="仿宋"/>
          <w:bCs/>
          <w:color w:val="000000"/>
          <w:sz w:val="32"/>
          <w:szCs w:val="32"/>
        </w:rPr>
        <w:t>一般公共服务（类）</w:t>
      </w:r>
      <w:r>
        <w:rPr>
          <w:rStyle w:val="18"/>
          <w:rFonts w:hint="eastAsia" w:ascii="仿宋" w:hAnsi="仿宋" w:eastAsia="仿宋"/>
          <w:bCs/>
          <w:color w:val="000000"/>
          <w:sz w:val="32"/>
          <w:szCs w:val="32"/>
          <w:lang w:eastAsia="zh-CN"/>
        </w:rPr>
        <w:t>财政事务（</w:t>
      </w:r>
      <w:r>
        <w:rPr>
          <w:rStyle w:val="18"/>
          <w:rFonts w:hint="eastAsia" w:ascii="仿宋" w:hAnsi="仿宋" w:eastAsia="仿宋"/>
          <w:bCs/>
          <w:color w:val="000000"/>
          <w:sz w:val="32"/>
          <w:szCs w:val="32"/>
        </w:rPr>
        <w:t>款）</w:t>
      </w:r>
      <w:r>
        <w:rPr>
          <w:rStyle w:val="18"/>
          <w:rFonts w:hint="eastAsia" w:hAnsi="仿宋"/>
          <w:bCs/>
          <w:color w:val="000000"/>
          <w:sz w:val="32"/>
          <w:szCs w:val="32"/>
          <w:lang w:eastAsia="zh-CN"/>
        </w:rPr>
        <w:t>事业</w:t>
      </w:r>
      <w:r>
        <w:rPr>
          <w:rStyle w:val="18"/>
          <w:rFonts w:hint="eastAsia" w:ascii="仿宋" w:hAnsi="仿宋" w:eastAsia="仿宋"/>
          <w:bCs/>
          <w:color w:val="000000"/>
          <w:sz w:val="32"/>
          <w:szCs w:val="32"/>
          <w:lang w:eastAsia="zh-CN"/>
        </w:rPr>
        <w:t>运行</w:t>
      </w:r>
      <w:r>
        <w:rPr>
          <w:rStyle w:val="18"/>
          <w:rFonts w:hint="eastAsia" w:ascii="仿宋" w:hAnsi="仿宋" w:eastAsia="仿宋"/>
          <w:bCs/>
          <w:color w:val="000000"/>
          <w:sz w:val="32"/>
          <w:szCs w:val="32"/>
        </w:rPr>
        <w:t>（项）</w:t>
      </w:r>
      <w:r>
        <w:rPr>
          <w:rStyle w:val="18"/>
          <w:rFonts w:hint="eastAsia" w:ascii="仿宋" w:hAnsi="仿宋" w:eastAsia="仿宋"/>
          <w:bCs/>
          <w:color w:val="auto"/>
          <w:sz w:val="32"/>
          <w:szCs w:val="32"/>
          <w:highlight w:val="none"/>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145.19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lang w:val="en-US" w:eastAsia="zh-CN"/>
        </w:rPr>
        <w:t>7</w:t>
      </w:r>
      <w:r>
        <w:rPr>
          <w:rStyle w:val="18"/>
          <w:rFonts w:ascii="仿宋" w:hAnsi="仿宋" w:eastAsia="仿宋"/>
          <w:bCs/>
          <w:color w:val="auto"/>
          <w:sz w:val="32"/>
          <w:szCs w:val="32"/>
        </w:rPr>
        <w:t>.</w:t>
      </w:r>
      <w:r>
        <w:rPr>
          <w:rStyle w:val="18"/>
          <w:rFonts w:hint="eastAsia" w:ascii="仿宋" w:hAnsi="仿宋" w:eastAsia="仿宋"/>
          <w:bCs/>
          <w:color w:val="auto"/>
          <w:sz w:val="32"/>
          <w:szCs w:val="32"/>
        </w:rPr>
        <w:t>社会保障和就业（类）</w:t>
      </w:r>
      <w:r>
        <w:rPr>
          <w:rStyle w:val="18"/>
          <w:rFonts w:hint="eastAsia" w:ascii="仿宋" w:hAnsi="仿宋" w:eastAsia="仿宋"/>
          <w:bCs/>
          <w:color w:val="auto"/>
          <w:sz w:val="32"/>
          <w:szCs w:val="32"/>
          <w:lang w:eastAsia="zh-CN"/>
        </w:rPr>
        <w:t>行政事业单位养老支出</w:t>
      </w:r>
      <w:r>
        <w:rPr>
          <w:rStyle w:val="18"/>
          <w:rFonts w:hint="eastAsia" w:ascii="仿宋" w:hAnsi="仿宋" w:eastAsia="仿宋"/>
          <w:bCs/>
          <w:color w:val="auto"/>
          <w:sz w:val="32"/>
          <w:szCs w:val="32"/>
        </w:rPr>
        <w:t>（款）</w:t>
      </w:r>
      <w:r>
        <w:rPr>
          <w:rStyle w:val="18"/>
          <w:rFonts w:hint="eastAsia" w:ascii="仿宋" w:hAnsi="仿宋" w:eastAsia="仿宋"/>
          <w:bCs/>
          <w:color w:val="auto"/>
          <w:sz w:val="32"/>
          <w:szCs w:val="32"/>
          <w:lang w:eastAsia="zh-CN"/>
        </w:rPr>
        <w:t>行政单位离退休</w:t>
      </w:r>
      <w:r>
        <w:rPr>
          <w:rStyle w:val="18"/>
          <w:rFonts w:hint="eastAsia" w:ascii="仿宋" w:hAnsi="仿宋" w:eastAsia="仿宋"/>
          <w:bCs/>
          <w:color w:val="auto"/>
          <w:sz w:val="32"/>
          <w:szCs w:val="32"/>
        </w:rPr>
        <w:t>（项）</w:t>
      </w:r>
      <w:r>
        <w:rPr>
          <w:rStyle w:val="18"/>
          <w:rFonts w:ascii="仿宋" w:hAnsi="仿宋" w:eastAsia="仿宋"/>
          <w:bCs/>
          <w:color w:val="auto"/>
          <w:sz w:val="32"/>
          <w:szCs w:val="32"/>
        </w:rPr>
        <w:t>:</w:t>
      </w:r>
      <w:r>
        <w:rPr>
          <w:rStyle w:val="18"/>
          <w:rFonts w:ascii="仿宋" w:hAnsi="仿宋" w:eastAsia="仿宋"/>
          <w:b w:val="0"/>
          <w:bCs/>
          <w:color w:val="auto"/>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lang w:val="en-US" w:eastAsia="zh-CN"/>
        </w:rPr>
        <w:t>8</w:t>
      </w:r>
      <w:r>
        <w:rPr>
          <w:rStyle w:val="18"/>
          <w:rFonts w:ascii="仿宋" w:hAnsi="仿宋" w:eastAsia="仿宋"/>
          <w:bCs/>
          <w:color w:val="auto"/>
          <w:sz w:val="32"/>
          <w:szCs w:val="32"/>
        </w:rPr>
        <w:t>.</w:t>
      </w:r>
      <w:r>
        <w:rPr>
          <w:rStyle w:val="18"/>
          <w:rFonts w:hint="eastAsia" w:ascii="仿宋" w:hAnsi="仿宋" w:eastAsia="仿宋"/>
          <w:bCs/>
          <w:color w:val="auto"/>
          <w:sz w:val="32"/>
          <w:szCs w:val="32"/>
        </w:rPr>
        <w:t>社会保障和就业（类）</w:t>
      </w:r>
      <w:r>
        <w:rPr>
          <w:rStyle w:val="18"/>
          <w:rFonts w:hint="eastAsia" w:ascii="仿宋" w:hAnsi="仿宋" w:eastAsia="仿宋"/>
          <w:bCs/>
          <w:color w:val="auto"/>
          <w:sz w:val="32"/>
          <w:szCs w:val="32"/>
          <w:lang w:eastAsia="zh-CN"/>
        </w:rPr>
        <w:t>行政事业单位养老支出</w:t>
      </w:r>
      <w:r>
        <w:rPr>
          <w:rStyle w:val="18"/>
          <w:rFonts w:hint="eastAsia" w:ascii="仿宋" w:hAnsi="仿宋" w:eastAsia="仿宋"/>
          <w:bCs/>
          <w:color w:val="auto"/>
          <w:sz w:val="32"/>
          <w:szCs w:val="32"/>
        </w:rPr>
        <w:t>（款）</w:t>
      </w:r>
      <w:r>
        <w:rPr>
          <w:rStyle w:val="18"/>
          <w:rFonts w:hint="eastAsia" w:ascii="仿宋" w:hAnsi="仿宋" w:eastAsia="仿宋"/>
          <w:bCs/>
          <w:color w:val="auto"/>
          <w:sz w:val="32"/>
          <w:szCs w:val="32"/>
          <w:lang w:eastAsia="zh-CN"/>
        </w:rPr>
        <w:t>机关事业单位基本养老保险缴费支出</w:t>
      </w:r>
      <w:r>
        <w:rPr>
          <w:rStyle w:val="18"/>
          <w:rFonts w:hint="eastAsia" w:ascii="仿宋" w:hAnsi="仿宋" w:eastAsia="仿宋"/>
          <w:bCs/>
          <w:color w:val="auto"/>
          <w:sz w:val="32"/>
          <w:szCs w:val="32"/>
        </w:rPr>
        <w:t>（项）</w:t>
      </w:r>
      <w:r>
        <w:rPr>
          <w:rStyle w:val="18"/>
          <w:rFonts w:ascii="仿宋" w:hAnsi="仿宋" w:eastAsia="仿宋"/>
          <w:bCs/>
          <w:color w:val="auto"/>
          <w:sz w:val="32"/>
          <w:szCs w:val="32"/>
        </w:rPr>
        <w:t>:</w:t>
      </w:r>
      <w:r>
        <w:rPr>
          <w:rStyle w:val="18"/>
          <w:rFonts w:ascii="仿宋" w:hAnsi="仿宋" w:eastAsia="仿宋"/>
          <w:b w:val="0"/>
          <w:bCs/>
          <w:color w:val="auto"/>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32.87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lang w:val="en-US" w:eastAsia="zh-CN"/>
        </w:rPr>
        <w:t>9</w:t>
      </w:r>
      <w:r>
        <w:rPr>
          <w:rStyle w:val="18"/>
          <w:rFonts w:ascii="仿宋" w:hAnsi="仿宋" w:eastAsia="仿宋"/>
          <w:bCs/>
          <w:color w:val="auto"/>
          <w:sz w:val="32"/>
          <w:szCs w:val="32"/>
        </w:rPr>
        <w:t>.</w:t>
      </w:r>
      <w:r>
        <w:rPr>
          <w:rStyle w:val="18"/>
          <w:rFonts w:hint="eastAsia" w:ascii="仿宋" w:hAnsi="仿宋" w:eastAsia="仿宋"/>
          <w:bCs/>
          <w:color w:val="auto"/>
          <w:sz w:val="32"/>
          <w:szCs w:val="32"/>
        </w:rPr>
        <w:t>社会保障和就业（类）</w:t>
      </w:r>
      <w:r>
        <w:rPr>
          <w:rStyle w:val="18"/>
          <w:rFonts w:hint="eastAsia" w:ascii="仿宋" w:hAnsi="仿宋" w:eastAsia="仿宋"/>
          <w:bCs/>
          <w:color w:val="auto"/>
          <w:sz w:val="32"/>
          <w:szCs w:val="32"/>
          <w:lang w:eastAsia="zh-CN"/>
        </w:rPr>
        <w:t>行政事业单位养老支出</w:t>
      </w:r>
      <w:r>
        <w:rPr>
          <w:rStyle w:val="18"/>
          <w:rFonts w:hint="eastAsia" w:ascii="仿宋" w:hAnsi="仿宋" w:eastAsia="仿宋"/>
          <w:bCs/>
          <w:color w:val="auto"/>
          <w:sz w:val="32"/>
          <w:szCs w:val="32"/>
        </w:rPr>
        <w:t>（款）</w:t>
      </w:r>
      <w:r>
        <w:rPr>
          <w:rStyle w:val="18"/>
          <w:rFonts w:hint="eastAsia" w:ascii="仿宋" w:hAnsi="仿宋" w:eastAsia="仿宋"/>
          <w:bCs/>
          <w:color w:val="auto"/>
          <w:sz w:val="32"/>
          <w:szCs w:val="32"/>
          <w:lang w:eastAsia="zh-CN"/>
        </w:rPr>
        <w:t>机关事业单位职业年金缴费支出</w:t>
      </w:r>
      <w:r>
        <w:rPr>
          <w:rStyle w:val="18"/>
          <w:rFonts w:hint="eastAsia" w:ascii="仿宋" w:hAnsi="仿宋" w:eastAsia="仿宋"/>
          <w:bCs/>
          <w:color w:val="auto"/>
          <w:sz w:val="32"/>
          <w:szCs w:val="32"/>
        </w:rPr>
        <w:t>（项）</w:t>
      </w:r>
      <w:r>
        <w:rPr>
          <w:rStyle w:val="18"/>
          <w:rFonts w:ascii="仿宋" w:hAnsi="仿宋" w:eastAsia="仿宋"/>
          <w:bCs/>
          <w:color w:val="auto"/>
          <w:sz w:val="32"/>
          <w:szCs w:val="32"/>
        </w:rPr>
        <w:t>:</w:t>
      </w:r>
      <w:r>
        <w:rPr>
          <w:rStyle w:val="18"/>
          <w:rFonts w:ascii="仿宋" w:hAnsi="仿宋" w:eastAsia="仿宋"/>
          <w:b w:val="0"/>
          <w:bCs/>
          <w:color w:val="auto"/>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4.36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lang w:val="en-US" w:eastAsia="zh-CN"/>
        </w:rPr>
        <w:t>10</w:t>
      </w:r>
      <w:r>
        <w:rPr>
          <w:rStyle w:val="18"/>
          <w:rFonts w:ascii="仿宋" w:hAnsi="仿宋" w:eastAsia="仿宋"/>
          <w:bCs/>
          <w:color w:val="auto"/>
          <w:sz w:val="32"/>
          <w:szCs w:val="32"/>
        </w:rPr>
        <w:t>.</w:t>
      </w:r>
      <w:r>
        <w:rPr>
          <w:rStyle w:val="18"/>
          <w:rFonts w:hint="eastAsia" w:ascii="仿宋" w:hAnsi="仿宋" w:eastAsia="仿宋"/>
          <w:bCs/>
          <w:color w:val="auto"/>
          <w:sz w:val="32"/>
          <w:szCs w:val="32"/>
        </w:rPr>
        <w:t>社会保障和就业（类）</w:t>
      </w:r>
      <w:r>
        <w:rPr>
          <w:rStyle w:val="18"/>
          <w:rFonts w:hint="eastAsia" w:ascii="仿宋" w:hAnsi="仿宋" w:eastAsia="仿宋"/>
          <w:bCs/>
          <w:color w:val="auto"/>
          <w:sz w:val="32"/>
          <w:szCs w:val="32"/>
          <w:lang w:eastAsia="zh-CN"/>
        </w:rPr>
        <w:t>其他社会保障和就业支出</w:t>
      </w:r>
      <w:r>
        <w:rPr>
          <w:rStyle w:val="18"/>
          <w:rFonts w:hint="eastAsia" w:ascii="仿宋" w:hAnsi="仿宋" w:eastAsia="仿宋"/>
          <w:bCs/>
          <w:color w:val="000000"/>
          <w:sz w:val="32"/>
          <w:szCs w:val="32"/>
        </w:rPr>
        <w:t>（款）</w:t>
      </w:r>
      <w:r>
        <w:rPr>
          <w:rStyle w:val="18"/>
          <w:rFonts w:hint="eastAsia" w:ascii="仿宋" w:hAnsi="仿宋" w:eastAsia="仿宋"/>
          <w:bCs/>
          <w:color w:val="auto"/>
          <w:sz w:val="32"/>
          <w:szCs w:val="32"/>
          <w:lang w:eastAsia="zh-CN"/>
        </w:rPr>
        <w:t>其他社会保障和就业支出</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auto"/>
          <w:sz w:val="32"/>
          <w:szCs w:val="32"/>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000000"/>
          <w:sz w:val="32"/>
          <w:szCs w:val="32"/>
          <w:lang w:val="en-US" w:eastAsia="zh-CN"/>
        </w:rPr>
        <w:t>11</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行政事业单位医疗</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行政单位医疗</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9.97</w:t>
      </w:r>
      <w:r>
        <w:rPr>
          <w:rStyle w:val="18"/>
          <w:rFonts w:hint="eastAsia" w:ascii="仿宋" w:hAnsi="仿宋" w:eastAsia="仿宋"/>
          <w:b w:val="0"/>
          <w:bCs/>
          <w:color w:val="000000"/>
          <w:sz w:val="32"/>
          <w:szCs w:val="32"/>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000000"/>
          <w:sz w:val="32"/>
          <w:szCs w:val="32"/>
          <w:lang w:val="en-US" w:eastAsia="zh-CN"/>
        </w:rPr>
        <w:t>12</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行政事业单位医疗</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事业单位医疗</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8.64</w:t>
      </w:r>
      <w:r>
        <w:rPr>
          <w:rStyle w:val="18"/>
          <w:rFonts w:hint="eastAsia" w:ascii="仿宋" w:hAnsi="仿宋" w:eastAsia="仿宋"/>
          <w:b w:val="0"/>
          <w:bCs/>
          <w:color w:val="000000"/>
          <w:sz w:val="32"/>
          <w:szCs w:val="32"/>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highlight w:val="none"/>
        </w:rPr>
      </w:pPr>
      <w:r>
        <w:rPr>
          <w:rStyle w:val="18"/>
          <w:rFonts w:hint="eastAsia" w:ascii="仿宋" w:hAnsi="仿宋" w:eastAsia="仿宋"/>
          <w:bCs/>
          <w:color w:val="000000"/>
          <w:sz w:val="32"/>
          <w:szCs w:val="32"/>
          <w:lang w:val="en-US" w:eastAsia="zh-CN"/>
        </w:rPr>
        <w:t>13</w:t>
      </w:r>
      <w:r>
        <w:rPr>
          <w:rStyle w:val="18"/>
          <w:rFonts w:ascii="仿宋" w:hAnsi="仿宋" w:eastAsia="仿宋"/>
          <w:bCs/>
          <w:color w:val="000000"/>
          <w:sz w:val="32"/>
          <w:szCs w:val="32"/>
        </w:rPr>
        <w:t>.</w:t>
      </w:r>
      <w:r>
        <w:rPr>
          <w:rFonts w:hint="eastAsia" w:ascii="仿宋" w:hAnsi="仿宋" w:eastAsia="仿宋"/>
          <w:b/>
          <w:bCs/>
          <w:color w:val="000000"/>
          <w:sz w:val="32"/>
          <w:szCs w:val="32"/>
          <w:lang w:eastAsia="zh-CN"/>
        </w:rPr>
        <w:t>住房保障支出</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住房改革支出</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住房公积金</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41.01</w:t>
      </w:r>
      <w:r>
        <w:rPr>
          <w:rStyle w:val="18"/>
          <w:rFonts w:hint="eastAsia" w:ascii="仿宋" w:hAnsi="仿宋" w:eastAsia="仿宋"/>
          <w:b w:val="0"/>
          <w:bCs/>
          <w:color w:val="000000"/>
          <w:sz w:val="32"/>
          <w:szCs w:val="32"/>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30"/>
          <w:color w:val="auto"/>
          <w:highlight w:val="none"/>
        </w:rPr>
      </w:pPr>
      <w:bookmarkStart w:id="64" w:name="_Toc15377214"/>
      <w:bookmarkStart w:id="65" w:name="_Toc15396608"/>
      <w:bookmarkStart w:id="66" w:name="_Toc31928"/>
      <w:bookmarkStart w:id="67" w:name="_Toc25450"/>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64"/>
      <w:bookmarkEnd w:id="65"/>
      <w:bookmarkEnd w:id="66"/>
      <w:bookmarkEnd w:id="67"/>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1146.1</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481.74</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664.36</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工会经费、其他交通费、其他商品和服务支出、办公设备购置等。</w:t>
      </w:r>
    </w:p>
    <w:p>
      <w:pPr>
        <w:spacing w:line="600" w:lineRule="exact"/>
        <w:ind w:firstLine="640"/>
        <w:outlineLvl w:val="1"/>
        <w:rPr>
          <w:rStyle w:val="30"/>
          <w:rFonts w:ascii="黑体" w:hAnsi="黑体" w:eastAsia="黑体"/>
          <w:b w:val="0"/>
          <w:color w:val="auto"/>
          <w:highlight w:val="none"/>
        </w:rPr>
      </w:pPr>
      <w:bookmarkStart w:id="68" w:name="_Toc15396609"/>
      <w:bookmarkStart w:id="69" w:name="_Toc15377215"/>
      <w:bookmarkStart w:id="70" w:name="_Toc8319"/>
      <w:bookmarkStart w:id="71" w:name="_Toc20296"/>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68"/>
      <w:bookmarkEnd w:id="69"/>
      <w:bookmarkEnd w:id="70"/>
      <w:bookmarkEnd w:id="71"/>
    </w:p>
    <w:p>
      <w:pPr>
        <w:spacing w:line="600" w:lineRule="exact"/>
        <w:ind w:firstLine="640"/>
        <w:outlineLvl w:val="2"/>
        <w:rPr>
          <w:rFonts w:ascii="仿宋" w:hAnsi="仿宋" w:eastAsia="仿宋"/>
          <w:b/>
          <w:color w:val="auto"/>
          <w:sz w:val="32"/>
          <w:szCs w:val="32"/>
          <w:highlight w:val="none"/>
        </w:rPr>
      </w:pPr>
      <w:bookmarkStart w:id="72" w:name="_Toc15377216"/>
      <w:r>
        <w:rPr>
          <w:rFonts w:hint="eastAsia" w:ascii="仿宋" w:hAnsi="仿宋" w:eastAsia="仿宋"/>
          <w:b/>
          <w:color w:val="auto"/>
          <w:sz w:val="32"/>
          <w:szCs w:val="32"/>
          <w:highlight w:val="none"/>
        </w:rPr>
        <w:t>（一）“三公”经费财政拨款支出决算总体情况说明</w:t>
      </w:r>
      <w:bookmarkEnd w:id="7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7.67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99.35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减少3.37万元，下降30.5%。</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eastAsia="zh-CN"/>
        </w:rPr>
        <w:t>严格厉行节约，压减三公经费支出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3" w:name="_Toc15377217"/>
      <w:r>
        <w:rPr>
          <w:rFonts w:hint="eastAsia" w:ascii="仿宋" w:hAnsi="仿宋" w:eastAsia="仿宋"/>
          <w:b/>
          <w:color w:val="auto"/>
          <w:sz w:val="32"/>
          <w:szCs w:val="32"/>
          <w:highlight w:val="none"/>
        </w:rPr>
        <w:t>（二）“三公”经费财政拨款支出决算具体情况说明</w:t>
      </w:r>
      <w:bookmarkEnd w:id="7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7.67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0"/>
      </w:pPr>
      <w:r>
        <w:rPr>
          <w:rFonts w:hint="eastAsia"/>
          <w:lang w:val="en-US" w:eastAsia="zh-CN"/>
        </w:rPr>
        <w:t xml:space="preserve">    </w:t>
      </w:r>
      <w:r>
        <w:drawing>
          <wp:inline distT="0" distB="0" distL="114300" distR="114300">
            <wp:extent cx="4741545" cy="3018155"/>
            <wp:effectExtent l="4445" t="4445" r="16510" b="6350"/>
            <wp:docPr id="204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eastAsia" w:ascii="仿宋_GB2312" w:eastAsia="仿宋_GB2312"/>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sz w:val="32"/>
          <w:szCs w:val="32"/>
          <w:highlight w:val="none"/>
          <w:lang w:val="en-US" w:eastAsia="zh-CN"/>
        </w:rPr>
        <w:t>年初未安排预算</w:t>
      </w:r>
      <w:r>
        <w:rPr>
          <w:rStyle w:val="18"/>
          <w:rFonts w:hint="eastAsia" w:ascii="仿宋" w:hAnsi="仿宋" w:eastAsia="仿宋"/>
          <w:b w:val="0"/>
          <w:bCs/>
          <w:color w:val="auto"/>
          <w:sz w:val="32"/>
          <w:szCs w:val="32"/>
          <w:highlight w:val="none"/>
          <w:lang w:eastAsia="zh-CN"/>
        </w:rPr>
        <w:t>，</w:t>
      </w:r>
      <w:r>
        <w:rPr>
          <w:rFonts w:hint="eastAsia" w:ascii="仿宋_GB2312" w:eastAsia="仿宋_GB2312"/>
          <w:sz w:val="32"/>
          <w:szCs w:val="32"/>
          <w:highlight w:val="none"/>
          <w:lang w:val="en-US" w:eastAsia="zh-CN"/>
        </w:rPr>
        <w:t>与上年数无变化。</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sz w:val="32"/>
          <w:szCs w:val="32"/>
          <w:highlight w:val="none"/>
          <w:lang w:val="en-US" w:eastAsia="zh-CN"/>
        </w:rPr>
        <w:t>年初未安排预算</w:t>
      </w:r>
      <w:r>
        <w:rPr>
          <w:rStyle w:val="18"/>
          <w:rFonts w:hint="eastAsia" w:ascii="仿宋" w:hAnsi="仿宋" w:eastAsia="仿宋"/>
          <w:b w:val="0"/>
          <w:bCs/>
          <w:color w:val="auto"/>
          <w:sz w:val="32"/>
          <w:szCs w:val="32"/>
          <w:highlight w:val="none"/>
          <w:lang w:eastAsia="zh-CN"/>
        </w:rPr>
        <w:t>，</w:t>
      </w:r>
      <w:r>
        <w:rPr>
          <w:rFonts w:hint="eastAsia" w:ascii="仿宋_GB2312" w:eastAsia="仿宋_GB2312"/>
          <w:sz w:val="32"/>
          <w:szCs w:val="32"/>
          <w:highlight w:val="none"/>
          <w:lang w:val="en-US" w:eastAsia="zh-CN"/>
        </w:rPr>
        <w:t>与上年数无变化。</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7.67</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99.35</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3.37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30.5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eastAsia="zh-CN"/>
        </w:rPr>
        <w:t>严格厉行节约，压减三公经费支出</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7.67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rPr>
        <w:t>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97</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820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7.67</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lang w:eastAsia="zh-CN"/>
        </w:rPr>
        <w:t>各类检查等接待</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30"/>
          <w:rFonts w:ascii="黑体" w:hAnsi="黑体" w:eastAsia="黑体"/>
          <w:color w:val="auto"/>
          <w:highlight w:val="none"/>
        </w:rPr>
      </w:pPr>
      <w:bookmarkStart w:id="74" w:name="_Toc15396610"/>
      <w:bookmarkStart w:id="75" w:name="_Toc15377218"/>
      <w:bookmarkStart w:id="76" w:name="_Toc13769"/>
      <w:bookmarkStart w:id="77" w:name="_Toc22941"/>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74"/>
      <w:bookmarkEnd w:id="75"/>
      <w:bookmarkEnd w:id="76"/>
      <w:bookmarkEnd w:id="7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0"/>
          <w:rFonts w:ascii="黑体" w:hAnsi="黑体" w:eastAsia="黑体"/>
          <w:b w:val="0"/>
          <w:color w:val="auto"/>
          <w:highlight w:val="none"/>
        </w:rPr>
      </w:pPr>
      <w:bookmarkStart w:id="78" w:name="_Toc15377219"/>
      <w:bookmarkStart w:id="79" w:name="_Toc15396611"/>
      <w:bookmarkStart w:id="80" w:name="_Toc11643"/>
      <w:bookmarkStart w:id="81" w:name="_Toc26367"/>
      <w:r>
        <w:rPr>
          <w:rStyle w:val="30"/>
          <w:rFonts w:hint="eastAsia" w:ascii="黑体" w:hAnsi="黑体" w:eastAsia="黑体"/>
          <w:b w:val="0"/>
          <w:color w:val="auto"/>
          <w:highlight w:val="none"/>
        </w:rPr>
        <w:t>国有资本经营预算支出决算情况说明</w:t>
      </w:r>
      <w:bookmarkEnd w:id="78"/>
      <w:bookmarkEnd w:id="79"/>
      <w:bookmarkEnd w:id="80"/>
      <w:bookmarkEnd w:id="8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0"/>
          <w:rFonts w:hint="eastAsia" w:ascii="黑体" w:hAnsi="黑体" w:eastAsia="黑体"/>
          <w:b w:val="0"/>
          <w:color w:val="auto"/>
          <w:highlight w:val="none"/>
        </w:rPr>
      </w:pPr>
      <w:bookmarkStart w:id="82" w:name="_Toc15396612"/>
      <w:bookmarkStart w:id="83" w:name="_Toc15377221"/>
      <w:bookmarkStart w:id="84" w:name="_Toc13154"/>
      <w:bookmarkStart w:id="85" w:name="_Toc14120"/>
      <w:r>
        <w:rPr>
          <w:rStyle w:val="30"/>
          <w:rFonts w:hint="eastAsia" w:ascii="黑体" w:hAnsi="黑体" w:eastAsia="黑体"/>
          <w:b w:val="0"/>
          <w:color w:val="auto"/>
          <w:highlight w:val="none"/>
        </w:rPr>
        <w:t>其他重要事项的情况说明</w:t>
      </w:r>
      <w:bookmarkEnd w:id="82"/>
      <w:bookmarkEnd w:id="83"/>
      <w:bookmarkEnd w:id="84"/>
      <w:bookmarkEnd w:id="85"/>
    </w:p>
    <w:p>
      <w:pPr>
        <w:spacing w:line="600" w:lineRule="exact"/>
        <w:ind w:firstLine="643" w:firstLineChars="200"/>
        <w:outlineLvl w:val="2"/>
        <w:rPr>
          <w:rFonts w:ascii="仿宋" w:hAnsi="仿宋" w:eastAsia="仿宋"/>
          <w:color w:val="auto"/>
          <w:sz w:val="32"/>
          <w:szCs w:val="32"/>
          <w:highlight w:val="none"/>
        </w:rPr>
      </w:pPr>
      <w:bookmarkStart w:id="86" w:name="_Toc15377222"/>
      <w:r>
        <w:rPr>
          <w:rFonts w:hint="eastAsia" w:ascii="仿宋" w:hAnsi="仿宋" w:eastAsia="仿宋"/>
          <w:b/>
          <w:color w:val="auto"/>
          <w:sz w:val="32"/>
          <w:szCs w:val="32"/>
          <w:highlight w:val="none"/>
        </w:rPr>
        <w:t>（一）机关运行经费支出情况</w:t>
      </w:r>
      <w:bookmarkEnd w:id="8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664.36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450.15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210.14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维修（护）费、劳务费等增长</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7" w:name="_Toc15377223"/>
      <w:r>
        <w:rPr>
          <w:rFonts w:hint="eastAsia" w:ascii="仿宋" w:hAnsi="仿宋" w:eastAsia="仿宋"/>
          <w:b/>
          <w:color w:val="auto"/>
          <w:sz w:val="32"/>
          <w:szCs w:val="32"/>
          <w:highlight w:val="none"/>
        </w:rPr>
        <w:t>（二）政府采购支出情况</w:t>
      </w:r>
      <w:bookmarkEnd w:id="87"/>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财政局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25.9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25.9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预算绩效管理服务</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8" w:name="_Toc15377224"/>
      <w:r>
        <w:rPr>
          <w:rFonts w:hint="eastAsia" w:ascii="仿宋" w:hAnsi="仿宋" w:eastAsia="仿宋"/>
          <w:b/>
          <w:color w:val="auto"/>
          <w:sz w:val="32"/>
          <w:szCs w:val="32"/>
          <w:highlight w:val="none"/>
        </w:rPr>
        <w:t>（三）国有资产占有使用情况</w:t>
      </w:r>
      <w:bookmarkEnd w:id="8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财政局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财政预算绩效管理</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eastAsia="zh-CN"/>
        </w:rPr>
        <w:t>所有</w:t>
      </w:r>
      <w:r>
        <w:rPr>
          <w:rFonts w:hint="eastAsia" w:ascii="仿宋_GB2312" w:hAnsi="仿宋_GB2312" w:eastAsia="仿宋_GB2312" w:cs="仿宋_GB2312"/>
          <w:color w:val="auto"/>
          <w:sz w:val="32"/>
          <w:szCs w:val="32"/>
          <w:highlight w:val="none"/>
        </w:rPr>
        <w:t>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组织对2022年度一般公共预算全面开展绩效自评，形成</w:t>
      </w:r>
      <w:r>
        <w:rPr>
          <w:rFonts w:hint="eastAsia" w:ascii="仿宋_GB2312" w:hAnsi="仿宋_GB2312" w:eastAsia="仿宋_GB2312" w:cs="仿宋_GB2312"/>
          <w:color w:val="auto"/>
          <w:sz w:val="32"/>
          <w:szCs w:val="32"/>
          <w:highlight w:val="none"/>
          <w:lang w:eastAsia="zh-CN"/>
        </w:rPr>
        <w:t>财政局</w:t>
      </w:r>
      <w:r>
        <w:rPr>
          <w:rFonts w:hint="eastAsia" w:ascii="仿宋_GB2312" w:hAnsi="仿宋_GB2312" w:eastAsia="仿宋_GB2312" w:cs="仿宋_GB2312"/>
          <w:color w:val="auto"/>
          <w:sz w:val="32"/>
          <w:szCs w:val="32"/>
          <w:highlight w:val="none"/>
        </w:rPr>
        <w:t>部门整体（含部门预算项目）绩效自评</w:t>
      </w:r>
      <w:r>
        <w:rPr>
          <w:rFonts w:hint="eastAsia" w:ascii="仿宋_GB2312" w:hAnsi="仿宋_GB2312" w:eastAsia="仿宋_GB2312" w:cs="仿宋_GB2312"/>
          <w:color w:val="auto"/>
          <w:sz w:val="32"/>
          <w:szCs w:val="32"/>
          <w:highlight w:val="none"/>
          <w:lang w:eastAsia="zh-CN"/>
        </w:rPr>
        <w:t>资料</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财政局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分，绩效自评综述：</w:t>
      </w:r>
      <w:r>
        <w:rPr>
          <w:rFonts w:hint="default" w:ascii="Times New Roman" w:hAnsi="Times New Roman" w:eastAsia="仿宋_GB2312" w:cs="Times New Roman"/>
          <w:b w:val="0"/>
          <w:bCs w:val="0"/>
          <w:kern w:val="2"/>
          <w:sz w:val="32"/>
          <w:szCs w:val="32"/>
          <w:lang w:val="en-US" w:eastAsia="zh-CN" w:bidi="ar-SA"/>
        </w:rPr>
        <w:t>2022年广元市昭化区</w:t>
      </w:r>
      <w:r>
        <w:rPr>
          <w:rFonts w:hint="eastAsia" w:ascii="Times New Roman" w:hAnsi="Times New Roman" w:eastAsia="仿宋_GB2312" w:cs="Times New Roman"/>
          <w:b w:val="0"/>
          <w:bCs w:val="0"/>
          <w:kern w:val="2"/>
          <w:sz w:val="32"/>
          <w:szCs w:val="32"/>
          <w:lang w:val="en-US" w:eastAsia="zh-CN" w:bidi="ar-SA"/>
        </w:rPr>
        <w:t>财政局</w:t>
      </w:r>
      <w:r>
        <w:rPr>
          <w:rFonts w:hint="default" w:ascii="Times New Roman" w:hAnsi="Times New Roman" w:eastAsia="仿宋_GB2312" w:cs="Times New Roman"/>
          <w:b w:val="0"/>
          <w:bCs w:val="0"/>
          <w:kern w:val="2"/>
          <w:sz w:val="32"/>
          <w:szCs w:val="32"/>
          <w:lang w:val="en-US" w:eastAsia="zh-CN" w:bidi="ar-SA"/>
        </w:rPr>
        <w:t>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2022年基本完成，在保障机关运转、履行职能职责上整体情况良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9"/>
          <w:rFonts w:ascii="黑体" w:hAnsi="黑体" w:eastAsia="黑体"/>
          <w:b w:val="0"/>
          <w:color w:val="auto"/>
          <w:highlight w:val="none"/>
        </w:rPr>
      </w:pPr>
      <w:bookmarkStart w:id="89" w:name="_Toc15396613"/>
      <w:bookmarkStart w:id="90" w:name="_Toc15377225"/>
      <w:bookmarkStart w:id="91" w:name="_Toc24487"/>
      <w:bookmarkStart w:id="92" w:name="_Toc958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89"/>
      <w:bookmarkEnd w:id="90"/>
      <w:bookmarkEnd w:id="91"/>
      <w:bookmarkEnd w:id="92"/>
    </w:p>
    <w:p>
      <w:pPr>
        <w:spacing w:line="600" w:lineRule="exact"/>
        <w:jc w:val="left"/>
        <w:rPr>
          <w:rFonts w:ascii="宋体"/>
          <w:b/>
          <w:color w:val="auto"/>
          <w:sz w:val="44"/>
          <w:szCs w:val="44"/>
          <w:highlight w:val="none"/>
        </w:rPr>
      </w:pP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0"/>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0"/>
        <w:spacing w:line="560" w:lineRule="exact"/>
        <w:ind w:firstLine="640" w:firstLineChars="200"/>
        <w:rPr>
          <w:rFonts w:hint="eastAsia" w:ascii="仿宋_GB2312" w:hAnsi="仿宋_GB2312" w:eastAsia="仿宋_GB2312" w:cs="仿宋_GB2312"/>
          <w:spacing w:val="10"/>
          <w:sz w:val="32"/>
          <w:szCs w:val="32"/>
        </w:rPr>
      </w:pPr>
      <w:r>
        <w:rPr>
          <w:rFonts w:ascii="仿宋_GB2312" w:eastAsia="仿宋_GB2312"/>
          <w:sz w:val="32"/>
          <w:szCs w:val="32"/>
        </w:rPr>
        <w:t xml:space="preserve">4. </w:t>
      </w:r>
      <w:r>
        <w:rPr>
          <w:rFonts w:hint="eastAsia" w:ascii="仿宋_GB2312" w:hAnsi="仿宋_GB2312" w:eastAsia="仿宋_GB2312" w:cs="仿宋_GB2312"/>
          <w:spacing w:val="10"/>
          <w:sz w:val="32"/>
          <w:szCs w:val="32"/>
        </w:rPr>
        <w:t>一般公共服务支出（类）财政事务（款）行政运行（项）</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反映行政单位</w:t>
      </w:r>
      <w:r>
        <w:rPr>
          <w:rFonts w:hint="eastAsia" w:ascii="仿宋_GB2312" w:hAnsi="仿宋_GB2312" w:eastAsia="仿宋_GB2312" w:cs="仿宋_GB2312"/>
          <w:spacing w:val="10"/>
          <w:sz w:val="32"/>
          <w:szCs w:val="32"/>
          <w:lang w:eastAsia="zh-CN"/>
        </w:rPr>
        <w:t>的</w:t>
      </w:r>
      <w:r>
        <w:rPr>
          <w:rFonts w:hint="eastAsia" w:ascii="仿宋_GB2312" w:hAnsi="仿宋_GB2312" w:eastAsia="仿宋_GB2312" w:cs="仿宋_GB2312"/>
          <w:spacing w:val="10"/>
          <w:sz w:val="32"/>
          <w:szCs w:val="32"/>
        </w:rPr>
        <w:t>基本支出。</w:t>
      </w:r>
    </w:p>
    <w:p>
      <w:pPr>
        <w:pStyle w:val="20"/>
        <w:spacing w:line="560" w:lineRule="exact"/>
        <w:ind w:firstLine="680" w:firstLineChars="200"/>
        <w:rPr>
          <w:rFonts w:hint="eastAsia" w:ascii="仿宋_GB2312" w:hAnsi="仿宋_GB2312" w:eastAsia="仿宋_GB2312" w:cs="仿宋_GB2312"/>
          <w:color w:val="000000"/>
          <w:spacing w:val="10"/>
          <w:sz w:val="32"/>
          <w:szCs w:val="32"/>
          <w:lang w:eastAsia="zh-CN"/>
        </w:rPr>
      </w:pPr>
      <w:r>
        <w:rPr>
          <w:rFonts w:hint="eastAsia" w:ascii="仿宋_GB2312" w:hAnsi="仿宋_GB2312" w:eastAsia="仿宋_GB2312" w:cs="仿宋_GB2312"/>
          <w:color w:val="000000"/>
          <w:spacing w:val="10"/>
          <w:sz w:val="32"/>
          <w:szCs w:val="32"/>
          <w:lang w:val="en-US" w:eastAsia="zh-CN"/>
        </w:rPr>
        <w:t>5.</w:t>
      </w:r>
      <w:r>
        <w:rPr>
          <w:rFonts w:hint="eastAsia" w:ascii="仿宋_GB2312" w:hAnsi="仿宋_GB2312" w:eastAsia="仿宋_GB2312" w:cs="仿宋_GB2312"/>
          <w:color w:val="000000"/>
          <w:spacing w:val="10"/>
          <w:sz w:val="32"/>
          <w:szCs w:val="32"/>
        </w:rPr>
        <w:t>一般公共服务</w:t>
      </w:r>
      <w:r>
        <w:rPr>
          <w:rFonts w:hint="eastAsia" w:ascii="仿宋_GB2312" w:hAnsi="仿宋_GB2312" w:eastAsia="仿宋_GB2312" w:cs="仿宋_GB2312"/>
          <w:color w:val="000000"/>
          <w:spacing w:val="10"/>
          <w:sz w:val="32"/>
          <w:szCs w:val="32"/>
          <w:lang w:eastAsia="zh-CN"/>
        </w:rPr>
        <w:t>支出</w:t>
      </w:r>
      <w:r>
        <w:rPr>
          <w:rFonts w:hint="eastAsia" w:ascii="仿宋_GB2312" w:hAnsi="仿宋_GB2312" w:eastAsia="仿宋_GB2312" w:cs="仿宋_GB2312"/>
          <w:color w:val="000000"/>
          <w:spacing w:val="10"/>
          <w:sz w:val="32"/>
          <w:szCs w:val="32"/>
        </w:rPr>
        <w:t>（类）</w:t>
      </w:r>
      <w:r>
        <w:rPr>
          <w:rFonts w:hint="eastAsia" w:ascii="仿宋_GB2312" w:hAnsi="仿宋_GB2312" w:eastAsia="仿宋_GB2312" w:cs="仿宋_GB2312"/>
          <w:color w:val="000000"/>
          <w:spacing w:val="10"/>
          <w:sz w:val="32"/>
          <w:szCs w:val="32"/>
          <w:lang w:eastAsia="zh-CN"/>
        </w:rPr>
        <w:t>财政事务（</w:t>
      </w:r>
      <w:r>
        <w:rPr>
          <w:rFonts w:hint="eastAsia" w:ascii="仿宋_GB2312" w:hAnsi="仿宋_GB2312" w:eastAsia="仿宋_GB2312" w:cs="仿宋_GB2312"/>
          <w:color w:val="000000"/>
          <w:spacing w:val="10"/>
          <w:sz w:val="32"/>
          <w:szCs w:val="32"/>
        </w:rPr>
        <w:t>款）</w:t>
      </w:r>
      <w:r>
        <w:rPr>
          <w:rFonts w:hint="eastAsia" w:ascii="仿宋_GB2312" w:hAnsi="仿宋_GB2312" w:eastAsia="仿宋_GB2312" w:cs="仿宋_GB2312"/>
          <w:color w:val="000000"/>
          <w:spacing w:val="10"/>
          <w:sz w:val="32"/>
          <w:szCs w:val="32"/>
          <w:lang w:eastAsia="zh-CN"/>
        </w:rPr>
        <w:t>预算改革业务</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color w:val="000000"/>
          <w:spacing w:val="10"/>
          <w:sz w:val="32"/>
          <w:szCs w:val="32"/>
          <w:lang w:eastAsia="zh-CN"/>
        </w:rPr>
        <w:t>：</w:t>
      </w:r>
      <w:r>
        <w:rPr>
          <w:rFonts w:hint="eastAsia" w:ascii="仿宋_GB2312" w:hAnsi="仿宋_GB2312" w:eastAsia="仿宋_GB2312" w:cs="仿宋_GB2312"/>
          <w:color w:val="000000"/>
          <w:spacing w:val="10"/>
          <w:sz w:val="32"/>
          <w:szCs w:val="32"/>
        </w:rPr>
        <w:t>反映财政部门用于</w:t>
      </w:r>
      <w:r>
        <w:rPr>
          <w:rFonts w:hint="eastAsia" w:ascii="仿宋_GB2312" w:hAnsi="仿宋_GB2312" w:eastAsia="仿宋_GB2312" w:cs="仿宋_GB2312"/>
          <w:color w:val="000000"/>
          <w:spacing w:val="10"/>
          <w:sz w:val="32"/>
          <w:szCs w:val="32"/>
          <w:lang w:eastAsia="zh-CN"/>
        </w:rPr>
        <w:t>预算改革方面的支出。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 xml:space="preserve">. </w:t>
      </w:r>
      <w:r>
        <w:rPr>
          <w:rFonts w:hint="eastAsia" w:ascii="仿宋_GB2312" w:hAnsi="仿宋_GB2312" w:eastAsia="仿宋_GB2312" w:cs="仿宋_GB2312"/>
          <w:color w:val="000000"/>
          <w:spacing w:val="10"/>
          <w:sz w:val="32"/>
          <w:szCs w:val="32"/>
        </w:rPr>
        <w:t>一般公共服务支出（类）财政事务（款）财政国库业务（项）：反映财政部门用于财政国库集中收付业务方面的支出。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 xml:space="preserve">. </w:t>
      </w:r>
      <w:r>
        <w:rPr>
          <w:rFonts w:hint="eastAsia" w:ascii="仿宋_GB2312" w:hAnsi="仿宋_GB2312" w:eastAsia="仿宋_GB2312" w:cs="仿宋_GB2312"/>
          <w:color w:val="000000"/>
          <w:spacing w:val="10"/>
          <w:sz w:val="32"/>
          <w:szCs w:val="32"/>
        </w:rPr>
        <w:t>一般公共服务支出（类）财政事务（款）信息化建设（项）：反映财政部门用于信息化建设方面的支出。</w:t>
      </w:r>
    </w:p>
    <w:p>
      <w:pPr>
        <w:pStyle w:val="20"/>
        <w:spacing w:line="560" w:lineRule="exact"/>
        <w:ind w:firstLine="640" w:firstLineChars="200"/>
        <w:rPr>
          <w:rFonts w:hint="eastAsia" w:ascii="仿宋_GB2312" w:hAnsi="仿宋_GB2312" w:eastAsia="仿宋_GB2312" w:cs="仿宋_GB2312"/>
          <w:color w:val="000000"/>
          <w:spacing w:val="10"/>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hAnsi="仿宋_GB2312" w:eastAsia="仿宋_GB2312" w:cs="仿宋_GB2312"/>
          <w:color w:val="000000"/>
          <w:spacing w:val="10"/>
          <w:sz w:val="32"/>
          <w:szCs w:val="32"/>
        </w:rPr>
        <w:t>一般公共服务支出（类）财政事务（款）财政委托业务支出（项）：反映财政委托评审机构进行财政投资评审和委托建设银行等代理机构代理业务发生的支出。</w:t>
      </w:r>
    </w:p>
    <w:p>
      <w:pPr>
        <w:pStyle w:val="20"/>
        <w:spacing w:line="560" w:lineRule="exact"/>
        <w:ind w:firstLine="640" w:firstLineChars="200"/>
        <w:rPr>
          <w:rFonts w:hint="eastAsia" w:ascii="仿宋_GB2312" w:hAnsi="仿宋_GB2312" w:eastAsia="仿宋_GB2312" w:cs="仿宋_GB2312"/>
          <w:spacing w:val="10"/>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hAnsi="仿宋_GB2312" w:eastAsia="仿宋_GB2312" w:cs="仿宋_GB2312"/>
          <w:color w:val="000000"/>
          <w:spacing w:val="10"/>
          <w:sz w:val="32"/>
          <w:szCs w:val="32"/>
        </w:rPr>
        <w:t>一般公共服务支出（类）财政事务（款）</w:t>
      </w:r>
      <w:r>
        <w:rPr>
          <w:rFonts w:hint="eastAsia" w:ascii="仿宋_GB2312" w:hAnsi="仿宋_GB2312" w:eastAsia="仿宋_GB2312" w:cs="仿宋_GB2312"/>
          <w:color w:val="000000"/>
          <w:spacing w:val="10"/>
          <w:sz w:val="32"/>
          <w:szCs w:val="32"/>
          <w:lang w:eastAsia="zh-CN"/>
        </w:rPr>
        <w:t>事业运行</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spacing w:val="10"/>
          <w:sz w:val="32"/>
          <w:szCs w:val="32"/>
        </w:rPr>
        <w:t>反映</w:t>
      </w:r>
      <w:r>
        <w:rPr>
          <w:rFonts w:hint="eastAsia" w:ascii="仿宋_GB2312" w:hAnsi="仿宋_GB2312" w:eastAsia="仿宋_GB2312" w:cs="仿宋_GB2312"/>
          <w:spacing w:val="10"/>
          <w:sz w:val="32"/>
          <w:szCs w:val="32"/>
          <w:lang w:eastAsia="zh-CN"/>
        </w:rPr>
        <w:t>事业</w:t>
      </w:r>
      <w:r>
        <w:rPr>
          <w:rFonts w:hint="eastAsia" w:ascii="仿宋_GB2312" w:hAnsi="仿宋_GB2312" w:eastAsia="仿宋_GB2312" w:cs="仿宋_GB2312"/>
          <w:spacing w:val="10"/>
          <w:sz w:val="32"/>
          <w:szCs w:val="32"/>
        </w:rPr>
        <w:t>单位</w:t>
      </w:r>
      <w:r>
        <w:rPr>
          <w:rFonts w:hint="eastAsia" w:ascii="仿宋_GB2312" w:hAnsi="仿宋_GB2312" w:eastAsia="仿宋_GB2312" w:cs="仿宋_GB2312"/>
          <w:spacing w:val="10"/>
          <w:sz w:val="32"/>
          <w:szCs w:val="32"/>
          <w:lang w:eastAsia="zh-CN"/>
        </w:rPr>
        <w:t>的</w:t>
      </w:r>
      <w:r>
        <w:rPr>
          <w:rFonts w:hint="eastAsia" w:ascii="仿宋_GB2312" w:hAnsi="仿宋_GB2312" w:eastAsia="仿宋_GB2312" w:cs="仿宋_GB2312"/>
          <w:spacing w:val="10"/>
          <w:sz w:val="32"/>
          <w:szCs w:val="32"/>
        </w:rPr>
        <w:t>基本支出。</w:t>
      </w:r>
    </w:p>
    <w:p>
      <w:pPr>
        <w:pStyle w:val="20"/>
        <w:spacing w:line="560" w:lineRule="exact"/>
        <w:ind w:firstLine="680" w:firstLineChars="200"/>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10</w:t>
      </w:r>
      <w:r>
        <w:rPr>
          <w:rFonts w:hint="eastAsia" w:ascii="仿宋_GB2312" w:hAnsi="仿宋_GB2312" w:eastAsia="仿宋_GB2312" w:cs="仿宋_GB2312"/>
          <w:color w:val="000000"/>
          <w:spacing w:val="10"/>
          <w:sz w:val="32"/>
          <w:szCs w:val="32"/>
          <w:lang w:val="en-US" w:eastAsia="zh-CN"/>
        </w:rPr>
        <w:t>.</w:t>
      </w:r>
      <w:r>
        <w:rPr>
          <w:rFonts w:hint="eastAsia" w:ascii="仿宋_GB2312" w:hAnsi="仿宋_GB2312" w:eastAsia="仿宋_GB2312" w:cs="仿宋_GB2312"/>
          <w:color w:val="000000"/>
          <w:spacing w:val="10"/>
          <w:sz w:val="32"/>
          <w:szCs w:val="32"/>
        </w:rPr>
        <w:t>一般公共服务</w:t>
      </w:r>
      <w:r>
        <w:rPr>
          <w:rFonts w:hint="eastAsia" w:ascii="仿宋_GB2312" w:hAnsi="仿宋_GB2312" w:eastAsia="仿宋_GB2312" w:cs="仿宋_GB2312"/>
          <w:color w:val="000000"/>
          <w:spacing w:val="10"/>
          <w:sz w:val="32"/>
          <w:szCs w:val="32"/>
          <w:lang w:eastAsia="zh-CN"/>
        </w:rPr>
        <w:t>支出</w:t>
      </w:r>
      <w:r>
        <w:rPr>
          <w:rFonts w:hint="eastAsia" w:ascii="仿宋_GB2312" w:hAnsi="仿宋_GB2312" w:eastAsia="仿宋_GB2312" w:cs="仿宋_GB2312"/>
          <w:color w:val="000000"/>
          <w:spacing w:val="10"/>
          <w:sz w:val="32"/>
          <w:szCs w:val="32"/>
        </w:rPr>
        <w:t>（类）</w:t>
      </w:r>
      <w:r>
        <w:rPr>
          <w:rFonts w:hint="eastAsia" w:ascii="仿宋_GB2312" w:hAnsi="仿宋_GB2312" w:eastAsia="仿宋_GB2312" w:cs="仿宋_GB2312"/>
          <w:color w:val="000000"/>
          <w:spacing w:val="10"/>
          <w:sz w:val="32"/>
          <w:szCs w:val="32"/>
          <w:lang w:eastAsia="zh-CN"/>
        </w:rPr>
        <w:t>财政事务（</w:t>
      </w:r>
      <w:r>
        <w:rPr>
          <w:rFonts w:hint="eastAsia" w:ascii="仿宋_GB2312" w:hAnsi="仿宋_GB2312" w:eastAsia="仿宋_GB2312" w:cs="仿宋_GB2312"/>
          <w:color w:val="000000"/>
          <w:spacing w:val="10"/>
          <w:sz w:val="32"/>
          <w:szCs w:val="32"/>
        </w:rPr>
        <w:t>款）</w:t>
      </w:r>
      <w:r>
        <w:rPr>
          <w:rFonts w:hint="eastAsia" w:ascii="仿宋_GB2312" w:hAnsi="仿宋_GB2312" w:eastAsia="仿宋_GB2312" w:cs="仿宋_GB2312"/>
          <w:color w:val="000000"/>
          <w:spacing w:val="10"/>
          <w:sz w:val="32"/>
          <w:szCs w:val="32"/>
          <w:lang w:eastAsia="zh-CN"/>
        </w:rPr>
        <w:t>其他财政事务支出</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color w:val="000000"/>
          <w:spacing w:val="10"/>
          <w:sz w:val="32"/>
          <w:szCs w:val="32"/>
          <w:lang w:eastAsia="zh-CN"/>
        </w:rPr>
        <w:t>反映上述项目以外其他财政事务方面的支出。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hAnsi="仿宋_GB2312" w:eastAsia="仿宋_GB2312" w:cs="仿宋_GB2312"/>
          <w:color w:val="000000"/>
          <w:spacing w:val="10"/>
          <w:sz w:val="32"/>
          <w:szCs w:val="32"/>
        </w:rPr>
        <w:t>社会保障和就业支出（类）行政事业单位离退休（款）机关事业单位基本养老保险缴费支出（项）：</w:t>
      </w:r>
      <w:r>
        <w:rPr>
          <w:rFonts w:hint="eastAsia" w:ascii="仿宋_GB2312" w:hAnsi="仿宋_GB2312" w:eastAsia="仿宋_GB2312" w:cs="仿宋_GB2312"/>
          <w:color w:val="000000"/>
          <w:sz w:val="32"/>
          <w:szCs w:val="32"/>
        </w:rPr>
        <w:t>指机关事业单位实施养老保险制度由单位缴纳的基本养老保险费支出。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w:t>
      </w:r>
      <w:r>
        <w:rPr>
          <w:rFonts w:hint="default" w:ascii="仿宋_GB2312" w:hAnsi="仿宋_GB2312" w:eastAsia="仿宋_GB2312" w:cs="仿宋_GB2312"/>
          <w:color w:val="000000"/>
          <w:kern w:val="2"/>
          <w:sz w:val="32"/>
          <w:szCs w:val="32"/>
          <w:lang w:val="en-US" w:eastAsia="zh-CN" w:bidi="ar-SA"/>
        </w:rPr>
        <w:t>社会保障和就业支出（类）</w:t>
      </w:r>
      <w:r>
        <w:rPr>
          <w:rFonts w:hint="eastAsia" w:ascii="仿宋_GB2312" w:hAnsi="仿宋_GB2312" w:eastAsia="仿宋_GB2312" w:cs="仿宋_GB2312"/>
          <w:color w:val="000000"/>
          <w:kern w:val="2"/>
          <w:sz w:val="32"/>
          <w:szCs w:val="32"/>
          <w:lang w:val="en-US" w:eastAsia="zh-CN" w:bidi="ar-SA"/>
        </w:rPr>
        <w:t>其他社会保障和就业支出（款）其他社会保障和就业支出</w:t>
      </w:r>
      <w:r>
        <w:rPr>
          <w:rFonts w:hint="default" w:ascii="仿宋_GB2312" w:hAnsi="仿宋_GB2312" w:eastAsia="仿宋_GB2312" w:cs="仿宋_GB2312"/>
          <w:color w:val="000000"/>
          <w:kern w:val="2"/>
          <w:sz w:val="32"/>
          <w:szCs w:val="32"/>
          <w:lang w:val="en-US" w:eastAsia="zh-CN" w:bidi="ar-SA"/>
        </w:rPr>
        <w:t>（项）：反映</w:t>
      </w:r>
      <w:r>
        <w:rPr>
          <w:rFonts w:hint="eastAsia" w:ascii="仿宋_GB2312" w:hAnsi="仿宋_GB2312" w:eastAsia="仿宋_GB2312" w:cs="仿宋_GB2312"/>
          <w:color w:val="000000"/>
          <w:kern w:val="2"/>
          <w:sz w:val="32"/>
          <w:szCs w:val="32"/>
          <w:lang w:val="en-US" w:eastAsia="zh-CN" w:bidi="ar-SA"/>
        </w:rPr>
        <w:t>除上述项目以外其他用于社会保障和就业方面的支出</w:t>
      </w:r>
      <w:r>
        <w:rPr>
          <w:rFonts w:hint="default" w:ascii="仿宋_GB2312" w:hAnsi="仿宋_GB2312" w:eastAsia="仿宋_GB2312" w:cs="仿宋_GB2312"/>
          <w:color w:val="000000"/>
          <w:kern w:val="2"/>
          <w:sz w:val="32"/>
          <w:szCs w:val="32"/>
          <w:lang w:val="en-US" w:eastAsia="zh-CN" w:bidi="ar-SA"/>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hAnsi="仿宋_GB2312" w:eastAsia="仿宋_GB2312" w:cs="仿宋_GB2312"/>
          <w:color w:val="000000"/>
          <w:sz w:val="32"/>
          <w:szCs w:val="32"/>
        </w:rPr>
        <w:t>医疗卫生与计划生育（类）行政事业单位医疗（款）行政单位医疗（项）：指财政部门安排的行政单位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单位医疗（项）</w:t>
      </w:r>
      <w:r>
        <w:rPr>
          <w:rFonts w:hint="eastAsia" w:ascii="仿宋_GB2312" w:hAnsi="仿宋_GB2312" w:eastAsia="仿宋_GB2312" w:cs="仿宋_GB2312"/>
          <w:color w:val="000000"/>
          <w:sz w:val="32"/>
          <w:szCs w:val="32"/>
          <w:lang w:eastAsia="zh-CN"/>
        </w:rPr>
        <w:t>：反映</w:t>
      </w:r>
      <w:r>
        <w:rPr>
          <w:rFonts w:hint="eastAsia" w:ascii="仿宋_GB2312" w:hAnsi="仿宋_GB2312" w:eastAsia="仿宋_GB2312" w:cs="仿宋_GB2312"/>
          <w:color w:val="000000"/>
          <w:sz w:val="32"/>
          <w:szCs w:val="32"/>
        </w:rPr>
        <w:t>财政部门安排的</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单位基本医疗保险缴费经费，未参加医疗保险的</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单位的公费医疗经费，按国家规定享受离休人员的医疗经费</w:t>
      </w:r>
      <w:r>
        <w:rPr>
          <w:rFonts w:hint="eastAsia" w:ascii="仿宋_GB2312" w:hAnsi="仿宋_GB2312" w:eastAsia="仿宋_GB2312" w:cs="仿宋_GB2312"/>
          <w:color w:val="000000"/>
          <w:sz w:val="32"/>
          <w:szCs w:val="32"/>
          <w:lang w:eastAsia="zh-CN"/>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hAnsi="仿宋_GB2312" w:eastAsia="仿宋_GB2312" w:cs="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hint="eastAsia" w:ascii="黑体" w:hAnsi="黑体" w:eastAsia="黑体"/>
          <w:b w:val="0"/>
          <w:color w:val="auto"/>
          <w:highlight w:val="none"/>
          <w:lang w:eastAsia="zh-CN"/>
        </w:rPr>
      </w:pPr>
      <w:bookmarkStart w:id="93" w:name="_Toc15377226"/>
      <w:r>
        <w:rPr>
          <w:rFonts w:ascii="宋体"/>
          <w:b/>
          <w:color w:val="auto"/>
          <w:sz w:val="44"/>
          <w:szCs w:val="44"/>
          <w:highlight w:val="none"/>
        </w:rPr>
        <w:br w:type="page"/>
      </w:r>
      <w:bookmarkStart w:id="94" w:name="_Toc15396614"/>
      <w:bookmarkStart w:id="95" w:name="_Toc21017"/>
      <w:bookmarkStart w:id="96" w:name="_Toc10039"/>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94"/>
      <w:bookmarkEnd w:id="95"/>
      <w:bookmarkEnd w:id="96"/>
    </w:p>
    <w:p>
      <w:pPr>
        <w:keepNext w:val="0"/>
        <w:keepLines w:val="0"/>
        <w:pageBreakBefore w:val="0"/>
        <w:kinsoku/>
        <w:wordWrap/>
        <w:overflowPunct/>
        <w:topLinePunct w:val="0"/>
        <w:autoSpaceDE/>
        <w:autoSpaceDN/>
        <w:bidi w:val="0"/>
        <w:spacing w:line="572" w:lineRule="exact"/>
        <w:jc w:val="left"/>
        <w:textAlignment w:val="auto"/>
        <w:outlineLvl w:val="1"/>
        <w:rPr>
          <w:rFonts w:ascii="方正小标宋简体" w:hAnsi="方正小标宋简体" w:eastAsia="方正小标宋简体" w:cs="方正小标宋简体"/>
          <w:color w:val="auto"/>
          <w:sz w:val="44"/>
          <w:szCs w:val="44"/>
          <w:highlight w:val="none"/>
        </w:rPr>
      </w:pPr>
      <w:bookmarkStart w:id="97" w:name="_Toc16754"/>
      <w:bookmarkStart w:id="98" w:name="_Toc16695"/>
      <w:r>
        <w:rPr>
          <w:rFonts w:hint="eastAsia" w:ascii="黑体" w:hAnsi="黑体" w:eastAsia="黑体" w:cs="黑体"/>
          <w:color w:val="auto"/>
          <w:sz w:val="32"/>
          <w:szCs w:val="32"/>
          <w:highlight w:val="none"/>
        </w:rPr>
        <w:t>附件</w:t>
      </w:r>
      <w:bookmarkEnd w:id="97"/>
      <w:bookmarkEnd w:id="98"/>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auto"/>
          <w:sz w:val="44"/>
          <w:szCs w:val="44"/>
          <w:lang w:val="en-US" w:eastAsia="zh-CN"/>
        </w:rPr>
      </w:pPr>
      <w:bookmarkStart w:id="151" w:name="_GoBack"/>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eastAsia="方正小标宋简体" w:cs="Times New Roman"/>
          <w:color w:val="auto"/>
          <w:sz w:val="44"/>
          <w:szCs w:val="44"/>
          <w:lang w:val="en-US" w:eastAsia="zh-CN"/>
        </w:rPr>
      </w:pPr>
      <w:bookmarkStart w:id="99" w:name="_Toc15396618"/>
      <w:r>
        <w:rPr>
          <w:rFonts w:hint="eastAsia" w:eastAsia="方正小标宋简体" w:cs="Times New Roman"/>
          <w:color w:val="auto"/>
          <w:sz w:val="44"/>
          <w:szCs w:val="44"/>
          <w:lang w:val="en-US" w:eastAsia="zh-CN"/>
        </w:rPr>
        <w:t>广元市昭化区财政局</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2022年部门整体支出绩效自评报告</w:t>
      </w:r>
    </w:p>
    <w:p>
      <w:pPr>
        <w:pStyle w:val="2"/>
        <w:keepNext w:val="0"/>
        <w:keepLines w:val="0"/>
        <w:pageBreakBefore w:val="0"/>
        <w:kinsoku/>
        <w:wordWrap/>
        <w:overflowPunct/>
        <w:topLinePunct w:val="0"/>
        <w:bidi w:val="0"/>
        <w:spacing w:line="576" w:lineRule="exact"/>
        <w:textAlignment w:val="auto"/>
        <w:rPr>
          <w:rFonts w:hint="default"/>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b w:val="0"/>
          <w:bCs w:val="0"/>
          <w:sz w:val="32"/>
          <w:szCs w:val="32"/>
        </w:rPr>
      </w:pPr>
      <w:bookmarkStart w:id="100" w:name="_Toc23051"/>
      <w:bookmarkStart w:id="101" w:name="_Toc17841"/>
      <w:r>
        <w:rPr>
          <w:rFonts w:hint="default" w:ascii="Times New Roman" w:hAnsi="Times New Roman" w:eastAsia="黑体" w:cs="Times New Roman"/>
          <w:b w:val="0"/>
          <w:bCs w:val="0"/>
          <w:sz w:val="32"/>
          <w:szCs w:val="32"/>
          <w:lang w:val="en-US" w:eastAsia="zh-CN"/>
        </w:rPr>
        <w:t>预算</w:t>
      </w:r>
      <w:r>
        <w:rPr>
          <w:rFonts w:hint="default" w:ascii="Times New Roman" w:hAnsi="Times New Roman" w:eastAsia="黑体" w:cs="Times New Roman"/>
          <w:b w:val="0"/>
          <w:bCs w:val="0"/>
          <w:sz w:val="32"/>
          <w:szCs w:val="32"/>
        </w:rPr>
        <w:t>单位概况</w:t>
      </w:r>
      <w:bookmarkEnd w:id="100"/>
      <w:bookmarkEnd w:id="101"/>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val="en-US" w:eastAsia="zh-CN"/>
        </w:rPr>
        <w:t>内设机构</w:t>
      </w:r>
      <w:r>
        <w:rPr>
          <w:rFonts w:hint="eastAsia" w:ascii="Times New Roman" w:hAnsi="Times New Roman" w:eastAsia="仿宋_GB2312" w:cs="Times New Roman"/>
          <w:b w:val="0"/>
          <w:bCs w:val="0"/>
          <w:sz w:val="32"/>
          <w:szCs w:val="32"/>
          <w:lang w:val="en-US" w:eastAsia="zh-CN"/>
        </w:rPr>
        <w:t>11</w:t>
      </w:r>
      <w:r>
        <w:rPr>
          <w:rFonts w:hint="default" w:ascii="Times New Roman" w:hAnsi="Times New Roman" w:eastAsia="仿宋_GB2312" w:cs="Times New Roman"/>
          <w:b w:val="0"/>
          <w:bCs w:val="0"/>
          <w:sz w:val="32"/>
          <w:szCs w:val="32"/>
          <w:lang w:val="en-US" w:eastAsia="zh-CN"/>
        </w:rPr>
        <w:t>个，即</w:t>
      </w:r>
      <w:r>
        <w:rPr>
          <w:rFonts w:hint="default" w:ascii="Times New Roman" w:hAnsi="Times New Roman" w:eastAsia="仿宋_GB2312" w:cs="Times New Roman"/>
          <w:bCs/>
          <w:sz w:val="32"/>
          <w:szCs w:val="32"/>
        </w:rPr>
        <w:t>办公室、</w:t>
      </w:r>
      <w:r>
        <w:rPr>
          <w:rFonts w:hint="eastAsia" w:ascii="Times New Roman" w:hAnsi="Times New Roman" w:eastAsia="仿宋_GB2312" w:cs="Times New Roman"/>
          <w:bCs/>
          <w:sz w:val="32"/>
          <w:szCs w:val="32"/>
          <w:lang w:eastAsia="zh-CN"/>
        </w:rPr>
        <w:t>综合法规会计与财政监督股、经济建设与环境资源股、</w:t>
      </w:r>
      <w:r>
        <w:rPr>
          <w:rFonts w:hint="default" w:ascii="Times New Roman" w:hAnsi="Times New Roman" w:eastAsia="仿宋_GB2312" w:cs="Times New Roman"/>
          <w:bCs/>
          <w:sz w:val="32"/>
          <w:szCs w:val="32"/>
        </w:rPr>
        <w:t>预算与绩效管理股、债务金融与资产管理股、国库股、行政政法股、教科与文化股、社会保障股、农业农村股、</w:t>
      </w:r>
      <w:r>
        <w:rPr>
          <w:rFonts w:hint="eastAsia" w:ascii="Times New Roman" w:hAnsi="Times New Roman" w:eastAsia="仿宋_GB2312" w:cs="Times New Roman"/>
          <w:bCs/>
          <w:sz w:val="32"/>
          <w:szCs w:val="32"/>
          <w:lang w:eastAsia="zh-CN"/>
        </w:rPr>
        <w:t>基层</w:t>
      </w:r>
      <w:r>
        <w:rPr>
          <w:rFonts w:hint="default" w:ascii="Times New Roman" w:hAnsi="Times New Roman" w:eastAsia="仿宋_GB2312" w:cs="Times New Roman"/>
          <w:bCs/>
          <w:sz w:val="32"/>
          <w:szCs w:val="32"/>
        </w:rPr>
        <w:t>财政管理股</w:t>
      </w:r>
      <w:r>
        <w:rPr>
          <w:rFonts w:hint="default"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eastAsia="zh-CN"/>
        </w:rPr>
        <w:t>下属事业单位</w:t>
      </w:r>
      <w:r>
        <w:rPr>
          <w:rFonts w:hint="eastAsia" w:ascii="Times New Roman" w:hAnsi="Times New Roman" w:eastAsia="仿宋_GB2312" w:cs="Times New Roman"/>
          <w:bCs/>
          <w:sz w:val="32"/>
          <w:szCs w:val="32"/>
          <w:lang w:val="en-US" w:eastAsia="zh-CN"/>
        </w:rPr>
        <w:t>5个，即区国有资产事务中心（参公事业单位）、区国库支付中心（参公事业单位）、区财政绩效事务中心（事业单位）、区财政投资评审中心（事业单位）、区财政信息中心（事业单位）。</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（二）机构职能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拟订和执行全区财政、税收的发展规划、政策和改革方案并组织实施。参与宏观经济分析预测和全区重大宏观经济政策的制定。提出运用财税政策实施宏观经挤调控和综合平衡全区财力的建议。</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贯彻执行国家财税法律、法规和方针、政策。按照管理权限管理金区税政事项，承办上级要求承担的税政工作。预算、国有资本经营预算、政府性基金预算和社会保障基金预算有机衔接的预算体系。强化预算约束机制，完善预算支出体系，统一收支政策，完善支出标准；细化部门预算，提高预算管理的科学化、精细化和透明度。</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承担各项财政收支管理。负责编制年度区级预决算草案并组织实施。受区政府委托，向区人民代表大会报告全区和区级预算及其执行情况，向区人大常委会报告决算。拟定财政税收收入计划；管理区级各项财政收入、预算外资金（包括政府性基金的行政事业性收费）；组织制定经费开支标准、定额，负责审核批复部门（单位）的年度预决算。完善转移支付制度。</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负责政府非税收入管理。负责政府性基金管理，按规定管理行政事业性收费。管理财政票据。按规定管理彩票资金。履行住房公积金的行政监督职能。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lang w:eastAsia="zh-CN"/>
        </w:rPr>
        <w:t>制定全区国库管理制度。国库集中收付制度，指导和监督国库业务，组织开展国库现金管理工作。制定政府采购制度，编制政府采购预算，监督管理全区政府采购工作。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6.</w:t>
      </w:r>
      <w:r>
        <w:rPr>
          <w:rFonts w:hint="eastAsia" w:ascii="仿宋_GB2312" w:hAnsi="仿宋_GB2312" w:eastAsia="仿宋_GB2312" w:cs="仿宋_GB2312"/>
          <w:color w:val="auto"/>
          <w:kern w:val="2"/>
          <w:sz w:val="32"/>
          <w:szCs w:val="32"/>
          <w:lang w:eastAsia="zh-CN"/>
        </w:rPr>
        <w:t>执行区政府债务管理制度和政策，制定集体管理办法，编制区政府债余额限额计划，统一管理外债，防范财政风险。</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lang w:eastAsia="zh-CN"/>
        </w:rPr>
        <w:t>指导全区行政事业单位国有资产管理制度规定及区级机关事业单位国有资产收益管理办法；并对执行情况进行监督检查，负责区级机关国有资产经营收益财政专户管理工作。制定需要全区统一规定的开支标准和支出政策。</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lang w:eastAsia="zh-CN"/>
        </w:rPr>
        <w:t>审核和汇总编制全区国有资本经营预决算草案，制订国有资本经营预算的制度和办法，收取区本级企业国有资本收益，组织实施企业财务制度，管理金融类企业国有资产，参与拟订企业国有资产。管理相关制度，管理资产评估工作。负责财政预算内行政事业单位和社会团体的非贸易外汇和财政预算内的国际收支管理。</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lang w:eastAsia="zh-CN"/>
        </w:rPr>
        <w:t>负责审核全区社会保险基金预决算草案，会同相关部门拟定资金财务管理制度，承担社会保险基金财政监管工作。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10.</w:t>
      </w:r>
      <w:r>
        <w:rPr>
          <w:rFonts w:hint="eastAsia" w:ascii="仿宋_GB2312" w:hAnsi="仿宋_GB2312" w:eastAsia="仿宋_GB2312" w:cs="仿宋_GB2312"/>
          <w:color w:val="auto"/>
          <w:kern w:val="2"/>
          <w:sz w:val="32"/>
          <w:szCs w:val="32"/>
          <w:lang w:eastAsia="zh-CN"/>
        </w:rPr>
        <w:t>负责办理和监督区级财政的经济发展支出、区级政府性项目的财政拨款，负责投资评审管理工作，参与拟定区级基建投资有关政策，制定基建财务管理制度。</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11.</w:t>
      </w:r>
      <w:r>
        <w:rPr>
          <w:rFonts w:hint="eastAsia" w:ascii="仿宋_GB2312" w:hAnsi="仿宋_GB2312" w:eastAsia="仿宋_GB2312" w:cs="仿宋_GB2312"/>
          <w:color w:val="auto"/>
          <w:kern w:val="2"/>
          <w:sz w:val="32"/>
          <w:szCs w:val="32"/>
          <w:lang w:eastAsia="zh-CN"/>
        </w:rPr>
        <w:t>管理外国政府和国际金融机构贷（赠）款项目的有关业务，参与财经领域的国际交流合作。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12.</w:t>
      </w:r>
      <w:r>
        <w:rPr>
          <w:rFonts w:hint="eastAsia" w:ascii="仿宋_GB2312" w:hAnsi="仿宋_GB2312" w:eastAsia="仿宋_GB2312" w:cs="仿宋_GB2312"/>
          <w:color w:val="auto"/>
          <w:kern w:val="2"/>
          <w:sz w:val="32"/>
          <w:szCs w:val="32"/>
          <w:lang w:eastAsia="zh-CN"/>
        </w:rPr>
        <w:t xml:space="preserve">负责管理全区的会计工作，监督和规范会计行为，组织实施国家统一的会计制度，指导和监督注册会计师和会计师事务所的业务，指导和管理社会审计。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13.</w:t>
      </w:r>
      <w:r>
        <w:rPr>
          <w:rFonts w:hint="eastAsia" w:ascii="仿宋_GB2312" w:hAnsi="仿宋_GB2312" w:eastAsia="仿宋_GB2312" w:cs="仿宋_GB2312"/>
          <w:color w:val="auto"/>
          <w:kern w:val="2"/>
          <w:sz w:val="32"/>
          <w:szCs w:val="32"/>
          <w:lang w:eastAsia="zh-CN"/>
        </w:rPr>
        <w:t>负责职责范围内的安全生产和执业健康、生态环境保护、审批服务便民化等工作。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14.</w:t>
      </w:r>
      <w:r>
        <w:rPr>
          <w:rFonts w:hint="eastAsia" w:ascii="仿宋_GB2312" w:hAnsi="仿宋_GB2312" w:eastAsia="仿宋_GB2312" w:cs="仿宋_GB2312"/>
          <w:color w:val="auto"/>
          <w:kern w:val="2"/>
          <w:sz w:val="32"/>
          <w:szCs w:val="32"/>
          <w:lang w:eastAsia="zh-CN"/>
        </w:rPr>
        <w:t>承办区政府交办的其他事项。</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eastAsia" w:ascii="楷体_GB2312" w:hAnsi="楷体_GB2312" w:eastAsia="楷体_GB2312" w:cs="楷体_GB2312"/>
          <w:color w:val="auto"/>
          <w:kern w:val="2"/>
          <w:sz w:val="32"/>
          <w:szCs w:val="32"/>
          <w:lang w:eastAsia="zh-CN"/>
        </w:rPr>
      </w:pPr>
      <w:r>
        <w:rPr>
          <w:rFonts w:hint="eastAsia" w:ascii="楷体_GB2312" w:hAnsi="楷体_GB2312" w:eastAsia="楷体_GB2312" w:cs="楷体_GB2312"/>
          <w:color w:val="auto"/>
          <w:kern w:val="2"/>
          <w:sz w:val="32"/>
          <w:szCs w:val="32"/>
          <w:lang w:eastAsia="zh-CN"/>
        </w:rPr>
        <w:t>（三）人员概况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sz w:val="32"/>
          <w:szCs w:val="32"/>
          <w:lang w:val="en-US" w:eastAsia="zh-CN"/>
        </w:rPr>
        <w:t>区财政局共有编制41名，其中:行政编制16名，参公事业编制5名，事业编制19名，机关工勤编制1名。2022年实有在职编制内人员30人，其中：行政人员11人，参公事业人员2人，事业人员16人，工勤人员1人，均为财政全额供养人员。退休人员5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102" w:name="_Toc27716"/>
      <w:bookmarkStart w:id="103" w:name="_Toc28544"/>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预算单位</w:t>
      </w:r>
      <w:r>
        <w:rPr>
          <w:rFonts w:hint="eastAsia" w:ascii="黑体" w:hAnsi="宋体" w:eastAsia="黑体" w:cs="宋体"/>
          <w:color w:val="auto"/>
          <w:kern w:val="0"/>
          <w:sz w:val="32"/>
          <w:szCs w:val="32"/>
          <w:highlight w:val="none"/>
          <w:shd w:val="clear" w:color="auto" w:fill="FFFFFF"/>
        </w:rPr>
        <w:t>资金收支情况</w:t>
      </w:r>
      <w:bookmarkEnd w:id="102"/>
      <w:bookmarkEnd w:id="103"/>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b w:val="0"/>
          <w:bCs w:val="0"/>
          <w:color w:val="auto"/>
          <w:kern w:val="0"/>
          <w:sz w:val="32"/>
          <w:szCs w:val="32"/>
          <w:highlight w:val="none"/>
          <w:shd w:val="clear" w:color="auto" w:fill="FFFFFF"/>
          <w:lang w:val="en-US" w:eastAsia="zh-CN"/>
        </w:rPr>
      </w:pPr>
      <w:r>
        <w:rPr>
          <w:rFonts w:hint="eastAsia" w:ascii="楷体_GB2312" w:hAnsi="楷体_GB2312" w:eastAsia="楷体_GB2312" w:cs="楷体_GB2312"/>
          <w:b w:val="0"/>
          <w:bCs w:val="0"/>
          <w:color w:val="auto"/>
          <w:kern w:val="0"/>
          <w:sz w:val="32"/>
          <w:szCs w:val="32"/>
          <w:highlight w:val="none"/>
          <w:shd w:val="clear" w:color="auto" w:fill="FFFFFF"/>
          <w:lang w:val="zh-CN"/>
        </w:rPr>
        <w:t>（一）</w:t>
      </w:r>
      <w:r>
        <w:rPr>
          <w:rFonts w:hint="eastAsia" w:ascii="楷体_GB2312" w:hAnsi="楷体_GB2312" w:eastAsia="楷体_GB2312" w:cs="楷体_GB2312"/>
          <w:b w:val="0"/>
          <w:bCs w:val="0"/>
          <w:color w:val="auto"/>
          <w:kern w:val="0"/>
          <w:sz w:val="32"/>
          <w:szCs w:val="32"/>
          <w:highlight w:val="none"/>
          <w:shd w:val="clear" w:color="auto" w:fill="FFFFFF"/>
          <w:lang w:val="en-US" w:eastAsia="zh-CN"/>
        </w:rPr>
        <w:t>2022年财政收支情况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rPr>
        <w:t>年本年收入合计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1584.7</w:t>
      </w:r>
      <w:r>
        <w:rPr>
          <w:rFonts w:hint="eastAsia" w:ascii="仿宋_GB2312" w:hAnsi="仿宋_GB2312" w:eastAsia="仿宋_GB2312" w:cs="仿宋_GB2312"/>
          <w:b w:val="0"/>
          <w:bCs w:val="0"/>
          <w:color w:val="auto"/>
          <w:kern w:val="0"/>
          <w:sz w:val="32"/>
          <w:szCs w:val="32"/>
          <w:highlight w:val="none"/>
          <w:shd w:val="clear" w:color="auto" w:fill="FFFFFF"/>
          <w:lang w:val="zh-CN"/>
        </w:rPr>
        <w:t>万元，其中：一般公共预算财政拨款收入</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1584.7</w:t>
      </w:r>
      <w:r>
        <w:rPr>
          <w:rFonts w:hint="eastAsia" w:ascii="仿宋_GB2312" w:hAnsi="仿宋_GB2312" w:eastAsia="仿宋_GB2312" w:cs="仿宋_GB2312"/>
          <w:b w:val="0"/>
          <w:bCs w:val="0"/>
          <w:color w:val="auto"/>
          <w:kern w:val="0"/>
          <w:sz w:val="32"/>
          <w:szCs w:val="32"/>
          <w:highlight w:val="none"/>
          <w:shd w:val="clear" w:color="auto" w:fill="FFFFFF"/>
          <w:lang w:val="zh-CN"/>
        </w:rPr>
        <w:t>万元，占100%。202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rPr>
        <w:t>年本年支出合计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1584.7</w:t>
      </w:r>
      <w:r>
        <w:rPr>
          <w:rFonts w:hint="eastAsia" w:ascii="仿宋_GB2312" w:hAnsi="仿宋_GB2312" w:eastAsia="仿宋_GB2312" w:cs="仿宋_GB2312"/>
          <w:b w:val="0"/>
          <w:bCs w:val="0"/>
          <w:color w:val="auto"/>
          <w:kern w:val="0"/>
          <w:sz w:val="32"/>
          <w:szCs w:val="32"/>
          <w:highlight w:val="none"/>
          <w:shd w:val="clear" w:color="auto" w:fill="FFFFFF"/>
          <w:lang w:val="zh-CN"/>
        </w:rPr>
        <w:t>万元，其中：基本支出624.68万元，占45.82%；项目支出738.56万元，占54.18%。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b w:val="0"/>
          <w:bCs w:val="0"/>
          <w:sz w:val="32"/>
          <w:szCs w:val="32"/>
          <w:lang w:val="en-US" w:eastAsia="zh-CN"/>
        </w:rPr>
      </w:pPr>
      <w:bookmarkStart w:id="104" w:name="_Toc12727"/>
      <w:bookmarkStart w:id="105" w:name="_Toc79"/>
      <w:r>
        <w:rPr>
          <w:rFonts w:hint="default"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val="en-US" w:eastAsia="zh-CN"/>
        </w:rPr>
        <w:t>部门整体预算绩效管理情况</w:t>
      </w:r>
      <w:bookmarkEnd w:id="104"/>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（一）部门预算项目绩效管理</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1.部门绩效目标制定</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我单位在年初编制部门预算时，严格按照我局2022年度重点工作任务及计划，高标准制定了合理可行的部门整体绩效目标。结合我局各项工作职能，明确了一级指标，二级指标，三级指标，细化量化了指标评价内容。绩效目标随同预算纳入部门党组会集体决策范围。在年初及后续追加制定各类项目绩效目标时，也严格按照相关规定及工作实际进行细化量化，并结合项目申报时的预期效益合理编制可实现可持续的一二三级指标。</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2.目标实现</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2022年，我局各项绩效目标整体实现情况良好。</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一是人员类项目，全年支出481.74万元，按照规定标准及时及时足额支付单位30名工作人员工资、保险、住房公积金等及，保障了工作有序开展，完成计划目标任务。</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二是机关运转类项目，全年支出664.36万元，保障了单位日常运转。全面完成年初制定的目标：开展了财会监督检查，分别对13家单位进行专项检查和综合检查，发出10份整改通知；对10家单位开展行政事业单位内部控制建设监督检查，发出5份整改通知；对10家单位开展规范会计基础工作专项行动，发出4份整改通知；在全区范围内开展违规发放津补贴、重复超报差旅费等问题专项检查，收回罚没收入10万；为全区74个部门提供财政管理指导、监督，保障机关正常运转及各项工作顺利开展；组织、审核全区预算单位全覆盖编制预算绩效目标并报人代会审查，全过程全覆盖开展预算绩效管理，公开采购中介开展了35个项目、14个部门整体重点评价。</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三是特定目标类项目。年初预算的2022年财政委托业务、招商引资工作经费等，全年支出438.6万元。全年完成了204个财评项目，并通过公开选聘的联合体，提升了财评效率，节约了财政资金。招商引资工作经费未完成数量指标和成本指标，原因是受疫情影响，外出招商引资活动减少，影响既定目标实现。</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3.支出控制</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年度部门日常公用经费中办公费预算32.35万元,决算32.35万元，偏差为0;印刷费预算46.87万元，决算36.87万元，偏差程度为0;水费预算2.02万元，决算2.02万元，偏差程度为0;电费预算8.22万元，决算8.22万元，偏差程度为0;邮电费预算18.49 万元，决算18.49万元，偏差程度为0,其余科目年初预算数与决算数也基本相符，预决算偏差程度低。</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4.及时处置</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按照《广元市昭化区预算绩效事中运行监控管理暂行办法》(昭府办函[2022] 37号)的要求，按时完成预算绩效运行监控，将绩效监控结果应用到预算调整，合理安排预算执行进度，提高资金使用绩效。2022 年不涉及绩效监控调整取消额和结余注销额。</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5.违规记录</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2022年度我单位未收到审计监督、财政检查反映单位上一年度部门预算管理不合规的情况，未发现部门预算管理方面违纪违规问题。</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（二）</w:t>
      </w:r>
      <w:r>
        <w:rPr>
          <w:rFonts w:hint="default" w:ascii="Times New Roman" w:hAnsi="Times New Roman" w:eastAsia="楷体_GB2312" w:cs="Times New Roman"/>
          <w:b w:val="0"/>
          <w:bCs w:val="0"/>
          <w:color w:val="auto"/>
          <w:sz w:val="32"/>
          <w:szCs w:val="32"/>
          <w:lang w:val="en-US" w:eastAsia="zh-CN"/>
        </w:rPr>
        <w:t>结果应用公开情况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rPr>
        <w:t>我单位绩效目标、绩效自评等信息随预决算一起公开。纳入政府采购的项目在四川省政府采购网上公开，公开的内容包括采购项目信息、采购文件、成交结果、采购合同、投诉处理结果等。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jc w:val="both"/>
        <w:textAlignment w:val="auto"/>
        <w:rPr>
          <w:rFonts w:hint="default" w:ascii="Times New Roman" w:hAnsi="Times New Roman" w:eastAsia="楷体_GB2312" w:cs="Times New Roman"/>
          <w:b w:val="0"/>
          <w:bCs w:val="0"/>
          <w:sz w:val="32"/>
          <w:szCs w:val="32"/>
          <w:lang w:val="en-US" w:eastAsia="zh-CN"/>
        </w:rPr>
      </w:pPr>
      <w:r>
        <w:rPr>
          <w:rFonts w:hint="eastAsia"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lang w:val="en-US" w:eastAsia="zh-CN"/>
        </w:rPr>
        <w:t>自评质量</w:t>
      </w:r>
    </w:p>
    <w:p>
      <w:pPr>
        <w:pStyle w:val="28"/>
        <w:keepNext w:val="0"/>
        <w:keepLines w:val="0"/>
        <w:pageBreakBefore w:val="0"/>
        <w:widowControl w:val="0"/>
        <w:numPr>
          <w:ilvl w:val="0"/>
          <w:numId w:val="0"/>
        </w:numPr>
        <w:tabs>
          <w:tab w:val="left" w:pos="993"/>
        </w:tabs>
        <w:kinsoku/>
        <w:wordWrap/>
        <w:overflowPunct/>
        <w:topLinePunct w:val="0"/>
        <w:autoSpaceDE/>
        <w:autoSpaceDN/>
        <w:bidi w:val="0"/>
        <w:adjustRightInd/>
        <w:snapToGrid w:val="0"/>
        <w:spacing w:line="576" w:lineRule="exact"/>
        <w:ind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2022年</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区</w:t>
      </w:r>
      <w:r>
        <w:rPr>
          <w:rFonts w:hint="eastAsia" w:ascii="Times New Roman" w:hAnsi="Times New Roman" w:eastAsia="仿宋_GB2312" w:cs="Times New Roman"/>
          <w:b w:val="0"/>
          <w:bCs w:val="0"/>
          <w:color w:val="000000"/>
          <w:kern w:val="2"/>
          <w:sz w:val="32"/>
          <w:szCs w:val="32"/>
          <w:lang w:val="en-US" w:eastAsia="zh-CN" w:bidi="ar-SA"/>
        </w:rPr>
        <w:t>财政局</w:t>
      </w:r>
      <w:r>
        <w:rPr>
          <w:rFonts w:hint="default" w:ascii="Times New Roman" w:hAnsi="Times New Roman" w:eastAsia="仿宋_GB2312" w:cs="Times New Roman"/>
          <w:b w:val="0"/>
          <w:bCs w:val="0"/>
          <w:color w:val="000000"/>
          <w:kern w:val="2"/>
          <w:sz w:val="32"/>
          <w:szCs w:val="32"/>
          <w:lang w:val="en-US" w:eastAsia="zh-CN" w:bidi="ar-SA"/>
        </w:rPr>
        <w:t>根据单位实际情况制定年初部门预算绩效目标，保障</w:t>
      </w:r>
      <w:r>
        <w:rPr>
          <w:rFonts w:hint="eastAsia" w:eastAsia="仿宋_GB2312" w:cs="Times New Roman"/>
          <w:b w:val="0"/>
          <w:bCs w:val="0"/>
          <w:color w:val="000000"/>
          <w:kern w:val="2"/>
          <w:sz w:val="32"/>
          <w:szCs w:val="32"/>
          <w:lang w:val="en-US" w:eastAsia="zh-CN" w:bidi="ar-SA"/>
        </w:rPr>
        <w:t>单位</w:t>
      </w:r>
      <w:r>
        <w:rPr>
          <w:rFonts w:hint="default" w:ascii="Times New Roman" w:hAnsi="Times New Roman" w:eastAsia="仿宋_GB2312" w:cs="Times New Roman"/>
          <w:b w:val="0"/>
          <w:bCs w:val="0"/>
          <w:color w:val="000000"/>
          <w:kern w:val="2"/>
          <w:sz w:val="32"/>
          <w:szCs w:val="32"/>
          <w:lang w:val="en-US" w:eastAsia="zh-CN" w:bidi="ar-SA"/>
        </w:rPr>
        <w:t>正常运转</w:t>
      </w:r>
      <w:r>
        <w:rPr>
          <w:rFonts w:hint="eastAsia" w:eastAsia="仿宋_GB2312" w:cs="Times New Roman"/>
          <w:b w:val="0"/>
          <w:bCs w:val="0"/>
          <w:color w:val="000000"/>
          <w:kern w:val="2"/>
          <w:sz w:val="32"/>
          <w:szCs w:val="32"/>
          <w:lang w:val="en-US" w:eastAsia="zh-CN" w:bidi="ar-SA"/>
        </w:rPr>
        <w:t>，</w:t>
      </w:r>
      <w:r>
        <w:rPr>
          <w:rFonts w:hint="eastAsia" w:ascii="仿宋_GB2312" w:hAnsi="仿宋_GB2312" w:eastAsia="仿宋_GB2312" w:cs="仿宋_GB2312"/>
          <w:b w:val="0"/>
          <w:bCs w:val="0"/>
          <w:kern w:val="0"/>
          <w:sz w:val="32"/>
          <w:szCs w:val="32"/>
          <w:lang w:val="en-US" w:eastAsia="zh-CN" w:bidi="ar-SA"/>
        </w:rPr>
        <w:t>推进了各项工作顺利开展</w:t>
      </w:r>
      <w:r>
        <w:rPr>
          <w:rFonts w:hint="eastAsia" w:ascii="仿宋_GB2312" w:hAnsi="仿宋_GB2312" w:eastAsia="仿宋_GB2312" w:cs="仿宋_GB2312"/>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支付过程及时有力，控制有度，无低效无效率资金使用情况，无违规记录，实现了年初制定的绩效目标。日常公用经费如办公费、印刷费、会议费等年初预算数与决算实际数对比在正常范围内。</w:t>
      </w:r>
      <w:r>
        <w:rPr>
          <w:rFonts w:hint="eastAsia" w:ascii="仿宋_GB2312" w:hAnsi="仿宋_GB2312" w:eastAsia="仿宋_GB2312" w:cs="仿宋_GB2312"/>
          <w:b w:val="0"/>
          <w:bCs w:val="0"/>
          <w:kern w:val="0"/>
          <w:sz w:val="32"/>
          <w:szCs w:val="32"/>
          <w:lang w:val="en-US" w:eastAsia="zh-CN" w:bidi="ar-SA"/>
        </w:rPr>
        <w:t>较好的达到了预期绩效目标。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b w:val="0"/>
          <w:bCs w:val="0"/>
          <w:sz w:val="32"/>
          <w:szCs w:val="32"/>
        </w:rPr>
      </w:pPr>
      <w:bookmarkStart w:id="106" w:name="_Toc18273"/>
      <w:bookmarkStart w:id="107" w:name="_Toc31863"/>
      <w:r>
        <w:rPr>
          <w:rFonts w:hint="default"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rPr>
        <w:t>、评价结论及建议</w:t>
      </w:r>
      <w:bookmarkEnd w:id="106"/>
      <w:bookmarkEnd w:id="10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自评</w:t>
      </w:r>
      <w:r>
        <w:rPr>
          <w:rFonts w:hint="default" w:ascii="Times New Roman" w:hAnsi="Times New Roman" w:eastAsia="楷体_GB2312" w:cs="Times New Roman"/>
          <w:b w:val="0"/>
          <w:bCs w:val="0"/>
          <w:sz w:val="32"/>
          <w:szCs w:val="32"/>
        </w:rPr>
        <w:t>结论</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sz w:val="32"/>
          <w:szCs w:val="32"/>
        </w:rPr>
        <w:t>区</w:t>
      </w:r>
      <w:r>
        <w:rPr>
          <w:rFonts w:hint="eastAsia" w:eastAsia="仿宋_GB2312" w:cs="Times New Roman"/>
          <w:b w:val="0"/>
          <w:bCs w:val="0"/>
          <w:color w:val="000000"/>
          <w:sz w:val="32"/>
          <w:szCs w:val="32"/>
          <w:lang w:eastAsia="zh-CN"/>
        </w:rPr>
        <w:t>财政局</w:t>
      </w:r>
      <w:r>
        <w:rPr>
          <w:rFonts w:hint="default" w:ascii="Times New Roman" w:hAnsi="Times New Roman" w:eastAsia="仿宋_GB2312" w:cs="Times New Roman"/>
          <w:b w:val="0"/>
          <w:bCs w:val="0"/>
          <w:kern w:val="0"/>
          <w:sz w:val="32"/>
          <w:szCs w:val="32"/>
          <w:lang w:val="en-US" w:eastAsia="zh-CN"/>
        </w:rPr>
        <w:t>严格</w:t>
      </w:r>
      <w:r>
        <w:rPr>
          <w:rFonts w:hint="default" w:ascii="Times New Roman" w:hAnsi="Times New Roman" w:eastAsia="仿宋_GB2312" w:cs="Times New Roman"/>
          <w:b w:val="0"/>
          <w:bCs w:val="0"/>
          <w:kern w:val="0"/>
          <w:sz w:val="32"/>
          <w:szCs w:val="32"/>
        </w:rPr>
        <w:t>按照</w:t>
      </w:r>
      <w:r>
        <w:rPr>
          <w:rFonts w:hint="eastAsia" w:eastAsia="仿宋_GB2312" w:cs="Times New Roman"/>
          <w:b w:val="0"/>
          <w:bCs w:val="0"/>
          <w:color w:val="auto"/>
          <w:kern w:val="2"/>
          <w:sz w:val="32"/>
          <w:szCs w:val="32"/>
          <w:lang w:val="en-US" w:eastAsia="zh-CN" w:bidi="ar-SA"/>
        </w:rPr>
        <w:t>《广元市昭化区预算绩效事中运行监控管理暂行办法》(昭府办函[2022] 37号)的要求，</w:t>
      </w:r>
      <w:r>
        <w:rPr>
          <w:rFonts w:hint="default" w:ascii="Times New Roman" w:hAnsi="Times New Roman" w:eastAsia="仿宋_GB2312" w:cs="Times New Roman"/>
          <w:b w:val="0"/>
          <w:bCs w:val="0"/>
          <w:kern w:val="0"/>
          <w:sz w:val="32"/>
          <w:szCs w:val="32"/>
        </w:rPr>
        <w:t>绩效评价指标体系开展绩效评价。</w:t>
      </w:r>
      <w:r>
        <w:rPr>
          <w:rFonts w:hint="default" w:ascii="Times New Roman" w:hAnsi="Times New Roman" w:eastAsia="仿宋_GB2312" w:cs="Times New Roman"/>
          <w:b w:val="0"/>
          <w:bCs w:val="0"/>
          <w:color w:val="auto"/>
          <w:kern w:val="0"/>
          <w:sz w:val="32"/>
          <w:szCs w:val="32"/>
        </w:rPr>
        <w:t>自评得分为</w:t>
      </w:r>
      <w:r>
        <w:rPr>
          <w:rFonts w:hint="eastAsia" w:eastAsia="仿宋_GB2312" w:cs="Times New Roman"/>
          <w:b w:val="0"/>
          <w:bCs w:val="0"/>
          <w:color w:val="auto"/>
          <w:kern w:val="0"/>
          <w:sz w:val="32"/>
          <w:szCs w:val="32"/>
          <w:lang w:val="en-US" w:eastAsia="zh-CN"/>
        </w:rPr>
        <w:t>92</w:t>
      </w:r>
      <w:r>
        <w:rPr>
          <w:rFonts w:hint="default" w:ascii="Times New Roman" w:hAnsi="Times New Roman" w:eastAsia="仿宋_GB2312" w:cs="Times New Roman"/>
          <w:b w:val="0"/>
          <w:bCs w:val="0"/>
          <w:color w:val="auto"/>
          <w:kern w:val="0"/>
          <w:sz w:val="32"/>
          <w:szCs w:val="32"/>
        </w:rPr>
        <w:t>分</w:t>
      </w:r>
      <w:r>
        <w:rPr>
          <w:rFonts w:hint="eastAsia"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（二）存在问题</w:t>
      </w:r>
    </w:p>
    <w:p>
      <w:pPr>
        <w:pStyle w:val="20"/>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default"/>
          <w:sz w:val="32"/>
          <w:szCs w:val="32"/>
        </w:rPr>
      </w:pPr>
      <w:r>
        <w:rPr>
          <w:rFonts w:hint="eastAsia"/>
          <w:sz w:val="32"/>
          <w:szCs w:val="32"/>
          <w:lang w:val="en-US" w:eastAsia="zh-CN"/>
        </w:rPr>
        <w:t>一是绩效目标编制未细化量化。二是行政事业单位资产动态监管未及时报送资产变动信息，未及时在每月</w:t>
      </w:r>
      <w:r>
        <w:rPr>
          <w:rFonts w:hint="default"/>
          <w:sz w:val="32"/>
          <w:szCs w:val="32"/>
          <w:lang w:val="en-US" w:eastAsia="zh-CN"/>
        </w:rPr>
        <w:t>8</w:t>
      </w:r>
      <w:r>
        <w:rPr>
          <w:rFonts w:hint="eastAsia"/>
          <w:sz w:val="32"/>
          <w:szCs w:val="32"/>
          <w:lang w:val="en-US" w:eastAsia="zh-CN"/>
        </w:rPr>
        <w:t>日前报送本单位固定资产的增减变化情况。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（三）改进建议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Calibri" w:eastAsia="仿宋" w:cs="仿宋"/>
          <w:color w:val="000000"/>
          <w:kern w:val="0"/>
          <w:sz w:val="32"/>
          <w:szCs w:val="32"/>
          <w:lang w:val="en-US" w:eastAsia="zh-CN" w:bidi="ar-SA"/>
        </w:rPr>
      </w:pPr>
      <w:r>
        <w:rPr>
          <w:rFonts w:hint="eastAsia" w:ascii="仿宋" w:hAnsi="Calibri" w:eastAsia="仿宋" w:cs="仿宋"/>
          <w:color w:val="000000"/>
          <w:kern w:val="0"/>
          <w:sz w:val="32"/>
          <w:szCs w:val="32"/>
          <w:lang w:val="en-US" w:eastAsia="zh-CN" w:bidi="ar-SA"/>
        </w:rPr>
        <w:t>一是优化绩效目标编制，项目绩效目标编制细化量化。二是加强资产动态监控，及时报送资产变动信息。三是强化预算执行刚性，严格按预算管理执行部门预算，严格收支管理。</w:t>
      </w:r>
    </w:p>
    <w:p>
      <w:pPr>
        <w:pStyle w:val="20"/>
        <w:keepNext w:val="0"/>
        <w:keepLines w:val="0"/>
        <w:pageBreakBefore w:val="0"/>
        <w:kinsoku/>
        <w:wordWrap/>
        <w:overflowPunct/>
        <w:topLinePunct w:val="0"/>
        <w:bidi w:val="0"/>
        <w:spacing w:line="576" w:lineRule="exact"/>
        <w:textAlignment w:val="auto"/>
        <w:rPr>
          <w:rFonts w:hint="eastAsia" w:ascii="仿宋" w:hAnsi="Calibri" w:eastAsia="仿宋" w:cs="仿宋"/>
          <w:color w:val="000000"/>
          <w:kern w:val="0"/>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76" w:lineRule="exact"/>
        <w:textAlignment w:val="auto"/>
        <w:rPr>
          <w:rFonts w:hint="eastAsia" w:hAnsi="Times New Roman" w:cs="Times New Roman"/>
          <w:color w:val="auto"/>
          <w:sz w:val="32"/>
          <w:szCs w:val="32"/>
          <w:highlight w:val="none"/>
          <w:lang w:val="zh-CN" w:eastAsia="zh-CN"/>
        </w:rPr>
      </w:pPr>
    </w:p>
    <w:p>
      <w:pPr>
        <w:rPr>
          <w:rFonts w:hint="eastAsia" w:hAnsi="Times New Roman" w:cs="Times New Roman"/>
          <w:color w:val="auto"/>
          <w:sz w:val="32"/>
          <w:szCs w:val="32"/>
          <w:highlight w:val="none"/>
          <w:lang w:val="zh-CN" w:eastAsia="zh-CN"/>
        </w:rPr>
      </w:pPr>
    </w:p>
    <w:p>
      <w:pPr>
        <w:pStyle w:val="2"/>
        <w:rPr>
          <w:rFonts w:hint="eastAsia" w:hAnsi="Times New Roman" w:cs="Times New Roman"/>
          <w:color w:val="auto"/>
          <w:sz w:val="32"/>
          <w:szCs w:val="32"/>
          <w:highlight w:val="none"/>
          <w:lang w:val="zh-CN" w:eastAsia="zh-CN"/>
        </w:rPr>
      </w:pPr>
    </w:p>
    <w:p>
      <w:pPr>
        <w:rPr>
          <w:rFonts w:hint="eastAsia" w:hAnsi="Times New Roman" w:cs="Times New Roman"/>
          <w:color w:val="auto"/>
          <w:sz w:val="32"/>
          <w:szCs w:val="32"/>
          <w:highlight w:val="none"/>
          <w:lang w:val="zh-CN" w:eastAsia="zh-CN"/>
        </w:rPr>
      </w:pPr>
    </w:p>
    <w:p>
      <w:pPr>
        <w:pStyle w:val="2"/>
        <w:rPr>
          <w:rFonts w:hint="eastAsia" w:hAnsi="Times New Roman" w:cs="Times New Roman"/>
          <w:color w:val="auto"/>
          <w:sz w:val="32"/>
          <w:szCs w:val="32"/>
          <w:highlight w:val="none"/>
          <w:lang w:val="zh-CN" w:eastAsia="zh-CN"/>
        </w:rPr>
      </w:pPr>
    </w:p>
    <w:p>
      <w:pPr>
        <w:rPr>
          <w:rFonts w:hint="eastAsia"/>
          <w:lang w:val="zh-CN" w:eastAsia="zh-CN"/>
        </w:rPr>
      </w:pPr>
    </w:p>
    <w:p>
      <w:pPr>
        <w:pStyle w:val="7"/>
        <w:rPr>
          <w:rFonts w:hint="eastAsia" w:hAnsi="宋体" w:cs="宋体"/>
          <w:color w:val="auto"/>
          <w:kern w:val="0"/>
          <w:sz w:val="32"/>
          <w:szCs w:val="32"/>
          <w:highlight w:val="none"/>
          <w:shd w:val="clear" w:color="auto" w:fill="FFFFFF"/>
          <w:lang w:val="zh-CN"/>
        </w:rPr>
      </w:pPr>
    </w:p>
    <w:p>
      <w:pPr>
        <w:rPr>
          <w:rFonts w:hint="eastAsia"/>
          <w:lang w:val="zh-CN"/>
        </w:rPr>
      </w:pPr>
    </w:p>
    <w:p>
      <w:pPr>
        <w:keepNext w:val="0"/>
        <w:keepLines w:val="0"/>
        <w:pageBreakBefore w:val="0"/>
        <w:widowControl w:val="0"/>
        <w:suppressLineNumbers w:val="0"/>
        <w:wordWrap/>
        <w:overflowPunct/>
        <w:topLinePunct w:val="0"/>
        <w:bidi w:val="0"/>
        <w:jc w:val="center"/>
        <w:textAlignment w:val="center"/>
        <w:outlineLvl w:val="0"/>
        <w:rPr>
          <w:rFonts w:hint="eastAsia" w:ascii="方正小标宋简体" w:hAnsi="方正小标宋简体" w:eastAsia="方正小标宋简体" w:cs="方正小标宋简体"/>
          <w:i w:val="0"/>
          <w:iCs w:val="0"/>
          <w:color w:val="000000"/>
          <w:sz w:val="40"/>
          <w:szCs w:val="40"/>
          <w:u w:val="none"/>
        </w:rPr>
      </w:pPr>
      <w:bookmarkStart w:id="108" w:name="_Toc23708"/>
      <w:bookmarkStart w:id="109" w:name="_Toc22816"/>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广元市昭化区部门整体支出绩效目标自评表</w:t>
      </w:r>
      <w:bookmarkEnd w:id="108"/>
      <w:bookmarkEnd w:id="109"/>
    </w:p>
    <w:p>
      <w:pPr>
        <w:keepNext w:val="0"/>
        <w:keepLines w:val="0"/>
        <w:pageBreakBefore w:val="0"/>
        <w:widowControl w:val="0"/>
        <w:suppressLineNumbers w:val="0"/>
        <w:wordWrap/>
        <w:overflowPunct/>
        <w:topLinePunct w:val="0"/>
        <w:bidi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bl>
      <w:tblPr>
        <w:tblStyle w:val="16"/>
        <w:tblW w:w="5272" w:type="pct"/>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
        <w:gridCol w:w="372"/>
        <w:gridCol w:w="337"/>
        <w:gridCol w:w="705"/>
        <w:gridCol w:w="2920"/>
        <w:gridCol w:w="1001"/>
        <w:gridCol w:w="1193"/>
        <w:gridCol w:w="980"/>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76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 xml:space="preserve">广元市昭化区财政局 </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0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广元市昭化区财政局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04"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5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6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54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1595.12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1584.7</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1499.22</w:t>
            </w: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94.6</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1595.12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1584.7</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1499.22</w:t>
            </w: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94.6</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1595.12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1584.7</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1499.22</w:t>
            </w: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94.6</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000000"/>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000000"/>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000000"/>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1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9"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204"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55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rPr>
                <w:rFonts w:hint="eastAsia" w:ascii="宋体" w:hAnsi="宋体" w:eastAsia="宋体" w:cs="宋体"/>
                <w:i w:val="0"/>
                <w:iCs w:val="0"/>
                <w:color w:val="000000"/>
                <w:sz w:val="18"/>
                <w:szCs w:val="18"/>
                <w:u w:val="none"/>
              </w:rPr>
            </w:pPr>
          </w:p>
        </w:tc>
        <w:tc>
          <w:tcPr>
            <w:tcW w:w="66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510"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w:t>
            </w:r>
          </w:p>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w:t>
            </w:r>
          </w:p>
        </w:tc>
        <w:tc>
          <w:tcPr>
            <w:tcW w:w="241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227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41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iCs w:val="0"/>
                <w:color w:val="000000"/>
                <w:kern w:val="0"/>
                <w:sz w:val="18"/>
                <w:szCs w:val="18"/>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iCs w:val="0"/>
                <w:color w:val="000000"/>
                <w:kern w:val="0"/>
                <w:sz w:val="18"/>
                <w:szCs w:val="18"/>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iCs w:val="0"/>
                <w:color w:val="000000"/>
                <w:kern w:val="0"/>
                <w:sz w:val="18"/>
                <w:szCs w:val="18"/>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iCs w:val="0"/>
                <w:color w:val="000000"/>
                <w:kern w:val="0"/>
                <w:sz w:val="18"/>
                <w:szCs w:val="18"/>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(一）财政监督检查。对会计信息质量、三公经费等开展财政监督检查，加强财政资金使用规范管理，降低行政运行成本。</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（二）</w:t>
            </w:r>
            <w:r>
              <w:rPr>
                <w:rFonts w:hint="eastAsia" w:ascii="宋体" w:hAnsi="宋体" w:eastAsia="宋体" w:cs="宋体"/>
                <w:i w:val="0"/>
                <w:iCs w:val="0"/>
                <w:color w:val="000000"/>
                <w:kern w:val="0"/>
                <w:sz w:val="18"/>
                <w:szCs w:val="18"/>
                <w:u w:val="none"/>
                <w:lang w:val="en-US" w:eastAsia="zh-CN" w:bidi="ar"/>
              </w:rPr>
              <w:t>财政财务管理、一体化系统建设等</w:t>
            </w:r>
            <w:r>
              <w:rPr>
                <w:rFonts w:hint="eastAsia" w:ascii="宋体" w:hAnsi="宋体" w:cs="宋体"/>
                <w:i w:val="0"/>
                <w:iCs w:val="0"/>
                <w:color w:val="000000"/>
                <w:kern w:val="0"/>
                <w:sz w:val="18"/>
                <w:szCs w:val="18"/>
                <w:u w:val="none"/>
                <w:lang w:val="en-US" w:eastAsia="zh-CN" w:bidi="ar"/>
              </w:rPr>
              <w:t>。确保全区资产管理、债务管理等各项工作推进。财务制度、政策改革等研究培训，保障财政票据管理，财政普法工作，全区会计工作管理，部门内控管理，政府采购监管，预算管理改革，预算执行，资金调度，政府财务报告编制等各项工作开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（三）</w:t>
            </w:r>
            <w:r>
              <w:rPr>
                <w:rFonts w:hint="eastAsia" w:ascii="宋体" w:hAnsi="宋体" w:eastAsia="宋体" w:cs="宋体"/>
                <w:i w:val="0"/>
                <w:iCs w:val="0"/>
                <w:color w:val="000000"/>
                <w:kern w:val="0"/>
                <w:sz w:val="18"/>
                <w:szCs w:val="18"/>
                <w:u w:val="none"/>
                <w:lang w:val="en-US" w:eastAsia="zh-CN" w:bidi="ar"/>
              </w:rPr>
              <w:t>财政评审</w:t>
            </w:r>
            <w:r>
              <w:rPr>
                <w:rFonts w:hint="eastAsia" w:ascii="宋体" w:hAnsi="宋体" w:cs="宋体"/>
                <w:i w:val="0"/>
                <w:iCs w:val="0"/>
                <w:color w:val="000000"/>
                <w:kern w:val="0"/>
                <w:sz w:val="18"/>
                <w:szCs w:val="18"/>
                <w:u w:val="none"/>
                <w:lang w:val="en-US" w:eastAsia="zh-CN" w:bidi="ar"/>
              </w:rPr>
              <w:t>。对财政性投资项目工程预算进行评估与审查等。</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rPr>
                <w:rFonts w:hint="eastAsia"/>
                <w:sz w:val="18"/>
                <w:szCs w:val="18"/>
                <w:lang w:val="en-US" w:eastAsia="zh-CN"/>
              </w:rPr>
            </w:pPr>
            <w:r>
              <w:rPr>
                <w:rFonts w:hint="eastAsia"/>
                <w:sz w:val="18"/>
                <w:szCs w:val="18"/>
                <w:lang w:val="en-US" w:eastAsia="zh-CN"/>
              </w:rPr>
              <w:t>（四）人员经费保障。支付单位工作人员工资、保险、住房公积金等。</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rPr>
                <w:rFonts w:hint="eastAsia"/>
                <w:sz w:val="18"/>
                <w:szCs w:val="18"/>
                <w:lang w:val="en-US" w:eastAsia="zh-CN"/>
              </w:rPr>
            </w:pPr>
            <w:r>
              <w:rPr>
                <w:rFonts w:hint="eastAsia"/>
                <w:sz w:val="18"/>
                <w:szCs w:val="18"/>
                <w:lang w:val="en-US" w:eastAsia="zh-CN"/>
              </w:rPr>
              <w:t>（五）财政预算绩效管理。牵头组织、指导全区一级预算单位（除保密单位外）编制部门整体支出和项目支出预算绩效目标。开展事前绩效评估，事中运行监控，组织完成部门整体评价、项目支出和政策支出评价等。</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rPr>
                <w:rFonts w:hint="eastAsia"/>
                <w:sz w:val="18"/>
                <w:szCs w:val="18"/>
                <w:lang w:val="en-US" w:eastAsia="zh-CN"/>
              </w:rPr>
            </w:pPr>
            <w:r>
              <w:rPr>
                <w:rFonts w:hint="eastAsia"/>
                <w:sz w:val="18"/>
                <w:szCs w:val="18"/>
                <w:lang w:val="en-US" w:eastAsia="zh-CN"/>
              </w:rPr>
              <w:t>（六）日常运转保障。支付单位办公费、水费、电费等，保障机关基本运转。</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rPr>
            </w:pPr>
          </w:p>
          <w:p>
            <w:pPr>
              <w:rPr>
                <w:rFonts w:hint="eastAsia"/>
              </w:rPr>
            </w:pPr>
          </w:p>
        </w:tc>
        <w:tc>
          <w:tcPr>
            <w:tcW w:w="227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（一）开展</w:t>
            </w:r>
            <w:r>
              <w:rPr>
                <w:rFonts w:hint="eastAsia" w:ascii="宋体" w:hAnsi="宋体" w:cs="宋体"/>
                <w:i w:val="0"/>
                <w:iCs w:val="0"/>
                <w:color w:val="000000"/>
                <w:kern w:val="0"/>
                <w:sz w:val="18"/>
                <w:szCs w:val="18"/>
                <w:u w:val="none"/>
                <w:lang w:val="en-US" w:eastAsia="zh-CN" w:bidi="ar"/>
              </w:rPr>
              <w:t>了</w:t>
            </w:r>
            <w:r>
              <w:rPr>
                <w:rFonts w:hint="eastAsia" w:ascii="宋体" w:hAnsi="宋体" w:eastAsia="宋体" w:cs="宋体"/>
                <w:i w:val="0"/>
                <w:iCs w:val="0"/>
                <w:color w:val="000000"/>
                <w:kern w:val="0"/>
                <w:sz w:val="18"/>
                <w:szCs w:val="18"/>
                <w:u w:val="none"/>
                <w:lang w:val="en-US" w:eastAsia="zh-CN" w:bidi="ar"/>
              </w:rPr>
              <w:t>财会监督检查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分别对13家单位进行专项检查和综合检查，发出10份整改通知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对10家单位开展行政事业单位内部控制建设监督检查，发出5份整改通知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对10家单位开展规范会计基础工作专项行动，发出4份整改通知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在全区范围内开展违规发放津补贴、重复超报差旅费等问题专项检查，收回罚没收入10万。</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（二）为全区74个部门提供财政管理指导、监督，保障机关正常运转及各项工作顺利开展。</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（三）通过公开选聘的联合体，节省了项目分配时间，提升了财评效率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减少了单个项目评审费用，节约了财政资金。出台了新的管理办法，加强了财评管理。</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w:t>
            </w:r>
            <w:r>
              <w:rPr>
                <w:rFonts w:hint="eastAsia" w:ascii="宋体" w:hAnsi="宋体" w:cs="宋体"/>
                <w:i w:val="0"/>
                <w:iCs w:val="0"/>
                <w:color w:val="000000"/>
                <w:kern w:val="0"/>
                <w:sz w:val="18"/>
                <w:szCs w:val="18"/>
                <w:u w:val="none"/>
                <w:lang w:val="en-US" w:eastAsia="zh-CN" w:bidi="ar"/>
              </w:rPr>
              <w:t>及时足额支付单位工作人员工资、保险、住房公积金等。</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组织、审核全区预算单位全覆盖编制预算绩效目标并报人代会审查；全过程全覆盖开展预算绩效管理；公开采购中介开展了35个项目、14个部门整体重点评价；委托第三方机构将全区所有预算单位进行绩效考核。</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w:t>
            </w:r>
            <w:r>
              <w:rPr>
                <w:rFonts w:hint="eastAsia" w:ascii="宋体" w:hAnsi="宋体" w:cs="宋体"/>
                <w:i w:val="0"/>
                <w:iCs w:val="0"/>
                <w:color w:val="000000"/>
                <w:kern w:val="0"/>
                <w:sz w:val="18"/>
                <w:szCs w:val="18"/>
                <w:u w:val="none"/>
                <w:lang w:val="en-US" w:eastAsia="zh-CN" w:bidi="ar"/>
              </w:rPr>
              <w:t>及时足额支付单位办公费、水费、电费等，保障机关基本运转。</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54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开展部门整体、项目（政策）支出重点运行监控和反馈个数</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20个</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w:t>
            </w:r>
          </w:p>
        </w:tc>
        <w:tc>
          <w:tcPr>
            <w:tcW w:w="51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人员调入调出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使用一体化系统的预算单位数量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74</w:t>
            </w:r>
            <w:r>
              <w:rPr>
                <w:rFonts w:hint="eastAsia" w:ascii="宋体" w:hAnsi="宋体" w:eastAsia="宋体" w:cs="宋体"/>
                <w:i w:val="0"/>
                <w:iCs w:val="0"/>
                <w:color w:val="000000"/>
                <w:kern w:val="0"/>
                <w:sz w:val="18"/>
                <w:szCs w:val="18"/>
                <w:u w:val="none"/>
                <w:lang w:val="en-US" w:eastAsia="zh-CN" w:bidi="ar"/>
              </w:rPr>
              <w:t>个</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74</w:t>
            </w:r>
            <w:r>
              <w:rPr>
                <w:rFonts w:hint="eastAsia" w:ascii="宋体" w:hAnsi="宋体" w:eastAsia="宋体" w:cs="宋体"/>
                <w:i w:val="0"/>
                <w:iCs w:val="0"/>
                <w:color w:val="000000"/>
                <w:kern w:val="0"/>
                <w:sz w:val="18"/>
                <w:szCs w:val="18"/>
                <w:u w:val="none"/>
                <w:lang w:val="en-US" w:eastAsia="zh-CN" w:bidi="ar"/>
              </w:rPr>
              <w:t>个</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业务培训次数</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次</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次</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财评项目个数</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137个</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204个</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单位在职人数</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=36人</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29人</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开展检查部门个数</w:t>
            </w:r>
          </w:p>
        </w:tc>
        <w:tc>
          <w:tcPr>
            <w:tcW w:w="663" w:type="pct"/>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30个</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33个</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81" w:type="pct"/>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监督检查发现问题整改率</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业务培训合格率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95%</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财评过程资料完整、真实</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定性优良中低差</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优</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一体化系统全区预算单位系统使用覆盖</w:t>
            </w:r>
            <w:r>
              <w:rPr>
                <w:rFonts w:hint="eastAsia" w:ascii="宋体" w:hAnsi="宋体" w:cs="宋体"/>
                <w:i w:val="0"/>
                <w:iCs w:val="0"/>
                <w:color w:val="000000"/>
                <w:kern w:val="0"/>
                <w:sz w:val="18"/>
                <w:szCs w:val="18"/>
                <w:u w:val="none"/>
                <w:lang w:val="en-US" w:eastAsia="zh-CN" w:bidi="ar"/>
              </w:rPr>
              <w:t>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各项任务完成时间</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完成年度主要任务时限</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保障机关运转及年度任务完成所需费用</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≤1112.4万元</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1102.96</w:t>
            </w:r>
            <w:r>
              <w:rPr>
                <w:rFonts w:hint="eastAsia" w:ascii="宋体" w:hAnsi="宋体" w:eastAsia="宋体" w:cs="宋体"/>
                <w:i w:val="0"/>
                <w:iCs w:val="0"/>
                <w:color w:val="000000"/>
                <w:kern w:val="0"/>
                <w:sz w:val="18"/>
                <w:szCs w:val="18"/>
                <w:u w:val="none"/>
                <w:lang w:val="en-US" w:eastAsia="zh-CN" w:bidi="ar"/>
              </w:rPr>
              <w:t>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职工工资、保险、公积金等人员支出</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482.72</w:t>
            </w:r>
            <w:r>
              <w:rPr>
                <w:rFonts w:ascii="宋体" w:hAnsi="宋体" w:eastAsia="宋体" w:cs="宋体"/>
                <w:i w:val="0"/>
                <w:iCs w:val="0"/>
                <w:color w:val="000000"/>
                <w:kern w:val="0"/>
                <w:sz w:val="18"/>
                <w:szCs w:val="18"/>
                <w:u w:val="none"/>
                <w:lang w:val="en-US" w:eastAsia="zh-CN" w:bidi="ar"/>
              </w:rPr>
              <w:t>万元</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481.74</w:t>
            </w:r>
            <w:r>
              <w:rPr>
                <w:rFonts w:hint="eastAsia" w:ascii="宋体" w:hAnsi="宋体" w:eastAsia="宋体" w:cs="宋体"/>
                <w:i w:val="0"/>
                <w:iCs w:val="0"/>
                <w:color w:val="000000"/>
                <w:kern w:val="0"/>
                <w:sz w:val="18"/>
                <w:szCs w:val="18"/>
                <w:u w:val="none"/>
                <w:lang w:val="en-US" w:eastAsia="zh-CN" w:bidi="ar"/>
              </w:rPr>
              <w:t>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sz w:val="18"/>
                <w:szCs w:val="18"/>
              </w:rPr>
              <w:t>经济效益指标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提高财政资金使用效益，减少、杜绝低效、无效支出，增收节支</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定性优良中低差</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社会效益指标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both"/>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通过财政工作对教育、社会保障、公共基础设施、产业发展等方面的投入改善公共服务</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定性优良中低差</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优</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ind w:left="-105" w:leftChars="-50" w:right="-105" w:rightChars="-5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wordWrap/>
        <w:overflowPunct/>
        <w:topLinePunct w:val="0"/>
        <w:bidi w:val="0"/>
        <w:rPr>
          <w:rFonts w:hint="eastAsia"/>
          <w:lang w:val="zh-CN" w:eastAsia="zh-CN"/>
        </w:rPr>
      </w:pPr>
    </w:p>
    <w:p>
      <w:pPr>
        <w:keepNext w:val="0"/>
        <w:keepLines w:val="0"/>
        <w:pageBreakBefore w:val="0"/>
        <w:widowControl w:val="0"/>
        <w:wordWrap/>
        <w:overflowPunct/>
        <w:topLinePunct w:val="0"/>
        <w:bidi w:val="0"/>
        <w:rPr>
          <w:rFonts w:hint="eastAsia"/>
          <w:lang w:val="zh-CN"/>
        </w:rPr>
      </w:pPr>
    </w:p>
    <w:p>
      <w:pPr>
        <w:spacing w:line="580" w:lineRule="exac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tbl>
      <w:tblPr>
        <w:tblStyle w:val="16"/>
        <w:tblW w:w="89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660"/>
        <w:gridCol w:w="1443"/>
        <w:gridCol w:w="1109"/>
        <w:gridCol w:w="1361"/>
        <w:gridCol w:w="1052"/>
        <w:gridCol w:w="12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98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83"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项目（政策）名称</w:t>
            </w:r>
          </w:p>
        </w:tc>
        <w:tc>
          <w:tcPr>
            <w:tcW w:w="76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财政财务管理及信息化经费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项目（政策）资金（万元）</w:t>
            </w:r>
          </w:p>
        </w:tc>
        <w:tc>
          <w:tcPr>
            <w:tcW w:w="2552"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6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10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191.87 </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（一）财政拨款小计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191.87 </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1.一般公共预算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191.87 </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2.政府性基金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6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财务制度、政策改革等研究培训，保障财政票据管理，财政普法工作，全区会计工作管理，部门内控管理，政府采购监管，预算管理改革，预算执行，资金调度，政府财务报告编制等各项工作开展，确保农业农村、社会保障、教科文卫、行政政法、工业交通商贸等各方面的部门预算和相关领域预算支出，提出相关财政政策建议；保证机关正常运转。</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为全区74个部门提供财政管理指导、监督，保障机关正常运转及各项工作顺利开展。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7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服务的部门</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保障票据管理、普法工作、政法采购监管等各项工作开展及机关运转</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各项工作任务完成时间</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财政各项业务资料费、差旅费、会议费等运行经费</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191.87万元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保障各项财政业务开展，优化环境</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财政工作顺利开展，推动经济持续发展</w:t>
            </w:r>
          </w:p>
        </w:tc>
        <w:tc>
          <w:tcPr>
            <w:tcW w:w="1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600" w:lineRule="exact"/>
        <w:jc w:val="center"/>
        <w:outlineLvl w:val="9"/>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tbl>
      <w:tblPr>
        <w:tblStyle w:val="16"/>
        <w:tblW w:w="92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44"/>
        <w:gridCol w:w="708"/>
        <w:gridCol w:w="10"/>
        <w:gridCol w:w="834"/>
        <w:gridCol w:w="200"/>
        <w:gridCol w:w="885"/>
        <w:gridCol w:w="195"/>
        <w:gridCol w:w="870"/>
        <w:gridCol w:w="580"/>
        <w:gridCol w:w="515"/>
        <w:gridCol w:w="655"/>
        <w:gridCol w:w="830"/>
        <w:gridCol w:w="40"/>
        <w:gridCol w:w="1610"/>
        <w:gridCol w:w="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223"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223" w:type="dxa"/>
            <w:gridSpan w:val="1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项目（政策）名称</w:t>
            </w:r>
          </w:p>
        </w:tc>
        <w:tc>
          <w:tcPr>
            <w:tcW w:w="756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财政预算绩效管理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w:t>
            </w:r>
          </w:p>
        </w:tc>
        <w:tc>
          <w:tcPr>
            <w:tcW w:w="196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项目（政策）资金（万元）</w:t>
            </w:r>
          </w:p>
        </w:tc>
        <w:tc>
          <w:tcPr>
            <w:tcW w:w="2114" w:type="dxa"/>
            <w:gridSpan w:val="4"/>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117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w:t>
            </w:r>
          </w:p>
        </w:tc>
        <w:tc>
          <w:tcPr>
            <w:tcW w:w="87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64.72</w:t>
            </w:r>
          </w:p>
        </w:tc>
        <w:tc>
          <w:tcPr>
            <w:tcW w:w="196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（一）财政拨款小计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64.72</w:t>
            </w:r>
          </w:p>
        </w:tc>
        <w:tc>
          <w:tcPr>
            <w:tcW w:w="196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1.一般公共预算</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64.72</w:t>
            </w:r>
          </w:p>
        </w:tc>
        <w:tc>
          <w:tcPr>
            <w:tcW w:w="196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2.政府性基金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54"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5"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4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牵头组织、指导全区一级预算单位（除保密单位外）编制部门整体、项目（政策）支出预算绩效目标，并报区人代会审查；2.按事前评估、运行监控、事后绩效评价等绩效管理办法，开展全过程绩效管理。3、采购中介机构开展全区绩效管理。4、将绩效管理全区绩效考核、重点项目绩效评价等事项，报区委或区府，接受区人大监督。</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组织、审核全区预算单位全覆盖编制预算绩效目标并报人代会审查；全过程全覆盖开展预算绩效管理；公开采购中介开展了35个项目、14个部门整体重点评价；委托第三方机构将全区所有预算单位进行绩效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730"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财政重点项目、政策支出和部门整体支出评价目标任务完成率</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单位自行监控、财政重点监控目标任务完成率（实际完成监控项目个数/计划）</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组织开展2022年预算绩效目标培训人次</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≥120人次</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132人次</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下达预算绩效目标、编制批复预算单位个数</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≤74个</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74个</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开展事前绩效评估目标任务完成率（实际完成/计划）</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组织预算绩效管理培训完成率</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评估、评价、运行监控、自评抽查等按要求完成的效果</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第三方机构评价报告验收合格率</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中介服务费、事前评估、目标管理、运行监控、自评抽查、培训宣传等</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≤100万元</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64.72万元</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540" w:hRule="atLeast"/>
        </w:trPr>
        <w:tc>
          <w:tcPr>
            <w:tcW w:w="8868"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8868" w:type="dxa"/>
            <w:gridSpan w:val="15"/>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项目（政策）名称</w:t>
            </w:r>
          </w:p>
        </w:tc>
        <w:tc>
          <w:tcPr>
            <w:tcW w:w="7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财政监督检查及第三方评估经费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450" w:hRule="atLeast"/>
        </w:trPr>
        <w:tc>
          <w:tcPr>
            <w:tcW w:w="1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w:t>
            </w:r>
          </w:p>
        </w:tc>
        <w:tc>
          <w:tcPr>
            <w:tcW w:w="165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项目（政策）资金（万元）</w:t>
            </w:r>
          </w:p>
        </w:tc>
        <w:tc>
          <w:tcPr>
            <w:tcW w:w="1929" w:type="dxa"/>
            <w:gridSpan w:val="4"/>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109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w:t>
            </w:r>
          </w:p>
        </w:tc>
        <w:tc>
          <w:tcPr>
            <w:tcW w:w="148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37.84</w:t>
            </w:r>
          </w:p>
        </w:tc>
        <w:tc>
          <w:tcPr>
            <w:tcW w:w="16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（一）财政拨款小计</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37.84</w:t>
            </w:r>
          </w:p>
        </w:tc>
        <w:tc>
          <w:tcPr>
            <w:tcW w:w="16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1.一般公共预算</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37.84</w:t>
            </w:r>
          </w:p>
        </w:tc>
        <w:tc>
          <w:tcPr>
            <w:tcW w:w="16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2.政府性基金</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1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08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对会计信息质量、三公经费等开展财政监督检查，加强财政资金使用规范管理，降低行政运行成本。</w:t>
            </w:r>
          </w:p>
        </w:tc>
        <w:tc>
          <w:tcPr>
            <w:tcW w:w="31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了财会监督检查，分别对13家单位进行专项检查和综合检查，发出10份整改通知；对10家单位开展行政事业单位内部控制建设监督检查，发出5份整改通知；对10家单位开展规范会计基础工作专项行动，发出4份整改通知；在全区范围内开展违规发放津补贴、重复超报差旅费等问题专项检查，收回罚没收入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45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5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开展监督检查次数</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开展检查部门个数</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≥30个</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43个</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发现问题整改率</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按检查规定的时间节点完成率</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2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发现问题整改及时率</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5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监督检查资料、培训、差旅费等</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≤40万元</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37.84万元</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利于全区财政财务工作健康发展，增收节支</w:t>
            </w:r>
          </w:p>
        </w:tc>
        <w:tc>
          <w:tcPr>
            <w:tcW w:w="10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促进资金规范使用，降低行政成本</w:t>
            </w:r>
          </w:p>
        </w:tc>
        <w:tc>
          <w:tcPr>
            <w:tcW w:w="10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5" w:type="dxa"/>
          <w:trHeight w:val="4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00" w:lineRule="exact"/>
        <w:jc w:val="center"/>
        <w:outlineLvl w:val="9"/>
        <w:rPr>
          <w:rFonts w:hint="eastAsia" w:ascii="黑体" w:hAnsi="黑体" w:eastAsia="黑体"/>
          <w:color w:val="auto"/>
          <w:sz w:val="44"/>
          <w:szCs w:val="44"/>
          <w:highlight w:val="none"/>
        </w:rPr>
      </w:pPr>
    </w:p>
    <w:tbl>
      <w:tblPr>
        <w:tblStyle w:val="16"/>
        <w:tblW w:w="8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44"/>
        <w:gridCol w:w="708"/>
        <w:gridCol w:w="131"/>
        <w:gridCol w:w="829"/>
        <w:gridCol w:w="204"/>
        <w:gridCol w:w="696"/>
        <w:gridCol w:w="416"/>
        <w:gridCol w:w="754"/>
        <w:gridCol w:w="154"/>
        <w:gridCol w:w="746"/>
        <w:gridCol w:w="499"/>
        <w:gridCol w:w="926"/>
        <w:gridCol w:w="454"/>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938"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38" w:type="dxa"/>
            <w:gridSpan w:val="15"/>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项目（政策）名称</w:t>
            </w:r>
          </w:p>
        </w:tc>
        <w:tc>
          <w:tcPr>
            <w:tcW w:w="716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财政委托业务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9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w:t>
            </w:r>
          </w:p>
        </w:tc>
        <w:tc>
          <w:tcPr>
            <w:tcW w:w="14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项目（政策）资金（万元）</w:t>
            </w:r>
          </w:p>
        </w:tc>
        <w:tc>
          <w:tcPr>
            <w:tcW w:w="2145" w:type="dxa"/>
            <w:gridSpan w:val="4"/>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08"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12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192.83</w:t>
            </w:r>
          </w:p>
        </w:tc>
        <w:tc>
          <w:tcPr>
            <w:tcW w:w="14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（一）财政拨款小计</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192.83</w:t>
            </w:r>
          </w:p>
        </w:tc>
        <w:tc>
          <w:tcPr>
            <w:tcW w:w="14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1.一般公共预算</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192.83</w:t>
            </w:r>
          </w:p>
        </w:tc>
        <w:tc>
          <w:tcPr>
            <w:tcW w:w="14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2.政府性基金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75"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8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主要用于中介机构对财政性投资项目工程预算进行评估与审查、财务决算等服务费。全年预计完成137个项目，评审及财务决算过程资料完整、真实，中介机构出具的评审结论真实合法。</w:t>
            </w:r>
          </w:p>
        </w:tc>
        <w:tc>
          <w:tcPr>
            <w:tcW w:w="28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通过公开选聘的联合体，节省了项目分配时间，提升了财评效率，减少了单个项目评审费用，节约了财政资金。出台了新的管理办法，加强了财评管理。实际完成财评项目204个。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20"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中介机构数量（含联合体）</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≥1个</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项目个数</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≥137个</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2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财评过程资料完整、真实</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中介机构结论真实合法</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在规定的时间内完成</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96.57%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中介服务费</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≤270万元</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149.16万元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压减项目成本、节约资金</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优化项目结构，提升群众幸福指数</w:t>
            </w:r>
          </w:p>
        </w:tc>
        <w:tc>
          <w:tcPr>
            <w:tcW w:w="12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4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44" w:type="dxa"/>
            <w:gridSpan w:val="15"/>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项目（政策）名称</w:t>
            </w:r>
          </w:p>
        </w:tc>
        <w:tc>
          <w:tcPr>
            <w:tcW w:w="72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全区资产管理、债务管理、财评及ppp中心等经费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w:t>
            </w:r>
          </w:p>
        </w:tc>
        <w:tc>
          <w:tcPr>
            <w:tcW w:w="184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广元市昭化区财政局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项目（政策）资金（万元）</w:t>
            </w:r>
          </w:p>
        </w:tc>
        <w:tc>
          <w:tcPr>
            <w:tcW w:w="1860" w:type="dxa"/>
            <w:gridSpan w:val="4"/>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90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w:t>
            </w:r>
          </w:p>
        </w:tc>
        <w:tc>
          <w:tcPr>
            <w:tcW w:w="142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全年执行数</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114.57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113.23</w:t>
            </w:r>
          </w:p>
        </w:tc>
        <w:tc>
          <w:tcPr>
            <w:tcW w:w="18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（一）财政拨款小计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114.57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113.23</w:t>
            </w:r>
          </w:p>
        </w:tc>
        <w:tc>
          <w:tcPr>
            <w:tcW w:w="18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1.一般公共预算</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114.57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113.23</w:t>
            </w:r>
          </w:p>
        </w:tc>
        <w:tc>
          <w:tcPr>
            <w:tcW w:w="18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2.政府性基金</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44"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确保全区资产管理、债务管理、财评管理、ppp项目管理等各项工作推进</w:t>
            </w:r>
          </w:p>
        </w:tc>
        <w:tc>
          <w:tcPr>
            <w:tcW w:w="3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债务监测平台系统、地方政府债务管理系统、政府债券全生命周期管理系统运行良好，四川省行政事业性国有资产信息化平台、财政部统一报表系统（国有资本经营预算报送、国有企业经济效益月报、行政事业性国有资产月报）等平台及系统运行良好，服务机构响应及时，该年度的各项报告均按质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70"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债务、资产等相关会议</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≥3次</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3次</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资产、债务等工作推进顺利</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资产等相关系统正常运转使用</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资产、债务等系统维护</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10.5万元</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项目申报、培训资料等费用</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≤63万元</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58.11万元</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减少资产资源流失浪费</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优化资源配置</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提升资产、资金价值最大化</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9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eastAsia="zh-CN"/>
        </w:rPr>
      </w:pPr>
    </w:p>
    <w:p>
      <w:pPr>
        <w:spacing w:line="600" w:lineRule="exact"/>
        <w:jc w:val="center"/>
        <w:outlineLvl w:val="0"/>
        <w:rPr>
          <w:rFonts w:hint="eastAsia" w:ascii="仿宋" w:hAnsi="仿宋" w:eastAsia="仿宋"/>
          <w:b w:val="0"/>
          <w:color w:val="auto"/>
          <w:highlight w:val="none"/>
        </w:rPr>
      </w:pPr>
      <w:bookmarkStart w:id="110" w:name="_Toc1517"/>
      <w:bookmarkStart w:id="111" w:name="_Toc1348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93"/>
      <w:bookmarkEnd w:id="99"/>
      <w:bookmarkEnd w:id="110"/>
      <w:bookmarkEnd w:id="111"/>
      <w:bookmarkStart w:id="112" w:name="_Toc15396619"/>
    </w:p>
    <w:p>
      <w:pPr>
        <w:pStyle w:val="5"/>
        <w:rPr>
          <w:rFonts w:ascii="仿宋" w:hAnsi="仿宋" w:eastAsia="仿宋"/>
          <w:color w:val="auto"/>
          <w:highlight w:val="none"/>
        </w:rPr>
      </w:pPr>
      <w:bookmarkStart w:id="113" w:name="_Toc19440"/>
      <w:bookmarkStart w:id="114" w:name="_Toc24195"/>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112"/>
      <w:bookmarkEnd w:id="113"/>
      <w:bookmarkEnd w:id="114"/>
    </w:p>
    <w:p>
      <w:pPr>
        <w:pStyle w:val="5"/>
        <w:rPr>
          <w:rFonts w:ascii="仿宋" w:hAnsi="仿宋" w:eastAsia="仿宋"/>
          <w:color w:val="auto"/>
          <w:highlight w:val="none"/>
        </w:rPr>
      </w:pPr>
      <w:bookmarkStart w:id="115" w:name="_Toc15396620"/>
      <w:bookmarkStart w:id="116" w:name="_Toc5749"/>
      <w:bookmarkStart w:id="117" w:name="_Toc7859"/>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115"/>
      <w:bookmarkEnd w:id="116"/>
      <w:bookmarkEnd w:id="117"/>
    </w:p>
    <w:p>
      <w:pPr>
        <w:pStyle w:val="5"/>
        <w:rPr>
          <w:rFonts w:ascii="仿宋" w:hAnsi="仿宋" w:eastAsia="仿宋"/>
          <w:color w:val="auto"/>
          <w:highlight w:val="none"/>
        </w:rPr>
      </w:pPr>
      <w:bookmarkStart w:id="118" w:name="_Toc15396621"/>
      <w:bookmarkStart w:id="119" w:name="_Toc31210"/>
      <w:bookmarkStart w:id="120" w:name="_Toc2973"/>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118"/>
      <w:bookmarkEnd w:id="119"/>
      <w:bookmarkEnd w:id="120"/>
    </w:p>
    <w:p>
      <w:pPr>
        <w:pStyle w:val="5"/>
        <w:rPr>
          <w:rFonts w:ascii="仿宋" w:hAnsi="仿宋" w:eastAsia="仿宋"/>
          <w:b w:val="0"/>
          <w:color w:val="auto"/>
          <w:highlight w:val="none"/>
        </w:rPr>
      </w:pPr>
      <w:bookmarkStart w:id="121" w:name="_Toc15396622"/>
      <w:bookmarkStart w:id="122" w:name="_Toc31852"/>
      <w:bookmarkStart w:id="123" w:name="_Toc18717"/>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121"/>
      <w:bookmarkEnd w:id="122"/>
      <w:bookmarkEnd w:id="123"/>
    </w:p>
    <w:p>
      <w:pPr>
        <w:pStyle w:val="5"/>
        <w:rPr>
          <w:rStyle w:val="30"/>
          <w:rFonts w:ascii="仿宋" w:hAnsi="仿宋" w:eastAsia="仿宋"/>
          <w:b w:val="0"/>
          <w:bCs w:val="0"/>
          <w:color w:val="auto"/>
          <w:highlight w:val="none"/>
        </w:rPr>
      </w:pPr>
      <w:bookmarkStart w:id="124" w:name="_Toc15396623"/>
      <w:bookmarkStart w:id="125" w:name="_Toc19569"/>
      <w:bookmarkStart w:id="126" w:name="_Toc7637"/>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124"/>
      <w:bookmarkEnd w:id="125"/>
      <w:bookmarkEnd w:id="126"/>
      <w:bookmarkStart w:id="127" w:name="_Toc15396624"/>
    </w:p>
    <w:p>
      <w:pPr>
        <w:pStyle w:val="5"/>
        <w:rPr>
          <w:rFonts w:ascii="仿宋" w:hAnsi="仿宋" w:eastAsia="仿宋"/>
          <w:color w:val="auto"/>
          <w:highlight w:val="none"/>
        </w:rPr>
      </w:pPr>
      <w:bookmarkStart w:id="128" w:name="_Toc31538"/>
      <w:bookmarkStart w:id="129" w:name="_Toc27191"/>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27"/>
      <w:bookmarkEnd w:id="128"/>
      <w:bookmarkEnd w:id="129"/>
    </w:p>
    <w:p>
      <w:pPr>
        <w:pStyle w:val="5"/>
        <w:rPr>
          <w:rFonts w:ascii="仿宋" w:hAnsi="仿宋" w:eastAsia="仿宋"/>
          <w:color w:val="auto"/>
          <w:highlight w:val="none"/>
        </w:rPr>
      </w:pPr>
      <w:bookmarkStart w:id="130" w:name="_Toc15396625"/>
      <w:bookmarkStart w:id="131" w:name="_Toc25136"/>
      <w:bookmarkStart w:id="132" w:name="_Toc3807"/>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30"/>
      <w:bookmarkEnd w:id="131"/>
      <w:bookmarkEnd w:id="132"/>
    </w:p>
    <w:p>
      <w:pPr>
        <w:pStyle w:val="5"/>
        <w:rPr>
          <w:rFonts w:ascii="仿宋" w:hAnsi="仿宋" w:eastAsia="仿宋"/>
          <w:color w:val="auto"/>
          <w:highlight w:val="none"/>
        </w:rPr>
      </w:pPr>
      <w:bookmarkStart w:id="133" w:name="_Toc15396626"/>
      <w:bookmarkStart w:id="134" w:name="_Toc9319"/>
      <w:bookmarkStart w:id="135" w:name="_Toc1840"/>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33"/>
      <w:bookmarkEnd w:id="134"/>
      <w:bookmarkEnd w:id="135"/>
    </w:p>
    <w:p>
      <w:pPr>
        <w:pStyle w:val="5"/>
        <w:rPr>
          <w:rFonts w:ascii="仿宋" w:hAnsi="仿宋" w:eastAsia="仿宋"/>
          <w:color w:val="auto"/>
          <w:highlight w:val="none"/>
        </w:rPr>
      </w:pPr>
      <w:bookmarkStart w:id="136" w:name="_Toc15396627"/>
      <w:bookmarkStart w:id="137" w:name="_Toc17757"/>
      <w:bookmarkStart w:id="138" w:name="_Toc8274"/>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36"/>
      <w:bookmarkEnd w:id="137"/>
      <w:bookmarkEnd w:id="138"/>
    </w:p>
    <w:p>
      <w:pPr>
        <w:pStyle w:val="5"/>
        <w:rPr>
          <w:rFonts w:ascii="仿宋" w:hAnsi="仿宋" w:eastAsia="仿宋"/>
          <w:color w:val="auto"/>
          <w:highlight w:val="none"/>
        </w:rPr>
      </w:pPr>
      <w:bookmarkStart w:id="139" w:name="_Toc15396628"/>
      <w:bookmarkStart w:id="140" w:name="_Toc1049"/>
      <w:bookmarkStart w:id="141" w:name="_Toc28633"/>
      <w:r>
        <w:rPr>
          <w:rStyle w:val="30"/>
          <w:rFonts w:hint="eastAsia" w:ascii="仿宋" w:hAnsi="仿宋" w:eastAsia="仿宋"/>
          <w:b w:val="0"/>
          <w:bCs w:val="0"/>
          <w:color w:val="auto"/>
          <w:highlight w:val="none"/>
        </w:rPr>
        <w:t>十、</w:t>
      </w:r>
      <w:bookmarkEnd w:id="139"/>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40"/>
      <w:bookmarkEnd w:id="141"/>
    </w:p>
    <w:p>
      <w:pPr>
        <w:pStyle w:val="5"/>
        <w:rPr>
          <w:rFonts w:ascii="仿宋" w:hAnsi="仿宋" w:eastAsia="仿宋"/>
          <w:color w:val="auto"/>
          <w:highlight w:val="none"/>
        </w:rPr>
      </w:pPr>
      <w:bookmarkStart w:id="142" w:name="_Toc15396629"/>
      <w:bookmarkStart w:id="143" w:name="_Toc6588"/>
      <w:bookmarkStart w:id="144" w:name="_Toc3310"/>
      <w:r>
        <w:rPr>
          <w:rStyle w:val="30"/>
          <w:rFonts w:hint="eastAsia" w:ascii="仿宋" w:hAnsi="仿宋" w:eastAsia="仿宋"/>
          <w:b w:val="0"/>
          <w:bCs w:val="0"/>
          <w:color w:val="auto"/>
          <w:highlight w:val="none"/>
        </w:rPr>
        <w:t>十一、</w:t>
      </w:r>
      <w:bookmarkEnd w:id="142"/>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43"/>
      <w:bookmarkEnd w:id="144"/>
    </w:p>
    <w:p>
      <w:pPr>
        <w:pStyle w:val="5"/>
        <w:rPr>
          <w:rFonts w:ascii="仿宋" w:hAnsi="仿宋" w:eastAsia="仿宋"/>
          <w:color w:val="auto"/>
          <w:highlight w:val="none"/>
        </w:rPr>
      </w:pPr>
      <w:bookmarkStart w:id="145" w:name="_Toc15396630"/>
      <w:bookmarkStart w:id="146" w:name="_Toc32576"/>
      <w:bookmarkStart w:id="147" w:name="_Toc15710"/>
      <w:r>
        <w:rPr>
          <w:rStyle w:val="30"/>
          <w:rFonts w:hint="eastAsia" w:ascii="仿宋" w:hAnsi="仿宋" w:eastAsia="仿宋"/>
          <w:b w:val="0"/>
          <w:bCs w:val="0"/>
          <w:color w:val="auto"/>
          <w:highlight w:val="none"/>
        </w:rPr>
        <w:t>十二、</w:t>
      </w:r>
      <w:bookmarkEnd w:id="145"/>
      <w:r>
        <w:rPr>
          <w:rStyle w:val="30"/>
          <w:rFonts w:hint="eastAsia" w:ascii="仿宋" w:hAnsi="仿宋" w:eastAsia="仿宋"/>
          <w:b w:val="0"/>
          <w:bCs w:val="0"/>
          <w:color w:val="auto"/>
          <w:highlight w:val="none"/>
          <w:lang w:eastAsia="zh-CN"/>
        </w:rPr>
        <w:t>国有资本经营预算财政拨款支出决算表</w:t>
      </w:r>
      <w:bookmarkEnd w:id="146"/>
      <w:bookmarkEnd w:id="147"/>
    </w:p>
    <w:p>
      <w:pPr>
        <w:pStyle w:val="5"/>
        <w:rPr>
          <w:rFonts w:hint="eastAsia" w:eastAsia="仿宋"/>
          <w:color w:val="auto"/>
          <w:highlight w:val="none"/>
          <w:lang w:eastAsia="zh-CN"/>
        </w:rPr>
      </w:pPr>
      <w:bookmarkStart w:id="148" w:name="_Toc15396631"/>
      <w:bookmarkStart w:id="149" w:name="_Toc18333"/>
      <w:bookmarkStart w:id="150" w:name="_Toc21746"/>
      <w:r>
        <w:rPr>
          <w:rStyle w:val="30"/>
          <w:rFonts w:hint="eastAsia" w:ascii="仿宋" w:hAnsi="仿宋" w:eastAsia="仿宋"/>
          <w:b w:val="0"/>
          <w:bCs w:val="0"/>
          <w:color w:val="auto"/>
          <w:highlight w:val="none"/>
        </w:rPr>
        <w:t>十三、</w:t>
      </w:r>
      <w:bookmarkEnd w:id="148"/>
      <w:r>
        <w:rPr>
          <w:rStyle w:val="30"/>
          <w:rFonts w:hint="eastAsia" w:ascii="仿宋" w:hAnsi="仿宋" w:eastAsia="仿宋"/>
          <w:b w:val="0"/>
          <w:bCs w:val="0"/>
          <w:color w:val="auto"/>
          <w:highlight w:val="none"/>
          <w:lang w:eastAsia="zh-CN"/>
        </w:rPr>
        <w:t>财政拨款“三公”经费支出决算表</w:t>
      </w:r>
      <w:bookmarkEnd w:id="149"/>
      <w:bookmarkEnd w:id="150"/>
    </w:p>
    <w:bookmarkEnd w:id="151"/>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0B7D6A7"/>
    <w:multiLevelType w:val="singleLevel"/>
    <w:tmpl w:val="E0B7D6A7"/>
    <w:lvl w:ilvl="0" w:tentative="0">
      <w:start w:val="1"/>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F3FE3AB"/>
    <w:multiLevelType w:val="singleLevel"/>
    <w:tmpl w:val="1F3FE3A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YTc4ZGE2ZWRmY2Y4ZTIzMDc4YzQ2NGEyMmY4O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4BA73B3"/>
    <w:rsid w:val="066E0107"/>
    <w:rsid w:val="07363F24"/>
    <w:rsid w:val="07996F6E"/>
    <w:rsid w:val="0A2032A3"/>
    <w:rsid w:val="0F4B038A"/>
    <w:rsid w:val="0F842CD8"/>
    <w:rsid w:val="0F98263C"/>
    <w:rsid w:val="101860EC"/>
    <w:rsid w:val="10C055FF"/>
    <w:rsid w:val="118107EC"/>
    <w:rsid w:val="12AD68BC"/>
    <w:rsid w:val="13D50BC4"/>
    <w:rsid w:val="15091FBA"/>
    <w:rsid w:val="16BB723D"/>
    <w:rsid w:val="1AA83ACA"/>
    <w:rsid w:val="1BE8440E"/>
    <w:rsid w:val="1D155CEE"/>
    <w:rsid w:val="1FF35744"/>
    <w:rsid w:val="23860B96"/>
    <w:rsid w:val="240371BF"/>
    <w:rsid w:val="29FD04D3"/>
    <w:rsid w:val="2C494D84"/>
    <w:rsid w:val="2C8A61B5"/>
    <w:rsid w:val="2DF04E50"/>
    <w:rsid w:val="2F040D46"/>
    <w:rsid w:val="319F7F4E"/>
    <w:rsid w:val="3304709D"/>
    <w:rsid w:val="36AA5135"/>
    <w:rsid w:val="376D39B2"/>
    <w:rsid w:val="37E16F03"/>
    <w:rsid w:val="37E72CC9"/>
    <w:rsid w:val="38D469F0"/>
    <w:rsid w:val="3A353BEB"/>
    <w:rsid w:val="3D98207C"/>
    <w:rsid w:val="3E78745D"/>
    <w:rsid w:val="44E268DA"/>
    <w:rsid w:val="460B5B79"/>
    <w:rsid w:val="4A627F82"/>
    <w:rsid w:val="4B0E749A"/>
    <w:rsid w:val="4B4F25DA"/>
    <w:rsid w:val="4B693428"/>
    <w:rsid w:val="4BE068DB"/>
    <w:rsid w:val="4C084C69"/>
    <w:rsid w:val="4D577224"/>
    <w:rsid w:val="4EAB630A"/>
    <w:rsid w:val="4ECE2238"/>
    <w:rsid w:val="52135DB1"/>
    <w:rsid w:val="537E6D0A"/>
    <w:rsid w:val="56DF6C8E"/>
    <w:rsid w:val="5AF92295"/>
    <w:rsid w:val="5CD71FC4"/>
    <w:rsid w:val="631F0609"/>
    <w:rsid w:val="66566B1D"/>
    <w:rsid w:val="6B6F2CF5"/>
    <w:rsid w:val="6C4A05C8"/>
    <w:rsid w:val="6E085B41"/>
    <w:rsid w:val="6E7E3605"/>
    <w:rsid w:val="6F2A0B07"/>
    <w:rsid w:val="6FF5CC65"/>
    <w:rsid w:val="715C0E4B"/>
    <w:rsid w:val="72734D90"/>
    <w:rsid w:val="72966949"/>
    <w:rsid w:val="733950BD"/>
    <w:rsid w:val="73AD73D5"/>
    <w:rsid w:val="73B6EB34"/>
    <w:rsid w:val="744731E5"/>
    <w:rsid w:val="75DD762C"/>
    <w:rsid w:val="7620086F"/>
    <w:rsid w:val="76E3355F"/>
    <w:rsid w:val="76F854DD"/>
    <w:rsid w:val="778769C8"/>
    <w:rsid w:val="79EE5BA4"/>
    <w:rsid w:val="7A894339"/>
    <w:rsid w:val="7D5E0064"/>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Chars="200"/>
    </w:pPr>
    <w:rPr>
      <w:rFonts w:ascii="仿宋_GB2312"/>
      <w:szCs w:val="32"/>
    </w:rPr>
  </w:style>
  <w:style w:type="paragraph" w:styleId="7">
    <w:name w:val="Body Text"/>
    <w:basedOn w:val="1"/>
    <w:next w:val="1"/>
    <w:link w:val="27"/>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w:basedOn w:val="7"/>
    <w:qFormat/>
    <w:uiPriority w:val="0"/>
    <w:pPr>
      <w:widowControl w:val="0"/>
      <w:spacing w:after="120" w:afterLines="0" w:afterAutospacing="0"/>
      <w:ind w:firstLine="420" w:firstLineChars="100"/>
      <w:jc w:val="both"/>
    </w:pPr>
    <w:rPr>
      <w:rFonts w:ascii="Times New Roman" w:hAnsi="Times New Roman" w:eastAsia="宋体" w:cs="Times New Roman"/>
      <w:kern w:val="2"/>
      <w:sz w:val="21"/>
      <w:szCs w:val="24"/>
      <w:lang w:val="en-US" w:eastAsia="zh-CN" w:bidi="ar-SA"/>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Char"/>
    <w:link w:val="11"/>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Char"/>
    <w:link w:val="7"/>
    <w:qFormat/>
    <w:locked/>
    <w:uiPriority w:val="99"/>
    <w:rPr>
      <w:rFonts w:ascii="仿宋_GB2312" w:hAnsi="Times New Roman" w:eastAsia="仿宋_GB2312"/>
      <w:sz w:val="24"/>
    </w:rPr>
  </w:style>
  <w:style w:type="paragraph" w:styleId="28">
    <w:name w:val="List Paragraph"/>
    <w:basedOn w:val="1"/>
    <w:qFormat/>
    <w:uiPriority w:val="34"/>
    <w:pPr>
      <w:ind w:firstLine="420" w:firstLineChars="200"/>
    </w:pPr>
  </w:style>
  <w:style w:type="character" w:customStyle="1" w:styleId="29">
    <w:name w:val="标题 1 Char"/>
    <w:basedOn w:val="17"/>
    <w:link w:val="4"/>
    <w:qFormat/>
    <w:uiPriority w:val="9"/>
    <w:rPr>
      <w:rFonts w:ascii="Times New Roman" w:hAnsi="Times New Roman"/>
      <w:b/>
      <w:bCs/>
      <w:kern w:val="44"/>
      <w:sz w:val="44"/>
      <w:szCs w:val="44"/>
    </w:rPr>
  </w:style>
  <w:style w:type="character" w:customStyle="1" w:styleId="30">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6"/>
    <w:qFormat/>
    <w:uiPriority w:val="9"/>
    <w:rPr>
      <w:rFonts w:ascii="Times New Roman" w:hAnsi="Times New Roman"/>
      <w:b/>
      <w:bCs/>
      <w:kern w:val="2"/>
      <w:sz w:val="32"/>
      <w:szCs w:val="32"/>
    </w:rPr>
  </w:style>
  <w:style w:type="paragraph" w:customStyle="1" w:styleId="34">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3&#24180;\1&#36130;&#21153;\&#39044;&#20915;&#31639;\2022&#24180;&#20915;&#31639;&#20844;&#24320;\&#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3&#24180;\1&#36130;&#21153;\&#39044;&#20915;&#31639;\2022&#24180;&#20915;&#31639;&#20844;&#24320;\&#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3&#24180;\1&#36130;&#21153;\&#39044;&#20915;&#31639;\2022&#24180;&#20915;&#31639;&#20844;&#24320;\&#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3&#24180;\1&#36130;&#21153;\&#39044;&#20915;&#31639;\2022&#24180;&#20915;&#31639;&#20844;&#24320;\&#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3&#24180;\1&#36130;&#21153;\&#39044;&#20915;&#31639;\2022&#24180;&#20915;&#31639;&#20844;&#24320;\&#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3&#24180;\1&#36130;&#21153;\&#39044;&#20915;&#31639;\2022&#24180;&#20915;&#31639;&#20844;&#24320;\&#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23&#24180;\1&#36130;&#21153;\&#39044;&#20915;&#31639;\2022&#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收、支变动情况图</a:t>
            </a:r>
          </a:p>
        </c:rich>
      </c:tx>
      <c:layout>
        <c:manualLayout>
          <c:xMode val="edge"/>
          <c:yMode val="edge"/>
          <c:x val="0.416447368421053"/>
          <c:y val="0.0277777777777778"/>
        </c:manualLayout>
      </c:layout>
      <c:overlay val="0"/>
      <c:spPr>
        <a:noFill/>
        <a:ln>
          <a:noFill/>
        </a:ln>
        <a:effectLst/>
      </c:spPr>
    </c:title>
    <c:autoTitleDeleted val="0"/>
    <c:plotArea>
      <c:layout/>
      <c:barChart>
        <c:barDir val="col"/>
        <c:grouping val="clustered"/>
        <c:varyColors val="0"/>
        <c:ser>
          <c:idx val="0"/>
          <c:order val="0"/>
          <c:tx>
            <c:strRef>
              <c:f>'[新建 XLS 工作表.xls]Sheet2'!$A$3</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工作表.xls]Sheet2'!$B$2:$C$2</c:f>
              <c:strCache>
                <c:ptCount val="2"/>
                <c:pt idx="0">
                  <c:v>收入总计</c:v>
                </c:pt>
                <c:pt idx="1">
                  <c:v>支出总计</c:v>
                </c:pt>
              </c:strCache>
            </c:strRef>
          </c:cat>
          <c:val>
            <c:numRef>
              <c:f>'[新建 XLS 工作表.xls]Sheet2'!$B$3:$C$3</c:f>
              <c:numCache>
                <c:formatCode>General</c:formatCode>
                <c:ptCount val="2"/>
                <c:pt idx="0">
                  <c:v>1616.48</c:v>
                </c:pt>
                <c:pt idx="1">
                  <c:v>1616.48</c:v>
                </c:pt>
              </c:numCache>
            </c:numRef>
          </c:val>
        </c:ser>
        <c:ser>
          <c:idx val="1"/>
          <c:order val="1"/>
          <c:tx>
            <c:strRef>
              <c:f>'[新建 XLS 工作表.xls]Sheet2'!$A$4</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工作表.xls]Sheet2'!$B$2:$C$2</c:f>
              <c:strCache>
                <c:ptCount val="2"/>
                <c:pt idx="0">
                  <c:v>收入总计</c:v>
                </c:pt>
                <c:pt idx="1">
                  <c:v>支出总计</c:v>
                </c:pt>
              </c:strCache>
            </c:strRef>
          </c:cat>
          <c:val>
            <c:numRef>
              <c:f>'[新建 XLS 工作表.xls]Sheet2'!$B$4:$C$4</c:f>
              <c:numCache>
                <c:formatCode>General</c:formatCode>
                <c:ptCount val="2"/>
                <c:pt idx="0">
                  <c:v>1584.7</c:v>
                </c:pt>
                <c:pt idx="1">
                  <c:v>1584.7</c:v>
                </c:pt>
              </c:numCache>
            </c:numRef>
          </c:val>
        </c:ser>
        <c:dLbls>
          <c:showLegendKey val="0"/>
          <c:showVal val="1"/>
          <c:showCatName val="0"/>
          <c:showSerName val="0"/>
          <c:showPercent val="0"/>
          <c:showBubbleSize val="0"/>
        </c:dLbls>
        <c:gapWidth val="246"/>
        <c:overlap val="-28"/>
        <c:axId val="512301931"/>
        <c:axId val="31840600"/>
      </c:barChart>
      <c:catAx>
        <c:axId val="5123019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40600"/>
        <c:crosses val="autoZero"/>
        <c:auto val="1"/>
        <c:lblAlgn val="ctr"/>
        <c:lblOffset val="100"/>
        <c:noMultiLvlLbl val="0"/>
      </c:catAx>
      <c:valAx>
        <c:axId val="3184060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3019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工作表.xls]Sheet3'!$A$4:$A$11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'[新建 XLS 工作表.xls]Sheet3'!$B$4:$B$11</c:f>
              <c:numCache>
                <c:formatCode>General</c:formatCode>
                <c:ptCount val="8"/>
                <c:pt idx="0">
                  <c:v>1584.7</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工作表.xls]Sheet3'!$A$4:$A$5</c:f>
              <c:strCache>
                <c:ptCount val="2"/>
                <c:pt idx="0">
                  <c:v>基本支出</c:v>
                </c:pt>
                <c:pt idx="1">
                  <c:v>项目支出</c:v>
                </c:pt>
              </c:strCache>
            </c:strRef>
          </c:cat>
          <c:val>
            <c:numRef>
              <c:f>'[新建 XLS 工作表.xls]Sheet3'!$B$4:$B$5</c:f>
              <c:numCache>
                <c:formatCode>General</c:formatCode>
                <c:ptCount val="2"/>
                <c:pt idx="0">
                  <c:v>1146.1</c:v>
                </c:pt>
                <c:pt idx="1">
                  <c:v>438.6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'[新建 XLS 工作表.xls]Sheet2'!$A$2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工作表.xls]Sheet2'!$B$1:$C$1</c:f>
              <c:strCache>
                <c:ptCount val="2"/>
                <c:pt idx="0">
                  <c:v>财政拨款收入</c:v>
                </c:pt>
                <c:pt idx="1">
                  <c:v>财政拨款支出</c:v>
                </c:pt>
              </c:strCache>
            </c:strRef>
          </c:cat>
          <c:val>
            <c:numRef>
              <c:f>'[新建 XLS 工作表.xls]Sheet2'!$B$2:$C$2</c:f>
              <c:numCache>
                <c:formatCode>General</c:formatCode>
                <c:ptCount val="2"/>
                <c:pt idx="0">
                  <c:v>1280.2</c:v>
                </c:pt>
                <c:pt idx="1">
                  <c:v>1363.24</c:v>
                </c:pt>
              </c:numCache>
            </c:numRef>
          </c:val>
        </c:ser>
        <c:ser>
          <c:idx val="1"/>
          <c:order val="1"/>
          <c:tx>
            <c:strRef>
              <c:f>'[新建 XLS 工作表.xls]Sheet2'!$A$3</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工作表.xls]Sheet2'!$B$1:$C$1</c:f>
              <c:strCache>
                <c:ptCount val="2"/>
                <c:pt idx="0">
                  <c:v>财政拨款收入</c:v>
                </c:pt>
                <c:pt idx="1">
                  <c:v>财政拨款支出</c:v>
                </c:pt>
              </c:strCache>
            </c:strRef>
          </c:cat>
          <c:val>
            <c:numRef>
              <c:f>'[新建 XLS 工作表.xls]Sheet2'!$B$3:$C$3</c:f>
              <c:numCache>
                <c:formatCode>General</c:formatCode>
                <c:ptCount val="2"/>
                <c:pt idx="0">
                  <c:v>1584.7</c:v>
                </c:pt>
                <c:pt idx="1">
                  <c:v>1584.7</c:v>
                </c:pt>
              </c:numCache>
            </c:numRef>
          </c:val>
        </c:ser>
        <c:dLbls>
          <c:showLegendKey val="0"/>
          <c:showVal val="1"/>
          <c:showCatName val="0"/>
          <c:showSerName val="0"/>
          <c:showPercent val="0"/>
          <c:showBubbleSize val="0"/>
        </c:dLbls>
        <c:gapWidth val="246"/>
        <c:overlap val="-28"/>
        <c:axId val="522358693"/>
        <c:axId val="601642761"/>
      </c:barChart>
      <c:catAx>
        <c:axId val="5223586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642761"/>
        <c:crosses val="autoZero"/>
        <c:auto val="1"/>
        <c:lblAlgn val="ctr"/>
        <c:lblOffset val="100"/>
        <c:noMultiLvlLbl val="0"/>
      </c:catAx>
      <c:valAx>
        <c:axId val="60164276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3586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808684210526316"/>
          <c:y val="0.183333333333333"/>
          <c:w val="0.888210526315789"/>
          <c:h val="0.606805555555556"/>
        </c:manualLayout>
      </c:layout>
      <c:barChart>
        <c:barDir val="col"/>
        <c:grouping val="clustered"/>
        <c:varyColors val="0"/>
        <c:ser>
          <c:idx val="0"/>
          <c:order val="0"/>
          <c:tx>
            <c:strRef>
              <c:f>'[新建 XLS 工作表.xls]Sheet2'!$A$2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工作表.xls]Sheet2'!$B$1</c:f>
              <c:strCache>
                <c:ptCount val="1"/>
                <c:pt idx="0">
                  <c:v>一般公共预算财政拨款支出</c:v>
                </c:pt>
              </c:strCache>
            </c:strRef>
          </c:cat>
          <c:val>
            <c:numRef>
              <c:f>'[新建 XLS 工作表.xls]Sheet2'!$B$2</c:f>
              <c:numCache>
                <c:formatCode>General</c:formatCode>
                <c:ptCount val="1"/>
                <c:pt idx="0">
                  <c:v>1363.24</c:v>
                </c:pt>
              </c:numCache>
            </c:numRef>
          </c:val>
        </c:ser>
        <c:ser>
          <c:idx val="1"/>
          <c:order val="1"/>
          <c:tx>
            <c:strRef>
              <c:f>'[新建 XLS 工作表.xls]Sheet2'!$A$3</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工作表.xls]Sheet2'!$B$1</c:f>
              <c:strCache>
                <c:ptCount val="1"/>
                <c:pt idx="0">
                  <c:v>一般公共预算财政拨款支出</c:v>
                </c:pt>
              </c:strCache>
            </c:strRef>
          </c:cat>
          <c:val>
            <c:numRef>
              <c:f>'[新建 XLS 工作表.xls]Sheet2'!$B$3</c:f>
              <c:numCache>
                <c:formatCode>General</c:formatCode>
                <c:ptCount val="1"/>
                <c:pt idx="0">
                  <c:v>1584.7</c:v>
                </c:pt>
              </c:numCache>
            </c:numRef>
          </c:val>
        </c:ser>
        <c:dLbls>
          <c:showLegendKey val="0"/>
          <c:showVal val="1"/>
          <c:showCatName val="0"/>
          <c:showSerName val="0"/>
          <c:showPercent val="0"/>
          <c:showBubbleSize val="0"/>
        </c:dLbls>
        <c:gapWidth val="246"/>
        <c:overlap val="-28"/>
        <c:axId val="522358693"/>
        <c:axId val="601642761"/>
      </c:barChart>
      <c:catAx>
        <c:axId val="5223586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642761"/>
        <c:crosses val="autoZero"/>
        <c:auto val="1"/>
        <c:lblAlgn val="ctr"/>
        <c:lblOffset val="100"/>
        <c:noMultiLvlLbl val="0"/>
      </c:catAx>
      <c:valAx>
        <c:axId val="60164276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3586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1"/>
              <c:layout>
                <c:manualLayout>
                  <c:x val="-0.058271935699933"/>
                  <c:y val="0.006309148264984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065639651708"/>
                  <c:y val="-0.0220820189274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0515740120563"/>
                  <c:y val="-0.006309148264984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工作表.xls]Sheet3'!$A$4:$A$7</c:f>
              <c:strCache>
                <c:ptCount val="4"/>
                <c:pt idx="0">
                  <c:v>一般公共服务支出</c:v>
                </c:pt>
                <c:pt idx="1">
                  <c:v>社会保障和就业支出</c:v>
                </c:pt>
                <c:pt idx="2">
                  <c:v>卫生健康支出</c:v>
                </c:pt>
                <c:pt idx="3">
                  <c:v>住房保障支出</c:v>
                </c:pt>
              </c:strCache>
            </c:strRef>
          </c:cat>
          <c:val>
            <c:numRef>
              <c:f>'[新建 XLS 工作表.xls]Sheet3'!$B$4:$B$7</c:f>
              <c:numCache>
                <c:formatCode>General</c:formatCode>
                <c:ptCount val="4"/>
                <c:pt idx="0">
                  <c:v>1473.05</c:v>
                </c:pt>
                <c:pt idx="1">
                  <c:v>52.03</c:v>
                </c:pt>
                <c:pt idx="2">
                  <c:v>18.61</c:v>
                </c:pt>
                <c:pt idx="3">
                  <c:v>41.02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a:solidFill>
                  <a:schemeClr val="bg1"/>
                </a:solidFill>
              </a:ln>
              <a:effectLst/>
            </c:spPr>
          </c:dPt>
          <c:dPt>
            <c:idx val="1"/>
            <c:bubble3D val="0"/>
            <c:explosion val="0"/>
            <c:spPr>
              <a:solidFill>
                <a:schemeClr val="accent2"/>
              </a:solidFill>
              <a:ln>
                <a:solidFill>
                  <a:schemeClr val="bg1"/>
                </a:solidFill>
              </a:ln>
              <a:effectLst/>
            </c:spPr>
          </c:dPt>
          <c:dPt>
            <c:idx val="2"/>
            <c:bubble3D val="0"/>
            <c:explosion val="0"/>
            <c:spPr>
              <a:solidFill>
                <a:schemeClr val="accent3"/>
              </a:solidFill>
              <a:ln>
                <a:solidFill>
                  <a:schemeClr val="bg1"/>
                </a:solidFill>
              </a:ln>
              <a:effectLst/>
            </c:spPr>
          </c:dPt>
          <c:dPt>
            <c:idx val="3"/>
            <c:bubble3D val="0"/>
            <c:explosion val="0"/>
            <c:spPr>
              <a:solidFill>
                <a:schemeClr val="accent4"/>
              </a:solidFill>
              <a:ln>
                <a:solidFill>
                  <a:schemeClr val="bg1"/>
                </a:solidFill>
              </a:ln>
              <a:effectLst/>
            </c:spPr>
          </c:dPt>
          <c:dLbls>
            <c:dLbl>
              <c:idx val="1"/>
              <c:layout>
                <c:manualLayout>
                  <c:x val="-0.058271935699933"/>
                  <c:y val="0.0063091482649842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065639651708"/>
                  <c:y val="-0.022082018927444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0515740120563"/>
                  <c:y val="-0.0063091482649842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工作表.xls]Sheet3'!$A$4:$A$7</c:f>
              <c:strCache>
                <c:ptCount val="4"/>
                <c:pt idx="0">
                  <c:v>因公出国（境）费</c:v>
                </c:pt>
                <c:pt idx="1">
                  <c:v>公务用车购置及运行维护费</c:v>
                </c:pt>
                <c:pt idx="2">
                  <c:v>公务接待费</c:v>
                </c:pt>
              </c:strCache>
            </c:strRef>
          </c:cat>
          <c:val>
            <c:numRef>
              <c:f>'[新建 XLS 工作表.xls]Sheet3'!$B$4:$B$7</c:f>
              <c:numCache>
                <c:formatCode>General</c:formatCode>
                <c:ptCount val="4"/>
                <c:pt idx="0">
                  <c:v>0</c:v>
                </c:pt>
                <c:pt idx="1">
                  <c:v>0</c:v>
                </c:pt>
                <c:pt idx="2">
                  <c:v>7.67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8461</Words>
  <Characters>9036</Characters>
  <Lines>61</Lines>
  <Paragraphs>17</Paragraphs>
  <TotalTime>19</TotalTime>
  <ScaleCrop>false</ScaleCrop>
  <LinksUpToDate>false</LinksUpToDate>
  <CharactersWithSpaces>9145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WIssJae</cp:lastModifiedBy>
  <cp:lastPrinted>2023-11-24T02:47:00Z</cp:lastPrinted>
  <dcterms:modified xsi:type="dcterms:W3CDTF">2023-11-24T03:59:35Z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76B92B02E4634E66930CD624FD55655F_13</vt:lpwstr>
  </property>
</Properties>
</file>