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D8" w:rsidRDefault="00EA00D8" w:rsidP="00EA00D8">
      <w:pPr>
        <w:rPr>
          <w:rFonts w:ascii="Times New Roman" w:eastAsia="黑体" w:hAnsi="Times New Roman"/>
          <w:bCs/>
          <w:sz w:val="32"/>
          <w:szCs w:val="32"/>
        </w:rPr>
      </w:pPr>
      <w:r>
        <w:rPr>
          <w:rFonts w:ascii="Times New Roman" w:eastAsia="黑体" w:hAnsi="Times New Roman"/>
          <w:bCs/>
          <w:sz w:val="32"/>
          <w:szCs w:val="32"/>
        </w:rPr>
        <w:t>附件</w:t>
      </w:r>
      <w:r>
        <w:rPr>
          <w:rFonts w:ascii="Times New Roman" w:eastAsia="黑体" w:hAnsi="Times New Roman"/>
          <w:bCs/>
          <w:sz w:val="32"/>
          <w:szCs w:val="32"/>
        </w:rPr>
        <w:t>3</w:t>
      </w:r>
    </w:p>
    <w:p w:rsidR="00EA00D8" w:rsidRDefault="00EA00D8" w:rsidP="00EA00D8">
      <w:pPr>
        <w:jc w:val="center"/>
        <w:rPr>
          <w:rFonts w:ascii="Times New Roman" w:eastAsia="方正小标宋简体" w:hAnsi="Times New Roman"/>
          <w:bCs/>
          <w:sz w:val="44"/>
          <w:szCs w:val="44"/>
        </w:rPr>
      </w:pPr>
      <w:r>
        <w:rPr>
          <w:rFonts w:ascii="Times New Roman" w:eastAsia="方正小标宋简体" w:hAnsi="Times New Roman"/>
          <w:bCs/>
          <w:sz w:val="44"/>
          <w:szCs w:val="44"/>
        </w:rPr>
        <w:t>昭化区财政绩效评价专家专业分类标准</w:t>
      </w:r>
    </w:p>
    <w:p w:rsidR="00EA00D8" w:rsidRDefault="00EA00D8" w:rsidP="00EA00D8">
      <w:pPr>
        <w:spacing w:line="576" w:lineRule="exact"/>
        <w:ind w:firstLineChars="200" w:firstLine="643"/>
        <w:rPr>
          <w:rFonts w:ascii="Times New Roman" w:eastAsia="仿宋_GB2312" w:hAnsi="Times New Roman"/>
          <w:b/>
          <w:bCs/>
          <w:sz w:val="32"/>
          <w:szCs w:val="32"/>
        </w:rPr>
      </w:pPr>
    </w:p>
    <w:p w:rsidR="00EA00D8" w:rsidRDefault="00EA00D8" w:rsidP="00EA00D8">
      <w:pPr>
        <w:spacing w:line="576"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昭化区财政绩效评价专家</w:t>
      </w:r>
      <w:r>
        <w:rPr>
          <w:rFonts w:ascii="Times New Roman" w:eastAsia="仿宋_GB2312" w:hAnsi="Times New Roman"/>
          <w:kern w:val="0"/>
          <w:sz w:val="32"/>
          <w:szCs w:val="32"/>
        </w:rPr>
        <w:t>从事和参加绩效预算、绩效评价及重点问责等评价活动评价</w:t>
      </w:r>
      <w:r>
        <w:rPr>
          <w:rFonts w:ascii="Times New Roman" w:eastAsia="仿宋_GB2312" w:hAnsi="Times New Roman"/>
          <w:bCs/>
          <w:sz w:val="32"/>
          <w:szCs w:val="32"/>
        </w:rPr>
        <w:t>专业分类标准如下：</w:t>
      </w:r>
    </w:p>
    <w:p w:rsidR="00EA00D8" w:rsidRDefault="00EA00D8" w:rsidP="00EA00D8">
      <w:pPr>
        <w:spacing w:line="576"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绩效评价分为四大类：行政（财务）专项类、基建工程类、信息化类及设备购置类；</w:t>
      </w:r>
    </w:p>
    <w:p w:rsidR="00EA00D8" w:rsidRDefault="00EA00D8" w:rsidP="00EA00D8">
      <w:pPr>
        <w:spacing w:line="576" w:lineRule="exact"/>
        <w:ind w:firstLineChars="200" w:firstLine="640"/>
        <w:rPr>
          <w:rFonts w:ascii="Times New Roman" w:eastAsia="仿宋_GB2312" w:hAnsi="Times New Roman"/>
          <w:sz w:val="32"/>
          <w:szCs w:val="32"/>
        </w:rPr>
      </w:pPr>
      <w:r>
        <w:rPr>
          <w:rFonts w:ascii="Times New Roman" w:eastAsia="黑体" w:hAnsi="Times New Roman"/>
          <w:sz w:val="32"/>
          <w:szCs w:val="32"/>
        </w:rPr>
        <w:t>一、</w:t>
      </w:r>
      <w:r>
        <w:rPr>
          <w:rFonts w:ascii="Times New Roman" w:eastAsia="黑体" w:hAnsi="Times New Roman"/>
          <w:bCs/>
          <w:sz w:val="32"/>
          <w:szCs w:val="32"/>
        </w:rPr>
        <w:t>行政（财务）专项</w:t>
      </w:r>
      <w:r>
        <w:rPr>
          <w:rFonts w:ascii="Times New Roman" w:eastAsia="黑体" w:hAnsi="Times New Roman"/>
          <w:sz w:val="32"/>
          <w:szCs w:val="32"/>
        </w:rPr>
        <w:t>类细分专业方向：</w:t>
      </w:r>
      <w:r>
        <w:rPr>
          <w:rFonts w:ascii="Times New Roman" w:eastAsia="仿宋_GB2312" w:hAnsi="Times New Roman"/>
          <w:sz w:val="32"/>
          <w:szCs w:val="32"/>
        </w:rPr>
        <w:t>行政管理（包括：社会保障、计划生育、卫生、政法、文化、体育、教育、人力资源、再就业培训）；社会科学、公共管理、财务管理等；</w:t>
      </w:r>
    </w:p>
    <w:p w:rsidR="00EA00D8" w:rsidRDefault="00EA00D8" w:rsidP="00EA00D8">
      <w:pPr>
        <w:spacing w:line="576" w:lineRule="exact"/>
        <w:ind w:firstLineChars="200" w:firstLine="640"/>
        <w:rPr>
          <w:rFonts w:ascii="Times New Roman" w:eastAsia="仿宋_GB2312" w:hAnsi="Times New Roman"/>
          <w:sz w:val="32"/>
          <w:szCs w:val="32"/>
        </w:rPr>
      </w:pPr>
      <w:r>
        <w:rPr>
          <w:rFonts w:ascii="Times New Roman" w:eastAsia="黑体" w:hAnsi="Times New Roman"/>
          <w:sz w:val="32"/>
          <w:szCs w:val="32"/>
        </w:rPr>
        <w:t>二、基建工程类细分专业方向：</w:t>
      </w:r>
      <w:r>
        <w:rPr>
          <w:rFonts w:ascii="Times New Roman" w:eastAsia="仿宋_GB2312" w:hAnsi="Times New Roman"/>
          <w:sz w:val="32"/>
          <w:szCs w:val="32"/>
        </w:rPr>
        <w:t>水利工程、环保工程、环境工程、市政工程、道路建设、桥梁建设、交通工程、楼房主体工程、装修工程、水电安装设计、给排水工程、工程监理、工程造价、工程结算等；</w:t>
      </w:r>
    </w:p>
    <w:p w:rsidR="00EA00D8" w:rsidRDefault="00EA00D8" w:rsidP="00EA00D8">
      <w:pPr>
        <w:spacing w:line="576" w:lineRule="exact"/>
        <w:ind w:firstLineChars="200" w:firstLine="640"/>
        <w:rPr>
          <w:rFonts w:ascii="Times New Roman" w:eastAsia="仿宋_GB2312" w:hAnsi="Times New Roman"/>
          <w:sz w:val="32"/>
          <w:szCs w:val="32"/>
        </w:rPr>
      </w:pPr>
      <w:r>
        <w:rPr>
          <w:rFonts w:ascii="Times New Roman" w:eastAsia="黑体" w:hAnsi="Times New Roman"/>
          <w:sz w:val="32"/>
          <w:szCs w:val="32"/>
        </w:rPr>
        <w:t>三、信息化类细分专业方向：</w:t>
      </w:r>
      <w:r>
        <w:rPr>
          <w:rFonts w:ascii="Times New Roman" w:eastAsia="仿宋_GB2312" w:hAnsi="Times New Roman"/>
          <w:sz w:val="32"/>
          <w:szCs w:val="32"/>
        </w:rPr>
        <w:t>系统设计、硬件建设、系统维护、自动化工程、电子信息、电子通讯、信息化监理、信息与系统管理等；</w:t>
      </w:r>
    </w:p>
    <w:p w:rsidR="00EA00D8" w:rsidRDefault="00EA00D8" w:rsidP="00EA00D8">
      <w:pPr>
        <w:spacing w:line="576" w:lineRule="exact"/>
        <w:ind w:firstLineChars="200" w:firstLine="640"/>
        <w:rPr>
          <w:rFonts w:ascii="Times New Roman" w:eastAsia="仿宋_GB2312" w:hAnsi="Times New Roman"/>
          <w:sz w:val="32"/>
          <w:szCs w:val="32"/>
        </w:rPr>
      </w:pPr>
      <w:r>
        <w:rPr>
          <w:rFonts w:ascii="Times New Roman" w:eastAsia="黑体" w:hAnsi="Times New Roman"/>
          <w:sz w:val="32"/>
          <w:szCs w:val="32"/>
        </w:rPr>
        <w:t>四、设备购置类细分专业方向：</w:t>
      </w:r>
      <w:r>
        <w:rPr>
          <w:rFonts w:ascii="Times New Roman" w:eastAsia="仿宋_GB2312" w:hAnsi="Times New Roman"/>
          <w:sz w:val="32"/>
          <w:szCs w:val="32"/>
        </w:rPr>
        <w:t>电脑设备、医疗设备、水利工程设备、环保设备、监控设备、消防设备等。</w:t>
      </w:r>
    </w:p>
    <w:p w:rsidR="00EA00D8" w:rsidRDefault="00EA00D8" w:rsidP="00EA00D8">
      <w:pPr>
        <w:ind w:firstLine="646"/>
        <w:rPr>
          <w:rFonts w:ascii="Times New Roman" w:hAnsi="Times New Roman"/>
          <w:sz w:val="28"/>
          <w:szCs w:val="28"/>
        </w:rPr>
      </w:pPr>
    </w:p>
    <w:p w:rsidR="00A63694" w:rsidRPr="00EA00D8" w:rsidRDefault="00A63694"/>
    <w:sectPr w:rsidR="00A63694" w:rsidRPr="00EA0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94" w:rsidRPr="001131F0" w:rsidRDefault="00A63694" w:rsidP="00EA00D8">
      <w:pPr>
        <w:rPr>
          <w:rFonts w:ascii="Verdana" w:hAnsi="Verdana"/>
          <w:kern w:val="0"/>
          <w:sz w:val="24"/>
          <w:szCs w:val="20"/>
          <w:lang w:eastAsia="en-US"/>
        </w:rPr>
      </w:pPr>
      <w:r>
        <w:separator/>
      </w:r>
    </w:p>
  </w:endnote>
  <w:endnote w:type="continuationSeparator" w:id="1">
    <w:p w:rsidR="00A63694" w:rsidRPr="001131F0" w:rsidRDefault="00A63694" w:rsidP="00EA00D8">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94" w:rsidRPr="001131F0" w:rsidRDefault="00A63694" w:rsidP="00EA00D8">
      <w:pPr>
        <w:rPr>
          <w:rFonts w:ascii="Verdana" w:hAnsi="Verdana"/>
          <w:kern w:val="0"/>
          <w:sz w:val="24"/>
          <w:szCs w:val="20"/>
          <w:lang w:eastAsia="en-US"/>
        </w:rPr>
      </w:pPr>
      <w:r>
        <w:separator/>
      </w:r>
    </w:p>
  </w:footnote>
  <w:footnote w:type="continuationSeparator" w:id="1">
    <w:p w:rsidR="00A63694" w:rsidRPr="001131F0" w:rsidRDefault="00A63694" w:rsidP="00EA00D8">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0D8"/>
    <w:rsid w:val="00A63694"/>
    <w:rsid w:val="00EA0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00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00D8"/>
    <w:rPr>
      <w:sz w:val="18"/>
      <w:szCs w:val="18"/>
    </w:rPr>
  </w:style>
  <w:style w:type="paragraph" w:styleId="a4">
    <w:name w:val="footer"/>
    <w:basedOn w:val="a"/>
    <w:link w:val="Char0"/>
    <w:uiPriority w:val="99"/>
    <w:semiHidden/>
    <w:unhideWhenUsed/>
    <w:rsid w:val="00EA00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00D8"/>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EA00D8"/>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2019-07-11T01:17:00Z</dcterms:created>
  <dcterms:modified xsi:type="dcterms:W3CDTF">2019-07-11T01:17:00Z</dcterms:modified>
</cp:coreProperties>
</file>