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66"/>
          <w:szCs w:val="66"/>
          <w:highlight w:val="none"/>
        </w:rPr>
      </w:pPr>
      <w:bookmarkStart w:id="1" w:name="_Toc18867"/>
      <w:bookmarkStart w:id="2" w:name="_Toc15377425"/>
      <w:bookmarkStart w:id="3" w:name="_Toc15396475"/>
      <w:bookmarkStart w:id="4" w:name="_Toc15378441"/>
      <w:bookmarkStart w:id="5" w:name="_Toc15377193"/>
      <w:bookmarkStart w:id="6" w:name="_Toc15396597"/>
      <w:r>
        <w:rPr>
          <w:rFonts w:hint="eastAsia" w:ascii="方正小标宋简体" w:hAnsi="方正小标宋简体" w:eastAsia="方正小标宋简体" w:cs="方正小标宋简体"/>
          <w:color w:val="auto"/>
          <w:sz w:val="66"/>
          <w:szCs w:val="66"/>
          <w:highlight w:val="none"/>
        </w:rPr>
        <w:t>20</w:t>
      </w:r>
      <w:r>
        <w:rPr>
          <w:rFonts w:hint="eastAsia" w:ascii="方正小标宋简体" w:hAnsi="方正小标宋简体" w:eastAsia="方正小标宋简体" w:cs="方正小标宋简体"/>
          <w:color w:val="auto"/>
          <w:sz w:val="66"/>
          <w:szCs w:val="66"/>
          <w:highlight w:val="none"/>
          <w:lang w:val="en-US" w:eastAsia="zh-CN"/>
        </w:rPr>
        <w:t>22</w:t>
      </w:r>
      <w:r>
        <w:rPr>
          <w:rFonts w:hint="eastAsia" w:ascii="方正小标宋简体" w:hAnsi="方正小标宋简体" w:eastAsia="方正小标宋简体" w:cs="方正小标宋简体"/>
          <w:color w:val="auto"/>
          <w:sz w:val="66"/>
          <w:szCs w:val="66"/>
          <w:highlight w:val="none"/>
        </w:rPr>
        <w:t>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66"/>
          <w:szCs w:val="66"/>
          <w:highlight w:val="none"/>
        </w:rPr>
      </w:pPr>
      <w:bookmarkStart w:id="7" w:name="_Toc15396476"/>
      <w:bookmarkStart w:id="8" w:name="_Toc15377194"/>
      <w:bookmarkStart w:id="9" w:name="_Toc2729"/>
      <w:bookmarkStart w:id="10" w:name="_Toc15377426"/>
      <w:bookmarkStart w:id="11" w:name="_Toc15378442"/>
      <w:bookmarkStart w:id="12" w:name="_Toc15396598"/>
      <w:r>
        <w:rPr>
          <w:rFonts w:hint="eastAsia" w:ascii="方正小标宋简体" w:hAnsi="方正小标宋简体" w:eastAsia="方正小标宋简体" w:cs="方正小标宋简体"/>
          <w:color w:val="auto"/>
          <w:sz w:val="66"/>
          <w:szCs w:val="66"/>
          <w:highlight w:val="none"/>
        </w:rPr>
        <w:t>四川省</w:t>
      </w:r>
      <w:bookmarkEnd w:id="0"/>
      <w:bookmarkStart w:id="13" w:name="_Toc15306268"/>
      <w:r>
        <w:rPr>
          <w:rFonts w:hint="eastAsia" w:ascii="方正小标宋简体" w:hAnsi="方正小标宋简体" w:eastAsia="方正小标宋简体" w:cs="方正小标宋简体"/>
          <w:color w:val="auto"/>
          <w:sz w:val="66"/>
          <w:szCs w:val="66"/>
          <w:highlight w:val="none"/>
          <w:lang w:eastAsia="zh-CN"/>
        </w:rPr>
        <w:t>广元市昭化区司法局部门</w:t>
      </w:r>
      <w:r>
        <w:rPr>
          <w:rFonts w:hint="eastAsia" w:ascii="方正小标宋简体" w:hAnsi="方正小标宋简体" w:eastAsia="方正小标宋简体" w:cs="方正小标宋简体"/>
          <w:color w:val="auto"/>
          <w:sz w:val="66"/>
          <w:szCs w:val="66"/>
          <w:highlight w:val="none"/>
        </w:rPr>
        <w:t>决算</w:t>
      </w:r>
      <w:bookmarkEnd w:id="7"/>
      <w:bookmarkEnd w:id="8"/>
      <w:bookmarkEnd w:id="9"/>
      <w:bookmarkEnd w:id="10"/>
      <w:bookmarkEnd w:id="11"/>
      <w:bookmarkEnd w:id="12"/>
      <w:bookmarkEnd w:id="13"/>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32"/>
          <w:szCs w:val="32"/>
          <w:lang w:val="en-US" w:eastAsia="zh-CN" w:bidi="ar-SA"/>
        </w:rPr>
        <w:id w:val="621155090"/>
        <w:docPartObj>
          <w:docPartGallery w:val="Table of Contents"/>
          <w:docPartUnique/>
        </w:docPartObj>
      </w:sdtPr>
      <w:sdtEndPr>
        <w:rPr>
          <w:rFonts w:ascii="Times New Roman" w:hAnsi="Times New Roman" w:eastAsia="宋体" w:cs="Times New Roman"/>
          <w:sz w:val="21"/>
          <w:szCs w:val="21"/>
        </w:rPr>
      </w:sdtEndPr>
      <w:sdtContent>
        <w:p>
          <w:pPr>
            <w:spacing w:before="0" w:beforeLines="0" w:after="0" w:afterLines="0" w:line="240" w:lineRule="auto"/>
            <w:ind w:left="0" w:leftChars="0" w:right="0" w:rightChars="0" w:firstLine="0" w:firstLineChars="0"/>
            <w:jc w:val="center"/>
            <w:rPr>
              <w:sz w:val="32"/>
              <w:szCs w:val="32"/>
            </w:rPr>
          </w:pPr>
          <w:bookmarkStart w:id="14" w:name="_Toc335512063_WPSOffice_Type3"/>
          <w:r>
            <w:rPr>
              <w:rFonts w:ascii="宋体" w:hAnsi="宋体" w:eastAsia="宋体"/>
              <w:sz w:val="32"/>
              <w:szCs w:val="32"/>
            </w:rPr>
            <w:t>目录</w:t>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_Toc876214657_WPSOffice_Level1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828d6730-6475-4b39-b822-ffc07d286d84}"/>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imes New Roman"/>
                  <w:sz w:val="21"/>
                  <w:szCs w:val="21"/>
                </w:rPr>
                <w:t>第一部分 单位概况</w:t>
              </w:r>
            </w:sdtContent>
          </w:sdt>
          <w:r>
            <w:rPr>
              <w:sz w:val="21"/>
              <w:szCs w:val="21"/>
            </w:rPr>
            <w:tab/>
          </w:r>
          <w:bookmarkStart w:id="15" w:name="_Toc876214657_WPSOffice_Level1Page"/>
          <w:r>
            <w:rPr>
              <w:sz w:val="21"/>
              <w:szCs w:val="21"/>
            </w:rPr>
            <w:t>4</w:t>
          </w:r>
          <w:bookmarkEnd w:id="15"/>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_Toc1586854129_WPSOffice_Level2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152d1266-01d8-47ed-b349-2f6eac85c999}"/>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heme="majorBidi"/>
                  <w:sz w:val="21"/>
                  <w:szCs w:val="21"/>
                </w:rPr>
                <w:t xml:space="preserve">一、 </w:t>
              </w:r>
              <w:r>
                <w:rPr>
                  <w:rFonts w:hint="default" w:ascii="黑体" w:hAnsi="黑体" w:eastAsia="黑体" w:cstheme="majorBidi"/>
                  <w:sz w:val="21"/>
                  <w:szCs w:val="21"/>
                </w:rPr>
                <w:t>部门概况</w:t>
              </w:r>
            </w:sdtContent>
          </w:sdt>
          <w:r>
            <w:rPr>
              <w:sz w:val="21"/>
              <w:szCs w:val="21"/>
            </w:rPr>
            <w:tab/>
          </w:r>
          <w:bookmarkStart w:id="16" w:name="_Toc1586854129_WPSOffice_Level2Page"/>
          <w:r>
            <w:rPr>
              <w:sz w:val="21"/>
              <w:szCs w:val="21"/>
            </w:rPr>
            <w:t>4</w:t>
          </w:r>
          <w:bookmarkEnd w:id="16"/>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_Toc1586854129_WPSOffice_Level3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de8f3e04-1a67-4158-8aef-3d5f5fcdaa88}"/>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（一）部门职责</w:t>
              </w:r>
            </w:sdtContent>
          </w:sdt>
          <w:r>
            <w:rPr>
              <w:sz w:val="21"/>
              <w:szCs w:val="21"/>
            </w:rPr>
            <w:tab/>
          </w:r>
          <w:bookmarkStart w:id="17" w:name="_Toc1586854129_WPSOffice_Level3Page"/>
          <w:r>
            <w:rPr>
              <w:sz w:val="21"/>
              <w:szCs w:val="21"/>
            </w:rPr>
            <w:t>4</w:t>
          </w:r>
          <w:bookmarkEnd w:id="17"/>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_Toc1126543201_WPSOffice_Level3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76c3a004-c424-43bd-b110-4a84ec3182c1}"/>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（二）机构设置</w:t>
              </w:r>
            </w:sdtContent>
          </w:sdt>
          <w:r>
            <w:rPr>
              <w:sz w:val="21"/>
              <w:szCs w:val="21"/>
            </w:rPr>
            <w:tab/>
          </w:r>
          <w:bookmarkStart w:id="18" w:name="_Toc1126543201_WPSOffice_Level3Page"/>
          <w:r>
            <w:rPr>
              <w:sz w:val="21"/>
              <w:szCs w:val="21"/>
            </w:rPr>
            <w:t>5</w:t>
          </w:r>
          <w:bookmarkEnd w:id="18"/>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_Toc1126543201_WPSOffice_Level2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9c16654c-5014-464f-a3ee-4fd5a32caff6}"/>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黑体" w:cs="Times New Roman"/>
                  <w:sz w:val="21"/>
                  <w:szCs w:val="21"/>
                </w:rPr>
                <w:t>二、2022年重点工作完成情况</w:t>
              </w:r>
            </w:sdtContent>
          </w:sdt>
          <w:r>
            <w:rPr>
              <w:sz w:val="21"/>
              <w:szCs w:val="21"/>
            </w:rPr>
            <w:tab/>
          </w:r>
          <w:bookmarkStart w:id="19" w:name="_Toc1126543201_WPSOffice_Level2Page"/>
          <w:r>
            <w:rPr>
              <w:sz w:val="21"/>
              <w:szCs w:val="21"/>
            </w:rPr>
            <w:t>5</w:t>
          </w:r>
          <w:bookmarkEnd w:id="19"/>
          <w:r>
            <w:rPr>
              <w:sz w:val="21"/>
              <w:szCs w:val="21"/>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_Toc1586854129_WPSOffice_Level1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bcce42be-fb5c-4a23-96da-217fa0d4a76d}"/>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imes New Roman"/>
                  <w:sz w:val="21"/>
                  <w:szCs w:val="21"/>
                </w:rPr>
                <w:t>第二部分 2022年度部门决算情况说明</w:t>
              </w:r>
            </w:sdtContent>
          </w:sdt>
          <w:r>
            <w:rPr>
              <w:sz w:val="21"/>
              <w:szCs w:val="21"/>
            </w:rPr>
            <w:tab/>
          </w:r>
          <w:bookmarkStart w:id="20" w:name="_Toc1586854129_WPSOffice_Level1Page"/>
          <w:r>
            <w:rPr>
              <w:sz w:val="21"/>
              <w:szCs w:val="21"/>
            </w:rPr>
            <w:t>11</w:t>
          </w:r>
          <w:bookmarkEnd w:id="20"/>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_Toc423007826_WPSOffice_Level2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982c3ad7-8e81-403d-960d-0eece5fcf4d3}"/>
              </w:placeholder>
            </w:sdtPr>
            <w:sdtEndPr>
              <w:rPr>
                <w:rFonts w:ascii="Times New Roman" w:hAnsi="Times New Roman" w:eastAsia="宋体" w:cs="Times New Roman"/>
                <w:kern w:val="2"/>
                <w:sz w:val="21"/>
                <w:szCs w:val="21"/>
                <w:lang w:val="en-US" w:eastAsia="zh-CN" w:bidi="ar-SA"/>
              </w:rPr>
            </w:sdtEndPr>
            <w:sdtContent>
              <w:r>
                <w:rPr>
                  <w:rFonts w:hint="default" w:ascii="黑体" w:hAnsi="黑体" w:eastAsia="黑体" w:cstheme="majorBidi"/>
                  <w:sz w:val="21"/>
                  <w:szCs w:val="21"/>
                </w:rPr>
                <w:t xml:space="preserve">一、 </w:t>
              </w:r>
              <w:r>
                <w:rPr>
                  <w:rFonts w:hint="eastAsia" w:ascii="黑体" w:hAnsi="黑体" w:eastAsia="黑体" w:cs="Times New Roman"/>
                  <w:sz w:val="21"/>
                  <w:szCs w:val="21"/>
                </w:rPr>
                <w:t>收</w:t>
              </w:r>
              <w:r>
                <w:rPr>
                  <w:rFonts w:hint="eastAsia" w:ascii="黑体" w:hAnsi="黑体" w:eastAsia="黑体" w:cstheme="majorBidi"/>
                  <w:sz w:val="21"/>
                  <w:szCs w:val="21"/>
                </w:rPr>
                <w:t>入支出决算总体情况说明</w:t>
              </w:r>
            </w:sdtContent>
          </w:sdt>
          <w:r>
            <w:rPr>
              <w:sz w:val="21"/>
              <w:szCs w:val="21"/>
            </w:rPr>
            <w:tab/>
          </w:r>
          <w:bookmarkStart w:id="21" w:name="_Toc423007826_WPSOffice_Level2Page"/>
          <w:r>
            <w:rPr>
              <w:sz w:val="21"/>
              <w:szCs w:val="21"/>
            </w:rPr>
            <w:t>11</w:t>
          </w:r>
          <w:bookmarkEnd w:id="21"/>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_Toc1056247385_WPSOffice_Level2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644367f9-4b0c-4d48-b32e-aa539695f81a}"/>
              </w:placeholder>
            </w:sdtPr>
            <w:sdtEndPr>
              <w:rPr>
                <w:rFonts w:ascii="Times New Roman" w:hAnsi="Times New Roman" w:eastAsia="宋体" w:cs="Times New Roman"/>
                <w:kern w:val="2"/>
                <w:sz w:val="21"/>
                <w:szCs w:val="21"/>
                <w:lang w:val="en-US" w:eastAsia="zh-CN" w:bidi="ar-SA"/>
              </w:rPr>
            </w:sdtEndPr>
            <w:sdtContent>
              <w:r>
                <w:rPr>
                  <w:rFonts w:hint="default" w:ascii="黑体" w:hAnsi="黑体" w:eastAsia="黑体" w:cstheme="majorBidi"/>
                  <w:sz w:val="21"/>
                  <w:szCs w:val="21"/>
                </w:rPr>
                <w:t xml:space="preserve">二、 </w:t>
              </w:r>
              <w:r>
                <w:rPr>
                  <w:rFonts w:hint="eastAsia" w:ascii="黑体" w:hAnsi="黑体" w:eastAsia="黑体" w:cs="Times New Roman"/>
                  <w:sz w:val="21"/>
                  <w:szCs w:val="21"/>
                </w:rPr>
                <w:t>收</w:t>
              </w:r>
              <w:r>
                <w:rPr>
                  <w:rFonts w:hint="eastAsia" w:ascii="黑体" w:hAnsi="黑体" w:eastAsia="黑体" w:cstheme="majorBidi"/>
                  <w:sz w:val="21"/>
                  <w:szCs w:val="21"/>
                </w:rPr>
                <w:t>入决算情况说明</w:t>
              </w:r>
            </w:sdtContent>
          </w:sdt>
          <w:r>
            <w:rPr>
              <w:sz w:val="21"/>
              <w:szCs w:val="21"/>
            </w:rPr>
            <w:tab/>
          </w:r>
          <w:bookmarkStart w:id="22" w:name="_Toc1056247385_WPSOffice_Level2Page"/>
          <w:r>
            <w:rPr>
              <w:sz w:val="21"/>
              <w:szCs w:val="21"/>
            </w:rPr>
            <w:t>11</w:t>
          </w:r>
          <w:bookmarkEnd w:id="2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_Toc133859538_WPSOffice_Level2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00448c28-2fa4-4b6a-9230-0bd88a483758}"/>
              </w:placeholder>
            </w:sdtPr>
            <w:sdtEndPr>
              <w:rPr>
                <w:rFonts w:ascii="Times New Roman" w:hAnsi="Times New Roman" w:eastAsia="宋体" w:cs="Times New Roman"/>
                <w:kern w:val="2"/>
                <w:sz w:val="21"/>
                <w:szCs w:val="21"/>
                <w:lang w:val="en-US" w:eastAsia="zh-CN" w:bidi="ar-SA"/>
              </w:rPr>
            </w:sdtEndPr>
            <w:sdtContent>
              <w:r>
                <w:rPr>
                  <w:rFonts w:hint="default" w:ascii="黑体" w:hAnsi="黑体" w:eastAsia="黑体" w:cs="Times New Roman"/>
                  <w:sz w:val="21"/>
                  <w:szCs w:val="21"/>
                </w:rPr>
                <w:t xml:space="preserve">三、 </w:t>
              </w:r>
              <w:r>
                <w:rPr>
                  <w:rFonts w:hint="eastAsia" w:ascii="黑体" w:hAnsi="黑体" w:eastAsia="黑体" w:cs="Times New Roman"/>
                  <w:sz w:val="21"/>
                  <w:szCs w:val="21"/>
                </w:rPr>
                <w:t>支出决算情况说明</w:t>
              </w:r>
            </w:sdtContent>
          </w:sdt>
          <w:r>
            <w:rPr>
              <w:sz w:val="21"/>
              <w:szCs w:val="21"/>
            </w:rPr>
            <w:tab/>
          </w:r>
          <w:bookmarkStart w:id="23" w:name="_Toc133859538_WPSOffice_Level2Page"/>
          <w:r>
            <w:rPr>
              <w:sz w:val="21"/>
              <w:szCs w:val="21"/>
            </w:rPr>
            <w:t>12</w:t>
          </w:r>
          <w:bookmarkEnd w:id="23"/>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_Toc1484094552_WPSOffice_Level2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44acf8a8-9a7d-4e7b-aa62-a5c9f6dcd1cc}"/>
              </w:placeholder>
            </w:sdtPr>
            <w:sdtEndPr>
              <w:rPr>
                <w:rFonts w:ascii="Times New Roman" w:hAnsi="Times New Roman" w:eastAsia="宋体" w:cs="Times New Roman"/>
                <w:kern w:val="2"/>
                <w:sz w:val="21"/>
                <w:szCs w:val="21"/>
                <w:lang w:val="en-US" w:eastAsia="zh-CN" w:bidi="ar-SA"/>
              </w:rPr>
            </w:sdtEndPr>
            <w:sdtContent>
              <w:r>
                <w:rPr>
                  <w:rFonts w:hint="default" w:ascii="黑体" w:hAnsi="黑体" w:eastAsia="黑体" w:cs="Times New Roman"/>
                  <w:sz w:val="21"/>
                  <w:szCs w:val="21"/>
                </w:rPr>
                <w:t xml:space="preserve">四、 </w:t>
              </w:r>
              <w:r>
                <w:rPr>
                  <w:rFonts w:hint="eastAsia" w:ascii="黑体" w:hAnsi="黑体" w:eastAsia="黑体" w:cs="Times New Roman"/>
                  <w:sz w:val="21"/>
                  <w:szCs w:val="21"/>
                </w:rPr>
                <w:t>财政拨款收入支出决算总体情况说明</w:t>
              </w:r>
            </w:sdtContent>
          </w:sdt>
          <w:r>
            <w:rPr>
              <w:sz w:val="21"/>
              <w:szCs w:val="21"/>
            </w:rPr>
            <w:tab/>
          </w:r>
          <w:bookmarkStart w:id="24" w:name="_Toc1484094552_WPSOffice_Level2Page"/>
          <w:r>
            <w:rPr>
              <w:sz w:val="21"/>
              <w:szCs w:val="21"/>
            </w:rPr>
            <w:t>12</w:t>
          </w:r>
          <w:bookmarkEnd w:id="24"/>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_Toc1297602989_WPSOffice_Level2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f3c86307-2b8f-4e29-9c7b-ef5aa31a3b69}"/>
              </w:placeholder>
            </w:sdtPr>
            <w:sdtEndPr>
              <w:rPr>
                <w:rFonts w:ascii="Times New Roman" w:hAnsi="Times New Roman" w:eastAsia="宋体" w:cs="Times New Roman"/>
                <w:kern w:val="2"/>
                <w:sz w:val="21"/>
                <w:szCs w:val="21"/>
                <w:lang w:val="en-US" w:eastAsia="zh-CN" w:bidi="ar-SA"/>
              </w:rPr>
            </w:sdtEndPr>
            <w:sdtContent>
              <w:r>
                <w:rPr>
                  <w:rFonts w:hint="default" w:ascii="黑体" w:hAnsi="黑体" w:eastAsia="黑体" w:cs="Times New Roman"/>
                  <w:sz w:val="21"/>
                  <w:szCs w:val="21"/>
                </w:rPr>
                <w:t xml:space="preserve">五、 </w:t>
              </w:r>
              <w:r>
                <w:rPr>
                  <w:rFonts w:hint="eastAsia" w:ascii="黑体" w:hAnsi="黑体" w:eastAsia="黑体" w:cs="Times New Roman"/>
                  <w:sz w:val="21"/>
                  <w:szCs w:val="21"/>
                </w:rPr>
                <w:t>一般公共预算财政拨款支出决算情况说明</w:t>
              </w:r>
            </w:sdtContent>
          </w:sdt>
          <w:r>
            <w:rPr>
              <w:sz w:val="21"/>
              <w:szCs w:val="21"/>
            </w:rPr>
            <w:tab/>
          </w:r>
          <w:bookmarkStart w:id="25" w:name="_Toc1297602989_WPSOffice_Level2Page"/>
          <w:r>
            <w:rPr>
              <w:sz w:val="21"/>
              <w:szCs w:val="21"/>
            </w:rPr>
            <w:t>12</w:t>
          </w:r>
          <w:bookmarkEnd w:id="25"/>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_Toc423007826_WPSOffice_Level3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80704a12-ac87-42b2-8e5b-ae178eb541f3}"/>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（一）一般公共预算财政拨款支出决算总体情况</w:t>
              </w:r>
            </w:sdtContent>
          </w:sdt>
          <w:r>
            <w:rPr>
              <w:sz w:val="21"/>
              <w:szCs w:val="21"/>
            </w:rPr>
            <w:tab/>
          </w:r>
          <w:bookmarkStart w:id="26" w:name="_Toc423007826_WPSOffice_Level3Page"/>
          <w:r>
            <w:rPr>
              <w:sz w:val="21"/>
              <w:szCs w:val="21"/>
            </w:rPr>
            <w:t>12</w:t>
          </w:r>
          <w:bookmarkEnd w:id="26"/>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_Toc1056247385_WPSOffice_Level3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8fbbad5c-6be4-41d8-8229-784f5109b77c}"/>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（二）一般公共预算财政拨款支出决算结构情况</w:t>
              </w:r>
            </w:sdtContent>
          </w:sdt>
          <w:r>
            <w:rPr>
              <w:sz w:val="21"/>
              <w:szCs w:val="21"/>
            </w:rPr>
            <w:tab/>
          </w:r>
          <w:bookmarkStart w:id="27" w:name="_Toc1056247385_WPSOffice_Level3Page"/>
          <w:r>
            <w:rPr>
              <w:sz w:val="21"/>
              <w:szCs w:val="21"/>
            </w:rPr>
            <w:t>13</w:t>
          </w:r>
          <w:bookmarkEnd w:id="27"/>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_Toc1682212405_WPSOffice_Level2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6580246c-5f0f-4f36-81ad-e0539ff44ed6}"/>
              </w:placeholder>
            </w:sdtPr>
            <w:sdtEndPr>
              <w:rPr>
                <w:rFonts w:ascii="Times New Roman" w:hAnsi="Times New Roman" w:eastAsia="宋体" w:cs="Times New Roman"/>
                <w:kern w:val="2"/>
                <w:sz w:val="21"/>
                <w:szCs w:val="21"/>
                <w:lang w:val="en-US" w:eastAsia="zh-CN" w:bidi="ar-SA"/>
              </w:rPr>
            </w:sdtEndPr>
            <w:sdtContent>
              <w:r>
                <w:rPr>
                  <w:rFonts w:hint="eastAsia" w:ascii="黑体" w:hAnsi="Times New Roman" w:eastAsia="黑体" w:cs="Times New Roman"/>
                  <w:sz w:val="21"/>
                  <w:szCs w:val="21"/>
                </w:rPr>
                <w:t>六、</w:t>
              </w:r>
              <w:r>
                <w:rPr>
                  <w:rFonts w:hint="eastAsia" w:ascii="黑体" w:hAnsi="黑体" w:eastAsia="黑体" w:cs="Times New Roman"/>
                  <w:sz w:val="21"/>
                  <w:szCs w:val="21"/>
                </w:rPr>
                <w:t>一</w:t>
              </w:r>
              <w:r>
                <w:rPr>
                  <w:rFonts w:hint="eastAsia" w:ascii="黑体" w:hAnsi="黑体" w:eastAsia="黑体" w:cstheme="majorBidi"/>
                  <w:sz w:val="21"/>
                  <w:szCs w:val="21"/>
                </w:rPr>
                <w:t>般公共预算财政拨款基本支出决算情况说明</w:t>
              </w:r>
            </w:sdtContent>
          </w:sdt>
          <w:r>
            <w:rPr>
              <w:sz w:val="21"/>
              <w:szCs w:val="21"/>
            </w:rPr>
            <w:tab/>
          </w:r>
          <w:bookmarkStart w:id="28" w:name="_Toc1682212405_WPSOffice_Level2Page"/>
          <w:r>
            <w:rPr>
              <w:sz w:val="21"/>
              <w:szCs w:val="21"/>
            </w:rPr>
            <w:t>14</w:t>
          </w:r>
          <w:bookmarkEnd w:id="28"/>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_Toc1508102942_WPSOffice_Level2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05fc5b07-8bb9-4e10-9676-174828cdce87}"/>
              </w:placeholder>
            </w:sdtPr>
            <w:sdtEndPr>
              <w:rPr>
                <w:rFonts w:ascii="Times New Roman" w:hAnsi="Times New Roman" w:eastAsia="宋体" w:cs="Times New Roman"/>
                <w:kern w:val="2"/>
                <w:sz w:val="21"/>
                <w:szCs w:val="21"/>
                <w:lang w:val="en-US" w:eastAsia="zh-CN" w:bidi="ar-SA"/>
              </w:rPr>
            </w:sdtEndPr>
            <w:sdtContent>
              <w:r>
                <w:rPr>
                  <w:rFonts w:hint="eastAsia" w:ascii="黑体" w:hAnsi="Times New Roman" w:eastAsia="黑体" w:cs="Times New Roman"/>
                  <w:sz w:val="21"/>
                  <w:szCs w:val="21"/>
                </w:rPr>
                <w:t>七、</w:t>
              </w:r>
              <w:r>
                <w:rPr>
                  <w:rFonts w:hint="eastAsia" w:ascii="黑体" w:hAnsi="黑体" w:eastAsia="黑体" w:cstheme="majorBidi"/>
                  <w:sz w:val="21"/>
                  <w:szCs w:val="21"/>
                </w:rPr>
                <w:t>“三公”经费财政拨款支出决算情况说明</w:t>
              </w:r>
            </w:sdtContent>
          </w:sdt>
          <w:r>
            <w:rPr>
              <w:sz w:val="21"/>
              <w:szCs w:val="21"/>
            </w:rPr>
            <w:tab/>
          </w:r>
          <w:bookmarkStart w:id="29" w:name="_Toc1508102942_WPSOffice_Level2Page"/>
          <w:r>
            <w:rPr>
              <w:sz w:val="21"/>
              <w:szCs w:val="21"/>
            </w:rPr>
            <w:t>14</w:t>
          </w:r>
          <w:bookmarkEnd w:id="29"/>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_Toc133859538_WPSOffice_Level3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e4df4823-350d-4895-87d7-944b587ea497}"/>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（一）“三公”经费财政拨款支出决算总体情况说明</w:t>
              </w:r>
            </w:sdtContent>
          </w:sdt>
          <w:r>
            <w:rPr>
              <w:sz w:val="21"/>
              <w:szCs w:val="21"/>
            </w:rPr>
            <w:tab/>
          </w:r>
          <w:bookmarkStart w:id="30" w:name="_Toc133859538_WPSOffice_Level3Page"/>
          <w:r>
            <w:rPr>
              <w:sz w:val="21"/>
              <w:szCs w:val="21"/>
            </w:rPr>
            <w:t>14</w:t>
          </w:r>
          <w:bookmarkEnd w:id="30"/>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_Toc1484094552_WPSOffice_Level3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c857f086-7280-45e8-8231-4f84f04b3afd}"/>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（二）“三公”经费财政拨款支出决算具体情况说明</w:t>
              </w:r>
            </w:sdtContent>
          </w:sdt>
          <w:r>
            <w:rPr>
              <w:sz w:val="21"/>
              <w:szCs w:val="21"/>
            </w:rPr>
            <w:tab/>
          </w:r>
          <w:bookmarkStart w:id="31" w:name="_Toc1484094552_WPSOffice_Level3Page"/>
          <w:r>
            <w:rPr>
              <w:sz w:val="21"/>
              <w:szCs w:val="21"/>
            </w:rPr>
            <w:t>14</w:t>
          </w:r>
          <w:bookmarkEnd w:id="31"/>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_Toc1236972769_WPSOffice_Level2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2629d2c4-286f-456b-9f0f-075b8717b511}"/>
              </w:placeholder>
            </w:sdtPr>
            <w:sdtEndPr>
              <w:rPr>
                <w:rFonts w:ascii="Times New Roman" w:hAnsi="Times New Roman" w:eastAsia="宋体" w:cs="Times New Roman"/>
                <w:kern w:val="2"/>
                <w:sz w:val="21"/>
                <w:szCs w:val="21"/>
                <w:lang w:val="en-US" w:eastAsia="zh-CN" w:bidi="ar-SA"/>
              </w:rPr>
            </w:sdtEndPr>
            <w:sdtContent>
              <w:r>
                <w:rPr>
                  <w:rFonts w:hint="eastAsia" w:ascii="黑体" w:hAnsi="Times New Roman" w:eastAsia="黑体" w:cs="Times New Roman"/>
                  <w:sz w:val="21"/>
                  <w:szCs w:val="21"/>
                </w:rPr>
                <w:t>八、</w:t>
              </w:r>
              <w:r>
                <w:rPr>
                  <w:rFonts w:hint="eastAsia" w:ascii="黑体" w:hAnsi="黑体" w:eastAsia="黑体" w:cstheme="majorBidi"/>
                  <w:sz w:val="21"/>
                  <w:szCs w:val="21"/>
                </w:rPr>
                <w:t>政府性基金预算支出决算情况说明</w:t>
              </w:r>
            </w:sdtContent>
          </w:sdt>
          <w:r>
            <w:rPr>
              <w:sz w:val="21"/>
              <w:szCs w:val="21"/>
            </w:rPr>
            <w:tab/>
          </w:r>
          <w:bookmarkStart w:id="32" w:name="_Toc1236972769_WPSOffice_Level2Page"/>
          <w:r>
            <w:rPr>
              <w:sz w:val="21"/>
              <w:szCs w:val="21"/>
            </w:rPr>
            <w:t>16</w:t>
          </w:r>
          <w:bookmarkEnd w:id="3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_Toc511251749_WPSOffice_Level2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18b144c1-6b2e-4ec8-ac76-03fa7eae8cad}"/>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heme="majorBidi"/>
                  <w:sz w:val="21"/>
                  <w:szCs w:val="21"/>
                </w:rPr>
                <w:t>九、 国有资本经营预算支出决算情况说明</w:t>
              </w:r>
            </w:sdtContent>
          </w:sdt>
          <w:r>
            <w:rPr>
              <w:sz w:val="21"/>
              <w:szCs w:val="21"/>
            </w:rPr>
            <w:tab/>
          </w:r>
          <w:bookmarkStart w:id="33" w:name="_Toc511251749_WPSOffice_Level2Page"/>
          <w:r>
            <w:rPr>
              <w:sz w:val="21"/>
              <w:szCs w:val="21"/>
            </w:rPr>
            <w:t>16</w:t>
          </w:r>
          <w:bookmarkEnd w:id="33"/>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_Toc784606973_WPSOffice_Level2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1c8b51fe-f460-4b87-a33e-f1492a0ee710}"/>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heme="majorBidi"/>
                  <w:sz w:val="21"/>
                  <w:szCs w:val="21"/>
                </w:rPr>
                <w:t>十、 其他重要事项的情况说明</w:t>
              </w:r>
            </w:sdtContent>
          </w:sdt>
          <w:r>
            <w:rPr>
              <w:sz w:val="21"/>
              <w:szCs w:val="21"/>
            </w:rPr>
            <w:tab/>
          </w:r>
          <w:bookmarkStart w:id="34" w:name="_Toc784606973_WPSOffice_Level2Page"/>
          <w:r>
            <w:rPr>
              <w:sz w:val="21"/>
              <w:szCs w:val="21"/>
            </w:rPr>
            <w:t>16</w:t>
          </w:r>
          <w:bookmarkEnd w:id="34"/>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_Toc1297602989_WPSOffice_Level3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a1dbc318-8bd7-454e-8852-021f9bae7f0c}"/>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（一）机关运行经费支出情况</w:t>
              </w:r>
            </w:sdtContent>
          </w:sdt>
          <w:r>
            <w:rPr>
              <w:sz w:val="21"/>
              <w:szCs w:val="21"/>
            </w:rPr>
            <w:tab/>
          </w:r>
          <w:bookmarkStart w:id="35" w:name="_Toc1297602989_WPSOffice_Level3Page"/>
          <w:r>
            <w:rPr>
              <w:sz w:val="21"/>
              <w:szCs w:val="21"/>
            </w:rPr>
            <w:t>16</w:t>
          </w:r>
          <w:bookmarkEnd w:id="35"/>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_Toc1682212405_WPSOffice_Level3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397960714"/>
              <w:placeholder>
                <w:docPart w:val="{1fdeb6bd-18f2-40c9-83ee-bd57dafb5dde}"/>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（二）政府采购支出情况</w:t>
              </w:r>
            </w:sdtContent>
          </w:sdt>
          <w:r>
            <w:rPr>
              <w:sz w:val="21"/>
              <w:szCs w:val="21"/>
            </w:rPr>
            <w:tab/>
          </w:r>
          <w:bookmarkStart w:id="36" w:name="_Toc1682212405_WPSOffice_Level3Page"/>
          <w:r>
            <w:rPr>
              <w:sz w:val="21"/>
              <w:szCs w:val="21"/>
            </w:rPr>
            <w:t>16</w:t>
          </w:r>
          <w:bookmarkEnd w:id="36"/>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_Toc1508102942_WPSOffice_Level3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47e3aabf-4df8-405e-937a-75e30bcc58f6}"/>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（三）国有资产占有使用情况</w:t>
              </w:r>
            </w:sdtContent>
          </w:sdt>
          <w:r>
            <w:rPr>
              <w:sz w:val="21"/>
              <w:szCs w:val="21"/>
            </w:rPr>
            <w:tab/>
          </w:r>
          <w:bookmarkStart w:id="37" w:name="_Toc1508102942_WPSOffice_Level3Page"/>
          <w:r>
            <w:rPr>
              <w:sz w:val="21"/>
              <w:szCs w:val="21"/>
            </w:rPr>
            <w:t>16</w:t>
          </w:r>
          <w:bookmarkEnd w:id="37"/>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_Toc335512063_WPSOffice_Level3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4184cdc-459e-449a-8c3d-46acc2466406}"/>
              </w:placeholder>
            </w:sdtPr>
            <w:sdtEndPr>
              <w:rPr>
                <w:rFonts w:ascii="Times New Roman" w:hAnsi="Times New Roman" w:eastAsia="宋体" w:cs="Times New Roman"/>
                <w:kern w:val="2"/>
                <w:sz w:val="21"/>
                <w:szCs w:val="21"/>
                <w:lang w:val="en-US" w:eastAsia="zh-CN" w:bidi="ar-SA"/>
              </w:rPr>
            </w:sdtEndPr>
            <w:sdtContent>
              <w:r>
                <w:rPr>
                  <w:rFonts w:hint="eastAsia" w:ascii="仿宋" w:hAnsi="仿宋" w:eastAsia="仿宋" w:cs="Times New Roman"/>
                  <w:sz w:val="21"/>
                  <w:szCs w:val="21"/>
                </w:rPr>
                <w:t>（四）预算绩效管理情况</w:t>
              </w:r>
            </w:sdtContent>
          </w:sdt>
          <w:r>
            <w:rPr>
              <w:sz w:val="21"/>
              <w:szCs w:val="21"/>
            </w:rPr>
            <w:tab/>
          </w:r>
          <w:bookmarkStart w:id="38" w:name="_Toc335512063_WPSOffice_Level3Page"/>
          <w:r>
            <w:rPr>
              <w:sz w:val="21"/>
              <w:szCs w:val="21"/>
            </w:rPr>
            <w:t>17</w:t>
          </w:r>
          <w:bookmarkEnd w:id="38"/>
          <w:r>
            <w:rPr>
              <w:sz w:val="21"/>
              <w:szCs w:val="21"/>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_Toc335512063_WPSOffice_Level1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2b2f4ea-98dd-4c6d-8661-4da9b20f1a8a}"/>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 xml:space="preserve">第三部分 </w:t>
              </w:r>
              <w:r>
                <w:rPr>
                  <w:rFonts w:hint="eastAsia" w:ascii="黑体" w:hAnsi="黑体" w:eastAsia="黑体" w:cs="Times New Roman"/>
                  <w:sz w:val="21"/>
                  <w:szCs w:val="21"/>
                </w:rPr>
                <w:t>名词解释</w:t>
              </w:r>
            </w:sdtContent>
          </w:sdt>
          <w:r>
            <w:rPr>
              <w:sz w:val="21"/>
              <w:szCs w:val="21"/>
            </w:rPr>
            <w:tab/>
          </w:r>
          <w:bookmarkStart w:id="39" w:name="_Toc335512063_WPSOffice_Level1Page"/>
          <w:r>
            <w:rPr>
              <w:sz w:val="21"/>
              <w:szCs w:val="21"/>
            </w:rPr>
            <w:t>18</w:t>
          </w:r>
          <w:bookmarkEnd w:id="39"/>
          <w:r>
            <w:rPr>
              <w:sz w:val="21"/>
              <w:szCs w:val="21"/>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_Toc1781517858_WPSOffice_Level1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c33ae0a6-300a-4109-b5db-760ff5a7a1f6}"/>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imes New Roman"/>
                  <w:sz w:val="21"/>
                  <w:szCs w:val="21"/>
                </w:rPr>
                <w:t>第四部分 附件</w:t>
              </w:r>
            </w:sdtContent>
          </w:sdt>
          <w:r>
            <w:rPr>
              <w:sz w:val="21"/>
              <w:szCs w:val="21"/>
            </w:rPr>
            <w:tab/>
          </w:r>
          <w:bookmarkStart w:id="40" w:name="_Toc1781517858_WPSOffice_Level1Page"/>
          <w:r>
            <w:rPr>
              <w:sz w:val="21"/>
              <w:szCs w:val="21"/>
            </w:rPr>
            <w:t>19</w:t>
          </w:r>
          <w:bookmarkEnd w:id="40"/>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_Toc335512063_WPSOffice_Level2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49b01e5-bf55-4849-b45e-87f5198196d2}"/>
              </w:placeholder>
            </w:sdtPr>
            <w:sdtEndPr>
              <w:rPr>
                <w:rFonts w:ascii="Times New Roman" w:hAnsi="Times New Roman" w:eastAsia="宋体" w:cs="Times New Roman"/>
                <w:kern w:val="2"/>
                <w:sz w:val="21"/>
                <w:szCs w:val="21"/>
                <w:lang w:val="en-US" w:eastAsia="zh-CN" w:bidi="ar-SA"/>
              </w:rPr>
            </w:sdtEndPr>
            <w:sdtContent>
              <w:r>
                <w:rPr>
                  <w:rFonts w:hint="eastAsia" w:ascii="方正大标宋_GBK" w:hAnsi="方正大标宋_GBK" w:eastAsia="方正大标宋_GBK" w:cs="方正大标宋_GBK"/>
                  <w:sz w:val="21"/>
                  <w:szCs w:val="21"/>
                </w:rPr>
                <w:t>2022年部门整体支出绩效自评报告</w:t>
              </w:r>
            </w:sdtContent>
          </w:sdt>
          <w:r>
            <w:rPr>
              <w:sz w:val="21"/>
              <w:szCs w:val="21"/>
            </w:rPr>
            <w:tab/>
          </w:r>
          <w:bookmarkStart w:id="41" w:name="_Toc335512063_WPSOffice_Level2Page"/>
          <w:r>
            <w:rPr>
              <w:sz w:val="21"/>
              <w:szCs w:val="21"/>
            </w:rPr>
            <w:t>19</w:t>
          </w:r>
          <w:bookmarkEnd w:id="41"/>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_Toc1781517858_WPSOffice_Level2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0197251a-3d77-4f6e-9aab-970200054c41}"/>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一、预算单位概况</w:t>
              </w:r>
            </w:sdtContent>
          </w:sdt>
          <w:r>
            <w:rPr>
              <w:sz w:val="21"/>
              <w:szCs w:val="21"/>
            </w:rPr>
            <w:tab/>
          </w:r>
          <w:bookmarkStart w:id="42" w:name="_Toc1781517858_WPSOffice_Level2Page"/>
          <w:r>
            <w:rPr>
              <w:sz w:val="21"/>
              <w:szCs w:val="21"/>
            </w:rPr>
            <w:t>20</w:t>
          </w:r>
          <w:bookmarkEnd w:id="42"/>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_Toc1781517858_WPSOffice_Level3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a486662e-7937-47f5-95a4-4af3004e1d6b}"/>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（一）机构组成</w:t>
              </w:r>
            </w:sdtContent>
          </w:sdt>
          <w:r>
            <w:rPr>
              <w:sz w:val="21"/>
              <w:szCs w:val="21"/>
            </w:rPr>
            <w:tab/>
          </w:r>
          <w:bookmarkStart w:id="43" w:name="_Toc1781517858_WPSOffice_Level3Page"/>
          <w:r>
            <w:rPr>
              <w:sz w:val="21"/>
              <w:szCs w:val="21"/>
            </w:rPr>
            <w:t>20</w:t>
          </w:r>
          <w:bookmarkEnd w:id="43"/>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_Toc44872297_WPSOffice_Level3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3fdbfafd-5181-4f61-b6d5-997259eac06c}"/>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（二）机构职能</w:t>
              </w:r>
            </w:sdtContent>
          </w:sdt>
          <w:r>
            <w:rPr>
              <w:sz w:val="21"/>
              <w:szCs w:val="21"/>
            </w:rPr>
            <w:tab/>
          </w:r>
          <w:bookmarkStart w:id="44" w:name="_Toc44872297_WPSOffice_Level3Page"/>
          <w:r>
            <w:rPr>
              <w:sz w:val="21"/>
              <w:szCs w:val="21"/>
            </w:rPr>
            <w:t>20</w:t>
          </w:r>
          <w:bookmarkEnd w:id="44"/>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_Toc1999334637_WPSOffice_Level3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2705e43d-5b97-496d-b4ca-e7547481a596}"/>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（三）人员概况</w:t>
              </w:r>
            </w:sdtContent>
          </w:sdt>
          <w:r>
            <w:rPr>
              <w:sz w:val="21"/>
              <w:szCs w:val="21"/>
            </w:rPr>
            <w:tab/>
          </w:r>
          <w:bookmarkStart w:id="45" w:name="_Toc1999334637_WPSOffice_Level3Page"/>
          <w:r>
            <w:rPr>
              <w:sz w:val="21"/>
              <w:szCs w:val="21"/>
            </w:rPr>
            <w:t>21</w:t>
          </w:r>
          <w:bookmarkEnd w:id="45"/>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_Toc44872297_WPSOffice_Level2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4d90067c-8702-470b-8dd4-a73c77f135fb}"/>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二、预算单位财政收支情况</w:t>
              </w:r>
            </w:sdtContent>
          </w:sdt>
          <w:r>
            <w:rPr>
              <w:sz w:val="21"/>
              <w:szCs w:val="21"/>
            </w:rPr>
            <w:tab/>
          </w:r>
          <w:bookmarkStart w:id="46" w:name="_Toc44872297_WPSOffice_Level2Page"/>
          <w:r>
            <w:rPr>
              <w:sz w:val="21"/>
              <w:szCs w:val="21"/>
            </w:rPr>
            <w:t>21</w:t>
          </w:r>
          <w:bookmarkEnd w:id="46"/>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_Toc1688083574_WPSOffice_Level3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c1c3798-35e5-41b7-b76d-d62e295361e5}"/>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（一）单位财政资金收入情况</w:t>
              </w:r>
            </w:sdtContent>
          </w:sdt>
          <w:r>
            <w:rPr>
              <w:sz w:val="21"/>
              <w:szCs w:val="21"/>
            </w:rPr>
            <w:tab/>
          </w:r>
          <w:bookmarkStart w:id="47" w:name="_Toc1688083574_WPSOffice_Level3Page"/>
          <w:r>
            <w:rPr>
              <w:sz w:val="21"/>
              <w:szCs w:val="21"/>
            </w:rPr>
            <w:t>21</w:t>
          </w:r>
          <w:bookmarkEnd w:id="47"/>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_Toc121191197_WPSOffice_Level3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16ce733c-8517-4cd0-ad62-639b18f4440a}"/>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（二）单位财政支出情况</w:t>
              </w:r>
            </w:sdtContent>
          </w:sdt>
          <w:r>
            <w:rPr>
              <w:sz w:val="21"/>
              <w:szCs w:val="21"/>
            </w:rPr>
            <w:tab/>
          </w:r>
          <w:bookmarkStart w:id="48" w:name="_Toc121191197_WPSOffice_Level3Page"/>
          <w:r>
            <w:rPr>
              <w:sz w:val="21"/>
              <w:szCs w:val="21"/>
            </w:rPr>
            <w:t>22</w:t>
          </w:r>
          <w:bookmarkEnd w:id="48"/>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_Toc1999334637_WPSOffice_Level2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56e5cbdf-436d-4057-b234-fe88dd0004a0}"/>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三、部门整体预算绩效管理情况</w:t>
              </w:r>
            </w:sdtContent>
          </w:sdt>
          <w:r>
            <w:rPr>
              <w:sz w:val="21"/>
              <w:szCs w:val="21"/>
            </w:rPr>
            <w:tab/>
          </w:r>
          <w:bookmarkStart w:id="49" w:name="_Toc1999334637_WPSOffice_Level2Page"/>
          <w:r>
            <w:rPr>
              <w:sz w:val="21"/>
              <w:szCs w:val="21"/>
            </w:rPr>
            <w:t>22</w:t>
          </w:r>
          <w:bookmarkEnd w:id="49"/>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_Toc870733783_WPSOffice_Level3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eab52e4-12c8-4c4f-b7ff-f118dcc2061b}"/>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（一）部门预算项目绩效管理</w:t>
              </w:r>
            </w:sdtContent>
          </w:sdt>
          <w:r>
            <w:rPr>
              <w:sz w:val="21"/>
              <w:szCs w:val="21"/>
            </w:rPr>
            <w:tab/>
          </w:r>
          <w:bookmarkStart w:id="50" w:name="_Toc870733783_WPSOffice_Level3Page"/>
          <w:r>
            <w:rPr>
              <w:sz w:val="21"/>
              <w:szCs w:val="21"/>
            </w:rPr>
            <w:t>22</w:t>
          </w:r>
          <w:bookmarkEnd w:id="50"/>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_Toc198600219_WPSOffice_Level3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5fb82885-d604-4438-837a-f0e94a79dd9a}"/>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（二）结果应用公开情况</w:t>
              </w:r>
            </w:sdtContent>
          </w:sdt>
          <w:r>
            <w:rPr>
              <w:sz w:val="21"/>
              <w:szCs w:val="21"/>
            </w:rPr>
            <w:tab/>
          </w:r>
          <w:bookmarkStart w:id="51" w:name="_Toc198600219_WPSOffice_Level3Page"/>
          <w:r>
            <w:rPr>
              <w:sz w:val="21"/>
              <w:szCs w:val="21"/>
            </w:rPr>
            <w:t>23</w:t>
          </w:r>
          <w:bookmarkEnd w:id="51"/>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_Toc626756728_WPSOffice_Level3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a479220-d0d8-476e-a995-7c470fbc4273}"/>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（三）自评质量</w:t>
              </w:r>
            </w:sdtContent>
          </w:sdt>
          <w:r>
            <w:rPr>
              <w:sz w:val="21"/>
              <w:szCs w:val="21"/>
            </w:rPr>
            <w:tab/>
          </w:r>
          <w:bookmarkStart w:id="52" w:name="_Toc626756728_WPSOffice_Level3Page"/>
          <w:r>
            <w:rPr>
              <w:sz w:val="21"/>
              <w:szCs w:val="21"/>
            </w:rPr>
            <w:t>24</w:t>
          </w:r>
          <w:bookmarkEnd w:id="5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_Toc1688083574_WPSOffice_Level2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9501ffc5-efaa-4a53-886e-2c3d2cf940d2}"/>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四、评价结论及建议</w:t>
              </w:r>
            </w:sdtContent>
          </w:sdt>
          <w:r>
            <w:rPr>
              <w:sz w:val="21"/>
              <w:szCs w:val="21"/>
            </w:rPr>
            <w:tab/>
          </w:r>
          <w:bookmarkStart w:id="53" w:name="_Toc1688083574_WPSOffice_Level2Page"/>
          <w:r>
            <w:rPr>
              <w:sz w:val="21"/>
              <w:szCs w:val="21"/>
            </w:rPr>
            <w:t>24</w:t>
          </w:r>
          <w:bookmarkEnd w:id="53"/>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_Toc1273308851_WPSOffice_Level3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3176d902-2460-4c67-895c-24ffb94aae5c}"/>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（一）自评结论</w:t>
              </w:r>
            </w:sdtContent>
          </w:sdt>
          <w:r>
            <w:rPr>
              <w:sz w:val="21"/>
              <w:szCs w:val="21"/>
            </w:rPr>
            <w:tab/>
          </w:r>
          <w:bookmarkStart w:id="54" w:name="_Toc1273308851_WPSOffice_Level3Page"/>
          <w:r>
            <w:rPr>
              <w:sz w:val="21"/>
              <w:szCs w:val="21"/>
            </w:rPr>
            <w:t>24</w:t>
          </w:r>
          <w:bookmarkEnd w:id="54"/>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_Toc868749582_WPSOffice_Level3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685796a-981b-4213-b047-0f5e7874994e}"/>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(二)存在问题</w:t>
              </w:r>
            </w:sdtContent>
          </w:sdt>
          <w:r>
            <w:rPr>
              <w:sz w:val="21"/>
              <w:szCs w:val="21"/>
            </w:rPr>
            <w:tab/>
          </w:r>
          <w:bookmarkStart w:id="55" w:name="_Toc868749582_WPSOffice_Level3Page"/>
          <w:r>
            <w:rPr>
              <w:sz w:val="21"/>
              <w:szCs w:val="21"/>
            </w:rPr>
            <w:t>24</w:t>
          </w:r>
          <w:bookmarkEnd w:id="55"/>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_Toc584692992_WPSOffice_Level3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d8606c9-b26a-4701-82e4-5f08b04f0155}"/>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（三）改进建议</w:t>
              </w:r>
            </w:sdtContent>
          </w:sdt>
          <w:r>
            <w:rPr>
              <w:sz w:val="21"/>
              <w:szCs w:val="21"/>
            </w:rPr>
            <w:tab/>
          </w:r>
          <w:bookmarkStart w:id="56" w:name="_Toc584692992_WPSOffice_Level3Page"/>
          <w:r>
            <w:rPr>
              <w:sz w:val="21"/>
              <w:szCs w:val="21"/>
            </w:rPr>
            <w:t>24</w:t>
          </w:r>
          <w:bookmarkEnd w:id="56"/>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_Toc121191197_WPSOffice_Level2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a62c5a28-0053-40ee-a430-9224d2b926e0}"/>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方正小标宋简体" w:cs="Times New Roman"/>
                  <w:sz w:val="21"/>
                  <w:szCs w:val="21"/>
                </w:rPr>
                <w:t>2022年依法治区和法治政府建设</w:t>
              </w:r>
              <w:r>
                <w:rPr>
                  <w:rFonts w:hint="default" w:ascii="Times New Roman" w:hAnsi="Times New Roman" w:eastAsia="方正小标宋简体" w:cs="Times New Roman"/>
                  <w:sz w:val="21"/>
                  <w:szCs w:val="21"/>
                </w:rPr>
                <w:t>项目支出绩效自评报告</w:t>
              </w:r>
            </w:sdtContent>
          </w:sdt>
          <w:r>
            <w:rPr>
              <w:sz w:val="21"/>
              <w:szCs w:val="21"/>
            </w:rPr>
            <w:tab/>
          </w:r>
          <w:bookmarkStart w:id="57" w:name="_Toc121191197_WPSOffice_Level2Page"/>
          <w:r>
            <w:rPr>
              <w:sz w:val="21"/>
              <w:szCs w:val="21"/>
            </w:rPr>
            <w:t>26</w:t>
          </w:r>
          <w:bookmarkEnd w:id="57"/>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_Toc870733783_WPSOffice_Level2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00c6214d-240f-47f0-b37c-c0d59be9a017}"/>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一、项目基本情况</w:t>
              </w:r>
            </w:sdtContent>
          </w:sdt>
          <w:r>
            <w:rPr>
              <w:sz w:val="21"/>
              <w:szCs w:val="21"/>
            </w:rPr>
            <w:tab/>
          </w:r>
          <w:bookmarkStart w:id="58" w:name="_Toc870733783_WPSOffice_Level2Page"/>
          <w:r>
            <w:rPr>
              <w:sz w:val="21"/>
              <w:szCs w:val="21"/>
            </w:rPr>
            <w:t>27</w:t>
          </w:r>
          <w:bookmarkEnd w:id="58"/>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_Toc198600219_WPSOffice_Level2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4c1b116a-be5c-4dee-b536-89f1d8a8e9bb}"/>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黑体" w:cs="Times New Roman"/>
                  <w:sz w:val="21"/>
                  <w:szCs w:val="21"/>
                </w:rPr>
                <w:t>二、项目实施及管理情况</w:t>
              </w:r>
            </w:sdtContent>
          </w:sdt>
          <w:r>
            <w:rPr>
              <w:sz w:val="21"/>
              <w:szCs w:val="21"/>
            </w:rPr>
            <w:tab/>
          </w:r>
          <w:bookmarkStart w:id="59" w:name="_Toc198600219_WPSOffice_Level2Page"/>
          <w:r>
            <w:rPr>
              <w:sz w:val="21"/>
              <w:szCs w:val="21"/>
            </w:rPr>
            <w:t>28</w:t>
          </w:r>
          <w:bookmarkEnd w:id="59"/>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_Toc1029381890_WPSOffice_Level3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9d66849-08ab-4910-add0-98c13831343d}"/>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楷体_GB2312" w:cs="Times New Roman"/>
                  <w:sz w:val="21"/>
                  <w:szCs w:val="21"/>
                </w:rPr>
                <w:t>（一）资金计划、到位及使用情况</w:t>
              </w:r>
            </w:sdtContent>
          </w:sdt>
          <w:r>
            <w:rPr>
              <w:sz w:val="21"/>
              <w:szCs w:val="21"/>
            </w:rPr>
            <w:tab/>
          </w:r>
          <w:bookmarkStart w:id="60" w:name="_Toc1029381890_WPSOffice_Level3Page"/>
          <w:r>
            <w:rPr>
              <w:sz w:val="21"/>
              <w:szCs w:val="21"/>
            </w:rPr>
            <w:t>28</w:t>
          </w:r>
          <w:bookmarkEnd w:id="60"/>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_Toc170226287_WPSOffice_Level3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456a051-8368-4726-a517-ba1c0d02b290}"/>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楷体_GB2312" w:cs="Times New Roman"/>
                  <w:sz w:val="21"/>
                  <w:szCs w:val="21"/>
                </w:rPr>
                <w:t>（二）项目财务管理情况</w:t>
              </w:r>
            </w:sdtContent>
          </w:sdt>
          <w:r>
            <w:rPr>
              <w:sz w:val="21"/>
              <w:szCs w:val="21"/>
            </w:rPr>
            <w:tab/>
          </w:r>
          <w:bookmarkStart w:id="61" w:name="_Toc170226287_WPSOffice_Level3Page"/>
          <w:r>
            <w:rPr>
              <w:sz w:val="21"/>
              <w:szCs w:val="21"/>
            </w:rPr>
            <w:t>28</w:t>
          </w:r>
          <w:bookmarkEnd w:id="61"/>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_Toc1937617708_WPSOffice_Level3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869ba2d5-a543-465a-9444-0785fdd422c6}"/>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楷体_GB2312" w:cs="Times New Roman"/>
                  <w:sz w:val="21"/>
                  <w:szCs w:val="21"/>
                </w:rPr>
                <w:t>（三）项目组织实施</w:t>
              </w:r>
              <w:r>
                <w:rPr>
                  <w:rFonts w:hint="eastAsia" w:ascii="Times New Roman" w:hAnsi="Times New Roman" w:eastAsia="楷体_GB2312" w:cs="Times New Roman"/>
                  <w:sz w:val="21"/>
                  <w:szCs w:val="21"/>
                </w:rPr>
                <w:t>及管理</w:t>
              </w:r>
              <w:r>
                <w:rPr>
                  <w:rFonts w:hint="default" w:ascii="Times New Roman" w:hAnsi="Times New Roman" w:eastAsia="楷体_GB2312" w:cs="Times New Roman"/>
                  <w:sz w:val="21"/>
                  <w:szCs w:val="21"/>
                </w:rPr>
                <w:t>情况</w:t>
              </w:r>
            </w:sdtContent>
          </w:sdt>
          <w:r>
            <w:rPr>
              <w:sz w:val="21"/>
              <w:szCs w:val="21"/>
            </w:rPr>
            <w:tab/>
          </w:r>
          <w:bookmarkStart w:id="62" w:name="_Toc1937617708_WPSOffice_Level3Page"/>
          <w:r>
            <w:rPr>
              <w:sz w:val="21"/>
              <w:szCs w:val="21"/>
            </w:rPr>
            <w:t>28</w:t>
          </w:r>
          <w:bookmarkEnd w:id="6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_Toc626756728_WPSOffice_Level2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0b5a0e4c-82fd-474a-b98c-2be40dbeb43b}"/>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黑体" w:cs="Times New Roman"/>
                  <w:sz w:val="21"/>
                  <w:szCs w:val="21"/>
                </w:rPr>
                <w:t>三、项目绩效情况</w:t>
              </w:r>
            </w:sdtContent>
          </w:sdt>
          <w:r>
            <w:rPr>
              <w:sz w:val="21"/>
              <w:szCs w:val="21"/>
            </w:rPr>
            <w:tab/>
          </w:r>
          <w:bookmarkStart w:id="63" w:name="_Toc626756728_WPSOffice_Level2Page"/>
          <w:r>
            <w:rPr>
              <w:sz w:val="21"/>
              <w:szCs w:val="21"/>
            </w:rPr>
            <w:t>29</w:t>
          </w:r>
          <w:bookmarkEnd w:id="63"/>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_Toc627059582_WPSOffice_Level3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957d805d-fa82-47e3-9dac-c0889903deb1}"/>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楷体_GB2312" w:cs="Times New Roman"/>
                  <w:sz w:val="21"/>
                  <w:szCs w:val="21"/>
                </w:rPr>
                <w:t>（一）项目完成情况</w:t>
              </w:r>
            </w:sdtContent>
          </w:sdt>
          <w:r>
            <w:rPr>
              <w:sz w:val="21"/>
              <w:szCs w:val="21"/>
            </w:rPr>
            <w:tab/>
          </w:r>
          <w:bookmarkStart w:id="64" w:name="_Toc627059582_WPSOffice_Level3Page"/>
          <w:r>
            <w:rPr>
              <w:sz w:val="21"/>
              <w:szCs w:val="21"/>
            </w:rPr>
            <w:t>29</w:t>
          </w:r>
          <w:bookmarkEnd w:id="64"/>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_Toc871449278_WPSOffice_Level3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527e1c5f-30e6-4c8a-9164-1543be5b1675}"/>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楷体_GB2312" w:cs="Times New Roman"/>
                  <w:sz w:val="21"/>
                  <w:szCs w:val="21"/>
                </w:rPr>
                <w:t>（二）</w:t>
              </w:r>
              <w:r>
                <w:rPr>
                  <w:rFonts w:hint="default" w:ascii="Times New Roman" w:hAnsi="Times New Roman" w:eastAsia="楷体_GB2312" w:cs="Times New Roman"/>
                  <w:sz w:val="21"/>
                  <w:szCs w:val="21"/>
                </w:rPr>
                <w:t>项目效益情况</w:t>
              </w:r>
            </w:sdtContent>
          </w:sdt>
          <w:r>
            <w:rPr>
              <w:sz w:val="21"/>
              <w:szCs w:val="21"/>
            </w:rPr>
            <w:tab/>
          </w:r>
          <w:bookmarkStart w:id="65" w:name="_Toc871449278_WPSOffice_Level3Page"/>
          <w:r>
            <w:rPr>
              <w:sz w:val="21"/>
              <w:szCs w:val="21"/>
            </w:rPr>
            <w:t>29</w:t>
          </w:r>
          <w:bookmarkEnd w:id="65"/>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_Toc1273308851_WPSOffice_Level2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36cd486-f019-44e1-8b03-b3bcd0208463}"/>
              </w:placeholder>
            </w:sdtPr>
            <w:sdtEndPr>
              <w:rPr>
                <w:rFonts w:ascii="Times New Roman" w:hAnsi="Times New Roman" w:eastAsia="宋体" w:cs="Times New Roman"/>
                <w:kern w:val="2"/>
                <w:sz w:val="21"/>
                <w:szCs w:val="21"/>
                <w:lang w:val="en-US" w:eastAsia="zh-CN" w:bidi="ar-SA"/>
              </w:rPr>
            </w:sdtEndPr>
            <w:sdtContent>
              <w:r>
                <w:rPr>
                  <w:rFonts w:hint="default" w:ascii="Times New Roman" w:hAnsi="Times New Roman" w:eastAsia="黑体" w:cs="Times New Roman"/>
                  <w:sz w:val="21"/>
                  <w:szCs w:val="21"/>
                </w:rPr>
                <w:t>四、</w:t>
              </w:r>
              <w:r>
                <w:rPr>
                  <w:rFonts w:hint="eastAsia" w:ascii="Times New Roman" w:hAnsi="Times New Roman" w:eastAsia="黑体" w:cs="Times New Roman"/>
                  <w:sz w:val="21"/>
                  <w:szCs w:val="21"/>
                </w:rPr>
                <w:t>自评结论及</w:t>
              </w:r>
              <w:r>
                <w:rPr>
                  <w:rFonts w:hint="default" w:ascii="Times New Roman" w:hAnsi="Times New Roman" w:eastAsia="黑体" w:cs="Times New Roman"/>
                  <w:sz w:val="21"/>
                  <w:szCs w:val="21"/>
                </w:rPr>
                <w:t>建议</w:t>
              </w:r>
            </w:sdtContent>
          </w:sdt>
          <w:r>
            <w:rPr>
              <w:sz w:val="21"/>
              <w:szCs w:val="21"/>
            </w:rPr>
            <w:tab/>
          </w:r>
          <w:bookmarkStart w:id="66" w:name="_Toc1273308851_WPSOffice_Level2Page"/>
          <w:r>
            <w:rPr>
              <w:sz w:val="21"/>
              <w:szCs w:val="21"/>
            </w:rPr>
            <w:t>29</w:t>
          </w:r>
          <w:bookmarkEnd w:id="66"/>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_Toc868749582_WPSOffice_Level2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08346b3-9c2c-4f5b-ab03-fbdea07d2dc3}"/>
              </w:placeholder>
            </w:sdtPr>
            <w:sdtEndPr>
              <w:rPr>
                <w:rFonts w:ascii="Times New Roman" w:hAnsi="Times New Roman" w:eastAsia="宋体" w:cs="Times New Roman"/>
                <w:kern w:val="2"/>
                <w:sz w:val="21"/>
                <w:szCs w:val="21"/>
                <w:lang w:val="en-US" w:eastAsia="zh-CN" w:bidi="ar-SA"/>
              </w:rPr>
            </w:sdtEndPr>
            <w:sdtContent>
              <w:r>
                <w:rPr>
                  <w:rFonts w:hint="eastAsia" w:ascii="方正大标宋_GBK" w:hAnsi="方正大标宋_GBK" w:eastAsia="方正大标宋_GBK" w:cs="方正大标宋_GBK"/>
                  <w:sz w:val="21"/>
                  <w:szCs w:val="21"/>
                </w:rPr>
                <w:t>2022年法律援助等6个项目支出绩效自评报告</w:t>
              </w:r>
            </w:sdtContent>
          </w:sdt>
          <w:r>
            <w:rPr>
              <w:sz w:val="21"/>
              <w:szCs w:val="21"/>
            </w:rPr>
            <w:tab/>
          </w:r>
          <w:bookmarkStart w:id="67" w:name="_Toc868749582_WPSOffice_Level2Page"/>
          <w:r>
            <w:rPr>
              <w:sz w:val="21"/>
              <w:szCs w:val="21"/>
            </w:rPr>
            <w:t>31</w:t>
          </w:r>
          <w:bookmarkEnd w:id="67"/>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_Toc584692992_WPSOffice_Level2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b2e2134e-4a21-4892-80ee-773f28dffd8e}"/>
              </w:placeholder>
            </w:sdtPr>
            <w:sdtEndPr>
              <w:rPr>
                <w:rFonts w:ascii="Times New Roman" w:hAnsi="Times New Roman" w:eastAsia="宋体" w:cs="Times New Roman"/>
                <w:kern w:val="2"/>
                <w:sz w:val="21"/>
                <w:szCs w:val="21"/>
                <w:lang w:val="en-US" w:eastAsia="zh-CN" w:bidi="ar-SA"/>
              </w:rPr>
            </w:sdtEndPr>
            <w:sdtContent>
              <w:r>
                <w:rPr>
                  <w:rFonts w:hint="eastAsia" w:ascii="黑体" w:hAnsi="Times New Roman" w:eastAsia="黑体" w:cs="Times New Roman"/>
                  <w:sz w:val="21"/>
                  <w:szCs w:val="21"/>
                </w:rPr>
                <w:t>一、项目概况</w:t>
              </w:r>
            </w:sdtContent>
          </w:sdt>
          <w:r>
            <w:rPr>
              <w:sz w:val="21"/>
              <w:szCs w:val="21"/>
            </w:rPr>
            <w:tab/>
          </w:r>
          <w:bookmarkStart w:id="68" w:name="_Toc584692992_WPSOffice_Level2Page"/>
          <w:r>
            <w:rPr>
              <w:sz w:val="21"/>
              <w:szCs w:val="21"/>
            </w:rPr>
            <w:t>31</w:t>
          </w:r>
          <w:bookmarkEnd w:id="68"/>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_Toc709697061_WPSOffice_Level3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08757ba6-9234-449e-8344-f2670ecd1185}"/>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（一）项目资金申报及批复情况。</w:t>
              </w:r>
            </w:sdtContent>
          </w:sdt>
          <w:r>
            <w:rPr>
              <w:sz w:val="21"/>
              <w:szCs w:val="21"/>
            </w:rPr>
            <w:tab/>
          </w:r>
          <w:bookmarkStart w:id="69" w:name="_Toc709697061_WPSOffice_Level3Page"/>
          <w:r>
            <w:rPr>
              <w:sz w:val="21"/>
              <w:szCs w:val="21"/>
            </w:rPr>
            <w:t>32</w:t>
          </w:r>
          <w:bookmarkEnd w:id="69"/>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_Toc1568247940_WPSOffice_Level3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92e6dfb-6d3c-4e16-a86c-e01b32dce2e4}"/>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（二）项目绩效目标</w:t>
              </w:r>
            </w:sdtContent>
          </w:sdt>
          <w:r>
            <w:rPr>
              <w:sz w:val="21"/>
              <w:szCs w:val="21"/>
            </w:rPr>
            <w:tab/>
          </w:r>
          <w:bookmarkStart w:id="70" w:name="_Toc1568247940_WPSOffice_Level3Page"/>
          <w:r>
            <w:rPr>
              <w:sz w:val="21"/>
              <w:szCs w:val="21"/>
            </w:rPr>
            <w:t>32</w:t>
          </w:r>
          <w:bookmarkEnd w:id="70"/>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_Toc11914803_WPSOffice_Level3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dea06273-e976-4cf4-953f-fd0df3ab784d}"/>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（三）项目资金申报相符性</w:t>
              </w:r>
            </w:sdtContent>
          </w:sdt>
          <w:r>
            <w:rPr>
              <w:sz w:val="21"/>
              <w:szCs w:val="21"/>
            </w:rPr>
            <w:tab/>
          </w:r>
          <w:bookmarkStart w:id="71" w:name="_Toc11914803_WPSOffice_Level3Page"/>
          <w:r>
            <w:rPr>
              <w:sz w:val="21"/>
              <w:szCs w:val="21"/>
            </w:rPr>
            <w:t>33</w:t>
          </w:r>
          <w:bookmarkEnd w:id="71"/>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_Toc1403316258_WPSOffice_Level3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8ed84e69-1b95-4161-8a8b-d77becc40ef1}"/>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（四）自评步骤及方法</w:t>
              </w:r>
            </w:sdtContent>
          </w:sdt>
          <w:r>
            <w:rPr>
              <w:sz w:val="21"/>
              <w:szCs w:val="21"/>
            </w:rPr>
            <w:tab/>
          </w:r>
          <w:bookmarkStart w:id="72" w:name="_Toc1403316258_WPSOffice_Level3Page"/>
          <w:r>
            <w:rPr>
              <w:sz w:val="21"/>
              <w:szCs w:val="21"/>
            </w:rPr>
            <w:t>33</w:t>
          </w:r>
          <w:bookmarkEnd w:id="7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_Toc1029381890_WPSOffice_Level2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c0ca0c3a-e3ed-4863-96a4-53fb3550a17a}"/>
              </w:placeholder>
            </w:sdtPr>
            <w:sdtEndPr>
              <w:rPr>
                <w:rFonts w:ascii="Times New Roman" w:hAnsi="Times New Roman" w:eastAsia="宋体" w:cs="Times New Roman"/>
                <w:kern w:val="2"/>
                <w:sz w:val="21"/>
                <w:szCs w:val="21"/>
                <w:lang w:val="en-US" w:eastAsia="zh-CN" w:bidi="ar-SA"/>
              </w:rPr>
            </w:sdtEndPr>
            <w:sdtContent>
              <w:r>
                <w:rPr>
                  <w:rFonts w:hint="eastAsia" w:ascii="黑体" w:hAnsi="Times New Roman" w:eastAsia="黑体" w:cs="Times New Roman"/>
                  <w:sz w:val="21"/>
                  <w:szCs w:val="21"/>
                </w:rPr>
                <w:t>二、项目实施及管理情况</w:t>
              </w:r>
            </w:sdtContent>
          </w:sdt>
          <w:r>
            <w:rPr>
              <w:sz w:val="21"/>
              <w:szCs w:val="21"/>
            </w:rPr>
            <w:tab/>
          </w:r>
          <w:bookmarkStart w:id="73" w:name="_Toc1029381890_WPSOffice_Level2Page"/>
          <w:r>
            <w:rPr>
              <w:sz w:val="21"/>
              <w:szCs w:val="21"/>
            </w:rPr>
            <w:t>33</w:t>
          </w:r>
          <w:bookmarkEnd w:id="73"/>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_Toc1606222541_WPSOffice_Level3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2ca1ff1a-f812-4d0b-9c48-1026b5a72dc9}"/>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（一）资金计划、到位及使用情况</w:t>
              </w:r>
            </w:sdtContent>
          </w:sdt>
          <w:r>
            <w:rPr>
              <w:sz w:val="21"/>
              <w:szCs w:val="21"/>
            </w:rPr>
            <w:tab/>
          </w:r>
          <w:bookmarkStart w:id="74" w:name="_Toc1606222541_WPSOffice_Level3Page"/>
          <w:r>
            <w:rPr>
              <w:sz w:val="21"/>
              <w:szCs w:val="21"/>
            </w:rPr>
            <w:t>33</w:t>
          </w:r>
          <w:bookmarkEnd w:id="74"/>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_Toc63176598_WPSOffice_Level3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9a531c3e-fb5b-4082-bf5d-f81a914ad3fa}"/>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（二）项目财务管理情况</w:t>
              </w:r>
            </w:sdtContent>
          </w:sdt>
          <w:r>
            <w:rPr>
              <w:sz w:val="21"/>
              <w:szCs w:val="21"/>
            </w:rPr>
            <w:tab/>
          </w:r>
          <w:bookmarkStart w:id="75" w:name="_Toc63176598_WPSOffice_Level3Page"/>
          <w:r>
            <w:rPr>
              <w:sz w:val="21"/>
              <w:szCs w:val="21"/>
            </w:rPr>
            <w:t>34</w:t>
          </w:r>
          <w:bookmarkEnd w:id="75"/>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_Toc1974897200_WPSOffice_Level3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a186f3f6-4b79-4df5-a577-d47dd021f9cf}"/>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（三）项目组织实施情况</w:t>
              </w:r>
            </w:sdtContent>
          </w:sdt>
          <w:r>
            <w:rPr>
              <w:sz w:val="21"/>
              <w:szCs w:val="21"/>
            </w:rPr>
            <w:tab/>
          </w:r>
          <w:bookmarkStart w:id="76" w:name="_Toc1974897200_WPSOffice_Level3Page"/>
          <w:r>
            <w:rPr>
              <w:sz w:val="21"/>
              <w:szCs w:val="21"/>
            </w:rPr>
            <w:t>34</w:t>
          </w:r>
          <w:bookmarkEnd w:id="76"/>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_Toc170226287_WPSOffice_Level2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8ed42e1-a81b-41f5-8ca0-dbb5316357d8}"/>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三、项目绩效情况</w:t>
              </w:r>
            </w:sdtContent>
          </w:sdt>
          <w:r>
            <w:rPr>
              <w:sz w:val="21"/>
              <w:szCs w:val="21"/>
            </w:rPr>
            <w:tab/>
          </w:r>
          <w:bookmarkStart w:id="77" w:name="_Toc170226287_WPSOffice_Level2Page"/>
          <w:r>
            <w:rPr>
              <w:sz w:val="21"/>
              <w:szCs w:val="21"/>
            </w:rPr>
            <w:t>34</w:t>
          </w:r>
          <w:bookmarkEnd w:id="77"/>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_Toc1894023582_WPSOffice_Level3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c8fa58d-5b79-4294-8f60-ac0939c7a4d3}"/>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（一）项目完成情况</w:t>
              </w:r>
            </w:sdtContent>
          </w:sdt>
          <w:r>
            <w:rPr>
              <w:sz w:val="21"/>
              <w:szCs w:val="21"/>
            </w:rPr>
            <w:tab/>
          </w:r>
          <w:bookmarkStart w:id="78" w:name="_Toc1894023582_WPSOffice_Level3Page"/>
          <w:r>
            <w:rPr>
              <w:sz w:val="21"/>
              <w:szCs w:val="21"/>
            </w:rPr>
            <w:t>34</w:t>
          </w:r>
          <w:bookmarkEnd w:id="78"/>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_Toc1271406537_WPSOffice_Level3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8af5c8f3-4b5e-4f5a-a1af-a3610e8b0d71}"/>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（二）项目效益情况</w:t>
              </w:r>
            </w:sdtContent>
          </w:sdt>
          <w:r>
            <w:rPr>
              <w:sz w:val="21"/>
              <w:szCs w:val="21"/>
            </w:rPr>
            <w:tab/>
          </w:r>
          <w:bookmarkStart w:id="79" w:name="_Toc1271406537_WPSOffice_Level3Page"/>
          <w:r>
            <w:rPr>
              <w:sz w:val="21"/>
              <w:szCs w:val="21"/>
            </w:rPr>
            <w:t>36</w:t>
          </w:r>
          <w:bookmarkEnd w:id="79"/>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_Toc1937617708_WPSOffice_Level2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fdf4d81c-f987-4783-8da6-f97a4dfc8d4a}"/>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黑体"/>
                  <w:sz w:val="21"/>
                  <w:szCs w:val="21"/>
                </w:rPr>
                <w:t>四、评价结论及问题建议</w:t>
              </w:r>
            </w:sdtContent>
          </w:sdt>
          <w:r>
            <w:rPr>
              <w:sz w:val="21"/>
              <w:szCs w:val="21"/>
            </w:rPr>
            <w:tab/>
          </w:r>
          <w:bookmarkStart w:id="80" w:name="_Toc1937617708_WPSOffice_Level2Page"/>
          <w:r>
            <w:rPr>
              <w:sz w:val="21"/>
              <w:szCs w:val="21"/>
            </w:rPr>
            <w:t>36</w:t>
          </w:r>
          <w:bookmarkEnd w:id="80"/>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_Toc279858229_WPSOffice_Level3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1d90ceda-8f87-4d95-92fa-a85b9210de0f}"/>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（一）评价结论</w:t>
              </w:r>
            </w:sdtContent>
          </w:sdt>
          <w:r>
            <w:rPr>
              <w:sz w:val="21"/>
              <w:szCs w:val="21"/>
            </w:rPr>
            <w:tab/>
          </w:r>
          <w:bookmarkStart w:id="81" w:name="_Toc279858229_WPSOffice_Level3Page"/>
          <w:r>
            <w:rPr>
              <w:sz w:val="21"/>
              <w:szCs w:val="21"/>
            </w:rPr>
            <w:t>36</w:t>
          </w:r>
          <w:bookmarkEnd w:id="81"/>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_Toc1798595703_WPSOffice_Level3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e93c35ca-adcd-497d-929b-6a752b775436}"/>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（二）存在的问题</w:t>
              </w:r>
            </w:sdtContent>
          </w:sdt>
          <w:r>
            <w:rPr>
              <w:sz w:val="21"/>
              <w:szCs w:val="21"/>
            </w:rPr>
            <w:tab/>
          </w:r>
          <w:bookmarkStart w:id="82" w:name="_Toc1798595703_WPSOffice_Level3Page"/>
          <w:r>
            <w:rPr>
              <w:sz w:val="21"/>
              <w:szCs w:val="21"/>
            </w:rPr>
            <w:t>36</w:t>
          </w:r>
          <w:bookmarkEnd w:id="82"/>
          <w:r>
            <w:rPr>
              <w:sz w:val="21"/>
              <w:szCs w:val="21"/>
            </w:rPr>
            <w:fldChar w:fldCharType="end"/>
          </w:r>
        </w:p>
        <w:p>
          <w:pPr>
            <w:pStyle w:val="37"/>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_Toc1100079568_WPSOffice_Level3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7176d6a4-0672-44ce-8d92-b56647a9a7b4}"/>
              </w:placeholder>
            </w:sdtPr>
            <w:sdtEndPr>
              <w:rPr>
                <w:rFonts w:ascii="Times New Roman" w:hAnsi="Times New Roman" w:eastAsia="宋体" w:cs="Times New Roman"/>
                <w:kern w:val="2"/>
                <w:sz w:val="21"/>
                <w:szCs w:val="21"/>
                <w:lang w:val="en-US" w:eastAsia="zh-CN" w:bidi="ar-SA"/>
              </w:rPr>
            </w:sdtEndPr>
            <w:sdtContent>
              <w:r>
                <w:rPr>
                  <w:rFonts w:hint="eastAsia" w:ascii="楷体_GB2312" w:hAnsi="楷体_GB2312" w:eastAsia="楷体_GB2312" w:cs="楷体_GB2312"/>
                  <w:sz w:val="21"/>
                  <w:szCs w:val="21"/>
                </w:rPr>
                <w:t>（三）相关措施建议</w:t>
              </w:r>
            </w:sdtContent>
          </w:sdt>
          <w:r>
            <w:rPr>
              <w:sz w:val="21"/>
              <w:szCs w:val="21"/>
            </w:rPr>
            <w:tab/>
          </w:r>
          <w:bookmarkStart w:id="83" w:name="_Toc1100079568_WPSOffice_Level3Page"/>
          <w:r>
            <w:rPr>
              <w:sz w:val="21"/>
              <w:szCs w:val="21"/>
            </w:rPr>
            <w:t>36</w:t>
          </w:r>
          <w:bookmarkEnd w:id="83"/>
          <w:r>
            <w:rPr>
              <w:sz w:val="21"/>
              <w:szCs w:val="21"/>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_Toc44872297_WPSOffice_Level1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62e79fc1-b627-41b0-86e8-cf4454819bfe}"/>
              </w:placeholder>
            </w:sdtPr>
            <w:sdtEndPr>
              <w:rPr>
                <w:rFonts w:ascii="Times New Roman" w:hAnsi="Times New Roman" w:eastAsia="宋体" w:cs="Times New Roman"/>
                <w:kern w:val="2"/>
                <w:sz w:val="21"/>
                <w:szCs w:val="21"/>
                <w:lang w:val="en-US" w:eastAsia="zh-CN" w:bidi="ar-SA"/>
              </w:rPr>
            </w:sdtEndPr>
            <w:sdtContent>
              <w:r>
                <w:rPr>
                  <w:rFonts w:hint="eastAsia" w:ascii="黑体" w:hAnsi="黑体" w:eastAsia="黑体" w:cs="Times New Roman"/>
                  <w:sz w:val="21"/>
                  <w:szCs w:val="21"/>
                </w:rPr>
                <w:t>第五部分 附表</w:t>
              </w:r>
            </w:sdtContent>
          </w:sdt>
          <w:r>
            <w:rPr>
              <w:sz w:val="21"/>
              <w:szCs w:val="21"/>
            </w:rPr>
            <w:tab/>
          </w:r>
          <w:bookmarkStart w:id="84" w:name="_Toc44872297_WPSOffice_Level1Page"/>
          <w:r>
            <w:rPr>
              <w:sz w:val="21"/>
              <w:szCs w:val="21"/>
            </w:rPr>
            <w:t>43</w:t>
          </w:r>
          <w:bookmarkEnd w:id="84"/>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_Toc627059582_WPSOffice_Level2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153c7cb4-bf0e-4aba-81e6-a41640b29594}"/>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一、收入支出决算总表</w:t>
              </w:r>
            </w:sdtContent>
          </w:sdt>
          <w:r>
            <w:rPr>
              <w:sz w:val="21"/>
              <w:szCs w:val="21"/>
            </w:rPr>
            <w:tab/>
          </w:r>
          <w:bookmarkStart w:id="85" w:name="_Toc627059582_WPSOffice_Level2Page"/>
          <w:r>
            <w:rPr>
              <w:sz w:val="21"/>
              <w:szCs w:val="21"/>
            </w:rPr>
            <w:t>44</w:t>
          </w:r>
          <w:bookmarkEnd w:id="85"/>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_Toc871449278_WPSOffice_Level2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5d488cb2-c445-4c0f-a698-12ce8c014eea}"/>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二、收入决算表</w:t>
              </w:r>
            </w:sdtContent>
          </w:sdt>
          <w:r>
            <w:rPr>
              <w:sz w:val="21"/>
              <w:szCs w:val="21"/>
            </w:rPr>
            <w:tab/>
          </w:r>
          <w:bookmarkStart w:id="86" w:name="_Toc871449278_WPSOffice_Level2Page"/>
          <w:r>
            <w:rPr>
              <w:sz w:val="21"/>
              <w:szCs w:val="21"/>
            </w:rPr>
            <w:t>44</w:t>
          </w:r>
          <w:bookmarkEnd w:id="86"/>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_Toc709697061_WPSOffice_Level2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50799260-b37d-41c7-9dff-6648a543d113}"/>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三、支出决算表</w:t>
              </w:r>
            </w:sdtContent>
          </w:sdt>
          <w:r>
            <w:rPr>
              <w:sz w:val="21"/>
              <w:szCs w:val="21"/>
            </w:rPr>
            <w:tab/>
          </w:r>
          <w:bookmarkStart w:id="87" w:name="_Toc709697061_WPSOffice_Level2Page"/>
          <w:r>
            <w:rPr>
              <w:sz w:val="21"/>
              <w:szCs w:val="21"/>
            </w:rPr>
            <w:t>44</w:t>
          </w:r>
          <w:bookmarkEnd w:id="87"/>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_Toc1568247940_WPSOffice_Level2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79d28f92-00f7-4731-934b-c039577cc5e2}"/>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四、财政拨款收入支出决算总表</w:t>
              </w:r>
            </w:sdtContent>
          </w:sdt>
          <w:r>
            <w:rPr>
              <w:sz w:val="21"/>
              <w:szCs w:val="21"/>
            </w:rPr>
            <w:tab/>
          </w:r>
          <w:bookmarkStart w:id="88" w:name="_Toc1568247940_WPSOffice_Level2Page"/>
          <w:r>
            <w:rPr>
              <w:sz w:val="21"/>
              <w:szCs w:val="21"/>
            </w:rPr>
            <w:t>44</w:t>
          </w:r>
          <w:bookmarkEnd w:id="88"/>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_Toc11914803_WPSOffice_Level2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3376f03d-6da5-4c45-a473-6546808050ae}"/>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五、财政拨款支出决算明细表</w:t>
              </w:r>
            </w:sdtContent>
          </w:sdt>
          <w:r>
            <w:rPr>
              <w:sz w:val="21"/>
              <w:szCs w:val="21"/>
            </w:rPr>
            <w:tab/>
          </w:r>
          <w:bookmarkStart w:id="89" w:name="_Toc11914803_WPSOffice_Level2Page"/>
          <w:r>
            <w:rPr>
              <w:sz w:val="21"/>
              <w:szCs w:val="21"/>
            </w:rPr>
            <w:t>44</w:t>
          </w:r>
          <w:bookmarkEnd w:id="89"/>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_Toc1403316258_WPSOffice_Level2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c37c43ba-c50d-436b-888c-41812da1c7a0}"/>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六、一般公共预算财政拨款支出决算表</w:t>
              </w:r>
            </w:sdtContent>
          </w:sdt>
          <w:r>
            <w:rPr>
              <w:sz w:val="21"/>
              <w:szCs w:val="21"/>
            </w:rPr>
            <w:tab/>
          </w:r>
          <w:bookmarkStart w:id="90" w:name="_Toc1403316258_WPSOffice_Level2Page"/>
          <w:r>
            <w:rPr>
              <w:sz w:val="21"/>
              <w:szCs w:val="21"/>
            </w:rPr>
            <w:t>44</w:t>
          </w:r>
          <w:bookmarkEnd w:id="90"/>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_Toc1606222541_WPSOffice_Level2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3eb353be-5c23-4aba-aecb-11527315bab6}"/>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七、一般公共预算财政拨款支出决算明细表</w:t>
              </w:r>
            </w:sdtContent>
          </w:sdt>
          <w:r>
            <w:rPr>
              <w:sz w:val="21"/>
              <w:szCs w:val="21"/>
            </w:rPr>
            <w:tab/>
          </w:r>
          <w:bookmarkStart w:id="91" w:name="_Toc1606222541_WPSOffice_Level2Page"/>
          <w:r>
            <w:rPr>
              <w:sz w:val="21"/>
              <w:szCs w:val="21"/>
            </w:rPr>
            <w:t>44</w:t>
          </w:r>
          <w:bookmarkEnd w:id="91"/>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_Toc63176598_WPSOffice_Level2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e2da52d8-82e4-4760-83bc-636cf57a5eea}"/>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八、一般公共预算财政拨款基本支出决算表</w:t>
              </w:r>
            </w:sdtContent>
          </w:sdt>
          <w:r>
            <w:rPr>
              <w:sz w:val="21"/>
              <w:szCs w:val="21"/>
            </w:rPr>
            <w:tab/>
          </w:r>
          <w:bookmarkStart w:id="92" w:name="_Toc63176598_WPSOffice_Level2Page"/>
          <w:r>
            <w:rPr>
              <w:sz w:val="21"/>
              <w:szCs w:val="21"/>
            </w:rPr>
            <w:t>44</w:t>
          </w:r>
          <w:bookmarkEnd w:id="92"/>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_Toc1974897200_WPSOffice_Level2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22fad774-c851-4ea3-9aa1-42f1c38860ff}"/>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九、一般公共预算财政拨款项目支出决算表</w:t>
              </w:r>
            </w:sdtContent>
          </w:sdt>
          <w:r>
            <w:rPr>
              <w:sz w:val="21"/>
              <w:szCs w:val="21"/>
            </w:rPr>
            <w:tab/>
          </w:r>
          <w:bookmarkStart w:id="93" w:name="_Toc1974897200_WPSOffice_Level2Page"/>
          <w:r>
            <w:rPr>
              <w:sz w:val="21"/>
              <w:szCs w:val="21"/>
            </w:rPr>
            <w:t>44</w:t>
          </w:r>
          <w:bookmarkEnd w:id="93"/>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_Toc1894023582_WPSOffice_Level2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9fef131c-dfd9-4209-bd0e-730f668c7745}"/>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十、政府性基金预算财政拨款收入支出决算表</w:t>
              </w:r>
            </w:sdtContent>
          </w:sdt>
          <w:r>
            <w:rPr>
              <w:sz w:val="21"/>
              <w:szCs w:val="21"/>
            </w:rPr>
            <w:tab/>
          </w:r>
          <w:bookmarkStart w:id="94" w:name="_Toc1894023582_WPSOffice_Level2Page"/>
          <w:r>
            <w:rPr>
              <w:sz w:val="21"/>
              <w:szCs w:val="21"/>
            </w:rPr>
            <w:t>44</w:t>
          </w:r>
          <w:bookmarkEnd w:id="94"/>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_Toc1271406537_WPSOffice_Level2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8d5c9261-f8c8-4e9b-8d97-2b81c47df4b2}"/>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十一、国有资本经营预算财政拨款收入支出决算表</w:t>
              </w:r>
            </w:sdtContent>
          </w:sdt>
          <w:r>
            <w:rPr>
              <w:sz w:val="21"/>
              <w:szCs w:val="21"/>
            </w:rPr>
            <w:tab/>
          </w:r>
          <w:bookmarkStart w:id="95" w:name="_Toc1271406537_WPSOffice_Level2Page"/>
          <w:r>
            <w:rPr>
              <w:sz w:val="21"/>
              <w:szCs w:val="21"/>
            </w:rPr>
            <w:t>44</w:t>
          </w:r>
          <w:bookmarkEnd w:id="95"/>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_Toc279858229_WPSOffice_Level2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1cd02495-89b3-4da3-a5c1-5b15b38184fe}"/>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十二、国有资本经营预算财政拨款支出决算表</w:t>
              </w:r>
            </w:sdtContent>
          </w:sdt>
          <w:r>
            <w:rPr>
              <w:sz w:val="21"/>
              <w:szCs w:val="21"/>
            </w:rPr>
            <w:tab/>
          </w:r>
          <w:bookmarkStart w:id="96" w:name="_Toc279858229_WPSOffice_Level2Page"/>
          <w:r>
            <w:rPr>
              <w:sz w:val="21"/>
              <w:szCs w:val="21"/>
            </w:rPr>
            <w:t>44</w:t>
          </w:r>
          <w:bookmarkEnd w:id="96"/>
          <w:r>
            <w:rPr>
              <w:sz w:val="21"/>
              <w:szCs w:val="21"/>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rPr>
              <w:sz w:val="21"/>
              <w:szCs w:val="21"/>
            </w:rPr>
          </w:pPr>
          <w:r>
            <w:rPr>
              <w:sz w:val="21"/>
              <w:szCs w:val="21"/>
            </w:rPr>
            <w:fldChar w:fldCharType="begin"/>
          </w:r>
          <w:r>
            <w:rPr>
              <w:sz w:val="21"/>
              <w:szCs w:val="21"/>
            </w:rPr>
            <w:instrText xml:space="preserve"> HYPERLINK \l _Toc1798595703_WPSOffice_Level2 </w:instrText>
          </w:r>
          <w:r>
            <w:rPr>
              <w:sz w:val="21"/>
              <w:szCs w:val="21"/>
            </w:rPr>
            <w:fldChar w:fldCharType="separate"/>
          </w:r>
          <w:sdt>
            <w:sdtPr>
              <w:rPr>
                <w:rFonts w:ascii="Times New Roman" w:hAnsi="Times New Roman" w:eastAsia="宋体" w:cs="Times New Roman"/>
                <w:kern w:val="2"/>
                <w:sz w:val="21"/>
                <w:szCs w:val="21"/>
                <w:lang w:val="en-US" w:eastAsia="zh-CN" w:bidi="ar-SA"/>
              </w:rPr>
              <w:id w:val="621155090"/>
              <w:placeholder>
                <w:docPart w:val="{e14abf2d-5345-4507-8520-35a018bd7002}"/>
              </w:placeholder>
            </w:sdtPr>
            <w:sdtEndPr>
              <w:rPr>
                <w:rFonts w:ascii="Times New Roman" w:hAnsi="Times New Roman" w:eastAsia="宋体" w:cs="Times New Roman"/>
                <w:kern w:val="2"/>
                <w:sz w:val="21"/>
                <w:szCs w:val="21"/>
                <w:lang w:val="en-US" w:eastAsia="zh-CN" w:bidi="ar-SA"/>
              </w:rPr>
            </w:sdtEndPr>
            <w:sdtContent>
              <w:r>
                <w:rPr>
                  <w:rFonts w:hint="eastAsia" w:ascii="仿宋_GB2312" w:hAnsi="仿宋_GB2312" w:eastAsia="仿宋_GB2312" w:cs="仿宋_GB2312"/>
                  <w:sz w:val="21"/>
                  <w:szCs w:val="21"/>
                </w:rPr>
                <w:t>十三、财政拨款“三公”经费支出决算表</w:t>
              </w:r>
            </w:sdtContent>
          </w:sdt>
          <w:r>
            <w:rPr>
              <w:sz w:val="21"/>
              <w:szCs w:val="21"/>
            </w:rPr>
            <w:tab/>
          </w:r>
          <w:bookmarkStart w:id="97" w:name="_Toc1798595703_WPSOffice_Level2Page"/>
          <w:r>
            <w:rPr>
              <w:sz w:val="21"/>
              <w:szCs w:val="21"/>
            </w:rPr>
            <w:t>44</w:t>
          </w:r>
          <w:bookmarkEnd w:id="97"/>
          <w:r>
            <w:rPr>
              <w:sz w:val="21"/>
              <w:szCs w:val="21"/>
            </w:rPr>
            <w:fldChar w:fldCharType="end"/>
          </w:r>
          <w:bookmarkEnd w:id="14"/>
        </w:p>
      </w:sdtContent>
    </w:sdt>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b w:val="0"/>
          <w:color w:val="auto"/>
          <w:highlight w:val="none"/>
          <w:lang w:val="en-US" w:eastAsia="zh-CN"/>
        </w:rPr>
      </w:pPr>
    </w:p>
    <w:p>
      <w:pPr>
        <w:pStyle w:val="5"/>
        <w:jc w:val="center"/>
        <w:outlineLvl w:val="0"/>
        <w:rPr>
          <w:rFonts w:hint="eastAsia" w:ascii="黑体" w:hAnsi="黑体" w:eastAsia="黑体"/>
          <w:b w:val="0"/>
          <w:color w:val="auto"/>
          <w:highlight w:val="none"/>
        </w:rPr>
      </w:pPr>
      <w:bookmarkStart w:id="98" w:name="_Toc876214657_WPSOffice_Level1"/>
    </w:p>
    <w:p>
      <w:pPr>
        <w:rPr>
          <w:rFonts w:hint="eastAsia"/>
        </w:rPr>
      </w:pPr>
    </w:p>
    <w:p>
      <w:pPr>
        <w:pStyle w:val="5"/>
        <w:jc w:val="center"/>
        <w:outlineLvl w:val="0"/>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9"/>
          <w:rFonts w:hint="eastAsia" w:ascii="黑体" w:hAnsi="黑体" w:eastAsia="黑体"/>
          <w:b w:val="0"/>
          <w:bCs w:val="0"/>
          <w:color w:val="auto"/>
          <w:highlight w:val="none"/>
        </w:rPr>
        <w:t>概况</w:t>
      </w:r>
      <w:bookmarkEnd w:id="98"/>
    </w:p>
    <w:p>
      <w:pPr>
        <w:widowControl/>
        <w:jc w:val="left"/>
        <w:rPr>
          <w:rFonts w:ascii="黑体" w:eastAsia="黑体"/>
          <w:color w:val="auto"/>
          <w:sz w:val="32"/>
          <w:szCs w:val="32"/>
          <w:highlight w:val="none"/>
        </w:rPr>
      </w:pPr>
    </w:p>
    <w:p>
      <w:pPr>
        <w:pStyle w:val="6"/>
        <w:pageBreakBefore w:val="0"/>
        <w:widowControl w:val="0"/>
        <w:numPr>
          <w:ilvl w:val="0"/>
          <w:numId w:val="1"/>
        </w:numPr>
        <w:kinsoku/>
        <w:wordWrap/>
        <w:overflowPunct/>
        <w:topLinePunct w:val="0"/>
        <w:autoSpaceDE/>
        <w:autoSpaceDN/>
        <w:bidi w:val="0"/>
        <w:spacing w:before="0" w:after="0"/>
        <w:textAlignment w:val="auto"/>
        <w:outlineLvl w:val="1"/>
        <w:rPr>
          <w:rStyle w:val="30"/>
          <w:rFonts w:hint="eastAsia" w:ascii="黑体" w:hAnsi="黑体" w:eastAsia="黑体"/>
          <w:b w:val="0"/>
          <w:bCs w:val="0"/>
          <w:color w:val="auto"/>
          <w:highlight w:val="none"/>
          <w:lang w:eastAsia="zh-CN"/>
        </w:rPr>
      </w:pPr>
      <w:bookmarkStart w:id="99" w:name="_Toc1586854129_WPSOffice_Level2"/>
      <w:bookmarkStart w:id="100" w:name="_Toc15377197"/>
      <w:bookmarkStart w:id="101" w:name="_Toc15396600"/>
      <w:r>
        <w:rPr>
          <w:rStyle w:val="30"/>
          <w:rFonts w:hint="default" w:ascii="黑体" w:hAnsi="黑体" w:eastAsia="黑体"/>
          <w:b w:val="0"/>
          <w:bCs w:val="0"/>
          <w:color w:val="auto"/>
          <w:highlight w:val="none"/>
          <w:lang w:eastAsia="zh-CN"/>
        </w:rPr>
        <w:t>部门概况</w:t>
      </w:r>
      <w:bookmarkEnd w:id="99"/>
    </w:p>
    <w:p>
      <w:pPr>
        <w:keepNext w:val="0"/>
        <w:keepLines w:val="0"/>
        <w:pageBreakBefore w:val="0"/>
        <w:widowControl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lang w:eastAsia="zh-CN"/>
        </w:rPr>
      </w:pPr>
      <w:r>
        <w:rPr>
          <w:rStyle w:val="30"/>
          <w:rFonts w:hint="eastAsia" w:ascii="楷体_GB2312" w:hAnsi="楷体_GB2312" w:eastAsia="楷体_GB2312" w:cs="楷体_GB2312"/>
          <w:b w:val="0"/>
          <w:bCs w:val="0"/>
          <w:color w:val="auto"/>
          <w:highlight w:val="none"/>
          <w:lang w:eastAsia="zh-CN"/>
        </w:rPr>
        <w:t xml:space="preserve">  </w:t>
      </w:r>
      <w:r>
        <w:rPr>
          <w:rStyle w:val="30"/>
          <w:rFonts w:hint="eastAsia" w:ascii="仿宋_GB2312" w:hAnsi="仿宋_GB2312" w:eastAsia="仿宋_GB2312" w:cs="仿宋_GB2312"/>
          <w:b w:val="0"/>
          <w:bCs w:val="0"/>
          <w:color w:val="auto"/>
          <w:highlight w:val="none"/>
          <w:lang w:eastAsia="zh-CN"/>
        </w:rPr>
        <w:t xml:space="preserve">  </w:t>
      </w:r>
      <w:bookmarkStart w:id="102" w:name="_Toc1586854129_WPSOffice_Level3"/>
      <w:r>
        <w:rPr>
          <w:rFonts w:hint="eastAsia" w:ascii="仿宋_GB2312" w:hAnsi="仿宋_GB2312" w:eastAsia="仿宋_GB2312" w:cs="仿宋_GB2312"/>
          <w:color w:val="auto"/>
          <w:sz w:val="32"/>
          <w:szCs w:val="32"/>
          <w:highlight w:val="none"/>
          <w:lang w:eastAsia="zh-CN"/>
        </w:rPr>
        <w:t>（一）部门职责</w:t>
      </w:r>
      <w:bookmarkEnd w:id="102"/>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1.承担依法治区重大问题的政策研究，协调有关方面提出全面依法治区的规划建议，统筹协调推进依法治区的组织实施和督察工作。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2.组织承办送区政府征求意见的地方规章，汇总上报修改意见工作。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3.负责区政府规范性文件、重大行政决策、重要行政措施发布前的合法性审查。承办区政府、各镇政府和区政府各部门报送区政府的规范性文件的备案审查及区政府有关规范性文件清理工作。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4.承担统筹推进法治政府建设的责任。指导监督区政府各部门、各乡镇(街道)政府依法行政工作。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5.负责综合协调、监督检查行政执法，承担推进行政执法体制改革有关工作。负责全区行政执法主体、人员资格审查和行政执法证、监督检查证的审核管理及人员培训工作。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指导监督全区行政复议、行政应诉和行政赔偿工作，承办向区政府申请的行政复议、行政赔偿、行政裁决案件，代理区政府行政应诉案件。组织区政府行政行为听证等工作。指导协调仲裁业务工作，牵头负责全区行政调解的指导、督促和协调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7.承担区政府法律顾问的聘任和管理。负责全区公共法律服务体系建设规划并指导实施。监督管理律师、法律援助、司法鉴定、公证和基层法律服务行业工作。负责全区外来企业、民营企业法律服务工作。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8.承担统筹规划法治社会建设的责任。负责拟订法治宣传教育规划，组织实施普法宣传工作。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 指导人民调解和行业性专业性调解等工作。推动人民参与和促进法治建设，汇同有关部门做好人民监督员和人民陪审员选任工作。指导管理司法所建设。</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10.承担社区矫正和指导刑满释放人员安置帮教工作。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11.承担本系统财务、装备、设施、警车管理等保障工作。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12.规划、协调、指导法治人才队伍建设相关工作，指导监督本系统队伍建设。</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13.完成区委、区政府和上级主管部门交办的其他工作。</w:t>
      </w:r>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bookmarkStart w:id="103" w:name="_Toc709271087_WPSOffice_Level1"/>
      <w:bookmarkStart w:id="104" w:name="_Toc1358573033_WPSOffice_Level1"/>
      <w:bookmarkStart w:id="105" w:name="_Toc1126543201_WPSOffice_Level3"/>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bookmarkEnd w:id="103"/>
      <w:bookmarkEnd w:id="104"/>
      <w:r>
        <w:rPr>
          <w:rFonts w:hint="eastAsia" w:ascii="仿宋_GB2312" w:hAnsi="仿宋_GB2312" w:eastAsia="仿宋_GB2312" w:cs="仿宋_GB2312"/>
          <w:color w:val="auto"/>
          <w:sz w:val="32"/>
          <w:szCs w:val="32"/>
          <w:highlight w:val="none"/>
          <w:lang w:eastAsia="zh-CN"/>
        </w:rPr>
        <w:t>机构设置</w:t>
      </w:r>
      <w:bookmarkEnd w:id="105"/>
    </w:p>
    <w:p>
      <w:pPr>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广元市昭化</w:t>
      </w:r>
      <w:r>
        <w:rPr>
          <w:rFonts w:hint="eastAsia" w:ascii="仿宋_GB2312" w:hAnsi="仿宋_GB2312" w:eastAsia="仿宋_GB2312" w:cs="仿宋_GB2312"/>
          <w:color w:val="auto"/>
          <w:sz w:val="32"/>
          <w:szCs w:val="32"/>
          <w:highlight w:val="none"/>
          <w:lang w:val="en-US" w:eastAsia="zh-CN"/>
        </w:rPr>
        <w:t>区司法局是一级预算单位，下属二级预算单位0个。</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556" w:lineRule="exact"/>
        <w:ind w:right="0" w:firstLine="640" w:firstLineChars="200"/>
        <w:jc w:val="both"/>
        <w:textAlignment w:val="auto"/>
        <w:rPr>
          <w:rFonts w:hint="eastAsia" w:ascii="Times New Roman" w:hAnsi="Times New Roman" w:eastAsia="黑体" w:cs="Times New Roman"/>
          <w:b w:val="0"/>
          <w:color w:val="auto"/>
          <w:highlight w:val="none"/>
          <w:lang w:val="en-US" w:eastAsia="zh-CN"/>
        </w:rPr>
      </w:pPr>
      <w:bookmarkStart w:id="106" w:name="_Toc56324611_WPSOffice_Level2"/>
      <w:bookmarkStart w:id="107" w:name="_Toc643982899_WPSOffice_Level2"/>
      <w:bookmarkStart w:id="108" w:name="_Toc937524973"/>
      <w:bookmarkStart w:id="109" w:name="_Toc1126543201_WPSOffice_Level2"/>
      <w:r>
        <w:rPr>
          <w:rFonts w:hint="eastAsia" w:ascii="Times New Roman" w:hAnsi="Times New Roman" w:eastAsia="黑体" w:cs="Times New Roman"/>
          <w:b w:val="0"/>
          <w:color w:val="auto"/>
          <w:highlight w:val="none"/>
          <w:lang w:val="en-US" w:eastAsia="zh-CN"/>
        </w:rPr>
        <w:t>二、2022年重点工作</w:t>
      </w:r>
      <w:bookmarkEnd w:id="100"/>
      <w:bookmarkEnd w:id="101"/>
      <w:r>
        <w:rPr>
          <w:rFonts w:hint="eastAsia" w:ascii="Times New Roman" w:hAnsi="Times New Roman" w:eastAsia="黑体" w:cs="Times New Roman"/>
          <w:b w:val="0"/>
          <w:color w:val="auto"/>
          <w:highlight w:val="none"/>
          <w:lang w:val="en-US" w:eastAsia="zh-CN"/>
        </w:rPr>
        <w:t>完成情况</w:t>
      </w:r>
      <w:bookmarkEnd w:id="106"/>
      <w:bookmarkEnd w:id="107"/>
      <w:bookmarkEnd w:id="108"/>
      <w:bookmarkEnd w:id="109"/>
    </w:p>
    <w:p>
      <w:pPr>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left="0" w:leftChars="0" w:firstLine="641"/>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val="en-US" w:eastAsia="zh-CN"/>
        </w:rPr>
        <w:t>1.</w:t>
      </w:r>
      <w:r>
        <w:rPr>
          <w:rFonts w:hint="eastAsia" w:ascii="楷体_GB2312" w:hAnsi="楷体_GB2312" w:eastAsia="楷体_GB2312" w:cs="楷体_GB2312"/>
          <w:color w:val="auto"/>
          <w:sz w:val="32"/>
          <w:szCs w:val="32"/>
          <w:shd w:val="clear" w:color="auto" w:fill="FFFFFF"/>
        </w:rPr>
        <w:t>突出抓好政治建设统领，打造模范政治机关。</w:t>
      </w:r>
      <w:r>
        <w:rPr>
          <w:rFonts w:hint="eastAsia" w:ascii="仿宋_GB2312" w:hAnsi="仿宋_GB2312" w:eastAsia="仿宋_GB2312" w:cs="仿宋_GB2312"/>
          <w:b/>
          <w:bCs/>
          <w:color w:val="auto"/>
          <w:sz w:val="32"/>
          <w:szCs w:val="32"/>
          <w:shd w:val="clear" w:color="auto" w:fill="FFFFFF"/>
        </w:rPr>
        <w:t>一是筑牢政治忠诚。</w:t>
      </w:r>
      <w:r>
        <w:rPr>
          <w:rFonts w:hint="eastAsia" w:ascii="仿宋_GB2312" w:hAnsi="仿宋_GB2312" w:eastAsia="仿宋_GB2312" w:cs="仿宋_GB2312"/>
          <w:color w:val="auto"/>
          <w:sz w:val="32"/>
          <w:szCs w:val="32"/>
          <w:shd w:val="clear" w:color="auto" w:fill="FFFFFF"/>
          <w:lang w:eastAsia="zh-CN"/>
        </w:rPr>
        <w:t>制定</w:t>
      </w:r>
      <w:r>
        <w:rPr>
          <w:rFonts w:hint="eastAsia" w:ascii="仿宋_GB2312" w:hAnsi="仿宋_GB2312" w:eastAsia="仿宋_GB2312" w:cs="仿宋_GB2312"/>
          <w:color w:val="auto"/>
          <w:sz w:val="32"/>
          <w:szCs w:val="32"/>
          <w:shd w:val="clear" w:color="auto" w:fill="FFFFFF"/>
        </w:rPr>
        <w:t>党组理论学习中心组学习计划</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深入学习习近平新时代中国特色社会主义思想和习近平法治思想，持续深化“四史”学习教育，扎实开展党的十九届六中全会精神政治轮训</w:t>
      </w:r>
      <w:r>
        <w:rPr>
          <w:rFonts w:hint="eastAsia" w:ascii="仿宋_GB2312" w:hAnsi="仿宋_GB2312" w:eastAsia="仿宋_GB2312" w:cs="仿宋_GB2312"/>
          <w:color w:val="auto"/>
          <w:sz w:val="32"/>
          <w:szCs w:val="32"/>
          <w:shd w:val="clear" w:color="auto" w:fill="FFFFFF"/>
          <w:lang w:val="en-US" w:eastAsia="zh-CN"/>
        </w:rPr>
        <w:t>2次。</w:t>
      </w:r>
      <w:r>
        <w:rPr>
          <w:rFonts w:hint="eastAsia" w:ascii="仿宋_GB2312" w:hAnsi="仿宋_GB2312" w:eastAsia="仿宋_GB2312" w:cs="仿宋_GB2312"/>
          <w:color w:val="auto"/>
          <w:sz w:val="32"/>
          <w:szCs w:val="32"/>
          <w:shd w:val="clear" w:color="auto" w:fill="FFFFFF"/>
          <w:lang w:eastAsia="zh-CN"/>
        </w:rPr>
        <w:t>认真开展</w:t>
      </w:r>
      <w:r>
        <w:rPr>
          <w:rFonts w:hint="eastAsia" w:ascii="仿宋_GB2312" w:hAnsi="仿宋_GB2312" w:eastAsia="仿宋_GB2312" w:cs="仿宋_GB2312"/>
          <w:color w:val="auto"/>
          <w:sz w:val="32"/>
          <w:szCs w:val="32"/>
          <w:shd w:val="clear" w:color="auto" w:fill="FFFFFF"/>
        </w:rPr>
        <w:t>党的二十大</w:t>
      </w:r>
      <w:r>
        <w:rPr>
          <w:rFonts w:hint="eastAsia" w:ascii="仿宋_GB2312" w:hAnsi="仿宋_GB2312" w:eastAsia="仿宋_GB2312" w:cs="仿宋_GB2312"/>
          <w:color w:val="auto"/>
          <w:sz w:val="32"/>
          <w:szCs w:val="32"/>
          <w:shd w:val="clear" w:color="auto" w:fill="FFFFFF"/>
          <w:lang w:eastAsia="zh-CN"/>
        </w:rPr>
        <w:t>精神学习宣讲</w:t>
      </w:r>
      <w:r>
        <w:rPr>
          <w:rFonts w:hint="eastAsia" w:ascii="仿宋_GB2312" w:hAnsi="仿宋_GB2312" w:eastAsia="仿宋_GB2312" w:cs="仿宋_GB2312"/>
          <w:color w:val="auto"/>
          <w:sz w:val="32"/>
          <w:szCs w:val="32"/>
          <w:shd w:val="clear" w:color="auto" w:fill="FFFFFF"/>
          <w:lang w:val="en-US" w:eastAsia="zh-CN"/>
        </w:rPr>
        <w:t>贯彻</w:t>
      </w:r>
      <w:r>
        <w:rPr>
          <w:rFonts w:hint="eastAsia" w:ascii="仿宋_GB2312" w:hAnsi="仿宋_GB2312" w:eastAsia="仿宋_GB2312" w:cs="仿宋_GB2312"/>
          <w:color w:val="auto"/>
          <w:sz w:val="32"/>
          <w:szCs w:val="32"/>
          <w:shd w:val="clear" w:color="auto" w:fill="FFFFFF"/>
          <w:lang w:eastAsia="zh-CN"/>
        </w:rPr>
        <w:t>，深入推进“忠诚铸魂、铁纪担当”专项活动，引导干部职工</w:t>
      </w:r>
      <w:r>
        <w:rPr>
          <w:rFonts w:hint="eastAsia" w:ascii="仿宋_GB2312" w:hAnsi="仿宋_GB2312" w:eastAsia="仿宋_GB2312" w:cs="仿宋_GB2312"/>
          <w:color w:val="auto"/>
          <w:sz w:val="32"/>
          <w:szCs w:val="32"/>
          <w:shd w:val="clear" w:color="auto" w:fill="FFFFFF"/>
        </w:rPr>
        <w:t>自觉拥护“两个确立”，做到“两个维护”</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不断提升政治“三力”</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b/>
          <w:bCs/>
          <w:color w:val="auto"/>
          <w:sz w:val="32"/>
          <w:szCs w:val="32"/>
          <w:shd w:val="clear" w:color="auto" w:fill="FFFFFF"/>
        </w:rPr>
        <w:t>二是严明政治纪律政治规矩。</w:t>
      </w:r>
      <w:r>
        <w:rPr>
          <w:rFonts w:hint="eastAsia" w:ascii="仿宋_GB2312" w:hAnsi="仿宋_GB2312" w:eastAsia="仿宋_GB2312" w:cs="仿宋_GB2312"/>
          <w:color w:val="auto"/>
          <w:sz w:val="32"/>
          <w:szCs w:val="32"/>
          <w:shd w:val="clear" w:color="auto" w:fill="FFFFFF"/>
        </w:rPr>
        <w:t>深入推进模范政治机关建设，深化拓展政法队伍教育整顿、干部纪律作风整顿</w:t>
      </w:r>
      <w:r>
        <w:rPr>
          <w:rFonts w:hint="eastAsia" w:ascii="仿宋_GB2312" w:hAnsi="仿宋_GB2312" w:eastAsia="仿宋_GB2312" w:cs="仿宋_GB2312"/>
          <w:color w:val="auto"/>
          <w:sz w:val="32"/>
          <w:szCs w:val="32"/>
          <w:shd w:val="clear" w:color="auto" w:fill="FFFFFF"/>
          <w:lang w:eastAsia="zh-CN"/>
        </w:rPr>
        <w:t>成果。</w:t>
      </w:r>
      <w:r>
        <w:rPr>
          <w:rFonts w:hint="eastAsia" w:ascii="仿宋_GB2312" w:hAnsi="仿宋_GB2312" w:eastAsia="仿宋_GB2312" w:cs="仿宋_GB2312"/>
          <w:color w:val="auto"/>
          <w:sz w:val="32"/>
          <w:szCs w:val="32"/>
          <w:shd w:val="clear" w:color="auto" w:fill="FFFFFF"/>
          <w:lang w:val="en-US" w:eastAsia="zh-CN"/>
        </w:rPr>
        <w:t>坚决</w:t>
      </w:r>
      <w:r>
        <w:rPr>
          <w:rFonts w:hint="eastAsia" w:ascii="仿宋_GB2312" w:hAnsi="仿宋_GB2312" w:eastAsia="仿宋_GB2312" w:cs="仿宋_GB2312"/>
          <w:color w:val="auto"/>
          <w:sz w:val="32"/>
          <w:szCs w:val="32"/>
          <w:shd w:val="clear" w:color="auto" w:fill="FFFFFF"/>
        </w:rPr>
        <w:t>贯彻《中国共产党政法工作条例》，严格落实意识形态责任制和重大事项请示报告制度，</w:t>
      </w:r>
      <w:r>
        <w:rPr>
          <w:rFonts w:hint="eastAsia" w:ascii="仿宋_GB2312" w:hAnsi="仿宋_GB2312" w:eastAsia="仿宋_GB2312" w:cs="仿宋_GB2312"/>
          <w:color w:val="auto"/>
          <w:sz w:val="32"/>
          <w:szCs w:val="32"/>
          <w:shd w:val="clear" w:color="auto" w:fill="FFFFFF"/>
          <w:lang w:eastAsia="zh-CN"/>
        </w:rPr>
        <w:t>按程序向区委区政府、区委政法委和</w:t>
      </w:r>
      <w:r>
        <w:rPr>
          <w:rFonts w:hint="eastAsia" w:ascii="仿宋_GB2312" w:hAnsi="仿宋_GB2312" w:eastAsia="仿宋_GB2312" w:cs="仿宋_GB2312"/>
          <w:color w:val="auto"/>
          <w:sz w:val="32"/>
          <w:szCs w:val="32"/>
          <w:shd w:val="clear" w:color="auto" w:fill="FFFFFF"/>
          <w:lang w:val="en-US" w:eastAsia="zh-CN"/>
        </w:rPr>
        <w:t>市司法局</w:t>
      </w:r>
      <w:r>
        <w:rPr>
          <w:rFonts w:hint="eastAsia" w:ascii="仿宋_GB2312" w:hAnsi="仿宋_GB2312" w:eastAsia="仿宋_GB2312" w:cs="仿宋_GB2312"/>
          <w:color w:val="auto"/>
          <w:sz w:val="32"/>
          <w:szCs w:val="32"/>
          <w:shd w:val="clear" w:color="auto" w:fill="FFFFFF"/>
          <w:lang w:eastAsia="zh-CN"/>
        </w:rPr>
        <w:t>请示报告“两规划两方案”、全面依法治区、党的建设等重要事项、重点工作</w:t>
      </w:r>
      <w:r>
        <w:rPr>
          <w:rFonts w:hint="eastAsia" w:ascii="仿宋_GB2312" w:hAnsi="仿宋_GB2312" w:eastAsia="仿宋_GB2312" w:cs="仿宋_GB2312"/>
          <w:color w:val="auto"/>
          <w:sz w:val="32"/>
          <w:szCs w:val="32"/>
          <w:shd w:val="clear" w:color="auto" w:fill="FFFFFF"/>
          <w:lang w:val="en-US" w:eastAsia="zh-CN"/>
        </w:rPr>
        <w:t>10余次。</w:t>
      </w:r>
      <w:r>
        <w:rPr>
          <w:rFonts w:hint="eastAsia" w:ascii="仿宋_GB2312" w:hAnsi="仿宋_GB2312" w:eastAsia="仿宋_GB2312" w:cs="仿宋_GB2312"/>
          <w:color w:val="auto"/>
          <w:sz w:val="32"/>
          <w:szCs w:val="32"/>
          <w:shd w:val="clear" w:color="auto" w:fill="FFFFFF"/>
        </w:rPr>
        <w:t>严格执行中央和省、市、区委各项禁令规定，</w:t>
      </w:r>
      <w:r>
        <w:rPr>
          <w:rFonts w:hint="eastAsia" w:ascii="仿宋_GB2312" w:hAnsi="仿宋_GB2312" w:eastAsia="仿宋_GB2312" w:cs="仿宋_GB2312"/>
          <w:color w:val="auto"/>
          <w:sz w:val="32"/>
          <w:szCs w:val="32"/>
          <w:shd w:val="clear" w:color="auto" w:fill="FFFFFF"/>
          <w:lang w:eastAsia="zh-CN"/>
        </w:rPr>
        <w:t>有效</w:t>
      </w:r>
      <w:r>
        <w:rPr>
          <w:rFonts w:hint="eastAsia" w:ascii="仿宋_GB2312" w:hAnsi="仿宋_GB2312" w:eastAsia="仿宋_GB2312" w:cs="仿宋_GB2312"/>
          <w:color w:val="auto"/>
          <w:sz w:val="32"/>
          <w:szCs w:val="32"/>
          <w:shd w:val="clear" w:color="auto" w:fill="FFFFFF"/>
        </w:rPr>
        <w:t>防止“四风”问题反弹回潮。</w:t>
      </w:r>
      <w:r>
        <w:rPr>
          <w:rFonts w:hint="eastAsia" w:ascii="仿宋_GB2312" w:hAnsi="仿宋_GB2312" w:eastAsia="仿宋_GB2312" w:cs="仿宋_GB2312"/>
          <w:b/>
          <w:bCs/>
          <w:color w:val="auto"/>
          <w:sz w:val="32"/>
          <w:szCs w:val="32"/>
          <w:shd w:val="clear" w:color="auto" w:fill="FFFFFF"/>
        </w:rPr>
        <w:t>三是强化党建引领。</w:t>
      </w:r>
      <w:r>
        <w:rPr>
          <w:rFonts w:hint="eastAsia" w:ascii="仿宋_GB2312" w:hAnsi="仿宋_GB2312" w:eastAsia="仿宋_GB2312" w:cs="仿宋_GB2312"/>
          <w:color w:val="auto"/>
          <w:sz w:val="32"/>
          <w:szCs w:val="32"/>
          <w:shd w:val="clear" w:color="auto" w:fill="FFFFFF"/>
        </w:rPr>
        <w:t>印发《2022年党建工作要点》《2022年全面从严治党、党风廉政建设和反腐败工作要点》</w:t>
      </w:r>
      <w:r>
        <w:rPr>
          <w:rFonts w:hint="eastAsia" w:ascii="仿宋_GB2312" w:hAnsi="仿宋_GB2312" w:eastAsia="仿宋_GB2312" w:cs="仿宋_GB2312"/>
          <w:color w:val="auto"/>
          <w:sz w:val="32"/>
          <w:szCs w:val="32"/>
          <w:shd w:val="clear" w:color="auto" w:fill="FFFFFF"/>
          <w:lang w:eastAsia="zh-CN"/>
        </w:rPr>
        <w:t>，制定</w:t>
      </w:r>
      <w:r>
        <w:rPr>
          <w:rFonts w:hint="eastAsia" w:ascii="仿宋_GB2312" w:hAnsi="仿宋_GB2312" w:eastAsia="仿宋_GB2312" w:cs="仿宋_GB2312"/>
          <w:color w:val="auto"/>
          <w:sz w:val="32"/>
          <w:szCs w:val="32"/>
          <w:shd w:val="clear" w:color="auto" w:fill="FFFFFF"/>
        </w:rPr>
        <w:t>党风廉政建设责任清单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全面落实党建工作责任制，深入推进党支部“十个标准化”建设，抓严“三会一课”、主题党日活动、民主集中制等制度，</w:t>
      </w:r>
      <w:r>
        <w:rPr>
          <w:rFonts w:hint="eastAsia" w:ascii="仿宋_GB2312" w:hAnsi="仿宋_GB2312" w:eastAsia="仿宋_GB2312" w:cs="仿宋_GB2312"/>
          <w:color w:val="auto"/>
          <w:sz w:val="32"/>
          <w:szCs w:val="32"/>
          <w:shd w:val="clear" w:color="auto" w:fill="FFFFFF"/>
          <w:lang w:eastAsia="zh-CN"/>
        </w:rPr>
        <w:t>党组织</w:t>
      </w:r>
      <w:r>
        <w:rPr>
          <w:rFonts w:hint="eastAsia" w:ascii="仿宋_GB2312" w:hAnsi="仿宋_GB2312" w:eastAsia="仿宋_GB2312" w:cs="仿宋_GB2312"/>
          <w:color w:val="auto"/>
          <w:sz w:val="32"/>
          <w:szCs w:val="32"/>
          <w:shd w:val="clear" w:color="auto" w:fill="FFFFFF"/>
        </w:rPr>
        <w:t>议事决策水平和质效持续提升。</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楷体_GB2312" w:hAnsi="黑体" w:eastAsia="楷体_GB2312" w:cs="黑体"/>
          <w:color w:val="auto"/>
          <w:sz w:val="32"/>
          <w:szCs w:val="32"/>
          <w:lang w:val="en-US" w:eastAsia="zh-CN"/>
        </w:rPr>
        <w:t>2.</w:t>
      </w:r>
      <w:r>
        <w:rPr>
          <w:rFonts w:hint="eastAsia" w:ascii="楷体_GB2312" w:hAnsi="黑体" w:eastAsia="楷体_GB2312" w:cs="黑体"/>
          <w:color w:val="auto"/>
          <w:sz w:val="32"/>
          <w:szCs w:val="32"/>
        </w:rPr>
        <w:t>深入推进“三个一体”建设，着力营造优质法治环境</w:t>
      </w:r>
      <w:r>
        <w:rPr>
          <w:rFonts w:hint="eastAsia" w:ascii="楷体_GB2312" w:eastAsia="楷体_GB2312" w:cs="仿宋_GB2312"/>
          <w:color w:val="auto"/>
          <w:sz w:val="32"/>
          <w:szCs w:val="32"/>
        </w:rPr>
        <w:t>。</w:t>
      </w:r>
      <w:r>
        <w:rPr>
          <w:rFonts w:hint="eastAsia" w:ascii="仿宋_GB2312" w:eastAsia="仿宋_GB2312" w:cs="仿宋_GB2312"/>
          <w:b/>
          <w:bCs/>
          <w:color w:val="auto"/>
          <w:sz w:val="32"/>
          <w:szCs w:val="32"/>
        </w:rPr>
        <w:t>一是推进依法治区，建设法治昭化。</w:t>
      </w:r>
      <w:r>
        <w:rPr>
          <w:rFonts w:hint="eastAsia" w:ascii="仿宋_GB2312" w:hAnsi="仿宋_GB2312" w:eastAsia="仿宋_GB2312" w:cs="仿宋_GB2312"/>
          <w:color w:val="auto"/>
          <w:sz w:val="32"/>
          <w:szCs w:val="32"/>
        </w:rPr>
        <w:t>研制出台“</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规划两方案”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编制责任清单，项目化、台账制推动工作落实。建立“一月一调度、一季一汇报、一年一述职”制度，强化督促指导</w:t>
      </w:r>
      <w:r>
        <w:rPr>
          <w:rFonts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rPr>
        <w:t>各镇、</w:t>
      </w:r>
      <w:r>
        <w:rPr>
          <w:rFonts w:ascii="仿宋_GB2312" w:hAnsi="仿宋_GB2312" w:eastAsia="仿宋_GB2312" w:cs="仿宋_GB2312"/>
          <w:color w:val="auto"/>
          <w:sz w:val="32"/>
          <w:szCs w:val="32"/>
        </w:rPr>
        <w:t>各部门</w:t>
      </w:r>
      <w:r>
        <w:rPr>
          <w:rFonts w:hint="eastAsia" w:ascii="仿宋_GB2312" w:hAnsi="仿宋_GB2312" w:eastAsia="仿宋_GB2312" w:cs="仿宋_GB2312"/>
          <w:color w:val="auto"/>
          <w:sz w:val="32"/>
          <w:szCs w:val="32"/>
          <w:lang w:eastAsia="zh-CN"/>
        </w:rPr>
        <w:t>持续</w:t>
      </w:r>
      <w:r>
        <w:rPr>
          <w:rFonts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rPr>
        <w:t>法治意识和法治思维</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持续推广完善“法治账图”，形成“精品”账图被省委依法治省办采用。昭化区</w:t>
      </w:r>
      <w:r>
        <w:rPr>
          <w:rFonts w:hint="eastAsia" w:ascii="仿宋_GB2312" w:hAnsi="仿宋_GB2312" w:eastAsia="仿宋_GB2312" w:cs="仿宋_GB2312"/>
          <w:color w:val="auto"/>
          <w:sz w:val="32"/>
          <w:szCs w:val="32"/>
          <w:lang w:val="en-US" w:eastAsia="zh-CN"/>
        </w:rPr>
        <w:t>平安建设群众满意度测评连续6年位居全省前列，连续13年无“民转刑”命案发生，</w:t>
      </w:r>
      <w:r>
        <w:rPr>
          <w:rFonts w:hint="eastAsia" w:ascii="仿宋_GB2312" w:hAnsi="仿宋_GB2312" w:eastAsia="仿宋_GB2312" w:cs="仿宋_GB2312"/>
          <w:color w:val="auto"/>
          <w:sz w:val="32"/>
          <w:szCs w:val="32"/>
          <w:lang w:eastAsia="zh-CN"/>
        </w:rPr>
        <w:t>连续</w:t>
      </w:r>
      <w:r>
        <w:rPr>
          <w:rFonts w:hint="eastAsia" w:ascii="仿宋_GB2312" w:hAnsi="仿宋_GB2312" w:eastAsia="仿宋_GB2312" w:cs="仿宋_GB2312"/>
          <w:color w:val="auto"/>
          <w:sz w:val="32"/>
          <w:szCs w:val="32"/>
          <w:lang w:val="en-US" w:eastAsia="zh-CN"/>
        </w:rPr>
        <w:t>5年被表彰为全省平安建设先进县（区）。</w:t>
      </w:r>
      <w:r>
        <w:rPr>
          <w:rFonts w:hint="eastAsia" w:ascii="仿宋_GB2312" w:hAnsi="仿宋_GB2312" w:eastAsia="仿宋_GB2312" w:cs="仿宋_GB2312"/>
          <w:b/>
          <w:bCs/>
          <w:color w:val="auto"/>
          <w:sz w:val="32"/>
          <w:szCs w:val="32"/>
        </w:rPr>
        <w:t>二是坚持依法行政，建设法治政府。</w:t>
      </w:r>
      <w:r>
        <w:rPr>
          <w:rFonts w:hint="eastAsia" w:ascii="仿宋_GB2312" w:hAnsi="仿宋_GB2312" w:eastAsia="仿宋_GB2312" w:cs="仿宋_GB2312"/>
          <w:b w:val="0"/>
          <w:bCs w:val="0"/>
          <w:sz w:val="32"/>
          <w:szCs w:val="32"/>
          <w:lang w:eastAsia="zh-CN"/>
        </w:rPr>
        <w:t>积极创建</w:t>
      </w:r>
      <w:r>
        <w:rPr>
          <w:rFonts w:hint="eastAsia" w:ascii="仿宋_GB2312" w:hAnsi="仿宋_GB2312" w:eastAsia="仿宋_GB2312" w:cs="仿宋_GB2312"/>
          <w:b w:val="0"/>
          <w:bCs w:val="0"/>
          <w:sz w:val="32"/>
          <w:szCs w:val="32"/>
        </w:rPr>
        <w:t>省级法治政府</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示范</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eastAsia="zh-CN"/>
        </w:rPr>
        <w:t>构建区长任指挥长的“1+10+N”组织领导体系，实行“清单制+责任制”“一月一督导一通报一调度”推进机制，形成同步发力、协同联动的工作格局。联合区委编办制定印发《广元市昭化区区本级行政权力清单（</w:t>
      </w:r>
      <w:r>
        <w:rPr>
          <w:rFonts w:hint="eastAsia" w:ascii="仿宋_GB2312" w:hAnsi="仿宋_GB2312" w:eastAsia="仿宋_GB2312" w:cs="仿宋_GB2312"/>
          <w:sz w:val="32"/>
          <w:szCs w:val="32"/>
          <w:lang w:val="en-US" w:eastAsia="zh-CN"/>
        </w:rPr>
        <w:t>2021年本</w:t>
      </w:r>
      <w:r>
        <w:rPr>
          <w:rFonts w:hint="eastAsia" w:ascii="仿宋_GB2312" w:hAnsi="仿宋_GB2312" w:eastAsia="仿宋_GB2312" w:cs="仿宋_GB2312"/>
          <w:sz w:val="32"/>
          <w:szCs w:val="32"/>
          <w:lang w:eastAsia="zh-CN"/>
        </w:rPr>
        <w:t>）》，</w:t>
      </w:r>
      <w:r>
        <w:rPr>
          <w:rFonts w:ascii="仿宋_GB2312" w:hAnsi="仿宋_GB2312" w:eastAsia="仿宋_GB2312" w:cs="仿宋_GB2312"/>
          <w:color w:val="auto"/>
          <w:sz w:val="32"/>
          <w:szCs w:val="32"/>
        </w:rPr>
        <w:t>全面实行权责清单制度，严格落实重大行政决策程序，规范行政执法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推进政务公开</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依法行政能力和水平</w:t>
      </w:r>
      <w:r>
        <w:rPr>
          <w:rFonts w:hint="eastAsia" w:ascii="仿宋_GB2312" w:hAnsi="仿宋_GB2312" w:eastAsia="仿宋_GB2312" w:cs="仿宋_GB2312"/>
          <w:color w:val="auto"/>
          <w:sz w:val="32"/>
          <w:szCs w:val="32"/>
        </w:rPr>
        <w:t>不断</w:t>
      </w:r>
      <w:r>
        <w:rPr>
          <w:rFonts w:ascii="仿宋_GB2312" w:hAnsi="仿宋_GB2312" w:eastAsia="仿宋_GB2312" w:cs="仿宋_GB2312"/>
          <w:color w:val="auto"/>
          <w:sz w:val="32"/>
          <w:szCs w:val="32"/>
        </w:rPr>
        <w:t>提升。</w:t>
      </w:r>
      <w:r>
        <w:rPr>
          <w:rFonts w:hint="eastAsia" w:ascii="仿宋_GB2312" w:hAnsi="仿宋_GB2312" w:eastAsia="仿宋_GB2312" w:cs="仿宋_GB2312"/>
          <w:sz w:val="32"/>
          <w:szCs w:val="32"/>
          <w:lang w:eastAsia="zh-CN"/>
        </w:rPr>
        <w:t>指导全区</w:t>
      </w:r>
      <w:r>
        <w:rPr>
          <w:rFonts w:hint="eastAsia" w:ascii="仿宋_GB2312" w:hAnsi="仿宋_GB2312" w:eastAsia="仿宋_GB2312" w:cs="仿宋_GB2312"/>
          <w:sz w:val="32"/>
          <w:szCs w:val="32"/>
          <w:lang w:val="en-US" w:eastAsia="zh-CN"/>
        </w:rPr>
        <w:t>12个镇和32个行政执法部门完成</w:t>
      </w:r>
      <w:r>
        <w:rPr>
          <w:rFonts w:hint="eastAsia" w:ascii="仿宋_GB2312" w:hAnsi="仿宋_GB2312" w:eastAsia="仿宋_GB2312" w:cs="仿宋_GB2312"/>
          <w:sz w:val="32"/>
          <w:szCs w:val="32"/>
          <w:lang w:eastAsia="zh-CN"/>
        </w:rPr>
        <w:t>行政执法内容</w:t>
      </w:r>
      <w:r>
        <w:rPr>
          <w:rFonts w:hint="eastAsia" w:ascii="仿宋_GB2312" w:hAnsi="仿宋_GB2312" w:eastAsia="仿宋_GB2312" w:cs="仿宋_GB2312"/>
          <w:sz w:val="32"/>
          <w:szCs w:val="32"/>
          <w:lang w:val="en-US" w:eastAsia="zh-CN"/>
        </w:rPr>
        <w:t>集中更新、</w:t>
      </w:r>
      <w:r>
        <w:rPr>
          <w:rFonts w:hint="eastAsia" w:ascii="仿宋_GB2312" w:hAnsi="仿宋_GB2312" w:eastAsia="仿宋_GB2312" w:cs="仿宋_GB2312"/>
          <w:sz w:val="32"/>
          <w:szCs w:val="32"/>
          <w:lang w:eastAsia="zh-CN"/>
        </w:rPr>
        <w:t>公示。</w:t>
      </w:r>
      <w:r>
        <w:rPr>
          <w:rFonts w:ascii="仿宋_GB2312" w:hAnsi="仿宋_GB2312" w:eastAsia="仿宋_GB2312" w:cs="仿宋_GB2312"/>
          <w:color w:val="auto"/>
          <w:sz w:val="32"/>
          <w:szCs w:val="32"/>
        </w:rPr>
        <w:t>持续深化“放管服”改革，</w:t>
      </w:r>
      <w:r>
        <w:rPr>
          <w:rFonts w:hint="eastAsia" w:ascii="仿宋_GB2312" w:hAnsi="仿宋_GB2312" w:eastAsia="仿宋_GB2312" w:cs="仿宋_GB2312"/>
          <w:color w:val="auto"/>
          <w:sz w:val="32"/>
          <w:szCs w:val="32"/>
          <w:lang w:eastAsia="zh-CN"/>
        </w:rPr>
        <w:t>逐步构建以公平、效率、公开、透明为核心理念的市场化、</w:t>
      </w:r>
      <w:r>
        <w:rPr>
          <w:rFonts w:ascii="仿宋_GB2312" w:hAnsi="仿宋_GB2312" w:eastAsia="仿宋_GB2312" w:cs="仿宋_GB2312"/>
          <w:color w:val="auto"/>
          <w:sz w:val="32"/>
          <w:szCs w:val="32"/>
        </w:rPr>
        <w:t>法治化营商环境。</w:t>
      </w:r>
      <w:r>
        <w:rPr>
          <w:rFonts w:hint="eastAsia" w:ascii="仿宋_GB2312" w:hAnsi="仿宋_GB2312" w:eastAsia="仿宋_GB2312" w:cs="仿宋_GB2312"/>
          <w:color w:val="auto"/>
          <w:sz w:val="32"/>
          <w:szCs w:val="32"/>
          <w:lang w:eastAsia="zh-CN"/>
        </w:rPr>
        <w:t>认真做好创建全国法治政府建设示范市各项工作，全面推进省级</w:t>
      </w:r>
      <w:r>
        <w:rPr>
          <w:rFonts w:ascii="仿宋_GB2312" w:hAnsi="仿宋_GB2312" w:eastAsia="仿宋_GB2312" w:cs="仿宋_GB2312"/>
          <w:color w:val="auto"/>
          <w:sz w:val="32"/>
          <w:szCs w:val="32"/>
        </w:rPr>
        <w:t>法治政府建设示范</w:t>
      </w:r>
      <w:r>
        <w:rPr>
          <w:rFonts w:hint="eastAsia" w:ascii="仿宋_GB2312" w:hAnsi="仿宋_GB2312" w:eastAsia="仿宋_GB2312" w:cs="仿宋_GB2312"/>
          <w:color w:val="auto"/>
          <w:sz w:val="32"/>
          <w:szCs w:val="32"/>
          <w:lang w:eastAsia="zh-CN"/>
        </w:rPr>
        <w:t>区</w:t>
      </w:r>
      <w:r>
        <w:rPr>
          <w:rFonts w:ascii="仿宋_GB2312" w:hAnsi="仿宋_GB2312" w:eastAsia="仿宋_GB2312" w:cs="仿宋_GB2312"/>
          <w:color w:val="auto"/>
          <w:sz w:val="32"/>
          <w:szCs w:val="32"/>
        </w:rPr>
        <w:t>创建</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auto"/>
          <w:sz w:val="32"/>
          <w:szCs w:val="32"/>
        </w:rPr>
        <w:t>三是突出依法治理，建设法治社会。</w:t>
      </w:r>
      <w:r>
        <w:rPr>
          <w:rFonts w:hint="eastAsia" w:ascii="仿宋_GB2312" w:hAnsi="仿宋_GB2312" w:eastAsia="仿宋_GB2312" w:cs="仿宋_GB2312"/>
          <w:color w:val="auto"/>
          <w:sz w:val="32"/>
          <w:szCs w:val="32"/>
          <w:lang w:val="en-US" w:eastAsia="zh-CN"/>
        </w:rPr>
        <w:t>全面完成“七五”普法总结验收，高效推动“八五”普法。</w:t>
      </w:r>
      <w:r>
        <w:rPr>
          <w:rFonts w:hint="eastAsia" w:ascii="仿宋_GB2312" w:hAnsi="仿宋_GB2312" w:eastAsia="仿宋_GB2312" w:cs="仿宋_GB2312"/>
          <w:color w:val="auto"/>
          <w:sz w:val="32"/>
          <w:szCs w:val="32"/>
          <w:shd w:val="clear" w:color="auto" w:fill="FFFFFF"/>
        </w:rPr>
        <w:t>持续深化普法宣传教育，</w:t>
      </w:r>
      <w:r>
        <w:rPr>
          <w:rFonts w:hint="eastAsia" w:ascii="仿宋_GB2312" w:hAnsi="仿宋_GB2312" w:eastAsia="仿宋_GB2312" w:cs="仿宋_GB2312"/>
          <w:color w:val="auto"/>
          <w:sz w:val="32"/>
          <w:szCs w:val="32"/>
          <w:lang w:val="en-US" w:eastAsia="zh-CN"/>
        </w:rPr>
        <w:t>严格落实</w:t>
      </w:r>
      <w:r>
        <w:rPr>
          <w:rFonts w:hint="eastAsia" w:ascii="仿宋_GB2312" w:hAnsi="仿宋_GB2312" w:eastAsia="仿宋_GB2312" w:cs="仿宋_GB2312"/>
          <w:color w:val="auto"/>
          <w:sz w:val="32"/>
          <w:szCs w:val="32"/>
        </w:rPr>
        <w:t>“谁执法谁普法”普法责任制，</w:t>
      </w:r>
      <w:r>
        <w:rPr>
          <w:rFonts w:hint="eastAsia" w:ascii="仿宋_GB2312" w:hAnsi="仿宋_GB2312" w:eastAsia="仿宋_GB2312" w:cs="仿宋_GB2312"/>
          <w:color w:val="auto"/>
          <w:sz w:val="32"/>
          <w:szCs w:val="32"/>
          <w:lang w:eastAsia="zh-CN"/>
        </w:rPr>
        <w:t>督促各职能部门开展根治欠薪、妇女维权等主题宣传活动</w:t>
      </w:r>
      <w:r>
        <w:rPr>
          <w:rFonts w:hint="eastAsia" w:ascii="仿宋_GB2312" w:hAnsi="仿宋_GB2312" w:eastAsia="仿宋_GB2312" w:cs="仿宋_GB2312"/>
          <w:color w:val="auto"/>
          <w:sz w:val="32"/>
          <w:szCs w:val="32"/>
          <w:lang w:val="en-US" w:eastAsia="zh-CN"/>
        </w:rPr>
        <w:t>600余场次。</w:t>
      </w:r>
      <w:r>
        <w:rPr>
          <w:rFonts w:hint="eastAsia" w:ascii="仿宋_GB2312" w:hAnsi="仿宋_GB2312" w:eastAsia="仿宋_GB2312" w:cs="仿宋_GB2312"/>
          <w:color w:val="auto"/>
          <w:sz w:val="32"/>
          <w:szCs w:val="32"/>
          <w:shd w:val="clear" w:color="auto" w:fill="FFFFFF"/>
        </w:rPr>
        <w:t>深化拓展“法律七进+”，</w:t>
      </w:r>
      <w:r>
        <w:rPr>
          <w:rFonts w:hint="eastAsia" w:ascii="仿宋_GB2312" w:hAnsi="仿宋_GB2312" w:eastAsia="仿宋_GB2312" w:cs="仿宋_GB2312"/>
          <w:color w:val="auto"/>
          <w:sz w:val="32"/>
          <w:szCs w:val="32"/>
          <w:shd w:val="clear" w:color="auto" w:fill="FFFFFF"/>
          <w:lang w:val="en-US" w:eastAsia="zh-CN"/>
        </w:rPr>
        <w:t>认真</w:t>
      </w:r>
      <w:r>
        <w:rPr>
          <w:rFonts w:hint="eastAsia" w:ascii="仿宋_GB2312" w:hAnsi="仿宋_GB2312" w:eastAsia="仿宋_GB2312" w:cs="仿宋_GB2312"/>
          <w:color w:val="auto"/>
          <w:sz w:val="32"/>
          <w:szCs w:val="32"/>
          <w:shd w:val="clear" w:color="auto" w:fill="FFFFFF"/>
        </w:rPr>
        <w:t>开展“一月一主题”法治宣传教育</w:t>
      </w:r>
      <w:r>
        <w:rPr>
          <w:rFonts w:hint="eastAsia" w:ascii="仿宋_GB2312" w:hAnsi="仿宋_GB2312" w:eastAsia="仿宋_GB2312" w:cs="仿宋_GB2312"/>
          <w:color w:val="auto"/>
          <w:sz w:val="32"/>
          <w:szCs w:val="32"/>
          <w:shd w:val="clear" w:color="auto" w:fill="FFFFFF"/>
          <w:lang w:val="en-US" w:eastAsia="zh-CN"/>
        </w:rPr>
        <w:t>和</w:t>
      </w:r>
      <w:r>
        <w:rPr>
          <w:rFonts w:hint="eastAsia" w:ascii="仿宋_GB2312" w:hAnsi="仿宋_GB2312" w:eastAsia="仿宋_GB2312" w:cs="仿宋_GB2312"/>
          <w:color w:val="auto"/>
          <w:sz w:val="32"/>
          <w:szCs w:val="32"/>
        </w:rPr>
        <w:t>“美好生活·民法典相伴”等</w:t>
      </w:r>
      <w:r>
        <w:rPr>
          <w:rFonts w:hint="eastAsia" w:ascii="仿宋_GB2312" w:hAnsi="仿宋_GB2312" w:eastAsia="仿宋_GB2312" w:cs="仿宋_GB2312"/>
          <w:color w:val="auto"/>
          <w:sz w:val="32"/>
          <w:szCs w:val="32"/>
          <w:lang w:val="en-US" w:eastAsia="zh-CN"/>
        </w:rPr>
        <w:t>专</w:t>
      </w:r>
      <w:r>
        <w:rPr>
          <w:rFonts w:hint="eastAsia" w:ascii="仿宋_GB2312" w:hAnsi="仿宋_GB2312" w:eastAsia="仿宋_GB2312" w:cs="仿宋_GB2312"/>
          <w:color w:val="auto"/>
          <w:sz w:val="32"/>
          <w:szCs w:val="32"/>
        </w:rPr>
        <w:t>题宣传活动</w:t>
      </w:r>
      <w:r>
        <w:rPr>
          <w:rFonts w:hint="eastAsia" w:ascii="仿宋_GB2312" w:hAnsi="仿宋_GB2312" w:eastAsia="仿宋_GB2312" w:cs="仿宋_GB2312"/>
          <w:color w:val="auto"/>
          <w:sz w:val="32"/>
          <w:szCs w:val="32"/>
          <w:lang w:val="en-US" w:eastAsia="zh-CN"/>
        </w:rPr>
        <w:t>700</w:t>
      </w:r>
      <w:r>
        <w:rPr>
          <w:rFonts w:hint="eastAsia" w:ascii="仿宋_GB2312" w:hAnsi="仿宋_GB2312" w:eastAsia="仿宋_GB2312" w:cs="仿宋_GB2312"/>
          <w:color w:val="auto"/>
          <w:sz w:val="32"/>
          <w:szCs w:val="32"/>
        </w:rPr>
        <w:t>余场，</w:t>
      </w:r>
      <w:r>
        <w:rPr>
          <w:rFonts w:hint="eastAsia" w:ascii="仿宋_GB2312" w:hAnsi="仿宋_GB2312" w:eastAsia="仿宋_GB2312" w:cs="仿宋_GB2312"/>
          <w:color w:val="auto"/>
          <w:sz w:val="32"/>
          <w:szCs w:val="40"/>
        </w:rPr>
        <w:t>解答群众法律咨询</w:t>
      </w:r>
      <w:r>
        <w:rPr>
          <w:rFonts w:hint="eastAsia" w:ascii="仿宋_GB2312" w:hAnsi="仿宋_GB2312" w:eastAsia="仿宋_GB2312" w:cs="仿宋_GB2312"/>
          <w:color w:val="auto"/>
          <w:sz w:val="32"/>
          <w:szCs w:val="40"/>
          <w:lang w:val="en-US" w:eastAsia="zh-CN"/>
        </w:rPr>
        <w:t>1100</w:t>
      </w:r>
      <w:r>
        <w:rPr>
          <w:rFonts w:hint="eastAsia" w:ascii="仿宋_GB2312" w:hAnsi="仿宋_GB2312" w:eastAsia="仿宋_GB2312" w:cs="仿宋_GB2312"/>
          <w:color w:val="auto"/>
          <w:sz w:val="32"/>
          <w:szCs w:val="40"/>
        </w:rPr>
        <w:t>件，</w:t>
      </w:r>
      <w:r>
        <w:rPr>
          <w:rFonts w:hint="eastAsia" w:ascii="仿宋_GB2312" w:hAnsi="仿宋_GB2312" w:eastAsia="仿宋_GB2312" w:cs="仿宋_GB2312"/>
          <w:color w:val="auto"/>
          <w:sz w:val="32"/>
          <w:szCs w:val="40"/>
          <w:lang w:eastAsia="zh-CN"/>
        </w:rPr>
        <w:t>服务</w:t>
      </w:r>
      <w:r>
        <w:rPr>
          <w:rFonts w:hint="eastAsia" w:ascii="仿宋_GB2312" w:hAnsi="仿宋_GB2312" w:eastAsia="仿宋_GB2312" w:cs="仿宋_GB2312"/>
          <w:color w:val="auto"/>
          <w:sz w:val="32"/>
          <w:szCs w:val="40"/>
        </w:rPr>
        <w:t>群众</w:t>
      </w:r>
      <w:r>
        <w:rPr>
          <w:rFonts w:hint="eastAsia" w:ascii="仿宋_GB2312" w:hAnsi="仿宋_GB2312" w:eastAsia="仿宋_GB2312" w:cs="仿宋_GB2312"/>
          <w:color w:val="auto"/>
          <w:sz w:val="32"/>
          <w:szCs w:val="40"/>
          <w:lang w:val="en-US" w:eastAsia="zh-CN"/>
        </w:rPr>
        <w:t>2000</w:t>
      </w:r>
      <w:r>
        <w:rPr>
          <w:rFonts w:hint="eastAsia" w:ascii="仿宋_GB2312" w:hAnsi="仿宋_GB2312" w:eastAsia="仿宋_GB2312" w:cs="仿宋_GB2312"/>
          <w:color w:val="auto"/>
          <w:sz w:val="32"/>
          <w:szCs w:val="40"/>
        </w:rPr>
        <w:t>人次。</w:t>
      </w:r>
      <w:r>
        <w:rPr>
          <w:rFonts w:hint="eastAsia" w:ascii="仿宋_GB2312" w:hAnsi="仿宋_GB2312" w:eastAsia="仿宋_GB2312" w:cs="仿宋_GB2312"/>
          <w:color w:val="auto"/>
          <w:sz w:val="32"/>
          <w:szCs w:val="32"/>
        </w:rPr>
        <w:t>积极开展农村学法用法示范户培育，大力实施村（社区）“法律明白人”培养工程，</w:t>
      </w:r>
      <w:r>
        <w:rPr>
          <w:rFonts w:hint="eastAsia" w:ascii="仿宋_GB2312" w:hAnsi="仿宋_GB2312" w:eastAsia="仿宋_GB2312" w:cs="仿宋_GB2312"/>
          <w:color w:val="auto"/>
          <w:sz w:val="32"/>
          <w:szCs w:val="32"/>
          <w:lang w:val="en-US" w:eastAsia="zh-CN"/>
        </w:rPr>
        <w:t>做好全国、全省</w:t>
      </w:r>
      <w:r>
        <w:rPr>
          <w:rFonts w:hint="eastAsia" w:ascii="仿宋_GB2312" w:hAnsi="仿宋_GB2312" w:eastAsia="仿宋_GB2312" w:cs="仿宋_GB2312"/>
          <w:color w:val="auto"/>
          <w:sz w:val="32"/>
          <w:szCs w:val="32"/>
        </w:rPr>
        <w:t>民主法治示范村（社区）评选</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0" w:firstLineChars="200"/>
        <w:textAlignment w:val="auto"/>
        <w:rPr>
          <w:rFonts w:hint="default"/>
          <w:color w:val="FF0000"/>
          <w:lang w:val="en-US" w:eastAsia="zh-CN"/>
        </w:rPr>
      </w:pPr>
      <w:r>
        <w:rPr>
          <w:rFonts w:hint="eastAsia" w:ascii="楷体_GB2312" w:eastAsia="楷体_GB2312" w:cs="仿宋_GB2312"/>
          <w:color w:val="auto"/>
          <w:sz w:val="32"/>
          <w:szCs w:val="32"/>
          <w:lang w:val="en-US" w:eastAsia="zh-CN"/>
        </w:rPr>
        <w:t>3.</w:t>
      </w:r>
      <w:r>
        <w:rPr>
          <w:rFonts w:hint="eastAsia" w:ascii="楷体_GB2312" w:eastAsia="楷体_GB2312" w:cs="仿宋_GB2312"/>
          <w:color w:val="auto"/>
          <w:sz w:val="32"/>
          <w:szCs w:val="32"/>
        </w:rPr>
        <w:t>聚焦聚力“三大职能”，</w:t>
      </w:r>
      <w:r>
        <w:rPr>
          <w:rFonts w:hint="eastAsia" w:ascii="楷体_GB2312" w:hAnsi="黑体" w:eastAsia="楷体_GB2312" w:cs="黑体"/>
          <w:color w:val="auto"/>
          <w:sz w:val="32"/>
          <w:szCs w:val="32"/>
        </w:rPr>
        <w:t>着力提升司法行政工作质效</w:t>
      </w:r>
      <w:r>
        <w:rPr>
          <w:rFonts w:hint="eastAsia" w:ascii="楷体_GB2312" w:eastAsia="楷体_GB2312" w:cs="仿宋_GB2312"/>
          <w:color w:val="auto"/>
          <w:sz w:val="32"/>
          <w:szCs w:val="32"/>
        </w:rPr>
        <w:t>。</w:t>
      </w:r>
      <w:r>
        <w:rPr>
          <w:rFonts w:hint="eastAsia" w:ascii="仿宋_GB2312" w:hAnsi="仿宋_GB2312" w:eastAsia="仿宋_GB2312" w:cs="仿宋_GB2312"/>
          <w:b/>
          <w:bCs/>
          <w:color w:val="auto"/>
          <w:sz w:val="32"/>
          <w:szCs w:val="32"/>
          <w:shd w:val="clear" w:color="auto" w:fill="FFFFFF"/>
        </w:rPr>
        <w:t>一是聚焦聚力行政执法。</w:t>
      </w:r>
      <w:r>
        <w:rPr>
          <w:rFonts w:hint="eastAsia" w:ascii="仿宋_GB2312" w:hAnsi="仿宋_GB2312" w:eastAsia="仿宋_GB2312" w:cs="仿宋_GB2312"/>
          <w:color w:val="auto"/>
          <w:sz w:val="32"/>
          <w:szCs w:val="32"/>
          <w:lang w:val="en-US" w:eastAsia="zh-CN"/>
        </w:rPr>
        <w:t>认真履行合法性审查（核）职责，</w:t>
      </w:r>
      <w:r>
        <w:rPr>
          <w:rFonts w:hint="eastAsia" w:ascii="仿宋_GB2312" w:hAnsi="仿宋_GB2312" w:eastAsia="仿宋_GB2312" w:cs="仿宋_GB2312"/>
          <w:color w:val="auto"/>
          <w:sz w:val="32"/>
          <w:szCs w:val="32"/>
          <w:shd w:val="clear" w:color="auto" w:fill="FFFFFF"/>
        </w:rPr>
        <w:t>建立重大行政决策事项目录清单，</w:t>
      </w:r>
      <w:r>
        <w:rPr>
          <w:rFonts w:hint="eastAsia" w:ascii="仿宋_GB2312" w:hAnsi="仿宋_GB2312" w:eastAsia="仿宋_GB2312" w:cs="仿宋_GB2312"/>
          <w:color w:val="auto"/>
          <w:sz w:val="32"/>
          <w:szCs w:val="32"/>
          <w:lang w:val="en-US" w:eastAsia="zh-CN"/>
        </w:rPr>
        <w:t>持续深化合法性审查“四级联审”工作机制，有效降低政府决策法律风险。</w:t>
      </w:r>
      <w:r>
        <w:rPr>
          <w:rFonts w:hint="eastAsia" w:ascii="仿宋_GB2312" w:hAnsi="仿宋_GB2312" w:eastAsia="仿宋_GB2312" w:cs="仿宋_GB2312"/>
          <w:sz w:val="32"/>
          <w:szCs w:val="32"/>
          <w:lang w:val="en-US" w:eastAsia="zh-CN"/>
        </w:rPr>
        <w:t>全年审查政府招商引资协议（合同）76件，办理区委区政府涉法事务13件，出具合法性审查意见书63份，提出法律意见建议241条。</w:t>
      </w:r>
      <w:r>
        <w:rPr>
          <w:rFonts w:hint="eastAsia" w:ascii="仿宋_GB2312" w:hAnsi="仿宋_GB2312" w:eastAsia="仿宋_GB2312" w:cs="仿宋_GB2312"/>
          <w:color w:val="auto"/>
          <w:sz w:val="32"/>
          <w:szCs w:val="32"/>
          <w:shd w:val="clear" w:color="auto" w:fill="FFFFFF"/>
          <w:lang w:val="en-US" w:eastAsia="zh-CN"/>
        </w:rPr>
        <w:t>修订完善区法律顾问管理办法和考核办法，优化法律顾问人员组成结构，确保法律顾问作用充分发挥。</w:t>
      </w:r>
      <w:r>
        <w:rPr>
          <w:rFonts w:ascii="仿宋_GB2312" w:hAnsi="仿宋_GB2312" w:eastAsia="仿宋_GB2312" w:cs="仿宋_GB2312"/>
          <w:color w:val="auto"/>
          <w:sz w:val="32"/>
          <w:szCs w:val="32"/>
          <w:shd w:val="clear" w:color="auto" w:fill="FFFFFF"/>
        </w:rPr>
        <w:t>加强行政执法监督机制和能力建设，</w:t>
      </w:r>
      <w:r>
        <w:rPr>
          <w:rFonts w:hint="eastAsia" w:ascii="仿宋_GB2312" w:hAnsi="仿宋_GB2312" w:eastAsia="仿宋_GB2312" w:cs="仿宋_GB2312"/>
          <w:color w:val="auto"/>
          <w:sz w:val="32"/>
          <w:szCs w:val="32"/>
          <w:shd w:val="clear" w:color="auto" w:fill="FFFFFF"/>
        </w:rPr>
        <w:t>全面贯彻落实行政执法“</w:t>
      </w:r>
      <w:r>
        <w:rPr>
          <w:rFonts w:hint="eastAsia" w:ascii="仿宋_GB2312" w:hAnsi="仿宋_GB2312" w:eastAsia="仿宋_GB2312" w:cs="仿宋_GB2312"/>
          <w:b w:val="0"/>
          <w:bCs w:val="0"/>
          <w:color w:val="auto"/>
          <w:sz w:val="32"/>
          <w:szCs w:val="32"/>
        </w:rPr>
        <w:t>三项制度</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val="0"/>
          <w:color w:val="auto"/>
          <w:sz w:val="32"/>
          <w:szCs w:val="32"/>
          <w:lang w:eastAsia="zh-CN"/>
        </w:rPr>
        <w:t>督促</w:t>
      </w:r>
      <w:r>
        <w:rPr>
          <w:rFonts w:hint="eastAsia" w:ascii="仿宋_GB2312" w:hAnsi="仿宋_GB2312" w:eastAsia="仿宋_GB2312" w:cs="仿宋_GB2312"/>
          <w:b w:val="0"/>
          <w:bCs w:val="0"/>
          <w:color w:val="auto"/>
          <w:sz w:val="32"/>
          <w:szCs w:val="32"/>
          <w:lang w:val="en-US" w:eastAsia="zh-CN"/>
        </w:rPr>
        <w:t>新修订的</w:t>
      </w:r>
      <w:r>
        <w:rPr>
          <w:rFonts w:hint="eastAsia" w:ascii="仿宋_GB2312" w:hAnsi="仿宋_GB2312" w:eastAsia="仿宋_GB2312" w:cs="仿宋_GB2312"/>
          <w:b w:val="0"/>
          <w:bCs w:val="0"/>
          <w:color w:val="auto"/>
          <w:sz w:val="32"/>
          <w:szCs w:val="32"/>
          <w:lang w:eastAsia="zh-CN"/>
        </w:rPr>
        <w:t>《行政处罚法》</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lang w:val="en-US" w:eastAsia="zh-CN"/>
        </w:rPr>
        <w:t>相关</w:t>
      </w:r>
      <w:r>
        <w:rPr>
          <w:rFonts w:hint="eastAsia" w:ascii="仿宋_GB2312" w:hAnsi="仿宋_GB2312" w:eastAsia="仿宋_GB2312" w:cs="仿宋_GB2312"/>
          <w:b w:val="0"/>
          <w:bCs w:val="0"/>
          <w:color w:val="auto"/>
          <w:sz w:val="32"/>
          <w:szCs w:val="32"/>
          <w:lang w:eastAsia="zh-CN"/>
        </w:rPr>
        <w:t>执法单位</w:t>
      </w:r>
      <w:r>
        <w:rPr>
          <w:rFonts w:hint="eastAsia" w:ascii="仿宋_GB2312" w:hAnsi="仿宋_GB2312" w:eastAsia="仿宋_GB2312" w:cs="仿宋_GB2312"/>
          <w:b w:val="0"/>
          <w:bCs w:val="0"/>
          <w:color w:val="auto"/>
          <w:sz w:val="32"/>
          <w:szCs w:val="32"/>
          <w:lang w:val="en-US" w:eastAsia="zh-CN"/>
        </w:rPr>
        <w:t>落地</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开展行政执法专项督查</w:t>
      </w:r>
      <w:r>
        <w:rPr>
          <w:rFonts w:hint="default" w:ascii="仿宋_GB2312" w:hAnsi="仿宋_GB2312" w:eastAsia="仿宋_GB2312" w:cs="仿宋_GB2312"/>
          <w:color w:val="auto"/>
          <w:sz w:val="32"/>
          <w:szCs w:val="32"/>
          <w:shd w:val="clear" w:color="auto" w:fill="FFFFFF"/>
          <w:lang w:val="en" w:eastAsia="zh-CN"/>
        </w:rPr>
        <w:t>3</w:t>
      </w:r>
      <w:r>
        <w:rPr>
          <w:rFonts w:hint="eastAsia" w:ascii="仿宋_GB2312" w:hAnsi="仿宋_GB2312" w:eastAsia="仿宋_GB2312" w:cs="仿宋_GB2312"/>
          <w:color w:val="auto"/>
          <w:sz w:val="32"/>
          <w:szCs w:val="32"/>
          <w:shd w:val="clear" w:color="auto" w:fill="FFFFFF"/>
          <w:lang w:val="en-US" w:eastAsia="zh-CN"/>
        </w:rPr>
        <w:t>次，督促33个行政执法单位</w:t>
      </w:r>
      <w:r>
        <w:rPr>
          <w:rFonts w:hint="eastAsia" w:ascii="仿宋_GB2312" w:hAnsi="仿宋_GB2312" w:eastAsia="仿宋_GB2312" w:cs="仿宋_GB2312"/>
          <w:color w:val="auto"/>
          <w:sz w:val="32"/>
          <w:szCs w:val="32"/>
          <w:shd w:val="clear" w:color="auto" w:fill="FFFFFF"/>
        </w:rPr>
        <w:t>认真开展重点领域“选择性、一刀切、不文明”执法问题整治</w:t>
      </w:r>
      <w:r>
        <w:rPr>
          <w:rFonts w:hint="eastAsia" w:ascii="仿宋_GB2312" w:hAnsi="仿宋_GB2312" w:eastAsia="仿宋_GB2312" w:cs="仿宋_GB2312"/>
          <w:color w:val="auto"/>
          <w:sz w:val="32"/>
          <w:szCs w:val="32"/>
          <w:shd w:val="clear" w:color="auto" w:fill="FFFFFF"/>
          <w:lang w:val="en-US" w:eastAsia="zh-CN"/>
        </w:rPr>
        <w:t>，满意度调查覆盖5万余人次，回访行政执法案件当事人600余人次。认真做好11个行政执法单位案件评查工作。认真组织174名公职人员参加行政执法人员资格考试。</w:t>
      </w:r>
      <w:r>
        <w:rPr>
          <w:rFonts w:hint="eastAsia" w:ascii="仿宋_GB2312" w:hAnsi="仿宋_GB2312" w:eastAsia="仿宋_GB2312" w:cs="仿宋_GB2312"/>
          <w:color w:val="auto"/>
          <w:sz w:val="32"/>
          <w:szCs w:val="32"/>
          <w:lang w:val="en-US" w:eastAsia="zh-CN"/>
        </w:rPr>
        <w:t>全面完成行政复议体制改革任务，健全完善阳光复议、规范办案等行政复议制度机制，</w:t>
      </w:r>
      <w:r>
        <w:rPr>
          <w:rFonts w:hint="eastAsia" w:ascii="仿宋_GB2312" w:hAnsi="仿宋_GB2312" w:eastAsia="仿宋_GB2312" w:cs="仿宋_GB2312"/>
          <w:color w:val="auto"/>
          <w:sz w:val="32"/>
          <w:szCs w:val="32"/>
          <w:shd w:val="clear" w:color="auto" w:fill="FFFFFF"/>
          <w:lang w:val="en-US" w:eastAsia="zh-CN"/>
        </w:rPr>
        <w:t>区人民政府行政复议委员会作用有效发挥，设置</w:t>
      </w:r>
      <w:r>
        <w:rPr>
          <w:rFonts w:hint="eastAsia" w:ascii="仿宋_GB2312" w:hAnsi="仿宋_GB2312" w:eastAsia="仿宋_GB2312" w:cs="仿宋_GB2312"/>
          <w:color w:val="auto"/>
          <w:sz w:val="32"/>
          <w:szCs w:val="32"/>
          <w:lang w:val="en-US" w:eastAsia="zh-CN"/>
        </w:rPr>
        <w:t>镇行政复议申请联络点12个，有效化解行政争议。</w:t>
      </w:r>
      <w:r>
        <w:rPr>
          <w:rFonts w:hint="eastAsia" w:ascii="仿宋_GB2312" w:hAnsi="仿宋_GB2312" w:eastAsia="仿宋_GB2312" w:cs="仿宋_GB2312"/>
          <w:color w:val="auto"/>
          <w:sz w:val="32"/>
          <w:szCs w:val="32"/>
          <w:shd w:val="clear" w:color="auto" w:fill="FFFFFF"/>
          <w:lang w:eastAsia="zh-CN"/>
        </w:rPr>
        <w:t>全年办理行政复议案件</w:t>
      </w:r>
      <w:r>
        <w:rPr>
          <w:rFonts w:hint="eastAsia" w:ascii="仿宋_GB2312" w:hAnsi="仿宋_GB2312" w:eastAsia="仿宋_GB2312" w:cs="仿宋_GB2312"/>
          <w:color w:val="auto"/>
          <w:sz w:val="32"/>
          <w:szCs w:val="32"/>
          <w:shd w:val="clear" w:color="auto" w:fill="FFFFFF"/>
          <w:lang w:val="en-US" w:eastAsia="zh-CN"/>
        </w:rPr>
        <w:t>9件，</w:t>
      </w:r>
      <w:r>
        <w:rPr>
          <w:rFonts w:hint="eastAsia" w:ascii="仿宋_GB2312" w:eastAsia="仿宋_GB2312"/>
          <w:color w:val="auto"/>
          <w:sz w:val="32"/>
          <w:szCs w:val="32"/>
        </w:rPr>
        <w:t>诉讼案件4件，行政机关负责人出庭率达100%，胜诉率100%。</w:t>
      </w:r>
      <w:r>
        <w:rPr>
          <w:rFonts w:hint="eastAsia" w:ascii="仿宋_GB2312" w:hAnsi="仿宋_GB2312" w:eastAsia="仿宋_GB2312" w:cs="仿宋_GB2312"/>
          <w:b/>
          <w:bCs/>
          <w:color w:val="auto"/>
          <w:sz w:val="32"/>
          <w:szCs w:val="32"/>
          <w:shd w:val="clear" w:color="auto" w:fill="FFFFFF"/>
        </w:rPr>
        <w:t>二是聚焦聚力刑事执行。</w:t>
      </w:r>
      <w:r>
        <w:rPr>
          <w:rFonts w:hint="eastAsia" w:ascii="仿宋_GB2312" w:hAnsi="仿宋_GB2312" w:eastAsia="仿宋_GB2312" w:cs="仿宋_GB2312"/>
          <w:sz w:val="32"/>
          <w:szCs w:val="32"/>
          <w:shd w:val="clear" w:color="auto" w:fill="FFFFFF"/>
        </w:rPr>
        <w:t>调整</w:t>
      </w:r>
      <w:r>
        <w:rPr>
          <w:rFonts w:hint="eastAsia" w:ascii="仿宋_GB2312" w:hAnsi="仿宋_GB2312" w:eastAsia="仿宋_GB2312" w:cs="仿宋_GB2312"/>
          <w:sz w:val="32"/>
          <w:szCs w:val="32"/>
        </w:rPr>
        <w:t>社区矫正委员会领导成员，</w:t>
      </w:r>
      <w:r>
        <w:rPr>
          <w:rFonts w:hint="eastAsia" w:ascii="仿宋_GB2312" w:hAnsi="仿宋_GB2312" w:eastAsia="仿宋_GB2312" w:cs="仿宋_GB2312"/>
          <w:sz w:val="32"/>
          <w:szCs w:val="32"/>
          <w:shd w:val="clear" w:color="auto" w:fill="FFFFFF"/>
        </w:rPr>
        <w:t>全面加强社区矫正“三化”建设</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完善配套制度。深化“三新”教育，</w:t>
      </w:r>
      <w:r>
        <w:rPr>
          <w:rFonts w:hint="eastAsia" w:ascii="仿宋_GB2312" w:hAnsi="仿宋_GB2312" w:eastAsia="仿宋_GB2312" w:cs="仿宋_GB2312"/>
          <w:sz w:val="32"/>
          <w:szCs w:val="32"/>
        </w:rPr>
        <w:t>引导社区矫正对象积极</w:t>
      </w:r>
      <w:r>
        <w:rPr>
          <w:rFonts w:hint="eastAsia" w:ascii="仿宋_GB2312" w:hAnsi="仿宋_GB2312" w:eastAsia="仿宋_GB2312" w:cs="仿宋_GB2312"/>
          <w:sz w:val="32"/>
          <w:szCs w:val="32"/>
          <w:lang w:eastAsia="zh-CN"/>
        </w:rPr>
        <w:t>参与</w:t>
      </w:r>
      <w:r>
        <w:rPr>
          <w:rFonts w:hint="eastAsia" w:ascii="仿宋_GB2312" w:hAnsi="仿宋_GB2312" w:eastAsia="仿宋_GB2312" w:cs="仿宋_GB2312"/>
          <w:sz w:val="32"/>
          <w:szCs w:val="32"/>
        </w:rPr>
        <w:t>帮扶活动计划和公益活动，主动认过悔过。</w:t>
      </w:r>
      <w:r>
        <w:rPr>
          <w:rFonts w:hint="eastAsia" w:ascii="仿宋_GB2312" w:hAnsi="仿宋_GB2312" w:eastAsia="仿宋_GB2312" w:cs="仿宋_GB2312"/>
          <w:sz w:val="32"/>
          <w:szCs w:val="32"/>
          <w:shd w:val="clear" w:color="auto" w:fill="FFFFFF"/>
        </w:rPr>
        <w:t>加强重点人群服务管理，严格落实安置帮教措施，持续推动刑罚执行一体化建设，加强刑释人员衔接。管理对象安全稳定无事故。</w:t>
      </w:r>
      <w:r>
        <w:rPr>
          <w:rFonts w:hint="eastAsia" w:ascii="仿宋_GB2312" w:hAnsi="仿宋_GB2312" w:eastAsia="仿宋_GB2312" w:cs="仿宋_GB2312"/>
          <w:b/>
          <w:bCs/>
          <w:color w:val="auto"/>
          <w:sz w:val="32"/>
          <w:szCs w:val="32"/>
          <w:shd w:val="clear" w:color="auto" w:fill="FFFFFF"/>
        </w:rPr>
        <w:t>三是聚焦聚力公共法律服务。</w:t>
      </w:r>
      <w:r>
        <w:rPr>
          <w:rFonts w:hint="eastAsia" w:ascii="仿宋_GB2312" w:hAnsi="仿宋_GB2312" w:eastAsia="仿宋_GB2312" w:cs="仿宋_GB2312"/>
          <w:sz w:val="32"/>
          <w:szCs w:val="32"/>
          <w:lang w:eastAsia="zh-CN"/>
        </w:rPr>
        <w:t>如期完成</w:t>
      </w:r>
      <w:r>
        <w:rPr>
          <w:rFonts w:hint="eastAsia" w:ascii="仿宋_GB2312" w:hAnsi="仿宋_GB2312" w:eastAsia="仿宋_GB2312" w:cs="仿宋_GB2312"/>
          <w:sz w:val="32"/>
          <w:szCs w:val="32"/>
        </w:rPr>
        <w:t>全区5个行业性、专业性人民调解组织换届工作。</w:t>
      </w:r>
      <w:r>
        <w:rPr>
          <w:rFonts w:hint="eastAsia" w:ascii="仿宋_GB2312" w:hAnsi="仿宋_GB2312" w:eastAsia="仿宋_GB2312" w:cs="仿宋_GB2312"/>
          <w:color w:val="auto"/>
          <w:sz w:val="32"/>
          <w:szCs w:val="32"/>
          <w:shd w:val="clear" w:color="auto" w:fill="FFFFFF"/>
        </w:rPr>
        <w:t>深入推进“调解+”，</w:t>
      </w:r>
      <w:r>
        <w:rPr>
          <w:rFonts w:hint="eastAsia" w:ascii="仿宋_GB2312" w:hAnsi="仿宋_GB2312" w:eastAsia="仿宋_GB2312" w:cs="仿宋_GB2312"/>
          <w:color w:val="auto"/>
          <w:sz w:val="32"/>
          <w:szCs w:val="32"/>
          <w:shd w:val="clear" w:color="auto" w:fill="FFFFFF"/>
          <w:lang w:eastAsia="zh-CN"/>
        </w:rPr>
        <w:t>扎实</w:t>
      </w:r>
      <w:r>
        <w:rPr>
          <w:rFonts w:hint="eastAsia" w:ascii="仿宋_GB2312" w:hAnsi="仿宋_GB2312" w:eastAsia="仿宋_GB2312" w:cs="仿宋_GB2312"/>
          <w:color w:val="auto"/>
          <w:sz w:val="32"/>
          <w:szCs w:val="32"/>
          <w:shd w:val="clear" w:color="auto" w:fill="FFFFFF"/>
        </w:rPr>
        <w:t>开展调解促稳定喜迎二十大“三查三化三优”活动</w:t>
      </w:r>
      <w:r>
        <w:rPr>
          <w:rFonts w:hint="eastAsia" w:ascii="仿宋_GB2312" w:hAnsi="仿宋_GB2312" w:eastAsia="仿宋_GB2312" w:cs="仿宋_GB2312"/>
          <w:sz w:val="32"/>
          <w:szCs w:val="32"/>
        </w:rPr>
        <w:t>和社会矛盾风险隐患“大排查、大化解”百日攻坚行动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color w:val="auto"/>
          <w:sz w:val="32"/>
          <w:szCs w:val="32"/>
          <w:shd w:val="clear" w:color="auto" w:fill="FFFFFF"/>
          <w:lang w:eastAsia="zh-CN"/>
        </w:rPr>
        <w:t>人民调解业务培训</w:t>
      </w:r>
      <w:r>
        <w:rPr>
          <w:rFonts w:hint="eastAsia" w:ascii="仿宋_GB2312" w:hAnsi="仿宋_GB2312" w:eastAsia="仿宋_GB2312" w:cs="仿宋_GB2312"/>
          <w:sz w:val="32"/>
          <w:szCs w:val="32"/>
        </w:rPr>
        <w:t>20余场</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eastAsia="zh-CN"/>
        </w:rPr>
        <w:t>排查矛盾纠纷</w:t>
      </w:r>
      <w:r>
        <w:rPr>
          <w:rFonts w:hint="eastAsia" w:ascii="仿宋_GB2312" w:hAnsi="仿宋_GB2312" w:eastAsia="仿宋_GB2312" w:cs="仿宋_GB2312"/>
          <w:color w:val="auto"/>
          <w:sz w:val="32"/>
          <w:szCs w:val="32"/>
          <w:shd w:val="clear" w:color="auto" w:fill="FFFFFF"/>
          <w:lang w:val="en-US" w:eastAsia="zh-CN"/>
        </w:rPr>
        <w:t>5000余次，</w:t>
      </w:r>
      <w:r>
        <w:rPr>
          <w:rFonts w:hint="eastAsia" w:ascii="仿宋_GB2312" w:hAnsi="仿宋_GB2312" w:eastAsia="仿宋_GB2312" w:cs="仿宋_GB2312"/>
          <w:color w:val="auto"/>
          <w:sz w:val="32"/>
          <w:szCs w:val="32"/>
        </w:rPr>
        <w:t>调处1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00余件，调解成功率99%以上</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推荐</w:t>
      </w:r>
      <w:r>
        <w:rPr>
          <w:rFonts w:hint="eastAsia" w:ascii="仿宋_GB2312" w:hAnsi="仿宋_GB2312" w:eastAsia="仿宋_GB2312" w:cs="仿宋_GB2312"/>
          <w:color w:val="auto"/>
          <w:sz w:val="32"/>
          <w:szCs w:val="32"/>
          <w:shd w:val="clear" w:color="auto" w:fill="FFFFFF"/>
          <w:lang w:val="en-US" w:eastAsia="zh-CN"/>
        </w:rPr>
        <w:t>3人拟任市级人民监督员。出台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lang w:eastAsia="zh-CN"/>
        </w:rPr>
        <w:t>广元市昭化区“十四五”公共法律服务体系建设规划</w:t>
      </w:r>
      <w:r>
        <w:rPr>
          <w:rFonts w:hint="eastAsia" w:ascii="仿宋_GB2312" w:hAnsi="仿宋_GB2312" w:eastAsia="仿宋_GB2312" w:cs="仿宋_GB2312"/>
          <w:sz w:val="32"/>
          <w:szCs w:val="32"/>
          <w:lang w:val="en-US" w:eastAsia="zh-CN"/>
        </w:rPr>
        <w:t>》《广元市昭化区推进公职律师工作实施方案》，</w:t>
      </w:r>
      <w:r>
        <w:rPr>
          <w:rFonts w:hint="eastAsia" w:ascii="仿宋_GB2312" w:hAnsi="仿宋_GB2312" w:eastAsia="仿宋_GB2312" w:cs="仿宋_GB2312"/>
          <w:sz w:val="32"/>
          <w:szCs w:val="32"/>
          <w:u w:val="none"/>
          <w:lang w:eastAsia="zh-CN"/>
        </w:rPr>
        <w:t>高标准</w:t>
      </w:r>
      <w:r>
        <w:rPr>
          <w:rFonts w:hint="eastAsia" w:ascii="仿宋_GB2312" w:hAnsi="仿宋_GB2312" w:eastAsia="仿宋_GB2312" w:cs="仿宋_GB2312"/>
          <w:sz w:val="32"/>
          <w:szCs w:val="32"/>
          <w:u w:val="none"/>
          <w:lang w:val="en-US" w:eastAsia="zh-CN"/>
        </w:rPr>
        <w:t>优化</w:t>
      </w:r>
      <w:r>
        <w:rPr>
          <w:rFonts w:hint="eastAsia" w:ascii="仿宋_GB2312" w:hAnsi="仿宋_GB2312" w:eastAsia="仿宋_GB2312" w:cs="仿宋_GB2312"/>
          <w:sz w:val="32"/>
          <w:szCs w:val="32"/>
          <w:u w:val="none"/>
          <w:lang w:eastAsia="zh-CN"/>
        </w:rPr>
        <w:t>镇、村公共法律服务实体平台和区级公共法律服务中心、昭化镇公共法律服务站等示范阵地。扎实开展“百名律师进百企”、根治农民工欠薪等涉企涉农专项法律服务活动。</w:t>
      </w:r>
      <w:r>
        <w:rPr>
          <w:rFonts w:hint="eastAsia" w:ascii="仿宋_GB2312" w:hAnsi="仿宋_GB2312" w:eastAsia="仿宋_GB2312" w:cs="仿宋_GB2312"/>
          <w:sz w:val="32"/>
          <w:szCs w:val="32"/>
          <w:u w:val="none"/>
          <w:lang w:val="en-US" w:eastAsia="zh-CN"/>
        </w:rPr>
        <w:t>圆满完成法律援助经费专项检查，并全面整改自查和反馈的9个问题。</w:t>
      </w:r>
      <w:r>
        <w:rPr>
          <w:rFonts w:hint="eastAsia" w:ascii="仿宋_GB2312" w:hAnsi="仿宋_GB2312" w:eastAsia="仿宋_GB2312" w:cs="仿宋_GB2312"/>
          <w:color w:val="auto"/>
          <w:sz w:val="32"/>
          <w:szCs w:val="32"/>
          <w:shd w:val="clear" w:color="auto" w:fill="FFFFFF"/>
          <w:lang w:val="en-US" w:eastAsia="zh-CN"/>
        </w:rPr>
        <w:t>扎实推进法律援助工作，</w:t>
      </w:r>
      <w:r>
        <w:rPr>
          <w:rFonts w:hint="eastAsia" w:ascii="仿宋_GB2312" w:hAnsi="仿宋_GB2312" w:eastAsia="仿宋_GB2312" w:cs="仿宋_GB2312"/>
          <w:b w:val="0"/>
          <w:bCs w:val="0"/>
          <w:sz w:val="32"/>
          <w:szCs w:val="32"/>
          <w:lang w:val="zh-CN" w:eastAsia="zh-CN"/>
        </w:rPr>
        <w:t>受理法律援助案件</w:t>
      </w:r>
      <w:r>
        <w:rPr>
          <w:rFonts w:hint="eastAsia" w:ascii="仿宋_GB2312" w:hAnsi="仿宋_GB2312" w:eastAsia="仿宋_GB2312" w:cs="仿宋_GB2312"/>
          <w:b w:val="0"/>
          <w:bCs w:val="0"/>
          <w:sz w:val="32"/>
          <w:szCs w:val="32"/>
          <w:lang w:val="en-US" w:eastAsia="zh-CN"/>
        </w:rPr>
        <w:t>416件，代拟法律文书105件，解答法律咨询</w:t>
      </w:r>
      <w:r>
        <w:rPr>
          <w:rFonts w:hint="eastAsia" w:ascii="仿宋_GB2312" w:hAnsi="仿宋_GB2312" w:eastAsia="仿宋_GB2312" w:cs="仿宋_GB2312"/>
          <w:b w:val="0"/>
          <w:bCs w:val="0"/>
          <w:color w:val="auto"/>
          <w:sz w:val="32"/>
          <w:szCs w:val="32"/>
          <w:lang w:val="en-US" w:eastAsia="zh-CN"/>
        </w:rPr>
        <w:t>1253件</w:t>
      </w:r>
      <w:r>
        <w:rPr>
          <w:rFonts w:hint="eastAsia" w:ascii="仿宋_GB2312" w:hAnsi="仿宋_GB2312" w:eastAsia="仿宋_GB2312" w:cs="仿宋_GB2312"/>
          <w:b w:val="0"/>
          <w:bCs w:val="0"/>
          <w:sz w:val="32"/>
          <w:szCs w:val="32"/>
          <w:lang w:val="en-US" w:eastAsia="zh-CN"/>
        </w:rPr>
        <w:t>次，挽回或避免经济损失377.21万元。</w:t>
      </w:r>
      <w:r>
        <w:rPr>
          <w:rFonts w:hint="eastAsia" w:ascii="仿宋_GB2312" w:hAnsi="仿宋_GB2312" w:eastAsia="仿宋_GB2312" w:cs="仿宋_GB2312"/>
          <w:color w:val="auto"/>
          <w:sz w:val="32"/>
          <w:szCs w:val="32"/>
          <w:shd w:val="clear" w:color="auto" w:fill="FFFFFF"/>
          <w:lang w:eastAsia="zh-CN"/>
        </w:rPr>
        <w:t>加强公证机构业务、队伍、服务和基层设施建设，顺利</w:t>
      </w:r>
      <w:r>
        <w:rPr>
          <w:rFonts w:hint="eastAsia" w:ascii="仿宋_GB2312" w:hAnsi="仿宋_GB2312" w:eastAsia="仿宋_GB2312" w:cs="仿宋_GB2312"/>
          <w:sz w:val="32"/>
          <w:szCs w:val="40"/>
          <w:lang w:val="en-US" w:eastAsia="zh-CN"/>
        </w:rPr>
        <w:t>通过全省</w:t>
      </w:r>
      <w:r>
        <w:rPr>
          <w:rFonts w:hint="eastAsia" w:ascii="仿宋_GB2312" w:hAnsi="仿宋_GB2312" w:eastAsia="仿宋_GB2312" w:cs="仿宋_GB2312"/>
          <w:color w:val="auto"/>
          <w:sz w:val="32"/>
          <w:szCs w:val="32"/>
          <w:shd w:val="clear" w:color="auto" w:fill="FFFFFF"/>
        </w:rPr>
        <w:t>标准化公证</w:t>
      </w:r>
      <w:r>
        <w:rPr>
          <w:rFonts w:hint="eastAsia" w:ascii="仿宋_GB2312" w:hAnsi="仿宋_GB2312" w:eastAsia="仿宋_GB2312" w:cs="仿宋_GB2312"/>
          <w:color w:val="auto"/>
          <w:sz w:val="32"/>
          <w:szCs w:val="32"/>
          <w:shd w:val="clear" w:color="auto" w:fill="FFFFFF"/>
          <w:lang w:eastAsia="zh-CN"/>
        </w:rPr>
        <w:t>处验收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全年</w:t>
      </w:r>
      <w:r>
        <w:rPr>
          <w:rFonts w:hint="eastAsia" w:ascii="仿宋_GB2312" w:hAnsi="仿宋_GB2312" w:eastAsia="仿宋_GB2312" w:cs="仿宋_GB2312"/>
          <w:color w:val="auto"/>
          <w:sz w:val="32"/>
          <w:szCs w:val="32"/>
          <w:shd w:val="clear" w:color="auto" w:fill="FFFFFF"/>
          <w:lang w:eastAsia="zh-CN"/>
        </w:rPr>
        <w:t>办理公证</w:t>
      </w:r>
      <w:r>
        <w:rPr>
          <w:rFonts w:hint="eastAsia" w:ascii="仿宋_GB2312" w:eastAsia="仿宋_GB2312"/>
          <w:color w:val="auto"/>
          <w:sz w:val="32"/>
          <w:szCs w:val="32"/>
          <w:lang w:val="en-US" w:eastAsia="zh-CN"/>
        </w:rPr>
        <w:t>98</w:t>
      </w:r>
      <w:r>
        <w:rPr>
          <w:rFonts w:hint="eastAsia" w:ascii="仿宋_GB2312" w:eastAsia="仿宋_GB2312"/>
          <w:color w:val="auto"/>
          <w:sz w:val="32"/>
          <w:szCs w:val="32"/>
        </w:rPr>
        <w:t>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减免费用1490元</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0" w:firstLineChars="200"/>
        <w:textAlignment w:val="baseline"/>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val="en-US" w:eastAsia="zh-CN"/>
        </w:rPr>
        <w:t>4.</w:t>
      </w:r>
      <w:r>
        <w:rPr>
          <w:rFonts w:hint="eastAsia" w:ascii="楷体_GB2312" w:hAnsi="楷体_GB2312" w:eastAsia="楷体_GB2312" w:cs="楷体_GB2312"/>
          <w:color w:val="auto"/>
          <w:sz w:val="32"/>
          <w:szCs w:val="32"/>
          <w:shd w:val="clear" w:color="auto" w:fill="FFFFFF"/>
        </w:rPr>
        <w:t>不断强化“三项保障”，夯实基层建设基础。</w:t>
      </w:r>
      <w:r>
        <w:rPr>
          <w:rFonts w:hint="eastAsia" w:ascii="仿宋_GB2312" w:hAnsi="仿宋_GB2312" w:eastAsia="仿宋_GB2312" w:cs="仿宋_GB2312"/>
          <w:b/>
          <w:bCs/>
          <w:color w:val="auto"/>
          <w:sz w:val="32"/>
          <w:szCs w:val="32"/>
          <w:shd w:val="clear" w:color="auto" w:fill="FFFFFF"/>
        </w:rPr>
        <w:t>一是强化人才队伍建设。</w:t>
      </w:r>
      <w:r>
        <w:rPr>
          <w:rFonts w:hint="eastAsia" w:ascii="仿宋_GB2312" w:hAnsi="仿宋_GB2312" w:eastAsia="仿宋_GB2312" w:cs="仿宋_GB2312"/>
          <w:color w:val="auto"/>
          <w:sz w:val="32"/>
          <w:szCs w:val="32"/>
          <w:shd w:val="clear" w:color="auto" w:fill="FFFFFF"/>
        </w:rPr>
        <w:t>鼓励支持干部职工参加法考、学历提升。</w:t>
      </w:r>
      <w:r>
        <w:rPr>
          <w:rFonts w:hint="eastAsia" w:ascii="仿宋_GB2312" w:hAnsi="仿宋_GB2312" w:eastAsia="仿宋_GB2312" w:cs="仿宋_GB2312"/>
          <w:color w:val="auto"/>
          <w:sz w:val="32"/>
          <w:szCs w:val="32"/>
          <w:shd w:val="clear" w:color="auto" w:fill="FFFFFF"/>
          <w:lang w:eastAsia="zh-CN"/>
        </w:rPr>
        <w:t>每两月开展一次干部职工专题提能培训，加大优秀</w:t>
      </w:r>
      <w:r>
        <w:rPr>
          <w:rFonts w:hint="eastAsia" w:ascii="仿宋_GB2312" w:hAnsi="仿宋_GB2312" w:eastAsia="仿宋_GB2312" w:cs="仿宋_GB2312"/>
          <w:color w:val="auto"/>
          <w:sz w:val="32"/>
          <w:szCs w:val="32"/>
          <w:shd w:val="clear" w:color="auto" w:fill="FFFFFF"/>
        </w:rPr>
        <w:t>年轻干部培养锻炼。</w:t>
      </w:r>
      <w:r>
        <w:rPr>
          <w:rFonts w:hint="eastAsia" w:ascii="仿宋_GB2312" w:hAnsi="仿宋_GB2312" w:eastAsia="仿宋_GB2312" w:cs="仿宋_GB2312"/>
          <w:color w:val="auto"/>
          <w:sz w:val="32"/>
          <w:szCs w:val="32"/>
          <w:lang w:eastAsia="zh-CN"/>
        </w:rPr>
        <w:t>全年完成</w:t>
      </w:r>
      <w:r>
        <w:rPr>
          <w:rFonts w:hint="eastAsia" w:ascii="仿宋_GB2312" w:hAnsi="仿宋_GB2312" w:eastAsia="仿宋_GB2312" w:cs="仿宋_GB2312"/>
          <w:color w:val="auto"/>
          <w:sz w:val="32"/>
          <w:szCs w:val="32"/>
          <w:lang w:val="en-US" w:eastAsia="zh-CN"/>
        </w:rPr>
        <w:t>5人副科级领导职务晋升、16人职级晋升、2人职员等级晋升等相关手续办理。举办3期综合素质能力提升班，26名干部职工分批次赴杭州、西安、成都、眉山等地参加各类培训，团体战斗力、凝聚力持续增强。</w:t>
      </w:r>
      <w:r>
        <w:rPr>
          <w:rFonts w:hint="eastAsia" w:ascii="仿宋_GB2312" w:hAnsi="仿宋_GB2312" w:eastAsia="仿宋_GB2312" w:cs="仿宋_GB2312"/>
          <w:b/>
          <w:bCs/>
          <w:color w:val="auto"/>
          <w:sz w:val="32"/>
          <w:szCs w:val="32"/>
          <w:shd w:val="clear" w:color="auto" w:fill="FFFFFF"/>
        </w:rPr>
        <w:t>二是强化制度机制建设。</w:t>
      </w:r>
      <w:r>
        <w:rPr>
          <w:rFonts w:hint="eastAsia" w:ascii="仿宋_GB2312" w:hAnsi="仿宋_GB2312" w:eastAsia="仿宋_GB2312" w:cs="仿宋_GB2312"/>
          <w:color w:val="auto"/>
          <w:sz w:val="32"/>
          <w:szCs w:val="32"/>
          <w:shd w:val="clear" w:color="auto" w:fill="FFFFFF"/>
        </w:rPr>
        <w:t>建立领导干部和局机关干部</w:t>
      </w:r>
      <w:r>
        <w:rPr>
          <w:rFonts w:hint="eastAsia" w:ascii="仿宋_GB2312" w:hAnsi="仿宋_GB2312" w:eastAsia="仿宋_GB2312" w:cs="仿宋_GB2312"/>
          <w:color w:val="auto"/>
          <w:sz w:val="32"/>
          <w:szCs w:val="32"/>
          <w:shd w:val="clear" w:color="auto" w:fill="FFFFFF"/>
          <w:lang w:eastAsia="zh-CN"/>
        </w:rPr>
        <w:t>全员</w:t>
      </w:r>
      <w:r>
        <w:rPr>
          <w:rFonts w:hint="eastAsia" w:ascii="仿宋_GB2312" w:hAnsi="仿宋_GB2312" w:eastAsia="仿宋_GB2312" w:cs="仿宋_GB2312"/>
          <w:color w:val="auto"/>
          <w:sz w:val="32"/>
          <w:szCs w:val="32"/>
          <w:shd w:val="clear" w:color="auto" w:fill="FFFFFF"/>
        </w:rPr>
        <w:t>联系司法所、</w:t>
      </w:r>
      <w:r>
        <w:rPr>
          <w:rFonts w:hint="eastAsia" w:ascii="仿宋_GB2312" w:hAnsi="仿宋_GB2312" w:eastAsia="仿宋_GB2312" w:cs="仿宋_GB2312"/>
          <w:color w:val="auto"/>
          <w:sz w:val="32"/>
          <w:szCs w:val="32"/>
          <w:shd w:val="clear" w:color="auto" w:fill="FFFFFF"/>
          <w:lang w:eastAsia="zh-CN"/>
        </w:rPr>
        <w:t>律师事务所、基层</w:t>
      </w:r>
      <w:r>
        <w:rPr>
          <w:rFonts w:hint="eastAsia" w:ascii="仿宋_GB2312" w:hAnsi="仿宋_GB2312" w:eastAsia="仿宋_GB2312" w:cs="仿宋_GB2312"/>
          <w:color w:val="auto"/>
          <w:sz w:val="32"/>
          <w:szCs w:val="32"/>
          <w:shd w:val="clear" w:color="auto" w:fill="FFFFFF"/>
        </w:rPr>
        <w:t>法律服务所工作机制，</w:t>
      </w:r>
      <w:r>
        <w:rPr>
          <w:rFonts w:hint="eastAsia" w:ascii="仿宋_GB2312" w:hAnsi="仿宋_GB2312" w:eastAsia="仿宋_GB2312" w:cs="仿宋_GB2312"/>
          <w:color w:val="auto"/>
          <w:sz w:val="32"/>
          <w:szCs w:val="32"/>
          <w:shd w:val="clear" w:color="auto" w:fill="FFFFFF"/>
          <w:lang w:eastAsia="zh-CN"/>
        </w:rPr>
        <w:t>严格落实“三张清单”制度（年度任务分工责任清单、月重点工作清单、周</w:t>
      </w:r>
      <w:r>
        <w:rPr>
          <w:rFonts w:hint="eastAsia" w:ascii="仿宋_GB2312" w:hAnsi="仿宋_GB2312" w:eastAsia="仿宋_GB2312" w:cs="仿宋_GB2312"/>
          <w:color w:val="auto"/>
          <w:sz w:val="32"/>
          <w:szCs w:val="32"/>
          <w:shd w:val="clear" w:color="auto" w:fill="FFFFFF"/>
        </w:rPr>
        <w:t>履职清单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和内部管理制度机制，建立内部控制制度，从严控制“三公”经费使用管理，推动形成覆盖全业务的工作标准制度体系。</w:t>
      </w:r>
      <w:r>
        <w:rPr>
          <w:rFonts w:hint="eastAsia" w:ascii="仿宋_GB2312" w:hAnsi="仿宋_GB2312" w:eastAsia="仿宋_GB2312" w:cs="仿宋_GB2312"/>
          <w:b/>
          <w:bCs/>
          <w:color w:val="auto"/>
          <w:sz w:val="32"/>
          <w:szCs w:val="32"/>
          <w:shd w:val="clear" w:color="auto" w:fill="FFFFFF"/>
        </w:rPr>
        <w:t>三是强化硬件设施建设。</w:t>
      </w:r>
      <w:r>
        <w:rPr>
          <w:rFonts w:hint="eastAsia" w:ascii="仿宋_GB2312" w:hAnsi="仿宋_GB2312" w:eastAsia="仿宋_GB2312" w:cs="仿宋_GB2312"/>
          <w:color w:val="auto"/>
          <w:sz w:val="32"/>
          <w:szCs w:val="32"/>
          <w:shd w:val="clear" w:color="auto" w:fill="FFFFFF"/>
        </w:rPr>
        <w:t>深入推进“智慧矫正”建设，推广运用智能化社区矫正软件和配套设施设备。持续优化“一网通办”，抓好信息资源整合共享。</w:t>
      </w:r>
      <w:r>
        <w:rPr>
          <w:rFonts w:hint="eastAsia" w:ascii="仿宋_GB2312" w:hAnsi="仿宋_GB2312" w:eastAsia="仿宋_GB2312" w:cs="仿宋_GB2312"/>
          <w:color w:val="auto"/>
          <w:sz w:val="32"/>
          <w:szCs w:val="32"/>
          <w:shd w:val="clear" w:color="auto" w:fill="FFFFFF"/>
          <w:lang w:eastAsia="zh-CN"/>
        </w:rPr>
        <w:t>扎实开展司法所参与基层法治建设试点工作，</w:t>
      </w:r>
      <w:r>
        <w:rPr>
          <w:rFonts w:hint="eastAsia" w:ascii="仿宋_GB2312" w:hAnsi="仿宋_GB2312" w:eastAsia="仿宋_GB2312" w:cs="仿宋_GB2312"/>
          <w:color w:val="auto"/>
          <w:sz w:val="32"/>
          <w:szCs w:val="32"/>
        </w:rPr>
        <w:t>累计投入资金18万</w:t>
      </w:r>
      <w:r>
        <w:rPr>
          <w:rFonts w:hint="eastAsia" w:ascii="仿宋_GB2312" w:hAnsi="仿宋_GB2312" w:eastAsia="仿宋_GB2312" w:cs="仿宋_GB2312"/>
          <w:sz w:val="32"/>
          <w:szCs w:val="32"/>
        </w:rPr>
        <w:t>余元对昭化、王家司法所进行提档升级</w:t>
      </w:r>
      <w:r>
        <w:rPr>
          <w:rFonts w:hint="eastAsia" w:ascii="仿宋_GB2312" w:hAnsi="仿宋_GB2312" w:eastAsia="仿宋_GB2312" w:cs="仿宋_GB2312"/>
          <w:sz w:val="32"/>
          <w:szCs w:val="32"/>
          <w:lang w:eastAsia="zh-CN"/>
        </w:rPr>
        <w:t>改造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0" w:firstLineChars="200"/>
        <w:textAlignment w:val="baseline"/>
        <w:rPr>
          <w:rFonts w:hint="default" w:ascii="仿宋_GB2312" w:hAnsi="仿宋_GB2312" w:eastAsia="仿宋_GB2312" w:cs="仿宋_GB2312"/>
          <w:sz w:val="32"/>
          <w:szCs w:val="32"/>
          <w:lang w:val="en-US" w:eastAsia="zh-CN"/>
        </w:rPr>
      </w:pPr>
      <w:r>
        <w:rPr>
          <w:rFonts w:hint="eastAsia" w:ascii="楷体_GB2312" w:eastAsia="楷体_GB2312" w:cs="仿宋_GB2312"/>
          <w:sz w:val="32"/>
          <w:szCs w:val="32"/>
          <w:lang w:val="en-US" w:eastAsia="zh-CN"/>
        </w:rPr>
        <w:t>5.</w:t>
      </w:r>
      <w:r>
        <w:rPr>
          <w:rFonts w:hint="eastAsia" w:ascii="楷体_GB2312" w:eastAsia="楷体_GB2312" w:cs="仿宋_GB2312"/>
          <w:sz w:val="32"/>
          <w:szCs w:val="32"/>
        </w:rPr>
        <w:t>创新开展“三大行动”，创建昭化司法行政特色品牌。</w:t>
      </w:r>
      <w:r>
        <w:rPr>
          <w:rFonts w:hint="eastAsia" w:ascii="仿宋_GB2312" w:hAnsi="仿宋_GB2312" w:eastAsia="仿宋_GB2312" w:cs="仿宋_GB2312"/>
          <w:b/>
          <w:bCs/>
          <w:sz w:val="32"/>
          <w:szCs w:val="32"/>
          <w:shd w:val="clear" w:color="auto" w:fill="FFFFFF"/>
        </w:rPr>
        <w:t>一是开展课题大调研行动。</w:t>
      </w:r>
      <w:r>
        <w:rPr>
          <w:rFonts w:hint="eastAsia" w:ascii="仿宋_GB2312" w:hAnsi="仿宋_GB2312" w:eastAsia="仿宋_GB2312" w:cs="仿宋_GB2312"/>
          <w:color w:val="auto"/>
          <w:sz w:val="32"/>
          <w:szCs w:val="32"/>
          <w:shd w:val="clear" w:color="auto" w:fill="FFFFFF"/>
        </w:rPr>
        <w:t>聚焦法治建设难点堵点、群众关心的热点焦点等问题，确定11个重点调研课题，</w:t>
      </w:r>
      <w:r>
        <w:rPr>
          <w:rFonts w:hint="eastAsia" w:ascii="仿宋_GB2312" w:hAnsi="仿宋_GB2312" w:eastAsia="仿宋_GB2312" w:cs="仿宋_GB2312"/>
          <w:color w:val="auto"/>
          <w:sz w:val="32"/>
          <w:szCs w:val="32"/>
          <w:shd w:val="clear" w:color="auto" w:fill="FFFFFF"/>
          <w:lang w:eastAsia="zh-CN"/>
        </w:rPr>
        <w:t>分别由</w:t>
      </w:r>
      <w:r>
        <w:rPr>
          <w:rFonts w:hint="eastAsia" w:ascii="仿宋_GB2312" w:hAnsi="仿宋_GB2312" w:eastAsia="仿宋_GB2312" w:cs="仿宋_GB2312"/>
          <w:color w:val="auto"/>
          <w:sz w:val="32"/>
          <w:szCs w:val="32"/>
          <w:shd w:val="clear" w:color="auto" w:fill="FFFFFF"/>
          <w:lang w:val="en-US" w:eastAsia="zh-CN"/>
        </w:rPr>
        <w:t>6个</w:t>
      </w:r>
      <w:r>
        <w:rPr>
          <w:rFonts w:hint="eastAsia" w:ascii="仿宋_GB2312" w:hAnsi="仿宋_GB2312" w:eastAsia="仿宋_GB2312" w:cs="仿宋_GB2312"/>
          <w:color w:val="auto"/>
          <w:sz w:val="32"/>
          <w:szCs w:val="32"/>
          <w:shd w:val="clear" w:color="auto" w:fill="FFFFFF"/>
        </w:rPr>
        <w:t>分管领导牵头</w:t>
      </w:r>
      <w:r>
        <w:rPr>
          <w:rFonts w:hint="eastAsia" w:ascii="仿宋_GB2312" w:hAnsi="仿宋_GB2312" w:eastAsia="仿宋_GB2312" w:cs="仿宋_GB2312"/>
          <w:color w:val="auto"/>
          <w:sz w:val="32"/>
          <w:szCs w:val="32"/>
          <w:shd w:val="clear" w:color="auto" w:fill="FFFFFF"/>
          <w:lang w:eastAsia="zh-CN"/>
        </w:rPr>
        <w:t>负责</w:t>
      </w:r>
      <w:r>
        <w:rPr>
          <w:rFonts w:hint="eastAsia" w:ascii="仿宋_GB2312" w:hAnsi="仿宋_GB2312" w:eastAsia="仿宋_GB2312" w:cs="仿宋_GB2312"/>
          <w:color w:val="auto"/>
          <w:sz w:val="32"/>
          <w:szCs w:val="32"/>
          <w:shd w:val="clear" w:color="auto" w:fill="FFFFFF"/>
        </w:rPr>
        <w:t>、全体干部</w:t>
      </w:r>
      <w:r>
        <w:rPr>
          <w:rFonts w:hint="eastAsia" w:ascii="仿宋_GB2312" w:hAnsi="仿宋_GB2312" w:eastAsia="仿宋_GB2312" w:cs="仿宋_GB2312"/>
          <w:color w:val="auto"/>
          <w:sz w:val="32"/>
          <w:szCs w:val="32"/>
          <w:shd w:val="clear" w:color="auto" w:fill="FFFFFF"/>
          <w:lang w:eastAsia="zh-CN"/>
        </w:rPr>
        <w:t>共同</w:t>
      </w:r>
      <w:r>
        <w:rPr>
          <w:rFonts w:hint="eastAsia" w:ascii="仿宋_GB2312" w:hAnsi="仿宋_GB2312" w:eastAsia="仿宋_GB2312" w:cs="仿宋_GB2312"/>
          <w:color w:val="auto"/>
          <w:sz w:val="32"/>
          <w:szCs w:val="32"/>
          <w:shd w:val="clear" w:color="auto" w:fill="FFFFFF"/>
        </w:rPr>
        <w:t>参与，通过分类组团开展专题调研，重点突破难点工作，</w:t>
      </w:r>
      <w:r>
        <w:rPr>
          <w:rFonts w:hint="eastAsia" w:ascii="仿宋_GB2312" w:hAnsi="仿宋_GB2312" w:eastAsia="仿宋_GB2312" w:cs="仿宋_GB2312"/>
          <w:color w:val="auto"/>
          <w:sz w:val="32"/>
          <w:szCs w:val="32"/>
          <w:shd w:val="clear" w:color="auto" w:fill="FFFFFF"/>
          <w:lang w:eastAsia="zh-CN"/>
        </w:rPr>
        <w:t>形成</w:t>
      </w:r>
      <w:r>
        <w:rPr>
          <w:rFonts w:hint="eastAsia" w:ascii="仿宋_GB2312" w:hAnsi="仿宋_GB2312" w:eastAsia="仿宋_GB2312" w:cs="仿宋_GB2312"/>
          <w:color w:val="auto"/>
          <w:sz w:val="32"/>
          <w:szCs w:val="32"/>
          <w:shd w:val="clear" w:color="auto" w:fill="FFFFFF"/>
          <w:lang w:val="en-US" w:eastAsia="zh-CN"/>
        </w:rPr>
        <w:t>11篇高质量调研文章，《新时代基层治理格局下“人民调解+”作用发挥的实证研究》被列为《2023年四川法治蓝皮书》选题。</w:t>
      </w:r>
      <w:r>
        <w:rPr>
          <w:rFonts w:hint="eastAsia" w:ascii="仿宋_GB2312" w:hAnsi="仿宋_GB2312" w:eastAsia="仿宋_GB2312" w:cs="仿宋_GB2312"/>
          <w:b/>
          <w:bCs/>
          <w:sz w:val="32"/>
          <w:szCs w:val="32"/>
          <w:shd w:val="clear" w:color="auto" w:fill="FFFFFF"/>
        </w:rPr>
        <w:t>二是开展成果大集成行动。</w:t>
      </w:r>
      <w:r>
        <w:rPr>
          <w:rFonts w:hint="eastAsia" w:ascii="仿宋_GB2312" w:hAnsi="仿宋_GB2312" w:eastAsia="仿宋_GB2312" w:cs="仿宋_GB2312"/>
          <w:sz w:val="32"/>
          <w:szCs w:val="32"/>
          <w:shd w:val="clear" w:color="auto" w:fill="FFFFFF"/>
        </w:rPr>
        <w:t>全面总结近来年法治建设领域中形成的可复制、可推广的工作经验、特色亮点、创新做法，系统集成</w:t>
      </w:r>
      <w:r>
        <w:rPr>
          <w:rFonts w:hint="eastAsia" w:ascii="仿宋_GB2312" w:hAnsi="仿宋_GB2312" w:eastAsia="仿宋_GB2312" w:cs="仿宋_GB2312"/>
          <w:sz w:val="32"/>
          <w:szCs w:val="32"/>
          <w:shd w:val="clear" w:color="auto" w:fill="FFFFFF"/>
          <w:lang w:eastAsia="zh-CN"/>
        </w:rPr>
        <w:t>“精品”账图、“村能办”“田长制”、重大项目法律顾问制度等</w:t>
      </w:r>
      <w:r>
        <w:rPr>
          <w:rFonts w:hint="eastAsia" w:ascii="仿宋_GB2312" w:hAnsi="仿宋_GB2312" w:eastAsia="仿宋_GB2312" w:cs="仿宋_GB2312"/>
          <w:sz w:val="32"/>
          <w:szCs w:val="32"/>
          <w:shd w:val="clear" w:color="auto" w:fill="FFFFFF"/>
        </w:rPr>
        <w:t>一批符合昭化实情的经验模式</w:t>
      </w:r>
      <w:r>
        <w:rPr>
          <w:rFonts w:hint="eastAsia" w:ascii="仿宋_GB2312" w:hAnsi="仿宋_GB2312" w:eastAsia="仿宋_GB2312" w:cs="仿宋_GB2312"/>
          <w:sz w:val="32"/>
          <w:szCs w:val="32"/>
          <w:shd w:val="clear" w:color="auto" w:fill="FFFFFF"/>
          <w:lang w:val="en-US" w:eastAsia="zh-CN"/>
        </w:rPr>
        <w:t>30余个。</w:t>
      </w:r>
      <w:r>
        <w:rPr>
          <w:rFonts w:hint="eastAsia" w:ascii="仿宋_GB2312" w:hAnsi="仿宋_GB2312" w:eastAsia="仿宋_GB2312" w:cs="仿宋_GB2312"/>
          <w:sz w:val="32"/>
          <w:szCs w:val="32"/>
          <w:shd w:val="clear" w:color="auto" w:fill="FFFFFF"/>
        </w:rPr>
        <w:t>在全区各单位、各系统、各行业深入挖掘培树</w:t>
      </w:r>
      <w:r>
        <w:rPr>
          <w:rFonts w:hint="eastAsia" w:ascii="仿宋_GB2312" w:hAnsi="仿宋_GB2312" w:eastAsia="仿宋_GB2312" w:cs="仿宋_GB2312"/>
          <w:sz w:val="32"/>
          <w:szCs w:val="32"/>
          <w:shd w:val="clear" w:color="auto" w:fill="FFFFFF"/>
          <w:lang w:eastAsia="zh-CN"/>
        </w:rPr>
        <w:t>一批</w:t>
      </w:r>
      <w:r>
        <w:rPr>
          <w:rFonts w:hint="eastAsia" w:ascii="仿宋_GB2312" w:hAnsi="仿宋_GB2312" w:eastAsia="仿宋_GB2312" w:cs="仿宋_GB2312"/>
          <w:sz w:val="32"/>
          <w:szCs w:val="32"/>
          <w:shd w:val="clear" w:color="auto" w:fill="FFFFFF"/>
        </w:rPr>
        <w:t>法治建设中涌现出的先进</w:t>
      </w:r>
      <w:r>
        <w:rPr>
          <w:rFonts w:hint="eastAsia" w:ascii="仿宋_GB2312" w:hAnsi="仿宋_GB2312" w:eastAsia="仿宋_GB2312" w:cs="仿宋_GB2312"/>
          <w:sz w:val="32"/>
          <w:szCs w:val="32"/>
          <w:shd w:val="clear" w:color="auto" w:fill="FFFFFF"/>
          <w:lang w:eastAsia="zh-CN"/>
        </w:rPr>
        <w:t>集体</w:t>
      </w:r>
      <w:r>
        <w:rPr>
          <w:rFonts w:hint="eastAsia" w:ascii="仿宋_GB2312" w:hAnsi="仿宋_GB2312" w:eastAsia="仿宋_GB2312" w:cs="仿宋_GB2312"/>
          <w:sz w:val="32"/>
          <w:szCs w:val="32"/>
          <w:shd w:val="clear" w:color="auto" w:fill="FFFFFF"/>
        </w:rPr>
        <w:t>和人物</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auto"/>
          <w:sz w:val="32"/>
          <w:szCs w:val="32"/>
          <w:lang w:eastAsia="zh-CN"/>
        </w:rPr>
        <w:t>表扬</w:t>
      </w:r>
      <w:r>
        <w:rPr>
          <w:rFonts w:hint="eastAsia" w:ascii="仿宋_GB2312" w:hAnsi="仿宋_GB2312" w:eastAsia="仿宋_GB2312" w:cs="仿宋_GB2312"/>
          <w:sz w:val="32"/>
          <w:szCs w:val="32"/>
          <w:shd w:val="clear" w:color="auto" w:fill="FFFFFF"/>
          <w:lang w:eastAsia="zh-CN"/>
        </w:rPr>
        <w:t>“七五”普法</w:t>
      </w:r>
      <w:r>
        <w:rPr>
          <w:rFonts w:hint="eastAsia" w:ascii="仿宋_GB2312" w:hAnsi="仿宋_GB2312" w:eastAsia="仿宋_GB2312" w:cs="仿宋_GB2312"/>
          <w:color w:val="auto"/>
          <w:sz w:val="32"/>
          <w:szCs w:val="32"/>
          <w:lang w:val="en-US" w:eastAsia="zh-CN"/>
        </w:rPr>
        <w:t>先进集体和个人100余个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sz w:val="32"/>
          <w:szCs w:val="32"/>
          <w:shd w:val="clear" w:color="auto" w:fill="FFFFFF"/>
        </w:rPr>
        <w:t>三是开展成效大宣传行动。</w:t>
      </w:r>
      <w:r>
        <w:rPr>
          <w:rFonts w:hint="eastAsia" w:ascii="仿宋_GB2312" w:hAnsi="仿宋_GB2312" w:eastAsia="仿宋_GB2312" w:cs="仿宋_GB2312"/>
          <w:sz w:val="32"/>
          <w:szCs w:val="32"/>
          <w:shd w:val="clear" w:color="auto" w:fill="FFFFFF"/>
        </w:rPr>
        <w:t>充分利用市、区宣传矩阵，积极向中央和省、市主流媒体推送昭化法治建设成果和先进典型，全面展示昭化法治建设的新风貌、新气象、新作为。</w:t>
      </w:r>
      <w:r>
        <w:rPr>
          <w:rFonts w:hint="eastAsia" w:ascii="仿宋_GB2312" w:hAnsi="仿宋_GB2312" w:eastAsia="仿宋_GB2312" w:cs="仿宋_GB2312"/>
          <w:color w:val="auto"/>
          <w:sz w:val="32"/>
          <w:szCs w:val="32"/>
          <w:lang w:eastAsia="zh-CN"/>
        </w:rPr>
        <w:t>依法治区示范试点工作经验分别在全面依法治市委员会第五次会议、全省“</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eastAsia="zh-CN"/>
        </w:rPr>
        <w:t>”依法治县（市、区）示范试点座谈会上交流发言，经验做法被法治日报、四川新闻联播刊载报道。《</w:t>
      </w:r>
      <w:r>
        <w:rPr>
          <w:rFonts w:hint="eastAsia" w:ascii="仿宋_GB2312" w:hAnsi="仿宋_GB2312" w:eastAsia="仿宋_GB2312" w:cs="仿宋_GB2312"/>
          <w:sz w:val="32"/>
          <w:szCs w:val="32"/>
          <w:shd w:val="clear" w:color="auto" w:fill="FFFFFF"/>
          <w:lang w:eastAsia="zh-CN"/>
        </w:rPr>
        <w:t>阳光征收依法拆迁</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3项成果经验被写入《四川省全面依法治县工作导引》并在全省推广运用，《深化工程建设项目审批制度改革提升政务服务水平》等5个案例被评为全省示范试点典型案例。</w:t>
      </w:r>
      <w:r>
        <w:rPr>
          <w:rFonts w:hint="eastAsia" w:ascii="仿宋_GB2312" w:hAnsi="仿宋_GB2312" w:eastAsia="仿宋_GB2312" w:cs="仿宋_GB2312"/>
          <w:sz w:val="32"/>
          <w:szCs w:val="40"/>
          <w:lang w:val="en-US" w:eastAsia="zh-CN"/>
        </w:rPr>
        <w:t>1例法律援助案例入选第二届四川省农民工维权百优案例，1例法律援助案例收录至司法部案例库。</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b w:val="0"/>
          <w:bCs/>
          <w:color w:val="auto"/>
          <w:highlight w:val="none"/>
        </w:rPr>
      </w:pPr>
      <w:bookmarkStart w:id="110" w:name="_Toc15377204"/>
      <w:bookmarkStart w:id="111" w:name="_Toc1404379329_WPSOffice_Level1"/>
      <w:bookmarkStart w:id="112" w:name="_Toc61595035"/>
      <w:bookmarkStart w:id="113" w:name="_Toc504525551_WPSOffice_Level1"/>
      <w:bookmarkStart w:id="114" w:name="_Toc15396602"/>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Style w:val="29"/>
          <w:rFonts w:ascii="黑体" w:hAnsi="黑体" w:eastAsia="黑体"/>
          <w:b w:val="0"/>
          <w:bCs/>
          <w:color w:val="auto"/>
          <w:highlight w:val="none"/>
        </w:rPr>
      </w:pPr>
      <w:bookmarkStart w:id="115" w:name="_Toc1586854129_WPSOffice_Level1"/>
      <w:r>
        <w:rPr>
          <w:rStyle w:val="29"/>
          <w:rFonts w:hint="eastAsia" w:ascii="黑体" w:hAnsi="黑体" w:eastAsia="黑体"/>
          <w:b w:val="0"/>
          <w:bCs/>
          <w:color w:val="auto"/>
          <w:highlight w:val="none"/>
          <w:lang w:eastAsia="zh-CN"/>
        </w:rPr>
        <w:t xml:space="preserve">第二部分 </w:t>
      </w:r>
      <w:r>
        <w:rPr>
          <w:rStyle w:val="29"/>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110"/>
      <w:bookmarkEnd w:id="111"/>
      <w:bookmarkEnd w:id="112"/>
      <w:bookmarkEnd w:id="113"/>
      <w:bookmarkEnd w:id="114"/>
      <w:bookmarkEnd w:id="115"/>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116" w:name="_Toc858874779_WPSOffice_Level2"/>
      <w:bookmarkStart w:id="117" w:name="_Toc801783234_WPSOffice_Level2"/>
      <w:bookmarkStart w:id="118" w:name="_Toc15396603"/>
      <w:bookmarkStart w:id="119" w:name="_Toc15377205"/>
      <w:bookmarkStart w:id="120" w:name="_Toc423007826_WPSOffice_Level2"/>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16"/>
      <w:bookmarkEnd w:id="117"/>
      <w:bookmarkEnd w:id="118"/>
      <w:bookmarkEnd w:id="119"/>
      <w:bookmarkEnd w:id="120"/>
    </w:p>
    <w:p>
      <w:pPr>
        <w:spacing w:line="600" w:lineRule="exact"/>
        <w:ind w:firstLine="640" w:firstLineChars="200"/>
        <w:rPr>
          <w:rFonts w:hint="eastAsia" w:ascii="仿宋" w:hAnsi="仿宋" w:eastAsia="仿宋"/>
          <w:color w:val="auto"/>
          <w:sz w:val="32"/>
          <w:szCs w:val="32"/>
          <w:highlight w:val="none"/>
        </w:rPr>
      </w:pPr>
      <w:bookmarkStart w:id="121" w:name="_Toc1738284686_WPSOffice_Level2"/>
      <w:bookmarkStart w:id="122" w:name="_Toc1546110092_WPSOffice_Level2"/>
      <w:bookmarkStart w:id="123" w:name="_Toc15396604"/>
      <w:bookmarkStart w:id="124" w:name="_Toc15377206"/>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年1065.98相比，收、支总计各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59.21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5.5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人员减少</w:t>
      </w:r>
      <w:r>
        <w:rPr>
          <w:rFonts w:hint="eastAsia" w:ascii="仿宋" w:hAnsi="仿宋" w:eastAsia="仿宋"/>
          <w:color w:val="auto"/>
          <w:sz w:val="32"/>
          <w:szCs w:val="32"/>
          <w:highlight w:val="none"/>
        </w:rPr>
        <w:t>。</w:t>
      </w:r>
    </w:p>
    <w:p>
      <w:pPr>
        <w:spacing w:line="600" w:lineRule="exact"/>
        <w:ind w:firstLine="420" w:firstLineChars="200"/>
        <w:jc w:val="left"/>
      </w:pPr>
      <w:r>
        <w:drawing>
          <wp:anchor distT="0" distB="0" distL="114300" distR="114300" simplePos="0" relativeHeight="251659264" behindDoc="0" locked="0" layoutInCell="1" allowOverlap="1">
            <wp:simplePos x="0" y="0"/>
            <wp:positionH relativeFrom="column">
              <wp:posOffset>1058545</wp:posOffset>
            </wp:positionH>
            <wp:positionV relativeFrom="paragraph">
              <wp:posOffset>256540</wp:posOffset>
            </wp:positionV>
            <wp:extent cx="2483485" cy="1294765"/>
            <wp:effectExtent l="4445" t="4445" r="7620" b="15240"/>
            <wp:wrapSquare wrapText="bothSides"/>
            <wp:docPr id="102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8"/>
      </w:pPr>
    </w:p>
    <w:p>
      <w:pPr>
        <w:pStyle w:val="8"/>
      </w:pPr>
    </w:p>
    <w:p>
      <w:pPr>
        <w:pStyle w:val="2"/>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125" w:name="_Toc1056247385_WPSOffice_Level2"/>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121"/>
      <w:bookmarkEnd w:id="122"/>
      <w:bookmarkEnd w:id="123"/>
      <w:bookmarkEnd w:id="124"/>
      <w:bookmarkEnd w:id="125"/>
    </w:p>
    <w:p>
      <w:pPr>
        <w:spacing w:line="600" w:lineRule="exact"/>
        <w:ind w:firstLine="640" w:firstLineChars="200"/>
        <w:outlineLvl w:val="9"/>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w:t>
      </w:r>
      <w:r>
        <w:rPr>
          <w:rFonts w:hint="eastAsia" w:ascii="仿宋" w:hAnsi="仿宋" w:eastAsia="仿宋"/>
          <w:color w:val="000000" w:themeColor="text1"/>
          <w:sz w:val="32"/>
          <w:szCs w:val="32"/>
          <w:highlight w:val="none"/>
          <w14:textFill>
            <w14:solidFill>
              <w14:schemeClr w14:val="tx1"/>
            </w14:solidFill>
          </w14:textFill>
        </w:rPr>
        <w:t>占</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auto"/>
          <w:sz w:val="32"/>
          <w:szCs w:val="32"/>
          <w:highlight w:val="none"/>
        </w:rPr>
        <w:t>。</w:t>
      </w:r>
    </w:p>
    <w:p>
      <w:pPr>
        <w:pStyle w:val="8"/>
      </w:pPr>
      <w:r>
        <w:rPr>
          <w:rFonts w:hint="eastAsia"/>
          <w:lang w:val="en-US" w:eastAsia="zh-CN"/>
        </w:rPr>
        <w:t xml:space="preserve">              </w:t>
      </w:r>
      <w:r>
        <w:drawing>
          <wp:inline distT="0" distB="0" distL="114300" distR="114300">
            <wp:extent cx="2447290" cy="1370965"/>
            <wp:effectExtent l="4445" t="4445" r="5715" b="15240"/>
            <wp:docPr id="102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8"/>
      </w:pPr>
      <w:r>
        <w:rPr>
          <w:rFonts w:hint="eastAsia"/>
          <w:lang w:val="en-US" w:eastAsia="zh-CN"/>
        </w:rPr>
        <w:t xml:space="preserve">              </w:t>
      </w:r>
    </w:p>
    <w:p>
      <w:pPr>
        <w:pStyle w:val="8"/>
      </w:pPr>
    </w:p>
    <w:p>
      <w:pPr>
        <w:pStyle w:val="28"/>
        <w:numPr>
          <w:ilvl w:val="0"/>
          <w:numId w:val="2"/>
        </w:numPr>
        <w:spacing w:line="600" w:lineRule="exact"/>
        <w:ind w:firstLineChars="0"/>
        <w:outlineLvl w:val="1"/>
        <w:rPr>
          <w:rFonts w:hint="eastAsia" w:ascii="黑体" w:hAnsi="黑体" w:eastAsia="黑体"/>
          <w:color w:val="auto"/>
          <w:sz w:val="32"/>
          <w:szCs w:val="32"/>
          <w:highlight w:val="none"/>
        </w:rPr>
      </w:pPr>
      <w:bookmarkStart w:id="126" w:name="_Toc15377207"/>
      <w:bookmarkStart w:id="127" w:name="_Toc15396605"/>
      <w:bookmarkStart w:id="128" w:name="_Toc133859538_WPSOffice_Level2"/>
      <w:r>
        <w:rPr>
          <w:rFonts w:hint="eastAsia" w:ascii="黑体" w:hAnsi="黑体" w:eastAsia="黑体"/>
          <w:color w:val="auto"/>
          <w:sz w:val="32"/>
          <w:szCs w:val="32"/>
          <w:highlight w:val="none"/>
        </w:rPr>
        <w:t>支出决算情况说明</w:t>
      </w:r>
      <w:bookmarkEnd w:id="126"/>
      <w:bookmarkEnd w:id="127"/>
      <w:bookmarkEnd w:id="128"/>
    </w:p>
    <w:p>
      <w:pPr>
        <w:spacing w:line="600" w:lineRule="exact"/>
        <w:ind w:firstLine="640" w:firstLineChars="200"/>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820.36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186.38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8"/>
      </w:pPr>
      <w:r>
        <w:rPr>
          <w:rFonts w:hint="eastAsia"/>
          <w:lang w:val="en-US" w:eastAsia="zh-CN"/>
        </w:rPr>
        <w:t xml:space="preserve">                 </w:t>
      </w:r>
      <w:r>
        <w:drawing>
          <wp:inline distT="0" distB="0" distL="114300" distR="114300">
            <wp:extent cx="1926590" cy="1155700"/>
            <wp:effectExtent l="4445" t="5080" r="12065" b="2032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8"/>
        <w:numPr>
          <w:ilvl w:val="0"/>
          <w:numId w:val="2"/>
        </w:numPr>
        <w:spacing w:line="600" w:lineRule="exact"/>
        <w:ind w:firstLineChars="0"/>
        <w:outlineLvl w:val="1"/>
        <w:rPr>
          <w:rFonts w:hint="eastAsia" w:ascii="黑体" w:hAnsi="黑体" w:eastAsia="黑体"/>
          <w:color w:val="auto"/>
          <w:sz w:val="32"/>
          <w:szCs w:val="32"/>
          <w:highlight w:val="none"/>
        </w:rPr>
      </w:pPr>
      <w:bookmarkStart w:id="129" w:name="_Toc15377208"/>
      <w:bookmarkStart w:id="130" w:name="_Toc15396606"/>
      <w:bookmarkStart w:id="131" w:name="_Toc1484094552_WPSOffice_Level2"/>
      <w:r>
        <w:rPr>
          <w:rFonts w:hint="eastAsia" w:ascii="黑体" w:hAnsi="黑体" w:eastAsia="黑体"/>
          <w:color w:val="auto"/>
          <w:sz w:val="32"/>
          <w:szCs w:val="32"/>
          <w:highlight w:val="none"/>
        </w:rPr>
        <w:t>财政拨款收入支出决算总体情况说明</w:t>
      </w:r>
      <w:bookmarkEnd w:id="129"/>
      <w:bookmarkEnd w:id="130"/>
      <w:bookmarkEnd w:id="131"/>
    </w:p>
    <w:p>
      <w:pPr>
        <w:spacing w:line="600" w:lineRule="exact"/>
        <w:ind w:firstLine="640" w:firstLineChars="200"/>
        <w:rPr>
          <w:rFonts w:hint="eastAsia" w:ascii="仿宋" w:hAnsi="仿宋" w:eastAsia="仿宋"/>
          <w:color w:val="FF0000"/>
          <w:sz w:val="32"/>
          <w:szCs w:val="32"/>
          <w:highlight w:val="none"/>
        </w:rPr>
      </w:pPr>
      <w:bookmarkStart w:id="132" w:name="_Toc15377209"/>
      <w:bookmarkStart w:id="133" w:name="_Toc15396607"/>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年1065.98相比，收、支总计各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59.24</w:t>
      </w:r>
      <w:r>
        <w:rPr>
          <w:rFonts w:hint="eastAsia" w:ascii="仿宋" w:hAnsi="仿宋" w:eastAsia="仿宋"/>
          <w:b w:val="0"/>
          <w:bCs w:val="0"/>
          <w:color w:val="auto"/>
          <w:sz w:val="32"/>
          <w:szCs w:val="32"/>
          <w:highlight w:val="none"/>
        </w:rPr>
        <w:t>万元，</w:t>
      </w:r>
      <w:r>
        <w:rPr>
          <w:rFonts w:hint="eastAsia" w:ascii="仿宋" w:hAnsi="仿宋" w:eastAsia="仿宋"/>
          <w:b w:val="0"/>
          <w:bCs w:val="0"/>
          <w:color w:val="auto"/>
          <w:sz w:val="32"/>
          <w:szCs w:val="32"/>
          <w:highlight w:val="none"/>
          <w:lang w:eastAsia="zh-CN"/>
        </w:rPr>
        <w:t>减少</w:t>
      </w:r>
      <w:r>
        <w:rPr>
          <w:rFonts w:hint="eastAsia" w:ascii="仿宋" w:hAnsi="仿宋" w:eastAsia="仿宋"/>
          <w:b w:val="0"/>
          <w:bCs w:val="0"/>
          <w:color w:val="auto"/>
          <w:sz w:val="32"/>
          <w:szCs w:val="32"/>
          <w:highlight w:val="none"/>
          <w:lang w:val="en-US" w:eastAsia="zh-CN"/>
        </w:rPr>
        <w:t>5.5</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。主要变动原因是</w:t>
      </w:r>
      <w:r>
        <w:rPr>
          <w:rFonts w:hint="eastAsia" w:ascii="仿宋" w:hAnsi="仿宋" w:eastAsia="仿宋"/>
          <w:b w:val="0"/>
          <w:bCs w:val="0"/>
          <w:color w:val="auto"/>
          <w:sz w:val="32"/>
          <w:szCs w:val="32"/>
          <w:highlight w:val="none"/>
          <w:lang w:eastAsia="zh-CN"/>
        </w:rPr>
        <w:t>人员减少</w:t>
      </w:r>
      <w:r>
        <w:rPr>
          <w:rFonts w:hint="eastAsia" w:ascii="仿宋" w:hAnsi="仿宋" w:eastAsia="仿宋"/>
          <w:b w:val="0"/>
          <w:bCs w:val="0"/>
          <w:color w:val="auto"/>
          <w:sz w:val="32"/>
          <w:szCs w:val="32"/>
          <w:highlight w:val="none"/>
        </w:rPr>
        <w:t>。</w:t>
      </w:r>
    </w:p>
    <w:p>
      <w:pPr>
        <w:pStyle w:val="8"/>
      </w:pPr>
      <w:r>
        <w:rPr>
          <w:rFonts w:hint="eastAsia"/>
          <w:lang w:val="en-US" w:eastAsia="zh-CN"/>
        </w:rPr>
        <w:t xml:space="preserve">                </w:t>
      </w:r>
      <w:r>
        <w:drawing>
          <wp:inline distT="0" distB="0" distL="114300" distR="114300">
            <wp:extent cx="2350770" cy="1122680"/>
            <wp:effectExtent l="4445" t="4445" r="6985" b="15875"/>
            <wp:docPr id="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8"/>
        <w:numPr>
          <w:ilvl w:val="0"/>
          <w:numId w:val="2"/>
        </w:numPr>
        <w:spacing w:line="600" w:lineRule="exact"/>
        <w:ind w:firstLineChars="0"/>
        <w:outlineLvl w:val="1"/>
        <w:rPr>
          <w:rFonts w:hint="eastAsia" w:ascii="黑体" w:hAnsi="黑体" w:eastAsia="黑体"/>
          <w:color w:val="auto"/>
          <w:sz w:val="32"/>
          <w:szCs w:val="32"/>
          <w:highlight w:val="none"/>
        </w:rPr>
      </w:pPr>
      <w:bookmarkStart w:id="134" w:name="_Toc1297602989_WPSOffice_Level2"/>
      <w:r>
        <w:rPr>
          <w:rFonts w:hint="eastAsia" w:ascii="黑体" w:hAnsi="黑体" w:eastAsia="黑体"/>
          <w:color w:val="auto"/>
          <w:sz w:val="32"/>
          <w:szCs w:val="32"/>
          <w:highlight w:val="none"/>
        </w:rPr>
        <w:t>一般公共预算财政拨款支出决算情况说明</w:t>
      </w:r>
      <w:bookmarkEnd w:id="132"/>
      <w:bookmarkEnd w:id="133"/>
      <w:bookmarkEnd w:id="134"/>
    </w:p>
    <w:p>
      <w:pPr>
        <w:spacing w:line="600" w:lineRule="exact"/>
        <w:ind w:firstLine="642" w:firstLineChars="200"/>
        <w:outlineLvl w:val="2"/>
        <w:rPr>
          <w:rFonts w:ascii="仿宋" w:hAnsi="仿宋" w:eastAsia="仿宋"/>
          <w:b/>
          <w:color w:val="auto"/>
          <w:sz w:val="32"/>
          <w:szCs w:val="32"/>
          <w:highlight w:val="none"/>
        </w:rPr>
      </w:pPr>
      <w:bookmarkStart w:id="135" w:name="_Toc29867"/>
      <w:bookmarkStart w:id="136" w:name="_Toc1044032684_WPSOffice_Level3"/>
      <w:bookmarkStart w:id="137" w:name="_Toc15377210"/>
      <w:bookmarkStart w:id="138" w:name="_Toc504525551_WPSOffice_Level3"/>
      <w:bookmarkStart w:id="139" w:name="_Toc1404379329_WPSOffice_Level3"/>
      <w:bookmarkStart w:id="140" w:name="_Toc423007826_WPSOffice_Level3"/>
      <w:r>
        <w:rPr>
          <w:rFonts w:hint="eastAsia" w:ascii="仿宋" w:hAnsi="仿宋" w:eastAsia="仿宋"/>
          <w:b/>
          <w:color w:val="auto"/>
          <w:sz w:val="32"/>
          <w:szCs w:val="32"/>
          <w:highlight w:val="none"/>
        </w:rPr>
        <w:t>（一）一般公共预算财政拨款支出决算总体情况</w:t>
      </w:r>
      <w:bookmarkEnd w:id="135"/>
      <w:bookmarkEnd w:id="136"/>
      <w:bookmarkEnd w:id="137"/>
      <w:bookmarkEnd w:id="138"/>
      <w:bookmarkEnd w:id="139"/>
      <w:bookmarkEnd w:id="140"/>
    </w:p>
    <w:p>
      <w:pPr>
        <w:spacing w:line="600" w:lineRule="exact"/>
        <w:ind w:firstLine="640" w:firstLineChars="200"/>
        <w:rPr>
          <w:rFonts w:hint="eastAsia" w:ascii="仿宋" w:hAnsi="仿宋" w:eastAsia="仿宋"/>
          <w:color w:val="auto"/>
          <w:sz w:val="32"/>
          <w:szCs w:val="32"/>
          <w:highlight w:val="none"/>
          <w:lang w:eastAsia="zh-CN"/>
        </w:rPr>
      </w:pPr>
      <w:bookmarkStart w:id="141" w:name="_Toc87844282_WPSOffice_Level3"/>
      <w:bookmarkStart w:id="142" w:name="_Toc56324611_WPSOffice_Level3"/>
      <w:bookmarkStart w:id="143" w:name="_Toc643982899_WPSOffice_Level3"/>
      <w:bookmarkStart w:id="144" w:name="_Toc15377211"/>
      <w:bookmarkStart w:id="145" w:name="_Toc471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20.22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保险、住房公积金等基数增加。</w:t>
      </w:r>
    </w:p>
    <w:p>
      <w:pPr>
        <w:pStyle w:val="8"/>
      </w:pPr>
      <w:r>
        <w:drawing>
          <wp:anchor distT="0" distB="0" distL="114300" distR="114300" simplePos="0" relativeHeight="251660288" behindDoc="0" locked="0" layoutInCell="1" allowOverlap="1">
            <wp:simplePos x="0" y="0"/>
            <wp:positionH relativeFrom="column">
              <wp:posOffset>854710</wp:posOffset>
            </wp:positionH>
            <wp:positionV relativeFrom="paragraph">
              <wp:posOffset>62865</wp:posOffset>
            </wp:positionV>
            <wp:extent cx="2434590" cy="1160780"/>
            <wp:effectExtent l="4445" t="4445" r="18415" b="1587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8"/>
        <w:rPr>
          <w:rFonts w:hint="eastAsia"/>
        </w:rPr>
      </w:pPr>
    </w:p>
    <w:p>
      <w:pPr>
        <w:pStyle w:val="8"/>
        <w:rPr>
          <w:rFonts w:hint="eastAsia"/>
        </w:rPr>
      </w:pPr>
    </w:p>
    <w:p>
      <w:pPr>
        <w:spacing w:line="600" w:lineRule="exact"/>
        <w:ind w:firstLine="642" w:firstLineChars="200"/>
        <w:outlineLvl w:val="2"/>
        <w:rPr>
          <w:rFonts w:ascii="仿宋" w:hAnsi="仿宋" w:eastAsia="仿宋"/>
          <w:b/>
          <w:color w:val="auto"/>
          <w:sz w:val="32"/>
          <w:szCs w:val="32"/>
          <w:highlight w:val="none"/>
        </w:rPr>
      </w:pPr>
      <w:bookmarkStart w:id="146" w:name="_Toc1056247385_WPSOffice_Level3"/>
      <w:r>
        <w:rPr>
          <w:rFonts w:hint="eastAsia" w:ascii="仿宋" w:hAnsi="仿宋" w:eastAsia="仿宋"/>
          <w:b/>
          <w:color w:val="auto"/>
          <w:sz w:val="32"/>
          <w:szCs w:val="32"/>
          <w:highlight w:val="none"/>
        </w:rPr>
        <w:t>（二）一般公共预算财政拨款支出决算结构情况</w:t>
      </w:r>
      <w:bookmarkEnd w:id="141"/>
      <w:bookmarkEnd w:id="142"/>
      <w:bookmarkEnd w:id="143"/>
      <w:bookmarkEnd w:id="144"/>
      <w:bookmarkEnd w:id="145"/>
      <w:bookmarkEnd w:id="146"/>
    </w:p>
    <w:p>
      <w:pPr>
        <w:spacing w:line="600" w:lineRule="exact"/>
        <w:ind w:firstLine="640"/>
        <w:rPr>
          <w:rFonts w:hint="eastAsia" w:ascii="仿宋" w:hAnsi="仿宋" w:eastAsia="仿宋"/>
          <w:b/>
          <w:color w:val="auto"/>
          <w:sz w:val="32"/>
          <w:szCs w:val="32"/>
          <w:highlight w:val="none"/>
        </w:rPr>
      </w:pPr>
      <w:bookmarkStart w:id="147" w:name="_Toc15377444"/>
      <w:bookmarkStart w:id="148" w:name="_Toc15378460"/>
      <w:bookmarkStart w:id="149" w:name="_Toc1537721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823.35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92.72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30.93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59.74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rPr>
          <w:rFonts w:ascii="仿宋" w:hAnsi="仿宋" w:eastAsia="仿宋"/>
          <w:b/>
          <w:color w:val="auto"/>
          <w:sz w:val="32"/>
          <w:szCs w:val="32"/>
          <w:highlight w:val="none"/>
        </w:rPr>
      </w:pPr>
      <w:r>
        <w:rPr>
          <w:color w:val="auto"/>
        </w:rPr>
        <w:drawing>
          <wp:anchor distT="0" distB="0" distL="114300" distR="114300" simplePos="0" relativeHeight="251661312" behindDoc="0" locked="0" layoutInCell="1" allowOverlap="1">
            <wp:simplePos x="0" y="0"/>
            <wp:positionH relativeFrom="column">
              <wp:posOffset>1367790</wp:posOffset>
            </wp:positionH>
            <wp:positionV relativeFrom="paragraph">
              <wp:posOffset>78105</wp:posOffset>
            </wp:positionV>
            <wp:extent cx="2562860" cy="1595120"/>
            <wp:effectExtent l="5080" t="4445" r="22860" b="1968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150" w:name="_Toc15377212"/>
      <w:r>
        <w:rPr>
          <w:rFonts w:hint="eastAsia" w:ascii="仿宋" w:hAnsi="仿宋" w:eastAsia="仿宋"/>
          <w:b/>
          <w:color w:val="auto"/>
          <w:sz w:val="32"/>
          <w:szCs w:val="32"/>
          <w:highlight w:val="none"/>
        </w:rPr>
        <w:t>（三）一般公共预算财政拨款支出决算具体情况</w:t>
      </w:r>
      <w:bookmarkEnd w:id="150"/>
    </w:p>
    <w:bookmarkEnd w:id="147"/>
    <w:bookmarkEnd w:id="148"/>
    <w:bookmarkEnd w:id="149"/>
    <w:p>
      <w:pPr>
        <w:spacing w:line="600" w:lineRule="exact"/>
        <w:ind w:firstLine="642" w:firstLineChars="200"/>
        <w:outlineLvl w:val="9"/>
        <w:rPr>
          <w:rFonts w:ascii="仿宋" w:hAnsi="仿宋" w:eastAsia="仿宋"/>
          <w:color w:val="auto"/>
          <w:sz w:val="32"/>
          <w:szCs w:val="32"/>
          <w:highlight w:val="none"/>
        </w:rPr>
      </w:pPr>
      <w:bookmarkStart w:id="151" w:name="_Toc961310604_WPSOffice_Level2"/>
      <w:bookmarkStart w:id="152" w:name="_Toc15396608"/>
      <w:bookmarkStart w:id="153" w:name="_Toc1171752054_WPSOffice_Level2"/>
      <w:bookmarkStart w:id="154" w:name="_Toc1537721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1006.74</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1.公共安全支出（类）司法（款）行政运行（项）</w:t>
      </w:r>
      <w:r>
        <w:rPr>
          <w:rFonts w:hint="eastAsia" w:ascii="仿宋" w:hAnsi="仿宋" w:eastAsia="仿宋"/>
          <w:b/>
          <w:color w:val="auto"/>
          <w:sz w:val="28"/>
          <w:szCs w:val="28"/>
        </w:rPr>
        <w:t>：</w:t>
      </w:r>
      <w:r>
        <w:rPr>
          <w:rStyle w:val="19"/>
          <w:rFonts w:ascii="仿宋" w:hAnsi="仿宋" w:eastAsia="仿宋"/>
          <w:b w:val="0"/>
          <w:bCs/>
          <w:color w:val="auto"/>
          <w:sz w:val="28"/>
          <w:szCs w:val="28"/>
        </w:rPr>
        <w:t xml:space="preserve"> </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823.35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2.社会保障和就业（类）行政事业单位离退休（款）机关事业单位基本养老保险缴费支出（项）:</w:t>
      </w:r>
      <w:r>
        <w:rPr>
          <w:rStyle w:val="19"/>
          <w:rFonts w:ascii="仿宋" w:hAnsi="仿宋" w:eastAsia="仿宋"/>
          <w:b w:val="0"/>
          <w:bCs/>
          <w:color w:val="auto"/>
          <w:sz w:val="28"/>
          <w:szCs w:val="28"/>
        </w:rPr>
        <w:t xml:space="preserve">  </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92.72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p>
    <w:p>
      <w:pPr>
        <w:keepNext w:val="0"/>
        <w:keepLines w:val="0"/>
        <w:pageBreakBefore w:val="0"/>
        <w:numPr>
          <w:ilvl w:val="0"/>
          <w:numId w:val="0"/>
        </w:numPr>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3.卫生健康（类）行政事业单位医疗（款）行政单位医疗（项）:</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30.93</w:t>
      </w:r>
      <w:r>
        <w:rPr>
          <w:rFonts w:hint="eastAsia" w:ascii="仿宋" w:hAnsi="仿宋" w:eastAsia="仿宋"/>
          <w:color w:val="auto"/>
          <w:sz w:val="32"/>
          <w:szCs w:val="32"/>
          <w:highlight w:val="none"/>
        </w:rPr>
        <w:t>万元，完成预算100%。</w:t>
      </w:r>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4.住房保障支出（类）住房改革支出（款）住房公积金（项）：</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59.74</w:t>
      </w:r>
      <w:r>
        <w:rPr>
          <w:rFonts w:hint="eastAsia" w:ascii="仿宋" w:hAnsi="仿宋" w:eastAsia="仿宋"/>
          <w:color w:val="auto"/>
          <w:sz w:val="32"/>
          <w:szCs w:val="32"/>
          <w:highlight w:val="none"/>
        </w:rPr>
        <w:t>万元，完成预算100%。</w:t>
      </w:r>
    </w:p>
    <w:p>
      <w:pPr>
        <w:tabs>
          <w:tab w:val="right" w:pos="8306"/>
        </w:tabs>
        <w:spacing w:line="600" w:lineRule="exact"/>
        <w:ind w:firstLine="640"/>
        <w:outlineLvl w:val="1"/>
        <w:rPr>
          <w:rStyle w:val="30"/>
          <w:color w:val="auto"/>
          <w:highlight w:val="none"/>
        </w:rPr>
      </w:pPr>
      <w:bookmarkStart w:id="155" w:name="_Toc1682212405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151"/>
      <w:bookmarkEnd w:id="152"/>
      <w:bookmarkEnd w:id="153"/>
      <w:bookmarkEnd w:id="154"/>
      <w:bookmarkEnd w:id="15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bookmarkStart w:id="156" w:name="_Toc15396609"/>
      <w:bookmarkStart w:id="157" w:name="_Toc1758662163_WPSOffice_Level2"/>
      <w:bookmarkStart w:id="158" w:name="_Toc15377215"/>
      <w:bookmarkStart w:id="159" w:name="_Toc937524973_WPSOffice_Level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820.36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743.22万元</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77.14</w:t>
      </w:r>
      <w:r>
        <w:rPr>
          <w:rFonts w:hint="eastAsia" w:ascii="仿宋" w:hAnsi="仿宋" w:eastAsia="仿宋"/>
          <w:color w:val="auto"/>
          <w:sz w:val="32"/>
          <w:szCs w:val="32"/>
          <w:highlight w:val="none"/>
        </w:rPr>
        <w:t>万元，主要包括：办公费、印刷费、咨询费、手续费、水费、电费、差旅费、维修（护）费、租赁费、会议费、培训费、公务接待费、劳务费、委托业务费、工会经费、公务用车运行维护费、其他交通费、其他商品和服务支出等。</w:t>
      </w:r>
    </w:p>
    <w:p>
      <w:pPr>
        <w:spacing w:line="600" w:lineRule="exact"/>
        <w:ind w:firstLine="640"/>
        <w:outlineLvl w:val="1"/>
        <w:rPr>
          <w:rStyle w:val="30"/>
          <w:rFonts w:ascii="黑体" w:hAnsi="黑体" w:eastAsia="黑体"/>
          <w:b w:val="0"/>
          <w:color w:val="auto"/>
          <w:highlight w:val="none"/>
        </w:rPr>
      </w:pPr>
      <w:bookmarkStart w:id="160" w:name="_Toc1508102942_WPSOffice_Level2"/>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156"/>
      <w:bookmarkEnd w:id="157"/>
      <w:bookmarkEnd w:id="158"/>
      <w:bookmarkEnd w:id="159"/>
      <w:bookmarkEnd w:id="160"/>
    </w:p>
    <w:p>
      <w:pPr>
        <w:spacing w:line="600" w:lineRule="exact"/>
        <w:ind w:firstLine="640"/>
        <w:outlineLvl w:val="2"/>
        <w:rPr>
          <w:rFonts w:ascii="仿宋" w:hAnsi="仿宋" w:eastAsia="仿宋"/>
          <w:b/>
          <w:color w:val="auto"/>
          <w:sz w:val="32"/>
          <w:szCs w:val="32"/>
          <w:highlight w:val="none"/>
        </w:rPr>
      </w:pPr>
      <w:bookmarkStart w:id="161" w:name="_Toc15377216"/>
      <w:bookmarkStart w:id="162" w:name="_Toc801783234_WPSOffice_Level3"/>
      <w:bookmarkStart w:id="163" w:name="_Toc47482966_WPSOffice_Level3"/>
      <w:bookmarkStart w:id="164" w:name="_Toc10069"/>
      <w:bookmarkStart w:id="165" w:name="_Toc858874779_WPSOffice_Level3"/>
      <w:bookmarkStart w:id="166" w:name="_Toc133859538_WPSOffice_Level3"/>
      <w:r>
        <w:rPr>
          <w:rFonts w:hint="eastAsia" w:ascii="仿宋" w:hAnsi="仿宋" w:eastAsia="仿宋"/>
          <w:b/>
          <w:color w:val="auto"/>
          <w:sz w:val="32"/>
          <w:szCs w:val="32"/>
          <w:highlight w:val="none"/>
        </w:rPr>
        <w:t>（一）“三公”经费财政拨款支出决算总体情况说明</w:t>
      </w:r>
      <w:bookmarkEnd w:id="161"/>
      <w:bookmarkEnd w:id="162"/>
      <w:bookmarkEnd w:id="163"/>
      <w:bookmarkEnd w:id="164"/>
      <w:bookmarkEnd w:id="165"/>
      <w:bookmarkEnd w:id="166"/>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“三公”经费财政拨款支出决算为10.68万元，完成预算</w:t>
      </w:r>
      <w:r>
        <w:rPr>
          <w:rFonts w:hint="eastAsia" w:ascii="仿宋" w:hAnsi="仿宋" w:eastAsia="仿宋"/>
          <w:color w:val="auto"/>
          <w:sz w:val="32"/>
          <w:szCs w:val="32"/>
          <w:highlight w:val="none"/>
          <w:lang w:val="en-US" w:eastAsia="zh-CN"/>
        </w:rPr>
        <w:t>59</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单位执法执勤车辆均为新购置车辆，损耗小</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167" w:name="_Toc1546110092_WPSOffice_Level3"/>
      <w:bookmarkStart w:id="168" w:name="_Toc15377217"/>
      <w:bookmarkStart w:id="169" w:name="_Toc679114009_WPSOffice_Level3"/>
      <w:bookmarkStart w:id="170" w:name="_Toc1738284686_WPSOffice_Level3"/>
      <w:bookmarkStart w:id="171" w:name="_Toc11328"/>
      <w:bookmarkStart w:id="172" w:name="_Toc1484094552_WPSOffice_Level3"/>
      <w:r>
        <w:rPr>
          <w:rFonts w:hint="eastAsia" w:ascii="仿宋" w:hAnsi="仿宋" w:eastAsia="仿宋"/>
          <w:b/>
          <w:color w:val="auto"/>
          <w:sz w:val="32"/>
          <w:szCs w:val="32"/>
          <w:highlight w:val="none"/>
        </w:rPr>
        <w:t>（二）“三公”经费财政拨款支出决算具体情况说明</w:t>
      </w:r>
      <w:bookmarkEnd w:id="167"/>
      <w:bookmarkEnd w:id="168"/>
      <w:bookmarkEnd w:id="169"/>
      <w:bookmarkEnd w:id="170"/>
      <w:bookmarkEnd w:id="171"/>
      <w:bookmarkEnd w:id="172"/>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eastAsia="仿宋_GB2312"/>
          <w:color w:val="auto"/>
          <w:sz w:val="28"/>
          <w:szCs w:val="28"/>
          <w:lang w:val="en-US" w:eastAsia="zh-CN"/>
        </w:rPr>
        <w:t>4.68</w:t>
      </w:r>
      <w:r>
        <w:rPr>
          <w:rFonts w:hint="eastAsia" w:ascii="仿宋" w:hAnsi="仿宋" w:eastAsia="仿宋"/>
          <w:color w:val="auto"/>
          <w:sz w:val="32"/>
          <w:szCs w:val="32"/>
          <w:highlight w:val="none"/>
        </w:rPr>
        <w:t>万元，占</w:t>
      </w:r>
      <w:r>
        <w:rPr>
          <w:rFonts w:hint="eastAsia" w:ascii="仿宋_GB2312" w:eastAsia="仿宋_GB2312"/>
          <w:color w:val="auto"/>
          <w:sz w:val="28"/>
          <w:szCs w:val="28"/>
          <w:lang w:val="en-US" w:eastAsia="zh-CN"/>
        </w:rPr>
        <w:t>44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eastAsia="仿宋_GB2312"/>
          <w:color w:val="auto"/>
          <w:sz w:val="28"/>
          <w:szCs w:val="28"/>
          <w:lang w:val="en-US" w:eastAsia="zh-CN"/>
        </w:rPr>
        <w:t>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8"/>
        <w:jc w:val="center"/>
        <w:rPr>
          <w:color w:val="auto"/>
        </w:rPr>
      </w:pPr>
      <w:r>
        <w:drawing>
          <wp:inline distT="0" distB="0" distL="114300" distR="114300">
            <wp:extent cx="2313940" cy="1640205"/>
            <wp:effectExtent l="4445" t="4445" r="5715" b="1270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年初未安排预算，与上年数无变化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eastAsia="仿宋_GB2312"/>
          <w:color w:val="auto"/>
          <w:sz w:val="28"/>
          <w:szCs w:val="28"/>
          <w:lang w:val="en-US" w:eastAsia="zh-CN"/>
        </w:rPr>
        <w:t>4.68</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26</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hAnsi="Times New Roman" w:eastAsia="仿宋_GB2312" w:cs="Times New Roman"/>
          <w:color w:val="auto"/>
          <w:sz w:val="32"/>
          <w:szCs w:val="32"/>
          <w:highlight w:val="none"/>
        </w:rPr>
        <w:t>公务用车购置及运行维护费支出决算比</w:t>
      </w:r>
      <w:r>
        <w:rPr>
          <w:rFonts w:hint="eastAsia" w:ascii="仿宋_GB2312" w:hAnsi="Times New Roman" w:eastAsia="仿宋_GB2312" w:cs="Times New Roman"/>
          <w:color w:val="auto"/>
          <w:sz w:val="32"/>
          <w:szCs w:val="32"/>
          <w:highlight w:val="none"/>
          <w:lang w:eastAsia="zh-CN"/>
        </w:rPr>
        <w:t>2021年增加</w:t>
      </w:r>
      <w:r>
        <w:rPr>
          <w:rFonts w:hint="eastAsia" w:ascii="仿宋_GB2312" w:hAnsi="Times New Roman" w:eastAsia="仿宋_GB2312" w:cs="Times New Roman"/>
          <w:color w:val="auto"/>
          <w:sz w:val="32"/>
          <w:szCs w:val="32"/>
          <w:highlight w:val="none"/>
          <w:lang w:val="en-US" w:eastAsia="zh-CN"/>
        </w:rPr>
        <w:t>1.27</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lang w:eastAsia="zh-CN"/>
        </w:rPr>
        <w:t>增长</w:t>
      </w:r>
      <w:r>
        <w:rPr>
          <w:rFonts w:hint="eastAsia" w:ascii="仿宋_GB2312" w:hAnsi="Times New Roman" w:eastAsia="仿宋_GB2312" w:cs="Times New Roman"/>
          <w:color w:val="auto"/>
          <w:sz w:val="32"/>
          <w:szCs w:val="32"/>
          <w:highlight w:val="none"/>
          <w:lang w:val="en-US" w:eastAsia="zh-CN"/>
        </w:rPr>
        <w:t>37</w:t>
      </w:r>
      <w:r>
        <w:rPr>
          <w:rFonts w:hint="eastAsia" w:ascii="仿宋_GB2312" w:hAnsi="Times New Roman" w:eastAsia="仿宋_GB2312" w:cs="Times New Roman"/>
          <w:color w:val="auto"/>
          <w:sz w:val="32"/>
          <w:szCs w:val="32"/>
          <w:highlight w:val="none"/>
        </w:rPr>
        <w:t>%。主要原因是</w:t>
      </w:r>
      <w:r>
        <w:rPr>
          <w:rFonts w:hint="eastAsia" w:ascii="仿宋_GB2312" w:hAnsi="Times New Roman" w:eastAsia="仿宋_GB2312" w:cs="Times New Roman"/>
          <w:color w:val="auto"/>
          <w:sz w:val="32"/>
          <w:szCs w:val="32"/>
          <w:highlight w:val="none"/>
          <w:lang w:val="en-US" w:eastAsia="zh-CN"/>
        </w:rPr>
        <w:t>2022年公务用车运行多，维护增加</w:t>
      </w:r>
      <w:r>
        <w:rPr>
          <w:rFonts w:hint="eastAsia" w:ascii="仿宋_GB2312" w:hAnsi="Times New Roman" w:eastAsia="仿宋_GB2312" w:cs="Times New Roman"/>
          <w:color w:val="auto"/>
          <w:sz w:val="32"/>
          <w:szCs w:val="32"/>
          <w:highlight w:val="none"/>
        </w:rPr>
        <w:t>。</w:t>
      </w:r>
    </w:p>
    <w:p>
      <w:pPr>
        <w:pageBreakBefore w:val="0"/>
        <w:kinsoku/>
        <w:wordWrap/>
        <w:overflowPunct/>
        <w:topLinePunct w:val="0"/>
        <w:bidi w:val="0"/>
        <w:snapToGrid/>
        <w:spacing w:line="576"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在公务用车制度改革后，不允许单位购买公务用车。因公出差向机关事务局申请公务用车，公务用车有保障。</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截至</w:t>
      </w:r>
      <w:r>
        <w:rPr>
          <w:rFonts w:hint="eastAsia" w:ascii="仿宋_GB2312" w:eastAsia="仿宋_GB2312"/>
          <w:color w:val="auto"/>
          <w:sz w:val="32"/>
          <w:szCs w:val="32"/>
          <w:highlight w:val="none"/>
          <w:lang w:eastAsia="zh-CN"/>
        </w:rPr>
        <w:t>2022年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4.68</w:t>
      </w:r>
      <w:r>
        <w:rPr>
          <w:rFonts w:hint="eastAsia" w:ascii="仿宋_GB2312" w:eastAsia="仿宋_GB2312"/>
          <w:color w:val="auto"/>
          <w:sz w:val="32"/>
          <w:szCs w:val="32"/>
          <w:highlight w:val="none"/>
        </w:rPr>
        <w:t>万元。主要用于基层司法所业务、法律援助、普法宣传、社区矫正 、安置帮教、</w:t>
      </w:r>
      <w:r>
        <w:rPr>
          <w:rFonts w:hint="eastAsia" w:ascii="仿宋_GB2312" w:eastAsia="仿宋_GB2312"/>
          <w:color w:val="auto"/>
          <w:sz w:val="32"/>
          <w:szCs w:val="32"/>
          <w:highlight w:val="none"/>
          <w:lang w:eastAsia="zh-CN"/>
        </w:rPr>
        <w:t>乡村振兴</w:t>
      </w:r>
      <w:r>
        <w:rPr>
          <w:rFonts w:hint="eastAsia" w:ascii="仿宋_GB2312" w:eastAsia="仿宋_GB2312"/>
          <w:color w:val="auto"/>
          <w:sz w:val="32"/>
          <w:szCs w:val="32"/>
          <w:highlight w:val="none"/>
        </w:rPr>
        <w:t>、办案业务等所需的公务用车燃料费、维修费、过路过桥费、保险费等支出。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54</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hint="eastAsia" w:ascii="仿宋_GB2312" w:eastAsia="仿宋_GB2312"/>
          <w:color w:val="auto"/>
          <w:sz w:val="32"/>
          <w:szCs w:val="32"/>
          <w:highlight w:val="none"/>
          <w:lang w:eastAsia="zh-CN"/>
        </w:rPr>
        <w:t>2021年</w:t>
      </w:r>
      <w:r>
        <w:rPr>
          <w:rFonts w:hint="eastAsia" w:ascii="仿宋_GB2312" w:eastAsia="仿宋_GB2312"/>
          <w:color w:val="auto"/>
          <w:sz w:val="32"/>
          <w:szCs w:val="32"/>
          <w:highlight w:val="none"/>
        </w:rPr>
        <w:t>增加</w:t>
      </w:r>
      <w:r>
        <w:rPr>
          <w:rFonts w:hint="eastAsia" w:ascii="仿宋_GB2312" w:eastAsia="仿宋_GB2312"/>
          <w:color w:val="auto"/>
          <w:sz w:val="32"/>
          <w:szCs w:val="32"/>
          <w:highlight w:val="none"/>
          <w:lang w:val="en-US" w:eastAsia="zh-CN"/>
        </w:rPr>
        <w:t>2.98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98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全省法治政府示范区创建工作中，省、市各级领导检查工作、外市外县同行调研、考察等公务活动增加</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6</w:t>
      </w:r>
      <w:r>
        <w:rPr>
          <w:rFonts w:hint="eastAsia" w:ascii="仿宋_GB2312" w:eastAsia="仿宋_GB2312"/>
          <w:color w:val="auto"/>
          <w:sz w:val="32"/>
          <w:szCs w:val="32"/>
          <w:highlight w:val="none"/>
        </w:rPr>
        <w:t>万元，</w:t>
      </w:r>
      <w:r>
        <w:rPr>
          <w:rStyle w:val="19"/>
          <w:rFonts w:hint="eastAsia" w:ascii="仿宋" w:hAnsi="仿宋" w:eastAsia="仿宋" w:cstheme="minorBidi"/>
          <w:b w:val="0"/>
          <w:bCs/>
          <w:color w:val="auto"/>
          <w:sz w:val="32"/>
          <w:szCs w:val="32"/>
          <w:highlight w:val="none"/>
        </w:rPr>
        <w:t>主要用于开展业务活动开支的住宿</w:t>
      </w:r>
      <w:r>
        <w:rPr>
          <w:rFonts w:hint="eastAsia" w:ascii="仿宋_GB2312" w:eastAsia="仿宋_GB2312"/>
          <w:color w:val="auto"/>
          <w:sz w:val="32"/>
          <w:szCs w:val="32"/>
          <w:highlight w:val="none"/>
        </w:rPr>
        <w:t>费、用餐费等。</w:t>
      </w:r>
    </w:p>
    <w:p>
      <w:pPr>
        <w:spacing w:line="600" w:lineRule="exact"/>
        <w:ind w:firstLine="642"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30"/>
          <w:rFonts w:ascii="黑体" w:hAnsi="黑体" w:eastAsia="黑体"/>
          <w:color w:val="auto"/>
          <w:highlight w:val="none"/>
        </w:rPr>
      </w:pPr>
      <w:bookmarkStart w:id="173" w:name="_Toc15377218"/>
      <w:bookmarkStart w:id="174" w:name="_Toc753686409_WPSOffice_Level2"/>
      <w:bookmarkStart w:id="175" w:name="_Toc15396610"/>
      <w:bookmarkStart w:id="176" w:name="_Toc61595035_WPSOffice_Level2"/>
      <w:bookmarkStart w:id="177" w:name="_Toc1236972769_WPSOffice_Level2"/>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173"/>
      <w:bookmarkEnd w:id="174"/>
      <w:bookmarkEnd w:id="175"/>
      <w:bookmarkEnd w:id="176"/>
      <w:bookmarkEnd w:id="177"/>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ascii="黑体" w:hAnsi="黑体" w:eastAsia="黑体"/>
          <w:b w:val="0"/>
          <w:color w:val="auto"/>
          <w:highlight w:val="none"/>
        </w:rPr>
      </w:pPr>
      <w:bookmarkStart w:id="178" w:name="_Toc15377219"/>
      <w:bookmarkStart w:id="179" w:name="_Toc1748171127_WPSOffice_Level2"/>
      <w:bookmarkStart w:id="180" w:name="_Toc1596716839_WPSOffice_Level2"/>
      <w:bookmarkStart w:id="181" w:name="_Toc15396611"/>
      <w:bookmarkStart w:id="182" w:name="_Toc511251749_WPSOffice_Level2"/>
      <w:bookmarkStart w:id="183" w:name="_Toc1596716839"/>
      <w:r>
        <w:rPr>
          <w:rStyle w:val="30"/>
          <w:rFonts w:hint="eastAsia" w:ascii="黑体" w:hAnsi="黑体" w:eastAsia="黑体"/>
          <w:b w:val="0"/>
          <w:color w:val="auto"/>
          <w:highlight w:val="none"/>
        </w:rPr>
        <w:t>国有资本经营预算支出决算情况说明</w:t>
      </w:r>
      <w:bookmarkEnd w:id="178"/>
      <w:bookmarkEnd w:id="179"/>
      <w:bookmarkEnd w:id="180"/>
      <w:bookmarkEnd w:id="181"/>
      <w:bookmarkEnd w:id="182"/>
    </w:p>
    <w:bookmarkEnd w:id="183"/>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2022年</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hint="eastAsia" w:ascii="黑体" w:hAnsi="黑体" w:eastAsia="黑体"/>
          <w:b w:val="0"/>
          <w:color w:val="auto"/>
          <w:highlight w:val="none"/>
        </w:rPr>
      </w:pPr>
      <w:bookmarkStart w:id="184" w:name="_Toc279839767_WPSOffice_Level2"/>
      <w:bookmarkStart w:id="185" w:name="_Toc1723559113_WPSOffice_Level2"/>
      <w:bookmarkStart w:id="186" w:name="_Toc15377221"/>
      <w:bookmarkStart w:id="187" w:name="_Toc15396612"/>
      <w:bookmarkStart w:id="188" w:name="_Toc784606973_WPSOffice_Level2"/>
      <w:bookmarkStart w:id="189" w:name="_Toc279839767"/>
      <w:r>
        <w:rPr>
          <w:rStyle w:val="30"/>
          <w:rFonts w:hint="eastAsia" w:ascii="黑体" w:hAnsi="黑体" w:eastAsia="黑体"/>
          <w:b w:val="0"/>
          <w:color w:val="auto"/>
          <w:highlight w:val="none"/>
        </w:rPr>
        <w:t>其他重要事项的情况说明</w:t>
      </w:r>
      <w:bookmarkEnd w:id="184"/>
      <w:bookmarkEnd w:id="185"/>
      <w:bookmarkEnd w:id="186"/>
      <w:bookmarkEnd w:id="187"/>
      <w:bookmarkEnd w:id="188"/>
    </w:p>
    <w:bookmarkEnd w:id="189"/>
    <w:p>
      <w:pPr>
        <w:spacing w:line="600" w:lineRule="exact"/>
        <w:ind w:firstLine="642" w:firstLineChars="200"/>
        <w:outlineLvl w:val="2"/>
        <w:rPr>
          <w:rFonts w:ascii="仿宋" w:hAnsi="仿宋" w:eastAsia="仿宋"/>
          <w:color w:val="auto"/>
          <w:sz w:val="32"/>
          <w:szCs w:val="32"/>
          <w:highlight w:val="none"/>
        </w:rPr>
      </w:pPr>
      <w:bookmarkStart w:id="190" w:name="_Toc15377222"/>
      <w:bookmarkStart w:id="191" w:name="_Toc31870"/>
      <w:bookmarkStart w:id="192" w:name="_Toc102818410_WPSOffice_Level3"/>
      <w:bookmarkStart w:id="193" w:name="_Toc961310604_WPSOffice_Level3"/>
      <w:bookmarkStart w:id="194" w:name="_Toc1171752054_WPSOffice_Level3"/>
      <w:bookmarkStart w:id="195" w:name="_Toc1297602989_WPSOffice_Level3"/>
      <w:r>
        <w:rPr>
          <w:rFonts w:hint="eastAsia" w:ascii="仿宋" w:hAnsi="仿宋" w:eastAsia="仿宋"/>
          <w:b/>
          <w:color w:val="auto"/>
          <w:sz w:val="32"/>
          <w:szCs w:val="32"/>
          <w:highlight w:val="none"/>
        </w:rPr>
        <w:t>（一）机关运行经费支出情况</w:t>
      </w:r>
      <w:bookmarkEnd w:id="190"/>
      <w:bookmarkEnd w:id="191"/>
      <w:bookmarkEnd w:id="192"/>
      <w:bookmarkEnd w:id="193"/>
      <w:bookmarkEnd w:id="194"/>
      <w:bookmarkEnd w:id="195"/>
    </w:p>
    <w:p>
      <w:pPr>
        <w:spacing w:line="580" w:lineRule="exact"/>
        <w:ind w:firstLine="640" w:firstLineChars="200"/>
        <w:rPr>
          <w:rFonts w:hint="default" w:ascii="仿宋_GB2312" w:hAnsi="仿宋_GB2312" w:eastAsia="仿宋_GB2312" w:cs="仿宋_GB2312"/>
          <w:color w:val="C00000"/>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rPr>
        <w:t>，广元市昭化区司法局机关运行经费支出</w:t>
      </w:r>
      <w:r>
        <w:rPr>
          <w:rFonts w:hint="eastAsia" w:ascii="仿宋_GB2312" w:hAnsi="仿宋_GB2312" w:eastAsia="仿宋_GB2312" w:cs="仿宋_GB2312"/>
          <w:color w:val="auto"/>
          <w:sz w:val="32"/>
          <w:szCs w:val="32"/>
          <w:highlight w:val="none"/>
          <w:lang w:val="en-US" w:eastAsia="zh-CN"/>
        </w:rPr>
        <w:t>77.14</w:t>
      </w:r>
      <w:r>
        <w:rPr>
          <w:rFonts w:hint="eastAsia" w:ascii="仿宋_GB2312" w:hAnsi="仿宋_GB2312" w:eastAsia="仿宋_GB2312" w:cs="仿宋_GB2312"/>
          <w:color w:val="auto"/>
          <w:sz w:val="32"/>
          <w:szCs w:val="32"/>
          <w:highlight w:val="none"/>
        </w:rPr>
        <w:t>万元，比</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rPr>
        <w:t>减少</w:t>
      </w:r>
      <w:r>
        <w:rPr>
          <w:rFonts w:hint="eastAsia" w:ascii="仿宋_GB2312" w:hAnsi="仿宋_GB2312" w:eastAsia="仿宋_GB2312" w:cs="仿宋_GB2312"/>
          <w:color w:val="auto"/>
          <w:sz w:val="32"/>
          <w:szCs w:val="32"/>
          <w:highlight w:val="none"/>
          <w:lang w:val="en-US" w:eastAsia="zh-CN"/>
        </w:rPr>
        <w:t>30.06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，主要原因是依法治区经费预算调整为其他公用经费</w:t>
      </w:r>
      <w:r>
        <w:rPr>
          <w:rFonts w:hint="eastAsia" w:ascii="仿宋_GB2312" w:hAnsi="仿宋_GB2312" w:eastAsia="仿宋_GB2312" w:cs="仿宋_GB2312"/>
          <w:color w:val="auto"/>
          <w:sz w:val="32"/>
          <w:szCs w:val="32"/>
          <w:highlight w:val="none"/>
          <w:lang w:val="en-US"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96" w:name="_Toc15377223"/>
      <w:bookmarkStart w:id="197" w:name="_Toc937524973_WPSOffice_Level3"/>
      <w:bookmarkStart w:id="198" w:name="_Toc1758662163_WPSOffice_Level3"/>
      <w:bookmarkStart w:id="199" w:name="_Toc17440"/>
      <w:bookmarkStart w:id="200" w:name="_Toc382461795_WPSOffice_Level3"/>
      <w:bookmarkStart w:id="201" w:name="_Toc1682212405_WPSOffice_Level3"/>
      <w:r>
        <w:rPr>
          <w:rFonts w:hint="eastAsia" w:ascii="仿宋" w:hAnsi="仿宋" w:eastAsia="仿宋"/>
          <w:b/>
          <w:color w:val="auto"/>
          <w:sz w:val="32"/>
          <w:szCs w:val="32"/>
          <w:highlight w:val="none"/>
        </w:rPr>
        <w:t>（二）政府采购支出情况</w:t>
      </w:r>
      <w:bookmarkEnd w:id="196"/>
      <w:bookmarkEnd w:id="197"/>
      <w:bookmarkEnd w:id="198"/>
      <w:bookmarkEnd w:id="199"/>
      <w:bookmarkEnd w:id="200"/>
      <w:bookmarkEnd w:id="201"/>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rPr>
        <w:t>，广元市昭化区司法局政府采购支出总额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202" w:name="_Toc753686409_WPSOffice_Level3"/>
      <w:bookmarkStart w:id="203" w:name="_Toc15377224"/>
      <w:bookmarkStart w:id="204" w:name="_Toc61595035_WPSOffice_Level3"/>
      <w:bookmarkStart w:id="205" w:name="_Toc19523"/>
      <w:bookmarkStart w:id="206" w:name="_Toc1648778726_WPSOffice_Level3"/>
      <w:bookmarkStart w:id="207" w:name="_Toc1508102942_WPSOffice_Level3"/>
      <w:r>
        <w:rPr>
          <w:rFonts w:hint="eastAsia" w:ascii="仿宋" w:hAnsi="仿宋" w:eastAsia="仿宋"/>
          <w:b/>
          <w:color w:val="auto"/>
          <w:sz w:val="32"/>
          <w:szCs w:val="32"/>
          <w:highlight w:val="none"/>
        </w:rPr>
        <w:t>（三）国有资产占有使用情况</w:t>
      </w:r>
      <w:bookmarkEnd w:id="202"/>
      <w:bookmarkEnd w:id="203"/>
      <w:bookmarkEnd w:id="204"/>
      <w:bookmarkEnd w:id="205"/>
      <w:bookmarkEnd w:id="206"/>
      <w:bookmarkEnd w:id="207"/>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rPr>
        <w:t>12月31日，共有车辆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执法执勤车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。主要用于</w:t>
      </w:r>
      <w:r>
        <w:rPr>
          <w:rFonts w:hint="eastAsia" w:ascii="仿宋_GB2312" w:eastAsia="仿宋_GB2312"/>
          <w:color w:val="auto"/>
          <w:sz w:val="32"/>
          <w:szCs w:val="32"/>
          <w:highlight w:val="none"/>
        </w:rPr>
        <w:t>基层司法所业务、法律援助、普法宣传</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社区矫正、安置帮教、</w:t>
      </w:r>
      <w:r>
        <w:rPr>
          <w:rFonts w:hint="eastAsia" w:ascii="仿宋_GB2312" w:eastAsia="仿宋_GB2312"/>
          <w:color w:val="auto"/>
          <w:sz w:val="32"/>
          <w:szCs w:val="32"/>
          <w:highlight w:val="none"/>
          <w:lang w:eastAsia="zh-CN"/>
        </w:rPr>
        <w:t>乡村振兴</w:t>
      </w:r>
      <w:r>
        <w:rPr>
          <w:rFonts w:hint="eastAsia" w:ascii="仿宋_GB2312" w:eastAsia="仿宋_GB2312"/>
          <w:color w:val="auto"/>
          <w:sz w:val="32"/>
          <w:szCs w:val="32"/>
          <w:highlight w:val="none"/>
        </w:rPr>
        <w:t>、办案业务等所需的公务用车燃料费、维修费、过路过桥费、保险费等支出。</w:t>
      </w:r>
      <w:r>
        <w:rPr>
          <w:rFonts w:hint="eastAsia" w:ascii="仿宋_GB2312" w:hAnsi="仿宋_GB2312" w:eastAsia="仿宋_GB2312" w:cs="仿宋_GB2312"/>
          <w:color w:val="auto"/>
          <w:sz w:val="32"/>
          <w:szCs w:val="32"/>
          <w:highlight w:val="none"/>
        </w:rPr>
        <w:t>单价50万元以上通用设备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台（套），单价100万元以上专用设备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208" w:name="_Toc335512063_WPSOffice_Level3"/>
      <w:r>
        <w:rPr>
          <w:rFonts w:hint="eastAsia" w:ascii="仿宋" w:hAnsi="仿宋" w:eastAsia="仿宋"/>
          <w:b/>
          <w:color w:val="auto"/>
          <w:sz w:val="32"/>
          <w:szCs w:val="32"/>
          <w:highlight w:val="none"/>
        </w:rPr>
        <w:t>（四）预算绩效管理情况</w:t>
      </w:r>
      <w:bookmarkEnd w:id="208"/>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年度预算编制阶段，组织对基层司法业务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普法宣传经费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法律援助金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法律顾问费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行政复议工作经费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依法治区和法治政府建设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司法辅助人员包干经费</w:t>
      </w:r>
      <w:r>
        <w:rPr>
          <w:rFonts w:hint="eastAsia" w:ascii="仿宋_GB2312" w:hAnsi="仿宋_GB2312" w:eastAsia="仿宋_GB2312" w:cs="仿宋_GB2312"/>
          <w:color w:val="auto"/>
          <w:sz w:val="32"/>
          <w:szCs w:val="32"/>
          <w:highlight w:val="none"/>
          <w:lang w:eastAsia="zh-CN"/>
        </w:rPr>
        <w:t>、争取资金工作经费</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w:t>
      </w:r>
    </w:p>
    <w:p>
      <w:pPr>
        <w:pStyle w:val="8"/>
        <w:ind w:firstLine="640" w:firstLineChars="200"/>
        <w:rPr>
          <w:rFonts w:hint="eastAsia"/>
        </w:r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部门整体（含部门预算项目）绩效自评报告、法律援助等专项预算项目绩效自评报告。绩效自评报告详见附件。</w:t>
      </w:r>
    </w:p>
    <w:p>
      <w:pPr>
        <w:pStyle w:val="8"/>
        <w:rPr>
          <w:color w:val="auto"/>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209" w:name="_Toc56324611_WPSOffice_Level1"/>
      <w:bookmarkStart w:id="210" w:name="_Toc15377225"/>
      <w:bookmarkStart w:id="211" w:name="_Toc15396613"/>
      <w:bookmarkStart w:id="212" w:name="_Toc643982899_WPSOffice_Level1"/>
      <w:bookmarkStart w:id="213" w:name="_Toc335512063_WPSOffice_Level1"/>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209"/>
      <w:bookmarkEnd w:id="210"/>
      <w:bookmarkEnd w:id="211"/>
      <w:bookmarkEnd w:id="212"/>
      <w:bookmarkEnd w:id="213"/>
    </w:p>
    <w:p>
      <w:pPr>
        <w:spacing w:line="600" w:lineRule="exact"/>
        <w:jc w:val="left"/>
        <w:rPr>
          <w:rFonts w:ascii="宋体"/>
          <w:b/>
          <w:color w:val="auto"/>
          <w:sz w:val="44"/>
          <w:szCs w:val="44"/>
          <w:highlight w:val="none"/>
        </w:rPr>
      </w:pP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结余分配：指事业单位按照会计制度规定缴纳的所得税、提取的专用结余以及转入非财政拨款结余的金额等。</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年末结转和结余：指单位按有关规定结转到下年或以后年度继续使用的资金。</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公共安全支出（类）司法（款）行政运行（项）：指机关及参公管理事业单位用于保障机构正常运行、开展日常工作的基本支出。</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社会保障和就业（类）行政事业单位离退休（款）机关事业单位基本养老保险缴费支出（项）:</w:t>
      </w:r>
      <w:r>
        <w:rPr>
          <w:rFonts w:hint="default" w:ascii="仿宋_GB2312" w:eastAsia="仿宋_GB2312"/>
          <w:color w:val="auto"/>
          <w:sz w:val="32"/>
          <w:szCs w:val="32"/>
          <w:highlight w:val="none"/>
          <w:lang w:eastAsia="zh-CN"/>
        </w:rPr>
        <w:t>指部门实施养老保险制度由单位缴纳的养老保险费的支出</w:t>
      </w:r>
      <w:r>
        <w:rPr>
          <w:rFonts w:hint="eastAsia" w:ascii="仿宋_GB2312" w:eastAsia="仿宋_GB2312"/>
          <w:color w:val="auto"/>
          <w:sz w:val="32"/>
          <w:szCs w:val="32"/>
          <w:highlight w:val="none"/>
        </w:rPr>
        <w:t>。</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卫生健康（类）行政事业单位医疗（款）行政单位医疗（项）:</w:t>
      </w:r>
      <w:r>
        <w:rPr>
          <w:rFonts w:hint="default" w:ascii="仿宋_GB2312" w:eastAsia="仿宋_GB2312"/>
          <w:color w:val="auto"/>
          <w:sz w:val="32"/>
          <w:szCs w:val="32"/>
          <w:highlight w:val="none"/>
          <w:lang w:eastAsia="zh-CN"/>
        </w:rPr>
        <w:t>指机关及参公管理事业单位用于单位应缴纳基本医疗保险支出</w:t>
      </w:r>
      <w:r>
        <w:rPr>
          <w:rFonts w:hint="eastAsia" w:ascii="仿宋_GB2312" w:eastAsia="仿宋_GB2312"/>
          <w:color w:val="auto"/>
          <w:sz w:val="32"/>
          <w:szCs w:val="32"/>
          <w:highlight w:val="none"/>
        </w:rPr>
        <w:t>。</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住房保障支出（类）住房改革支出（款）住房公积金（项）：</w:t>
      </w:r>
      <w:r>
        <w:rPr>
          <w:rFonts w:hint="default" w:ascii="仿宋_GB2312" w:eastAsia="仿宋_GB2312"/>
          <w:color w:val="auto"/>
          <w:sz w:val="32"/>
          <w:szCs w:val="32"/>
          <w:highlight w:val="none"/>
          <w:lang w:eastAsia="zh-CN"/>
        </w:rPr>
        <w:t>指按照《住房公积金管理条例》的规定，由单位及其在职职工缴存的长期住房储金</w:t>
      </w:r>
      <w:r>
        <w:rPr>
          <w:rFonts w:hint="eastAsia" w:ascii="仿宋_GB2312" w:eastAsia="仿宋_GB2312"/>
          <w:color w:val="auto"/>
          <w:sz w:val="32"/>
          <w:szCs w:val="32"/>
          <w:highlight w:val="none"/>
          <w:lang w:eastAsia="zh-CN"/>
        </w:rPr>
        <w:t>。</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黑体" w:hAnsi="黑体" w:eastAsia="黑体"/>
          <w:color w:val="auto"/>
          <w:sz w:val="44"/>
          <w:szCs w:val="44"/>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公务用车运行维护费以及其他费用。</w:t>
      </w:r>
      <w:bookmarkStart w:id="214" w:name="_Toc15396614"/>
      <w:bookmarkStart w:id="215" w:name="_Toc15377226"/>
    </w:p>
    <w:p>
      <w:pPr>
        <w:spacing w:line="600" w:lineRule="exact"/>
        <w:jc w:val="center"/>
        <w:outlineLvl w:val="0"/>
        <w:rPr>
          <w:rStyle w:val="29"/>
          <w:rFonts w:ascii="黑体" w:hAnsi="黑体" w:eastAsia="黑体"/>
          <w:b w:val="0"/>
          <w:color w:val="auto"/>
          <w:highlight w:val="none"/>
        </w:rPr>
      </w:pPr>
      <w:bookmarkStart w:id="216" w:name="_Toc801783234_WPSOffice_Level1"/>
      <w:bookmarkStart w:id="217" w:name="_Toc858874779_WPSOffice_Level1"/>
      <w:bookmarkStart w:id="218" w:name="_Toc1781517858_WPSOffice_Level1"/>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214"/>
      <w:bookmarkEnd w:id="216"/>
      <w:bookmarkEnd w:id="217"/>
      <w:bookmarkEnd w:id="218"/>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黑体" w:hAnsi="黑体" w:eastAsia="黑体" w:cs="黑体"/>
          <w:color w:val="auto"/>
          <w:sz w:val="32"/>
          <w:szCs w:val="32"/>
          <w:highlight w:val="none"/>
        </w:rPr>
      </w:pPr>
      <w:bookmarkStart w:id="219" w:name="_Toc21786"/>
      <w:r>
        <w:rPr>
          <w:rFonts w:hint="eastAsia" w:ascii="黑体" w:hAnsi="黑体" w:eastAsia="黑体" w:cs="黑体"/>
          <w:color w:val="auto"/>
          <w:sz w:val="32"/>
          <w:szCs w:val="32"/>
          <w:highlight w:val="none"/>
        </w:rPr>
        <w:t>附件</w:t>
      </w:r>
      <w:bookmarkEnd w:id="219"/>
    </w:p>
    <w:p>
      <w:pPr>
        <w:keepNext w:val="0"/>
        <w:keepLines w:val="0"/>
        <w:pageBreakBefore w:val="0"/>
        <w:widowControl w:val="0"/>
        <w:kinsoku/>
        <w:wordWrap/>
        <w:overflowPunct/>
        <w:topLinePunct w:val="0"/>
        <w:autoSpaceDE w:val="0"/>
        <w:autoSpaceDN w:val="0"/>
        <w:bidi w:val="0"/>
        <w:adjustRightInd/>
        <w:snapToGrid/>
        <w:spacing w:before="0" w:line="576" w:lineRule="exact"/>
        <w:ind w:right="0"/>
        <w:jc w:val="center"/>
        <w:textAlignment w:val="auto"/>
        <w:rPr>
          <w:rFonts w:hint="eastAsia" w:ascii="方正大标宋_GBK" w:hAnsi="方正大标宋_GBK" w:eastAsia="方正大标宋_GBK" w:cs="方正大标宋_GBK"/>
          <w:sz w:val="32"/>
          <w:szCs w:val="32"/>
        </w:rPr>
      </w:pPr>
      <w:bookmarkStart w:id="220" w:name="_Toc335512063_WPSOffice_Level2"/>
      <w:bookmarkStart w:id="221" w:name="_Toc1738284686_WPSOffice_Level1"/>
      <w:bookmarkStart w:id="222" w:name="_Toc1546110092_WPSOffice_Level1"/>
      <w:bookmarkStart w:id="223" w:name="_Toc15396618"/>
      <w:r>
        <w:rPr>
          <w:rFonts w:hint="eastAsia" w:ascii="方正大标宋_GBK" w:hAnsi="方正大标宋_GBK" w:eastAsia="方正大标宋_GBK" w:cs="方正大标宋_GBK"/>
          <w:sz w:val="32"/>
          <w:szCs w:val="32"/>
        </w:rPr>
        <w:t>2022年部门整体支出绩效自评报告</w:t>
      </w:r>
      <w:bookmarkEnd w:id="220"/>
    </w:p>
    <w:p>
      <w:pPr>
        <w:pStyle w:val="8"/>
        <w:keepNext w:val="0"/>
        <w:keepLines w:val="0"/>
        <w:pageBreakBefore w:val="0"/>
        <w:widowControl w:val="0"/>
        <w:kinsoku/>
        <w:wordWrap/>
        <w:overflowPunct/>
        <w:topLinePunct w:val="0"/>
        <w:autoSpaceDE w:val="0"/>
        <w:autoSpaceDN w:val="0"/>
        <w:bidi w:val="0"/>
        <w:adjustRightInd/>
        <w:snapToGrid/>
        <w:spacing w:before="0" w:line="576" w:lineRule="exact"/>
        <w:ind w:left="0"/>
        <w:textAlignment w:val="auto"/>
        <w:rPr>
          <w:sz w:val="55"/>
        </w:rPr>
      </w:pP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w w:val="95"/>
          <w:sz w:val="32"/>
          <w:szCs w:val="32"/>
        </w:rPr>
        <w:t xml:space="preserve">为了进一步加强财政支付预算管理，提高财政资金使用效 </w:t>
      </w:r>
      <w:r>
        <w:rPr>
          <w:rFonts w:hint="eastAsia" w:ascii="仿宋_GB2312" w:hAnsi="仿宋_GB2312" w:eastAsia="仿宋_GB2312" w:cs="仿宋_GB2312"/>
          <w:spacing w:val="-2"/>
          <w:sz w:val="32"/>
          <w:szCs w:val="32"/>
        </w:rPr>
        <w:t xml:space="preserve">益，根据《关于开展 </w:t>
      </w:r>
      <w:r>
        <w:rPr>
          <w:rFonts w:hint="eastAsia" w:ascii="仿宋_GB2312" w:hAnsi="仿宋_GB2312" w:eastAsia="仿宋_GB2312" w:cs="仿宋_GB2312"/>
          <w:sz w:val="32"/>
          <w:szCs w:val="32"/>
        </w:rPr>
        <w:t>2023</w:t>
      </w:r>
      <w:r>
        <w:rPr>
          <w:rFonts w:hint="eastAsia" w:ascii="仿宋_GB2312" w:hAnsi="仿宋_GB2312" w:eastAsia="仿宋_GB2312" w:cs="仿宋_GB2312"/>
          <w:spacing w:val="9"/>
          <w:sz w:val="32"/>
          <w:szCs w:val="32"/>
        </w:rPr>
        <w:t xml:space="preserve"> </w:t>
      </w:r>
      <w:r>
        <w:rPr>
          <w:rFonts w:hint="eastAsia" w:ascii="仿宋_GB2312" w:hAnsi="仿宋_GB2312" w:eastAsia="仿宋_GB2312" w:cs="仿宋_GB2312"/>
          <w:sz w:val="32"/>
          <w:szCs w:val="32"/>
        </w:rPr>
        <w:t>年部门、政策和项目支出绩效评价工</w:t>
      </w:r>
      <w:r>
        <w:rPr>
          <w:rFonts w:hint="eastAsia" w:ascii="仿宋_GB2312" w:hAnsi="仿宋_GB2312" w:eastAsia="仿宋_GB2312" w:cs="仿宋_GB2312"/>
          <w:spacing w:val="1"/>
          <w:sz w:val="32"/>
          <w:szCs w:val="32"/>
        </w:rPr>
        <w:t>作的通知》</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昭财发〔2023</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z w:val="32"/>
          <w:szCs w:val="32"/>
        </w:rPr>
        <w:t>12</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号</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10"/>
          <w:sz w:val="32"/>
          <w:szCs w:val="32"/>
        </w:rPr>
        <w:t xml:space="preserve">的要求，结合我局 </w:t>
      </w:r>
      <w:r>
        <w:rPr>
          <w:rFonts w:hint="eastAsia" w:ascii="仿宋_GB2312" w:hAnsi="仿宋_GB2312" w:eastAsia="仿宋_GB2312" w:cs="仿宋_GB2312"/>
          <w:sz w:val="32"/>
          <w:szCs w:val="32"/>
        </w:rPr>
        <w:t>2022</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2"/>
          <w:sz w:val="32"/>
          <w:szCs w:val="32"/>
        </w:rPr>
        <w:t>年部</w:t>
      </w:r>
      <w:r>
        <w:rPr>
          <w:rFonts w:hint="eastAsia" w:ascii="仿宋_GB2312" w:hAnsi="仿宋_GB2312" w:eastAsia="仿宋_GB2312" w:cs="仿宋_GB2312"/>
          <w:spacing w:val="-4"/>
          <w:sz w:val="32"/>
          <w:szCs w:val="32"/>
        </w:rPr>
        <w:t xml:space="preserve">门预算管理、项目的实施情况等，现将我局 </w:t>
      </w:r>
      <w:r>
        <w:rPr>
          <w:rFonts w:hint="eastAsia" w:ascii="仿宋_GB2312" w:hAnsi="仿宋_GB2312" w:eastAsia="仿宋_GB2312" w:cs="仿宋_GB2312"/>
          <w:sz w:val="32"/>
          <w:szCs w:val="32"/>
        </w:rPr>
        <w:t>2022</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年开展部门整体支出绩效自评报告如下：</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黑体" w:hAnsi="黑体" w:eastAsia="黑体" w:cs="黑体"/>
          <w:sz w:val="32"/>
          <w:szCs w:val="32"/>
        </w:rPr>
      </w:pPr>
      <w:bookmarkStart w:id="224" w:name="一、预算单位概况"/>
      <w:bookmarkEnd w:id="224"/>
      <w:bookmarkStart w:id="225" w:name="_Toc1781517858_WPSOffice_Level2"/>
      <w:r>
        <w:rPr>
          <w:rFonts w:hint="eastAsia" w:ascii="黑体" w:hAnsi="黑体" w:eastAsia="黑体" w:cs="黑体"/>
          <w:sz w:val="32"/>
          <w:szCs w:val="32"/>
        </w:rPr>
        <w:t>一、预算单位概况</w:t>
      </w:r>
      <w:bookmarkEnd w:id="225"/>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26" w:name="（一）机构组成"/>
      <w:bookmarkEnd w:id="226"/>
      <w:bookmarkStart w:id="227" w:name="_Toc1781517858_WPSOffice_Level3"/>
      <w:r>
        <w:rPr>
          <w:rFonts w:hint="eastAsia" w:ascii="楷体_GB2312" w:hAnsi="楷体_GB2312" w:eastAsia="楷体_GB2312" w:cs="楷体_GB2312"/>
          <w:sz w:val="32"/>
          <w:szCs w:val="32"/>
        </w:rPr>
        <w:t>（一）机构组成</w:t>
      </w:r>
      <w:bookmarkEnd w:id="227"/>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ascii="仿宋_GB2312" w:hAnsi="仿宋_GB2312" w:eastAsia="仿宋_GB2312" w:cs="仿宋_GB2312"/>
          <w:spacing w:val="6"/>
          <w:w w:val="95"/>
          <w:sz w:val="32"/>
          <w:szCs w:val="32"/>
        </w:rPr>
        <w:t>区司法局为一级预算单位，单位性质为行政单位，执行行政单位会计制度。</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28" w:name="（二）机构职能"/>
      <w:bookmarkEnd w:id="228"/>
      <w:bookmarkStart w:id="229" w:name="_Toc44872297_WPSOffice_Level3"/>
      <w:r>
        <w:rPr>
          <w:rFonts w:hint="eastAsia" w:ascii="楷体_GB2312" w:hAnsi="楷体_GB2312" w:eastAsia="楷体_GB2312" w:cs="楷体_GB2312"/>
          <w:sz w:val="32"/>
          <w:szCs w:val="32"/>
        </w:rPr>
        <w:t>（二）机构职能</w:t>
      </w:r>
      <w:bookmarkEnd w:id="229"/>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1.</w:t>
      </w:r>
      <w:r>
        <w:rPr>
          <w:rFonts w:hint="eastAsia" w:ascii="仿宋_GB2312" w:hAnsi="仿宋_GB2312" w:eastAsia="仿宋_GB2312" w:cs="仿宋_GB2312"/>
          <w:spacing w:val="6"/>
          <w:w w:val="95"/>
          <w:sz w:val="32"/>
          <w:szCs w:val="32"/>
        </w:rPr>
        <w:t>承担全面依法治区重大问题的政策研究，协调有关方面提出全面依法治区的规划建议，负责重大决策部署的组织实施和督察工</w:t>
      </w:r>
      <w:r>
        <w:rPr>
          <w:rFonts w:hint="eastAsia" w:ascii="仿宋_GB2312" w:hAnsi="仿宋_GB2312" w:eastAsia="仿宋_GB2312" w:cs="仿宋_GB2312"/>
          <w:spacing w:val="6"/>
          <w:w w:val="95"/>
          <w:sz w:val="32"/>
          <w:szCs w:val="32"/>
          <w:lang w:eastAsia="zh-CN"/>
        </w:rPr>
        <w:t>作</w:t>
      </w:r>
      <w:r>
        <w:rPr>
          <w:rFonts w:hint="eastAsia" w:ascii="仿宋_GB2312" w:hAnsi="仿宋_GB2312" w:eastAsia="仿宋_GB2312" w:cs="仿宋_GB2312"/>
          <w:spacing w:val="6"/>
          <w:w w:val="95"/>
          <w:sz w:val="32"/>
          <w:szCs w:val="32"/>
        </w:rPr>
        <w:t>。</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2.</w:t>
      </w:r>
      <w:r>
        <w:rPr>
          <w:rFonts w:hint="eastAsia" w:ascii="仿宋_GB2312" w:hAnsi="仿宋_GB2312" w:eastAsia="仿宋_GB2312" w:cs="仿宋_GB2312"/>
          <w:spacing w:val="6"/>
          <w:w w:val="95"/>
          <w:sz w:val="32"/>
          <w:szCs w:val="32"/>
        </w:rPr>
        <w:t>协助上级做好相关立法工作。组织承办送区政府征求意见的地方规章，汇总上报修改意见工作。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3.</w:t>
      </w:r>
      <w:r>
        <w:rPr>
          <w:rFonts w:hint="eastAsia" w:ascii="仿宋_GB2312" w:hAnsi="仿宋_GB2312" w:eastAsia="仿宋_GB2312" w:cs="仿宋_GB2312"/>
          <w:spacing w:val="6"/>
          <w:w w:val="95"/>
          <w:sz w:val="32"/>
          <w:szCs w:val="32"/>
        </w:rPr>
        <w:t>负责区政府规范性文件、重大行政决策、重要行政措施发布前的合法性审查。承办区政府规范性文件的报送备案工作。负责各乡镇（街道）政府和区政府各部门报送区政府的规范性文件 的备案审查工作。组织清理区政府规范性文件，监督指导全区规范性文件审查和清理工作。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4.</w:t>
      </w:r>
      <w:r>
        <w:rPr>
          <w:rFonts w:hint="eastAsia" w:ascii="仿宋_GB2312" w:hAnsi="仿宋_GB2312" w:eastAsia="仿宋_GB2312" w:cs="仿宋_GB2312"/>
          <w:spacing w:val="6"/>
          <w:w w:val="95"/>
          <w:sz w:val="32"/>
          <w:szCs w:val="32"/>
        </w:rPr>
        <w:t>承担统筹推进法治政府建设的责任。指导监督区政府各部门、各乡镇（街道）政府依法行政工作。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5.</w:t>
      </w:r>
      <w:r>
        <w:rPr>
          <w:rFonts w:hint="eastAsia" w:ascii="仿宋_GB2312" w:hAnsi="仿宋_GB2312" w:eastAsia="仿宋_GB2312" w:cs="仿宋_GB2312"/>
          <w:spacing w:val="6"/>
          <w:w w:val="95"/>
          <w:sz w:val="32"/>
          <w:szCs w:val="32"/>
        </w:rPr>
        <w:t>承担行政执法监督工作。负责综合协调、监督检查行政执法，推进严格规范公正文明执法。负责全区行政执法主体、人员 资格审查和行政执法证、监督检查证的审核管理及人员培训工 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6.</w:t>
      </w:r>
      <w:r>
        <w:rPr>
          <w:rFonts w:hint="eastAsia" w:ascii="仿宋_GB2312" w:hAnsi="仿宋_GB2312" w:eastAsia="仿宋_GB2312" w:cs="仿宋_GB2312"/>
          <w:spacing w:val="6"/>
          <w:w w:val="95"/>
          <w:sz w:val="32"/>
          <w:szCs w:val="32"/>
        </w:rPr>
        <w:t>指导监督全区行政复议、行政应诉和行政赔偿工作，承办向区政府申请的行政复议、行政赔偿、行政裁决案件，代理区政府行政应诉案件。组织区政府行政行为听证等工作。指导协调仲裁业务工作，牵头负责全区行政调解的指导、督促和协调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7.</w:t>
      </w:r>
      <w:r>
        <w:rPr>
          <w:rFonts w:hint="eastAsia" w:ascii="仿宋_GB2312" w:hAnsi="仿宋_GB2312" w:eastAsia="仿宋_GB2312" w:cs="仿宋_GB2312"/>
          <w:spacing w:val="6"/>
          <w:w w:val="95"/>
          <w:sz w:val="32"/>
          <w:szCs w:val="32"/>
        </w:rPr>
        <w:t>承担区政府法律顾问的聘任和管理。负责全区公共法律服务体系建设规划并指导实施。统筹和布局全区城乡、区域法律服务资源。监督管理律师、法律援助、司法鉴定、公证和基层法律服务行业工作。负责全区外来企业、民营企业法律服务工作。监督管理所属社会组织。</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8.</w:t>
      </w:r>
      <w:r>
        <w:rPr>
          <w:rFonts w:hint="eastAsia" w:ascii="仿宋_GB2312" w:hAnsi="仿宋_GB2312" w:eastAsia="仿宋_GB2312" w:cs="仿宋_GB2312"/>
          <w:spacing w:val="6"/>
          <w:w w:val="95"/>
          <w:sz w:val="32"/>
          <w:szCs w:val="32"/>
        </w:rPr>
        <w:t>承担统筹规划法治社会建设的责任。负责拟订法治宣传教育规划，组织实施普法宣传工作，组织对外法治宣传。指导依法治理和法治创建工作。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9.</w:t>
      </w:r>
      <w:r>
        <w:rPr>
          <w:rFonts w:hint="eastAsia" w:ascii="仿宋_GB2312" w:hAnsi="仿宋_GB2312" w:eastAsia="仿宋_GB2312" w:cs="仿宋_GB2312"/>
          <w:spacing w:val="6"/>
          <w:w w:val="95"/>
          <w:sz w:val="32"/>
          <w:szCs w:val="32"/>
        </w:rPr>
        <w:t>指导人民调解和行业性专业性调解等工作。推动人民参与和促进法治建设，负责人民监督员的选任管理工作，负责人民陪审员选任工作。指导管理司法所建设。</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10.</w:t>
      </w:r>
      <w:r>
        <w:rPr>
          <w:rFonts w:hint="eastAsia" w:ascii="仿宋_GB2312" w:hAnsi="仿宋_GB2312" w:eastAsia="仿宋_GB2312" w:cs="仿宋_GB2312"/>
          <w:spacing w:val="6"/>
          <w:w w:val="95"/>
          <w:sz w:val="32"/>
          <w:szCs w:val="32"/>
        </w:rPr>
        <w:t>承担社区矫正工作。指导刑满释放人员安置帮教工作。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11.</w:t>
      </w:r>
      <w:r>
        <w:rPr>
          <w:rFonts w:hint="eastAsia" w:ascii="仿宋_GB2312" w:hAnsi="仿宋_GB2312" w:eastAsia="仿宋_GB2312" w:cs="仿宋_GB2312"/>
          <w:spacing w:val="6"/>
          <w:w w:val="95"/>
          <w:sz w:val="32"/>
          <w:szCs w:val="32"/>
        </w:rPr>
        <w:t>承担本系统财务、装备、设施、警车管理等保障工作。负责本单位安全生产、环境保护工作。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pacing w:val="6"/>
          <w:w w:val="95"/>
          <w:sz w:val="32"/>
          <w:szCs w:val="32"/>
        </w:rPr>
      </w:pPr>
      <w:r>
        <w:rPr>
          <w:rFonts w:hint="eastAsia" w:hAnsi="仿宋_GB2312" w:cs="仿宋_GB2312"/>
          <w:spacing w:val="6"/>
          <w:w w:val="95"/>
          <w:sz w:val="32"/>
          <w:szCs w:val="32"/>
          <w:lang w:val="en-US" w:eastAsia="zh-CN"/>
        </w:rPr>
        <w:t>12.</w:t>
      </w:r>
      <w:r>
        <w:rPr>
          <w:rFonts w:hint="eastAsia" w:ascii="仿宋_GB2312" w:hAnsi="仿宋_GB2312" w:eastAsia="仿宋_GB2312" w:cs="仿宋_GB2312"/>
          <w:spacing w:val="6"/>
          <w:w w:val="95"/>
          <w:sz w:val="32"/>
          <w:szCs w:val="32"/>
        </w:rPr>
        <w:t>完成区委和区政府交办的其他工作。</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30" w:name="（三）人员概况"/>
      <w:bookmarkEnd w:id="230"/>
      <w:bookmarkStart w:id="231" w:name="_Toc1999334637_WPSOffice_Level3"/>
      <w:r>
        <w:rPr>
          <w:rFonts w:hint="eastAsia" w:ascii="楷体_GB2312" w:hAnsi="楷体_GB2312" w:eastAsia="楷体_GB2312" w:cs="楷体_GB2312"/>
          <w:sz w:val="32"/>
          <w:szCs w:val="32"/>
        </w:rPr>
        <w:t>（三）人员概况</w:t>
      </w:r>
      <w:bookmarkEnd w:id="231"/>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区司法局共有编制 </w:t>
      </w:r>
      <w:r>
        <w:rPr>
          <w:rFonts w:hint="eastAsia" w:ascii="仿宋_GB2312" w:hAnsi="仿宋_GB2312" w:eastAsia="仿宋_GB2312" w:cs="仿宋_GB2312"/>
          <w:sz w:val="32"/>
          <w:szCs w:val="32"/>
        </w:rPr>
        <w:t>49</w:t>
      </w:r>
      <w:r>
        <w:rPr>
          <w:rFonts w:hint="eastAsia" w:ascii="仿宋_GB2312" w:hAnsi="仿宋_GB2312" w:eastAsia="仿宋_GB2312" w:cs="仿宋_GB2312"/>
          <w:spacing w:val="-24"/>
          <w:sz w:val="32"/>
          <w:szCs w:val="32"/>
        </w:rPr>
        <w:t xml:space="preserve">名，其中：政法专编 </w:t>
      </w:r>
      <w:r>
        <w:rPr>
          <w:rFonts w:hint="eastAsia" w:ascii="仿宋_GB2312" w:hAnsi="仿宋_GB2312" w:eastAsia="仿宋_GB2312" w:cs="仿宋_GB2312"/>
          <w:sz w:val="32"/>
          <w:szCs w:val="32"/>
        </w:rPr>
        <w:t>41</w:t>
      </w:r>
      <w:r>
        <w:rPr>
          <w:rFonts w:hint="eastAsia" w:ascii="仿宋_GB2312" w:hAnsi="仿宋_GB2312" w:eastAsia="仿宋_GB2312" w:cs="仿宋_GB2312"/>
          <w:spacing w:val="-18"/>
          <w:sz w:val="32"/>
          <w:szCs w:val="32"/>
        </w:rPr>
        <w:t>名，参公事业</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编制 2 名，机关工勤编制6名。2022</w:t>
      </w:r>
      <w:r>
        <w:rPr>
          <w:rFonts w:hint="eastAsia" w:ascii="仿宋_GB2312" w:hAnsi="仿宋_GB2312" w:eastAsia="仿宋_GB2312" w:cs="仿宋_GB2312"/>
          <w:spacing w:val="-13"/>
          <w:sz w:val="32"/>
          <w:szCs w:val="32"/>
        </w:rPr>
        <w:t>年实有在职人员</w:t>
      </w:r>
      <w:r>
        <w:rPr>
          <w:rFonts w:hint="eastAsia" w:ascii="仿宋_GB2312" w:hAnsi="仿宋_GB2312" w:eastAsia="仿宋_GB2312" w:cs="仿宋_GB2312"/>
          <w:sz w:val="32"/>
          <w:szCs w:val="32"/>
        </w:rPr>
        <w:t>44</w:t>
      </w:r>
      <w:r>
        <w:rPr>
          <w:rFonts w:hint="eastAsia" w:ascii="仿宋_GB2312" w:hAnsi="仿宋_GB2312" w:eastAsia="仿宋_GB2312" w:cs="仿宋_GB2312"/>
          <w:spacing w:val="-14"/>
          <w:sz w:val="32"/>
          <w:szCs w:val="32"/>
        </w:rPr>
        <w:t xml:space="preserve"> 人</w:t>
      </w:r>
      <w:r>
        <w:rPr>
          <w:rFonts w:hint="eastAsia" w:hAnsi="仿宋_GB2312" w:cs="仿宋_GB2312"/>
          <w:spacing w:val="-14"/>
          <w:sz w:val="32"/>
          <w:szCs w:val="32"/>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黑体" w:hAnsi="黑体" w:eastAsia="黑体" w:cs="黑体"/>
          <w:sz w:val="32"/>
          <w:szCs w:val="32"/>
        </w:rPr>
      </w:pPr>
      <w:bookmarkStart w:id="232" w:name="_Toc44872297_WPSOffice_Level2"/>
      <w:r>
        <w:rPr>
          <w:rFonts w:hint="eastAsia" w:ascii="黑体" w:hAnsi="黑体" w:eastAsia="黑体" w:cs="黑体"/>
          <w:sz w:val="32"/>
          <w:szCs w:val="32"/>
        </w:rPr>
        <w:t>二、预算单位财政</w:t>
      </w:r>
      <w:r>
        <w:rPr>
          <w:rFonts w:hint="eastAsia" w:ascii="黑体" w:hAnsi="黑体" w:eastAsia="黑体" w:cs="黑体"/>
          <w:sz w:val="32"/>
          <w:szCs w:val="32"/>
          <w:lang w:eastAsia="zh-CN"/>
        </w:rPr>
        <w:t>收支</w:t>
      </w:r>
      <w:r>
        <w:rPr>
          <w:rFonts w:hint="eastAsia" w:ascii="黑体" w:hAnsi="黑体" w:eastAsia="黑体" w:cs="黑体"/>
          <w:sz w:val="32"/>
          <w:szCs w:val="32"/>
        </w:rPr>
        <w:t>情况</w:t>
      </w:r>
      <w:bookmarkEnd w:id="232"/>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33" w:name="_Toc1688083574_WPSOffice_Level3"/>
      <w:r>
        <w:rPr>
          <w:rFonts w:hint="eastAsia" w:ascii="楷体_GB2312" w:hAnsi="楷体_GB2312" w:eastAsia="楷体_GB2312" w:cs="楷体_GB2312"/>
          <w:sz w:val="32"/>
          <w:szCs w:val="32"/>
        </w:rPr>
        <w:t>（一）单位财政资金收入情况</w:t>
      </w:r>
      <w:bookmarkEnd w:id="233"/>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区司法局2022年年初预算收入 911.73 万元，其中一般公共预算收入 911.73万元，占收入的 100%</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追加经费95万元（其中：人员经费31万元，2022 年中央政法纪检监察转移支付资金 64万元），年终决算收入1006.74万元。</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34" w:name="_Toc121191197_WPSOffice_Level3"/>
      <w:r>
        <w:rPr>
          <w:rFonts w:hint="eastAsia" w:ascii="楷体_GB2312" w:hAnsi="楷体_GB2312" w:eastAsia="楷体_GB2312" w:cs="楷体_GB2312"/>
          <w:sz w:val="32"/>
          <w:szCs w:val="32"/>
        </w:rPr>
        <w:t>（二）单位财政支出情况</w:t>
      </w:r>
      <w:bookmarkEnd w:id="234"/>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2022年年初预算911.73万元，追加经费95万元（其中：人员经费31万元，2022年中央政法纪检监察转移支付资金 64 万元）。</w:t>
      </w:r>
      <w:r>
        <w:rPr>
          <w:rFonts w:hint="eastAsia" w:ascii="仿宋_GB2312" w:hAnsi="仿宋_GB2312" w:eastAsia="仿宋_GB2312" w:cs="仿宋_GB2312"/>
          <w:sz w:val="32"/>
          <w:szCs w:val="32"/>
          <w:lang w:val="en-US" w:eastAsia="en-US"/>
        </w:rPr>
        <w:t>2022年安排预算支出 1006.74 万元（基本支出 820.36 万元，项目支出 186.38 万元）。年终决算支出1006.74万元。</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黑体" w:hAnsi="黑体" w:eastAsia="黑体" w:cs="黑体"/>
          <w:sz w:val="32"/>
          <w:szCs w:val="32"/>
        </w:rPr>
      </w:pPr>
      <w:bookmarkStart w:id="235" w:name="_Toc1999334637_WPSOffice_Level2"/>
      <w:r>
        <w:rPr>
          <w:rFonts w:hint="eastAsia" w:ascii="黑体" w:hAnsi="黑体" w:eastAsia="黑体" w:cs="黑体"/>
          <w:sz w:val="32"/>
          <w:szCs w:val="32"/>
        </w:rPr>
        <w:t>三、部门整体预算绩效管理情况</w:t>
      </w:r>
      <w:bookmarkEnd w:id="235"/>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sz w:val="32"/>
          <w:szCs w:val="32"/>
        </w:rPr>
      </w:pPr>
      <w:bookmarkStart w:id="236" w:name="_Toc870733783_WPSOffice_Level3"/>
      <w:r>
        <w:rPr>
          <w:rFonts w:hint="eastAsia" w:ascii="楷体_GB2312" w:hAnsi="楷体_GB2312" w:eastAsia="楷体_GB2312" w:cs="楷体_GB2312"/>
          <w:sz w:val="32"/>
          <w:szCs w:val="32"/>
        </w:rPr>
        <w:t>（一）部门预算项目绩效管理</w:t>
      </w:r>
      <w:bookmarkEnd w:id="236"/>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本单位绩效目标编制要素完整的，绩效指标细化量化的准 确，绩效目标纳入本单位局长办公会研究决策。年初预算和年末决算编制内容真实有效，编制数据完整，准确。年初预算（含追加项目资金）绩效目标编制完整、合理。报表报送及时准确。单位人员类、运转类、特定目标类项目收支执行进度良好、部门整体绩效目标完成较好。</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right="270" w:firstLine="63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14"/>
          <w:sz w:val="32"/>
          <w:szCs w:val="32"/>
          <w:lang w:val="en-US" w:eastAsia="zh-CN"/>
        </w:rPr>
        <w:t>1.</w:t>
      </w:r>
      <w:r>
        <w:rPr>
          <w:rFonts w:hint="eastAsia" w:ascii="仿宋_GB2312" w:hAnsi="仿宋_GB2312" w:eastAsia="仿宋_GB2312" w:cs="仿宋_GB2312"/>
          <w:b/>
          <w:bCs/>
          <w:sz w:val="32"/>
          <w:szCs w:val="32"/>
        </w:rPr>
        <w:t>目标的制定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en-US"/>
        </w:rPr>
        <w:t>本单位年初编制预算时，根据司法局年度工作计划，制定普法宣传绩效目标、基层司法业务经费绩效目标、法律援助绩效目标、社区矫正工作经费绩效目标、劳教人员释放解教经费目标、依法治区和法治政府建设经费绩效目标、行政复议工作经费绩效目标、政府法律顾问费绩效目标、向上争取资金工作经费绩效目标,在绩效目标中按数量指标、质量指标、时效指标、成本指标等进行了细化和量化。预算编制和绩效目标的制定，均由各业务股室确认、经局领导审核通过后上报区财政局审核。</w:t>
      </w:r>
    </w:p>
    <w:p>
      <w:pPr>
        <w:pStyle w:val="28"/>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after="0" w:line="556" w:lineRule="exact"/>
        <w:ind w:right="0" w:rightChars="0" w:firstLine="586" w:firstLineChars="200"/>
        <w:jc w:val="left"/>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b/>
          <w:bCs/>
          <w:spacing w:val="-14"/>
          <w:sz w:val="32"/>
          <w:szCs w:val="32"/>
          <w:lang w:val="en-US" w:eastAsia="zh-CN" w:bidi="ar-SA"/>
        </w:rPr>
        <w:t>2.目标的实现。</w:t>
      </w:r>
      <w:r>
        <w:rPr>
          <w:rFonts w:hint="eastAsia" w:ascii="仿宋_GB2312" w:hAnsi="仿宋_GB2312" w:eastAsia="仿宋_GB2312" w:cs="仿宋_GB2312"/>
          <w:spacing w:val="-7"/>
          <w:sz w:val="32"/>
          <w:szCs w:val="32"/>
        </w:rPr>
        <w:t>区司法局按照工作安排开展各项工作，全面完成了年初制定</w:t>
      </w:r>
      <w:r>
        <w:rPr>
          <w:rFonts w:hint="eastAsia" w:ascii="仿宋_GB2312" w:hAnsi="仿宋_GB2312" w:eastAsia="仿宋_GB2312" w:cs="仿宋_GB2312"/>
          <w:spacing w:val="-13"/>
          <w:sz w:val="32"/>
          <w:szCs w:val="32"/>
        </w:rPr>
        <w:t>的普法宣传、基层司法业务、法律援助、社区矫正、劳教人员释</w:t>
      </w:r>
      <w:r>
        <w:rPr>
          <w:rFonts w:hint="eastAsia" w:ascii="仿宋_GB2312" w:hAnsi="仿宋_GB2312" w:eastAsia="仿宋_GB2312" w:cs="仿宋_GB2312"/>
          <w:spacing w:val="-13"/>
          <w:w w:val="95"/>
          <w:sz w:val="32"/>
          <w:szCs w:val="32"/>
        </w:rPr>
        <w:t xml:space="preserve">放解教、依法治区和法治政府建设、行政复议工作、政府法律顾 </w:t>
      </w:r>
      <w:r>
        <w:rPr>
          <w:rFonts w:hint="eastAsia" w:ascii="仿宋_GB2312" w:hAnsi="仿宋_GB2312" w:eastAsia="仿宋_GB2312" w:cs="仿宋_GB2312"/>
          <w:spacing w:val="-13"/>
          <w:sz w:val="32"/>
          <w:szCs w:val="32"/>
        </w:rPr>
        <w:t>问费、向上争取资金工作经费等各项绩效目标，各绩效目标的实</w:t>
      </w:r>
      <w:r>
        <w:rPr>
          <w:rFonts w:hint="eastAsia" w:ascii="仿宋_GB2312" w:hAnsi="仿宋_GB2312" w:eastAsia="仿宋_GB2312" w:cs="仿宋_GB2312"/>
          <w:spacing w:val="-10"/>
          <w:sz w:val="32"/>
          <w:szCs w:val="32"/>
        </w:rPr>
        <w:t>际实现与预期目标基本稳合。各绩效目标完成情况详见项目支出绩效自评表。</w:t>
      </w:r>
    </w:p>
    <w:p>
      <w:pPr>
        <w:pStyle w:val="28"/>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after="0" w:line="556" w:lineRule="exact"/>
        <w:ind w:right="0" w:rightChars="0" w:firstLine="60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10"/>
          <w:sz w:val="32"/>
          <w:szCs w:val="32"/>
          <w:lang w:val="en-US" w:eastAsia="zh-CN"/>
        </w:rPr>
        <w:t>3.</w:t>
      </w:r>
      <w:r>
        <w:rPr>
          <w:rFonts w:hint="eastAsia" w:ascii="仿宋_GB2312" w:hAnsi="仿宋_GB2312" w:eastAsia="仿宋_GB2312" w:cs="仿宋_GB2312"/>
          <w:b/>
          <w:bCs/>
          <w:sz w:val="32"/>
          <w:szCs w:val="32"/>
        </w:rPr>
        <w:t>支出控制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kern w:val="0"/>
          <w:sz w:val="32"/>
          <w:szCs w:val="32"/>
          <w:lang w:val="en-US" w:eastAsia="en-US" w:bidi="ar-SA"/>
        </w:rPr>
        <w:t>部门预算日常公用经费、其他运转类中“办公费、印刷费、水费、电费”等科目预算数分别为：</w:t>
      </w:r>
      <w:r>
        <w:rPr>
          <w:rFonts w:hint="eastAsia" w:ascii="仿宋_GB2312" w:hAnsi="仿宋_GB2312" w:eastAsia="仿宋_GB2312" w:cs="仿宋_GB2312"/>
          <w:kern w:val="0"/>
          <w:sz w:val="32"/>
          <w:szCs w:val="32"/>
          <w:lang w:val="en-US" w:eastAsia="zh-CN" w:bidi="ar-SA"/>
        </w:rPr>
        <w:t>24.6万</w:t>
      </w:r>
      <w:r>
        <w:rPr>
          <w:rFonts w:hint="eastAsia" w:ascii="仿宋_GB2312" w:hAnsi="仿宋_GB2312" w:eastAsia="仿宋_GB2312" w:cs="仿宋_GB2312"/>
          <w:kern w:val="0"/>
          <w:sz w:val="32"/>
          <w:szCs w:val="32"/>
          <w:lang w:val="en-US" w:eastAsia="en-US" w:bidi="ar-SA"/>
        </w:rPr>
        <w:t>元、</w:t>
      </w:r>
      <w:r>
        <w:rPr>
          <w:rFonts w:hint="eastAsia" w:ascii="仿宋_GB2312" w:hAnsi="仿宋_GB2312" w:eastAsia="仿宋_GB2312" w:cs="仿宋_GB2312"/>
          <w:kern w:val="0"/>
          <w:sz w:val="32"/>
          <w:szCs w:val="32"/>
          <w:lang w:val="en-US" w:eastAsia="zh-CN" w:bidi="ar-SA"/>
        </w:rPr>
        <w:t>25.08万</w:t>
      </w:r>
      <w:r>
        <w:rPr>
          <w:rFonts w:hint="eastAsia" w:ascii="仿宋_GB2312" w:hAnsi="仿宋_GB2312" w:eastAsia="仿宋_GB2312" w:cs="仿宋_GB2312"/>
          <w:kern w:val="0"/>
          <w:sz w:val="32"/>
          <w:szCs w:val="32"/>
          <w:lang w:val="en-US" w:eastAsia="en-US" w:bidi="ar-SA"/>
        </w:rPr>
        <w:t>元、水费</w:t>
      </w:r>
      <w:r>
        <w:rPr>
          <w:rFonts w:hint="eastAsia" w:ascii="仿宋_GB2312" w:hAnsi="仿宋_GB2312" w:eastAsia="仿宋_GB2312" w:cs="仿宋_GB2312"/>
          <w:kern w:val="0"/>
          <w:sz w:val="32"/>
          <w:szCs w:val="32"/>
          <w:lang w:val="en-US" w:eastAsia="zh-CN" w:bidi="ar-SA"/>
        </w:rPr>
        <w:t>1.6万</w:t>
      </w:r>
      <w:r>
        <w:rPr>
          <w:rFonts w:hint="eastAsia" w:ascii="仿宋_GB2312" w:hAnsi="仿宋_GB2312" w:eastAsia="仿宋_GB2312" w:cs="仿宋_GB2312"/>
          <w:kern w:val="0"/>
          <w:sz w:val="32"/>
          <w:szCs w:val="32"/>
          <w:lang w:val="en-US" w:eastAsia="en-US" w:bidi="ar-SA"/>
        </w:rPr>
        <w:t>元、电费</w:t>
      </w:r>
      <w:r>
        <w:rPr>
          <w:rFonts w:hint="eastAsia" w:ascii="仿宋_GB2312" w:hAnsi="仿宋_GB2312" w:eastAsia="仿宋_GB2312" w:cs="仿宋_GB2312"/>
          <w:kern w:val="0"/>
          <w:sz w:val="32"/>
          <w:szCs w:val="32"/>
          <w:lang w:val="en-US" w:eastAsia="zh-CN" w:bidi="ar-SA"/>
        </w:rPr>
        <w:t>2.8万</w:t>
      </w:r>
      <w:r>
        <w:rPr>
          <w:rFonts w:hint="eastAsia" w:ascii="仿宋_GB2312" w:hAnsi="仿宋_GB2312" w:eastAsia="仿宋_GB2312" w:cs="仿宋_GB2312"/>
          <w:kern w:val="0"/>
          <w:sz w:val="32"/>
          <w:szCs w:val="32"/>
          <w:lang w:val="en-US" w:eastAsia="en-US" w:bidi="ar-SA"/>
        </w:rPr>
        <w:t>元，决算数分别为：</w:t>
      </w:r>
      <w:r>
        <w:rPr>
          <w:rFonts w:hint="eastAsia" w:ascii="仿宋_GB2312" w:hAnsi="仿宋_GB2312" w:eastAsia="仿宋_GB2312" w:cs="仿宋_GB2312"/>
          <w:kern w:val="0"/>
          <w:sz w:val="32"/>
          <w:szCs w:val="32"/>
          <w:lang w:val="en-US" w:eastAsia="zh-CN" w:bidi="ar-SA"/>
        </w:rPr>
        <w:t>10.56万</w:t>
      </w:r>
      <w:r>
        <w:rPr>
          <w:rFonts w:hint="eastAsia" w:ascii="仿宋_GB2312" w:hAnsi="仿宋_GB2312" w:eastAsia="仿宋_GB2312" w:cs="仿宋_GB2312"/>
          <w:kern w:val="0"/>
          <w:sz w:val="32"/>
          <w:szCs w:val="32"/>
          <w:lang w:val="en-US" w:eastAsia="en-US" w:bidi="ar-SA"/>
        </w:rPr>
        <w:t>元、</w:t>
      </w:r>
      <w:r>
        <w:rPr>
          <w:rFonts w:hint="eastAsia" w:ascii="仿宋_GB2312" w:hAnsi="仿宋_GB2312" w:eastAsia="仿宋_GB2312" w:cs="仿宋_GB2312"/>
          <w:kern w:val="0"/>
          <w:sz w:val="32"/>
          <w:szCs w:val="32"/>
          <w:lang w:val="en-US" w:eastAsia="zh-CN" w:bidi="ar-SA"/>
        </w:rPr>
        <w:t>17.53万</w:t>
      </w:r>
      <w:r>
        <w:rPr>
          <w:rFonts w:hint="eastAsia" w:ascii="仿宋_GB2312" w:hAnsi="仿宋_GB2312" w:eastAsia="仿宋_GB2312" w:cs="仿宋_GB2312"/>
          <w:kern w:val="0"/>
          <w:sz w:val="32"/>
          <w:szCs w:val="32"/>
          <w:lang w:val="en-US" w:eastAsia="en-US" w:bidi="ar-SA"/>
        </w:rPr>
        <w:t>元、</w:t>
      </w:r>
      <w:r>
        <w:rPr>
          <w:rFonts w:hint="eastAsia" w:ascii="仿宋_GB2312" w:hAnsi="仿宋_GB2312" w:eastAsia="仿宋_GB2312" w:cs="仿宋_GB2312"/>
          <w:kern w:val="0"/>
          <w:sz w:val="32"/>
          <w:szCs w:val="32"/>
          <w:lang w:val="en-US" w:eastAsia="zh-CN" w:bidi="ar-SA"/>
        </w:rPr>
        <w:t>1万</w:t>
      </w:r>
      <w:r>
        <w:rPr>
          <w:rFonts w:hint="eastAsia" w:ascii="仿宋_GB2312" w:hAnsi="仿宋_GB2312" w:eastAsia="仿宋_GB2312" w:cs="仿宋_GB2312"/>
          <w:kern w:val="0"/>
          <w:sz w:val="32"/>
          <w:szCs w:val="32"/>
          <w:lang w:val="en-US" w:eastAsia="en-US" w:bidi="ar-SA"/>
        </w:rPr>
        <w:t>元、</w:t>
      </w:r>
      <w:r>
        <w:rPr>
          <w:rFonts w:hint="eastAsia" w:ascii="仿宋_GB2312" w:hAnsi="仿宋_GB2312" w:eastAsia="仿宋_GB2312" w:cs="仿宋_GB2312"/>
          <w:kern w:val="0"/>
          <w:sz w:val="32"/>
          <w:szCs w:val="32"/>
          <w:lang w:val="en-US" w:eastAsia="zh-CN" w:bidi="ar-SA"/>
        </w:rPr>
        <w:t>3.6万</w:t>
      </w:r>
      <w:r>
        <w:rPr>
          <w:rFonts w:hint="eastAsia" w:ascii="仿宋_GB2312" w:hAnsi="仿宋_GB2312" w:eastAsia="仿宋_GB2312" w:cs="仿宋_GB2312"/>
          <w:kern w:val="0"/>
          <w:sz w:val="32"/>
          <w:szCs w:val="32"/>
          <w:lang w:val="en-US" w:eastAsia="en-US" w:bidi="ar-SA"/>
        </w:rPr>
        <w:t>元。预算数与决算数存在偏差，预决算偏差程度超出20%。本部门在开展绩效运行监控后，将绩效监控结果应用到预算调整中。</w:t>
      </w:r>
    </w:p>
    <w:p>
      <w:pPr>
        <w:pStyle w:val="28"/>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after="0" w:line="556" w:lineRule="exact"/>
        <w:ind w:right="0" w:rightChars="0"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及时处置和执行进度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kern w:val="0"/>
          <w:sz w:val="32"/>
          <w:szCs w:val="32"/>
          <w:lang w:val="en-US" w:eastAsia="en-US" w:bidi="ar-SA"/>
        </w:rPr>
        <w:t>部门预算执行进度在6、9、11月达到序时进度的</w:t>
      </w:r>
      <w:r>
        <w:rPr>
          <w:rFonts w:hint="eastAsia" w:ascii="仿宋_GB2312" w:hAnsi="仿宋_GB2312" w:eastAsia="仿宋_GB2312" w:cs="仿宋_GB2312"/>
          <w:kern w:val="0"/>
          <w:sz w:val="32"/>
          <w:szCs w:val="32"/>
          <w:lang w:val="en-US" w:eastAsia="zh-CN" w:bidi="ar-SA"/>
        </w:rPr>
        <w:t>4</w:t>
      </w:r>
      <w:r>
        <w:rPr>
          <w:rFonts w:hint="eastAsia" w:ascii="仿宋_GB2312" w:hAnsi="仿宋_GB2312" w:eastAsia="仿宋_GB2312" w:cs="仿宋_GB2312"/>
          <w:kern w:val="0"/>
          <w:sz w:val="32"/>
          <w:szCs w:val="32"/>
          <w:lang w:val="en-US" w:eastAsia="en-US" w:bidi="ar-SA"/>
        </w:rPr>
        <w:t>0%、</w:t>
      </w:r>
      <w:r>
        <w:rPr>
          <w:rFonts w:hint="eastAsia" w:ascii="仿宋_GB2312" w:hAnsi="仿宋_GB2312" w:eastAsia="仿宋_GB2312" w:cs="仿宋_GB2312"/>
          <w:kern w:val="0"/>
          <w:sz w:val="32"/>
          <w:szCs w:val="32"/>
          <w:lang w:val="en-US" w:eastAsia="zh-CN" w:bidi="ar-SA"/>
        </w:rPr>
        <w:t>8</w:t>
      </w:r>
      <w:r>
        <w:rPr>
          <w:rFonts w:hint="eastAsia" w:ascii="仿宋_GB2312" w:hAnsi="仿宋_GB2312" w:eastAsia="仿宋_GB2312" w:cs="仿宋_GB2312"/>
          <w:kern w:val="0"/>
          <w:sz w:val="32"/>
          <w:szCs w:val="32"/>
          <w:lang w:val="en-US" w:eastAsia="en-US" w:bidi="ar-SA"/>
        </w:rPr>
        <w:t>0%、90%，即实际支出进度达到40 %、6</w:t>
      </w:r>
      <w:r>
        <w:rPr>
          <w:rFonts w:hint="eastAsia" w:ascii="仿宋_GB2312" w:hAnsi="仿宋_GB2312" w:eastAsia="仿宋_GB2312" w:cs="仿宋_GB2312"/>
          <w:kern w:val="0"/>
          <w:sz w:val="32"/>
          <w:szCs w:val="32"/>
          <w:lang w:val="en-US" w:eastAsia="zh-CN" w:bidi="ar-SA"/>
        </w:rPr>
        <w:t>9</w:t>
      </w:r>
      <w:r>
        <w:rPr>
          <w:rFonts w:hint="eastAsia" w:ascii="仿宋_GB2312" w:hAnsi="仿宋_GB2312" w:eastAsia="仿宋_GB2312" w:cs="仿宋_GB2312"/>
          <w:kern w:val="0"/>
          <w:sz w:val="32"/>
          <w:szCs w:val="32"/>
          <w:lang w:val="en-US" w:eastAsia="en-US" w:bidi="ar-SA"/>
        </w:rPr>
        <w:t>.</w:t>
      </w:r>
      <w:r>
        <w:rPr>
          <w:rFonts w:hint="eastAsia" w:ascii="仿宋_GB2312" w:hAnsi="仿宋_GB2312" w:eastAsia="仿宋_GB2312" w:cs="仿宋_GB2312"/>
          <w:kern w:val="0"/>
          <w:sz w:val="32"/>
          <w:szCs w:val="32"/>
          <w:lang w:val="en-US" w:eastAsia="zh-CN" w:bidi="ar-SA"/>
        </w:rPr>
        <w:t>6</w:t>
      </w:r>
      <w:r>
        <w:rPr>
          <w:rFonts w:hint="eastAsia" w:ascii="仿宋_GB2312" w:hAnsi="仿宋_GB2312" w:eastAsia="仿宋_GB2312" w:cs="仿宋_GB2312"/>
          <w:kern w:val="0"/>
          <w:sz w:val="32"/>
          <w:szCs w:val="32"/>
          <w:lang w:val="en-US" w:eastAsia="en-US" w:bidi="ar-SA"/>
        </w:rPr>
        <w:t>5%、82.5%。6、9、11月部门预算执行进度达到量化指标。本部门预算项目年终12月预算执行进度达到100%。部门预算项目资金无结余。依据评价年度审计监督、财政检查结果，本单位预算管理方面无违纪违规问题。</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仿宋_GB2312" w:hAnsi="仿宋_GB2312" w:eastAsia="仿宋_GB2312" w:cs="仿宋_GB2312"/>
          <w:b/>
          <w:bCs/>
          <w:sz w:val="32"/>
          <w:szCs w:val="32"/>
        </w:rPr>
      </w:pPr>
      <w:bookmarkStart w:id="237" w:name="_Toc198600219_WPSOffice_Level3"/>
      <w:r>
        <w:rPr>
          <w:rFonts w:hint="eastAsia" w:ascii="仿宋_GB2312" w:hAnsi="仿宋_GB2312" w:eastAsia="仿宋_GB2312" w:cs="仿宋_GB2312"/>
          <w:b/>
          <w:bCs/>
          <w:sz w:val="32"/>
          <w:szCs w:val="32"/>
        </w:rPr>
        <w:t>（二）结果应用公开情况</w:t>
      </w:r>
      <w:bookmarkEnd w:id="237"/>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区司法局严格执行预决算公开制度，年初预算和年终决算均按照法定要求，在昭化区门户网站上进行了公开，以接受广大人民群众的监督。在内部应用方面，将单位绩效自评纳入考核体系，建立单位预算与绩效挂钩机制。按要求将相关绩效信息随同决算一起公开。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eastAsia="en-US"/>
        </w:rPr>
        <w:t>针对绩效管理过程中（包括绩效目标核查、绩效监控核查、重点自评抽查和重点绩效评价）提出的问题进行整改并完善政策、改进管理。在结果应用反馈方面，本部门在规定时间内向财政局反馈应用绩效结果报告。</w:t>
      </w:r>
    </w:p>
    <w:p>
      <w:pPr>
        <w:pStyle w:val="8"/>
        <w:keepNext w:val="0"/>
        <w:keepLines w:val="0"/>
        <w:pageBreakBefore w:val="0"/>
        <w:widowControl w:val="0"/>
        <w:kinsoku/>
        <w:wordWrap/>
        <w:overflowPunct/>
        <w:topLinePunct w:val="0"/>
        <w:bidi w:val="0"/>
        <w:adjustRightInd/>
        <w:snapToGrid/>
        <w:spacing w:beforeLines="0" w:line="556" w:lineRule="exact"/>
        <w:ind w:left="0" w:firstLine="642" w:firstLineChars="200"/>
        <w:textAlignment w:val="auto"/>
        <w:rPr>
          <w:rFonts w:hint="eastAsia" w:ascii="仿宋_GB2312" w:hAnsi="仿宋_GB2312" w:eastAsia="仿宋_GB2312" w:cs="仿宋_GB2312"/>
          <w:b/>
          <w:bCs/>
          <w:sz w:val="32"/>
          <w:szCs w:val="32"/>
        </w:rPr>
      </w:pPr>
      <w:bookmarkStart w:id="238" w:name="_Toc626756728_WPSOffice_Level3"/>
      <w:r>
        <w:rPr>
          <w:rFonts w:hint="eastAsia" w:ascii="仿宋_GB2312" w:hAnsi="仿宋_GB2312" w:eastAsia="仿宋_GB2312" w:cs="仿宋_GB2312"/>
          <w:b/>
          <w:bCs/>
          <w:sz w:val="32"/>
          <w:szCs w:val="32"/>
        </w:rPr>
        <w:t>（三）自评质量</w:t>
      </w:r>
      <w:bookmarkEnd w:id="238"/>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本单位</w:t>
      </w:r>
      <w:r>
        <w:rPr>
          <w:rFonts w:hint="eastAsia" w:ascii="仿宋_GB2312" w:hAnsi="仿宋_GB2312" w:eastAsia="仿宋_GB2312" w:cs="仿宋_GB2312"/>
          <w:sz w:val="32"/>
          <w:szCs w:val="32"/>
          <w:lang w:val="en-US" w:eastAsia="zh-CN"/>
        </w:rPr>
        <w:t>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2022年基本完成，在保障机关运转、履行职能职责上整体情况良好。</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黑体" w:hAnsi="黑体" w:eastAsia="黑体" w:cs="黑体"/>
          <w:sz w:val="32"/>
          <w:szCs w:val="32"/>
        </w:rPr>
      </w:pPr>
      <w:bookmarkStart w:id="239" w:name="_Toc1688083574_WPSOffice_Level2"/>
      <w:r>
        <w:rPr>
          <w:rFonts w:hint="eastAsia" w:ascii="黑体" w:hAnsi="黑体" w:eastAsia="黑体" w:cs="黑体"/>
          <w:sz w:val="32"/>
          <w:szCs w:val="32"/>
        </w:rPr>
        <w:t>四、评价结论及建议</w:t>
      </w:r>
      <w:bookmarkEnd w:id="239"/>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b w:val="0"/>
          <w:bCs w:val="0"/>
          <w:sz w:val="32"/>
          <w:szCs w:val="32"/>
        </w:rPr>
      </w:pPr>
      <w:bookmarkStart w:id="240" w:name="_Toc1273308851_WPSOffice_Level3"/>
      <w:r>
        <w:rPr>
          <w:rFonts w:hint="eastAsia" w:ascii="楷体_GB2312" w:hAnsi="楷体_GB2312" w:eastAsia="楷体_GB2312" w:cs="楷体_GB2312"/>
          <w:b w:val="0"/>
          <w:bCs w:val="0"/>
          <w:sz w:val="32"/>
          <w:szCs w:val="32"/>
        </w:rPr>
        <w:t>（一）自评结论</w:t>
      </w:r>
      <w:bookmarkEnd w:id="240"/>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2022 年，区司法局</w:t>
      </w:r>
      <w:r>
        <w:rPr>
          <w:rFonts w:hint="eastAsia" w:ascii="仿宋_GB2312" w:hAnsi="仿宋_GB2312" w:eastAsia="仿宋_GB2312" w:cs="仿宋_GB2312"/>
          <w:sz w:val="32"/>
          <w:szCs w:val="32"/>
          <w:lang w:val="en-US" w:eastAsia="zh-CN"/>
        </w:rPr>
        <w:t>在项目实施过程中，建立健全相关制度、机制，并严格执行，推进各项目工作。项目资金管理实行专项管理，严格执行资金审批制度，真正做到专款专用，确保项目资金有效利用。总体来说项目审核严格，管理到位，完成及时，社会评价良好。</w:t>
      </w:r>
      <w:r>
        <w:rPr>
          <w:rFonts w:hint="eastAsia" w:ascii="仿宋_GB2312" w:hAnsi="仿宋_GB2312" w:eastAsia="仿宋_GB2312" w:cs="仿宋_GB2312"/>
          <w:sz w:val="32"/>
          <w:szCs w:val="32"/>
          <w:lang w:val="en-US" w:eastAsia="en-US"/>
        </w:rPr>
        <w:t>根据《广元市昭化区 2022年部门整体支出绩效评价指标体系》评分，得分 98 分，绩效自评结果优秀。</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b w:val="0"/>
          <w:bCs w:val="0"/>
          <w:sz w:val="32"/>
          <w:szCs w:val="32"/>
        </w:rPr>
      </w:pPr>
      <w:bookmarkStart w:id="241" w:name="_Toc868749582_WPSOffice_Level3"/>
      <w:r>
        <w:rPr>
          <w:rFonts w:hint="eastAsia" w:ascii="楷体_GB2312" w:hAnsi="楷体_GB2312" w:eastAsia="楷体_GB2312" w:cs="楷体_GB2312"/>
          <w:b w:val="0"/>
          <w:bCs w:val="0"/>
          <w:sz w:val="32"/>
          <w:szCs w:val="32"/>
        </w:rPr>
        <w:t>(二)存在问题</w:t>
      </w:r>
      <w:bookmarkEnd w:id="241"/>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预、决算编制细化程度不够,编制过程中存在项目分类不够精细的情况。</w:t>
      </w:r>
    </w:p>
    <w:p>
      <w:pPr>
        <w:pStyle w:val="8"/>
        <w:keepNext w:val="0"/>
        <w:keepLines w:val="0"/>
        <w:pageBreakBefore w:val="0"/>
        <w:widowControl w:val="0"/>
        <w:kinsoku/>
        <w:wordWrap/>
        <w:overflowPunct/>
        <w:topLinePunct w:val="0"/>
        <w:autoSpaceDE w:val="0"/>
        <w:autoSpaceDN w:val="0"/>
        <w:bidi w:val="0"/>
        <w:adjustRightInd/>
        <w:snapToGrid/>
        <w:spacing w:beforeLines="0" w:line="556" w:lineRule="exact"/>
        <w:ind w:left="747"/>
        <w:textAlignment w:val="auto"/>
        <w:rPr>
          <w:rFonts w:hint="eastAsia" w:ascii="楷体_GB2312" w:hAnsi="楷体_GB2312" w:eastAsia="楷体_GB2312" w:cs="楷体_GB2312"/>
          <w:b w:val="0"/>
          <w:bCs w:val="0"/>
          <w:sz w:val="32"/>
          <w:szCs w:val="32"/>
        </w:rPr>
      </w:pPr>
      <w:bookmarkStart w:id="242" w:name="（三）改进建议"/>
      <w:bookmarkEnd w:id="242"/>
      <w:bookmarkStart w:id="243" w:name="_Toc584692992_WPSOffice_Level3"/>
      <w:r>
        <w:rPr>
          <w:rFonts w:hint="eastAsia" w:ascii="楷体_GB2312" w:hAnsi="楷体_GB2312" w:eastAsia="楷体_GB2312" w:cs="楷体_GB2312"/>
          <w:b w:val="0"/>
          <w:bCs w:val="0"/>
          <w:sz w:val="32"/>
          <w:szCs w:val="32"/>
        </w:rPr>
        <w:t>（三）改进建议</w:t>
      </w:r>
      <w:bookmarkEnd w:id="243"/>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本单位将不断完善部门预算编制工作，进一步加大绩效项目管理力度，实施进度跟踪，合理支出，提升项目建设的经济效益 和社会效益；进一步加强学习，不断提高财政资金使用管理的水平和效率。</w:t>
      </w:r>
    </w:p>
    <w:tbl>
      <w:tblPr>
        <w:tblStyle w:val="17"/>
        <w:tblW w:w="9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4"/>
        <w:gridCol w:w="711"/>
        <w:gridCol w:w="1731"/>
        <w:gridCol w:w="1943"/>
        <w:gridCol w:w="1817"/>
        <w:gridCol w:w="1266"/>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93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32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广元市司法局</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项目（政策）资金（万元）</w:t>
            </w:r>
          </w:p>
        </w:tc>
        <w:tc>
          <w:tcPr>
            <w:tcW w:w="17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18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w:t>
            </w:r>
          </w:p>
        </w:tc>
        <w:tc>
          <w:tcPr>
            <w:tcW w:w="10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w:t>
            </w:r>
          </w:p>
        </w:tc>
        <w:tc>
          <w:tcPr>
            <w:tcW w:w="11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1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（一）财政拨款小计</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1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1.一般公共预算</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1006.74</w:t>
            </w:r>
          </w:p>
        </w:tc>
        <w:tc>
          <w:tcPr>
            <w:tcW w:w="11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2.政府性基金</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r>
              <w:rPr>
                <w:rFonts w:hint="eastAsia" w:ascii="宋体" w:hAnsi="宋体" w:eastAsia="宋体" w:cs="宋体"/>
                <w:i w:val="0"/>
                <w:color w:val="000000"/>
                <w:kern w:val="0"/>
                <w:sz w:val="16"/>
                <w:szCs w:val="16"/>
                <w:u w:val="none"/>
                <w:lang w:val="en-US" w:eastAsia="zh-CN" w:bidi="ar"/>
              </w:rPr>
              <w:t>国有资本经营预算</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4.社保基金</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47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（二）其他资金</w:t>
            </w:r>
          </w:p>
        </w:tc>
        <w:tc>
          <w:tcPr>
            <w:tcW w:w="2018"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2"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w:t>
            </w:r>
          </w:p>
        </w:tc>
        <w:tc>
          <w:tcPr>
            <w:tcW w:w="6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年度目标</w:t>
            </w:r>
          </w:p>
        </w:tc>
        <w:tc>
          <w:tcPr>
            <w:tcW w:w="2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6"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1.全面提升依法治区水平和推进法治政府建设。进一步深化示范试点成效，将形成的经验模式、特色亮点和制度机制融入，推进法治昭化建设行稳致远。聘请5名政府法律 顾问，为政府及时提供法律服务，降低风险。严把合法性审核关，加强行政执法监督，促严格规范公正文明执法。进一步畅通行政复议申请渠道，进一步加强复议案件统计分析和复议平台建设，全面完成行政复议的工作目标，为促进全区经济又好又快发展、维护社会和谐稳定作出积极贡献。</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2.强化普法宣传。实施昭化区“八五”普法规划，按照全区普法规划，完成2022年度普法宣传工作。通过开展普法宣传，提高群众法律意识，让群众学法守法，依法办事，推进依法治区进程。</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3.深化法律援助工作。全力实施法律援助民生实事项目，保质保量完成市、区下达的民生实事目标任务。组建全区农民工维权法律援助律师团队，做好省外农民工法律援助服务工作。规范法律援助经费管理使用，积极开展全区法律援助机构民、刑事法律援助案件质量评估。优化基层法律服务。2022年12月31日之前， 全面完成法律援助的工作目标，全年完成法律援助案件200件，为促进全区经济又好又快发展、维护社会和谐稳定作出积极贡献。</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4.做好基层司法业务。进一步加强人民调解宣传，调解成功1000件以上，及时化解各类矛盾纠纷，2022年12月31日前完成发放12个镇兼职司法助理员津贴，切实维护社会和谐稳定。</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5.加强社区矫正监管教育帮扶。确保在2022年度，强化对在册160余名社区矫正对象监督管理，加强日常走访及教育学习，扎实开展技能培训、困难救助等社会适应性帮扶，保障无脱管、漏管及重新犯罪。</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6.严格落实安置帮教措施。确保在2022年度，对全区400余名安帮人员进行帮教，保障帮教对象不重新违法犯罪，有效维护社会稳定。</w:t>
            </w:r>
          </w:p>
        </w:tc>
        <w:tc>
          <w:tcPr>
            <w:tcW w:w="2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部门整体绩效指标</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4"/>
                <w:szCs w:val="1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办理人民调解、法律援助、行政复议等案件数</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3030件</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案件增加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管理社区矫正对象</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160人</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开展普法宣传场次</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70场次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人民调解案件成功率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工资、住房公积金、各类保险及日常公用经费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787.35万元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787.35万元</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普法宣传、社区矫正、基层司法业务、依法治区和法治政府建设等经费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124.38万元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124.38万元</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对社会的促进作用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群众法治意识提高率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p>
    <w:p>
      <w:pPr>
        <w:pStyle w:val="8"/>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rPr>
      </w:pPr>
      <w:bookmarkStart w:id="244" w:name="_Toc121191197_WPSOffice_Level2"/>
      <w:r>
        <w:rPr>
          <w:rFonts w:hint="eastAsia" w:eastAsia="方正小标宋简体" w:cs="Times New Roman"/>
          <w:sz w:val="32"/>
          <w:szCs w:val="32"/>
          <w:lang w:val="en-US" w:eastAsia="zh-CN"/>
        </w:rPr>
        <w:t>2022年依法治区和法治政府建设</w:t>
      </w:r>
      <w:r>
        <w:rPr>
          <w:rFonts w:hint="default" w:ascii="Times New Roman" w:hAnsi="Times New Roman" w:eastAsia="方正小标宋简体" w:cs="Times New Roman"/>
          <w:sz w:val="32"/>
          <w:szCs w:val="32"/>
        </w:rPr>
        <w:t>项目支出绩效自评报告</w:t>
      </w:r>
      <w:bookmarkEnd w:id="244"/>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区财政局：</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eastAsia="黑体"/>
          <w:sz w:val="32"/>
          <w:szCs w:val="32"/>
        </w:rPr>
      </w:pPr>
      <w:r>
        <w:rPr>
          <w:rFonts w:hint="eastAsia" w:ascii="仿宋_GB2312" w:hAnsi="仿宋_GB2312" w:eastAsia="仿宋_GB2312" w:cs="仿宋_GB2312"/>
          <w:sz w:val="32"/>
          <w:szCs w:val="32"/>
          <w:lang w:val="zh-CN" w:eastAsia="zh-CN"/>
        </w:rPr>
        <w:t>为了进一步加强财政支付预算管理，提高财政资金使用效益，根据《关于开展202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年部门、政策和项目支出绩效评价工作的通知》(昭财发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lang w:val="zh-CN" w:eastAsia="zh-CN"/>
        </w:rPr>
        <w:t>号)的要求，结合我局2022年部门预算管理、项目的实施情况等，现将我局2022年开展</w:t>
      </w:r>
      <w:r>
        <w:rPr>
          <w:rFonts w:hint="eastAsia" w:ascii="仿宋_GB2312" w:hAnsi="仿宋_GB2312" w:eastAsia="仿宋_GB2312" w:cs="仿宋_GB2312"/>
          <w:sz w:val="32"/>
          <w:szCs w:val="32"/>
          <w:lang w:val="en-US" w:eastAsia="zh-CN"/>
        </w:rPr>
        <w:t>依法治区和法治政</w:t>
      </w:r>
      <w:r>
        <w:rPr>
          <w:rFonts w:hint="eastAsia" w:ascii="Times New Roman" w:hAnsi="Times New Roman" w:cs="Times New Roman"/>
          <w:sz w:val="32"/>
          <w:szCs w:val="32"/>
          <w:lang w:val="en-US" w:eastAsia="zh-CN"/>
        </w:rPr>
        <w:t>府建设</w:t>
      </w:r>
      <w:r>
        <w:rPr>
          <w:rFonts w:hint="default" w:ascii="Times New Roman" w:hAnsi="Times New Roman" w:cs="Times New Roman"/>
          <w:sz w:val="32"/>
          <w:szCs w:val="32"/>
          <w:lang w:val="zh-CN"/>
        </w:rPr>
        <w:t>项目</w:t>
      </w:r>
      <w:r>
        <w:rPr>
          <w:rFonts w:hint="eastAsia" w:ascii="Times New Roman" w:hAnsi="Times New Roman" w:cs="Times New Roman"/>
          <w:sz w:val="32"/>
          <w:szCs w:val="32"/>
          <w:lang w:val="zh-CN"/>
        </w:rPr>
        <w:t>自评报告如下：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0"/>
        <w:rPr>
          <w:rFonts w:hint="eastAsia" w:ascii="仿宋_GB2312" w:hAnsi="仿宋_GB2312" w:eastAsia="仿宋_GB2312" w:cs="仿宋_GB2312"/>
          <w:sz w:val="32"/>
          <w:szCs w:val="32"/>
          <w:lang w:val="en-US" w:eastAsia="zh-CN"/>
        </w:rPr>
      </w:pPr>
      <w:bookmarkStart w:id="245" w:name="_Toc870733783_WPSOffice_Level2"/>
      <w:r>
        <w:rPr>
          <w:rFonts w:hint="eastAsia" w:ascii="黑体" w:hAnsi="黑体" w:eastAsia="黑体" w:cs="黑体"/>
          <w:sz w:val="32"/>
          <w:szCs w:val="32"/>
          <w:lang w:val="en-US" w:eastAsia="zh-CN"/>
        </w:rPr>
        <w:t>一、项目基本情况</w:t>
      </w:r>
      <w:bookmarkEnd w:id="245"/>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该项经费用于全区依法治区和法治政府建设，完成全省全面依法治区示范试点及省级法治政府示范区创建各项工作任务等工作的日常经费。通过开展依法治区和法治政府建设，提高群众法律意识，让群众遵法守法，依法办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sz w:val="32"/>
          <w:szCs w:val="32"/>
          <w:lang w:val="zh-CN" w:eastAsia="zh-CN"/>
        </w:rPr>
      </w:pPr>
      <w:r>
        <w:rPr>
          <w:rFonts w:hint="eastAsia" w:ascii="Times New Roman" w:hAnsi="Times New Roman" w:eastAsia="楷体_GB2312" w:cs="Times New Roman"/>
          <w:b w:val="0"/>
          <w:bCs/>
          <w:sz w:val="32"/>
          <w:szCs w:val="32"/>
          <w:lang w:val="zh-CN"/>
        </w:rPr>
        <w:t>（一）</w:t>
      </w:r>
      <w:r>
        <w:rPr>
          <w:rFonts w:hint="default" w:ascii="Times New Roman" w:hAnsi="Times New Roman" w:eastAsia="楷体_GB2312" w:cs="Times New Roman"/>
          <w:b w:val="0"/>
          <w:bCs/>
          <w:sz w:val="32"/>
          <w:szCs w:val="32"/>
          <w:lang w:val="zh-CN"/>
        </w:rPr>
        <w:t>项目</w:t>
      </w:r>
      <w:r>
        <w:rPr>
          <w:rFonts w:hint="eastAsia" w:eastAsia="楷体_GB2312" w:cs="Times New Roman"/>
          <w:b w:val="0"/>
          <w:bCs/>
          <w:sz w:val="32"/>
          <w:szCs w:val="32"/>
          <w:lang w:val="zh-CN"/>
        </w:rPr>
        <w:t>资金申报及批复情况。</w:t>
      </w:r>
      <w:r>
        <w:rPr>
          <w:rFonts w:hint="eastAsia" w:ascii="仿宋_GB2312" w:hAnsi="仿宋_GB2312" w:eastAsia="仿宋_GB2312" w:cs="仿宋_GB2312"/>
          <w:sz w:val="32"/>
          <w:szCs w:val="32"/>
          <w:lang w:val="en-US" w:eastAsia="zh-CN"/>
        </w:rPr>
        <w:t>项目资金由区财政年初预算下达，共计40万元，已全部到位。</w:t>
      </w:r>
    </w:p>
    <w:p>
      <w:pPr>
        <w:keepNext w:val="0"/>
        <w:keepLines w:val="0"/>
        <w:pageBreakBefore w:val="0"/>
        <w:widowControl w:val="0"/>
        <w:kinsoku/>
        <w:wordWrap/>
        <w:overflowPunct/>
        <w:topLinePunct w:val="0"/>
        <w:autoSpaceDE/>
        <w:autoSpaceDN/>
        <w:bidi w:val="0"/>
        <w:spacing w:line="576" w:lineRule="exact"/>
        <w:ind w:firstLine="648" w:firstLineChars="200"/>
        <w:textAlignment w:val="auto"/>
        <w:outlineLvl w:val="9"/>
        <w:rPr>
          <w:rFonts w:hint="eastAsia" w:ascii="楷体" w:hAnsi="楷体" w:eastAsia="楷体" w:cs="楷体"/>
          <w:b w:val="0"/>
          <w:bCs w:val="0"/>
          <w:color w:val="auto"/>
          <w:spacing w:val="2"/>
          <w:sz w:val="32"/>
          <w:szCs w:val="32"/>
          <w:lang w:val="en-US" w:eastAsia="zh-CN"/>
        </w:rPr>
      </w:pPr>
      <w:r>
        <w:rPr>
          <w:rFonts w:hint="eastAsia" w:ascii="楷体" w:hAnsi="楷体" w:eastAsia="楷体" w:cs="楷体"/>
          <w:b w:val="0"/>
          <w:bCs w:val="0"/>
          <w:color w:val="auto"/>
          <w:spacing w:val="2"/>
          <w:sz w:val="32"/>
          <w:szCs w:val="32"/>
          <w:lang w:val="en-US" w:eastAsia="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2022年底前，全面完成依法治区和法治政府建设，受益群众大于8万人次，进一步提高群众法治意识，为法治四川建设提供昭化样板。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8" w:firstLineChars="200"/>
        <w:textAlignment w:val="auto"/>
        <w:rPr>
          <w:rFonts w:hint="eastAsia" w:ascii="仿宋_GB2312" w:hAnsi="仿宋_GB2312" w:eastAsia="仿宋_GB2312" w:cs="仿宋_GB2312"/>
          <w:kern w:val="0"/>
          <w:sz w:val="32"/>
          <w:szCs w:val="32"/>
          <w:lang w:val="en-US" w:eastAsia="zh-CN" w:bidi="ar-SA"/>
        </w:rPr>
      </w:pPr>
      <w:r>
        <w:rPr>
          <w:rFonts w:hint="eastAsia" w:ascii="楷体" w:hAnsi="楷体" w:eastAsia="楷体" w:cs="楷体"/>
          <w:b w:val="0"/>
          <w:bCs w:val="0"/>
          <w:color w:val="auto"/>
          <w:spacing w:val="2"/>
          <w:sz w:val="32"/>
          <w:szCs w:val="32"/>
          <w:lang w:val="en-US" w:eastAsia="zh-CN"/>
        </w:rPr>
        <w:t>（三）项目资金申报相符性。</w:t>
      </w:r>
      <w:r>
        <w:rPr>
          <w:rFonts w:hint="eastAsia" w:ascii="仿宋_GB2312" w:hAnsi="仿宋_GB2312" w:eastAsia="仿宋_GB2312" w:cs="仿宋_GB2312"/>
          <w:kern w:val="0"/>
          <w:sz w:val="32"/>
          <w:szCs w:val="32"/>
          <w:lang w:val="en-US" w:eastAsia="zh-CN" w:bidi="ar-SA"/>
        </w:rPr>
        <w:t>2022年度依法治区和法治政府建设工作经费严格按照年初项目经费申报要求执行，项目经费申报符合当年本单位工作需要，并达到预期目标。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Times New Roman"/>
          <w:b w:val="0"/>
          <w:bCs/>
          <w:sz w:val="32"/>
          <w:szCs w:val="32"/>
          <w:lang w:val="zh-CN"/>
        </w:rPr>
      </w:pPr>
      <w:r>
        <w:rPr>
          <w:rFonts w:hint="eastAsia" w:ascii="Times New Roman" w:hAnsi="Times New Roman" w:eastAsia="楷体_GB2312" w:cs="Times New Roman"/>
          <w:b w:val="0"/>
          <w:bCs/>
          <w:sz w:val="32"/>
          <w:szCs w:val="32"/>
          <w:lang w:val="zh-CN"/>
        </w:rPr>
        <w:t>（四）自评步骤及方法</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采取项目支出绩效自评方式，结合评价内容，做到有计划、有安排，扎实开展本次自评工作。按照上级下达的项目支出绩效评价指标体系，针对申报内容、实施情况、资金支付、财务管理、经济效益、社会效益等评价内容作出自我评价，形成自评报告，并向区财政局报送电子和纸质资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bookmarkStart w:id="246" w:name="_Toc198600219_WPSOffice_Level2"/>
      <w:r>
        <w:rPr>
          <w:rFonts w:hint="default" w:ascii="Times New Roman" w:hAnsi="Times New Roman" w:eastAsia="黑体" w:cs="Times New Roman"/>
          <w:sz w:val="32"/>
          <w:szCs w:val="32"/>
        </w:rPr>
        <w:t>二、项目实施及管理情况</w:t>
      </w:r>
      <w:bookmarkEnd w:id="24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sz w:val="32"/>
          <w:szCs w:val="32"/>
          <w:lang w:val="zh-CN"/>
        </w:rPr>
      </w:pPr>
      <w:bookmarkStart w:id="247" w:name="_Toc1029381890_WPSOffice_Level3"/>
      <w:r>
        <w:rPr>
          <w:rFonts w:hint="default" w:ascii="Times New Roman" w:hAnsi="Times New Roman" w:eastAsia="楷体_GB2312" w:cs="Times New Roman"/>
          <w:b w:val="0"/>
          <w:bCs/>
          <w:sz w:val="32"/>
          <w:szCs w:val="32"/>
          <w:lang w:val="zh-CN"/>
        </w:rPr>
        <w:t>（一）资金计划、到位及使用情况</w:t>
      </w:r>
      <w:bookmarkEnd w:id="247"/>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zh-CN" w:eastAsia="zh-CN" w:bidi="ar-SA"/>
        </w:rPr>
        <w:t>1</w:t>
      </w:r>
      <w:r>
        <w:rPr>
          <w:rFonts w:hint="default"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zh-CN" w:eastAsia="zh-CN" w:bidi="ar-SA"/>
        </w:rPr>
        <w:t>资金计划及到位。</w:t>
      </w:r>
      <w:r>
        <w:rPr>
          <w:rFonts w:hint="eastAsia" w:ascii="仿宋_GB2312" w:hAnsi="仿宋_GB2312" w:eastAsia="仿宋_GB2312" w:cs="仿宋_GB2312"/>
          <w:kern w:val="0"/>
          <w:sz w:val="32"/>
          <w:szCs w:val="32"/>
          <w:lang w:val="en-US" w:eastAsia="zh-CN" w:bidi="ar-SA"/>
        </w:rPr>
        <w:t>2022年，区财政局于年初随同部门预算一同将区级依法治区和法治政府建设资金共计40万元下达到本单位，我单位根据年度工作任务安排，在预算范围内提前向区财政部门申请资金计划，在财政资金计划批复后，单位及时按预算下达项目要求组织开展工作，有效地保证了依法治区和法治政府建设工作的正常开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kern w:val="0"/>
          <w:sz w:val="32"/>
          <w:szCs w:val="32"/>
          <w:lang w:val="zh-CN" w:eastAsia="zh-CN" w:bidi="ar-SA"/>
        </w:rPr>
      </w:pPr>
      <w:r>
        <w:rPr>
          <w:rFonts w:hint="default" w:ascii="仿宋_GB2312" w:hAnsi="仿宋_GB2312" w:eastAsia="仿宋_GB2312" w:cs="仿宋_GB2312"/>
          <w:kern w:val="0"/>
          <w:sz w:val="32"/>
          <w:szCs w:val="32"/>
          <w:lang w:val="zh-CN" w:eastAsia="zh-CN" w:bidi="ar-SA"/>
        </w:rPr>
        <w:t>2</w:t>
      </w:r>
      <w:r>
        <w:rPr>
          <w:rFonts w:hint="default"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zh-CN" w:eastAsia="zh-CN" w:bidi="ar-SA"/>
        </w:rPr>
        <w:t>资金使用。</w:t>
      </w:r>
      <w:r>
        <w:rPr>
          <w:rFonts w:hint="eastAsia" w:ascii="仿宋_GB2312" w:hAnsi="仿宋_GB2312" w:eastAsia="仿宋_GB2312" w:cs="仿宋_GB2312"/>
          <w:kern w:val="0"/>
          <w:sz w:val="32"/>
          <w:szCs w:val="32"/>
          <w:lang w:val="en-US" w:eastAsia="zh-CN" w:bidi="ar-SA"/>
        </w:rPr>
        <w:t>2022年度，依法治区和法治政府建设经费实际支出40万元，</w:t>
      </w:r>
      <w:r>
        <w:rPr>
          <w:rFonts w:hint="eastAsia" w:ascii="仿宋_GB2312" w:hAnsi="仿宋_GB2312" w:eastAsia="仿宋_GB2312" w:cs="仿宋_GB2312"/>
          <w:kern w:val="0"/>
          <w:sz w:val="32"/>
          <w:szCs w:val="32"/>
          <w:lang w:val="zh-CN" w:eastAsia="zh-CN" w:bidi="ar-SA"/>
        </w:rPr>
        <w:t>主要</w:t>
      </w:r>
      <w:r>
        <w:rPr>
          <w:rFonts w:hint="eastAsia" w:ascii="仿宋_GB2312" w:hAnsi="仿宋_GB2312" w:eastAsia="仿宋_GB2312" w:cs="仿宋_GB2312"/>
          <w:kern w:val="0"/>
          <w:sz w:val="32"/>
          <w:szCs w:val="32"/>
          <w:lang w:val="en-US" w:eastAsia="zh-CN" w:bidi="ar-SA"/>
        </w:rPr>
        <w:t>用于全面依法治区和法治政府建设宣传、培训、差旅等费用支出，按预算下达指标全面完成预算支出任务，支出完成率达100%。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sz w:val="32"/>
          <w:szCs w:val="32"/>
          <w:lang w:val="zh-CN"/>
        </w:rPr>
      </w:pPr>
      <w:bookmarkStart w:id="248" w:name="_Toc170226287_WPSOffice_Level3"/>
      <w:r>
        <w:rPr>
          <w:rFonts w:hint="default" w:ascii="Times New Roman" w:hAnsi="Times New Roman" w:eastAsia="楷体_GB2312" w:cs="Times New Roman"/>
          <w:b w:val="0"/>
          <w:bCs/>
          <w:sz w:val="32"/>
          <w:szCs w:val="32"/>
          <w:lang w:val="zh-CN"/>
        </w:rPr>
        <w:t>（二）项目财务管理情况</w:t>
      </w:r>
      <w:bookmarkEnd w:id="248"/>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严格按照财务规定和程序实行国库集中支付方式实施项目资金分配。本单位将依法治区工作经费纳入单位财务集中统一管理，严格按照相关要求执行，做到先有预算后有支出，并结合全年工作任务及时办理相关的经费支出，提升依法治区和法治政府建设专项经费使用的制度化、规范化、程序化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楷体_GB2312" w:cs="Times New Roman"/>
          <w:b w:val="0"/>
          <w:bCs/>
          <w:sz w:val="32"/>
          <w:szCs w:val="32"/>
          <w:lang w:val="zh-CN"/>
        </w:rPr>
      </w:pPr>
      <w:bookmarkStart w:id="249" w:name="_Toc1937617708_WPSOffice_Level3"/>
      <w:r>
        <w:rPr>
          <w:rFonts w:hint="default" w:ascii="Times New Roman" w:hAnsi="Times New Roman" w:eastAsia="楷体_GB2312" w:cs="Times New Roman"/>
          <w:b w:val="0"/>
          <w:bCs/>
          <w:sz w:val="32"/>
          <w:szCs w:val="32"/>
          <w:lang w:val="zh-CN"/>
        </w:rPr>
        <w:t>（三）项目组织实施</w:t>
      </w:r>
      <w:r>
        <w:rPr>
          <w:rFonts w:hint="eastAsia" w:eastAsia="楷体_GB2312" w:cs="Times New Roman"/>
          <w:b w:val="0"/>
          <w:bCs/>
          <w:sz w:val="32"/>
          <w:szCs w:val="32"/>
          <w:lang w:val="zh-CN"/>
        </w:rPr>
        <w:t>及管理</w:t>
      </w:r>
      <w:r>
        <w:rPr>
          <w:rFonts w:hint="default" w:ascii="Times New Roman" w:hAnsi="Times New Roman" w:eastAsia="楷体_GB2312" w:cs="Times New Roman"/>
          <w:b w:val="0"/>
          <w:bCs/>
          <w:sz w:val="32"/>
          <w:szCs w:val="32"/>
          <w:lang w:val="zh-CN"/>
        </w:rPr>
        <w:t>情况</w:t>
      </w:r>
      <w:bookmarkEnd w:id="24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开始时间为2022年1月，完成时间2022年12月。根据项目申报有关要求，严格按照预算管理自下而上、逐级根据需要，编制项目支出计划。在对各项目申报材料和项目支出预算合理性、可行性和必要性进行审核的基础上，并按照部门预算管理程序和要求编制项目支出预算。在项目组织的过程中能做到有依有据，合理合法，监管与审核并重，项目组织程序有序，有利于保障和提高项目实施效果。2022年，本单位切实加强对依法治区和法治政府建设工作的领导和管理，狠抓队伍建设和体制机制建设，确保工作顺利开展，完成了创建全省全面依法治区示范试区及省级法治政府建设示范创建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lang w:val="zh-CN"/>
        </w:rPr>
      </w:pPr>
      <w:bookmarkStart w:id="250" w:name="_Toc626756728_WPSOffice_Level2"/>
      <w:r>
        <w:rPr>
          <w:rFonts w:hint="default" w:ascii="Times New Roman" w:hAnsi="Times New Roman" w:eastAsia="黑体" w:cs="Times New Roman"/>
          <w:sz w:val="32"/>
          <w:szCs w:val="32"/>
        </w:rPr>
        <w:t>三、项目绩效情况</w:t>
      </w:r>
      <w:bookmarkEnd w:id="250"/>
      <w:r>
        <w:rPr>
          <w:rFonts w:hint="default" w:ascii="Times New Roman" w:hAnsi="Times New Roman" w:cs="Times New Roman"/>
          <w:sz w:val="32"/>
          <w:szCs w:val="32"/>
          <w:lang w:val="zh-CN"/>
        </w:rPr>
        <w:tab/>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楷体_GB2312" w:cs="Times New Roman"/>
          <w:b w:val="0"/>
          <w:bCs/>
          <w:sz w:val="32"/>
          <w:szCs w:val="32"/>
          <w:lang w:val="zh-CN"/>
        </w:rPr>
      </w:pPr>
      <w:bookmarkStart w:id="251" w:name="_Toc627059582_WPSOffice_Level3"/>
      <w:r>
        <w:rPr>
          <w:rFonts w:hint="default" w:ascii="Times New Roman" w:hAnsi="Times New Roman" w:eastAsia="楷体_GB2312" w:cs="Times New Roman"/>
          <w:b w:val="0"/>
          <w:bCs/>
          <w:sz w:val="32"/>
          <w:szCs w:val="32"/>
          <w:lang w:val="zh-CN"/>
        </w:rPr>
        <w:t>（一）项目完成情况</w:t>
      </w:r>
      <w:bookmarkEnd w:id="251"/>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2022年依法治区和法治政府建设工作经费按年初项目预算规划并结合全年工作任务有条不紊进行开展，全年经费按预算和工作规划全部实施完成。</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楷体_GB2312" w:cs="Times New Roman"/>
          <w:b w:val="0"/>
          <w:bCs/>
          <w:sz w:val="32"/>
          <w:szCs w:val="32"/>
          <w:lang w:val="zh-CN" w:eastAsia="zh-CN"/>
        </w:rPr>
      </w:pPr>
      <w:bookmarkStart w:id="252" w:name="_Toc871449278_WPSOffice_Level3"/>
      <w:r>
        <w:rPr>
          <w:rFonts w:hint="eastAsia" w:ascii="Times New Roman" w:hAnsi="Times New Roman" w:eastAsia="楷体_GB2312" w:cs="Times New Roman"/>
          <w:b w:val="0"/>
          <w:bCs/>
          <w:sz w:val="32"/>
          <w:szCs w:val="32"/>
          <w:lang w:val="zh-CN" w:eastAsia="zh-CN"/>
        </w:rPr>
        <w:t>（二）</w:t>
      </w:r>
      <w:r>
        <w:rPr>
          <w:rFonts w:hint="default" w:ascii="Times New Roman" w:hAnsi="Times New Roman" w:eastAsia="楷体_GB2312" w:cs="Times New Roman"/>
          <w:b w:val="0"/>
          <w:bCs/>
          <w:sz w:val="32"/>
          <w:szCs w:val="32"/>
          <w:lang w:val="zh-CN" w:eastAsia="zh-CN"/>
        </w:rPr>
        <w:t>项目效益情况</w:t>
      </w:r>
      <w:bookmarkEnd w:id="252"/>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把创建省级法治政府示范区作为推动法治政府建设的重要抓手，顺利创建全省依法治(县)区示范试点,进一步增强群众守法意识,有效推动群众依法行政、依法办事，服务经济社会发展的能力进一步提升，全区矛盾纠纷、信访件数量同比分别下降15.1%、15.9%，群众获得感幸福感满意度明显增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bookmarkStart w:id="253" w:name="_Toc1273308851_WPSOffice_Level2"/>
      <w:r>
        <w:rPr>
          <w:rFonts w:hint="default" w:ascii="Times New Roman" w:hAnsi="Times New Roman" w:eastAsia="黑体" w:cs="Times New Roman"/>
          <w:sz w:val="32"/>
          <w:szCs w:val="32"/>
        </w:rPr>
        <w:t>四、</w:t>
      </w:r>
      <w:r>
        <w:rPr>
          <w:rFonts w:hint="eastAsia" w:eastAsia="黑体" w:cs="Times New Roman"/>
          <w:sz w:val="32"/>
          <w:szCs w:val="32"/>
          <w:lang w:eastAsia="zh-CN"/>
        </w:rPr>
        <w:t>自评结论及</w:t>
      </w:r>
      <w:r>
        <w:rPr>
          <w:rFonts w:hint="default" w:ascii="Times New Roman" w:hAnsi="Times New Roman" w:eastAsia="黑体" w:cs="Times New Roman"/>
          <w:sz w:val="32"/>
          <w:szCs w:val="32"/>
        </w:rPr>
        <w:t>建议</w:t>
      </w:r>
      <w:bookmarkEnd w:id="253"/>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cs="Times New Roman"/>
          <w:sz w:val="32"/>
          <w:szCs w:val="32"/>
          <w:lang w:val="zh-CN" w:eastAsia="zh-CN"/>
        </w:rPr>
      </w:pPr>
      <w:r>
        <w:rPr>
          <w:rFonts w:hint="eastAsia" w:ascii="Times New Roman" w:hAnsi="Times New Roman" w:eastAsia="楷体_GB2312" w:cs="Times New Roman"/>
          <w:b w:val="0"/>
          <w:bCs/>
          <w:sz w:val="32"/>
          <w:szCs w:val="32"/>
          <w:lang w:val="zh-CN" w:eastAsia="zh-CN"/>
        </w:rPr>
        <w:t>（一）评价结论。</w:t>
      </w:r>
      <w:r>
        <w:rPr>
          <w:rFonts w:hint="eastAsia" w:ascii="仿宋_GB2312" w:hAnsi="仿宋_GB2312" w:eastAsia="仿宋_GB2312" w:cs="仿宋_GB2312"/>
          <w:kern w:val="0"/>
          <w:sz w:val="32"/>
          <w:szCs w:val="32"/>
          <w:lang w:val="zh-CN" w:eastAsia="zh-CN" w:bidi="ar-SA"/>
        </w:rPr>
        <w:t>202</w:t>
      </w:r>
      <w:r>
        <w:rPr>
          <w:rFonts w:hint="eastAsia" w:ascii="仿宋_GB2312" w:hAnsi="仿宋_GB2312" w:eastAsia="仿宋_GB2312" w:cs="仿宋_GB2312"/>
          <w:kern w:val="0"/>
          <w:sz w:val="32"/>
          <w:szCs w:val="32"/>
          <w:lang w:val="en-US" w:eastAsia="zh-CN" w:bidi="ar-SA"/>
        </w:rPr>
        <w:t>2</w:t>
      </w:r>
      <w:r>
        <w:rPr>
          <w:rFonts w:hint="eastAsia" w:ascii="仿宋_GB2312" w:hAnsi="仿宋_GB2312" w:eastAsia="仿宋_GB2312" w:cs="仿宋_GB2312"/>
          <w:kern w:val="0"/>
          <w:sz w:val="32"/>
          <w:szCs w:val="32"/>
          <w:lang w:val="zh-CN" w:eastAsia="zh-CN" w:bidi="ar-SA"/>
        </w:rPr>
        <w:t>年，全面</w:t>
      </w:r>
      <w:r>
        <w:rPr>
          <w:rFonts w:hint="eastAsia" w:ascii="仿宋_GB2312" w:hAnsi="仿宋_GB2312" w:eastAsia="仿宋_GB2312" w:cs="仿宋_GB2312"/>
          <w:kern w:val="0"/>
          <w:sz w:val="32"/>
          <w:szCs w:val="32"/>
          <w:lang w:val="en-US" w:eastAsia="zh-CN" w:bidi="ar-SA"/>
        </w:rPr>
        <w:t>完成了依法治区和法治政府建设工作绩效总体目标，严格执行财务管理制度，资金使用规范，相关资料齐全，成本控制有效，无挪用、截留经费的情况发生，有力促进了全区经济社会又好又快发展。该项目在决策方面，决策依据基本充分、资金分配合理；在项目管理方面，资金到位及时、资金支出的依据、使用范围、开支标准基本符合规定，财务制度、会计核算健全规范；在项目完成方面，实现计划目标；在项目效果方面，项目的开展，取得了良好效果。综合评价结果为优良。</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Times New Roman" w:hAnsi="Times New Roman" w:eastAsia="楷体_GB2312" w:cs="Times New Roman"/>
          <w:b w:val="0"/>
          <w:bCs/>
          <w:sz w:val="32"/>
          <w:szCs w:val="32"/>
          <w:lang w:val="zh-CN"/>
        </w:rPr>
        <w:t>（二）存在的问题。</w:t>
      </w:r>
      <w:r>
        <w:rPr>
          <w:rFonts w:hint="eastAsia" w:ascii="仿宋_GB2312" w:hAnsi="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Times New Roman" w:hAnsi="Times New Roman" w:eastAsia="楷体_GB2312" w:cs="Times New Roman"/>
          <w:b w:val="0"/>
          <w:bCs/>
          <w:sz w:val="32"/>
          <w:szCs w:val="32"/>
          <w:lang w:val="zh-CN"/>
        </w:rPr>
        <w:t>（三）相关建议。</w:t>
      </w:r>
      <w:r>
        <w:rPr>
          <w:rFonts w:hint="eastAsia" w:ascii="仿宋_GB2312" w:hAnsi="仿宋_GB2312" w:cs="仿宋_GB2312"/>
          <w:color w:val="auto"/>
          <w:spacing w:val="2"/>
          <w:sz w:val="32"/>
          <w:szCs w:val="32"/>
          <w:lang w:val="zh-CN" w:eastAsia="zh-CN"/>
        </w:rPr>
        <w:t>本</w:t>
      </w:r>
      <w:r>
        <w:rPr>
          <w:rFonts w:hint="eastAsia" w:ascii="仿宋_GB2312" w:hAnsi="仿宋_GB2312" w:eastAsia="仿宋_GB2312" w:cs="仿宋_GB2312"/>
          <w:kern w:val="0"/>
          <w:sz w:val="32"/>
          <w:szCs w:val="32"/>
          <w:lang w:val="zh-CN" w:eastAsia="zh-CN" w:bidi="ar-SA"/>
        </w:rPr>
        <w:t>单位依法治区和法治政府建设工作任务繁重，建议区财政局加快资金的拨付进度，</w:t>
      </w:r>
      <w:r>
        <w:rPr>
          <w:rFonts w:hint="eastAsia" w:ascii="仿宋_GB2312" w:hAnsi="仿宋_GB2312" w:eastAsia="仿宋_GB2312" w:cs="仿宋_GB2312"/>
          <w:kern w:val="0"/>
          <w:sz w:val="32"/>
          <w:szCs w:val="32"/>
          <w:lang w:val="en-US" w:eastAsia="zh-CN" w:bidi="ar-SA"/>
        </w:rPr>
        <w:t>加强对各部门申报项目的指导和培训，使项目编制更加符合绩效评价相关要求。</w:t>
      </w:r>
    </w:p>
    <w:tbl>
      <w:tblPr>
        <w:tblStyle w:val="17"/>
        <w:tblW w:w="84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823"/>
        <w:gridCol w:w="1609"/>
        <w:gridCol w:w="1023"/>
        <w:gridCol w:w="1131"/>
        <w:gridCol w:w="1145"/>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443"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8443"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68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依法治区和法治政府建设经费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37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8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60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6"/>
                <w:szCs w:val="16"/>
                <w:u w:val="none"/>
                <w:lang w:val="en-US" w:eastAsia="zh-CN" w:bidi="ar"/>
              </w:rPr>
              <w:t>年初预算数</w:t>
            </w:r>
          </w:p>
        </w:tc>
        <w:tc>
          <w:tcPr>
            <w:tcW w:w="11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 1.一般公共预算</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 2.政府性基金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 xml:space="preserve"> 3.国有资本经营预算</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57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8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7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2022年底前，完成法治建设受益群众大于8万人次，提高群众法治意识。全面完成依法治区和法治政府建设，为法治四川建设提供昭化样板。</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8万人次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8万人次</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群众知法守法覆盖面</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完成工作时间</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7个月</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严控预算</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40万元</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40万元</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维护经济社会秩序良好发展</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11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尽可能减少群众损失</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11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保护群众合法权益、维护社会稳定</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11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提升群众法治意识</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11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0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受益群众满意度指标</w:t>
            </w:r>
          </w:p>
        </w:tc>
        <w:tc>
          <w:tcPr>
            <w:tcW w:w="11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39"/>
                <w:lang w:val="en-US" w:eastAsia="zh-CN" w:bidi="ar"/>
              </w:rPr>
              <w:t>90%</w:t>
            </w:r>
          </w:p>
        </w:tc>
        <w:tc>
          <w:tcPr>
            <w:tcW w:w="11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39"/>
                <w:lang w:val="en-US" w:eastAsia="zh-CN" w:bidi="ar"/>
              </w:rPr>
              <w:t>90%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keepNext w:val="0"/>
        <w:keepLines w:val="0"/>
        <w:pageBreakBefore w:val="0"/>
        <w:widowControl w:val="0"/>
        <w:kinsoku/>
        <w:wordWrap/>
        <w:overflowPunct/>
        <w:topLinePunct w:val="0"/>
        <w:autoSpaceDE w:val="0"/>
        <w:autoSpaceDN w:val="0"/>
        <w:bidi w:val="0"/>
        <w:adjustRightInd/>
        <w:snapToGrid/>
        <w:spacing w:before="0" w:line="576" w:lineRule="exact"/>
        <w:ind w:left="3128" w:right="232" w:hanging="3020"/>
        <w:jc w:val="center"/>
        <w:textAlignment w:val="auto"/>
        <w:rPr>
          <w:rFonts w:hint="eastAsia" w:ascii="方正大标宋_GBK" w:hAnsi="方正大标宋_GBK" w:eastAsia="方正大标宋_GBK" w:cs="方正大标宋_GBK"/>
          <w:kern w:val="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line="576" w:lineRule="exact"/>
        <w:ind w:left="3128" w:right="232" w:hanging="3020"/>
        <w:jc w:val="center"/>
        <w:textAlignment w:val="auto"/>
        <w:rPr>
          <w:rFonts w:hint="eastAsia" w:ascii="方正大标宋_GBK" w:hAnsi="方正大标宋_GBK" w:eastAsia="方正大标宋_GBK" w:cs="方正大标宋_GBK"/>
          <w:kern w:val="0"/>
          <w:sz w:val="32"/>
          <w:szCs w:val="32"/>
          <w:lang w:val="en-US" w:eastAsia="zh-CN" w:bidi="ar-SA"/>
        </w:rPr>
      </w:pPr>
      <w:bookmarkStart w:id="254" w:name="_Toc868749582_WPSOffice_Level2"/>
      <w:r>
        <w:rPr>
          <w:rFonts w:hint="eastAsia" w:ascii="方正大标宋_GBK" w:hAnsi="方正大标宋_GBK" w:eastAsia="方正大标宋_GBK" w:cs="方正大标宋_GBK"/>
          <w:kern w:val="0"/>
          <w:sz w:val="32"/>
          <w:szCs w:val="32"/>
          <w:lang w:val="en-US" w:eastAsia="zh-CN" w:bidi="ar-SA"/>
        </w:rPr>
        <w:t>2022年法律援助等6个项目支出绩效自评报告</w:t>
      </w:r>
      <w:bookmarkEnd w:id="254"/>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jc w:val="both"/>
        <w:textAlignment w:val="auto"/>
        <w:rPr>
          <w:rFonts w:hint="eastAsia" w:ascii="仿宋_GB2312" w:hAnsi="仿宋_GB2312" w:eastAsia="仿宋_GB2312" w:cs="仿宋_GB2312"/>
        </w:rPr>
      </w:pPr>
      <w:r>
        <w:rPr>
          <w:rFonts w:hint="eastAsia" w:ascii="仿宋_GB2312" w:hAnsi="仿宋_GB2312" w:eastAsia="仿宋_GB2312" w:cs="仿宋_GB2312"/>
        </w:rPr>
        <w:t>区财政局：</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为了进一步加强财政支付预算管理，提高财政资金使用效益，根据《关于开展2023年部门、政策和项目支出绩效评价工作的通知》(昭财发〔2023〕12号)的要求，结合我局2022年法律援助项目实施情况，现将我局2022年开展法律援助和普法宣传经费等</w:t>
      </w: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en-US"/>
        </w:rPr>
        <w:t>个项目支出绩效自评报告如下：</w:t>
      </w:r>
    </w:p>
    <w:p>
      <w:pPr>
        <w:pStyle w:val="8"/>
        <w:keepNext w:val="0"/>
        <w:keepLines w:val="0"/>
        <w:pageBreakBefore w:val="0"/>
        <w:widowControl w:val="0"/>
        <w:kinsoku/>
        <w:wordWrap/>
        <w:overflowPunct/>
        <w:topLinePunct w:val="0"/>
        <w:bidi w:val="0"/>
        <w:adjustRightInd/>
        <w:snapToGrid/>
        <w:spacing w:beforeLines="0" w:line="536" w:lineRule="exact"/>
        <w:ind w:left="747"/>
        <w:textAlignment w:val="auto"/>
        <w:rPr>
          <w:rFonts w:hint="eastAsia" w:ascii="黑体" w:eastAsia="黑体"/>
        </w:rPr>
      </w:pPr>
      <w:bookmarkStart w:id="255" w:name="_Toc584692992_WPSOffice_Level2"/>
      <w:r>
        <w:rPr>
          <w:rFonts w:hint="eastAsia" w:ascii="黑体" w:eastAsia="黑体"/>
        </w:rPr>
        <w:t>一、项目概况</w:t>
      </w:r>
      <w:bookmarkEnd w:id="255"/>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firstLine="6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本单位2022年预算的有法律援助经费、普法宣传经费、社区矫正工作经费、基层司法业务经费、劳教人员释放解教经费、行政复议工作经费、政府法律顾问费、争取资金工作经费</w:t>
      </w:r>
      <w:r>
        <w:rPr>
          <w:rFonts w:hint="eastAsia" w:hAnsi="仿宋_GB2312" w:cs="仿宋_GB2312"/>
          <w:lang w:val="en-US" w:eastAsia="zh-CN"/>
        </w:rPr>
        <w:t>6</w:t>
      </w:r>
      <w:r>
        <w:rPr>
          <w:rFonts w:hint="eastAsia" w:ascii="仿宋_GB2312" w:hAnsi="仿宋_GB2312" w:eastAsia="仿宋_GB2312" w:cs="仿宋_GB2312"/>
        </w:rPr>
        <w:t>个项目，这些项目都是基本运转类项目。</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firstLine="600" w:firstLineChars="200"/>
        <w:jc w:val="both"/>
        <w:textAlignment w:val="auto"/>
        <w:rPr>
          <w:rFonts w:hint="eastAsia" w:ascii="楷体_GB2312" w:hAnsi="楷体_GB2312" w:eastAsia="楷体_GB2312" w:cs="楷体_GB2312"/>
        </w:rPr>
      </w:pPr>
      <w:bookmarkStart w:id="256" w:name="_Toc709697061_WPSOffice_Level3"/>
      <w:r>
        <w:rPr>
          <w:rFonts w:hint="eastAsia" w:ascii="楷体_GB2312" w:hAnsi="楷体_GB2312" w:eastAsia="楷体_GB2312" w:cs="楷体_GB2312"/>
        </w:rPr>
        <w:t>（一）项目资金申报及批复情况。</w:t>
      </w:r>
      <w:bookmarkEnd w:id="256"/>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firstLine="6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该</w:t>
      </w:r>
      <w:r>
        <w:rPr>
          <w:rFonts w:hint="eastAsia" w:hAnsi="仿宋_GB2312" w:cs="仿宋_GB2312"/>
          <w:lang w:val="en-US" w:eastAsia="zh-CN"/>
        </w:rPr>
        <w:t>6</w:t>
      </w:r>
      <w:r>
        <w:rPr>
          <w:rFonts w:hint="eastAsia" w:ascii="仿宋_GB2312" w:hAnsi="仿宋_GB2312" w:eastAsia="仿宋_GB2312" w:cs="仿宋_GB2312"/>
        </w:rPr>
        <w:t>个项目均是2022年预算的项目，该项目长期使用，以</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jc w:val="both"/>
        <w:textAlignment w:val="auto"/>
        <w:rPr>
          <w:rFonts w:hint="eastAsia" w:ascii="仿宋_GB2312" w:hAnsi="仿宋_GB2312" w:eastAsia="仿宋_GB2312" w:cs="仿宋_GB2312"/>
        </w:rPr>
      </w:pPr>
      <w:r>
        <w:rPr>
          <w:rFonts w:hint="eastAsia" w:ascii="仿宋_GB2312" w:hAnsi="仿宋_GB2312" w:eastAsia="仿宋_GB2312" w:cs="仿宋_GB2312"/>
        </w:rPr>
        <w:t>2022年预算批复为准。</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108" w:firstLine="600" w:firstLineChars="200"/>
        <w:jc w:val="both"/>
        <w:textAlignment w:val="auto"/>
        <w:rPr>
          <w:rFonts w:hint="eastAsia" w:ascii="楷体_GB2312" w:hAnsi="楷体_GB2312" w:eastAsia="楷体_GB2312" w:cs="楷体_GB2312"/>
        </w:rPr>
      </w:pPr>
      <w:bookmarkStart w:id="257" w:name="_Toc1568247940_WPSOffice_Level3"/>
      <w:r>
        <w:rPr>
          <w:rFonts w:hint="eastAsia" w:ascii="楷体_GB2312" w:hAnsi="楷体_GB2312" w:eastAsia="楷体_GB2312" w:cs="楷体_GB2312"/>
        </w:rPr>
        <w:t>（二）项目绩效目标</w:t>
      </w:r>
      <w:bookmarkEnd w:id="257"/>
    </w:p>
    <w:p>
      <w:pPr>
        <w:pStyle w:val="28"/>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line="536" w:lineRule="exact"/>
        <w:ind w:right="113" w:rightChars="0" w:firstLine="640" w:firstLineChars="200"/>
        <w:jc w:val="left"/>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en-US" w:bidi="ar-SA"/>
        </w:rPr>
        <w:t>法律援助经费。该项目资金主要用于法律援助日常办公费、差旅费等业务相关费用。最大限度保护弱势群体的合法权益，为促进全区经济又好又快发展、维护社会和谐稳定作出积极贡献，进一步提升人民群众的满意度和幸福感。</w:t>
      </w:r>
    </w:p>
    <w:p>
      <w:pPr>
        <w:pStyle w:val="28"/>
        <w:keepNext w:val="0"/>
        <w:keepLines w:val="0"/>
        <w:pageBreakBefore w:val="0"/>
        <w:widowControl w:val="0"/>
        <w:numPr>
          <w:ilvl w:val="0"/>
          <w:numId w:val="0"/>
        </w:numPr>
        <w:tabs>
          <w:tab w:val="left" w:pos="1069"/>
        </w:tabs>
        <w:kinsoku/>
        <w:wordWrap/>
        <w:overflowPunct/>
        <w:topLinePunct w:val="0"/>
        <w:autoSpaceDE w:val="0"/>
        <w:autoSpaceDN w:val="0"/>
        <w:bidi w:val="0"/>
        <w:adjustRightInd/>
        <w:snapToGrid/>
        <w:spacing w:line="536" w:lineRule="exact"/>
        <w:ind w:right="270" w:rightChars="0" w:firstLine="640" w:firstLineChars="200"/>
        <w:jc w:val="both"/>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zh-CN" w:bidi="ar-SA"/>
        </w:rPr>
        <w:t>2.</w:t>
      </w:r>
      <w:r>
        <w:rPr>
          <w:rFonts w:hint="eastAsia" w:ascii="仿宋_GB2312" w:hAnsi="仿宋_GB2312" w:eastAsia="仿宋_GB2312" w:cs="仿宋_GB2312"/>
          <w:sz w:val="32"/>
          <w:szCs w:val="32"/>
          <w:lang w:val="en-US" w:eastAsia="en-US" w:bidi="ar-SA"/>
        </w:rPr>
        <w:t>普法宣传经费。该项目主要保障全面完成“七五”普法总结验收，高效推动“八五”普法。开展丰富多彩、形式多样的法治宣传教育活动，推进依法治区进程，为加快法治昭化建设营造良好的法治环境，受益群众大于等于10万人次，社会群众满意度95%以上。</w:t>
      </w:r>
    </w:p>
    <w:p>
      <w:pPr>
        <w:pStyle w:val="28"/>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line="536" w:lineRule="exact"/>
        <w:ind w:right="113" w:rightChars="0" w:firstLine="640" w:firstLineChars="200"/>
        <w:jc w:val="left"/>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color w:val="auto"/>
          <w:sz w:val="32"/>
          <w:szCs w:val="32"/>
          <w:lang w:val="en-US" w:eastAsia="zh-CN" w:bidi="ar-SA"/>
        </w:rPr>
        <w:t>3.</w:t>
      </w:r>
      <w:r>
        <w:rPr>
          <w:rFonts w:hint="eastAsia" w:ascii="仿宋_GB2312" w:hAnsi="仿宋_GB2312" w:eastAsia="仿宋_GB2312" w:cs="仿宋_GB2312"/>
          <w:color w:val="auto"/>
          <w:sz w:val="32"/>
          <w:szCs w:val="32"/>
          <w:lang w:val="en-US" w:eastAsia="en-US" w:bidi="ar-SA"/>
        </w:rPr>
        <w:t>基层司法业</w:t>
      </w:r>
      <w:r>
        <w:rPr>
          <w:rFonts w:hint="eastAsia" w:ascii="仿宋_GB2312" w:hAnsi="仿宋_GB2312" w:eastAsia="仿宋_GB2312" w:cs="仿宋_GB2312"/>
          <w:sz w:val="32"/>
          <w:szCs w:val="32"/>
          <w:lang w:val="en-US" w:eastAsia="en-US" w:bidi="ar-SA"/>
        </w:rPr>
        <w:t>务经费。该项目主要保障开展各项基层司法所业务的办公费、差旅费，及时化解各类矛盾纠纷，确保调解成功1000件以上，完成发放12个镇兼职司法助理员津贴，切实维护社会和谐稳定。群众满意度达到90%以上。</w:t>
      </w:r>
    </w:p>
    <w:p>
      <w:pPr>
        <w:pStyle w:val="28"/>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line="536" w:lineRule="exact"/>
        <w:ind w:right="113" w:rightChars="0" w:firstLine="640" w:firstLineChars="200"/>
        <w:jc w:val="left"/>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kern w:val="0"/>
          <w:sz w:val="32"/>
          <w:szCs w:val="32"/>
          <w:lang w:val="en-US" w:eastAsia="zh-CN" w:bidi="ar-SA"/>
        </w:rPr>
        <w:t>4.</w:t>
      </w:r>
      <w:r>
        <w:rPr>
          <w:rFonts w:hint="eastAsia" w:ascii="仿宋_GB2312" w:hAnsi="仿宋_GB2312" w:eastAsia="仿宋_GB2312" w:cs="仿宋_GB2312"/>
          <w:kern w:val="0"/>
          <w:sz w:val="32"/>
          <w:szCs w:val="32"/>
          <w:lang w:val="en-US" w:eastAsia="en-US" w:bidi="ar-SA"/>
        </w:rPr>
        <w:t>行政复议工作经费。该项经费是行政复议工作开展的办公、差旅经费。保障我区进一步畅通行政复议申请渠道，加强复议案件统计分析和复议平台建设，促进全区经济又好又快发展、维护社会和谐稳定。</w:t>
      </w:r>
    </w:p>
    <w:p>
      <w:pPr>
        <w:pStyle w:val="28"/>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line="536" w:lineRule="exact"/>
        <w:ind w:right="113" w:rightChars="0" w:firstLine="640" w:firstLineChars="200"/>
        <w:jc w:val="left"/>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zh-CN" w:bidi="ar-SA"/>
        </w:rPr>
        <w:t>5</w:t>
      </w:r>
      <w:r>
        <w:rPr>
          <w:rFonts w:hint="eastAsia" w:ascii="仿宋_GB2312" w:hAnsi="仿宋_GB2312" w:eastAsia="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en-US" w:bidi="ar-SA"/>
        </w:rPr>
        <w:t>政府法律顾问费。该项目为政府法律顾问费用。2022年与广府律所（3名），永升律所（1名），同方正律所（1名）签订区委区政府法律顾问协议，每名律师3万元/年。目的是为加快全面依法治区和法治政府建设，为政府及时提供法律服务，降低风险。</w:t>
      </w:r>
    </w:p>
    <w:p>
      <w:pPr>
        <w:pStyle w:val="28"/>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line="536" w:lineRule="exact"/>
        <w:ind w:right="113" w:rightChars="0" w:firstLine="640" w:firstLineChars="200"/>
        <w:jc w:val="left"/>
        <w:textAlignment w:val="auto"/>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zh-CN" w:bidi="ar-SA"/>
        </w:rPr>
        <w:t>6.</w:t>
      </w:r>
      <w:r>
        <w:rPr>
          <w:rFonts w:hint="eastAsia" w:ascii="仿宋_GB2312" w:hAnsi="仿宋_GB2312" w:eastAsia="仿宋_GB2312" w:cs="仿宋_GB2312"/>
          <w:kern w:val="0"/>
          <w:sz w:val="32"/>
          <w:szCs w:val="32"/>
          <w:lang w:val="en-US" w:eastAsia="en-US" w:bidi="ar-SA"/>
        </w:rPr>
        <w:t>争取资金工作经费。该项目主要用于我局积极向上争取资金所需的办公费、差旅费。通过积极向上申报，保障司法行政各项业务顺利推进,进一步提升法治营商环境，维护社会和谐稳定，促进我区经济社会发展,提升人民群众获得感、幸福感、安全感。</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楷体_GB2312" w:hAnsi="楷体_GB2312" w:eastAsia="楷体_GB2312" w:cs="楷体_GB2312"/>
        </w:rPr>
      </w:pPr>
      <w:bookmarkStart w:id="258" w:name="_Toc11914803_WPSOffice_Level3"/>
      <w:r>
        <w:rPr>
          <w:rFonts w:hint="eastAsia" w:ascii="楷体_GB2312" w:hAnsi="楷体_GB2312" w:eastAsia="楷体_GB2312" w:cs="楷体_GB2312"/>
        </w:rPr>
        <w:t>（三）项目资金申报相符性</w:t>
      </w:r>
      <w:bookmarkEnd w:id="258"/>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该</w:t>
      </w: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en-US"/>
        </w:rPr>
        <w:t>个项目，每一笔经费开支在核定的支出限额和范围内实行据实凭票报账制，严格资金审批制度，附件完整齐全，经层层把关，审核签字，财务通过一体化平台支付款项。每笔资金都用于相关业务，申报内容与具体实施内容相符，申报目标具体量化、合理可行。</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13" w:firstLine="638"/>
        <w:textAlignment w:val="auto"/>
        <w:rPr>
          <w:rFonts w:hint="eastAsia" w:ascii="楷体_GB2312" w:hAnsi="楷体_GB2312" w:eastAsia="楷体_GB2312" w:cs="楷体_GB2312"/>
          <w:b w:val="0"/>
          <w:bCs w:val="0"/>
        </w:rPr>
      </w:pPr>
      <w:bookmarkStart w:id="259" w:name="_Toc1403316258_WPSOffice_Level3"/>
      <w:r>
        <w:rPr>
          <w:rFonts w:hint="eastAsia" w:ascii="楷体_GB2312" w:hAnsi="楷体_GB2312" w:eastAsia="楷体_GB2312" w:cs="楷体_GB2312"/>
          <w:b w:val="0"/>
          <w:bCs w:val="0"/>
        </w:rPr>
        <w:t>（四）自评步骤及方法</w:t>
      </w:r>
      <w:bookmarkEnd w:id="259"/>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en-US"/>
        </w:rPr>
        <w:t>均采取项目支出绩效自评方式，结合评价内容，做到有计划、有安排。按照上级下达的项目支出绩效评价指标体系，针对申报内容、实施情况、资金支付、财务管理、经济效益、社会效益等评价内容作出自我评价，形成自评报告，并向区财政局报送电子和纸质资料。</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黑体" w:eastAsia="黑体"/>
        </w:rPr>
      </w:pPr>
      <w:bookmarkStart w:id="260" w:name="_Toc1029381890_WPSOffice_Level2"/>
      <w:r>
        <w:rPr>
          <w:rFonts w:hint="eastAsia" w:ascii="黑体" w:eastAsia="黑体"/>
        </w:rPr>
        <w:t>二、项目实施及管理情况</w:t>
      </w:r>
      <w:bookmarkEnd w:id="260"/>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楷体_GB2312" w:hAnsi="楷体_GB2312" w:eastAsia="楷体_GB2312" w:cs="楷体_GB2312"/>
        </w:rPr>
      </w:pPr>
      <w:bookmarkStart w:id="261" w:name="_Toc1606222541_WPSOffice_Level3"/>
      <w:r>
        <w:rPr>
          <w:rFonts w:hint="eastAsia" w:ascii="楷体_GB2312" w:hAnsi="楷体_GB2312" w:eastAsia="楷体_GB2312" w:cs="楷体_GB2312"/>
        </w:rPr>
        <w:t>（一）资金计划、到位及使用情况</w:t>
      </w:r>
      <w:bookmarkEnd w:id="261"/>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计划及到位情况。2022年3月22日，资金预算批复全部到位，资金到位率100%、资金到位及时。截止2022年12月31日支付法律援助经费5万元、普法宣传经费23万元、基层司法业务经费10万元、行政复议工作经费5万元、政府法律顾问费15万元、争取资金工作经费1.08万元，支付依据合规合法，资金支付与预算、追加相符。</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使用。严格审核费用的标准、范围及其合规性。对每一笔经费开支在核定的支出限额和范围内实行据实凭票报账制，严格资金审批制度，附件完整齐全，通过层层把关，审核签字，通过一体化平台支付款项，支出完成率达100%。</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楷体_GB2312" w:hAnsi="楷体_GB2312" w:eastAsia="楷体_GB2312" w:cs="楷体_GB2312"/>
          <w:b w:val="0"/>
          <w:bCs/>
        </w:rPr>
      </w:pPr>
      <w:bookmarkStart w:id="262" w:name="_Toc63176598_WPSOffice_Level3"/>
      <w:r>
        <w:rPr>
          <w:rFonts w:hint="eastAsia" w:ascii="楷体_GB2312" w:hAnsi="楷体_GB2312" w:eastAsia="楷体_GB2312" w:cs="楷体_GB2312"/>
          <w:b w:val="0"/>
          <w:bCs/>
        </w:rPr>
        <w:t>（二）项目财务管理情况</w:t>
      </w:r>
      <w:bookmarkEnd w:id="262"/>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270" w:firstLine="638"/>
        <w:jc w:val="both"/>
        <w:textAlignment w:val="auto"/>
        <w:rPr>
          <w:rFonts w:hint="eastAsia" w:ascii="仿宋_GB2312" w:hAnsi="仿宋_GB2312" w:eastAsia="仿宋_GB2312" w:cs="仿宋_GB2312"/>
          <w:b w:val="0"/>
          <w:bCs/>
        </w:rPr>
      </w:pPr>
      <w:r>
        <w:rPr>
          <w:rFonts w:hint="eastAsia" w:ascii="仿宋_GB2312" w:hAnsi="仿宋_GB2312" w:eastAsia="仿宋_GB2312" w:cs="仿宋_GB2312"/>
          <w:b w:val="0"/>
          <w:bCs/>
          <w:spacing w:val="6"/>
          <w:w w:val="95"/>
        </w:rPr>
        <w:t>严格按照财务规定和程序实行国库集中支付方式实施项目</w:t>
      </w:r>
      <w:r>
        <w:rPr>
          <w:rFonts w:hint="eastAsia" w:ascii="仿宋_GB2312" w:hAnsi="仿宋_GB2312" w:eastAsia="仿宋_GB2312" w:cs="仿宋_GB2312"/>
          <w:b w:val="0"/>
          <w:bCs/>
        </w:rPr>
        <w:t>资金分配,并进行严格监督检查，在资金使用过程中无截留、挤</w:t>
      </w:r>
      <w:r>
        <w:rPr>
          <w:rFonts w:hint="eastAsia" w:ascii="仿宋_GB2312" w:hAnsi="仿宋_GB2312" w:eastAsia="仿宋_GB2312" w:cs="仿宋_GB2312"/>
          <w:b w:val="0"/>
          <w:bCs/>
          <w:spacing w:val="-11"/>
          <w:w w:val="95"/>
        </w:rPr>
        <w:t>占、挪用、虚列支出等情况，做到了专款专用，提高了资金使用</w:t>
      </w:r>
      <w:r>
        <w:rPr>
          <w:rFonts w:hint="eastAsia" w:ascii="仿宋_GB2312" w:hAnsi="仿宋_GB2312" w:eastAsia="仿宋_GB2312" w:cs="仿宋_GB2312"/>
          <w:b w:val="0"/>
          <w:bCs/>
        </w:rPr>
        <w:t>效率，并在项目实施完成后及时开展绩效自评，按规定按月及时处理账务，账务核算规范准确。</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楷体_GB2312" w:hAnsi="楷体_GB2312" w:eastAsia="楷体_GB2312" w:cs="楷体_GB2312"/>
          <w:b w:val="0"/>
          <w:bCs/>
        </w:rPr>
      </w:pPr>
      <w:bookmarkStart w:id="263" w:name="_Toc1974897200_WPSOffice_Level3"/>
      <w:r>
        <w:rPr>
          <w:rFonts w:hint="eastAsia" w:ascii="楷体_GB2312" w:hAnsi="楷体_GB2312" w:eastAsia="楷体_GB2312" w:cs="楷体_GB2312"/>
          <w:b w:val="0"/>
          <w:bCs/>
        </w:rPr>
        <w:t>（三）项目组织实施情况</w:t>
      </w:r>
      <w:bookmarkEnd w:id="263"/>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w:t>
      </w: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zh-CN"/>
        </w:rPr>
        <w:t>个项目基本运转类项目，是长期使用的项目。这些项目开始时间为2022年1月，完成时间2022年12月。根据项目申报有关要求，编制项目支出计划。在对各项目申报材料和项目支出预算合理性、可行性和必要性进行审核的基础上，并按照部门预算管理程序和要求编制项目支出预算。在项目组织的过程中，严格按照《广元市昭化区司法局机关单位管理制度》、《广元市昭化区司法局内控手册》等相关要求执行，能做到有依有据，合理合法，监管与审核并重，项目绩效与预决算一同在区人民政府网上公开。</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黑体" w:hAnsi="黑体" w:eastAsia="黑体" w:cs="黑体"/>
        </w:rPr>
      </w:pPr>
      <w:bookmarkStart w:id="264" w:name="_Toc170226287_WPSOffice_Level2"/>
      <w:r>
        <w:rPr>
          <w:rFonts w:hint="eastAsia" w:ascii="黑体" w:hAnsi="黑体" w:eastAsia="黑体" w:cs="黑体"/>
        </w:rPr>
        <w:t>三、项目绩效情况</w:t>
      </w:r>
      <w:bookmarkEnd w:id="264"/>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textAlignment w:val="auto"/>
        <w:rPr>
          <w:rFonts w:hint="eastAsia" w:ascii="楷体_GB2312" w:hAnsi="楷体_GB2312" w:eastAsia="楷体_GB2312" w:cs="楷体_GB2312"/>
        </w:rPr>
      </w:pPr>
      <w:bookmarkStart w:id="265" w:name="_Toc1894023582_WPSOffice_Level3"/>
      <w:r>
        <w:rPr>
          <w:rFonts w:hint="eastAsia" w:ascii="楷体_GB2312" w:hAnsi="楷体_GB2312" w:eastAsia="楷体_GB2312" w:cs="楷体_GB2312"/>
        </w:rPr>
        <w:t>（一）项目完成情况</w:t>
      </w:r>
      <w:bookmarkEnd w:id="265"/>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法律援助经费项目。全年受理法律援助案件416件，代拟法律文书105件，解答法律咨询1253件次，挽回或避免经济损失377.21万元。</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普法宣传经费项目。全面完成“七五”普法总结验收，高效推动“八五”普法。持续深化普法宣传教育，严格落实“谁执法谁普法”普法责任制，督促各职能部门开展根治欠薪、妇女维权等主题宣传活动600余场次。深化拓展“法律七进”，认真开展“一月一主题”法治宣传教育和“美好生活·民法典相伴”等专题宣传活动700余场，解答群众法律咨询1100件，服务群众2000人次。积极开展农村学法用法示范户培育，大力实施村（社区）“法律明白人”培养工程，做好全国、全省民主法治示范村（社区）评选工作。</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基层司法业务经费项目。开展人民调解业务培训20余场，排查矛盾纠纷5000余次，调处1500余件，调解成功率99%以上。</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复议工作经费项目。全面完成行政复议体制改革任务，健全完善阳光复议、规范办案等行政复议制度机制，区人民政府行政复议委员会作用有效发挥，设置镇行政复议申请联络点12个，有效化解行政争议。全年办理行政复议案件9件，诉讼案件4件，行政机关负责人出庭率达100%，胜诉率100%。</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政府法律顾问费项目。全年审查政府招商引资协议（合同）76件，办理区委区政府涉法事务13件，出具合法性审查意见书63份，提出法律意见建议241条。</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争取资金工作经费。为缓解本级财政压力，保障司法行政重点支出需求，2022年，我局高度重视，充分发挥部门职能,全力服务全区经济社会发展。局党组一班人多次召开会议研究，局长亲自带队，与上级部门沟通，并多次到省厅开展资金争取工作,确保了各项业务工作开展。</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jc w:val="both"/>
        <w:textAlignment w:val="auto"/>
        <w:rPr>
          <w:rFonts w:hint="eastAsia" w:ascii="楷体_GB2312" w:hAnsi="楷体_GB2312" w:eastAsia="楷体_GB2312" w:cs="楷体_GB2312"/>
          <w:sz w:val="32"/>
          <w:szCs w:val="32"/>
        </w:rPr>
      </w:pPr>
      <w:bookmarkStart w:id="266" w:name="_Toc1271406537_WPSOffice_Level3"/>
      <w:r>
        <w:rPr>
          <w:rFonts w:hint="eastAsia" w:ascii="楷体_GB2312" w:hAnsi="楷体_GB2312" w:eastAsia="楷体_GB2312" w:cs="楷体_GB2312"/>
          <w:sz w:val="32"/>
          <w:szCs w:val="32"/>
        </w:rPr>
        <w:t>（二）项目效益情况</w:t>
      </w:r>
      <w:bookmarkEnd w:id="266"/>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该项目实施后，使我局各项业务工作得到了较好保障，司法行政部门的职能作用得到更充分发挥，超额完成了市、区下达的目标任务，基层矛盾纠纷得到了有效化解，弱势群体的合法权益得到了最大限度地保护；顺利创建全省依法治(县)区示范试点,进一步增强群众守法意识,有效推动群众依法行政、依法办事，服务经济社会发展的能力进一步提升，社会违法犯罪率降低。</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jc w:val="both"/>
        <w:textAlignment w:val="auto"/>
        <w:rPr>
          <w:rFonts w:hint="eastAsia" w:ascii="黑体" w:hAnsi="黑体" w:eastAsia="黑体" w:cs="黑体"/>
          <w:sz w:val="32"/>
          <w:szCs w:val="32"/>
        </w:rPr>
      </w:pPr>
      <w:bookmarkStart w:id="267" w:name="_Toc1937617708_WPSOffice_Level2"/>
      <w:r>
        <w:rPr>
          <w:rFonts w:hint="eastAsia" w:ascii="黑体" w:hAnsi="黑体" w:eastAsia="黑体" w:cs="黑体"/>
          <w:sz w:val="32"/>
          <w:szCs w:val="32"/>
        </w:rPr>
        <w:t>四、评价结论及问题建议</w:t>
      </w:r>
      <w:bookmarkEnd w:id="267"/>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jc w:val="both"/>
        <w:textAlignment w:val="auto"/>
        <w:rPr>
          <w:rFonts w:hint="eastAsia" w:ascii="楷体_GB2312" w:hAnsi="楷体_GB2312" w:eastAsia="楷体_GB2312" w:cs="楷体_GB2312"/>
          <w:sz w:val="32"/>
          <w:szCs w:val="32"/>
        </w:rPr>
      </w:pPr>
      <w:bookmarkStart w:id="268" w:name="_Toc279858229_WPSOffice_Level3"/>
      <w:r>
        <w:rPr>
          <w:rFonts w:hint="eastAsia" w:ascii="楷体_GB2312" w:hAnsi="楷体_GB2312" w:eastAsia="楷体_GB2312" w:cs="楷体_GB2312"/>
          <w:sz w:val="32"/>
          <w:szCs w:val="32"/>
        </w:rPr>
        <w:t>（一）评价结论</w:t>
      </w:r>
      <w:bookmarkEnd w:id="268"/>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3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法律援助经费，项目建设质量要求高，超额</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全年各项工作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转正常，该项目评价得分98分；普法宣传经费，该项目全面完成全年各项工作，运转正常，该项目评价得分97分；基层司法业务经费，该项目全面完成全年各项工作，运转正常，该项目评价得分98分；行政复议工作经费，全面完成全年各项工作，运转正常，该项目评价得分98分；政府法律顾问费全面完成全年各项工作，运转正常，该项目评价得分98分。争取资金工作经费项目全面完成全年各项工作，运转正常，该项目评价得分97分。</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jc w:val="both"/>
        <w:textAlignment w:val="auto"/>
        <w:rPr>
          <w:rFonts w:hint="eastAsia" w:ascii="楷体_GB2312" w:hAnsi="楷体_GB2312" w:eastAsia="楷体_GB2312" w:cs="楷体_GB2312"/>
          <w:sz w:val="32"/>
          <w:szCs w:val="32"/>
        </w:rPr>
      </w:pPr>
      <w:bookmarkStart w:id="269" w:name="_Toc1798595703_WPSOffice_Level3"/>
      <w:r>
        <w:rPr>
          <w:rFonts w:hint="eastAsia" w:ascii="楷体_GB2312" w:hAnsi="楷体_GB2312" w:eastAsia="楷体_GB2312" w:cs="楷体_GB2312"/>
          <w:sz w:val="32"/>
          <w:szCs w:val="32"/>
        </w:rPr>
        <w:t>（二）存在的问题</w:t>
      </w:r>
      <w:bookmarkEnd w:id="269"/>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272" w:firstLine="63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绩效编制过程中个别指标设置还不太准确，项目管理制度需进一步完善。</w:t>
      </w:r>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left="747"/>
        <w:jc w:val="both"/>
        <w:textAlignment w:val="auto"/>
        <w:rPr>
          <w:rFonts w:hint="eastAsia" w:ascii="楷体_GB2312" w:hAnsi="楷体_GB2312" w:eastAsia="楷体_GB2312" w:cs="楷体_GB2312"/>
          <w:sz w:val="32"/>
          <w:szCs w:val="32"/>
        </w:rPr>
      </w:pPr>
      <w:bookmarkStart w:id="270" w:name="_Toc1100079568_WPSOffice_Level3"/>
      <w:r>
        <w:rPr>
          <w:rFonts w:hint="eastAsia" w:ascii="楷体_GB2312" w:hAnsi="楷体_GB2312" w:eastAsia="楷体_GB2312" w:cs="楷体_GB2312"/>
          <w:sz w:val="32"/>
          <w:szCs w:val="32"/>
        </w:rPr>
        <w:t>（三）相关措施建议</w:t>
      </w:r>
      <w:bookmarkEnd w:id="270"/>
    </w:p>
    <w:p>
      <w:pPr>
        <w:pStyle w:val="8"/>
        <w:keepNext w:val="0"/>
        <w:keepLines w:val="0"/>
        <w:pageBreakBefore w:val="0"/>
        <w:widowControl w:val="0"/>
        <w:kinsoku/>
        <w:wordWrap/>
        <w:overflowPunct/>
        <w:topLinePunct w:val="0"/>
        <w:autoSpaceDE w:val="0"/>
        <w:autoSpaceDN w:val="0"/>
        <w:bidi w:val="0"/>
        <w:adjustRightInd/>
        <w:snapToGrid/>
        <w:spacing w:beforeLines="0" w:line="536" w:lineRule="exact"/>
        <w:ind w:right="155" w:firstLine="64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本单位基层司法业务工作任务繁重，建议区财政局进一步加大资金保障力度,加快资金的拨付进度，并加强对项目绩效评价工作的指导和培训，使项目编制更加符合绩效评价相关要求。</w:t>
      </w:r>
    </w:p>
    <w:tbl>
      <w:tblPr>
        <w:tblStyle w:val="17"/>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47"/>
        <w:gridCol w:w="1845"/>
        <w:gridCol w:w="1134"/>
        <w:gridCol w:w="1559"/>
        <w:gridCol w:w="1116"/>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91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18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8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85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56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1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3.国有资本经营预算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6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4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4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2022年12月31日之前， 全面完成法律援助的工作目标，全年完成法律援助案件200件，为促进全区经济又好又快发展、维护社会和谐稳定作出积极贡献。</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办理法律援助案件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法律援助覆盖面</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法律援助案件办理成功率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完成工作时间</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严控预算</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5万元</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保护群众合法权益、维护社会稳定</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尽可能减少群众损失</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对社会的促进作用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优良中低差</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法律援助对象满意度指标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spacing w:line="600" w:lineRule="exact"/>
        <w:jc w:val="center"/>
        <w:outlineLvl w:val="0"/>
        <w:rPr>
          <w:rFonts w:hint="eastAsia" w:ascii="黑体" w:hAnsi="黑体" w:eastAsia="黑体"/>
          <w:color w:val="auto"/>
          <w:sz w:val="44"/>
          <w:szCs w:val="44"/>
          <w:highlight w:val="none"/>
        </w:rPr>
      </w:pPr>
    </w:p>
    <w:bookmarkEnd w:id="215"/>
    <w:bookmarkEnd w:id="221"/>
    <w:bookmarkEnd w:id="222"/>
    <w:bookmarkEnd w:id="223"/>
    <w:tbl>
      <w:tblPr>
        <w:tblStyle w:val="17"/>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805"/>
        <w:gridCol w:w="1838"/>
        <w:gridCol w:w="975"/>
        <w:gridCol w:w="1477"/>
        <w:gridCol w:w="1377"/>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90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6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3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普法宣传经费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6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74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83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4"/>
                <w:szCs w:val="14"/>
                <w:u w:val="none"/>
                <w:lang w:val="en-US" w:eastAsia="zh-CN" w:bidi="ar"/>
              </w:rPr>
              <w:t xml:space="preserve">  3.国有资本经营预算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7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4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64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4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31日前，按照全区普法规划，开展“1+10”法治宣传教育主题活动70场次，发放宣传资料200000份，完成2022年度普法宣传工作。通过开展普法宣传，提高群众法律意识，让群众学法守法，依法办事，推进依法治区进程。</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受益群众</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10万人次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10万人次</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完成工作质量</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完成工作时间</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严控预算</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23万元</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23万元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对社会的促进作用</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普法宣传覆盖面</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群众法治意识</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行政机关满意度</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spacing w:line="600" w:lineRule="exact"/>
        <w:jc w:val="center"/>
        <w:outlineLvl w:val="0"/>
        <w:rPr>
          <w:rFonts w:hint="eastAsia" w:ascii="黑体" w:hAnsi="黑体" w:eastAsia="黑体"/>
          <w:color w:val="auto"/>
          <w:sz w:val="44"/>
          <w:szCs w:val="44"/>
          <w:highlight w:val="none"/>
        </w:rPr>
      </w:pPr>
    </w:p>
    <w:tbl>
      <w:tblPr>
        <w:tblStyle w:val="17"/>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6"/>
        <w:gridCol w:w="850"/>
        <w:gridCol w:w="1327"/>
        <w:gridCol w:w="1688"/>
        <w:gridCol w:w="1207"/>
        <w:gridCol w:w="1344"/>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90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904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基层司法业务经费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2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6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85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32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2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3.国有资本经营预算</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8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r>
              <w:rPr>
                <w:rFonts w:hint="eastAsia" w:ascii="宋体" w:hAnsi="宋体" w:eastAsia="宋体" w:cs="宋体"/>
                <w:i w:val="0"/>
                <w:color w:val="000000"/>
                <w:kern w:val="0"/>
                <w:sz w:val="16"/>
                <w:szCs w:val="16"/>
                <w:u w:val="none"/>
                <w:lang w:val="en-US" w:eastAsia="zh-CN" w:bidi="ar"/>
              </w:rPr>
              <w:t>其他资金</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4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4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进一步加强人民调解宣传，调解成功1000件以上，及时化解各类矛盾纠纷，2022年12月31日前完成发放12个镇兼职司法助理员津贴，切实维护社会和谐稳定。</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人民调解案件</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1000件</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2614件</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6"/>
                <w:szCs w:val="16"/>
                <w:u w:val="none"/>
                <w:lang w:val="en-US" w:eastAsia="zh-CN" w:bidi="ar"/>
              </w:rPr>
              <w:t>人民调解案件增多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调解卷宗规范</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调解成功率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完成工作时间</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严控预算</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10万元</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人民调解覆盖面</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健全法治政府建设，维护社会安定</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pStyle w:val="2"/>
        <w:rPr>
          <w:rFonts w:hint="eastAsia"/>
        </w:rPr>
      </w:pPr>
    </w:p>
    <w:tbl>
      <w:tblPr>
        <w:tblStyle w:val="17"/>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8"/>
        <w:gridCol w:w="852"/>
        <w:gridCol w:w="1633"/>
        <w:gridCol w:w="1827"/>
        <w:gridCol w:w="903"/>
        <w:gridCol w:w="1149"/>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9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898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1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行政复议工作经费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6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82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63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9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1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3.国有资本经营预算</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8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3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64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3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进一步畅通行政复议申请渠道，进一步加强复议案件统计分析和复议平台建设，全面完成行政复议的工作目标，为促进全区经济又好又快发展、维护社会和谐稳定作出积极贡献。按质按时办结行政复议案件，其中差旅费、会议费为3万元，工作人员办公费、培训费2万元，完成属于受理范围的行政复议案件30件。</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属于受理范围的行政复议案件</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14件</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社会稳定，复议案件减少。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行政复议案件按质按时办结完成率</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每一件行政复议案件所用时间</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2个月</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2个月</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严控预算</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5万元</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5万元</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降低群众损失</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保护群众合法权益、维护社会稳定</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健全法治政府建设，维护社会安定</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行政复议案件对象的满意度</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spacing w:line="600" w:lineRule="exact"/>
        <w:jc w:val="center"/>
        <w:outlineLvl w:val="0"/>
        <w:rPr>
          <w:rFonts w:hint="eastAsia" w:ascii="黑体" w:hAnsi="黑体" w:eastAsia="黑体"/>
          <w:color w:val="auto"/>
          <w:sz w:val="44"/>
          <w:szCs w:val="44"/>
          <w:highlight w:val="none"/>
        </w:rPr>
      </w:pPr>
    </w:p>
    <w:tbl>
      <w:tblPr>
        <w:tblStyle w:val="17"/>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785"/>
        <w:gridCol w:w="1741"/>
        <w:gridCol w:w="1477"/>
        <w:gridCol w:w="1091"/>
        <w:gridCol w:w="1374"/>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90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900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2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政府法律顾问经费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3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5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74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0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3.国有资本经营预算</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72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4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5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4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快全面依法治区和法治政府建设，为政府及时提供法律服务，降低风险。该项目计划从1月起至12月结束。经费预算文件依据：2021年8月与广府律所（3名），永升律所（1名），同方正律所（1名）签订区委区政府法律顾问协议，每名律师3万元/年。</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聘请政府法律顾问人数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5人</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8万人次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降低群众损失</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优良中低差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充分发挥政府法律顾问作用</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优良中低差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完成工作时间</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严控预算</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15万元</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15万元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维护经济社会秩序良好发展</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优良中低差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尽可能减少群众损失</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优良中低差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保护群众合法权益、维护社会稳定</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优良中低差</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健全法治政府建设</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群众满意度</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行政机关满意</w:t>
            </w:r>
            <w:r>
              <w:rPr>
                <w:rFonts w:hint="eastAsia" w:ascii="宋体" w:hAnsi="宋体" w:cs="宋体"/>
                <w:i w:val="0"/>
                <w:color w:val="000000"/>
                <w:kern w:val="0"/>
                <w:sz w:val="18"/>
                <w:szCs w:val="18"/>
                <w:u w:val="none"/>
                <w:lang w:val="en-US" w:eastAsia="zh-CN" w:bidi="ar"/>
              </w:rPr>
              <w:t>度</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bl>
    <w:p>
      <w:pPr>
        <w:pStyle w:val="2"/>
        <w:rPr>
          <w:rFonts w:hint="eastAsia"/>
        </w:rPr>
      </w:pPr>
    </w:p>
    <w:tbl>
      <w:tblPr>
        <w:tblStyle w:val="17"/>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5"/>
        <w:gridCol w:w="863"/>
        <w:gridCol w:w="1211"/>
        <w:gridCol w:w="316"/>
        <w:gridCol w:w="1554"/>
        <w:gridCol w:w="414"/>
        <w:gridCol w:w="976"/>
        <w:gridCol w:w="153"/>
        <w:gridCol w:w="104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880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800" w:type="dxa"/>
            <w:gridSpan w:val="10"/>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691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争取资金工作经费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624"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广元市司法局</w:t>
            </w:r>
          </w:p>
        </w:tc>
        <w:tc>
          <w:tcPr>
            <w:tcW w:w="1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2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广元市昭化区司法局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1888" w:type="dxa"/>
            <w:gridSpan w:val="2"/>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项目（政策）资金（万元）</w:t>
            </w:r>
          </w:p>
        </w:tc>
        <w:tc>
          <w:tcPr>
            <w:tcW w:w="152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5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3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19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24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5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9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2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（一）财政拨款小计</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3.国有资本经营预算</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4.社保基金</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2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（二）其他资金</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65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12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5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通过积极向上申报，按照要求向上级申报资料，争取政法转移支付资金的下达。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向上争取业务装备、办案业务及法律援助等项目资金</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争取资金到位率</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完成任务时间</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12个月</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全年争取资金金额</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80万元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130万元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通过争取办案业务和业务装备经费，推动依法行政、依法办事、依法治区，维护全区社会、政治秩序稳定</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优良差</w:t>
            </w:r>
          </w:p>
        </w:tc>
        <w:tc>
          <w:tcPr>
            <w:tcW w:w="104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受益群众满意度</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bookmarkStart w:id="271" w:name="_Toc44872297_WPSOffice_Level1"/>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298" w:name="_GoBack"/>
      <w:bookmarkEnd w:id="29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271"/>
      <w:bookmarkStart w:id="272" w:name="_Toc15396619"/>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73" w:name="_Toc627059582_WPSOffice_Level2"/>
      <w:r>
        <w:rPr>
          <w:rFonts w:hint="eastAsia" w:ascii="仿宋_GB2312" w:hAnsi="仿宋_GB2312" w:eastAsia="仿宋_GB2312" w:cs="仿宋_GB2312"/>
          <w:b w:val="0"/>
          <w:color w:val="auto"/>
          <w:highlight w:val="none"/>
        </w:rPr>
        <w:t>一、收</w:t>
      </w:r>
      <w:r>
        <w:rPr>
          <w:rStyle w:val="30"/>
          <w:rFonts w:hint="eastAsia" w:ascii="仿宋_GB2312" w:hAnsi="仿宋_GB2312" w:eastAsia="仿宋_GB2312" w:cs="仿宋_GB2312"/>
          <w:b w:val="0"/>
          <w:bCs w:val="0"/>
          <w:color w:val="auto"/>
          <w:highlight w:val="none"/>
        </w:rPr>
        <w:t>入支出决算总表</w:t>
      </w:r>
      <w:bookmarkEnd w:id="272"/>
      <w:bookmarkEnd w:id="273"/>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74" w:name="_Toc15396620"/>
      <w:bookmarkStart w:id="275" w:name="_Toc871449278_WPSOffice_Level2"/>
      <w:r>
        <w:rPr>
          <w:rFonts w:hint="eastAsia" w:ascii="仿宋_GB2312" w:hAnsi="仿宋_GB2312" w:eastAsia="仿宋_GB2312" w:cs="仿宋_GB2312"/>
          <w:b w:val="0"/>
          <w:color w:val="auto"/>
          <w:highlight w:val="none"/>
        </w:rPr>
        <w:t>二、收</w:t>
      </w:r>
      <w:r>
        <w:rPr>
          <w:rStyle w:val="30"/>
          <w:rFonts w:hint="eastAsia" w:ascii="仿宋_GB2312" w:hAnsi="仿宋_GB2312" w:eastAsia="仿宋_GB2312" w:cs="仿宋_GB2312"/>
          <w:b w:val="0"/>
          <w:bCs w:val="0"/>
          <w:color w:val="auto"/>
          <w:highlight w:val="none"/>
        </w:rPr>
        <w:t>入决算表</w:t>
      </w:r>
      <w:bookmarkEnd w:id="274"/>
      <w:bookmarkEnd w:id="275"/>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76" w:name="_Toc15396621"/>
      <w:bookmarkStart w:id="277" w:name="_Toc709697061_WPSOffice_Level2"/>
      <w:r>
        <w:rPr>
          <w:rStyle w:val="30"/>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30"/>
          <w:rFonts w:hint="eastAsia" w:ascii="仿宋_GB2312" w:hAnsi="仿宋_GB2312" w:eastAsia="仿宋_GB2312" w:cs="仿宋_GB2312"/>
          <w:b w:val="0"/>
          <w:bCs w:val="0"/>
          <w:color w:val="auto"/>
          <w:highlight w:val="none"/>
        </w:rPr>
        <w:t>出决算表</w:t>
      </w:r>
      <w:bookmarkEnd w:id="276"/>
      <w:bookmarkEnd w:id="277"/>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b w:val="0"/>
          <w:color w:val="auto"/>
          <w:highlight w:val="none"/>
        </w:rPr>
      </w:pPr>
      <w:bookmarkStart w:id="278" w:name="_Toc15396622"/>
      <w:bookmarkStart w:id="279" w:name="_Toc1568247940_WPSOffice_Level2"/>
      <w:r>
        <w:rPr>
          <w:rStyle w:val="30"/>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30"/>
          <w:rFonts w:hint="eastAsia" w:ascii="仿宋_GB2312" w:hAnsi="仿宋_GB2312" w:eastAsia="仿宋_GB2312" w:cs="仿宋_GB2312"/>
          <w:b w:val="0"/>
          <w:bCs w:val="0"/>
          <w:color w:val="auto"/>
          <w:highlight w:val="none"/>
        </w:rPr>
        <w:t>政拨款收入支出决算总表</w:t>
      </w:r>
      <w:bookmarkEnd w:id="278"/>
      <w:bookmarkEnd w:id="279"/>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Style w:val="30"/>
          <w:rFonts w:hint="eastAsia" w:ascii="仿宋_GB2312" w:hAnsi="仿宋_GB2312" w:eastAsia="仿宋_GB2312" w:cs="仿宋_GB2312"/>
          <w:b w:val="0"/>
          <w:bCs w:val="0"/>
          <w:color w:val="auto"/>
          <w:highlight w:val="none"/>
        </w:rPr>
      </w:pPr>
      <w:bookmarkStart w:id="280" w:name="_Toc15396623"/>
      <w:bookmarkStart w:id="281" w:name="_Toc11914803_WPSOffice_Level2"/>
      <w:r>
        <w:rPr>
          <w:rStyle w:val="30"/>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30"/>
          <w:rFonts w:hint="eastAsia" w:ascii="仿宋_GB2312" w:hAnsi="仿宋_GB2312" w:eastAsia="仿宋_GB2312" w:cs="仿宋_GB2312"/>
          <w:b w:val="0"/>
          <w:bCs w:val="0"/>
          <w:color w:val="auto"/>
          <w:highlight w:val="none"/>
        </w:rPr>
        <w:t>政拨款支出决算明细表</w:t>
      </w:r>
      <w:bookmarkEnd w:id="280"/>
      <w:bookmarkEnd w:id="281"/>
      <w:bookmarkStart w:id="282" w:name="_Toc15396624"/>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83" w:name="_Toc1403316258_WPSOffice_Level2"/>
      <w:r>
        <w:rPr>
          <w:rStyle w:val="30"/>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般公共预算财政拨款支出决算表</w:t>
      </w:r>
      <w:bookmarkEnd w:id="282"/>
      <w:bookmarkEnd w:id="283"/>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84" w:name="_Toc15396625"/>
      <w:bookmarkStart w:id="285" w:name="_Toc1606222541_WPSOffice_Level2"/>
      <w:r>
        <w:rPr>
          <w:rStyle w:val="30"/>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般公共预算财政拨款支出决算明细表</w:t>
      </w:r>
      <w:bookmarkEnd w:id="284"/>
      <w:bookmarkEnd w:id="285"/>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86" w:name="_Toc15396626"/>
      <w:bookmarkStart w:id="287" w:name="_Toc63176598_WPSOffice_Level2"/>
      <w:r>
        <w:rPr>
          <w:rStyle w:val="30"/>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般公共预算财政拨款基本支出决算表</w:t>
      </w:r>
      <w:bookmarkEnd w:id="286"/>
      <w:bookmarkEnd w:id="287"/>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88" w:name="_Toc15396627"/>
      <w:bookmarkStart w:id="289" w:name="_Toc1974897200_WPSOffice_Level2"/>
      <w:r>
        <w:rPr>
          <w:rStyle w:val="30"/>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般公共预算财政拨款项目支出决算表</w:t>
      </w:r>
      <w:bookmarkEnd w:id="288"/>
      <w:bookmarkEnd w:id="289"/>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90" w:name="_Toc15396628"/>
      <w:bookmarkStart w:id="291" w:name="_Toc1894023582_WPSOffice_Level2"/>
      <w:r>
        <w:rPr>
          <w:rStyle w:val="30"/>
          <w:rFonts w:hint="eastAsia" w:ascii="仿宋_GB2312" w:hAnsi="仿宋_GB2312" w:eastAsia="仿宋_GB2312" w:cs="仿宋_GB2312"/>
          <w:b w:val="0"/>
          <w:bCs w:val="0"/>
          <w:color w:val="auto"/>
          <w:highlight w:val="none"/>
        </w:rPr>
        <w:t>十、</w:t>
      </w:r>
      <w:bookmarkEnd w:id="290"/>
      <w:r>
        <w:rPr>
          <w:rFonts w:hint="eastAsia" w:ascii="仿宋_GB2312" w:hAnsi="仿宋_GB2312" w:eastAsia="仿宋_GB2312" w:cs="仿宋_GB2312"/>
          <w:b w:val="0"/>
          <w:color w:val="auto"/>
          <w:highlight w:val="none"/>
        </w:rPr>
        <w:t>政</w:t>
      </w:r>
      <w:r>
        <w:rPr>
          <w:rStyle w:val="30"/>
          <w:rFonts w:hint="eastAsia" w:ascii="仿宋_GB2312" w:hAnsi="仿宋_GB2312" w:eastAsia="仿宋_GB2312" w:cs="仿宋_GB2312"/>
          <w:b w:val="0"/>
          <w:bCs w:val="0"/>
          <w:color w:val="auto"/>
          <w:highlight w:val="none"/>
        </w:rPr>
        <w:t>府性基金预算财政拨款收入支出决算表</w:t>
      </w:r>
      <w:bookmarkEnd w:id="291"/>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92" w:name="_Toc15396629"/>
      <w:bookmarkStart w:id="293" w:name="_Toc1271406537_WPSOffice_Level2"/>
      <w:r>
        <w:rPr>
          <w:rStyle w:val="30"/>
          <w:rFonts w:hint="eastAsia" w:ascii="仿宋_GB2312" w:hAnsi="仿宋_GB2312" w:eastAsia="仿宋_GB2312" w:cs="仿宋_GB2312"/>
          <w:b w:val="0"/>
          <w:bCs w:val="0"/>
          <w:color w:val="auto"/>
          <w:highlight w:val="none"/>
        </w:rPr>
        <w:t>十一、</w:t>
      </w:r>
      <w:bookmarkEnd w:id="292"/>
      <w:r>
        <w:rPr>
          <w:rFonts w:hint="eastAsia" w:ascii="仿宋_GB2312" w:hAnsi="仿宋_GB2312" w:eastAsia="仿宋_GB2312" w:cs="仿宋_GB2312"/>
          <w:b w:val="0"/>
          <w:color w:val="auto"/>
          <w:highlight w:val="none"/>
        </w:rPr>
        <w:t>国</w:t>
      </w:r>
      <w:r>
        <w:rPr>
          <w:rStyle w:val="30"/>
          <w:rFonts w:hint="eastAsia" w:ascii="仿宋_GB2312" w:hAnsi="仿宋_GB2312" w:eastAsia="仿宋_GB2312" w:cs="仿宋_GB2312"/>
          <w:b w:val="0"/>
          <w:bCs w:val="0"/>
          <w:color w:val="auto"/>
          <w:highlight w:val="none"/>
        </w:rPr>
        <w:t>有资本经营预算</w:t>
      </w:r>
      <w:r>
        <w:rPr>
          <w:rStyle w:val="30"/>
          <w:rFonts w:hint="eastAsia" w:ascii="仿宋_GB2312" w:hAnsi="仿宋_GB2312" w:eastAsia="仿宋_GB2312" w:cs="仿宋_GB2312"/>
          <w:b w:val="0"/>
          <w:bCs w:val="0"/>
          <w:color w:val="auto"/>
          <w:highlight w:val="none"/>
          <w:lang w:eastAsia="zh-CN"/>
        </w:rPr>
        <w:t>财政拨款收入</w:t>
      </w:r>
      <w:r>
        <w:rPr>
          <w:rStyle w:val="30"/>
          <w:rFonts w:hint="eastAsia" w:ascii="仿宋_GB2312" w:hAnsi="仿宋_GB2312" w:eastAsia="仿宋_GB2312" w:cs="仿宋_GB2312"/>
          <w:b w:val="0"/>
          <w:bCs w:val="0"/>
          <w:color w:val="auto"/>
          <w:highlight w:val="none"/>
        </w:rPr>
        <w:t>支出决算表</w:t>
      </w:r>
      <w:bookmarkEnd w:id="293"/>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rPr>
      </w:pPr>
      <w:bookmarkStart w:id="294" w:name="_Toc15396630"/>
      <w:bookmarkStart w:id="295" w:name="_Toc279858229_WPSOffice_Level2"/>
      <w:r>
        <w:rPr>
          <w:rStyle w:val="30"/>
          <w:rFonts w:hint="eastAsia" w:ascii="仿宋_GB2312" w:hAnsi="仿宋_GB2312" w:eastAsia="仿宋_GB2312" w:cs="仿宋_GB2312"/>
          <w:b w:val="0"/>
          <w:bCs w:val="0"/>
          <w:color w:val="auto"/>
          <w:highlight w:val="none"/>
        </w:rPr>
        <w:t>十二、</w:t>
      </w:r>
      <w:bookmarkEnd w:id="294"/>
      <w:r>
        <w:rPr>
          <w:rStyle w:val="30"/>
          <w:rFonts w:hint="eastAsia" w:ascii="仿宋_GB2312" w:hAnsi="仿宋_GB2312" w:eastAsia="仿宋_GB2312" w:cs="仿宋_GB2312"/>
          <w:b w:val="0"/>
          <w:bCs w:val="0"/>
          <w:color w:val="auto"/>
          <w:highlight w:val="none"/>
          <w:lang w:eastAsia="zh-CN"/>
        </w:rPr>
        <w:t>国有资本经营预算财政拨款支出决算表</w:t>
      </w:r>
      <w:bookmarkEnd w:id="295"/>
    </w:p>
    <w:p>
      <w:pPr>
        <w:pStyle w:val="6"/>
        <w:keepNext/>
        <w:keepLines/>
        <w:pageBreakBefore w:val="0"/>
        <w:widowControl w:val="0"/>
        <w:kinsoku/>
        <w:wordWrap/>
        <w:overflowPunct/>
        <w:topLinePunct w:val="0"/>
        <w:autoSpaceDE/>
        <w:autoSpaceDN/>
        <w:bidi w:val="0"/>
        <w:adjustRightInd/>
        <w:snapToGrid/>
        <w:spacing w:before="0" w:after="0" w:line="536" w:lineRule="exact"/>
        <w:textAlignment w:val="auto"/>
        <w:rPr>
          <w:rFonts w:hint="eastAsia" w:ascii="仿宋_GB2312" w:hAnsi="仿宋_GB2312" w:eastAsia="仿宋_GB2312" w:cs="仿宋_GB2312"/>
          <w:color w:val="auto"/>
          <w:highlight w:val="none"/>
          <w:lang w:eastAsia="zh-CN"/>
        </w:rPr>
      </w:pPr>
      <w:bookmarkStart w:id="296" w:name="_Toc15396631"/>
      <w:bookmarkStart w:id="297" w:name="_Toc1798595703_WPSOffice_Level2"/>
      <w:r>
        <w:rPr>
          <w:rStyle w:val="30"/>
          <w:rFonts w:hint="eastAsia" w:ascii="仿宋_GB2312" w:hAnsi="仿宋_GB2312" w:eastAsia="仿宋_GB2312" w:cs="仿宋_GB2312"/>
          <w:b w:val="0"/>
          <w:bCs w:val="0"/>
          <w:color w:val="auto"/>
          <w:highlight w:val="none"/>
        </w:rPr>
        <w:t>十三、</w:t>
      </w:r>
      <w:bookmarkEnd w:id="296"/>
      <w:r>
        <w:rPr>
          <w:rStyle w:val="30"/>
          <w:rFonts w:hint="eastAsia" w:ascii="仿宋_GB2312" w:hAnsi="仿宋_GB2312" w:eastAsia="仿宋_GB2312" w:cs="仿宋_GB2312"/>
          <w:b w:val="0"/>
          <w:bCs w:val="0"/>
          <w:color w:val="auto"/>
          <w:highlight w:val="none"/>
          <w:lang w:eastAsia="zh-CN"/>
        </w:rPr>
        <w:t>财政拨款“三公”经费支出决算表</w:t>
      </w:r>
      <w:bookmarkEnd w:id="29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Comic Sans MS">
    <w:panose1 w:val="030F0702030302020204"/>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DBF58D8"/>
    <w:multiLevelType w:val="singleLevel"/>
    <w:tmpl w:val="FDBF58D8"/>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DBEA786"/>
    <w:rsid w:val="0DFF8F86"/>
    <w:rsid w:val="10C055FF"/>
    <w:rsid w:val="118107EC"/>
    <w:rsid w:val="11DD6519"/>
    <w:rsid w:val="16BB723D"/>
    <w:rsid w:val="16F7F6E5"/>
    <w:rsid w:val="175A00C4"/>
    <w:rsid w:val="17FBA39E"/>
    <w:rsid w:val="18015F3F"/>
    <w:rsid w:val="19DC4A50"/>
    <w:rsid w:val="1BE8440E"/>
    <w:rsid w:val="1D155CEE"/>
    <w:rsid w:val="1D73945E"/>
    <w:rsid w:val="20F57F95"/>
    <w:rsid w:val="240371BF"/>
    <w:rsid w:val="25C741E6"/>
    <w:rsid w:val="27842671"/>
    <w:rsid w:val="27FD4E4D"/>
    <w:rsid w:val="28B8113B"/>
    <w:rsid w:val="29FD04D3"/>
    <w:rsid w:val="2ABE7A3E"/>
    <w:rsid w:val="2D57A6A1"/>
    <w:rsid w:val="2EFA178C"/>
    <w:rsid w:val="30B46D73"/>
    <w:rsid w:val="319F7F4E"/>
    <w:rsid w:val="32436FE5"/>
    <w:rsid w:val="347B334B"/>
    <w:rsid w:val="39AE70AB"/>
    <w:rsid w:val="39FF40B1"/>
    <w:rsid w:val="3BFCB0A1"/>
    <w:rsid w:val="3C0C0783"/>
    <w:rsid w:val="3DBB5A05"/>
    <w:rsid w:val="3F3951F7"/>
    <w:rsid w:val="3F795B0E"/>
    <w:rsid w:val="3F9F3A96"/>
    <w:rsid w:val="3FBB5493"/>
    <w:rsid w:val="3FDB7044"/>
    <w:rsid w:val="437F34A5"/>
    <w:rsid w:val="47E7E15A"/>
    <w:rsid w:val="48731C4C"/>
    <w:rsid w:val="493C27E9"/>
    <w:rsid w:val="496F39ED"/>
    <w:rsid w:val="49FF41D3"/>
    <w:rsid w:val="4A185DC8"/>
    <w:rsid w:val="4BAF6AD1"/>
    <w:rsid w:val="4BE068DB"/>
    <w:rsid w:val="4BF6002B"/>
    <w:rsid w:val="4EC97AE8"/>
    <w:rsid w:val="4ECE2238"/>
    <w:rsid w:val="51DB4B86"/>
    <w:rsid w:val="522725E3"/>
    <w:rsid w:val="537F9295"/>
    <w:rsid w:val="55333C3E"/>
    <w:rsid w:val="559E8C47"/>
    <w:rsid w:val="55D911E7"/>
    <w:rsid w:val="57C3794E"/>
    <w:rsid w:val="57FF3B1D"/>
    <w:rsid w:val="58DF63AC"/>
    <w:rsid w:val="5CF743B4"/>
    <w:rsid w:val="5CFD9656"/>
    <w:rsid w:val="5D5F936F"/>
    <w:rsid w:val="5E9270A6"/>
    <w:rsid w:val="5F3E0F6E"/>
    <w:rsid w:val="5F3EE62B"/>
    <w:rsid w:val="5F7EDAFE"/>
    <w:rsid w:val="5F7FE114"/>
    <w:rsid w:val="5FEFF7FF"/>
    <w:rsid w:val="640D6BEF"/>
    <w:rsid w:val="64CA39A1"/>
    <w:rsid w:val="67FB6633"/>
    <w:rsid w:val="6B7FCFEB"/>
    <w:rsid w:val="6C4A05C8"/>
    <w:rsid w:val="6CCF4F24"/>
    <w:rsid w:val="6D8F34B4"/>
    <w:rsid w:val="6E3EA582"/>
    <w:rsid w:val="6EFE5DA6"/>
    <w:rsid w:val="6FAF1ADF"/>
    <w:rsid w:val="6FDB6EE5"/>
    <w:rsid w:val="6FF129AE"/>
    <w:rsid w:val="6FFF5724"/>
    <w:rsid w:val="71CC7D54"/>
    <w:rsid w:val="71EC3145"/>
    <w:rsid w:val="71FB23B4"/>
    <w:rsid w:val="72734D90"/>
    <w:rsid w:val="74E366CA"/>
    <w:rsid w:val="75FD46DF"/>
    <w:rsid w:val="76D97308"/>
    <w:rsid w:val="76EF3321"/>
    <w:rsid w:val="76F63990"/>
    <w:rsid w:val="77DFB2F4"/>
    <w:rsid w:val="79DECC46"/>
    <w:rsid w:val="79E7B28D"/>
    <w:rsid w:val="79F7AE39"/>
    <w:rsid w:val="7AFFCA03"/>
    <w:rsid w:val="7B6538E8"/>
    <w:rsid w:val="7B6DB28F"/>
    <w:rsid w:val="7BEBFFA7"/>
    <w:rsid w:val="7BFC985E"/>
    <w:rsid w:val="7D5F52A9"/>
    <w:rsid w:val="7D9B3A2B"/>
    <w:rsid w:val="7DE62478"/>
    <w:rsid w:val="7E5F4ADF"/>
    <w:rsid w:val="7EDB8708"/>
    <w:rsid w:val="7EDFC8A3"/>
    <w:rsid w:val="7EEB781A"/>
    <w:rsid w:val="7EFF3410"/>
    <w:rsid w:val="7EFF8C32"/>
    <w:rsid w:val="7EFFCE20"/>
    <w:rsid w:val="7F7F6CED"/>
    <w:rsid w:val="7F7FD6F3"/>
    <w:rsid w:val="7F8B5B5A"/>
    <w:rsid w:val="7F93DEB0"/>
    <w:rsid w:val="7F9F20EE"/>
    <w:rsid w:val="7FD8C567"/>
    <w:rsid w:val="7FEBDC47"/>
    <w:rsid w:val="7FF9976D"/>
    <w:rsid w:val="7FFB7A0A"/>
    <w:rsid w:val="7FFC49D2"/>
    <w:rsid w:val="7FFF943E"/>
    <w:rsid w:val="7FFF9B27"/>
    <w:rsid w:val="9C1FD40A"/>
    <w:rsid w:val="9E3A10E2"/>
    <w:rsid w:val="A2EFA090"/>
    <w:rsid w:val="ACFA84C1"/>
    <w:rsid w:val="AD7E09BC"/>
    <w:rsid w:val="B5FF4B6D"/>
    <w:rsid w:val="B7FF597A"/>
    <w:rsid w:val="B7FF77C0"/>
    <w:rsid w:val="B9FFE6A9"/>
    <w:rsid w:val="BB3C45AE"/>
    <w:rsid w:val="BBF71E86"/>
    <w:rsid w:val="BCFB227C"/>
    <w:rsid w:val="BD673580"/>
    <w:rsid w:val="BDFF34C0"/>
    <w:rsid w:val="BE39E336"/>
    <w:rsid w:val="BEFD2D9E"/>
    <w:rsid w:val="BFC7CDDE"/>
    <w:rsid w:val="BFFF1702"/>
    <w:rsid w:val="C1FB0941"/>
    <w:rsid w:val="D5032148"/>
    <w:rsid w:val="D5FB5173"/>
    <w:rsid w:val="DAAD51CD"/>
    <w:rsid w:val="DAB7CB13"/>
    <w:rsid w:val="DB6F3C0A"/>
    <w:rsid w:val="DD3F06F4"/>
    <w:rsid w:val="DD3FBB9B"/>
    <w:rsid w:val="DE691844"/>
    <w:rsid w:val="DFEF0A95"/>
    <w:rsid w:val="E3FE73D2"/>
    <w:rsid w:val="E5F6227F"/>
    <w:rsid w:val="E69F7E8F"/>
    <w:rsid w:val="E7F7C9E5"/>
    <w:rsid w:val="EAAFBA08"/>
    <w:rsid w:val="EB571563"/>
    <w:rsid w:val="EBDFBD80"/>
    <w:rsid w:val="EBF776B2"/>
    <w:rsid w:val="ED7F102A"/>
    <w:rsid w:val="EE3E8C9A"/>
    <w:rsid w:val="EEEFC115"/>
    <w:rsid w:val="EF6B0338"/>
    <w:rsid w:val="EF9B67B5"/>
    <w:rsid w:val="EFBDBB5E"/>
    <w:rsid w:val="EFEB0AF8"/>
    <w:rsid w:val="EFF66859"/>
    <w:rsid w:val="EFFF4717"/>
    <w:rsid w:val="F2B95996"/>
    <w:rsid w:val="F2E1F9D4"/>
    <w:rsid w:val="F31F44B0"/>
    <w:rsid w:val="F4BE86CC"/>
    <w:rsid w:val="F5FA71F4"/>
    <w:rsid w:val="F6FFFDE3"/>
    <w:rsid w:val="F7880819"/>
    <w:rsid w:val="F7BF7434"/>
    <w:rsid w:val="F86F8134"/>
    <w:rsid w:val="F97C7030"/>
    <w:rsid w:val="F97DFD94"/>
    <w:rsid w:val="FB360F90"/>
    <w:rsid w:val="FBDBAF89"/>
    <w:rsid w:val="FBEED4A7"/>
    <w:rsid w:val="FBF3D97B"/>
    <w:rsid w:val="FCAFFA82"/>
    <w:rsid w:val="FDBFDAB1"/>
    <w:rsid w:val="FDFE18C7"/>
    <w:rsid w:val="FDFF652C"/>
    <w:rsid w:val="FE765562"/>
    <w:rsid w:val="FEBF9311"/>
    <w:rsid w:val="FEE745AF"/>
    <w:rsid w:val="FEFCA23A"/>
    <w:rsid w:val="FF1577C4"/>
    <w:rsid w:val="FF4972A9"/>
    <w:rsid w:val="FF52013D"/>
    <w:rsid w:val="FFDF1522"/>
    <w:rsid w:val="FFEA3D48"/>
    <w:rsid w:val="FFEEB421"/>
    <w:rsid w:val="FFF51D29"/>
    <w:rsid w:val="FFF8FA63"/>
    <w:rsid w:val="FFFBC129"/>
    <w:rsid w:val="FFFC40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200" w:firstLine="200" w:firstLineChars="200"/>
    </w:pPr>
  </w:style>
  <w:style w:type="paragraph" w:styleId="3">
    <w:name w:val="Body Text Indent"/>
    <w:basedOn w:val="1"/>
    <w:next w:val="4"/>
    <w:unhideWhenUsed/>
    <w:qFormat/>
    <w:uiPriority w:val="99"/>
    <w:pPr>
      <w:spacing w:after="120"/>
      <w:ind w:left="420" w:leftChars="200"/>
    </w:pPr>
  </w:style>
  <w:style w:type="paragraph" w:styleId="4">
    <w:name w:val="Body Text Indent 2"/>
    <w:basedOn w:val="1"/>
    <w:qFormat/>
    <w:uiPriority w:val="0"/>
    <w:pPr>
      <w:ind w:firstLine="420" w:firstLineChars="200"/>
    </w:pPr>
  </w:style>
  <w:style w:type="paragraph" w:styleId="8">
    <w:name w:val="Body Text"/>
    <w:basedOn w:val="1"/>
    <w:link w:val="26"/>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Body Text First Indent"/>
    <w:qFormat/>
    <w:uiPriority w:val="0"/>
    <w:pPr>
      <w:widowControl w:val="0"/>
      <w:spacing w:after="120"/>
      <w:ind w:firstLine="420" w:firstLineChars="100"/>
      <w:jc w:val="both"/>
    </w:pPr>
    <w:rPr>
      <w:rFonts w:ascii="Times New Roman" w:hAnsi="Times New Roman" w:eastAsia="宋体" w:cs="Times New Roman"/>
      <w:kern w:val="2"/>
      <w:sz w:val="21"/>
      <w:lang w:val="en-US" w:eastAsia="zh-CN" w:bidi="ar-SA"/>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8"/>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5"/>
    <w:qFormat/>
    <w:uiPriority w:val="9"/>
    <w:rPr>
      <w:rFonts w:ascii="Times New Roman" w:hAnsi="Times New Roman"/>
      <w:b/>
      <w:bCs/>
      <w:kern w:val="44"/>
      <w:sz w:val="44"/>
      <w:szCs w:val="44"/>
    </w:rPr>
  </w:style>
  <w:style w:type="character" w:customStyle="1" w:styleId="30">
    <w:name w:val="标题 2 Char"/>
    <w:basedOn w:val="18"/>
    <w:link w:val="6"/>
    <w:qFormat/>
    <w:uiPriority w:val="9"/>
    <w:rPr>
      <w:rFonts w:asciiTheme="majorHAnsi" w:hAnsiTheme="majorHAnsi" w:eastAsiaTheme="majorEastAsia" w:cstheme="majorBidi"/>
      <w:b/>
      <w:bCs/>
      <w:kern w:val="2"/>
      <w:sz w:val="32"/>
      <w:szCs w:val="32"/>
    </w:rPr>
  </w:style>
  <w:style w:type="paragraph" w:customStyle="1" w:styleId="31">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7"/>
    <w:qFormat/>
    <w:uiPriority w:val="9"/>
    <w:rPr>
      <w:rFonts w:ascii="Times New Roman" w:hAnsi="Times New Roman"/>
      <w:b/>
      <w:bCs/>
      <w:kern w:val="2"/>
      <w:sz w:val="32"/>
      <w:szCs w:val="32"/>
    </w:rPr>
  </w:style>
  <w:style w:type="paragraph" w:customStyle="1" w:styleId="34">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WPSOffice手动目录 3"/>
    <w:qFormat/>
    <w:uiPriority w:val="0"/>
    <w:pPr>
      <w:ind w:leftChars="400"/>
    </w:pPr>
    <w:rPr>
      <w:rFonts w:ascii="Times New Roman" w:hAnsi="Times New Roman" w:eastAsia="宋体" w:cs="Times New Roman"/>
      <w:sz w:val="20"/>
      <w:szCs w:val="20"/>
    </w:rPr>
  </w:style>
  <w:style w:type="paragraph" w:customStyle="1" w:styleId="38">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9">
    <w:name w:val="font0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ome/user/Desktop/&#25910;&#20837;&#26609;&#29366;&#22270;&#39292;&#29366;&#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ome/user/Desktop/&#25910;&#20837;&#26609;&#29366;&#22270;&#39292;&#29366;&#2227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ome/user/Desktop/&#25910;&#20837;&#26609;&#29366;&#22270;&#39292;&#29366;&#2227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5910;&#20837;&#26609;&#29366;&#22270;&#39292;&#29366;&#2227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media/user/9a56d326-b612-485e-9e8b-e9c5030df1c5/2015&#24180;&#23567;&#19969;&#24037;&#20316;/&#36130;&#21153;&#24037;&#20316;2014-2023/2021&#24180;&#36130;&#21153;&#39044;&#31639;/2018-2021&#24180;&#39044;&#20915;&#31639;&#20844;&#24320;&#26816;&#26597;&#25991;&#20214;&#65288;5.23&#36130;&#25919;&#23616;&#19971;&#27004;&#23457;&#26680;&#20844;&#24320;&#65289;/&#21496;&#27861;&#23616;2018-2021&#39044;&#20915;&#31639;&#20844;&#24320;&#65288;&#20462;&#25913;20210523&#12289;20220713&#12289;20220923&#65289;/2021&#24180;&#37096;&#38376;&#20915;&#31639;&#20844;&#24320;&#65288;20220919&#20256;&#25919;&#27861;&#32929;&#65289;9.30&#22238;&#20256;&#20877;&#20462;&#25913;&#20877;&#19978;&#20256;15&#65306;11&#22312;&#21150;&#20844;&#23460;&#19978;&#20256;/&#25910;&#20837;&#26609;&#29366;&#22270;&#39292;&#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0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'[收入柱状图饼状图.xls]2021'!$D$28</c:f>
              <c:strCache>
                <c:ptCount val="1"/>
                <c:pt idx="0">
                  <c:v>财政拨款收、支决算总计变动情况</c:v>
                </c:pt>
              </c:strCache>
            </c:strRef>
          </c:tx>
          <c:spPr>
            <a:solidFill>
              <a:schemeClr val="accent1"/>
            </a:solidFill>
            <a:ln>
              <a:noFill/>
            </a:ln>
            <a:effectLst/>
          </c:spPr>
          <c:invertIfNegative val="false"/>
          <c:dLbls>
            <c:delete val="true"/>
          </c:dLbls>
          <c:cat>
            <c:strRef>
              <c:f>'[收入柱状图饼状图.xls]2021'!$C$29:$C$30</c:f>
              <c:strCache>
                <c:ptCount val="2"/>
                <c:pt idx="0">
                  <c:v>2021年</c:v>
                </c:pt>
                <c:pt idx="1">
                  <c:v>2022年</c:v>
                </c:pt>
              </c:strCache>
            </c:strRef>
          </c:cat>
          <c:val>
            <c:numRef>
              <c:f>'[收入柱状图饼状图.xls]2021'!$D$29:$D$30</c:f>
              <c:numCache>
                <c:formatCode>General</c:formatCode>
                <c:ptCount val="2"/>
                <c:pt idx="0">
                  <c:v>1065.98</c:v>
                </c:pt>
                <c:pt idx="1">
                  <c:v>1086.19</c:v>
                </c:pt>
              </c:numCache>
            </c:numRef>
          </c:val>
        </c:ser>
        <c:dLbls>
          <c:showLegendKey val="false"/>
          <c:showVal val="false"/>
          <c:showCatName val="false"/>
          <c:showSerName val="false"/>
          <c:showPercent val="false"/>
          <c:showBubbleSize val="false"/>
        </c:dLbls>
        <c:gapWidth val="219"/>
        <c:overlap val="-27"/>
        <c:axId val="282328904"/>
        <c:axId val="362713036"/>
      </c:barChart>
      <c:catAx>
        <c:axId val="28232890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2713036"/>
        <c:crosses val="autoZero"/>
        <c:auto val="true"/>
        <c:lblAlgn val="ctr"/>
        <c:lblOffset val="100"/>
        <c:noMultiLvlLbl val="false"/>
      </c:catAx>
      <c:valAx>
        <c:axId val="36271303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232890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924890197178"/>
          <c:y val="0.169399186327182"/>
        </c:manualLayout>
      </c:layout>
      <c:overlay val="false"/>
      <c:spPr>
        <a:noFill/>
        <a:ln>
          <a:noFill/>
        </a:ln>
        <a:effectLst/>
      </c:spPr>
      <c:txPr>
        <a:bodyPr rot="0" spcFirstLastPara="0" vertOverflow="ellipsis" vert="horz" wrap="square" anchor="ctr" anchorCtr="true"/>
        <a:lstStyle/>
        <a:p>
          <a:pPr>
            <a:defRPr lang="zh-CN" sz="10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'[收入柱状图饼状图.xls]2021'!$H$11</c:f>
              <c:strCache>
                <c:ptCount val="1"/>
                <c:pt idx="0">
                  <c:v>收入决算结构图</c:v>
                </c:pt>
              </c:strCache>
            </c:strRef>
          </c:tx>
          <c:explosion val="0"/>
          <c:dPt>
            <c:idx val="0"/>
            <c:bubble3D val="false"/>
            <c:explosion val="0"/>
            <c:spPr>
              <a:solidFill>
                <a:schemeClr val="accent1"/>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'[收入柱状图饼状图.xls]2021'!$I$10</c:f>
              <c:strCache>
                <c:ptCount val="1"/>
                <c:pt idx="0">
                  <c:v>一般公共预算财政拨款收入</c:v>
                </c:pt>
              </c:strCache>
            </c:strRef>
          </c:cat>
          <c:val>
            <c:numRef>
              <c:f>'[收入柱状图饼状图.xls]2021'!$I$11</c:f>
              <c:numCache>
                <c:formatCode>General</c:formatCode>
                <c:ptCount val="1"/>
                <c:pt idx="0">
                  <c:v>1006.74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59114139693356"/>
          <c:y val="0.896296296296296"/>
          <c:w val="0.363733333333333"/>
          <c:h val="0.040650406504065"/>
        </c:manualLayout>
      </c:layout>
      <c:overlay val="false"/>
      <c:spPr>
        <a:noFill/>
        <a:ln>
          <a:noFill/>
        </a:ln>
        <a:effectLst/>
      </c:spPr>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9767441860465"/>
          <c:y val="0.122093023255814"/>
        </c:manualLayout>
      </c:layout>
      <c:overlay val="false"/>
      <c:spPr>
        <a:noFill/>
        <a:ln>
          <a:noFill/>
        </a:ln>
        <a:effectLst/>
      </c:spPr>
      <c:txPr>
        <a:bodyPr rot="0" spcFirstLastPara="0" vertOverflow="ellipsis" vert="horz" wrap="square" anchor="ctr" anchorCtr="true"/>
        <a:lstStyle/>
        <a:p>
          <a:pPr>
            <a:defRPr lang="zh-CN" sz="8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[工作簿3]Sheet1!$D$18</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5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[工作簿3]Sheet1!$C$19:$C$20</c:f>
              <c:strCache>
                <c:ptCount val="2"/>
                <c:pt idx="0">
                  <c:v>基本支出</c:v>
                </c:pt>
                <c:pt idx="1">
                  <c:v>项目支出</c:v>
                </c:pt>
              </c:strCache>
            </c:strRef>
          </c:cat>
          <c:val>
            <c:numRef>
              <c:f>[工作簿3]Sheet1!$D$19:$D$20</c:f>
              <c:numCache>
                <c:formatCode>General</c:formatCode>
                <c:ptCount val="2"/>
                <c:pt idx="0">
                  <c:v>719.54</c:v>
                </c:pt>
                <c:pt idx="1">
                  <c:v>266.97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20348837209302"/>
          <c:y val="0.898449612403101"/>
        </c:manualLayout>
      </c:layout>
      <c:overlay val="false"/>
      <c:spPr>
        <a:noFill/>
        <a:ln>
          <a:noFill/>
        </a:ln>
        <a:effectLst/>
      </c:spPr>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0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'[收入柱状图饼状图.xls]2021'!$D$28</c:f>
              <c:strCache>
                <c:ptCount val="1"/>
                <c:pt idx="0">
                  <c:v>财政拨款收、支决算总计变动情况</c:v>
                </c:pt>
              </c:strCache>
            </c:strRef>
          </c:tx>
          <c:spPr>
            <a:solidFill>
              <a:schemeClr val="accent1"/>
            </a:solidFill>
            <a:ln>
              <a:noFill/>
            </a:ln>
            <a:effectLst/>
          </c:spPr>
          <c:invertIfNegative val="false"/>
          <c:dLbls>
            <c:delete val="true"/>
          </c:dLbls>
          <c:cat>
            <c:strRef>
              <c:f>'[收入柱状图饼状图.xls]2021'!$C$29:$C$30</c:f>
              <c:strCache>
                <c:ptCount val="2"/>
                <c:pt idx="0">
                  <c:v>2021年</c:v>
                </c:pt>
                <c:pt idx="1">
                  <c:v>2022年</c:v>
                </c:pt>
              </c:strCache>
            </c:strRef>
          </c:cat>
          <c:val>
            <c:numRef>
              <c:f>'[收入柱状图饼状图.xls]2021'!$D$29:$D$30</c:f>
              <c:numCache>
                <c:formatCode>General</c:formatCode>
                <c:ptCount val="2"/>
                <c:pt idx="0">
                  <c:v>1065.98</c:v>
                </c:pt>
                <c:pt idx="1">
                  <c:v>1086.19</c:v>
                </c:pt>
              </c:numCache>
            </c:numRef>
          </c:val>
        </c:ser>
        <c:dLbls>
          <c:showLegendKey val="false"/>
          <c:showVal val="false"/>
          <c:showCatName val="false"/>
          <c:showSerName val="false"/>
          <c:showPercent val="false"/>
          <c:showBubbleSize val="false"/>
        </c:dLbls>
        <c:gapWidth val="219"/>
        <c:overlap val="-27"/>
        <c:axId val="282328904"/>
        <c:axId val="362713036"/>
      </c:barChart>
      <c:catAx>
        <c:axId val="28232890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2713036"/>
        <c:crosses val="autoZero"/>
        <c:auto val="true"/>
        <c:lblAlgn val="ctr"/>
        <c:lblOffset val="100"/>
        <c:noMultiLvlLbl val="false"/>
      </c:catAx>
      <c:valAx>
        <c:axId val="36271303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232890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800"/>
              <a:t>一般公共预算财政拨款支出决算变动情况</a:t>
            </a:r>
            <a:endParaRPr sz="800"/>
          </a:p>
        </c:rich>
      </c:tx>
      <c:layout>
        <c:manualLayout>
          <c:xMode val="edge"/>
          <c:yMode val="edge"/>
          <c:x val="0.113237139272271"/>
          <c:y val="0.0789473684210526"/>
        </c:manualLayout>
      </c:layout>
      <c:overlay val="false"/>
      <c:spPr>
        <a:noFill/>
        <a:ln>
          <a:noFill/>
        </a:ln>
        <a:effectLst/>
      </c:spPr>
    </c:title>
    <c:autoTitleDeleted val="false"/>
    <c:plotArea>
      <c:layout/>
      <c:barChart>
        <c:barDir val="col"/>
        <c:grouping val="clustered"/>
        <c:varyColors val="false"/>
        <c:ser>
          <c:idx val="0"/>
          <c:order val="0"/>
          <c:tx>
            <c:strRef>
              <c:f>'[收入柱状图饼状图.xls]2021'!$D$39</c:f>
              <c:strCache>
                <c:ptCount val="1"/>
                <c:pt idx="0">
                  <c:v>一般公共预算财政拨款支出决算变动情况
</c:v>
                </c:pt>
              </c:strCache>
            </c:strRef>
          </c:tx>
          <c:spPr>
            <a:solidFill>
              <a:schemeClr val="accent1"/>
            </a:solidFill>
            <a:ln>
              <a:noFill/>
            </a:ln>
            <a:effectLst/>
          </c:spPr>
          <c:invertIfNegative val="false"/>
          <c:dLbls>
            <c:delete val="true"/>
          </c:dLbls>
          <c:cat>
            <c:strRef>
              <c:f>'[收入柱状图饼状图.xls]2021'!$C$40:$C$41</c:f>
              <c:strCache>
                <c:ptCount val="2"/>
                <c:pt idx="0">
                  <c:v>2021年</c:v>
                </c:pt>
                <c:pt idx="1">
                  <c:v>2022年</c:v>
                </c:pt>
              </c:strCache>
            </c:strRef>
          </c:cat>
          <c:val>
            <c:numRef>
              <c:f>'[收入柱状图饼状图.xls]2021'!$D$40:$D$41</c:f>
              <c:numCache>
                <c:formatCode>General</c:formatCode>
                <c:ptCount val="2"/>
                <c:pt idx="0">
                  <c:v>986.52</c:v>
                </c:pt>
                <c:pt idx="1">
                  <c:v>1006.74</c:v>
                </c:pt>
              </c:numCache>
            </c:numRef>
          </c:val>
        </c:ser>
        <c:dLbls>
          <c:showLegendKey val="false"/>
          <c:showVal val="false"/>
          <c:showCatName val="false"/>
          <c:showSerName val="false"/>
          <c:showPercent val="false"/>
          <c:showBubbleSize val="false"/>
        </c:dLbls>
        <c:gapWidth val="219"/>
        <c:overlap val="-27"/>
        <c:axId val="519762050"/>
        <c:axId val="206758334"/>
      </c:barChart>
      <c:catAx>
        <c:axId val="51976205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6758334"/>
        <c:crosses val="autoZero"/>
        <c:auto val="true"/>
        <c:lblAlgn val="ctr"/>
        <c:lblOffset val="100"/>
        <c:noMultiLvlLbl val="false"/>
      </c:catAx>
      <c:valAx>
        <c:axId val="20675833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1976205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800" b="0" i="0" u="none" strike="noStrike" kern="1200" spc="0" baseline="0">
                <a:solidFill>
                  <a:schemeClr val="tx1">
                    <a:lumMod val="65000"/>
                    <a:lumOff val="35000"/>
                  </a:schemeClr>
                </a:solidFill>
                <a:latin typeface="+mn-lt"/>
                <a:ea typeface="+mn-ea"/>
                <a:cs typeface="+mn-cs"/>
              </a:defRPr>
            </a:pPr>
            <a:r>
              <a:rPr sz="800"/>
              <a:t>一般公共预算财政拨款支出决算结构</a:t>
            </a:r>
            <a:endParaRPr sz="800"/>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[工作簿2]Sheet1!$C$19:$C$22</c:f>
              <c:strCache>
                <c:ptCount val="4"/>
                <c:pt idx="0">
                  <c:v>一般公共服务</c:v>
                </c:pt>
                <c:pt idx="1">
                  <c:v>社会保障和就业</c:v>
                </c:pt>
                <c:pt idx="2">
                  <c:v>卫生健康支出</c:v>
                </c:pt>
                <c:pt idx="3">
                  <c:v>住房保障支出</c:v>
                </c:pt>
              </c:strCache>
            </c:strRef>
          </c:cat>
          <c:val>
            <c:numRef>
              <c:f>[工作簿2]Sheet1!$D$19:$D$22</c:f>
              <c:numCache>
                <c:formatCode>General</c:formatCode>
                <c:ptCount val="4"/>
                <c:pt idx="0">
                  <c:v>862.23</c:v>
                </c:pt>
                <c:pt idx="1">
                  <c:v>48.34</c:v>
                </c:pt>
                <c:pt idx="2">
                  <c:v>25.42</c:v>
                </c:pt>
                <c:pt idx="3">
                  <c:v>50.54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900"/>
              <a:t>“</a:t>
            </a:r>
            <a:r>
              <a:rPr sz="800"/>
              <a:t>三公”经费财政拨款支出结构</a:t>
            </a:r>
            <a:endParaRPr sz="800"/>
          </a:p>
        </c:rich>
      </c:tx>
      <c:layout/>
      <c:overlay val="false"/>
      <c:spPr>
        <a:noFill/>
        <a:ln>
          <a:noFill/>
        </a:ln>
        <a:effectLst/>
      </c:spPr>
    </c:title>
    <c:autoTitleDeleted val="false"/>
    <c:plotArea>
      <c:layout/>
      <c:pieChart>
        <c:varyColors val="true"/>
        <c:ser>
          <c:idx val="0"/>
          <c:order val="0"/>
          <c:tx>
            <c:strRef>
              <c:f>[收入柱状图饼状图.xls]Sheet1!$E$37</c:f>
              <c:strCache>
                <c:ptCount val="1"/>
                <c:pt idx="0">
                  <c:v>“三公”经费财政拨款支出结构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elete val="true"/>
          </c:dLbls>
          <c:cat>
            <c:strRef>
              <c:f>[收入柱状图饼状图.xls]Sheet1!$D$38:$D$40</c:f>
              <c:strCache>
                <c:ptCount val="3"/>
                <c:pt idx="0">
                  <c:v>因公出国（境）经费支出</c:v>
                </c:pt>
                <c:pt idx="1">
                  <c:v>公务用车运行维护费支出</c:v>
                </c:pt>
                <c:pt idx="2">
                  <c:v>公务接待费支出</c:v>
                </c:pt>
              </c:strCache>
            </c:strRef>
          </c:cat>
          <c:val>
            <c:numRef>
              <c:f>[收入柱状图饼状图.xls]Sheet1!$E$38:$E$40</c:f>
              <c:numCache>
                <c:formatCode>General</c:formatCode>
                <c:ptCount val="3"/>
                <c:pt idx="0">
                  <c:v>0</c:v>
                </c:pt>
                <c:pt idx="1">
                  <c:v>4.68</c:v>
                </c:pt>
                <c:pt idx="2">
                  <c:v>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no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28d6730-6475-4b39-b822-ffc07d286d84}"/>
        <w:style w:val=""/>
        <w:category>
          <w:name w:val="常规"/>
          <w:gallery w:val="placeholder"/>
        </w:category>
        <w:types>
          <w:type w:val="bbPlcHdr"/>
        </w:types>
        <w:behaviors>
          <w:behavior w:val="content"/>
        </w:behaviors>
        <w:description w:val=""/>
        <w:guid w:val="{828d6730-6475-4b39-b822-ffc07d286d84}"/>
      </w:docPartPr>
      <w:docPartBody>
        <w:p>
          <w:r>
            <w:rPr>
              <w:color w:val="808080"/>
            </w:rPr>
            <w:t>单击此处输入文字。</w:t>
          </w:r>
        </w:p>
      </w:docPartBody>
    </w:docPart>
    <w:docPart>
      <w:docPartPr>
        <w:name w:val="{152d1266-01d8-47ed-b349-2f6eac85c999}"/>
        <w:style w:val=""/>
        <w:category>
          <w:name w:val="常规"/>
          <w:gallery w:val="placeholder"/>
        </w:category>
        <w:types>
          <w:type w:val="bbPlcHdr"/>
        </w:types>
        <w:behaviors>
          <w:behavior w:val="content"/>
        </w:behaviors>
        <w:description w:val=""/>
        <w:guid w:val="{152d1266-01d8-47ed-b349-2f6eac85c999}"/>
      </w:docPartPr>
      <w:docPartBody>
        <w:p>
          <w:r>
            <w:rPr>
              <w:color w:val="808080"/>
            </w:rPr>
            <w:t>单击此处输入文字。</w:t>
          </w:r>
        </w:p>
      </w:docPartBody>
    </w:docPart>
    <w:docPart>
      <w:docPartPr>
        <w:name w:val="{de8f3e04-1a67-4158-8aef-3d5f5fcdaa88}"/>
        <w:style w:val=""/>
        <w:category>
          <w:name w:val="常规"/>
          <w:gallery w:val="placeholder"/>
        </w:category>
        <w:types>
          <w:type w:val="bbPlcHdr"/>
        </w:types>
        <w:behaviors>
          <w:behavior w:val="content"/>
        </w:behaviors>
        <w:description w:val=""/>
        <w:guid w:val="{de8f3e04-1a67-4158-8aef-3d5f5fcdaa88}"/>
      </w:docPartPr>
      <w:docPartBody>
        <w:p>
          <w:r>
            <w:rPr>
              <w:color w:val="808080"/>
            </w:rPr>
            <w:t>单击此处输入文字。</w:t>
          </w:r>
        </w:p>
      </w:docPartBody>
    </w:docPart>
    <w:docPart>
      <w:docPartPr>
        <w:name w:val="{76c3a004-c424-43bd-b110-4a84ec3182c1}"/>
        <w:style w:val=""/>
        <w:category>
          <w:name w:val="常规"/>
          <w:gallery w:val="placeholder"/>
        </w:category>
        <w:types>
          <w:type w:val="bbPlcHdr"/>
        </w:types>
        <w:behaviors>
          <w:behavior w:val="content"/>
        </w:behaviors>
        <w:description w:val=""/>
        <w:guid w:val="{76c3a004-c424-43bd-b110-4a84ec3182c1}"/>
      </w:docPartPr>
      <w:docPartBody>
        <w:p>
          <w:r>
            <w:rPr>
              <w:color w:val="808080"/>
            </w:rPr>
            <w:t>单击此处输入文字。</w:t>
          </w:r>
        </w:p>
      </w:docPartBody>
    </w:docPart>
    <w:docPart>
      <w:docPartPr>
        <w:name w:val="{9c16654c-5014-464f-a3ee-4fd5a32caff6}"/>
        <w:style w:val=""/>
        <w:category>
          <w:name w:val="常规"/>
          <w:gallery w:val="placeholder"/>
        </w:category>
        <w:types>
          <w:type w:val="bbPlcHdr"/>
        </w:types>
        <w:behaviors>
          <w:behavior w:val="content"/>
        </w:behaviors>
        <w:description w:val=""/>
        <w:guid w:val="{9c16654c-5014-464f-a3ee-4fd5a32caff6}"/>
      </w:docPartPr>
      <w:docPartBody>
        <w:p>
          <w:r>
            <w:rPr>
              <w:color w:val="808080"/>
            </w:rPr>
            <w:t>单击此处输入文字。</w:t>
          </w:r>
        </w:p>
      </w:docPartBody>
    </w:docPart>
    <w:docPart>
      <w:docPartPr>
        <w:name w:val="{bcce42be-fb5c-4a23-96da-217fa0d4a76d}"/>
        <w:style w:val=""/>
        <w:category>
          <w:name w:val="常规"/>
          <w:gallery w:val="placeholder"/>
        </w:category>
        <w:types>
          <w:type w:val="bbPlcHdr"/>
        </w:types>
        <w:behaviors>
          <w:behavior w:val="content"/>
        </w:behaviors>
        <w:description w:val=""/>
        <w:guid w:val="{bcce42be-fb5c-4a23-96da-217fa0d4a76d}"/>
      </w:docPartPr>
      <w:docPartBody>
        <w:p>
          <w:r>
            <w:rPr>
              <w:color w:val="808080"/>
            </w:rPr>
            <w:t>单击此处输入文字。</w:t>
          </w:r>
        </w:p>
      </w:docPartBody>
    </w:docPart>
    <w:docPart>
      <w:docPartPr>
        <w:name w:val="{982c3ad7-8e81-403d-960d-0eece5fcf4d3}"/>
        <w:style w:val=""/>
        <w:category>
          <w:name w:val="常规"/>
          <w:gallery w:val="placeholder"/>
        </w:category>
        <w:types>
          <w:type w:val="bbPlcHdr"/>
        </w:types>
        <w:behaviors>
          <w:behavior w:val="content"/>
        </w:behaviors>
        <w:description w:val=""/>
        <w:guid w:val="{982c3ad7-8e81-403d-960d-0eece5fcf4d3}"/>
      </w:docPartPr>
      <w:docPartBody>
        <w:p>
          <w:r>
            <w:rPr>
              <w:color w:val="808080"/>
            </w:rPr>
            <w:t>单击此处输入文字。</w:t>
          </w:r>
        </w:p>
      </w:docPartBody>
    </w:docPart>
    <w:docPart>
      <w:docPartPr>
        <w:name w:val="{644367f9-4b0c-4d48-b32e-aa539695f81a}"/>
        <w:style w:val=""/>
        <w:category>
          <w:name w:val="常规"/>
          <w:gallery w:val="placeholder"/>
        </w:category>
        <w:types>
          <w:type w:val="bbPlcHdr"/>
        </w:types>
        <w:behaviors>
          <w:behavior w:val="content"/>
        </w:behaviors>
        <w:description w:val=""/>
        <w:guid w:val="{644367f9-4b0c-4d48-b32e-aa539695f81a}"/>
      </w:docPartPr>
      <w:docPartBody>
        <w:p>
          <w:r>
            <w:rPr>
              <w:color w:val="808080"/>
            </w:rPr>
            <w:t>单击此处输入文字。</w:t>
          </w:r>
        </w:p>
      </w:docPartBody>
    </w:docPart>
    <w:docPart>
      <w:docPartPr>
        <w:name w:val="{00448c28-2fa4-4b6a-9230-0bd88a483758}"/>
        <w:style w:val=""/>
        <w:category>
          <w:name w:val="常规"/>
          <w:gallery w:val="placeholder"/>
        </w:category>
        <w:types>
          <w:type w:val="bbPlcHdr"/>
        </w:types>
        <w:behaviors>
          <w:behavior w:val="content"/>
        </w:behaviors>
        <w:description w:val=""/>
        <w:guid w:val="{00448c28-2fa4-4b6a-9230-0bd88a483758}"/>
      </w:docPartPr>
      <w:docPartBody>
        <w:p>
          <w:r>
            <w:rPr>
              <w:color w:val="808080"/>
            </w:rPr>
            <w:t>单击此处输入文字。</w:t>
          </w:r>
        </w:p>
      </w:docPartBody>
    </w:docPart>
    <w:docPart>
      <w:docPartPr>
        <w:name w:val="{44acf8a8-9a7d-4e7b-aa62-a5c9f6dcd1cc}"/>
        <w:style w:val=""/>
        <w:category>
          <w:name w:val="常规"/>
          <w:gallery w:val="placeholder"/>
        </w:category>
        <w:types>
          <w:type w:val="bbPlcHdr"/>
        </w:types>
        <w:behaviors>
          <w:behavior w:val="content"/>
        </w:behaviors>
        <w:description w:val=""/>
        <w:guid w:val="{44acf8a8-9a7d-4e7b-aa62-a5c9f6dcd1cc}"/>
      </w:docPartPr>
      <w:docPartBody>
        <w:p>
          <w:r>
            <w:rPr>
              <w:color w:val="808080"/>
            </w:rPr>
            <w:t>单击此处输入文字。</w:t>
          </w:r>
        </w:p>
      </w:docPartBody>
    </w:docPart>
    <w:docPart>
      <w:docPartPr>
        <w:name w:val="{f3c86307-2b8f-4e29-9c7b-ef5aa31a3b69}"/>
        <w:style w:val=""/>
        <w:category>
          <w:name w:val="常规"/>
          <w:gallery w:val="placeholder"/>
        </w:category>
        <w:types>
          <w:type w:val="bbPlcHdr"/>
        </w:types>
        <w:behaviors>
          <w:behavior w:val="content"/>
        </w:behaviors>
        <w:description w:val=""/>
        <w:guid w:val="{f3c86307-2b8f-4e29-9c7b-ef5aa31a3b69}"/>
      </w:docPartPr>
      <w:docPartBody>
        <w:p>
          <w:r>
            <w:rPr>
              <w:color w:val="808080"/>
            </w:rPr>
            <w:t>单击此处输入文字。</w:t>
          </w:r>
        </w:p>
      </w:docPartBody>
    </w:docPart>
    <w:docPart>
      <w:docPartPr>
        <w:name w:val="{80704a12-ac87-42b2-8e5b-ae178eb541f3}"/>
        <w:style w:val=""/>
        <w:category>
          <w:name w:val="常规"/>
          <w:gallery w:val="placeholder"/>
        </w:category>
        <w:types>
          <w:type w:val="bbPlcHdr"/>
        </w:types>
        <w:behaviors>
          <w:behavior w:val="content"/>
        </w:behaviors>
        <w:description w:val=""/>
        <w:guid w:val="{80704a12-ac87-42b2-8e5b-ae178eb541f3}"/>
      </w:docPartPr>
      <w:docPartBody>
        <w:p>
          <w:r>
            <w:rPr>
              <w:color w:val="808080"/>
            </w:rPr>
            <w:t>单击此处输入文字。</w:t>
          </w:r>
        </w:p>
      </w:docPartBody>
    </w:docPart>
    <w:docPart>
      <w:docPartPr>
        <w:name w:val="{8fbbad5c-6be4-41d8-8229-784f5109b77c}"/>
        <w:style w:val=""/>
        <w:category>
          <w:name w:val="常规"/>
          <w:gallery w:val="placeholder"/>
        </w:category>
        <w:types>
          <w:type w:val="bbPlcHdr"/>
        </w:types>
        <w:behaviors>
          <w:behavior w:val="content"/>
        </w:behaviors>
        <w:description w:val=""/>
        <w:guid w:val="{8fbbad5c-6be4-41d8-8229-784f5109b77c}"/>
      </w:docPartPr>
      <w:docPartBody>
        <w:p>
          <w:r>
            <w:rPr>
              <w:color w:val="808080"/>
            </w:rPr>
            <w:t>单击此处输入文字。</w:t>
          </w:r>
        </w:p>
      </w:docPartBody>
    </w:docPart>
    <w:docPart>
      <w:docPartPr>
        <w:name w:val="{6580246c-5f0f-4f36-81ad-e0539ff44ed6}"/>
        <w:style w:val=""/>
        <w:category>
          <w:name w:val="常规"/>
          <w:gallery w:val="placeholder"/>
        </w:category>
        <w:types>
          <w:type w:val="bbPlcHdr"/>
        </w:types>
        <w:behaviors>
          <w:behavior w:val="content"/>
        </w:behaviors>
        <w:description w:val=""/>
        <w:guid w:val="{6580246c-5f0f-4f36-81ad-e0539ff44ed6}"/>
      </w:docPartPr>
      <w:docPartBody>
        <w:p>
          <w:r>
            <w:rPr>
              <w:color w:val="808080"/>
            </w:rPr>
            <w:t>单击此处输入文字。</w:t>
          </w:r>
        </w:p>
      </w:docPartBody>
    </w:docPart>
    <w:docPart>
      <w:docPartPr>
        <w:name w:val="{05fc5b07-8bb9-4e10-9676-174828cdce87}"/>
        <w:style w:val=""/>
        <w:category>
          <w:name w:val="常规"/>
          <w:gallery w:val="placeholder"/>
        </w:category>
        <w:types>
          <w:type w:val="bbPlcHdr"/>
        </w:types>
        <w:behaviors>
          <w:behavior w:val="content"/>
        </w:behaviors>
        <w:description w:val=""/>
        <w:guid w:val="{05fc5b07-8bb9-4e10-9676-174828cdce87}"/>
      </w:docPartPr>
      <w:docPartBody>
        <w:p>
          <w:r>
            <w:rPr>
              <w:color w:val="808080"/>
            </w:rPr>
            <w:t>单击此处输入文字。</w:t>
          </w:r>
        </w:p>
      </w:docPartBody>
    </w:docPart>
    <w:docPart>
      <w:docPartPr>
        <w:name w:val="{e4df4823-350d-4895-87d7-944b587ea497}"/>
        <w:style w:val=""/>
        <w:category>
          <w:name w:val="常规"/>
          <w:gallery w:val="placeholder"/>
        </w:category>
        <w:types>
          <w:type w:val="bbPlcHdr"/>
        </w:types>
        <w:behaviors>
          <w:behavior w:val="content"/>
        </w:behaviors>
        <w:description w:val=""/>
        <w:guid w:val="{e4df4823-350d-4895-87d7-944b587ea497}"/>
      </w:docPartPr>
      <w:docPartBody>
        <w:p>
          <w:r>
            <w:rPr>
              <w:color w:val="808080"/>
            </w:rPr>
            <w:t>单击此处输入文字。</w:t>
          </w:r>
        </w:p>
      </w:docPartBody>
    </w:docPart>
    <w:docPart>
      <w:docPartPr>
        <w:name w:val="{c857f086-7280-45e8-8231-4f84f04b3afd}"/>
        <w:style w:val=""/>
        <w:category>
          <w:name w:val="常规"/>
          <w:gallery w:val="placeholder"/>
        </w:category>
        <w:types>
          <w:type w:val="bbPlcHdr"/>
        </w:types>
        <w:behaviors>
          <w:behavior w:val="content"/>
        </w:behaviors>
        <w:description w:val=""/>
        <w:guid w:val="{c857f086-7280-45e8-8231-4f84f04b3afd}"/>
      </w:docPartPr>
      <w:docPartBody>
        <w:p>
          <w:r>
            <w:rPr>
              <w:color w:val="808080"/>
            </w:rPr>
            <w:t>单击此处输入文字。</w:t>
          </w:r>
        </w:p>
      </w:docPartBody>
    </w:docPart>
    <w:docPart>
      <w:docPartPr>
        <w:name w:val="{2629d2c4-286f-456b-9f0f-075b8717b511}"/>
        <w:style w:val=""/>
        <w:category>
          <w:name w:val="常规"/>
          <w:gallery w:val="placeholder"/>
        </w:category>
        <w:types>
          <w:type w:val="bbPlcHdr"/>
        </w:types>
        <w:behaviors>
          <w:behavior w:val="content"/>
        </w:behaviors>
        <w:description w:val=""/>
        <w:guid w:val="{2629d2c4-286f-456b-9f0f-075b8717b511}"/>
      </w:docPartPr>
      <w:docPartBody>
        <w:p>
          <w:r>
            <w:rPr>
              <w:color w:val="808080"/>
            </w:rPr>
            <w:t>单击此处输入文字。</w:t>
          </w:r>
        </w:p>
      </w:docPartBody>
    </w:docPart>
    <w:docPart>
      <w:docPartPr>
        <w:name w:val="{18b144c1-6b2e-4ec8-ac76-03fa7eae8cad}"/>
        <w:style w:val=""/>
        <w:category>
          <w:name w:val="常规"/>
          <w:gallery w:val="placeholder"/>
        </w:category>
        <w:types>
          <w:type w:val="bbPlcHdr"/>
        </w:types>
        <w:behaviors>
          <w:behavior w:val="content"/>
        </w:behaviors>
        <w:description w:val=""/>
        <w:guid w:val="{18b144c1-6b2e-4ec8-ac76-03fa7eae8cad}"/>
      </w:docPartPr>
      <w:docPartBody>
        <w:p>
          <w:r>
            <w:rPr>
              <w:color w:val="808080"/>
            </w:rPr>
            <w:t>单击此处输入文字。</w:t>
          </w:r>
        </w:p>
      </w:docPartBody>
    </w:docPart>
    <w:docPart>
      <w:docPartPr>
        <w:name w:val="{1c8b51fe-f460-4b87-a33e-f1492a0ee710}"/>
        <w:style w:val=""/>
        <w:category>
          <w:name w:val="常规"/>
          <w:gallery w:val="placeholder"/>
        </w:category>
        <w:types>
          <w:type w:val="bbPlcHdr"/>
        </w:types>
        <w:behaviors>
          <w:behavior w:val="content"/>
        </w:behaviors>
        <w:description w:val=""/>
        <w:guid w:val="{1c8b51fe-f460-4b87-a33e-f1492a0ee710}"/>
      </w:docPartPr>
      <w:docPartBody>
        <w:p>
          <w:r>
            <w:rPr>
              <w:color w:val="808080"/>
            </w:rPr>
            <w:t>单击此处输入文字。</w:t>
          </w:r>
        </w:p>
      </w:docPartBody>
    </w:docPart>
    <w:docPart>
      <w:docPartPr>
        <w:name w:val="{a1dbc318-8bd7-454e-8852-021f9bae7f0c}"/>
        <w:style w:val=""/>
        <w:category>
          <w:name w:val="常规"/>
          <w:gallery w:val="placeholder"/>
        </w:category>
        <w:types>
          <w:type w:val="bbPlcHdr"/>
        </w:types>
        <w:behaviors>
          <w:behavior w:val="content"/>
        </w:behaviors>
        <w:description w:val=""/>
        <w:guid w:val="{a1dbc318-8bd7-454e-8852-021f9bae7f0c}"/>
      </w:docPartPr>
      <w:docPartBody>
        <w:p>
          <w:r>
            <w:rPr>
              <w:color w:val="808080"/>
            </w:rPr>
            <w:t>单击此处输入文字。</w:t>
          </w:r>
        </w:p>
      </w:docPartBody>
    </w:docPart>
    <w:docPart>
      <w:docPartPr>
        <w:name w:val="{1fdeb6bd-18f2-40c9-83ee-bd57dafb5dde}"/>
        <w:style w:val=""/>
        <w:category>
          <w:name w:val="常规"/>
          <w:gallery w:val="placeholder"/>
        </w:category>
        <w:types>
          <w:type w:val="bbPlcHdr"/>
        </w:types>
        <w:behaviors>
          <w:behavior w:val="content"/>
        </w:behaviors>
        <w:description w:val=""/>
        <w:guid w:val="{1fdeb6bd-18f2-40c9-83ee-bd57dafb5dde}"/>
      </w:docPartPr>
      <w:docPartBody>
        <w:p>
          <w:r>
            <w:rPr>
              <w:color w:val="808080"/>
            </w:rPr>
            <w:t>单击此处输入文字。</w:t>
          </w:r>
        </w:p>
      </w:docPartBody>
    </w:docPart>
    <w:docPart>
      <w:docPartPr>
        <w:name w:val="{47e3aabf-4df8-405e-937a-75e30bcc58f6}"/>
        <w:style w:val=""/>
        <w:category>
          <w:name w:val="常规"/>
          <w:gallery w:val="placeholder"/>
        </w:category>
        <w:types>
          <w:type w:val="bbPlcHdr"/>
        </w:types>
        <w:behaviors>
          <w:behavior w:val="content"/>
        </w:behaviors>
        <w:description w:val=""/>
        <w:guid w:val="{47e3aabf-4df8-405e-937a-75e30bcc58f6}"/>
      </w:docPartPr>
      <w:docPartBody>
        <w:p>
          <w:r>
            <w:rPr>
              <w:color w:val="808080"/>
            </w:rPr>
            <w:t>单击此处输入文字。</w:t>
          </w:r>
        </w:p>
      </w:docPartBody>
    </w:docPart>
    <w:docPart>
      <w:docPartPr>
        <w:name w:val="{f4184cdc-459e-449a-8c3d-46acc2466406}"/>
        <w:style w:val=""/>
        <w:category>
          <w:name w:val="常规"/>
          <w:gallery w:val="placeholder"/>
        </w:category>
        <w:types>
          <w:type w:val="bbPlcHdr"/>
        </w:types>
        <w:behaviors>
          <w:behavior w:val="content"/>
        </w:behaviors>
        <w:description w:val=""/>
        <w:guid w:val="{f4184cdc-459e-449a-8c3d-46acc2466406}"/>
      </w:docPartPr>
      <w:docPartBody>
        <w:p>
          <w:r>
            <w:rPr>
              <w:color w:val="808080"/>
            </w:rPr>
            <w:t>单击此处输入文字。</w:t>
          </w:r>
        </w:p>
      </w:docPartBody>
    </w:docPart>
    <w:docPart>
      <w:docPartPr>
        <w:name w:val="{b2b2f4ea-98dd-4c6d-8661-4da9b20f1a8a}"/>
        <w:style w:val=""/>
        <w:category>
          <w:name w:val="常规"/>
          <w:gallery w:val="placeholder"/>
        </w:category>
        <w:types>
          <w:type w:val="bbPlcHdr"/>
        </w:types>
        <w:behaviors>
          <w:behavior w:val="content"/>
        </w:behaviors>
        <w:description w:val=""/>
        <w:guid w:val="{b2b2f4ea-98dd-4c6d-8661-4da9b20f1a8a}"/>
      </w:docPartPr>
      <w:docPartBody>
        <w:p>
          <w:r>
            <w:rPr>
              <w:color w:val="808080"/>
            </w:rPr>
            <w:t>单击此处输入文字。</w:t>
          </w:r>
        </w:p>
      </w:docPartBody>
    </w:docPart>
    <w:docPart>
      <w:docPartPr>
        <w:name w:val="{c33ae0a6-300a-4109-b5db-760ff5a7a1f6}"/>
        <w:style w:val=""/>
        <w:category>
          <w:name w:val="常规"/>
          <w:gallery w:val="placeholder"/>
        </w:category>
        <w:types>
          <w:type w:val="bbPlcHdr"/>
        </w:types>
        <w:behaviors>
          <w:behavior w:val="content"/>
        </w:behaviors>
        <w:description w:val=""/>
        <w:guid w:val="{c33ae0a6-300a-4109-b5db-760ff5a7a1f6}"/>
      </w:docPartPr>
      <w:docPartBody>
        <w:p>
          <w:r>
            <w:rPr>
              <w:color w:val="808080"/>
            </w:rPr>
            <w:t>单击此处输入文字。</w:t>
          </w:r>
        </w:p>
      </w:docPartBody>
    </w:docPart>
    <w:docPart>
      <w:docPartPr>
        <w:name w:val="{649b01e5-bf55-4849-b45e-87f5198196d2}"/>
        <w:style w:val=""/>
        <w:category>
          <w:name w:val="常规"/>
          <w:gallery w:val="placeholder"/>
        </w:category>
        <w:types>
          <w:type w:val="bbPlcHdr"/>
        </w:types>
        <w:behaviors>
          <w:behavior w:val="content"/>
        </w:behaviors>
        <w:description w:val=""/>
        <w:guid w:val="{649b01e5-bf55-4849-b45e-87f5198196d2}"/>
      </w:docPartPr>
      <w:docPartBody>
        <w:p>
          <w:r>
            <w:rPr>
              <w:color w:val="808080"/>
            </w:rPr>
            <w:t>单击此处输入文字。</w:t>
          </w:r>
        </w:p>
      </w:docPartBody>
    </w:docPart>
    <w:docPart>
      <w:docPartPr>
        <w:name w:val="{0197251a-3d77-4f6e-9aab-970200054c41}"/>
        <w:style w:val=""/>
        <w:category>
          <w:name w:val="常规"/>
          <w:gallery w:val="placeholder"/>
        </w:category>
        <w:types>
          <w:type w:val="bbPlcHdr"/>
        </w:types>
        <w:behaviors>
          <w:behavior w:val="content"/>
        </w:behaviors>
        <w:description w:val=""/>
        <w:guid w:val="{0197251a-3d77-4f6e-9aab-970200054c41}"/>
      </w:docPartPr>
      <w:docPartBody>
        <w:p>
          <w:r>
            <w:rPr>
              <w:color w:val="808080"/>
            </w:rPr>
            <w:t>单击此处输入文字。</w:t>
          </w:r>
        </w:p>
      </w:docPartBody>
    </w:docPart>
    <w:docPart>
      <w:docPartPr>
        <w:name w:val="{a486662e-7937-47f5-95a4-4af3004e1d6b}"/>
        <w:style w:val=""/>
        <w:category>
          <w:name w:val="常规"/>
          <w:gallery w:val="placeholder"/>
        </w:category>
        <w:types>
          <w:type w:val="bbPlcHdr"/>
        </w:types>
        <w:behaviors>
          <w:behavior w:val="content"/>
        </w:behaviors>
        <w:description w:val=""/>
        <w:guid w:val="{a486662e-7937-47f5-95a4-4af3004e1d6b}"/>
      </w:docPartPr>
      <w:docPartBody>
        <w:p>
          <w:r>
            <w:rPr>
              <w:color w:val="808080"/>
            </w:rPr>
            <w:t>单击此处输入文字。</w:t>
          </w:r>
        </w:p>
      </w:docPartBody>
    </w:docPart>
    <w:docPart>
      <w:docPartPr>
        <w:name w:val="{3fdbfafd-5181-4f61-b6d5-997259eac06c}"/>
        <w:style w:val=""/>
        <w:category>
          <w:name w:val="常规"/>
          <w:gallery w:val="placeholder"/>
        </w:category>
        <w:types>
          <w:type w:val="bbPlcHdr"/>
        </w:types>
        <w:behaviors>
          <w:behavior w:val="content"/>
        </w:behaviors>
        <w:description w:val=""/>
        <w:guid w:val="{3fdbfafd-5181-4f61-b6d5-997259eac06c}"/>
      </w:docPartPr>
      <w:docPartBody>
        <w:p>
          <w:r>
            <w:rPr>
              <w:color w:val="808080"/>
            </w:rPr>
            <w:t>单击此处输入文字。</w:t>
          </w:r>
        </w:p>
      </w:docPartBody>
    </w:docPart>
    <w:docPart>
      <w:docPartPr>
        <w:name w:val="{2705e43d-5b97-496d-b4ca-e7547481a596}"/>
        <w:style w:val=""/>
        <w:category>
          <w:name w:val="常规"/>
          <w:gallery w:val="placeholder"/>
        </w:category>
        <w:types>
          <w:type w:val="bbPlcHdr"/>
        </w:types>
        <w:behaviors>
          <w:behavior w:val="content"/>
        </w:behaviors>
        <w:description w:val=""/>
        <w:guid w:val="{2705e43d-5b97-496d-b4ca-e7547481a596}"/>
      </w:docPartPr>
      <w:docPartBody>
        <w:p>
          <w:r>
            <w:rPr>
              <w:color w:val="808080"/>
            </w:rPr>
            <w:t>单击此处输入文字。</w:t>
          </w:r>
        </w:p>
      </w:docPartBody>
    </w:docPart>
    <w:docPart>
      <w:docPartPr>
        <w:name w:val="{4d90067c-8702-470b-8dd4-a73c77f135fb}"/>
        <w:style w:val=""/>
        <w:category>
          <w:name w:val="常规"/>
          <w:gallery w:val="placeholder"/>
        </w:category>
        <w:types>
          <w:type w:val="bbPlcHdr"/>
        </w:types>
        <w:behaviors>
          <w:behavior w:val="content"/>
        </w:behaviors>
        <w:description w:val=""/>
        <w:guid w:val="{4d90067c-8702-470b-8dd4-a73c77f135fb}"/>
      </w:docPartPr>
      <w:docPartBody>
        <w:p>
          <w:r>
            <w:rPr>
              <w:color w:val="808080"/>
            </w:rPr>
            <w:t>单击此处输入文字。</w:t>
          </w:r>
        </w:p>
      </w:docPartBody>
    </w:docPart>
    <w:docPart>
      <w:docPartPr>
        <w:name w:val="{6c1c3798-35e5-41b7-b76d-d62e295361e5}"/>
        <w:style w:val=""/>
        <w:category>
          <w:name w:val="常规"/>
          <w:gallery w:val="placeholder"/>
        </w:category>
        <w:types>
          <w:type w:val="bbPlcHdr"/>
        </w:types>
        <w:behaviors>
          <w:behavior w:val="content"/>
        </w:behaviors>
        <w:description w:val=""/>
        <w:guid w:val="{6c1c3798-35e5-41b7-b76d-d62e295361e5}"/>
      </w:docPartPr>
      <w:docPartBody>
        <w:p>
          <w:r>
            <w:rPr>
              <w:color w:val="808080"/>
            </w:rPr>
            <w:t>单击此处输入文字。</w:t>
          </w:r>
        </w:p>
      </w:docPartBody>
    </w:docPart>
    <w:docPart>
      <w:docPartPr>
        <w:name w:val="{16ce733c-8517-4cd0-ad62-639b18f4440a}"/>
        <w:style w:val=""/>
        <w:category>
          <w:name w:val="常规"/>
          <w:gallery w:val="placeholder"/>
        </w:category>
        <w:types>
          <w:type w:val="bbPlcHdr"/>
        </w:types>
        <w:behaviors>
          <w:behavior w:val="content"/>
        </w:behaviors>
        <w:description w:val=""/>
        <w:guid w:val="{16ce733c-8517-4cd0-ad62-639b18f4440a}"/>
      </w:docPartPr>
      <w:docPartBody>
        <w:p>
          <w:r>
            <w:rPr>
              <w:color w:val="808080"/>
            </w:rPr>
            <w:t>单击此处输入文字。</w:t>
          </w:r>
        </w:p>
      </w:docPartBody>
    </w:docPart>
    <w:docPart>
      <w:docPartPr>
        <w:name w:val="{56e5cbdf-436d-4057-b234-fe88dd0004a0}"/>
        <w:style w:val=""/>
        <w:category>
          <w:name w:val="常规"/>
          <w:gallery w:val="placeholder"/>
        </w:category>
        <w:types>
          <w:type w:val="bbPlcHdr"/>
        </w:types>
        <w:behaviors>
          <w:behavior w:val="content"/>
        </w:behaviors>
        <w:description w:val=""/>
        <w:guid w:val="{56e5cbdf-436d-4057-b234-fe88dd0004a0}"/>
      </w:docPartPr>
      <w:docPartBody>
        <w:p>
          <w:r>
            <w:rPr>
              <w:color w:val="808080"/>
            </w:rPr>
            <w:t>单击此处输入文字。</w:t>
          </w:r>
        </w:p>
      </w:docPartBody>
    </w:docPart>
    <w:docPart>
      <w:docPartPr>
        <w:name w:val="{beab52e4-12c8-4c4f-b7ff-f118dcc2061b}"/>
        <w:style w:val=""/>
        <w:category>
          <w:name w:val="常规"/>
          <w:gallery w:val="placeholder"/>
        </w:category>
        <w:types>
          <w:type w:val="bbPlcHdr"/>
        </w:types>
        <w:behaviors>
          <w:behavior w:val="content"/>
        </w:behaviors>
        <w:description w:val=""/>
        <w:guid w:val="{beab52e4-12c8-4c4f-b7ff-f118dcc2061b}"/>
      </w:docPartPr>
      <w:docPartBody>
        <w:p>
          <w:r>
            <w:rPr>
              <w:color w:val="808080"/>
            </w:rPr>
            <w:t>单击此处输入文字。</w:t>
          </w:r>
        </w:p>
      </w:docPartBody>
    </w:docPart>
    <w:docPart>
      <w:docPartPr>
        <w:name w:val="{5fb82885-d604-4438-837a-f0e94a79dd9a}"/>
        <w:style w:val=""/>
        <w:category>
          <w:name w:val="常规"/>
          <w:gallery w:val="placeholder"/>
        </w:category>
        <w:types>
          <w:type w:val="bbPlcHdr"/>
        </w:types>
        <w:behaviors>
          <w:behavior w:val="content"/>
        </w:behaviors>
        <w:description w:val=""/>
        <w:guid w:val="{5fb82885-d604-4438-837a-f0e94a79dd9a}"/>
      </w:docPartPr>
      <w:docPartBody>
        <w:p>
          <w:r>
            <w:rPr>
              <w:color w:val="808080"/>
            </w:rPr>
            <w:t>单击此处输入文字。</w:t>
          </w:r>
        </w:p>
      </w:docPartBody>
    </w:docPart>
    <w:docPart>
      <w:docPartPr>
        <w:name w:val="{fa479220-d0d8-476e-a995-7c470fbc4273}"/>
        <w:style w:val=""/>
        <w:category>
          <w:name w:val="常规"/>
          <w:gallery w:val="placeholder"/>
        </w:category>
        <w:types>
          <w:type w:val="bbPlcHdr"/>
        </w:types>
        <w:behaviors>
          <w:behavior w:val="content"/>
        </w:behaviors>
        <w:description w:val=""/>
        <w:guid w:val="{fa479220-d0d8-476e-a995-7c470fbc4273}"/>
      </w:docPartPr>
      <w:docPartBody>
        <w:p>
          <w:r>
            <w:rPr>
              <w:color w:val="808080"/>
            </w:rPr>
            <w:t>单击此处输入文字。</w:t>
          </w:r>
        </w:p>
      </w:docPartBody>
    </w:docPart>
    <w:docPart>
      <w:docPartPr>
        <w:name w:val="{9501ffc5-efaa-4a53-886e-2c3d2cf940d2}"/>
        <w:style w:val=""/>
        <w:category>
          <w:name w:val="常规"/>
          <w:gallery w:val="placeholder"/>
        </w:category>
        <w:types>
          <w:type w:val="bbPlcHdr"/>
        </w:types>
        <w:behaviors>
          <w:behavior w:val="content"/>
        </w:behaviors>
        <w:description w:val=""/>
        <w:guid w:val="{9501ffc5-efaa-4a53-886e-2c3d2cf940d2}"/>
      </w:docPartPr>
      <w:docPartBody>
        <w:p>
          <w:r>
            <w:rPr>
              <w:color w:val="808080"/>
            </w:rPr>
            <w:t>单击此处输入文字。</w:t>
          </w:r>
        </w:p>
      </w:docPartBody>
    </w:docPart>
    <w:docPart>
      <w:docPartPr>
        <w:name w:val="{3176d902-2460-4c67-895c-24ffb94aae5c}"/>
        <w:style w:val=""/>
        <w:category>
          <w:name w:val="常规"/>
          <w:gallery w:val="placeholder"/>
        </w:category>
        <w:types>
          <w:type w:val="bbPlcHdr"/>
        </w:types>
        <w:behaviors>
          <w:behavior w:val="content"/>
        </w:behaviors>
        <w:description w:val=""/>
        <w:guid w:val="{3176d902-2460-4c67-895c-24ffb94aae5c}"/>
      </w:docPartPr>
      <w:docPartBody>
        <w:p>
          <w:r>
            <w:rPr>
              <w:color w:val="808080"/>
            </w:rPr>
            <w:t>单击此处输入文字。</w:t>
          </w:r>
        </w:p>
      </w:docPartBody>
    </w:docPart>
    <w:docPart>
      <w:docPartPr>
        <w:name w:val="{b685796a-981b-4213-b047-0f5e7874994e}"/>
        <w:style w:val=""/>
        <w:category>
          <w:name w:val="常规"/>
          <w:gallery w:val="placeholder"/>
        </w:category>
        <w:types>
          <w:type w:val="bbPlcHdr"/>
        </w:types>
        <w:behaviors>
          <w:behavior w:val="content"/>
        </w:behaviors>
        <w:description w:val=""/>
        <w:guid w:val="{b685796a-981b-4213-b047-0f5e7874994e}"/>
      </w:docPartPr>
      <w:docPartBody>
        <w:p>
          <w:r>
            <w:rPr>
              <w:color w:val="808080"/>
            </w:rPr>
            <w:t>单击此处输入文字。</w:t>
          </w:r>
        </w:p>
      </w:docPartBody>
    </w:docPart>
    <w:docPart>
      <w:docPartPr>
        <w:name w:val="{fd8606c9-b26a-4701-82e4-5f08b04f0155}"/>
        <w:style w:val=""/>
        <w:category>
          <w:name w:val="常规"/>
          <w:gallery w:val="placeholder"/>
        </w:category>
        <w:types>
          <w:type w:val="bbPlcHdr"/>
        </w:types>
        <w:behaviors>
          <w:behavior w:val="content"/>
        </w:behaviors>
        <w:description w:val=""/>
        <w:guid w:val="{fd8606c9-b26a-4701-82e4-5f08b04f0155}"/>
      </w:docPartPr>
      <w:docPartBody>
        <w:p>
          <w:r>
            <w:rPr>
              <w:color w:val="808080"/>
            </w:rPr>
            <w:t>单击此处输入文字。</w:t>
          </w:r>
        </w:p>
      </w:docPartBody>
    </w:docPart>
    <w:docPart>
      <w:docPartPr>
        <w:name w:val="{a62c5a28-0053-40ee-a430-9224d2b926e0}"/>
        <w:style w:val=""/>
        <w:category>
          <w:name w:val="常规"/>
          <w:gallery w:val="placeholder"/>
        </w:category>
        <w:types>
          <w:type w:val="bbPlcHdr"/>
        </w:types>
        <w:behaviors>
          <w:behavior w:val="content"/>
        </w:behaviors>
        <w:description w:val=""/>
        <w:guid w:val="{a62c5a28-0053-40ee-a430-9224d2b926e0}"/>
      </w:docPartPr>
      <w:docPartBody>
        <w:p>
          <w:r>
            <w:rPr>
              <w:color w:val="808080"/>
            </w:rPr>
            <w:t>单击此处输入文字。</w:t>
          </w:r>
        </w:p>
      </w:docPartBody>
    </w:docPart>
    <w:docPart>
      <w:docPartPr>
        <w:name w:val="{00c6214d-240f-47f0-b37c-c0d59be9a017}"/>
        <w:style w:val=""/>
        <w:category>
          <w:name w:val="常规"/>
          <w:gallery w:val="placeholder"/>
        </w:category>
        <w:types>
          <w:type w:val="bbPlcHdr"/>
        </w:types>
        <w:behaviors>
          <w:behavior w:val="content"/>
        </w:behaviors>
        <w:description w:val=""/>
        <w:guid w:val="{00c6214d-240f-47f0-b37c-c0d59be9a017}"/>
      </w:docPartPr>
      <w:docPartBody>
        <w:p>
          <w:r>
            <w:rPr>
              <w:color w:val="808080"/>
            </w:rPr>
            <w:t>单击此处输入文字。</w:t>
          </w:r>
        </w:p>
      </w:docPartBody>
    </w:docPart>
    <w:docPart>
      <w:docPartPr>
        <w:name w:val="{4c1b116a-be5c-4dee-b536-89f1d8a8e9bb}"/>
        <w:style w:val=""/>
        <w:category>
          <w:name w:val="常规"/>
          <w:gallery w:val="placeholder"/>
        </w:category>
        <w:types>
          <w:type w:val="bbPlcHdr"/>
        </w:types>
        <w:behaviors>
          <w:behavior w:val="content"/>
        </w:behaviors>
        <w:description w:val=""/>
        <w:guid w:val="{4c1b116a-be5c-4dee-b536-89f1d8a8e9bb}"/>
      </w:docPartPr>
      <w:docPartBody>
        <w:p>
          <w:r>
            <w:rPr>
              <w:color w:val="808080"/>
            </w:rPr>
            <w:t>单击此处输入文字。</w:t>
          </w:r>
        </w:p>
      </w:docPartBody>
    </w:docPart>
    <w:docPart>
      <w:docPartPr>
        <w:name w:val="{b9d66849-08ab-4910-add0-98c13831343d}"/>
        <w:style w:val=""/>
        <w:category>
          <w:name w:val="常规"/>
          <w:gallery w:val="placeholder"/>
        </w:category>
        <w:types>
          <w:type w:val="bbPlcHdr"/>
        </w:types>
        <w:behaviors>
          <w:behavior w:val="content"/>
        </w:behaviors>
        <w:description w:val=""/>
        <w:guid w:val="{b9d66849-08ab-4910-add0-98c13831343d}"/>
      </w:docPartPr>
      <w:docPartBody>
        <w:p>
          <w:r>
            <w:rPr>
              <w:color w:val="808080"/>
            </w:rPr>
            <w:t>单击此处输入文字。</w:t>
          </w:r>
        </w:p>
      </w:docPartBody>
    </w:docPart>
    <w:docPart>
      <w:docPartPr>
        <w:name w:val="{b456a051-8368-4726-a517-ba1c0d02b290}"/>
        <w:style w:val=""/>
        <w:category>
          <w:name w:val="常规"/>
          <w:gallery w:val="placeholder"/>
        </w:category>
        <w:types>
          <w:type w:val="bbPlcHdr"/>
        </w:types>
        <w:behaviors>
          <w:behavior w:val="content"/>
        </w:behaviors>
        <w:description w:val=""/>
        <w:guid w:val="{b456a051-8368-4726-a517-ba1c0d02b290}"/>
      </w:docPartPr>
      <w:docPartBody>
        <w:p>
          <w:r>
            <w:rPr>
              <w:color w:val="808080"/>
            </w:rPr>
            <w:t>单击此处输入文字。</w:t>
          </w:r>
        </w:p>
      </w:docPartBody>
    </w:docPart>
    <w:docPart>
      <w:docPartPr>
        <w:name w:val="{869ba2d5-a543-465a-9444-0785fdd422c6}"/>
        <w:style w:val=""/>
        <w:category>
          <w:name w:val="常规"/>
          <w:gallery w:val="placeholder"/>
        </w:category>
        <w:types>
          <w:type w:val="bbPlcHdr"/>
        </w:types>
        <w:behaviors>
          <w:behavior w:val="content"/>
        </w:behaviors>
        <w:description w:val=""/>
        <w:guid w:val="{869ba2d5-a543-465a-9444-0785fdd422c6}"/>
      </w:docPartPr>
      <w:docPartBody>
        <w:p>
          <w:r>
            <w:rPr>
              <w:color w:val="808080"/>
            </w:rPr>
            <w:t>单击此处输入文字。</w:t>
          </w:r>
        </w:p>
      </w:docPartBody>
    </w:docPart>
    <w:docPart>
      <w:docPartPr>
        <w:name w:val="{0b5a0e4c-82fd-474a-b98c-2be40dbeb43b}"/>
        <w:style w:val=""/>
        <w:category>
          <w:name w:val="常规"/>
          <w:gallery w:val="placeholder"/>
        </w:category>
        <w:types>
          <w:type w:val="bbPlcHdr"/>
        </w:types>
        <w:behaviors>
          <w:behavior w:val="content"/>
        </w:behaviors>
        <w:description w:val=""/>
        <w:guid w:val="{0b5a0e4c-82fd-474a-b98c-2be40dbeb43b}"/>
      </w:docPartPr>
      <w:docPartBody>
        <w:p>
          <w:r>
            <w:rPr>
              <w:color w:val="808080"/>
            </w:rPr>
            <w:t>单击此处输入文字。</w:t>
          </w:r>
        </w:p>
      </w:docPartBody>
    </w:docPart>
    <w:docPart>
      <w:docPartPr>
        <w:name w:val="{957d805d-fa82-47e3-9dac-c0889903deb1}"/>
        <w:style w:val=""/>
        <w:category>
          <w:name w:val="常规"/>
          <w:gallery w:val="placeholder"/>
        </w:category>
        <w:types>
          <w:type w:val="bbPlcHdr"/>
        </w:types>
        <w:behaviors>
          <w:behavior w:val="content"/>
        </w:behaviors>
        <w:description w:val=""/>
        <w:guid w:val="{957d805d-fa82-47e3-9dac-c0889903deb1}"/>
      </w:docPartPr>
      <w:docPartBody>
        <w:p>
          <w:r>
            <w:rPr>
              <w:color w:val="808080"/>
            </w:rPr>
            <w:t>单击此处输入文字。</w:t>
          </w:r>
        </w:p>
      </w:docPartBody>
    </w:docPart>
    <w:docPart>
      <w:docPartPr>
        <w:name w:val="{527e1c5f-30e6-4c8a-9164-1543be5b1675}"/>
        <w:style w:val=""/>
        <w:category>
          <w:name w:val="常规"/>
          <w:gallery w:val="placeholder"/>
        </w:category>
        <w:types>
          <w:type w:val="bbPlcHdr"/>
        </w:types>
        <w:behaviors>
          <w:behavior w:val="content"/>
        </w:behaviors>
        <w:description w:val=""/>
        <w:guid w:val="{527e1c5f-30e6-4c8a-9164-1543be5b1675}"/>
      </w:docPartPr>
      <w:docPartBody>
        <w:p>
          <w:r>
            <w:rPr>
              <w:color w:val="808080"/>
            </w:rPr>
            <w:t>单击此处输入文字。</w:t>
          </w:r>
        </w:p>
      </w:docPartBody>
    </w:docPart>
    <w:docPart>
      <w:docPartPr>
        <w:name w:val="{f36cd486-f019-44e1-8b03-b3bcd0208463}"/>
        <w:style w:val=""/>
        <w:category>
          <w:name w:val="常规"/>
          <w:gallery w:val="placeholder"/>
        </w:category>
        <w:types>
          <w:type w:val="bbPlcHdr"/>
        </w:types>
        <w:behaviors>
          <w:behavior w:val="content"/>
        </w:behaviors>
        <w:description w:val=""/>
        <w:guid w:val="{f36cd486-f019-44e1-8b03-b3bcd0208463}"/>
      </w:docPartPr>
      <w:docPartBody>
        <w:p>
          <w:r>
            <w:rPr>
              <w:color w:val="808080"/>
            </w:rPr>
            <w:t>单击此处输入文字。</w:t>
          </w:r>
        </w:p>
      </w:docPartBody>
    </w:docPart>
    <w:docPart>
      <w:docPartPr>
        <w:name w:val="{608346b3-9c2c-4f5b-ab03-fbdea07d2dc3}"/>
        <w:style w:val=""/>
        <w:category>
          <w:name w:val="常规"/>
          <w:gallery w:val="placeholder"/>
        </w:category>
        <w:types>
          <w:type w:val="bbPlcHdr"/>
        </w:types>
        <w:behaviors>
          <w:behavior w:val="content"/>
        </w:behaviors>
        <w:description w:val=""/>
        <w:guid w:val="{608346b3-9c2c-4f5b-ab03-fbdea07d2dc3}"/>
      </w:docPartPr>
      <w:docPartBody>
        <w:p>
          <w:r>
            <w:rPr>
              <w:color w:val="808080"/>
            </w:rPr>
            <w:t>单击此处输入文字。</w:t>
          </w:r>
        </w:p>
      </w:docPartBody>
    </w:docPart>
    <w:docPart>
      <w:docPartPr>
        <w:name w:val="{b2e2134e-4a21-4892-80ee-773f28dffd8e}"/>
        <w:style w:val=""/>
        <w:category>
          <w:name w:val="常规"/>
          <w:gallery w:val="placeholder"/>
        </w:category>
        <w:types>
          <w:type w:val="bbPlcHdr"/>
        </w:types>
        <w:behaviors>
          <w:behavior w:val="content"/>
        </w:behaviors>
        <w:description w:val=""/>
        <w:guid w:val="{b2e2134e-4a21-4892-80ee-773f28dffd8e}"/>
      </w:docPartPr>
      <w:docPartBody>
        <w:p>
          <w:r>
            <w:rPr>
              <w:color w:val="808080"/>
            </w:rPr>
            <w:t>单击此处输入文字。</w:t>
          </w:r>
        </w:p>
      </w:docPartBody>
    </w:docPart>
    <w:docPart>
      <w:docPartPr>
        <w:name w:val="{08757ba6-9234-449e-8344-f2670ecd1185}"/>
        <w:style w:val=""/>
        <w:category>
          <w:name w:val="常规"/>
          <w:gallery w:val="placeholder"/>
        </w:category>
        <w:types>
          <w:type w:val="bbPlcHdr"/>
        </w:types>
        <w:behaviors>
          <w:behavior w:val="content"/>
        </w:behaviors>
        <w:description w:val=""/>
        <w:guid w:val="{08757ba6-9234-449e-8344-f2670ecd1185}"/>
      </w:docPartPr>
      <w:docPartBody>
        <w:p>
          <w:r>
            <w:rPr>
              <w:color w:val="808080"/>
            </w:rPr>
            <w:t>单击此处输入文字。</w:t>
          </w:r>
        </w:p>
      </w:docPartBody>
    </w:docPart>
    <w:docPart>
      <w:docPartPr>
        <w:name w:val="{692e6dfb-6d3c-4e16-a86c-e01b32dce2e4}"/>
        <w:style w:val=""/>
        <w:category>
          <w:name w:val="常规"/>
          <w:gallery w:val="placeholder"/>
        </w:category>
        <w:types>
          <w:type w:val="bbPlcHdr"/>
        </w:types>
        <w:behaviors>
          <w:behavior w:val="content"/>
        </w:behaviors>
        <w:description w:val=""/>
        <w:guid w:val="{692e6dfb-6d3c-4e16-a86c-e01b32dce2e4}"/>
      </w:docPartPr>
      <w:docPartBody>
        <w:p>
          <w:r>
            <w:rPr>
              <w:color w:val="808080"/>
            </w:rPr>
            <w:t>单击此处输入文字。</w:t>
          </w:r>
        </w:p>
      </w:docPartBody>
    </w:docPart>
    <w:docPart>
      <w:docPartPr>
        <w:name w:val="{dea06273-e976-4cf4-953f-fd0df3ab784d}"/>
        <w:style w:val=""/>
        <w:category>
          <w:name w:val="常规"/>
          <w:gallery w:val="placeholder"/>
        </w:category>
        <w:types>
          <w:type w:val="bbPlcHdr"/>
        </w:types>
        <w:behaviors>
          <w:behavior w:val="content"/>
        </w:behaviors>
        <w:description w:val=""/>
        <w:guid w:val="{dea06273-e976-4cf4-953f-fd0df3ab784d}"/>
      </w:docPartPr>
      <w:docPartBody>
        <w:p>
          <w:r>
            <w:rPr>
              <w:color w:val="808080"/>
            </w:rPr>
            <w:t>单击此处输入文字。</w:t>
          </w:r>
        </w:p>
      </w:docPartBody>
    </w:docPart>
    <w:docPart>
      <w:docPartPr>
        <w:name w:val="{8ed84e69-1b95-4161-8a8b-d77becc40ef1}"/>
        <w:style w:val=""/>
        <w:category>
          <w:name w:val="常规"/>
          <w:gallery w:val="placeholder"/>
        </w:category>
        <w:types>
          <w:type w:val="bbPlcHdr"/>
        </w:types>
        <w:behaviors>
          <w:behavior w:val="content"/>
        </w:behaviors>
        <w:description w:val=""/>
        <w:guid w:val="{8ed84e69-1b95-4161-8a8b-d77becc40ef1}"/>
      </w:docPartPr>
      <w:docPartBody>
        <w:p>
          <w:r>
            <w:rPr>
              <w:color w:val="808080"/>
            </w:rPr>
            <w:t>单击此处输入文字。</w:t>
          </w:r>
        </w:p>
      </w:docPartBody>
    </w:docPart>
    <w:docPart>
      <w:docPartPr>
        <w:name w:val="{c0ca0c3a-e3ed-4863-96a4-53fb3550a17a}"/>
        <w:style w:val=""/>
        <w:category>
          <w:name w:val="常规"/>
          <w:gallery w:val="placeholder"/>
        </w:category>
        <w:types>
          <w:type w:val="bbPlcHdr"/>
        </w:types>
        <w:behaviors>
          <w:behavior w:val="content"/>
        </w:behaviors>
        <w:description w:val=""/>
        <w:guid w:val="{c0ca0c3a-e3ed-4863-96a4-53fb3550a17a}"/>
      </w:docPartPr>
      <w:docPartBody>
        <w:p>
          <w:r>
            <w:rPr>
              <w:color w:val="808080"/>
            </w:rPr>
            <w:t>单击此处输入文字。</w:t>
          </w:r>
        </w:p>
      </w:docPartBody>
    </w:docPart>
    <w:docPart>
      <w:docPartPr>
        <w:name w:val="{2ca1ff1a-f812-4d0b-9c48-1026b5a72dc9}"/>
        <w:style w:val=""/>
        <w:category>
          <w:name w:val="常规"/>
          <w:gallery w:val="placeholder"/>
        </w:category>
        <w:types>
          <w:type w:val="bbPlcHdr"/>
        </w:types>
        <w:behaviors>
          <w:behavior w:val="content"/>
        </w:behaviors>
        <w:description w:val=""/>
        <w:guid w:val="{2ca1ff1a-f812-4d0b-9c48-1026b5a72dc9}"/>
      </w:docPartPr>
      <w:docPartBody>
        <w:p>
          <w:r>
            <w:rPr>
              <w:color w:val="808080"/>
            </w:rPr>
            <w:t>单击此处输入文字。</w:t>
          </w:r>
        </w:p>
      </w:docPartBody>
    </w:docPart>
    <w:docPart>
      <w:docPartPr>
        <w:name w:val="{9a531c3e-fb5b-4082-bf5d-f81a914ad3fa}"/>
        <w:style w:val=""/>
        <w:category>
          <w:name w:val="常规"/>
          <w:gallery w:val="placeholder"/>
        </w:category>
        <w:types>
          <w:type w:val="bbPlcHdr"/>
        </w:types>
        <w:behaviors>
          <w:behavior w:val="content"/>
        </w:behaviors>
        <w:description w:val=""/>
        <w:guid w:val="{9a531c3e-fb5b-4082-bf5d-f81a914ad3fa}"/>
      </w:docPartPr>
      <w:docPartBody>
        <w:p>
          <w:r>
            <w:rPr>
              <w:color w:val="808080"/>
            </w:rPr>
            <w:t>单击此处输入文字。</w:t>
          </w:r>
        </w:p>
      </w:docPartBody>
    </w:docPart>
    <w:docPart>
      <w:docPartPr>
        <w:name w:val="{a186f3f6-4b79-4df5-a577-d47dd021f9cf}"/>
        <w:style w:val=""/>
        <w:category>
          <w:name w:val="常规"/>
          <w:gallery w:val="placeholder"/>
        </w:category>
        <w:types>
          <w:type w:val="bbPlcHdr"/>
        </w:types>
        <w:behaviors>
          <w:behavior w:val="content"/>
        </w:behaviors>
        <w:description w:val=""/>
        <w:guid w:val="{a186f3f6-4b79-4df5-a577-d47dd021f9cf}"/>
      </w:docPartPr>
      <w:docPartBody>
        <w:p>
          <w:r>
            <w:rPr>
              <w:color w:val="808080"/>
            </w:rPr>
            <w:t>单击此处输入文字。</w:t>
          </w:r>
        </w:p>
      </w:docPartBody>
    </w:docPart>
    <w:docPart>
      <w:docPartPr>
        <w:name w:val="{68ed42e1-a81b-41f5-8ca0-dbb5316357d8}"/>
        <w:style w:val=""/>
        <w:category>
          <w:name w:val="常规"/>
          <w:gallery w:val="placeholder"/>
        </w:category>
        <w:types>
          <w:type w:val="bbPlcHdr"/>
        </w:types>
        <w:behaviors>
          <w:behavior w:val="content"/>
        </w:behaviors>
        <w:description w:val=""/>
        <w:guid w:val="{68ed42e1-a81b-41f5-8ca0-dbb5316357d8}"/>
      </w:docPartPr>
      <w:docPartBody>
        <w:p>
          <w:r>
            <w:rPr>
              <w:color w:val="808080"/>
            </w:rPr>
            <w:t>单击此处输入文字。</w:t>
          </w:r>
        </w:p>
      </w:docPartBody>
    </w:docPart>
    <w:docPart>
      <w:docPartPr>
        <w:name w:val="{fc8fa58d-5b79-4294-8f60-ac0939c7a4d3}"/>
        <w:style w:val=""/>
        <w:category>
          <w:name w:val="常规"/>
          <w:gallery w:val="placeholder"/>
        </w:category>
        <w:types>
          <w:type w:val="bbPlcHdr"/>
        </w:types>
        <w:behaviors>
          <w:behavior w:val="content"/>
        </w:behaviors>
        <w:description w:val=""/>
        <w:guid w:val="{fc8fa58d-5b79-4294-8f60-ac0939c7a4d3}"/>
      </w:docPartPr>
      <w:docPartBody>
        <w:p>
          <w:r>
            <w:rPr>
              <w:color w:val="808080"/>
            </w:rPr>
            <w:t>单击此处输入文字。</w:t>
          </w:r>
        </w:p>
      </w:docPartBody>
    </w:docPart>
    <w:docPart>
      <w:docPartPr>
        <w:name w:val="{8af5c8f3-4b5e-4f5a-a1af-a3610e8b0d71}"/>
        <w:style w:val=""/>
        <w:category>
          <w:name w:val="常规"/>
          <w:gallery w:val="placeholder"/>
        </w:category>
        <w:types>
          <w:type w:val="bbPlcHdr"/>
        </w:types>
        <w:behaviors>
          <w:behavior w:val="content"/>
        </w:behaviors>
        <w:description w:val=""/>
        <w:guid w:val="{8af5c8f3-4b5e-4f5a-a1af-a3610e8b0d71}"/>
      </w:docPartPr>
      <w:docPartBody>
        <w:p>
          <w:r>
            <w:rPr>
              <w:color w:val="808080"/>
            </w:rPr>
            <w:t>单击此处输入文字。</w:t>
          </w:r>
        </w:p>
      </w:docPartBody>
    </w:docPart>
    <w:docPart>
      <w:docPartPr>
        <w:name w:val="{fdf4d81c-f987-4783-8da6-f97a4dfc8d4a}"/>
        <w:style w:val=""/>
        <w:category>
          <w:name w:val="常规"/>
          <w:gallery w:val="placeholder"/>
        </w:category>
        <w:types>
          <w:type w:val="bbPlcHdr"/>
        </w:types>
        <w:behaviors>
          <w:behavior w:val="content"/>
        </w:behaviors>
        <w:description w:val=""/>
        <w:guid w:val="{fdf4d81c-f987-4783-8da6-f97a4dfc8d4a}"/>
      </w:docPartPr>
      <w:docPartBody>
        <w:p>
          <w:r>
            <w:rPr>
              <w:color w:val="808080"/>
            </w:rPr>
            <w:t>单击此处输入文字。</w:t>
          </w:r>
        </w:p>
      </w:docPartBody>
    </w:docPart>
    <w:docPart>
      <w:docPartPr>
        <w:name w:val="{1d90ceda-8f87-4d95-92fa-a85b9210de0f}"/>
        <w:style w:val=""/>
        <w:category>
          <w:name w:val="常规"/>
          <w:gallery w:val="placeholder"/>
        </w:category>
        <w:types>
          <w:type w:val="bbPlcHdr"/>
        </w:types>
        <w:behaviors>
          <w:behavior w:val="content"/>
        </w:behaviors>
        <w:description w:val=""/>
        <w:guid w:val="{1d90ceda-8f87-4d95-92fa-a85b9210de0f}"/>
      </w:docPartPr>
      <w:docPartBody>
        <w:p>
          <w:r>
            <w:rPr>
              <w:color w:val="808080"/>
            </w:rPr>
            <w:t>单击此处输入文字。</w:t>
          </w:r>
        </w:p>
      </w:docPartBody>
    </w:docPart>
    <w:docPart>
      <w:docPartPr>
        <w:name w:val="{e93c35ca-adcd-497d-929b-6a752b775436}"/>
        <w:style w:val=""/>
        <w:category>
          <w:name w:val="常规"/>
          <w:gallery w:val="placeholder"/>
        </w:category>
        <w:types>
          <w:type w:val="bbPlcHdr"/>
        </w:types>
        <w:behaviors>
          <w:behavior w:val="content"/>
        </w:behaviors>
        <w:description w:val=""/>
        <w:guid w:val="{e93c35ca-adcd-497d-929b-6a752b775436}"/>
      </w:docPartPr>
      <w:docPartBody>
        <w:p>
          <w:r>
            <w:rPr>
              <w:color w:val="808080"/>
            </w:rPr>
            <w:t>单击此处输入文字。</w:t>
          </w:r>
        </w:p>
      </w:docPartBody>
    </w:docPart>
    <w:docPart>
      <w:docPartPr>
        <w:name w:val="{7176d6a4-0672-44ce-8d92-b56647a9a7b4}"/>
        <w:style w:val=""/>
        <w:category>
          <w:name w:val="常规"/>
          <w:gallery w:val="placeholder"/>
        </w:category>
        <w:types>
          <w:type w:val="bbPlcHdr"/>
        </w:types>
        <w:behaviors>
          <w:behavior w:val="content"/>
        </w:behaviors>
        <w:description w:val=""/>
        <w:guid w:val="{7176d6a4-0672-44ce-8d92-b56647a9a7b4}"/>
      </w:docPartPr>
      <w:docPartBody>
        <w:p>
          <w:r>
            <w:rPr>
              <w:color w:val="808080"/>
            </w:rPr>
            <w:t>单击此处输入文字。</w:t>
          </w:r>
        </w:p>
      </w:docPartBody>
    </w:docPart>
    <w:docPart>
      <w:docPartPr>
        <w:name w:val="{62e79fc1-b627-41b0-86e8-cf4454819bfe}"/>
        <w:style w:val=""/>
        <w:category>
          <w:name w:val="常规"/>
          <w:gallery w:val="placeholder"/>
        </w:category>
        <w:types>
          <w:type w:val="bbPlcHdr"/>
        </w:types>
        <w:behaviors>
          <w:behavior w:val="content"/>
        </w:behaviors>
        <w:description w:val=""/>
        <w:guid w:val="{62e79fc1-b627-41b0-86e8-cf4454819bfe}"/>
      </w:docPartPr>
      <w:docPartBody>
        <w:p>
          <w:r>
            <w:rPr>
              <w:color w:val="808080"/>
            </w:rPr>
            <w:t>单击此处输入文字。</w:t>
          </w:r>
        </w:p>
      </w:docPartBody>
    </w:docPart>
    <w:docPart>
      <w:docPartPr>
        <w:name w:val="{153c7cb4-bf0e-4aba-81e6-a41640b29594}"/>
        <w:style w:val=""/>
        <w:category>
          <w:name w:val="常规"/>
          <w:gallery w:val="placeholder"/>
        </w:category>
        <w:types>
          <w:type w:val="bbPlcHdr"/>
        </w:types>
        <w:behaviors>
          <w:behavior w:val="content"/>
        </w:behaviors>
        <w:description w:val=""/>
        <w:guid w:val="{153c7cb4-bf0e-4aba-81e6-a41640b29594}"/>
      </w:docPartPr>
      <w:docPartBody>
        <w:p>
          <w:r>
            <w:rPr>
              <w:color w:val="808080"/>
            </w:rPr>
            <w:t>单击此处输入文字。</w:t>
          </w:r>
        </w:p>
      </w:docPartBody>
    </w:docPart>
    <w:docPart>
      <w:docPartPr>
        <w:name w:val="{5d488cb2-c445-4c0f-a698-12ce8c014eea}"/>
        <w:style w:val=""/>
        <w:category>
          <w:name w:val="常规"/>
          <w:gallery w:val="placeholder"/>
        </w:category>
        <w:types>
          <w:type w:val="bbPlcHdr"/>
        </w:types>
        <w:behaviors>
          <w:behavior w:val="content"/>
        </w:behaviors>
        <w:description w:val=""/>
        <w:guid w:val="{5d488cb2-c445-4c0f-a698-12ce8c014eea}"/>
      </w:docPartPr>
      <w:docPartBody>
        <w:p>
          <w:r>
            <w:rPr>
              <w:color w:val="808080"/>
            </w:rPr>
            <w:t>单击此处输入文字。</w:t>
          </w:r>
        </w:p>
      </w:docPartBody>
    </w:docPart>
    <w:docPart>
      <w:docPartPr>
        <w:name w:val="{50799260-b37d-41c7-9dff-6648a543d113}"/>
        <w:style w:val=""/>
        <w:category>
          <w:name w:val="常规"/>
          <w:gallery w:val="placeholder"/>
        </w:category>
        <w:types>
          <w:type w:val="bbPlcHdr"/>
        </w:types>
        <w:behaviors>
          <w:behavior w:val="content"/>
        </w:behaviors>
        <w:description w:val=""/>
        <w:guid w:val="{50799260-b37d-41c7-9dff-6648a543d113}"/>
      </w:docPartPr>
      <w:docPartBody>
        <w:p>
          <w:r>
            <w:rPr>
              <w:color w:val="808080"/>
            </w:rPr>
            <w:t>单击此处输入文字。</w:t>
          </w:r>
        </w:p>
      </w:docPartBody>
    </w:docPart>
    <w:docPart>
      <w:docPartPr>
        <w:name w:val="{79d28f92-00f7-4731-934b-c039577cc5e2}"/>
        <w:style w:val=""/>
        <w:category>
          <w:name w:val="常规"/>
          <w:gallery w:val="placeholder"/>
        </w:category>
        <w:types>
          <w:type w:val="bbPlcHdr"/>
        </w:types>
        <w:behaviors>
          <w:behavior w:val="content"/>
        </w:behaviors>
        <w:description w:val=""/>
        <w:guid w:val="{79d28f92-00f7-4731-934b-c039577cc5e2}"/>
      </w:docPartPr>
      <w:docPartBody>
        <w:p>
          <w:r>
            <w:rPr>
              <w:color w:val="808080"/>
            </w:rPr>
            <w:t>单击此处输入文字。</w:t>
          </w:r>
        </w:p>
      </w:docPartBody>
    </w:docPart>
    <w:docPart>
      <w:docPartPr>
        <w:name w:val="{3376f03d-6da5-4c45-a473-6546808050ae}"/>
        <w:style w:val=""/>
        <w:category>
          <w:name w:val="常规"/>
          <w:gallery w:val="placeholder"/>
        </w:category>
        <w:types>
          <w:type w:val="bbPlcHdr"/>
        </w:types>
        <w:behaviors>
          <w:behavior w:val="content"/>
        </w:behaviors>
        <w:description w:val=""/>
        <w:guid w:val="{3376f03d-6da5-4c45-a473-6546808050ae}"/>
      </w:docPartPr>
      <w:docPartBody>
        <w:p>
          <w:r>
            <w:rPr>
              <w:color w:val="808080"/>
            </w:rPr>
            <w:t>单击此处输入文字。</w:t>
          </w:r>
        </w:p>
      </w:docPartBody>
    </w:docPart>
    <w:docPart>
      <w:docPartPr>
        <w:name w:val="{c37c43ba-c50d-436b-888c-41812da1c7a0}"/>
        <w:style w:val=""/>
        <w:category>
          <w:name w:val="常规"/>
          <w:gallery w:val="placeholder"/>
        </w:category>
        <w:types>
          <w:type w:val="bbPlcHdr"/>
        </w:types>
        <w:behaviors>
          <w:behavior w:val="content"/>
        </w:behaviors>
        <w:description w:val=""/>
        <w:guid w:val="{c37c43ba-c50d-436b-888c-41812da1c7a0}"/>
      </w:docPartPr>
      <w:docPartBody>
        <w:p>
          <w:r>
            <w:rPr>
              <w:color w:val="808080"/>
            </w:rPr>
            <w:t>单击此处输入文字。</w:t>
          </w:r>
        </w:p>
      </w:docPartBody>
    </w:docPart>
    <w:docPart>
      <w:docPartPr>
        <w:name w:val="{3eb353be-5c23-4aba-aecb-11527315bab6}"/>
        <w:style w:val=""/>
        <w:category>
          <w:name w:val="常规"/>
          <w:gallery w:val="placeholder"/>
        </w:category>
        <w:types>
          <w:type w:val="bbPlcHdr"/>
        </w:types>
        <w:behaviors>
          <w:behavior w:val="content"/>
        </w:behaviors>
        <w:description w:val=""/>
        <w:guid w:val="{3eb353be-5c23-4aba-aecb-11527315bab6}"/>
      </w:docPartPr>
      <w:docPartBody>
        <w:p>
          <w:r>
            <w:rPr>
              <w:color w:val="808080"/>
            </w:rPr>
            <w:t>单击此处输入文字。</w:t>
          </w:r>
        </w:p>
      </w:docPartBody>
    </w:docPart>
    <w:docPart>
      <w:docPartPr>
        <w:name w:val="{e2da52d8-82e4-4760-83bc-636cf57a5eea}"/>
        <w:style w:val=""/>
        <w:category>
          <w:name w:val="常规"/>
          <w:gallery w:val="placeholder"/>
        </w:category>
        <w:types>
          <w:type w:val="bbPlcHdr"/>
        </w:types>
        <w:behaviors>
          <w:behavior w:val="content"/>
        </w:behaviors>
        <w:description w:val=""/>
        <w:guid w:val="{e2da52d8-82e4-4760-83bc-636cf57a5eea}"/>
      </w:docPartPr>
      <w:docPartBody>
        <w:p>
          <w:r>
            <w:rPr>
              <w:color w:val="808080"/>
            </w:rPr>
            <w:t>单击此处输入文字。</w:t>
          </w:r>
        </w:p>
      </w:docPartBody>
    </w:docPart>
    <w:docPart>
      <w:docPartPr>
        <w:name w:val="{22fad774-c851-4ea3-9aa1-42f1c38860ff}"/>
        <w:style w:val=""/>
        <w:category>
          <w:name w:val="常规"/>
          <w:gallery w:val="placeholder"/>
        </w:category>
        <w:types>
          <w:type w:val="bbPlcHdr"/>
        </w:types>
        <w:behaviors>
          <w:behavior w:val="content"/>
        </w:behaviors>
        <w:description w:val=""/>
        <w:guid w:val="{22fad774-c851-4ea3-9aa1-42f1c38860ff}"/>
      </w:docPartPr>
      <w:docPartBody>
        <w:p>
          <w:r>
            <w:rPr>
              <w:color w:val="808080"/>
            </w:rPr>
            <w:t>单击此处输入文字。</w:t>
          </w:r>
        </w:p>
      </w:docPartBody>
    </w:docPart>
    <w:docPart>
      <w:docPartPr>
        <w:name w:val="{9fef131c-dfd9-4209-bd0e-730f668c7745}"/>
        <w:style w:val=""/>
        <w:category>
          <w:name w:val="常规"/>
          <w:gallery w:val="placeholder"/>
        </w:category>
        <w:types>
          <w:type w:val="bbPlcHdr"/>
        </w:types>
        <w:behaviors>
          <w:behavior w:val="content"/>
        </w:behaviors>
        <w:description w:val=""/>
        <w:guid w:val="{9fef131c-dfd9-4209-bd0e-730f668c7745}"/>
      </w:docPartPr>
      <w:docPartBody>
        <w:p>
          <w:r>
            <w:rPr>
              <w:color w:val="808080"/>
            </w:rPr>
            <w:t>单击此处输入文字。</w:t>
          </w:r>
        </w:p>
      </w:docPartBody>
    </w:docPart>
    <w:docPart>
      <w:docPartPr>
        <w:name w:val="{8d5c9261-f8c8-4e9b-8d97-2b81c47df4b2}"/>
        <w:style w:val=""/>
        <w:category>
          <w:name w:val="常规"/>
          <w:gallery w:val="placeholder"/>
        </w:category>
        <w:types>
          <w:type w:val="bbPlcHdr"/>
        </w:types>
        <w:behaviors>
          <w:behavior w:val="content"/>
        </w:behaviors>
        <w:description w:val=""/>
        <w:guid w:val="{8d5c9261-f8c8-4e9b-8d97-2b81c47df4b2}"/>
      </w:docPartPr>
      <w:docPartBody>
        <w:p>
          <w:r>
            <w:rPr>
              <w:color w:val="808080"/>
            </w:rPr>
            <w:t>单击此处输入文字。</w:t>
          </w:r>
        </w:p>
      </w:docPartBody>
    </w:docPart>
    <w:docPart>
      <w:docPartPr>
        <w:name w:val="{1cd02495-89b3-4da3-a5c1-5b15b38184fe}"/>
        <w:style w:val=""/>
        <w:category>
          <w:name w:val="常规"/>
          <w:gallery w:val="placeholder"/>
        </w:category>
        <w:types>
          <w:type w:val="bbPlcHdr"/>
        </w:types>
        <w:behaviors>
          <w:behavior w:val="content"/>
        </w:behaviors>
        <w:description w:val=""/>
        <w:guid w:val="{1cd02495-89b3-4da3-a5c1-5b15b38184fe}"/>
      </w:docPartPr>
      <w:docPartBody>
        <w:p>
          <w:r>
            <w:rPr>
              <w:color w:val="808080"/>
            </w:rPr>
            <w:t>单击此处输入文字。</w:t>
          </w:r>
        </w:p>
      </w:docPartBody>
    </w:docPart>
    <w:docPart>
      <w:docPartPr>
        <w:name w:val="{e14abf2d-5345-4507-8520-35a018bd7002}"/>
        <w:style w:val=""/>
        <w:category>
          <w:name w:val="常规"/>
          <w:gallery w:val="placeholder"/>
        </w:category>
        <w:types>
          <w:type w:val="bbPlcHdr"/>
        </w:types>
        <w:behaviors>
          <w:behavior w:val="content"/>
        </w:behaviors>
        <w:description w:val=""/>
        <w:guid w:val="{e14abf2d-5345-4507-8520-35a018bd700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11045</Words>
  <Characters>11762</Characters>
  <Lines>61</Lines>
  <Paragraphs>17</Paragraphs>
  <TotalTime>76</TotalTime>
  <ScaleCrop>false</ScaleCrop>
  <LinksUpToDate>false</LinksUpToDate>
  <CharactersWithSpaces>11899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2020-08-10T01:49:00Z</dcterms:created>
  <dc:creator>曹颖</dc:creator>
  <cp:lastModifiedBy>user</cp:lastModifiedBy>
  <cp:lastPrinted>2022-08-11T02:23:00Z</cp:lastPrinted>
  <dcterms:modified xsi:type="dcterms:W3CDTF">2023-09-25T11:01:23Z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21E308A52E3946FFB0689CBC0BBFD526_13</vt:lpwstr>
  </property>
</Properties>
</file>