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104" w:name="_GoBack"/>
      <w:bookmarkEnd w:id="104"/>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hint="eastAsia" w:ascii="方正小标宋简体" w:hAnsi="方正小标宋简体" w:eastAsia="方正小标宋简体" w:cs="方正小标宋简体"/>
          <w:color w:val="auto"/>
          <w:sz w:val="84"/>
          <w:szCs w:val="84"/>
          <w:highlight w:val="none"/>
        </w:rPr>
      </w:pPr>
    </w:p>
    <w:p>
      <w:pPr>
        <w:bidi w:val="0"/>
        <w:jc w:val="center"/>
        <w:rPr>
          <w:rFonts w:hint="eastAsia" w:ascii="方正小标宋简体" w:hAnsi="方正小标宋简体" w:eastAsia="方正小标宋简体" w:cs="方正小标宋简体"/>
          <w:sz w:val="84"/>
          <w:szCs w:val="84"/>
        </w:rPr>
      </w:pPr>
      <w:bookmarkStart w:id="1" w:name="_Toc15378441"/>
      <w:bookmarkStart w:id="2" w:name="_Toc15377193"/>
      <w:bookmarkStart w:id="3" w:name="_Toc15396597"/>
      <w:bookmarkStart w:id="4" w:name="_Toc15396475"/>
      <w:bookmarkStart w:id="5" w:name="_Toc15377425"/>
      <w:r>
        <w:rPr>
          <w:rFonts w:hint="eastAsia" w:ascii="方正小标宋简体" w:hAnsi="方正小标宋简体" w:eastAsia="方正小标宋简体" w:cs="方正小标宋简体"/>
          <w:sz w:val="84"/>
          <w:szCs w:val="84"/>
        </w:rPr>
        <w:t>20</w:t>
      </w:r>
      <w:r>
        <w:rPr>
          <w:rFonts w:hint="eastAsia" w:ascii="方正小标宋简体" w:hAnsi="方正小标宋简体" w:eastAsia="方正小标宋简体" w:cs="方正小标宋简体"/>
          <w:sz w:val="84"/>
          <w:szCs w:val="84"/>
          <w:lang w:val="en-US" w:eastAsia="zh-CN"/>
        </w:rPr>
        <w:t>21</w:t>
      </w:r>
      <w:r>
        <w:rPr>
          <w:rFonts w:hint="eastAsia" w:ascii="方正小标宋简体" w:hAnsi="方正小标宋简体" w:eastAsia="方正小标宋简体" w:cs="方正小标宋简体"/>
          <w:sz w:val="84"/>
          <w:szCs w:val="84"/>
        </w:rPr>
        <w:t>年度</w:t>
      </w:r>
      <w:bookmarkEnd w:id="1"/>
      <w:bookmarkEnd w:id="2"/>
      <w:bookmarkEnd w:id="3"/>
      <w:bookmarkEnd w:id="4"/>
      <w:bookmarkEnd w:id="5"/>
    </w:p>
    <w:p>
      <w:pPr>
        <w:bidi w:val="0"/>
        <w:jc w:val="center"/>
        <w:rPr>
          <w:rFonts w:hint="eastAsia" w:ascii="方正小标宋简体" w:hAnsi="方正小标宋简体" w:eastAsia="方正小标宋简体" w:cs="方正小标宋简体"/>
          <w:sz w:val="84"/>
          <w:szCs w:val="84"/>
          <w:lang w:eastAsia="zh-CN"/>
        </w:rPr>
      </w:pPr>
      <w:bookmarkStart w:id="6" w:name="_Toc15378442"/>
      <w:bookmarkStart w:id="7" w:name="_Toc15377194"/>
      <w:bookmarkStart w:id="8" w:name="_Toc15377426"/>
      <w:bookmarkStart w:id="9" w:name="_Toc15396598"/>
      <w:bookmarkStart w:id="10" w:name="_Toc15396476"/>
      <w:r>
        <w:rPr>
          <w:rFonts w:hint="eastAsia" w:ascii="方正小标宋简体" w:hAnsi="方正小标宋简体" w:eastAsia="方正小标宋简体" w:cs="方正小标宋简体"/>
          <w:sz w:val="84"/>
          <w:szCs w:val="84"/>
        </w:rPr>
        <w:t>四川省</w:t>
      </w:r>
      <w:bookmarkEnd w:id="0"/>
      <w:bookmarkStart w:id="11" w:name="_Toc15306268"/>
      <w:r>
        <w:rPr>
          <w:rFonts w:hint="eastAsia" w:ascii="方正小标宋简体" w:hAnsi="方正小标宋简体" w:eastAsia="方正小标宋简体" w:cs="方正小标宋简体"/>
          <w:sz w:val="84"/>
          <w:szCs w:val="84"/>
          <w:lang w:eastAsia="zh-CN"/>
        </w:rPr>
        <w:t>广元市昭化区</w:t>
      </w:r>
    </w:p>
    <w:p>
      <w:pPr>
        <w:bidi w:val="0"/>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清水镇人民政府</w:t>
      </w:r>
    </w:p>
    <w:p>
      <w:pPr>
        <w:bidi w:val="0"/>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lang w:eastAsia="zh-CN"/>
        </w:rPr>
        <w:t>部门</w:t>
      </w:r>
      <w:r>
        <w:rPr>
          <w:rFonts w:hint="eastAsia" w:ascii="方正小标宋简体" w:hAnsi="方正小标宋简体" w:eastAsia="方正小标宋简体" w:cs="方正小标宋简体"/>
          <w:sz w:val="84"/>
          <w:szCs w:val="84"/>
        </w:rPr>
        <w:t>决算</w:t>
      </w:r>
      <w:bookmarkEnd w:id="6"/>
      <w:bookmarkEnd w:id="7"/>
      <w:bookmarkEnd w:id="8"/>
      <w:bookmarkEnd w:id="9"/>
      <w:bookmarkEnd w:id="10"/>
      <w:bookmarkEnd w:id="11"/>
    </w:p>
    <w:p>
      <w:pPr>
        <w:widowControl/>
        <w:jc w:val="center"/>
        <w:rPr>
          <w:rFonts w:hint="eastAsia" w:ascii="方正小标宋简体" w:hAnsi="方正小标宋简体" w:eastAsia="方正小标宋简体" w:cs="方正小标宋简体"/>
          <w:color w:val="auto"/>
          <w:sz w:val="84"/>
          <w:szCs w:val="84"/>
          <w:highlight w:val="none"/>
        </w:rPr>
        <w:sectPr>
          <w:headerReference r:id="rId3" w:type="default"/>
          <w:footerReference r:id="rId4" w:type="default"/>
          <w:pgSz w:w="11906" w:h="16838"/>
          <w:pgMar w:top="1587" w:right="1247" w:bottom="1474" w:left="1474" w:header="851" w:footer="992" w:gutter="0"/>
          <w:pgNumType w:start="1"/>
          <w:cols w:space="425" w:num="1"/>
          <w:titlePg/>
          <w:docGrid w:type="lines" w:linePitch="312" w:charSpace="0"/>
        </w:sectPr>
      </w:pPr>
    </w:p>
    <w:p>
      <w:pPr>
        <w:widowControl/>
        <w:jc w:val="center"/>
        <w:rPr>
          <w:rFonts w:hint="eastAsia" w:ascii="黑体" w:hAnsi="黑体" w:eastAsia="黑体"/>
          <w:color w:val="auto"/>
          <w:sz w:val="48"/>
          <w:szCs w:val="48"/>
          <w:highlight w:val="none"/>
        </w:rPr>
      </w:pPr>
      <w:r>
        <w:rPr>
          <w:rFonts w:hint="eastAsia" w:ascii="黑体" w:hAnsi="黑体" w:eastAsia="黑体"/>
          <w:color w:val="auto"/>
          <w:sz w:val="48"/>
          <w:szCs w:val="48"/>
          <w:highlight w:val="none"/>
        </w:rPr>
        <w:t>目录</w:t>
      </w:r>
    </w:p>
    <w:p>
      <w:pPr>
        <w:pStyle w:val="2"/>
        <w:jc w:val="center"/>
        <w:rPr>
          <w:rFonts w:hint="eastAsia" w:ascii="仿宋_GB2312" w:hAnsi="仿宋_GB2312" w:eastAsia="仿宋_GB2312" w:cs="仿宋_GB2312"/>
          <w:sz w:val="20"/>
          <w:szCs w:val="16"/>
          <w:lang w:val="en-US" w:eastAsia="zh-CN"/>
        </w:rPr>
      </w:pPr>
      <w:r>
        <w:rPr>
          <w:rFonts w:hint="eastAsia" w:ascii="仿宋_GB2312" w:hAnsi="仿宋_GB2312" w:eastAsia="仿宋_GB2312" w:cs="仿宋_GB2312"/>
          <w:color w:val="auto"/>
          <w:sz w:val="28"/>
          <w:szCs w:val="28"/>
          <w:highlight w:val="none"/>
          <w:lang w:eastAsia="zh-CN"/>
        </w:rPr>
        <w:t>公开时间：</w:t>
      </w:r>
      <w:r>
        <w:rPr>
          <w:rFonts w:hint="eastAsia" w:ascii="仿宋_GB2312" w:hAnsi="仿宋_GB2312" w:eastAsia="仿宋_GB2312" w:cs="仿宋_GB2312"/>
          <w:color w:val="auto"/>
          <w:sz w:val="28"/>
          <w:szCs w:val="28"/>
          <w:highlight w:val="none"/>
          <w:lang w:val="en-US" w:eastAsia="zh-CN"/>
        </w:rPr>
        <w:t>2022年9月</w:t>
      </w:r>
      <w:r>
        <w:rPr>
          <w:rFonts w:hint="eastAsia" w:hAnsi="仿宋_GB2312" w:cs="仿宋_GB2312"/>
          <w:color w:val="auto"/>
          <w:sz w:val="28"/>
          <w:szCs w:val="28"/>
          <w:highlight w:val="none"/>
          <w:lang w:val="en-US" w:eastAsia="zh-CN"/>
        </w:rPr>
        <w:t>30</w:t>
      </w:r>
      <w:r>
        <w:rPr>
          <w:rFonts w:hint="eastAsia" w:ascii="仿宋_GB2312" w:hAnsi="仿宋_GB2312" w:eastAsia="仿宋_GB2312" w:cs="仿宋_GB2312"/>
          <w:color w:val="auto"/>
          <w:sz w:val="28"/>
          <w:szCs w:val="28"/>
          <w:highlight w:val="none"/>
          <w:lang w:val="en-US" w:eastAsia="zh-CN"/>
        </w:rPr>
        <w:t>日</w:t>
      </w:r>
    </w:p>
    <w:sdt>
      <w:sdtPr>
        <w:rPr>
          <w:rFonts w:hint="eastAsia" w:ascii="仿宋_GB2312" w:hAnsi="仿宋_GB2312" w:eastAsia="仿宋_GB2312" w:cs="仿宋_GB2312"/>
          <w:kern w:val="2"/>
          <w:sz w:val="24"/>
          <w:szCs w:val="32"/>
          <w:lang w:val="en-US" w:eastAsia="zh-CN" w:bidi="ar-SA"/>
        </w:rPr>
        <w:id w:val="147481458"/>
        <w15:color w:val="DBDBDB"/>
        <w:docPartObj>
          <w:docPartGallery w:val="Table of Contents"/>
          <w:docPartUnique/>
        </w:docPartObj>
      </w:sdtPr>
      <w:sdtEndPr>
        <w:rPr>
          <w:rFonts w:hint="eastAsia" w:ascii="仿宋_GB2312" w:hAnsi="仿宋_GB2312" w:eastAsia="仿宋_GB2312" w:cs="仿宋_GB2312"/>
          <w:color w:val="auto"/>
          <w:kern w:val="0"/>
          <w:sz w:val="28"/>
          <w:szCs w:val="28"/>
          <w:highlight w:val="none"/>
          <w:lang w:val="en-US" w:eastAsia="zh-CN" w:bidi="ar-SA"/>
        </w:rPr>
      </w:sdtEndPr>
      <w:sdtContent>
        <w:p>
          <w:pPr>
            <w:pStyle w:val="10"/>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TOC \o "1-2" \h \u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_Toc16371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第一部分 单位概况</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_Toc16371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_Toc15700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一、 职能简介</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_Toc15700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_Toc8674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二、2021年重点工作完成情况</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_Toc8674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0"/>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_Toc9742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第二部分 2021年度单位决算情况说明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_Toc9742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3</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_Toc7259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一、 收入支出决算总体情况说明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_Toc7259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3</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_Toc17158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二、 收入决算情况说明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_Toc17158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3</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_Toc15641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三、 支出决算情况说明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_Toc15641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4</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_Toc32368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四、财政拨款收入支出决算总体情况说明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_Toc32368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4</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_Toc2457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五、一般公共预算财政拨款支出决算情况说明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_Toc2457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5</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_Toc1124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六、一般公共预算财政拨款基本支出决算情况说明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_Toc1124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8</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_Toc24808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七、“三公”经费财政拨款支出决算情况说明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_Toc24808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8</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_Toc27871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八、政府性基金预算支出决算情况说明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_Toc27871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10</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_Toc9059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九、 国有资本经营预算支出决算情况说明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_Toc9059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10</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_Toc29650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 预算绩效管理情况</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_Toc29650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10</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_Toc23810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十一、 其他重要事项的情况说明</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_Toc23810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10</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0"/>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_Toc11941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第三部分 名词解释</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_Toc11941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12</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0"/>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_Toc31768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第四部分 附件</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_Toc31768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17</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0"/>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_Toc24224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第五部分 附表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_Toc24224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_Toc10963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一、收入支出决算总表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_Toc10963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_Toc22710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二、收入决算表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_Toc22710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_Toc18636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三、支出决算表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_Toc18636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_Toc14264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四、财政拨款收入支出决算总表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_Toc14264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_Toc26647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五、财政拨款支出决算明细表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_Toc26647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_Toc28545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六、一般公共预算财政拨款支出决算表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_Toc28545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_Toc8162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七、一般公共预算财政拨款支出决算明细表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_Toc8162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_Toc19032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八、一般公共预算财政拨款基本支出决算表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_Toc19032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_Toc10715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九、一般公共预算财政拨款项目支出决算表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_Toc10715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_Toc31119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十、一般公共预算财政拨款“三公”经费支出决算表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_Toc31119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_Toc24298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十一、政府性基金预算财政拨款收入支出决算表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_Toc24298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_Toc5095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十二、政府性基金预算财政拨款“三公”经费支出决算表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_Toc5095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_Toc24181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十三、国有资本经营预算财政拨款收入支出决算表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_Toc24181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pStyle w:val="11"/>
            <w:tabs>
              <w:tab w:val="right" w:leader="dot" w:pos="9185"/>
              <w:tab w:val="clear" w:pos="8296"/>
            </w:tabs>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HYPERLINK \l _Toc14380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十四、国有资本经营预算财政拨款支出决算表</w:t>
          </w:r>
          <w:r>
            <w:rPr>
              <w:rFonts w:hint="eastAsia" w:ascii="仿宋_GB2312" w:hAnsi="仿宋_GB2312" w:eastAsia="仿宋_GB2312" w:cs="仿宋_GB2312"/>
              <w:color w:val="auto"/>
              <w:kern w:val="0"/>
              <w:sz w:val="28"/>
              <w:szCs w:val="28"/>
              <w:highlight w:val="none"/>
              <w:lang w:val="en-US" w:eastAsia="zh-CN" w:bidi="ar-SA"/>
            </w:rPr>
            <w:tab/>
          </w:r>
          <w:r>
            <w:rPr>
              <w:rFonts w:hint="eastAsia" w:ascii="仿宋_GB2312" w:hAnsi="仿宋_GB2312" w:eastAsia="仿宋_GB2312" w:cs="仿宋_GB2312"/>
              <w:color w:val="auto"/>
              <w:kern w:val="0"/>
              <w:sz w:val="28"/>
              <w:szCs w:val="28"/>
              <w:highlight w:val="none"/>
              <w:lang w:val="en-US" w:eastAsia="zh-CN" w:bidi="ar-SA"/>
            </w:rPr>
            <w:fldChar w:fldCharType="begin"/>
          </w:r>
          <w:r>
            <w:rPr>
              <w:rFonts w:hint="eastAsia" w:ascii="仿宋_GB2312" w:hAnsi="仿宋_GB2312" w:eastAsia="仿宋_GB2312" w:cs="仿宋_GB2312"/>
              <w:color w:val="auto"/>
              <w:kern w:val="0"/>
              <w:sz w:val="28"/>
              <w:szCs w:val="28"/>
              <w:highlight w:val="none"/>
              <w:lang w:val="en-US" w:eastAsia="zh-CN" w:bidi="ar-SA"/>
            </w:rPr>
            <w:instrText xml:space="preserve"> PAGEREF _Toc14380 \h </w:instrText>
          </w:r>
          <w:r>
            <w:rPr>
              <w:rFonts w:hint="eastAsia" w:ascii="仿宋_GB2312" w:hAnsi="仿宋_GB2312" w:eastAsia="仿宋_GB2312" w:cs="仿宋_GB2312"/>
              <w:color w:val="auto"/>
              <w:kern w:val="0"/>
              <w:sz w:val="28"/>
              <w:szCs w:val="28"/>
              <w:highlight w:val="none"/>
              <w:lang w:val="en-US" w:eastAsia="zh-CN" w:bidi="ar-SA"/>
            </w:rPr>
            <w:fldChar w:fldCharType="separate"/>
          </w:r>
          <w:r>
            <w:rPr>
              <w:rFonts w:hint="eastAsia" w:ascii="仿宋_GB2312" w:hAnsi="仿宋_GB2312" w:eastAsia="仿宋_GB2312" w:cs="仿宋_GB2312"/>
              <w:color w:val="auto"/>
              <w:kern w:val="0"/>
              <w:sz w:val="28"/>
              <w:szCs w:val="28"/>
              <w:highlight w:val="none"/>
              <w:lang w:val="en-US" w:eastAsia="zh-CN" w:bidi="ar-SA"/>
            </w:rPr>
            <w:t>21</w:t>
          </w:r>
          <w:r>
            <w:rPr>
              <w:rFonts w:hint="eastAsia" w:ascii="仿宋_GB2312" w:hAnsi="仿宋_GB2312" w:eastAsia="仿宋_GB2312" w:cs="仿宋_GB2312"/>
              <w:color w:val="auto"/>
              <w:kern w:val="0"/>
              <w:sz w:val="28"/>
              <w:szCs w:val="28"/>
              <w:highlight w:val="none"/>
              <w:lang w:val="en-US" w:eastAsia="zh-CN" w:bidi="ar-SA"/>
            </w:rPr>
            <w:fldChar w:fldCharType="end"/>
          </w:r>
          <w:r>
            <w:rPr>
              <w:rFonts w:hint="eastAsia" w:ascii="仿宋_GB2312" w:hAnsi="仿宋_GB2312" w:eastAsia="仿宋_GB2312" w:cs="仿宋_GB2312"/>
              <w:color w:val="auto"/>
              <w:kern w:val="0"/>
              <w:sz w:val="28"/>
              <w:szCs w:val="28"/>
              <w:highlight w:val="none"/>
              <w:lang w:val="en-US" w:eastAsia="zh-CN" w:bidi="ar-SA"/>
            </w:rPr>
            <w:fldChar w:fldCharType="end"/>
          </w:r>
        </w:p>
        <w:p>
          <w:pPr>
            <w:widowControl/>
            <w:spacing w:line="440" w:lineRule="exact"/>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fldChar w:fldCharType="end"/>
          </w:r>
          <w:bookmarkStart w:id="12" w:name="_Toc15396599"/>
          <w:bookmarkStart w:id="13" w:name="_Toc15377196"/>
        </w:p>
      </w:sdtContent>
    </w:sdt>
    <w:p>
      <w:pPr>
        <w:pStyle w:val="3"/>
        <w:jc w:val="center"/>
        <w:rPr>
          <w:rFonts w:hint="eastAsia" w:ascii="仿宋_GB2312" w:hAnsi="仿宋_GB2312" w:eastAsia="仿宋_GB2312" w:cs="仿宋_GB2312"/>
          <w:color w:val="auto"/>
          <w:kern w:val="0"/>
          <w:sz w:val="28"/>
          <w:szCs w:val="28"/>
          <w:highlight w:val="none"/>
          <w:lang w:val="en-US" w:eastAsia="zh-CN" w:bidi="ar-SA"/>
        </w:rPr>
        <w:sectPr>
          <w:footerReference r:id="rId6" w:type="first"/>
          <w:footerReference r:id="rId5" w:type="default"/>
          <w:pgSz w:w="11906" w:h="16838"/>
          <w:pgMar w:top="1587" w:right="1247" w:bottom="1474" w:left="1474" w:header="851" w:footer="992" w:gutter="0"/>
          <w:pgNumType w:start="1"/>
          <w:cols w:space="425" w:num="1"/>
          <w:titlePg/>
          <w:docGrid w:type="lines" w:linePitch="312" w:charSpace="0"/>
        </w:sectPr>
      </w:pPr>
      <w:bookmarkStart w:id="14" w:name="_Toc16371"/>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bookmarkEnd w:id="14"/>
    </w:p>
    <w:p>
      <w:pPr>
        <w:pStyle w:val="4"/>
        <w:numPr>
          <w:ilvl w:val="0"/>
          <w:numId w:val="1"/>
        </w:numPr>
        <w:rPr>
          <w:rStyle w:val="25"/>
          <w:rFonts w:hint="eastAsia" w:ascii="黑体" w:hAnsi="黑体" w:eastAsia="黑体"/>
          <w:b w:val="0"/>
          <w:bCs w:val="0"/>
          <w:color w:val="auto"/>
          <w:highlight w:val="none"/>
          <w:lang w:eastAsia="zh-CN"/>
        </w:rPr>
      </w:pPr>
      <w:bookmarkStart w:id="15" w:name="_Toc15700"/>
      <w:bookmarkStart w:id="16" w:name="_Toc15377197"/>
      <w:bookmarkStart w:id="17" w:name="_Toc15396600"/>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bookmarkEnd w:id="15"/>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1.制定和组织实施经济、科技和社会发展计划，制定资源开发技术改造和产业结构调整方案，组织指导好各业生产,搞好商品流通，协调好本办事处与外地区的经济交流与合作，抓好招商引资，</w:t>
      </w:r>
      <w:r>
        <w:rPr>
          <w:rFonts w:hint="eastAsia" w:ascii="仿宋_GB2312" w:hAnsi="仿宋_GB2312" w:eastAsia="仿宋_GB2312" w:cs="仿宋_GB2312"/>
          <w:spacing w:val="-6"/>
          <w:sz w:val="32"/>
          <w:szCs w:val="32"/>
          <w:lang w:val="en-US" w:eastAsia="zh-CN"/>
        </w:rPr>
        <w:t>人才引进项目开发,不断培育市场体系，组织经济运行,促进经济发展。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4.按计划组织本级财政收入和地方税的征收，完成国家财政计划，不断培植税源，管好财政资金，增强财政实力。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5.抓好精神文明建设，丰富群众文化生活，提倡移风易俗，反对封建迷信，破除陈规陋习，树立社会主义新风尚。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6.执行本级人民代表大会的决议和上级国家行政机关的决定和命令，发布决定和命令。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8.保护好社会主义全民所有的财产和劳动群众集体所有财产，保护公民私有的合法财产，维护社会秩序，保障公民的人身权利、民主权利和其他权利。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9.保障农村集体经济组织应有的自主权。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10.保障少数民族的权利和尊重少数民族的风俗习惯。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11.完成和办理上级人民政府交办的其他事项。</w:t>
      </w:r>
    </w:p>
    <w:p>
      <w:pPr>
        <w:pStyle w:val="4"/>
        <w:numPr>
          <w:ilvl w:val="0"/>
          <w:numId w:val="0"/>
        </w:numPr>
        <w:rPr>
          <w:rFonts w:hint="eastAsia" w:ascii="黑体" w:hAnsi="黑体" w:eastAsia="黑体"/>
          <w:b w:val="0"/>
          <w:color w:val="auto"/>
          <w:highlight w:val="none"/>
          <w:lang w:eastAsia="zh-CN"/>
        </w:rPr>
      </w:pPr>
      <w:bookmarkStart w:id="18" w:name="_Toc8674"/>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6"/>
      <w:bookmarkEnd w:id="17"/>
      <w:r>
        <w:rPr>
          <w:rFonts w:hint="eastAsia" w:ascii="黑体" w:hAnsi="黑体" w:eastAsia="黑体"/>
          <w:b w:val="0"/>
          <w:color w:val="auto"/>
          <w:highlight w:val="none"/>
          <w:lang w:eastAsia="zh-CN"/>
        </w:rPr>
        <w:t>完成情况</w:t>
      </w:r>
      <w:bookmarkEnd w:id="18"/>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0"/>
        <w:rPr>
          <w:rFonts w:hint="eastAsia" w:ascii="仿宋" w:hAnsi="仿宋" w:eastAsia="仿宋"/>
          <w:bCs/>
          <w:color w:val="000000"/>
          <w:sz w:val="32"/>
          <w:szCs w:val="32"/>
        </w:rPr>
      </w:pPr>
      <w:bookmarkStart w:id="19" w:name="_Toc32470"/>
      <w:r>
        <w:rPr>
          <w:rFonts w:hint="eastAsia" w:ascii="仿宋" w:hAnsi="仿宋" w:eastAsia="仿宋" w:cs="仿宋"/>
          <w:b w:val="0"/>
          <w:bCs w:val="0"/>
          <w:color w:val="000000"/>
          <w:sz w:val="32"/>
          <w:szCs w:val="32"/>
          <w:lang w:eastAsia="zh-CN"/>
        </w:rPr>
        <w:t>清水镇严格按照预算法规定的各项预算收支完成了当年的各项预算收支任务。</w:t>
      </w:r>
      <w:bookmarkEnd w:id="19"/>
    </w:p>
    <w:p>
      <w:pPr>
        <w:rPr>
          <w:rFonts w:hint="default"/>
          <w:lang w:val="en-US" w:eastAsia="zh-CN"/>
        </w:rPr>
      </w:pP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20" w:name="_Toc15396602"/>
      <w:bookmarkStart w:id="21" w:name="_Toc9742"/>
      <w:bookmarkStart w:id="22"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0"/>
      <w:bookmarkEnd w:id="21"/>
      <w:bookmarkEnd w:id="22"/>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3" w:name="_Toc15377205"/>
      <w:bookmarkStart w:id="24" w:name="_Toc15396603"/>
      <w:bookmarkStart w:id="25" w:name="_Toc7259"/>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3"/>
      <w:bookmarkEnd w:id="24"/>
      <w:bookmarkEnd w:id="25"/>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_GB2312" w:hAnsi="仿宋_GB2312" w:eastAsia="仿宋_GB2312"/>
          <w:sz w:val="32"/>
          <w:szCs w:val="32"/>
        </w:rPr>
        <w:t>减少128</w:t>
      </w:r>
      <w:r>
        <w:rPr>
          <w:rFonts w:hint="eastAsia" w:ascii="仿宋_GB2312" w:hAnsi="仿宋_GB2312" w:eastAsia="仿宋_GB2312"/>
          <w:sz w:val="32"/>
          <w:szCs w:val="32"/>
          <w:lang w:val="en-US" w:eastAsia="zh-CN"/>
        </w:rPr>
        <w:t>.06万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9.9%，</w:t>
      </w:r>
      <w:r>
        <w:rPr>
          <w:rFonts w:hint="eastAsia" w:ascii="仿宋_GB2312" w:hAnsi="仿宋_GB2312" w:eastAsia="仿宋_GB2312"/>
          <w:sz w:val="32"/>
          <w:szCs w:val="32"/>
        </w:rPr>
        <w:t>主要</w:t>
      </w:r>
      <w:r>
        <w:rPr>
          <w:rFonts w:hint="eastAsia" w:ascii="仿宋_GB2312" w:hAnsi="仿宋_GB2312" w:eastAsia="仿宋_GB2312"/>
          <w:sz w:val="32"/>
          <w:szCs w:val="32"/>
          <w:lang w:eastAsia="zh-CN"/>
        </w:rPr>
        <w:t>原因</w:t>
      </w:r>
      <w:r>
        <w:rPr>
          <w:rFonts w:hint="eastAsia" w:ascii="仿宋_GB2312" w:hAnsi="仿宋_GB2312" w:eastAsia="仿宋_GB2312"/>
          <w:sz w:val="32"/>
          <w:szCs w:val="32"/>
        </w:rPr>
        <w:t>是行政区划调整后人员调整部分预算指标支出减少。</w:t>
      </w: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2981325"/>
            <wp:effectExtent l="4445" t="4445" r="20955"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6" w:name="_Toc15396604"/>
      <w:bookmarkStart w:id="27" w:name="_Toc15377206"/>
      <w:bookmarkStart w:id="28" w:name="_Toc17158"/>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6"/>
      <w:bookmarkEnd w:id="27"/>
      <w:bookmarkEnd w:id="28"/>
    </w:p>
    <w:p>
      <w:pPr>
        <w:spacing w:line="600" w:lineRule="exact"/>
        <w:ind w:firstLine="640" w:firstLineChars="200"/>
        <w:outlineLvl w:val="1"/>
        <w:rPr>
          <w:rFonts w:ascii="仿宋" w:hAnsi="仿宋" w:eastAsia="仿宋"/>
          <w:b/>
          <w:color w:val="auto"/>
          <w:sz w:val="32"/>
          <w:szCs w:val="32"/>
          <w:highlight w:val="none"/>
        </w:rPr>
      </w:pPr>
      <w:bookmarkStart w:id="29" w:name="_Toc255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29"/>
    </w:p>
    <w:p>
      <w:pPr>
        <w:spacing w:line="600" w:lineRule="exact"/>
        <w:ind w:firstLine="640" w:firstLineChars="200"/>
        <w:outlineLvl w:val="9"/>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187960</wp:posOffset>
            </wp:positionH>
            <wp:positionV relativeFrom="paragraph">
              <wp:posOffset>-402590</wp:posOffset>
            </wp:positionV>
            <wp:extent cx="5080000" cy="2678430"/>
            <wp:effectExtent l="4445" t="4445" r="20955" b="60325"/>
            <wp:wrapNone/>
            <wp:docPr id="1" name="图表 1"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jc w:val="center"/>
        <w:rPr>
          <w:rFonts w:hint="eastAsia"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0" w:name="_Toc15396605"/>
      <w:bookmarkStart w:id="31" w:name="_Toc15641"/>
      <w:bookmarkStart w:id="32"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0"/>
      <w:bookmarkEnd w:id="31"/>
      <w:bookmarkEnd w:id="32"/>
    </w:p>
    <w:p>
      <w:pPr>
        <w:spacing w:line="600" w:lineRule="exact"/>
        <w:ind w:firstLine="640" w:firstLineChars="200"/>
        <w:outlineLvl w:val="1"/>
        <w:rPr>
          <w:rFonts w:hint="eastAsia" w:ascii="仿宋" w:hAnsi="仿宋" w:eastAsia="仿宋"/>
          <w:color w:val="auto"/>
          <w:sz w:val="32"/>
          <w:szCs w:val="32"/>
          <w:highlight w:val="none"/>
          <w:shd w:val="pct10" w:color="auto" w:fill="FFFFFF"/>
          <w:lang w:eastAsia="zh-CN"/>
        </w:rPr>
      </w:pPr>
      <w:bookmarkStart w:id="33" w:name="_Toc843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1042.99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90.31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111.89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3"/>
    </w:p>
    <w:p>
      <w:pPr>
        <w:pStyle w:val="2"/>
        <w:jc w:val="center"/>
        <w:rPr>
          <w:rFonts w:ascii="仿宋" w:hAnsi="仿宋" w:eastAsia="仿宋"/>
          <w:color w:val="auto"/>
          <w:sz w:val="32"/>
          <w:szCs w:val="32"/>
          <w:highlight w:val="none"/>
          <w:shd w:val="pct10" w:color="auto" w:fill="FFFFFF"/>
        </w:rPr>
      </w:pPr>
      <w:r>
        <w:rPr>
          <w:rFonts w:hint="eastAsia" w:ascii="仿宋" w:hAnsi="仿宋" w:eastAsia="仿宋"/>
          <w:color w:val="auto"/>
          <w:sz w:val="32"/>
          <w:szCs w:val="32"/>
          <w:highlight w:val="none"/>
          <w:shd w:val="pct10" w:color="auto" w:fill="FFFFFF"/>
          <w:lang w:eastAsia="zh-CN"/>
        </w:rPr>
        <w:drawing>
          <wp:inline distT="0" distB="0" distL="114300" distR="114300">
            <wp:extent cx="5080000" cy="2410460"/>
            <wp:effectExtent l="5080" t="4445" r="20320"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hint="eastAsia" w:ascii="黑体" w:hAnsi="黑体" w:eastAsia="黑体"/>
          <w:color w:val="auto"/>
          <w:sz w:val="32"/>
          <w:szCs w:val="32"/>
          <w:highlight w:val="none"/>
        </w:rPr>
      </w:pPr>
      <w:r>
        <w:rPr>
          <w:rFonts w:hint="eastAsia" w:ascii="仿宋" w:hAnsi="仿宋" w:eastAsia="仿宋"/>
          <w:color w:val="auto"/>
          <w:sz w:val="32"/>
          <w:szCs w:val="32"/>
          <w:highlight w:val="none"/>
        </w:rPr>
        <w:t>（图3：支出决算结构图）</w:t>
      </w:r>
      <w:bookmarkStart w:id="34" w:name="_Toc15377208"/>
      <w:bookmarkStart w:id="35" w:name="_Toc15396606"/>
    </w:p>
    <w:p>
      <w:pPr>
        <w:spacing w:line="600" w:lineRule="exact"/>
        <w:ind w:firstLine="640" w:firstLineChars="200"/>
        <w:outlineLvl w:val="1"/>
        <w:rPr>
          <w:rStyle w:val="25"/>
          <w:rFonts w:ascii="黑体" w:hAnsi="黑体" w:eastAsia="黑体"/>
          <w:b w:val="0"/>
          <w:color w:val="auto"/>
          <w:highlight w:val="none"/>
        </w:rPr>
      </w:pPr>
      <w:bookmarkStart w:id="36" w:name="_Toc3236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4"/>
      <w:bookmarkEnd w:id="35"/>
      <w:bookmarkEnd w:id="3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113.06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8.92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w:t>
      </w:r>
      <w:r>
        <w:rPr>
          <w:rFonts w:hint="eastAsia" w:ascii="仿宋_GB2312" w:hAnsi="仿宋_GB2312" w:eastAsia="仿宋_GB2312"/>
          <w:sz w:val="32"/>
          <w:szCs w:val="32"/>
        </w:rPr>
        <w:t>行政区划调整后人员调整部分预算指标支出减少。</w:t>
      </w: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2277745"/>
            <wp:effectExtent l="4445" t="4445" r="20955"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5"/>
          <w:rFonts w:ascii="黑体" w:hAnsi="黑体" w:eastAsia="黑体"/>
          <w:b w:val="0"/>
          <w:color w:val="auto"/>
          <w:highlight w:val="none"/>
        </w:rPr>
      </w:pPr>
      <w:bookmarkStart w:id="37" w:name="_Toc15396607"/>
      <w:bookmarkStart w:id="38" w:name="_Toc2457"/>
      <w:bookmarkStart w:id="39"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7"/>
      <w:bookmarkEnd w:id="38"/>
      <w:bookmarkEnd w:id="39"/>
    </w:p>
    <w:p>
      <w:pPr>
        <w:spacing w:line="600" w:lineRule="exact"/>
        <w:ind w:firstLine="643" w:firstLineChars="200"/>
        <w:outlineLvl w:val="2"/>
        <w:rPr>
          <w:rFonts w:ascii="仿宋" w:hAnsi="仿宋" w:eastAsia="仿宋"/>
          <w:b/>
          <w:color w:val="auto"/>
          <w:sz w:val="32"/>
          <w:szCs w:val="32"/>
          <w:highlight w:val="none"/>
        </w:rPr>
      </w:pPr>
      <w:bookmarkStart w:id="40" w:name="_Toc15377210"/>
      <w:r>
        <w:rPr>
          <w:rFonts w:hint="eastAsia" w:ascii="仿宋" w:hAnsi="仿宋" w:eastAsia="仿宋"/>
          <w:b/>
          <w:color w:val="auto"/>
          <w:sz w:val="32"/>
          <w:szCs w:val="32"/>
          <w:highlight w:val="none"/>
        </w:rPr>
        <w:t>（一）一般公共预算财政拨款支出决算总体情况</w:t>
      </w:r>
      <w:bookmarkEnd w:id="40"/>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113.06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8.92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_GB2312" w:eastAsia="仿宋_GB2312"/>
          <w:sz w:val="32"/>
          <w:szCs w:val="32"/>
        </w:rPr>
        <w:t>行政区划调整后人员调整部分预算指标支出减少。</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534670</wp:posOffset>
            </wp:positionH>
            <wp:positionV relativeFrom="paragraph">
              <wp:posOffset>80010</wp:posOffset>
            </wp:positionV>
            <wp:extent cx="5080000" cy="2289810"/>
            <wp:effectExtent l="4445" t="4445" r="20955" b="1079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41" w:name="_Toc15377211"/>
      <w:r>
        <w:rPr>
          <w:rFonts w:hint="eastAsia" w:ascii="仿宋" w:hAnsi="仿宋" w:eastAsia="仿宋"/>
          <w:b/>
          <w:color w:val="auto"/>
          <w:sz w:val="32"/>
          <w:szCs w:val="32"/>
          <w:highlight w:val="none"/>
        </w:rPr>
        <w:t>（二）一般公共预算财政拨款支出决算结构情况</w:t>
      </w:r>
      <w:bookmarkEnd w:id="41"/>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1154.88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592.92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51.34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51.32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农林水（类）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424.22万元</w:t>
      </w:r>
      <w:r>
        <w:rPr>
          <w:rFonts w:hint="eastAsia" w:ascii="仿宋" w:hAnsi="仿宋" w:eastAsia="仿宋"/>
          <w:b/>
          <w:color w:val="auto"/>
          <w:sz w:val="32"/>
          <w:szCs w:val="32"/>
          <w:highlight w:val="none"/>
          <w:lang w:val="en-US"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36.73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25.88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w:t>
      </w:r>
      <w:r>
        <w:rPr>
          <w:rFonts w:hint="eastAsia" w:ascii="仿宋" w:hAnsi="仿宋" w:eastAsia="仿宋"/>
          <w:b/>
          <w:color w:val="auto"/>
          <w:sz w:val="32"/>
          <w:szCs w:val="32"/>
          <w:highlight w:val="none"/>
          <w:lang w:eastAsia="zh-CN"/>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50.54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灾害防治及应急管理（类）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10万元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0.87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391795</wp:posOffset>
            </wp:positionH>
            <wp:positionV relativeFrom="paragraph">
              <wp:posOffset>107950</wp:posOffset>
            </wp:positionV>
            <wp:extent cx="5080000" cy="3181350"/>
            <wp:effectExtent l="5080" t="4445" r="20320" b="14605"/>
            <wp:wrapThrough wrapText="bothSides">
              <wp:wrapPolygon>
                <wp:start x="-22" y="-30"/>
                <wp:lineTo x="-22" y="21570"/>
                <wp:lineTo x="21524" y="21570"/>
                <wp:lineTo x="21524" y="-30"/>
                <wp:lineTo x="-22" y="-30"/>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42" w:name="_Toc15377212"/>
      <w:r>
        <w:rPr>
          <w:rFonts w:hint="eastAsia" w:ascii="仿宋" w:hAnsi="仿宋" w:eastAsia="仿宋"/>
          <w:b/>
          <w:color w:val="auto"/>
          <w:sz w:val="32"/>
          <w:szCs w:val="32"/>
          <w:highlight w:val="none"/>
        </w:rPr>
        <w:t>（三）一般公共预算财政拨款支出决算具体情况</w:t>
      </w:r>
      <w:bookmarkEnd w:id="42"/>
    </w:p>
    <w:p>
      <w:pPr>
        <w:spacing w:line="600" w:lineRule="exact"/>
        <w:ind w:firstLine="643" w:firstLineChars="200"/>
        <w:outlineLvl w:val="1"/>
        <w:rPr>
          <w:rFonts w:ascii="仿宋" w:hAnsi="仿宋" w:eastAsia="仿宋"/>
          <w:color w:val="auto"/>
          <w:sz w:val="32"/>
          <w:szCs w:val="32"/>
          <w:highlight w:val="none"/>
        </w:rPr>
      </w:pPr>
      <w:bookmarkStart w:id="43" w:name="_Toc15378460"/>
      <w:bookmarkStart w:id="44" w:name="_Toc253"/>
      <w:bookmarkStart w:id="45" w:name="_Toc15377444"/>
      <w:bookmarkStart w:id="46"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1154.88</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3"/>
      <w:bookmarkEnd w:id="44"/>
      <w:bookmarkEnd w:id="45"/>
      <w:bookmarkEnd w:id="46"/>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cstheme="minorBidi"/>
          <w:bCs/>
          <w:color w:val="auto"/>
          <w:kern w:val="0"/>
          <w:sz w:val="32"/>
          <w:szCs w:val="32"/>
          <w:highlight w:val="none"/>
          <w:lang w:val="en-US" w:eastAsia="zh-CN" w:bidi="ar-SA"/>
        </w:rPr>
        <w:t>1.一般公共服务（类）人大事务（款）行政运行（项）: 支</w:t>
      </w:r>
      <w:r>
        <w:rPr>
          <w:rStyle w:val="14"/>
          <w:rFonts w:hint="eastAsia" w:ascii="仿宋" w:hAnsi="仿宋" w:eastAsia="仿宋"/>
          <w:b w:val="0"/>
          <w:bCs/>
          <w:color w:val="auto"/>
          <w:sz w:val="32"/>
          <w:szCs w:val="32"/>
          <w:highlight w:val="none"/>
        </w:rPr>
        <w:t>出决算为</w:t>
      </w:r>
      <w:r>
        <w:rPr>
          <w:rStyle w:val="14"/>
          <w:rFonts w:hint="eastAsia" w:ascii="仿宋" w:hAnsi="仿宋" w:eastAsia="仿宋"/>
          <w:b w:val="0"/>
          <w:bCs/>
          <w:color w:val="auto"/>
          <w:sz w:val="32"/>
          <w:szCs w:val="32"/>
          <w:highlight w:val="none"/>
          <w:lang w:val="en-US" w:eastAsia="zh-CN"/>
        </w:rPr>
        <w:t>15.38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numPr>
          <w:ilvl w:val="0"/>
          <w:numId w:val="0"/>
        </w:numPr>
        <w:ind w:firstLine="600"/>
        <w:rPr>
          <w:rStyle w:val="14"/>
          <w:rFonts w:hint="eastAsia" w:ascii="仿宋" w:hAnsi="仿宋" w:eastAsia="仿宋"/>
          <w:b w:val="0"/>
          <w:bCs/>
          <w:color w:val="auto"/>
          <w:sz w:val="32"/>
          <w:szCs w:val="32"/>
          <w:highlight w:val="none"/>
        </w:rPr>
      </w:pPr>
      <w:r>
        <w:rPr>
          <w:rStyle w:val="14"/>
          <w:rFonts w:hint="eastAsia" w:ascii="仿宋" w:hAnsi="仿宋" w:eastAsia="仿宋" w:cstheme="minorBidi"/>
          <w:bCs/>
          <w:color w:val="auto"/>
          <w:sz w:val="32"/>
          <w:szCs w:val="32"/>
          <w:highlight w:val="none"/>
          <w:lang w:val="en-US" w:eastAsia="zh-CN"/>
        </w:rPr>
        <w:t>2.一般公共服务（类）政府办公厅（室）及相关机构事务（款）</w:t>
      </w:r>
      <w:r>
        <w:rPr>
          <w:rStyle w:val="14"/>
          <w:rFonts w:hint="eastAsia" w:ascii="仿宋" w:hAnsi="仿宋" w:eastAsia="仿宋" w:cstheme="minorBidi"/>
          <w:bCs/>
          <w:color w:val="auto"/>
          <w:kern w:val="2"/>
          <w:sz w:val="32"/>
          <w:szCs w:val="32"/>
          <w:highlight w:val="none"/>
          <w:lang w:val="en-US" w:eastAsia="zh-CN" w:bidi="ar-SA"/>
        </w:rPr>
        <w:t>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546.19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numPr>
          <w:ilvl w:val="0"/>
          <w:numId w:val="0"/>
        </w:numPr>
        <w:ind w:firstLine="600"/>
        <w:rPr>
          <w:rStyle w:val="14"/>
          <w:rFonts w:hint="eastAsia" w:ascii="仿宋" w:hAnsi="仿宋" w:eastAsia="仿宋"/>
          <w:b w:val="0"/>
          <w:bCs/>
          <w:color w:val="auto"/>
          <w:sz w:val="32"/>
          <w:szCs w:val="32"/>
          <w:highlight w:val="none"/>
        </w:rPr>
      </w:pPr>
      <w:r>
        <w:rPr>
          <w:rStyle w:val="14"/>
          <w:rFonts w:hint="eastAsia" w:ascii="仿宋" w:hAnsi="仿宋" w:eastAsia="仿宋" w:cstheme="minorBidi"/>
          <w:bCs/>
          <w:color w:val="auto"/>
          <w:sz w:val="32"/>
          <w:szCs w:val="32"/>
          <w:highlight w:val="none"/>
          <w:lang w:val="en-US" w:eastAsia="zh-CN"/>
        </w:rPr>
        <w:t>3. 一般公共服务（类）财政事务（款）行政运行（项）: 支</w:t>
      </w:r>
      <w:r>
        <w:rPr>
          <w:rStyle w:val="14"/>
          <w:rFonts w:hint="eastAsia" w:ascii="仿宋" w:hAnsi="仿宋" w:eastAsia="仿宋"/>
          <w:b w:val="0"/>
          <w:bCs/>
          <w:color w:val="auto"/>
          <w:sz w:val="32"/>
          <w:szCs w:val="32"/>
          <w:highlight w:val="none"/>
        </w:rPr>
        <w:t>出决算为</w:t>
      </w:r>
      <w:r>
        <w:rPr>
          <w:rStyle w:val="14"/>
          <w:rFonts w:hint="eastAsia" w:ascii="仿宋" w:hAnsi="仿宋" w:eastAsia="仿宋"/>
          <w:b w:val="0"/>
          <w:bCs/>
          <w:color w:val="auto"/>
          <w:sz w:val="32"/>
          <w:szCs w:val="32"/>
          <w:highlight w:val="none"/>
          <w:lang w:val="en-US" w:eastAsia="zh-CN"/>
        </w:rPr>
        <w:t>7.49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numPr>
          <w:ilvl w:val="0"/>
          <w:numId w:val="0"/>
        </w:numPr>
        <w:ind w:firstLine="6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cstheme="minorBidi"/>
          <w:bCs/>
          <w:color w:val="auto"/>
          <w:kern w:val="2"/>
          <w:sz w:val="32"/>
          <w:szCs w:val="32"/>
          <w:highlight w:val="none"/>
          <w:lang w:val="en-US" w:eastAsia="zh-CN" w:bidi="ar-SA"/>
        </w:rPr>
        <w:t>党委办公厅（室）及相关机构事务（款）行政运行（项）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23.86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行政事业单位养老支出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机关事业单位基本养老保险缴费支出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48.67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numPr>
          <w:ilvl w:val="0"/>
          <w:numId w:val="0"/>
        </w:numPr>
        <w:ind w:firstLine="6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6.</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其他社会保障和就业支出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其他社会保障和就业支出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numPr>
          <w:ilvl w:val="0"/>
          <w:numId w:val="0"/>
        </w:numPr>
        <w:ind w:firstLine="600"/>
        <w:rPr>
          <w:rStyle w:val="14"/>
          <w:rFonts w:hint="eastAsia" w:ascii="仿宋" w:hAnsi="仿宋" w:eastAsia="仿宋"/>
          <w:b w:val="0"/>
          <w:bCs/>
          <w:color w:val="auto"/>
          <w:sz w:val="32"/>
          <w:szCs w:val="32"/>
          <w:highlight w:val="none"/>
          <w:lang w:eastAsia="zh-CN"/>
        </w:rPr>
      </w:pPr>
      <w:r>
        <w:rPr>
          <w:rStyle w:val="14"/>
          <w:rFonts w:hint="eastAsia" w:ascii="仿宋" w:hAnsi="仿宋" w:eastAsia="仿宋" w:cstheme="minorBidi"/>
          <w:bCs/>
          <w:color w:val="auto"/>
          <w:sz w:val="32"/>
          <w:szCs w:val="32"/>
          <w:highlight w:val="none"/>
          <w:lang w:val="en-US" w:eastAsia="zh-CN"/>
        </w:rPr>
        <w:t>7.</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行政单位医疗</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10.14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pStyle w:val="2"/>
        <w:numPr>
          <w:ilvl w:val="0"/>
          <w:numId w:val="0"/>
        </w:numPr>
        <w:ind w:firstLine="600"/>
        <w:rPr>
          <w:rStyle w:val="14"/>
          <w:rFonts w:hint="default" w:ascii="仿宋" w:hAnsi="仿宋" w:eastAsia="仿宋"/>
          <w:b w:val="0"/>
          <w:bCs/>
          <w:color w:val="auto"/>
          <w:sz w:val="32"/>
          <w:szCs w:val="32"/>
          <w:highlight w:val="none"/>
          <w:lang w:val="en-US" w:eastAsia="zh-CN"/>
        </w:rPr>
      </w:pPr>
      <w:r>
        <w:rPr>
          <w:rStyle w:val="14"/>
          <w:rFonts w:hint="eastAsia" w:ascii="仿宋" w:hAnsi="仿宋" w:eastAsia="仿宋" w:cstheme="minorBidi"/>
          <w:bCs/>
          <w:color w:val="auto"/>
          <w:sz w:val="32"/>
          <w:szCs w:val="32"/>
          <w:highlight w:val="none"/>
          <w:lang w:val="en-US" w:eastAsia="zh-CN"/>
        </w:rPr>
        <w:t>8.</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事业单位医疗</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15.74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9</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农林水</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林业和草原</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12.77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农林水</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扶贫</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其他扶贫支出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15.89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hint="default" w:eastAsia="仿宋"/>
          <w:lang w:val="en-US" w:eastAsia="zh-CN"/>
        </w:rPr>
      </w:pPr>
      <w:r>
        <w:rPr>
          <w:rStyle w:val="14"/>
          <w:rFonts w:hint="eastAsia" w:ascii="仿宋" w:hAnsi="仿宋" w:eastAsia="仿宋"/>
          <w:bCs/>
          <w:color w:val="auto"/>
          <w:sz w:val="32"/>
          <w:szCs w:val="32"/>
          <w:highlight w:val="none"/>
          <w:lang w:val="en-US" w:eastAsia="zh-CN"/>
        </w:rPr>
        <w:t>11</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农林水</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农村综合改革</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对村民委员会和村党支部的补助</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395.56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住房保障</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住房改革</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住房公积金</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50.54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灾害防治及应急管理支出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自然灾害救灾及恢复重建支出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其他自然灾害救灾及恢复重建支出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5"/>
          <w:color w:val="auto"/>
          <w:highlight w:val="none"/>
        </w:rPr>
      </w:pPr>
      <w:bookmarkStart w:id="47" w:name="_Toc1124"/>
      <w:bookmarkStart w:id="48" w:name="_Toc15396608"/>
      <w:bookmarkStart w:id="49"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7"/>
      <w:bookmarkEnd w:id="48"/>
      <w:bookmarkEnd w:id="49"/>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1042.99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820.70</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222.29</w:t>
      </w:r>
      <w:r>
        <w:rPr>
          <w:rFonts w:hint="eastAsia" w:ascii="仿宋" w:hAnsi="仿宋" w:eastAsia="仿宋"/>
          <w:color w:val="auto"/>
          <w:sz w:val="32"/>
          <w:szCs w:val="32"/>
          <w:highlight w:val="none"/>
        </w:rPr>
        <w:t>万元，主要包括：办公费、印刷费、咨询费、手续费、水费、电费、邮电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50" w:name="_Toc15377215"/>
      <w:bookmarkStart w:id="51" w:name="_Toc24808"/>
      <w:bookmarkStart w:id="52"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50"/>
      <w:bookmarkEnd w:id="51"/>
      <w:bookmarkEnd w:id="52"/>
    </w:p>
    <w:p>
      <w:pPr>
        <w:spacing w:line="600" w:lineRule="exact"/>
        <w:ind w:firstLine="640"/>
        <w:outlineLvl w:val="2"/>
        <w:rPr>
          <w:rFonts w:ascii="仿宋" w:hAnsi="仿宋" w:eastAsia="仿宋"/>
          <w:b/>
          <w:color w:val="auto"/>
          <w:sz w:val="32"/>
          <w:szCs w:val="32"/>
          <w:highlight w:val="none"/>
        </w:rPr>
      </w:pPr>
      <w:bookmarkStart w:id="53" w:name="_Toc15377216"/>
      <w:r>
        <w:rPr>
          <w:rFonts w:hint="eastAsia" w:ascii="仿宋" w:hAnsi="仿宋" w:eastAsia="仿宋"/>
          <w:b/>
          <w:color w:val="auto"/>
          <w:sz w:val="32"/>
          <w:szCs w:val="32"/>
          <w:highlight w:val="none"/>
        </w:rPr>
        <w:t>（一）“三公”经费财政拨款支出决算总体情况说明</w:t>
      </w:r>
      <w:bookmarkEnd w:id="53"/>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9.5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86.36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疫情形势下公务接待次数相对减少。</w:t>
      </w:r>
    </w:p>
    <w:p>
      <w:pPr>
        <w:spacing w:line="600" w:lineRule="exact"/>
        <w:ind w:firstLine="640"/>
        <w:outlineLvl w:val="2"/>
        <w:rPr>
          <w:rFonts w:ascii="仿宋" w:hAnsi="仿宋" w:eastAsia="仿宋"/>
          <w:b/>
          <w:color w:val="auto"/>
          <w:sz w:val="32"/>
          <w:szCs w:val="32"/>
          <w:highlight w:val="none"/>
        </w:rPr>
      </w:pPr>
      <w:bookmarkStart w:id="54" w:name="_Toc15377217"/>
      <w:r>
        <w:rPr>
          <w:rFonts w:hint="eastAsia" w:ascii="仿宋" w:hAnsi="仿宋" w:eastAsia="仿宋"/>
          <w:b/>
          <w:color w:val="auto"/>
          <w:sz w:val="32"/>
          <w:szCs w:val="32"/>
          <w:highlight w:val="none"/>
        </w:rPr>
        <w:t>（二）“三公”经费财政拨款支出决算具体情况说明</w:t>
      </w:r>
      <w:bookmarkEnd w:id="5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80000" cy="307721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eastAsia="zh-CN"/>
        </w:rPr>
        <w:t>年初未安排预算，与上年数持平。</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w:t>
      </w:r>
      <w:r>
        <w:rPr>
          <w:rFonts w:hint="eastAsia" w:ascii="仿宋_GB2312" w:hAnsi="Times New Roman" w:eastAsia="仿宋_GB2312" w:cs="Times New Roman"/>
          <w:b/>
          <w:color w:val="auto"/>
          <w:sz w:val="32"/>
          <w:szCs w:val="32"/>
          <w:highlight w:val="none"/>
        </w:rPr>
        <w:t>公务用车购置及运行维护费支出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年初未安排预算，与上年数持平</w:t>
      </w:r>
      <w:r>
        <w:rPr>
          <w:rFonts w:hint="eastAsia" w:ascii="仿宋" w:hAnsi="仿宋" w:eastAsia="仿宋"/>
          <w:color w:val="auto"/>
          <w:sz w:val="32"/>
          <w:szCs w:val="32"/>
          <w:highlight w:val="none"/>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 w:hAnsi="仿宋" w:eastAsia="仿宋"/>
          <w:color w:val="auto"/>
          <w:sz w:val="32"/>
          <w:szCs w:val="32"/>
          <w:highlight w:val="none"/>
          <w:lang w:eastAsia="zh-CN"/>
        </w:rPr>
        <w:t>年初未安排预算。</w:t>
      </w:r>
    </w:p>
    <w:p>
      <w:pPr>
        <w:spacing w:line="600" w:lineRule="exact"/>
        <w:ind w:firstLine="640"/>
        <w:rPr>
          <w:rFonts w:hint="eastAsia" w:ascii="仿宋" w:hAnsi="仿宋" w:eastAsia="仿宋"/>
          <w:color w:val="auto"/>
          <w:sz w:val="32"/>
          <w:szCs w:val="32"/>
          <w:highlight w:val="none"/>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 w:hAnsi="仿宋" w:eastAsia="仿宋"/>
          <w:color w:val="auto"/>
          <w:sz w:val="32"/>
          <w:szCs w:val="32"/>
          <w:highlight w:val="none"/>
          <w:lang w:eastAsia="zh-CN"/>
        </w:rPr>
        <w:t>年初未安排预算。</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9.5</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86.36</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w:t>
      </w:r>
      <w:r>
        <w:rPr>
          <w:rFonts w:hint="eastAsia" w:ascii="仿宋_GB2312" w:eastAsia="仿宋_GB2312"/>
          <w:color w:val="auto"/>
          <w:sz w:val="32"/>
          <w:szCs w:val="32"/>
          <w:highlight w:val="none"/>
          <w:lang w:val="en-US" w:eastAsia="zh-CN"/>
        </w:rPr>
        <w:t>0.24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2.46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疫情形势下公务接待次数相对减少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9.5</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440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2200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9.5</w:t>
      </w:r>
      <w:r>
        <w:rPr>
          <w:rFonts w:hint="eastAsia" w:ascii="仿宋_GB2312" w:eastAsia="仿宋_GB2312"/>
          <w:color w:val="auto"/>
          <w:sz w:val="32"/>
          <w:szCs w:val="32"/>
          <w:highlight w:val="none"/>
        </w:rPr>
        <w:t>万元，具体内容包括：</w:t>
      </w:r>
      <w:r>
        <w:rPr>
          <w:rFonts w:hint="eastAsia" w:ascii="仿宋" w:hAnsi="仿宋" w:eastAsia="仿宋"/>
          <w:color w:val="auto"/>
          <w:sz w:val="32"/>
          <w:szCs w:val="32"/>
          <w:highlight w:val="none"/>
          <w:lang w:eastAsia="zh-CN"/>
        </w:rPr>
        <w:t>上级部门到镇检查指导工作、脱贫攻坚迎检、新冠疫情防控督导等</w:t>
      </w:r>
      <w:r>
        <w:rPr>
          <w:rFonts w:hint="eastAsia" w:ascii="仿宋" w:hAnsi="仿宋" w:eastAsia="仿宋"/>
          <w:color w:val="auto"/>
          <w:sz w:val="32"/>
          <w:szCs w:val="32"/>
          <w:highlight w:val="none"/>
        </w:rPr>
        <w:t>。</w:t>
      </w:r>
    </w:p>
    <w:p>
      <w:pPr>
        <w:spacing w:line="600" w:lineRule="exact"/>
        <w:ind w:firstLine="619" w:firstLineChars="200"/>
        <w:rPr>
          <w:rFonts w:ascii="仿宋_GB2312" w:eastAsia="仿宋_GB2312"/>
          <w:color w:val="auto"/>
          <w:spacing w:val="-6"/>
          <w:sz w:val="32"/>
          <w:szCs w:val="32"/>
          <w:highlight w:val="none"/>
        </w:rPr>
      </w:pPr>
      <w:r>
        <w:rPr>
          <w:rFonts w:hint="eastAsia" w:ascii="仿宋" w:hAnsi="仿宋" w:eastAsia="仿宋"/>
          <w:b/>
          <w:color w:val="auto"/>
          <w:spacing w:val="-6"/>
          <w:sz w:val="32"/>
          <w:szCs w:val="32"/>
          <w:highlight w:val="none"/>
        </w:rPr>
        <w:t>外事接待支出</w:t>
      </w:r>
      <w:r>
        <w:rPr>
          <w:rFonts w:hint="eastAsia" w:ascii="仿宋" w:hAnsi="仿宋" w:eastAsia="仿宋"/>
          <w:color w:val="auto"/>
          <w:spacing w:val="-6"/>
          <w:sz w:val="32"/>
          <w:szCs w:val="32"/>
          <w:highlight w:val="none"/>
          <w:lang w:val="en-US" w:eastAsia="zh-CN"/>
        </w:rPr>
        <w:t>0</w:t>
      </w:r>
      <w:r>
        <w:rPr>
          <w:rFonts w:hint="eastAsia" w:ascii="仿宋_GB2312" w:eastAsia="仿宋_GB2312"/>
          <w:color w:val="auto"/>
          <w:spacing w:val="-6"/>
          <w:sz w:val="32"/>
          <w:szCs w:val="32"/>
          <w:highlight w:val="none"/>
        </w:rPr>
        <w:t>万元，外事接待</w:t>
      </w:r>
      <w:r>
        <w:rPr>
          <w:rFonts w:hint="eastAsia" w:ascii="仿宋_GB2312" w:eastAsia="仿宋_GB2312"/>
          <w:color w:val="auto"/>
          <w:spacing w:val="-6"/>
          <w:sz w:val="32"/>
          <w:szCs w:val="32"/>
          <w:highlight w:val="none"/>
          <w:lang w:val="en-US" w:eastAsia="zh-CN"/>
        </w:rPr>
        <w:t>0</w:t>
      </w:r>
      <w:r>
        <w:rPr>
          <w:rFonts w:hint="eastAsia" w:ascii="仿宋_GB2312" w:eastAsia="仿宋_GB2312"/>
          <w:color w:val="auto"/>
          <w:spacing w:val="-6"/>
          <w:sz w:val="32"/>
          <w:szCs w:val="32"/>
          <w:highlight w:val="none"/>
        </w:rPr>
        <w:t>批次，</w:t>
      </w:r>
      <w:r>
        <w:rPr>
          <w:rFonts w:hint="eastAsia" w:ascii="仿宋_GB2312" w:eastAsia="仿宋_GB2312"/>
          <w:color w:val="auto"/>
          <w:spacing w:val="-6"/>
          <w:sz w:val="32"/>
          <w:szCs w:val="32"/>
          <w:highlight w:val="none"/>
          <w:lang w:val="en-US" w:eastAsia="zh-CN"/>
        </w:rPr>
        <w:t>0</w:t>
      </w:r>
      <w:r>
        <w:rPr>
          <w:rFonts w:hint="eastAsia" w:ascii="仿宋_GB2312" w:eastAsia="仿宋_GB2312"/>
          <w:color w:val="auto"/>
          <w:spacing w:val="-6"/>
          <w:sz w:val="32"/>
          <w:szCs w:val="32"/>
          <w:highlight w:val="none"/>
        </w:rPr>
        <w:t>人，共计支出</w:t>
      </w:r>
      <w:r>
        <w:rPr>
          <w:rFonts w:hint="eastAsia" w:ascii="仿宋_GB2312" w:eastAsia="仿宋_GB2312"/>
          <w:color w:val="auto"/>
          <w:spacing w:val="-6"/>
          <w:sz w:val="32"/>
          <w:szCs w:val="32"/>
          <w:highlight w:val="none"/>
          <w:lang w:val="en-US" w:eastAsia="zh-CN"/>
        </w:rPr>
        <w:t>0</w:t>
      </w:r>
      <w:r>
        <w:rPr>
          <w:rFonts w:hint="eastAsia" w:ascii="仿宋_GB2312" w:eastAsia="仿宋_GB2312"/>
          <w:color w:val="auto"/>
          <w:spacing w:val="-6"/>
          <w:sz w:val="32"/>
          <w:szCs w:val="32"/>
          <w:highlight w:val="none"/>
        </w:rPr>
        <w:t>万元。</w:t>
      </w:r>
    </w:p>
    <w:p>
      <w:pPr>
        <w:spacing w:line="600" w:lineRule="exact"/>
        <w:ind w:firstLine="640"/>
        <w:outlineLvl w:val="1"/>
        <w:rPr>
          <w:rStyle w:val="25"/>
          <w:rFonts w:ascii="黑体" w:hAnsi="黑体" w:eastAsia="黑体"/>
          <w:color w:val="auto"/>
          <w:highlight w:val="none"/>
        </w:rPr>
      </w:pPr>
      <w:bookmarkStart w:id="55" w:name="_Toc15396610"/>
      <w:bookmarkStart w:id="56" w:name="_Toc27871"/>
      <w:bookmarkStart w:id="57" w:name="_Toc15377218"/>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55"/>
      <w:bookmarkEnd w:id="56"/>
      <w:bookmarkEnd w:id="5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58" w:name="_Toc9059"/>
      <w:bookmarkStart w:id="59" w:name="_Toc15396611"/>
      <w:bookmarkStart w:id="60" w:name="_Toc15377219"/>
      <w:r>
        <w:rPr>
          <w:rStyle w:val="25"/>
          <w:rFonts w:hint="eastAsia" w:ascii="黑体" w:hAnsi="黑体" w:eastAsia="黑体"/>
          <w:b w:val="0"/>
          <w:color w:val="auto"/>
          <w:highlight w:val="none"/>
        </w:rPr>
        <w:t>国有资本经营预算支出决算情况说明</w:t>
      </w:r>
      <w:bookmarkEnd w:id="58"/>
      <w:bookmarkEnd w:id="59"/>
      <w:bookmarkEnd w:id="60"/>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1" w:name="_Toc29650"/>
      <w:bookmarkStart w:id="62" w:name="_Toc15377221"/>
      <w:bookmarkStart w:id="63" w:name="_Toc15396612"/>
      <w:r>
        <w:rPr>
          <w:rStyle w:val="25"/>
          <w:rFonts w:hint="eastAsia" w:ascii="黑体" w:hAnsi="黑体" w:eastAsia="黑体"/>
          <w:b w:val="0"/>
          <w:color w:val="auto"/>
          <w:highlight w:val="none"/>
          <w:lang w:val="en-US" w:eastAsia="zh-CN"/>
        </w:rPr>
        <w:t>预算绩效管理情况</w:t>
      </w:r>
      <w:bookmarkEnd w:id="61"/>
    </w:p>
    <w:p>
      <w:pPr>
        <w:spacing w:line="580" w:lineRule="exact"/>
        <w:ind w:firstLine="640" w:firstLineChars="200"/>
        <w:rPr>
          <w:rFonts w:hint="eastAsia"/>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烤烟产业发展资金、基层组织活动和公共运行服务经费</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4" w:name="_Toc23810"/>
      <w:r>
        <w:rPr>
          <w:rStyle w:val="25"/>
          <w:rFonts w:hint="eastAsia" w:ascii="黑体" w:hAnsi="黑体" w:eastAsia="黑体"/>
          <w:b w:val="0"/>
          <w:color w:val="auto"/>
          <w:highlight w:val="none"/>
        </w:rPr>
        <w:t>其他重要事项的情况说明</w:t>
      </w:r>
      <w:bookmarkEnd w:id="62"/>
      <w:bookmarkEnd w:id="63"/>
      <w:bookmarkEnd w:id="64"/>
    </w:p>
    <w:p>
      <w:pPr>
        <w:spacing w:line="600" w:lineRule="exact"/>
        <w:ind w:firstLine="643" w:firstLineChars="200"/>
        <w:outlineLvl w:val="2"/>
        <w:rPr>
          <w:rFonts w:ascii="仿宋" w:hAnsi="仿宋" w:eastAsia="仿宋"/>
          <w:color w:val="auto"/>
          <w:sz w:val="32"/>
          <w:szCs w:val="32"/>
          <w:highlight w:val="none"/>
        </w:rPr>
      </w:pPr>
      <w:bookmarkStart w:id="65" w:name="_Toc15377222"/>
      <w:r>
        <w:rPr>
          <w:rFonts w:hint="eastAsia" w:ascii="仿宋" w:hAnsi="仿宋" w:eastAsia="仿宋"/>
          <w:b/>
          <w:color w:val="auto"/>
          <w:sz w:val="32"/>
          <w:szCs w:val="32"/>
          <w:highlight w:val="none"/>
        </w:rPr>
        <w:t>（一）机关运行经费支出情况</w:t>
      </w:r>
      <w:bookmarkEnd w:id="65"/>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清水镇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222.29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26.90</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人员变动较大，调走人数较多。</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6" w:name="_Toc15377223"/>
      <w:r>
        <w:rPr>
          <w:rFonts w:hint="eastAsia" w:ascii="仿宋" w:hAnsi="仿宋" w:eastAsia="仿宋"/>
          <w:b/>
          <w:color w:val="auto"/>
          <w:sz w:val="32"/>
          <w:szCs w:val="32"/>
          <w:highlight w:val="none"/>
        </w:rPr>
        <w:t>（二）政府采购支出情况</w:t>
      </w:r>
      <w:bookmarkEnd w:id="6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清水镇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7" w:name="_Toc15377224"/>
      <w:r>
        <w:rPr>
          <w:rFonts w:hint="eastAsia" w:ascii="仿宋" w:hAnsi="仿宋" w:eastAsia="仿宋"/>
          <w:b/>
          <w:color w:val="auto"/>
          <w:sz w:val="32"/>
          <w:szCs w:val="32"/>
          <w:highlight w:val="none"/>
        </w:rPr>
        <w:t>（三）国有资产占有使用情况</w:t>
      </w:r>
      <w:bookmarkEnd w:id="67"/>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我镇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68" w:name="_Toc11941"/>
      <w:bookmarkStart w:id="69" w:name="_Toc15396613"/>
      <w:bookmarkStart w:id="7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68"/>
      <w:bookmarkEnd w:id="69"/>
      <w:bookmarkEnd w:id="7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9.一般公共服务（类）人大事务（款）行政运行（项）: 指单位</w:t>
      </w:r>
      <w:r>
        <w:rPr>
          <w:rFonts w:hint="eastAsia" w:ascii="仿宋_GB2312" w:eastAsia="仿宋_GB2312"/>
          <w:color w:val="auto"/>
          <w:sz w:val="32"/>
          <w:szCs w:val="32"/>
          <w:highlight w:val="none"/>
          <w:lang w:eastAsia="zh-CN"/>
        </w:rPr>
        <w:t>人大事务</w:t>
      </w:r>
      <w:r>
        <w:rPr>
          <w:rFonts w:hint="eastAsia" w:ascii="仿宋_GB2312" w:eastAsia="仿宋_GB2312"/>
          <w:color w:val="auto"/>
          <w:sz w:val="32"/>
          <w:szCs w:val="32"/>
          <w:highlight w:val="none"/>
        </w:rPr>
        <w:t>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10.一般公共服务（类）人大事务（款）代表工作（项）: 指人大代表开展各类视察等方面的支出。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11.一般公共服务（类）人大事务（款）代表其他人大事务支出（项）:指其他人大事务支出。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12.一般公共服务（类）政府办公厅（室）及相关机构事务（款）行政运行（项）: 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.一般公共服务（类）财政事务（款）行政运行（项）: 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.一般公共服务（类）党委办公厅（室）及相关机构事务（款）行政运行（项）:指单位基本支出。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.国防（类）其他国防（款）其他国防（项）:指其他用于国防方面的支出。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.公共安全（类）公安（款）行政运行（项）: 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.文化旅游体育与传媒（类）文化和旅游（款）行政运行（项）:指单位基本支出支出。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.文化旅游体育与传媒（类）文化和旅游（款）群众文化（项）:指群众文化方面的支出。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.文化旅游体育与传媒（类）文化和旅游（款）其他文化和旅游（项）:指其他用于文化和旅游方面的支出。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.文化旅游体育与传媒（类）广播电视（款）行政运行（项）:指单位基本支出。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.社会保障和就业（类）人力资源和社会保障管理服务（款）行政运行（项）:指单位基本支出。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.社会保障和就业（类）民政管理事务（款）行政运行（项）:指单位基本支出。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.社会保障和就业（类）行政事业单位养老（款）机关事业单位基本养老保险缴费（项）:指机关事业单位实施养老保险制度由单位缴纳的基本养老保险费支出。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.社会保障和就业（类）其他社会保障和就业（款）其他社会保障和就业（项）:指其他用于社会保障和就业方面的支出。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.卫生健康（类）卫生健康管理事务（款）行政运行（项）:指单位基本支出。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26</w:t>
      </w:r>
      <w:r>
        <w:rPr>
          <w:rFonts w:hint="eastAsia" w:ascii="仿宋_GB2312" w:eastAsia="仿宋_GB2312"/>
          <w:color w:val="auto"/>
          <w:sz w:val="32"/>
          <w:szCs w:val="32"/>
          <w:highlight w:val="none"/>
        </w:rPr>
        <w:t>.卫生健康（类）计划生育事务（款）其他计划生育事务（项）:指其他用于计划生育管理事务方面的支出。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hint="eastAsia" w:ascii="仿宋_GB2312" w:eastAsia="仿宋_GB2312"/>
          <w:color w:val="auto"/>
          <w:sz w:val="32"/>
          <w:szCs w:val="32"/>
          <w:highlight w:val="none"/>
        </w:rPr>
        <w:t>.卫生健康（类）行政事业单位医疗（款）行政单位医疗（项）:指财政部门安排的行政单位基本医疗保险缴费经费。</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28</w:t>
      </w:r>
      <w:r>
        <w:rPr>
          <w:rFonts w:hint="eastAsia" w:ascii="仿宋_GB2312" w:eastAsia="仿宋_GB2312"/>
          <w:color w:val="auto"/>
          <w:sz w:val="32"/>
          <w:szCs w:val="32"/>
          <w:highlight w:val="none"/>
        </w:rPr>
        <w:t>.卫生健康（类）行政事业单位医疗（款）事业单位医疗（项）:指财政部门安排的事业单位基本医疗保险缴费经费。</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.城乡社区（类）城乡社区管理事务（款）行政运行（项）:指单位基本支出。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30</w:t>
      </w:r>
      <w:r>
        <w:rPr>
          <w:rFonts w:hint="eastAsia" w:ascii="仿宋_GB2312" w:eastAsia="仿宋_GB2312"/>
          <w:color w:val="auto"/>
          <w:sz w:val="32"/>
          <w:szCs w:val="32"/>
          <w:highlight w:val="none"/>
        </w:rPr>
        <w:t>.城乡社区（类）城乡社区环境卫生（款）城乡社区环境卫生（项）:指城乡社区道路清扫、垃圾清运与处理、公厕建设与维护、园林绿化等方面的支出。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31</w:t>
      </w:r>
      <w:r>
        <w:rPr>
          <w:rFonts w:hint="eastAsia" w:ascii="仿宋_GB2312" w:eastAsia="仿宋_GB2312"/>
          <w:color w:val="auto"/>
          <w:sz w:val="32"/>
          <w:szCs w:val="32"/>
          <w:highlight w:val="none"/>
        </w:rPr>
        <w:t>.农林水（类）农业农村（款）行政运行（项）:指单位基本支出。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32</w:t>
      </w:r>
      <w:r>
        <w:rPr>
          <w:rFonts w:hint="eastAsia" w:ascii="仿宋_GB2312" w:eastAsia="仿宋_GB2312"/>
          <w:color w:val="auto"/>
          <w:sz w:val="32"/>
          <w:szCs w:val="32"/>
          <w:highlight w:val="none"/>
        </w:rPr>
        <w:t>.农林水（类）农业农村（款）事业运行（项）:指农业事业单位基本支出，事业单位设施、系统运行与资产维护等方面的支出。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33</w:t>
      </w:r>
      <w:r>
        <w:rPr>
          <w:rFonts w:hint="eastAsia" w:ascii="仿宋_GB2312" w:eastAsia="仿宋_GB2312"/>
          <w:color w:val="auto"/>
          <w:sz w:val="32"/>
          <w:szCs w:val="32"/>
          <w:highlight w:val="none"/>
        </w:rPr>
        <w:t>.农林水（类）农业农村（款）农村道路建设（项）:指农村公路、乡村道路建设方面的支出。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34</w:t>
      </w:r>
      <w:r>
        <w:rPr>
          <w:rFonts w:hint="eastAsia" w:ascii="仿宋_GB2312" w:eastAsia="仿宋_GB2312"/>
          <w:color w:val="auto"/>
          <w:sz w:val="32"/>
          <w:szCs w:val="32"/>
          <w:highlight w:val="none"/>
        </w:rPr>
        <w:t>.农林水（类）林业和草原（款）行政运行（项）:指单位基本支出。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.农林水（类）水利（款）行政运行（项）:指单位基本支出。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.农林水（类）巩固脱贫衔接乡村振兴（款）其他巩固脱贫衔接乡村振兴支出（项）：指其他用于巩固拓展脱贫攻坚成果同乡村振兴有效衔接方面的支出。</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.农林水（类）农村综合改革（款）对村民委员会和村党支部的补助（项）:指对村民委员会和村党支部的补助支出，以及支持奖励县级基本财力保障机制安排的村级组组织运转奖补资金。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38</w:t>
      </w:r>
      <w:r>
        <w:rPr>
          <w:rFonts w:hint="eastAsia" w:ascii="仿宋_GB2312" w:eastAsia="仿宋_GB2312"/>
          <w:color w:val="auto"/>
          <w:sz w:val="32"/>
          <w:szCs w:val="32"/>
          <w:highlight w:val="none"/>
        </w:rPr>
        <w:t>.住房保障（类）住房改革（款）住房公积金（项）:指部门按规定为职工缴纳的住房公积金支出。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公务用车运行维护费以及其他费用。</w:t>
      </w:r>
    </w:p>
    <w:p>
      <w:pPr>
        <w:spacing w:line="600" w:lineRule="exact"/>
        <w:jc w:val="center"/>
        <w:outlineLvl w:val="0"/>
        <w:rPr>
          <w:rStyle w:val="24"/>
          <w:rFonts w:ascii="黑体" w:hAnsi="黑体" w:eastAsia="黑体"/>
          <w:b w:val="0"/>
          <w:color w:val="auto"/>
          <w:highlight w:val="none"/>
        </w:rPr>
      </w:pPr>
      <w:bookmarkStart w:id="71" w:name="_Toc15377226"/>
      <w:r>
        <w:rPr>
          <w:rFonts w:ascii="宋体"/>
          <w:b/>
          <w:color w:val="auto"/>
          <w:sz w:val="44"/>
          <w:szCs w:val="44"/>
          <w:highlight w:val="none"/>
        </w:rPr>
        <w:br w:type="page"/>
      </w:r>
      <w:bookmarkStart w:id="72" w:name="_Toc15396614"/>
      <w:bookmarkStart w:id="73" w:name="_Toc3176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72"/>
      <w:bookmarkEnd w:id="73"/>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bookmarkStart w:id="74" w:name="_Toc20189"/>
      <w:r>
        <w:rPr>
          <w:rFonts w:hint="eastAsia" w:ascii="黑体" w:hAnsi="黑体" w:eastAsia="黑体" w:cs="黑体"/>
          <w:color w:val="auto"/>
          <w:sz w:val="32"/>
          <w:szCs w:val="32"/>
          <w:highlight w:val="none"/>
        </w:rPr>
        <w:t>附件</w:t>
      </w:r>
      <w:bookmarkEnd w:id="74"/>
    </w:p>
    <w:tbl>
      <w:tblPr>
        <w:tblStyle w:val="12"/>
        <w:tblpPr w:leftFromText="180" w:rightFromText="180" w:vertAnchor="text" w:horzAnchor="page" w:tblpX="1281" w:tblpY="660"/>
        <w:tblOverlap w:val="never"/>
        <w:tblW w:w="98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05"/>
        <w:gridCol w:w="1215"/>
        <w:gridCol w:w="1110"/>
        <w:gridCol w:w="2628"/>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75" w:name="_Toc15396618"/>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6"/>
                <w:szCs w:val="16"/>
                <w:u w:val="none"/>
              </w:rPr>
              <w:t>广元昭化区清水镇人民政府</w:t>
            </w:r>
            <w:r>
              <w:rPr>
                <w:rFonts w:hint="eastAsia" w:ascii="宋体" w:hAnsi="宋体" w:cs="宋体"/>
                <w:i w:val="0"/>
                <w:color w:val="auto"/>
                <w:sz w:val="16"/>
                <w:szCs w:val="16"/>
                <w:u w:val="none"/>
                <w:lang w:val="en-US" w:eastAsia="zh-CN"/>
              </w:rPr>
              <w:t xml:space="preserve"> 785701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15"/>
                <w:szCs w:val="15"/>
                <w:u w:val="none"/>
              </w:rPr>
              <w:t>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6"/>
                <w:szCs w:val="16"/>
                <w:u w:val="none"/>
                <w:lang w:val="en-US" w:eastAsia="zh-CN"/>
              </w:rPr>
              <w:t>15.89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6"/>
                <w:szCs w:val="16"/>
                <w:u w:val="none"/>
                <w:lang w:val="en-US" w:eastAsia="zh-CN"/>
              </w:rPr>
              <w:t>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16"/>
                <w:szCs w:val="16"/>
                <w:u w:val="none"/>
                <w:lang w:val="en-US" w:eastAsia="zh-CN"/>
              </w:rPr>
              <w:t>15.89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16"/>
                <w:szCs w:val="16"/>
                <w:u w:val="none"/>
                <w:lang w:val="en-US" w:eastAsia="zh-CN"/>
              </w:rPr>
              <w:t>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16"/>
                <w:szCs w:val="16"/>
                <w:u w:val="none"/>
              </w:rPr>
              <w:t>加强烟叶产业发展，提高烟农收入，清水镇全年对烟农集中技术培训</w:t>
            </w:r>
            <w:r>
              <w:rPr>
                <w:rFonts w:hint="eastAsia" w:ascii="宋体" w:hAnsi="宋体" w:cs="宋体"/>
                <w:i w:val="0"/>
                <w:color w:val="auto"/>
                <w:sz w:val="16"/>
                <w:szCs w:val="16"/>
                <w:u w:val="none"/>
                <w:lang w:val="en-US" w:eastAsia="zh-CN"/>
              </w:rPr>
              <w:t>4</w:t>
            </w:r>
            <w:r>
              <w:rPr>
                <w:rFonts w:hint="eastAsia" w:ascii="宋体" w:hAnsi="宋体" w:eastAsia="宋体" w:cs="宋体"/>
                <w:i w:val="0"/>
                <w:color w:val="auto"/>
                <w:sz w:val="16"/>
                <w:szCs w:val="16"/>
                <w:u w:val="none"/>
              </w:rPr>
              <w:t>次，全年维修烤房6间，全年整理烟地500亩。2021年12月之前完成全镇31.79万元烟叶税收目标任务100%，烟叶种植目标任务完成100%，全年烤烟发展成本为15.89万元。全年烟农增收率为59.82%，对生态环境不造成任何污染，群众满意率达到95%以上。</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16"/>
                <w:szCs w:val="16"/>
                <w:u w:val="none"/>
              </w:rPr>
              <w:t>全年对烟农集中技术培训</w:t>
            </w:r>
            <w:r>
              <w:rPr>
                <w:rFonts w:hint="eastAsia" w:ascii="宋体" w:hAnsi="宋体" w:cs="宋体"/>
                <w:i w:val="0"/>
                <w:color w:val="auto"/>
                <w:sz w:val="16"/>
                <w:szCs w:val="16"/>
                <w:u w:val="none"/>
                <w:lang w:val="en-US" w:eastAsia="zh-CN"/>
              </w:rPr>
              <w:t>4</w:t>
            </w:r>
            <w:r>
              <w:rPr>
                <w:rFonts w:hint="eastAsia" w:ascii="宋体" w:hAnsi="宋体" w:eastAsia="宋体" w:cs="宋体"/>
                <w:i w:val="0"/>
                <w:color w:val="auto"/>
                <w:sz w:val="16"/>
                <w:szCs w:val="16"/>
                <w:u w:val="none"/>
              </w:rPr>
              <w:t>次，全年维修烤房6间，全年整理烟地500亩。2021年12月之前完成全镇31.79万元烟叶税收目标任务，烟叶种植目标任务完成100%，全年烤烟发展成本控制在15.89万元之内。全年烟农增收率为19%，对生态环境不造成任何污染，群众满意率高达96%</w:t>
            </w:r>
            <w:r>
              <w:rPr>
                <w:rFonts w:hint="eastAsia" w:ascii="宋体" w:hAnsi="宋体" w:eastAsia="宋体" w:cs="宋体"/>
                <w:i w:val="0"/>
                <w:color w:val="auto"/>
                <w:sz w:val="22"/>
                <w:szCs w:val="22"/>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sz w:val="16"/>
                <w:szCs w:val="16"/>
                <w:u w:val="none"/>
              </w:rPr>
              <w:t>新建烤房（间）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sz w:val="16"/>
                <w:szCs w:val="16"/>
                <w:u w:val="none"/>
              </w:rPr>
              <w:t>傲盘村新建烤烟房5间</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sz w:val="16"/>
                <w:szCs w:val="16"/>
                <w:u w:val="none"/>
              </w:rPr>
              <w:t>实际完成对傲盘村新建烤烟房5间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烟地整理（亩）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玉莲村40亩、傲盘村110亩、金紫村100亩、松梁村50亩、香溪村100亩</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sz w:val="16"/>
                <w:szCs w:val="16"/>
                <w:u w:val="none"/>
              </w:rPr>
              <w:t>实际完成玉莲村40亩、傲盘村110亩、金紫村100亩、松梁村50亩、香溪村100亩种植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烤房维修（间）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玉莲村1间、金紫村2间、松梁村3间</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实际完成玉莲村1间、金紫村2间、松梁村3间6间烤房维修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烟叶税收目标任务完成率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达到目标31.79万元，完成100%</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全年实际完成税收31.79万元，完成100%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lang w:eastAsia="zh-CN"/>
              </w:rPr>
            </w:pPr>
            <w:r>
              <w:rPr>
                <w:rFonts w:hint="eastAsia" w:ascii="宋体" w:hAnsi="宋体" w:eastAsia="宋体" w:cs="宋体"/>
                <w:i w:val="0"/>
                <w:color w:val="auto"/>
                <w:sz w:val="16"/>
                <w:szCs w:val="16"/>
                <w:u w:val="none"/>
                <w:lang w:eastAsia="zh-CN"/>
              </w:rPr>
              <w:t>烟叶产业完成及时情况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2021年12月前完成“产、管、销”系列工作进度100%</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2021年12月前有序完成了“产、管、销”系列工作进度100%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发展资金支付及时情况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rPr>
              <w:t>2021年12</w:t>
            </w:r>
            <w:r>
              <w:rPr>
                <w:rFonts w:hint="eastAsia" w:ascii="宋体" w:hAnsi="宋体" w:cs="宋体"/>
                <w:i w:val="0"/>
                <w:color w:val="auto"/>
                <w:sz w:val="16"/>
                <w:szCs w:val="16"/>
                <w:u w:val="none"/>
                <w:lang w:eastAsia="zh-CN"/>
              </w:rPr>
              <w:t>月</w:t>
            </w:r>
            <w:r>
              <w:rPr>
                <w:rFonts w:hint="eastAsia" w:ascii="宋体" w:hAnsi="宋体" w:eastAsia="宋体" w:cs="宋体"/>
                <w:i w:val="0"/>
                <w:color w:val="auto"/>
                <w:sz w:val="16"/>
                <w:szCs w:val="16"/>
                <w:u w:val="none"/>
              </w:rPr>
              <w:t>前达15.89万元资金支付完成</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2021年12月前达到15.89万元资金支付完成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全年烤烟发展资金预算（万元）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15.89万元以内</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全年烤烟产业发展经费支出建设资金总额控制在15.89万元以内，未超出。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全年烟农效益增收率全年烟农效益增收率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全年烟农收入6.36万元</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rPr>
              <w:t>全年烟农收入6.36万元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税收收入增加（万元）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税收完成31.79万</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rPr>
              <w:t>税收完成31.79万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全年烟农受益率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全年烟农受益率达到98%以上</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全年烟农受益率达99%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生态环保影响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对生态环境不造成任何污染</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对生态环境未造成任何污染现象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项目使用年限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1年</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所有项目建设程序均在1年内全面完成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群众满意度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群众满意度≧95%</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rPr>
              <w:t>群众满意度≧95%</w:t>
            </w:r>
          </w:p>
        </w:tc>
      </w:tr>
    </w:tbl>
    <w:p>
      <w:pPr>
        <w:spacing w:line="600" w:lineRule="exact"/>
        <w:jc w:val="center"/>
        <w:outlineLvl w:val="9"/>
        <w:rPr>
          <w:rFonts w:hint="eastAsia" w:ascii="黑体" w:hAnsi="黑体" w:eastAsia="黑体"/>
          <w:color w:val="auto"/>
          <w:sz w:val="44"/>
          <w:szCs w:val="44"/>
          <w:highlight w:val="none"/>
        </w:rPr>
      </w:pPr>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rPr>
      </w:pPr>
    </w:p>
    <w:p>
      <w:pPr>
        <w:pStyle w:val="2"/>
        <w:rPr>
          <w:rFonts w:hint="eastAsia" w:ascii="黑体" w:hAnsi="黑体" w:eastAsia="黑体" w:cs="黑体"/>
          <w:color w:val="auto"/>
          <w:sz w:val="32"/>
          <w:szCs w:val="32"/>
          <w:highlight w:val="none"/>
        </w:rPr>
      </w:pPr>
    </w:p>
    <w:p>
      <w:pPr>
        <w:pStyle w:val="2"/>
        <w:rPr>
          <w:rFonts w:hint="eastAsia" w:ascii="黑体" w:hAnsi="黑体" w:eastAsia="黑体" w:cs="黑体"/>
          <w:color w:val="auto"/>
          <w:sz w:val="32"/>
          <w:szCs w:val="32"/>
          <w:highlight w:val="none"/>
        </w:rPr>
      </w:pPr>
    </w:p>
    <w:p>
      <w:pPr>
        <w:pStyle w:val="2"/>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rPr>
      </w:pPr>
    </w:p>
    <w:tbl>
      <w:tblPr>
        <w:tblStyle w:val="12"/>
        <w:tblpPr w:leftFromText="180" w:rightFromText="180" w:vertAnchor="text" w:horzAnchor="page" w:tblpX="1285" w:tblpY="727"/>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50"/>
        <w:gridCol w:w="1185"/>
        <w:gridCol w:w="1500"/>
        <w:gridCol w:w="2223"/>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16"/>
                <w:szCs w:val="16"/>
                <w:u w:val="none"/>
              </w:rPr>
              <w:t>广元昭化区清水镇人民政府</w:t>
            </w:r>
            <w:r>
              <w:rPr>
                <w:rFonts w:hint="eastAsia" w:ascii="宋体" w:hAnsi="宋体" w:cs="宋体"/>
                <w:i w:val="0"/>
                <w:color w:val="auto"/>
                <w:sz w:val="16"/>
                <w:szCs w:val="16"/>
                <w:u w:val="none"/>
                <w:lang w:val="en-US" w:eastAsia="zh-CN"/>
              </w:rPr>
              <w:t xml:space="preserve"> 785701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15"/>
                <w:szCs w:val="15"/>
                <w:u w:val="none"/>
              </w:rPr>
              <w:t>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5"/>
                <w:szCs w:val="15"/>
                <w:u w:val="none"/>
                <w:lang w:val="en-US" w:eastAsia="zh-CN"/>
              </w:rPr>
              <w:t>86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5"/>
                <w:szCs w:val="15"/>
                <w:u w:val="none"/>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5"/>
                <w:szCs w:val="15"/>
                <w:u w:val="none"/>
                <w:lang w:val="en-US" w:eastAsia="zh-CN"/>
              </w:rPr>
              <w:t>86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15"/>
                <w:szCs w:val="15"/>
                <w:u w:val="none"/>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8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87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0"/>
                <w:szCs w:val="20"/>
                <w:u w:val="none"/>
              </w:rPr>
              <w:t>加强基层组织建设，提高公共运行服务保障水平和社会治理能力，按照《广元市昭化区基层活动和公共服务运行经费使用管理办法》，清水镇2021年12月之前完成组织活动场所维护13个，全年组织活动开展135次，全年垃圾共清运1728次，村容村貌良好，无任何“脏乱差”现象发生，清水镇农</w:t>
            </w:r>
            <w:r>
              <w:rPr>
                <w:rFonts w:hint="eastAsia" w:ascii="宋体" w:hAnsi="宋体" w:cs="宋体"/>
                <w:i w:val="0"/>
                <w:color w:val="auto"/>
                <w:sz w:val="20"/>
                <w:szCs w:val="20"/>
                <w:u w:val="none"/>
                <w:lang w:eastAsia="zh-CN"/>
              </w:rPr>
              <w:t>公</w:t>
            </w:r>
            <w:r>
              <w:rPr>
                <w:rFonts w:hint="eastAsia" w:ascii="宋体" w:hAnsi="宋体" w:eastAsia="宋体" w:cs="宋体"/>
                <w:i w:val="0"/>
                <w:color w:val="auto"/>
                <w:sz w:val="20"/>
                <w:szCs w:val="20"/>
                <w:u w:val="none"/>
              </w:rPr>
              <w:t>运成本为86万元，覆盖对象12个村1个社区，78个村民小组，共18872人，群众满意度达到95%以上。</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0"/>
                <w:szCs w:val="20"/>
                <w:u w:val="none"/>
              </w:rPr>
              <w:t>清水镇2021年12月之前实际已经完成组织活动场所维护13个，全年组织活动开展135次，全年垃圾共清运1728次，村容村貌良好，无任何“脏乱差”现象发生，清水镇农工运成本为86万元，覆盖对象12个村1个社区，78个村民小组，共18872人，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党员干部培训</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12个村1个社区全年正常开展3会1课</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实际完成12个村1个社区全年正常开展3会1课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村组织活动开展次数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12个村组织活动开展次数每村12次，全镇不少于144次</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实际完成13个村组织活动开展次数每村12次，全镇不少于144次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全年垃圾清运（次）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实际完成12个村1个社区每周各3次，每月共12次,共1728次</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实际完成12个村1个社区每周各3次，每月共12次,共1728次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全年村组织活动开展（次）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12个村1个社区每月1次</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实际完成12个村1个社区每月1次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资金使用合理合规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无违规违纪现象发生</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全年全镇12村1社区无违规违纪现象发生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村容村貌、基础设施配备率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村容村貌良好、基础设施配备率100%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实际完成情况看村容村貌良好、基础设施配备率100%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项目建设完成及时情况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12月底前完成垃圾清运，村级设备完善</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12月底前完成了垃圾清运，村级设备完善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资金支付进度情况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按全年86万元资金，根据进度保障进度款</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实际情况为当年内未完成资金全额支付，均在下年度支付的。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sz w:val="18"/>
                <w:szCs w:val="18"/>
                <w:u w:val="none"/>
              </w:rPr>
              <w:t>农村公共运行维护资金成本概算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全年12个村1个社区财政预算资金为86万元</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全年12个村1个社区实际建设内容资金结算总额未突破年初财政预算资金的86万元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村民环境卫生意识提高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村民环境卫生意识逐年提高，自觉遵守村规民约</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村民环境卫生意识大幅度提高，村居民都能自觉遵守村规民约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环境卫生清洁度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无“脏、乱、差”现象，村容村貌良好、民风淳朴。</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全镇全年无“脏、乱、差”现象，村容村貌良好、民风淳朴。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项目使用年限</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lang w:val="en-US" w:eastAsia="zh-CN"/>
              </w:rPr>
            </w:pPr>
            <w:r>
              <w:rPr>
                <w:rFonts w:hint="eastAsia" w:asciiTheme="minorEastAsia" w:hAnsiTheme="minorEastAsia" w:eastAsiaTheme="minorEastAsia" w:cstheme="minorEastAsia"/>
                <w:b w:val="0"/>
                <w:bCs w:val="0"/>
                <w:i w:val="0"/>
                <w:color w:val="auto"/>
                <w:sz w:val="18"/>
                <w:szCs w:val="18"/>
                <w:u w:val="none"/>
                <w:lang w:val="en-US" w:eastAsia="zh-CN"/>
              </w:rPr>
              <w:t>1年</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实际使用年限为1年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lang w:eastAsia="zh-CN"/>
              </w:rPr>
            </w:pPr>
            <w:r>
              <w:rPr>
                <w:rFonts w:hint="eastAsia" w:asciiTheme="minorEastAsia" w:hAnsiTheme="minorEastAsia" w:eastAsiaTheme="minorEastAsia" w:cstheme="minorEastAsia"/>
                <w:b w:val="0"/>
                <w:bCs w:val="0"/>
                <w:i w:val="0"/>
                <w:color w:val="auto"/>
                <w:sz w:val="18"/>
                <w:szCs w:val="18"/>
                <w:u w:val="none"/>
                <w:lang w:eastAsia="zh-CN"/>
              </w:rPr>
              <w:t>受益群众满意度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heme="minorEastAsia" w:hAnsiTheme="minorEastAsia" w:eastAsiaTheme="minorEastAsia" w:cstheme="minorEastAsia"/>
                <w:b w:val="0"/>
                <w:bCs w:val="0"/>
                <w:i w:val="0"/>
                <w:color w:val="auto"/>
                <w:sz w:val="18"/>
                <w:szCs w:val="18"/>
                <w:u w:val="none"/>
                <w:lang w:val="en-US" w:eastAsia="zh-CN"/>
              </w:rPr>
            </w:pPr>
            <w:r>
              <w:rPr>
                <w:rFonts w:hint="eastAsia" w:asciiTheme="minorEastAsia" w:hAnsiTheme="minorEastAsia" w:eastAsiaTheme="minorEastAsia" w:cstheme="minorEastAsia"/>
                <w:b w:val="0"/>
                <w:bCs w:val="0"/>
                <w:i w:val="0"/>
                <w:color w:val="auto"/>
                <w:sz w:val="18"/>
                <w:szCs w:val="18"/>
                <w:u w:val="none"/>
              </w:rPr>
              <w:t>≧</w:t>
            </w:r>
            <w:r>
              <w:rPr>
                <w:rFonts w:hint="eastAsia" w:asciiTheme="minorEastAsia" w:hAnsiTheme="minorEastAsia" w:eastAsiaTheme="minorEastAsia" w:cstheme="minorEastAsia"/>
                <w:b w:val="0"/>
                <w:bCs w:val="0"/>
                <w:i w:val="0"/>
                <w:color w:val="auto"/>
                <w:sz w:val="18"/>
                <w:szCs w:val="18"/>
                <w:u w:val="none"/>
                <w:lang w:val="en-US" w:eastAsia="zh-CN"/>
              </w:rPr>
              <w:t>95%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b w:val="0"/>
                <w:bCs w:val="0"/>
                <w:i w:val="0"/>
                <w:color w:val="auto"/>
                <w:sz w:val="18"/>
                <w:szCs w:val="18"/>
                <w:u w:val="none"/>
              </w:rPr>
            </w:pPr>
            <w:r>
              <w:rPr>
                <w:rFonts w:hint="eastAsia" w:asciiTheme="minorEastAsia" w:hAnsiTheme="minorEastAsia" w:eastAsiaTheme="minorEastAsia" w:cstheme="minorEastAsia"/>
                <w:b w:val="0"/>
                <w:bCs w:val="0"/>
                <w:i w:val="0"/>
                <w:color w:val="auto"/>
                <w:sz w:val="18"/>
                <w:szCs w:val="18"/>
                <w:u w:val="none"/>
              </w:rPr>
              <w:t>≧</w:t>
            </w:r>
            <w:r>
              <w:rPr>
                <w:rFonts w:hint="eastAsia" w:asciiTheme="minorEastAsia" w:hAnsiTheme="minorEastAsia" w:eastAsiaTheme="minorEastAsia" w:cstheme="minorEastAsia"/>
                <w:b w:val="0"/>
                <w:bCs w:val="0"/>
                <w:i w:val="0"/>
                <w:color w:val="auto"/>
                <w:sz w:val="18"/>
                <w:szCs w:val="18"/>
                <w:u w:val="none"/>
                <w:lang w:val="en-US" w:eastAsia="zh-CN"/>
              </w:rPr>
              <w:t>95%</w:t>
            </w:r>
          </w:p>
        </w:tc>
      </w:tr>
    </w:tbl>
    <w:p>
      <w:pPr>
        <w:pStyle w:val="2"/>
        <w:rPr>
          <w:rFonts w:hint="eastAsia"/>
        </w:rPr>
      </w:pPr>
    </w:p>
    <w:p>
      <w:pPr>
        <w:pStyle w:val="2"/>
        <w:rPr>
          <w:rFonts w:hint="eastAsia"/>
        </w:rPr>
      </w:pPr>
    </w:p>
    <w:p>
      <w:pPr>
        <w:pStyle w:val="2"/>
        <w:rPr>
          <w:rFonts w:hint="eastAsia"/>
        </w:rPr>
      </w:pPr>
    </w:p>
    <w:p>
      <w:pPr>
        <w:pStyle w:val="2"/>
        <w:rPr>
          <w:rFonts w:hint="eastAsia"/>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both"/>
        <w:outlineLvl w:val="9"/>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仿宋" w:hAnsi="仿宋" w:eastAsia="仿宋"/>
          <w:b w:val="0"/>
          <w:color w:val="auto"/>
          <w:highlight w:val="none"/>
        </w:rPr>
      </w:pPr>
      <w:bookmarkStart w:id="76" w:name="_Toc2422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1"/>
      <w:bookmarkEnd w:id="75"/>
      <w:bookmarkEnd w:id="76"/>
      <w:bookmarkStart w:id="77" w:name="_Toc15396619"/>
    </w:p>
    <w:p>
      <w:pPr>
        <w:pStyle w:val="4"/>
        <w:rPr>
          <w:rFonts w:ascii="仿宋" w:hAnsi="仿宋" w:eastAsia="仿宋"/>
          <w:color w:val="auto"/>
          <w:highlight w:val="none"/>
        </w:rPr>
      </w:pPr>
      <w:bookmarkStart w:id="78" w:name="_Toc10963"/>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77"/>
      <w:bookmarkEnd w:id="78"/>
    </w:p>
    <w:p>
      <w:pPr>
        <w:pStyle w:val="4"/>
        <w:rPr>
          <w:rFonts w:ascii="仿宋" w:hAnsi="仿宋" w:eastAsia="仿宋"/>
          <w:color w:val="auto"/>
          <w:highlight w:val="none"/>
        </w:rPr>
      </w:pPr>
      <w:bookmarkStart w:id="79" w:name="_Toc22710"/>
      <w:bookmarkStart w:id="80"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79"/>
      <w:bookmarkEnd w:id="80"/>
    </w:p>
    <w:p>
      <w:pPr>
        <w:pStyle w:val="4"/>
        <w:rPr>
          <w:rFonts w:ascii="仿宋" w:hAnsi="仿宋" w:eastAsia="仿宋"/>
          <w:color w:val="auto"/>
          <w:highlight w:val="none"/>
        </w:rPr>
      </w:pPr>
      <w:bookmarkStart w:id="81" w:name="_Toc15396621"/>
      <w:bookmarkStart w:id="82" w:name="_Toc18636"/>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1"/>
      <w:bookmarkEnd w:id="82"/>
    </w:p>
    <w:p>
      <w:pPr>
        <w:pStyle w:val="4"/>
        <w:rPr>
          <w:rFonts w:ascii="仿宋" w:hAnsi="仿宋" w:eastAsia="仿宋"/>
          <w:b w:val="0"/>
          <w:color w:val="auto"/>
          <w:highlight w:val="none"/>
        </w:rPr>
      </w:pPr>
      <w:bookmarkStart w:id="83" w:name="_Toc14264"/>
      <w:bookmarkStart w:id="84"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3"/>
      <w:bookmarkEnd w:id="84"/>
    </w:p>
    <w:p>
      <w:pPr>
        <w:pStyle w:val="4"/>
        <w:rPr>
          <w:rStyle w:val="25"/>
          <w:rFonts w:ascii="仿宋" w:hAnsi="仿宋" w:eastAsia="仿宋"/>
          <w:b w:val="0"/>
          <w:bCs w:val="0"/>
          <w:color w:val="auto"/>
          <w:highlight w:val="none"/>
        </w:rPr>
      </w:pPr>
      <w:bookmarkStart w:id="85" w:name="_Toc26647"/>
      <w:bookmarkStart w:id="86"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85"/>
      <w:bookmarkEnd w:id="86"/>
      <w:bookmarkStart w:id="87" w:name="_Toc15396624"/>
    </w:p>
    <w:p>
      <w:pPr>
        <w:pStyle w:val="4"/>
        <w:rPr>
          <w:rFonts w:ascii="仿宋" w:hAnsi="仿宋" w:eastAsia="仿宋"/>
          <w:color w:val="auto"/>
          <w:highlight w:val="none"/>
        </w:rPr>
      </w:pPr>
      <w:bookmarkStart w:id="88" w:name="_Toc28545"/>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87"/>
      <w:bookmarkEnd w:id="88"/>
    </w:p>
    <w:p>
      <w:pPr>
        <w:pStyle w:val="4"/>
        <w:rPr>
          <w:rFonts w:ascii="仿宋" w:hAnsi="仿宋" w:eastAsia="仿宋"/>
          <w:color w:val="auto"/>
          <w:highlight w:val="none"/>
        </w:rPr>
      </w:pPr>
      <w:bookmarkStart w:id="89" w:name="_Toc15396625"/>
      <w:bookmarkStart w:id="90" w:name="_Toc8162"/>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89"/>
      <w:bookmarkEnd w:id="90"/>
    </w:p>
    <w:p>
      <w:pPr>
        <w:pStyle w:val="4"/>
        <w:rPr>
          <w:rFonts w:ascii="仿宋" w:hAnsi="仿宋" w:eastAsia="仿宋"/>
          <w:color w:val="auto"/>
          <w:highlight w:val="none"/>
        </w:rPr>
      </w:pPr>
      <w:bookmarkStart w:id="91" w:name="_Toc19032"/>
      <w:bookmarkStart w:id="92"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1"/>
      <w:bookmarkEnd w:id="92"/>
    </w:p>
    <w:p>
      <w:pPr>
        <w:pStyle w:val="4"/>
        <w:rPr>
          <w:rFonts w:ascii="仿宋" w:hAnsi="仿宋" w:eastAsia="仿宋"/>
          <w:color w:val="auto"/>
          <w:highlight w:val="none"/>
        </w:rPr>
      </w:pPr>
      <w:bookmarkStart w:id="93" w:name="_Toc10715"/>
      <w:bookmarkStart w:id="94"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93"/>
      <w:bookmarkEnd w:id="94"/>
    </w:p>
    <w:p>
      <w:pPr>
        <w:pStyle w:val="4"/>
        <w:rPr>
          <w:rFonts w:ascii="仿宋" w:hAnsi="仿宋" w:eastAsia="仿宋"/>
          <w:color w:val="auto"/>
          <w:highlight w:val="none"/>
        </w:rPr>
      </w:pPr>
      <w:bookmarkStart w:id="95" w:name="_Toc31119"/>
      <w:bookmarkStart w:id="96"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95"/>
      <w:bookmarkEnd w:id="96"/>
    </w:p>
    <w:p>
      <w:pPr>
        <w:pStyle w:val="4"/>
        <w:rPr>
          <w:rFonts w:ascii="仿宋" w:hAnsi="仿宋" w:eastAsia="仿宋"/>
          <w:color w:val="auto"/>
          <w:highlight w:val="none"/>
        </w:rPr>
      </w:pPr>
      <w:bookmarkStart w:id="97" w:name="_Toc15396629"/>
      <w:bookmarkStart w:id="98" w:name="_Toc24298"/>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97"/>
      <w:bookmarkEnd w:id="98"/>
    </w:p>
    <w:p>
      <w:pPr>
        <w:pStyle w:val="4"/>
        <w:rPr>
          <w:rFonts w:ascii="仿宋" w:hAnsi="仿宋" w:eastAsia="仿宋"/>
          <w:color w:val="auto"/>
          <w:highlight w:val="none"/>
        </w:rPr>
      </w:pPr>
      <w:bookmarkStart w:id="99" w:name="_Toc5095"/>
      <w:bookmarkStart w:id="100"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99"/>
      <w:bookmarkEnd w:id="100"/>
    </w:p>
    <w:p>
      <w:pPr>
        <w:pStyle w:val="4"/>
        <w:rPr>
          <w:rStyle w:val="25"/>
          <w:rFonts w:hint="eastAsia" w:ascii="仿宋" w:hAnsi="仿宋" w:eastAsia="仿宋"/>
          <w:b w:val="0"/>
          <w:bCs w:val="0"/>
          <w:color w:val="auto"/>
          <w:highlight w:val="none"/>
        </w:rPr>
      </w:pPr>
      <w:bookmarkStart w:id="101" w:name="_Toc24181"/>
      <w:bookmarkStart w:id="102"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1"/>
      <w:bookmarkEnd w:id="102"/>
    </w:p>
    <w:p>
      <w:pPr>
        <w:rPr>
          <w:rFonts w:hint="eastAsia" w:eastAsia="仿宋"/>
          <w:color w:val="auto"/>
          <w:highlight w:val="none"/>
          <w:lang w:eastAsia="zh-CN"/>
        </w:rPr>
      </w:pPr>
      <w:bookmarkStart w:id="103" w:name="_Toc14380"/>
      <w:r>
        <w:rPr>
          <w:rStyle w:val="25"/>
          <w:rFonts w:hint="eastAsia" w:ascii="仿宋" w:hAnsi="仿宋" w:eastAsia="仿宋"/>
          <w:b w:val="0"/>
          <w:bCs w:val="0"/>
          <w:color w:val="auto"/>
          <w:highlight w:val="none"/>
          <w:lang w:eastAsia="zh-CN"/>
        </w:rPr>
        <w:t>十四、国有资本经营预算财政拨款支出决算表</w:t>
      </w:r>
      <w:bookmarkEnd w:id="103"/>
    </w:p>
    <w:sectPr>
      <w:footerReference r:id="rId8" w:type="first"/>
      <w:footerReference r:id="rId7" w:type="default"/>
      <w:pgSz w:w="11906" w:h="16838"/>
      <w:pgMar w:top="1587" w:right="1247" w:bottom="147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B61C826"/>
    <w:multiLevelType w:val="singleLevel"/>
    <w:tmpl w:val="FB61C826"/>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5F08C7"/>
    <w:rsid w:val="0A2032A3"/>
    <w:rsid w:val="0B8A37D8"/>
    <w:rsid w:val="0B925E60"/>
    <w:rsid w:val="10C055FF"/>
    <w:rsid w:val="118107EC"/>
    <w:rsid w:val="11DD6519"/>
    <w:rsid w:val="156E5EFB"/>
    <w:rsid w:val="16BB723D"/>
    <w:rsid w:val="18015F3F"/>
    <w:rsid w:val="1BE8440E"/>
    <w:rsid w:val="1D155CEE"/>
    <w:rsid w:val="20F57F95"/>
    <w:rsid w:val="240371BF"/>
    <w:rsid w:val="240C41FD"/>
    <w:rsid w:val="24BB34F5"/>
    <w:rsid w:val="25C741E6"/>
    <w:rsid w:val="27842671"/>
    <w:rsid w:val="294D25B3"/>
    <w:rsid w:val="29FD04D3"/>
    <w:rsid w:val="2ABE7A3E"/>
    <w:rsid w:val="2EFA178C"/>
    <w:rsid w:val="30B46D73"/>
    <w:rsid w:val="319F7F4E"/>
    <w:rsid w:val="32346692"/>
    <w:rsid w:val="39AE70AB"/>
    <w:rsid w:val="3C0C0783"/>
    <w:rsid w:val="3F795B0E"/>
    <w:rsid w:val="3F9F3A96"/>
    <w:rsid w:val="40C51091"/>
    <w:rsid w:val="4676575D"/>
    <w:rsid w:val="493C27E9"/>
    <w:rsid w:val="496F39ED"/>
    <w:rsid w:val="49FF41D3"/>
    <w:rsid w:val="4A185DC8"/>
    <w:rsid w:val="4BE068DB"/>
    <w:rsid w:val="4BF6002B"/>
    <w:rsid w:val="4D5526FF"/>
    <w:rsid w:val="4ECE2238"/>
    <w:rsid w:val="51DB4B86"/>
    <w:rsid w:val="548B08B3"/>
    <w:rsid w:val="55333C3E"/>
    <w:rsid w:val="62095F95"/>
    <w:rsid w:val="64CA39A1"/>
    <w:rsid w:val="65AB1BA6"/>
    <w:rsid w:val="66ED0718"/>
    <w:rsid w:val="681C0F60"/>
    <w:rsid w:val="6C4A05C8"/>
    <w:rsid w:val="72734D90"/>
    <w:rsid w:val="72FA599F"/>
    <w:rsid w:val="74E366CA"/>
    <w:rsid w:val="79E7B28D"/>
    <w:rsid w:val="7F7B4EF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2.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25"/>
          <c:y val="0.0532879818594104"/>
          <c:w val="0.8418"/>
          <c:h val="0.737278911564626"/>
        </c:manualLayout>
      </c:layout>
      <c:barChart>
        <c:barDir val="col"/>
        <c:grouping val="clustered"/>
        <c:varyColors val="0"/>
        <c:ser>
          <c:idx val="0"/>
          <c:order val="0"/>
          <c:tx>
            <c:strRef>
              <c:f>Sheet1!$B$1</c:f>
              <c:strCache>
                <c:ptCount val="1"/>
                <c:pt idx="0">
                  <c:v>收、支总数</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1282.94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Sheet1!$A$2:$A$3</c:f>
              <c:strCache>
                <c:ptCount val="2"/>
                <c:pt idx="0">
                  <c:v>2020年收、支情况</c:v>
                </c:pt>
                <c:pt idx="1">
                  <c:v>2021年收、支情况</c:v>
                </c:pt>
              </c:strCache>
            </c:strRef>
          </c:cat>
          <c:val>
            <c:numRef>
              <c:f>Sheet1!$B$2:$B$3</c:f>
              <c:numCache>
                <c:formatCode>General</c:formatCode>
                <c:ptCount val="2"/>
                <c:pt idx="0">
                  <c:v>1282.94</c:v>
                </c:pt>
                <c:pt idx="1">
                  <c:v>1154.88</c:v>
                </c:pt>
              </c:numCache>
            </c:numRef>
          </c:val>
        </c:ser>
        <c:dLbls>
          <c:showLegendKey val="0"/>
          <c:showVal val="1"/>
          <c:showCatName val="0"/>
          <c:showSerName val="0"/>
          <c:showPercent val="0"/>
          <c:showBubbleSize val="0"/>
        </c:dLbls>
        <c:gapWidth val="219"/>
        <c:overlap val="-27"/>
        <c:axId val="923853782"/>
        <c:axId val="964866662"/>
      </c:barChart>
      <c:catAx>
        <c:axId val="9238537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866662"/>
        <c:crosses val="autoZero"/>
        <c:auto val="1"/>
        <c:lblAlgn val="ctr"/>
        <c:lblOffset val="100"/>
        <c:noMultiLvlLbl val="0"/>
      </c:catAx>
      <c:valAx>
        <c:axId val="96486666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8537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2021年收入决算情况</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一般公共预算财政拨款收入, 1154.88万元, 100%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1"/>
              <c:showCatName val="1"/>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strCache>
            </c:strRef>
          </c:cat>
          <c:val>
            <c:numRef>
              <c:f>Sheet1!$B$2:$B$5</c:f>
              <c:numCache>
                <c:formatCode>General</c:formatCode>
                <c:ptCount val="4"/>
                <c:pt idx="0">
                  <c:v>1154.88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 90.31万元, 90%</a:t>
                    </a:r>
                  </a:p>
                </c:rich>
              </c:tx>
              <c:dLblPos val="in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 9.69万元, 10%</a:t>
                    </a:r>
                  </a:p>
                </c:rich>
              </c:tx>
              <c:dLblPos val="in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90.31</c:v>
                </c:pt>
                <c:pt idx="1">
                  <c:v>9.69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收、支总数</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1267.94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1</a:t>
                    </a:r>
                    <a:r>
                      <a:t>54.88</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Sheet1!$A$2:$A$3</c:f>
              <c:strCache>
                <c:ptCount val="2"/>
                <c:pt idx="0">
                  <c:v>2020年收、支情况</c:v>
                </c:pt>
                <c:pt idx="1">
                  <c:v>2021年收、支情况</c:v>
                </c:pt>
              </c:strCache>
            </c:strRef>
          </c:cat>
          <c:val>
            <c:numRef>
              <c:f>Sheet1!$B$2:$B$3</c:f>
              <c:numCache>
                <c:formatCode>General</c:formatCode>
                <c:ptCount val="2"/>
                <c:pt idx="0">
                  <c:v>1267.94</c:v>
                </c:pt>
                <c:pt idx="1">
                  <c:v>1154.88</c:v>
                </c:pt>
              </c:numCache>
            </c:numRef>
          </c:val>
        </c:ser>
        <c:dLbls>
          <c:showLegendKey val="0"/>
          <c:showVal val="1"/>
          <c:showCatName val="0"/>
          <c:showSerName val="0"/>
          <c:showPercent val="0"/>
          <c:showBubbleSize val="0"/>
        </c:dLbls>
        <c:gapWidth val="219"/>
        <c:overlap val="-27"/>
        <c:axId val="923853782"/>
        <c:axId val="964866662"/>
      </c:barChart>
      <c:catAx>
        <c:axId val="9238537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866662"/>
        <c:crosses val="autoZero"/>
        <c:auto val="1"/>
        <c:lblAlgn val="ctr"/>
        <c:lblOffset val="100"/>
        <c:noMultiLvlLbl val="0"/>
      </c:catAx>
      <c:valAx>
        <c:axId val="96486666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8537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1267.94</c:v>
                </c:pt>
                <c:pt idx="1">
                  <c:v>1154.88</c:v>
                </c:pt>
              </c:numCache>
            </c:numRef>
          </c:val>
        </c:ser>
        <c:dLbls>
          <c:showLegendKey val="0"/>
          <c:showVal val="1"/>
          <c:showCatName val="0"/>
          <c:showSerName val="0"/>
          <c:showPercent val="0"/>
          <c:showBubbleSize val="0"/>
        </c:dLbls>
        <c:gapWidth val="219"/>
        <c:overlap val="-27"/>
        <c:axId val="165704287"/>
        <c:axId val="246592920"/>
      </c:barChart>
      <c:catAx>
        <c:axId val="16570428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年份</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592920"/>
        <c:crosses val="autoZero"/>
        <c:auto val="1"/>
        <c:lblAlgn val="ctr"/>
        <c:lblOffset val="100"/>
        <c:noMultiLvlLbl val="0"/>
      </c:catAx>
      <c:valAx>
        <c:axId val="246592920"/>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7042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一般公共服务支出, 51.34%</a:t>
                    </a:r>
                  </a:p>
                </c:rich>
              </c:tx>
              <c:dLblPos val="in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社会保障就业支出, 4.44%</a:t>
                    </a:r>
                  </a:p>
                </c:rich>
              </c:tx>
              <c:dLblPos val="in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农林水支出, 36.73%</a:t>
                    </a:r>
                  </a:p>
                </c:rich>
              </c:tx>
              <c:dLblPos val="inEnd"/>
              <c:showLegendKey val="0"/>
              <c:showVal val="1"/>
              <c:showCatName val="1"/>
              <c:showSerName val="0"/>
              <c:showPercent val="1"/>
              <c:showBubbleSize val="0"/>
              <c:extLst>
                <c:ext xmlns:c15="http://schemas.microsoft.com/office/drawing/2012/chart" uri="{CE6537A1-D6FC-4f65-9D91-7224C49458BB}"/>
              </c:extLst>
            </c:dLbl>
            <c:dLbl>
              <c:idx val="3"/>
              <c:layout>
                <c:manualLayout>
                  <c:x val="-0.0238444694673399"/>
                  <c:y val="0.077892934398324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卫生健康类支出, 2.24%</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0585495679614133"/>
                  <c:y val="0.1830874682355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住房保障类支出, 4.38%</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0230397213376419"/>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灾害防治及应急管理支出, 0.87%</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c:v>
                </c:pt>
                <c:pt idx="1">
                  <c:v>社会保障就业支出</c:v>
                </c:pt>
                <c:pt idx="2">
                  <c:v>农林水支出</c:v>
                </c:pt>
                <c:pt idx="3">
                  <c:v>卫生健康类支出</c:v>
                </c:pt>
                <c:pt idx="4">
                  <c:v>住房保障类支出</c:v>
                </c:pt>
                <c:pt idx="5">
                  <c:v>灾害防治及应急管理支出</c:v>
                </c:pt>
              </c:strCache>
            </c:strRef>
          </c:cat>
          <c:val>
            <c:numRef>
              <c:f>Sheet1!$B$2:$B$7</c:f>
              <c:numCache>
                <c:formatCode>0.00%</c:formatCode>
                <c:ptCount val="6"/>
                <c:pt idx="0">
                  <c:v>0.5134</c:v>
                </c:pt>
                <c:pt idx="1">
                  <c:v>0.0444</c:v>
                </c:pt>
                <c:pt idx="2">
                  <c:v>0.3673</c:v>
                </c:pt>
                <c:pt idx="3">
                  <c:v>0.0224</c:v>
                </c:pt>
                <c:pt idx="4">
                  <c:v>0.0438</c:v>
                </c:pt>
                <c:pt idx="5">
                  <c:v>0.0087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16249294213754"/>
                  <c:y val="0.06048699958919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95625705786246"/>
                  <c:y val="0.038819645069890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公务接待费100</c:v>
                </c:pt>
              </c:strCache>
            </c:strRef>
          </c:cat>
          <c:val>
            <c:numRef>
              <c:f>Sheet1!$B$2:$B$4</c:f>
              <c:numCache>
                <c:formatCode>General</c:formatCode>
                <c:ptCount val="3"/>
                <c:pt idx="0">
                  <c:v>0</c:v>
                </c:pt>
                <c:pt idx="1">
                  <c:v>0</c:v>
                </c:pt>
                <c:pt idx="2">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8287</Words>
  <Characters>9065</Characters>
  <Lines>61</Lines>
  <Paragraphs>17</Paragraphs>
  <TotalTime>3</TotalTime>
  <ScaleCrop>false</ScaleCrop>
  <LinksUpToDate>false</LinksUpToDate>
  <CharactersWithSpaces>9218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2022-08-06T02:23:00Z</cp:lastPrinted>
  <dcterms:modified xsi:type="dcterms:W3CDTF">2023-09-26T09:42:46Z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F7FAEA5BEF714F5EB4A1E1C2E163210E</vt:lpwstr>
  </property>
</Properties>
</file>