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ascii="方正小标宋简体" w:hAnsi="宋体" w:eastAsia="方正小标宋简体"/>
          <w:color w:val="auto"/>
          <w:sz w:val="72"/>
          <w:szCs w:val="72"/>
          <w:highlight w:val="none"/>
        </w:rPr>
      </w:pPr>
      <w:bookmarkStart w:id="0" w:name="_Toc15396475"/>
      <w:bookmarkStart w:id="1" w:name="_Toc15396597"/>
      <w:bookmarkStart w:id="2" w:name="_Toc15377425"/>
      <w:bookmarkStart w:id="3" w:name="_Toc15378441"/>
      <w:bookmarkStart w:id="4" w:name="_Toc15377193"/>
      <w:bookmarkStart w:id="5" w:name="_Toc15306267"/>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6" w:name="_Toc25818"/>
      <w:bookmarkStart w:id="7" w:name="_Toc5388"/>
      <w:bookmarkStart w:id="8" w:name="_Toc479"/>
      <w:bookmarkStart w:id="9" w:name="_Toc9590"/>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22</w:t>
      </w:r>
      <w:r>
        <w:rPr>
          <w:rFonts w:hint="eastAsia" w:ascii="方正小标宋简体" w:hAnsi="方正小标宋简体" w:eastAsia="方正小标宋简体" w:cs="方正小标宋简体"/>
          <w:color w:val="auto"/>
          <w:sz w:val="72"/>
          <w:szCs w:val="72"/>
          <w:highlight w:val="none"/>
        </w:rPr>
        <w:t>年度</w:t>
      </w:r>
      <w:bookmarkEnd w:id="0"/>
      <w:bookmarkEnd w:id="1"/>
      <w:bookmarkEnd w:id="2"/>
      <w:bookmarkEnd w:id="3"/>
      <w:bookmarkEnd w:id="4"/>
      <w:bookmarkEnd w:id="6"/>
      <w:bookmarkEnd w:id="7"/>
      <w:bookmarkEnd w:id="8"/>
      <w:bookmarkEnd w:id="9"/>
    </w:p>
    <w:bookmarkEnd w:id="5"/>
    <w:p>
      <w:pPr>
        <w:adjustRightInd w:val="0"/>
        <w:snapToGrid w:val="0"/>
        <w:spacing w:line="360" w:lineRule="auto"/>
        <w:jc w:val="center"/>
        <w:outlineLvl w:val="0"/>
        <w:rPr>
          <w:rFonts w:ascii="方正小标宋简体" w:hAnsi="宋体" w:eastAsia="方正小标宋简体"/>
          <w:color w:val="auto"/>
          <w:sz w:val="52"/>
          <w:szCs w:val="52"/>
          <w:highlight w:val="none"/>
        </w:rPr>
      </w:pPr>
      <w:bookmarkStart w:id="10" w:name="_Toc15377194"/>
      <w:bookmarkStart w:id="11" w:name="_Toc24259"/>
      <w:bookmarkStart w:id="12" w:name="_Toc9622"/>
      <w:bookmarkStart w:id="13" w:name="_Toc15378442"/>
      <w:bookmarkStart w:id="14" w:name="_Toc15396598"/>
      <w:bookmarkStart w:id="15" w:name="_Toc6604"/>
      <w:bookmarkStart w:id="16" w:name="_Toc15377426"/>
      <w:bookmarkStart w:id="17" w:name="_Toc16258"/>
      <w:bookmarkStart w:id="18" w:name="_Toc31924"/>
      <w:bookmarkStart w:id="19" w:name="_Toc15396476"/>
      <w:r>
        <w:rPr>
          <w:rFonts w:hint="eastAsia" w:ascii="方正小标宋简体" w:hAnsi="方正小标宋简体" w:eastAsia="方正小标宋简体" w:cs="方正小标宋简体"/>
          <w:color w:val="auto"/>
          <w:sz w:val="72"/>
          <w:szCs w:val="72"/>
          <w:highlight w:val="none"/>
        </w:rPr>
        <w:t>四川省</w:t>
      </w:r>
      <w:bookmarkStart w:id="20" w:name="_Toc15306268"/>
      <w:r>
        <w:rPr>
          <w:rFonts w:hint="eastAsia" w:ascii="方正小标宋简体" w:hAnsi="方正小标宋简体" w:eastAsia="方正小标宋简体" w:cs="方正小标宋简体"/>
          <w:color w:val="auto"/>
          <w:sz w:val="72"/>
          <w:szCs w:val="72"/>
          <w:highlight w:val="none"/>
          <w:lang w:eastAsia="zh-CN"/>
        </w:rPr>
        <w:t>广元市昭化区磨滩镇人民政府单位</w:t>
      </w:r>
      <w:r>
        <w:rPr>
          <w:rFonts w:hint="eastAsia" w:ascii="方正小标宋简体" w:hAnsi="方正小标宋简体" w:eastAsia="方正小标宋简体" w:cs="方正小标宋简体"/>
          <w:color w:val="auto"/>
          <w:sz w:val="72"/>
          <w:szCs w:val="72"/>
          <w:highlight w:val="none"/>
        </w:rPr>
        <w:t>决算</w:t>
      </w:r>
      <w:bookmarkEnd w:id="10"/>
      <w:bookmarkEnd w:id="11"/>
      <w:bookmarkEnd w:id="12"/>
      <w:bookmarkEnd w:id="13"/>
      <w:bookmarkEnd w:id="14"/>
      <w:bookmarkEnd w:id="15"/>
      <w:bookmarkEnd w:id="16"/>
      <w:bookmarkEnd w:id="17"/>
      <w:bookmarkEnd w:id="18"/>
      <w:bookmarkEnd w:id="19"/>
      <w:bookmarkEnd w:id="20"/>
    </w:p>
    <w:p>
      <w:pPr>
        <w:keepNext w:val="0"/>
        <w:keepLines w:val="0"/>
        <w:pageBreakBefore w:val="0"/>
        <w:widowControl/>
        <w:kinsoku/>
        <w:wordWrap/>
        <w:overflowPunct/>
        <w:topLinePunct w:val="0"/>
        <w:autoSpaceDE/>
        <w:autoSpaceDN/>
        <w:bidi w:val="0"/>
        <w:spacing w:line="576" w:lineRule="exact"/>
        <w:jc w:val="center"/>
        <w:textAlignment w:val="auto"/>
        <w:rPr>
          <w:rFonts w:ascii="黑体" w:hAnsi="黑体" w:eastAsia="黑体" w:cstheme="minorBidi"/>
          <w:color w:val="auto"/>
          <w:sz w:val="44"/>
          <w:szCs w:val="44"/>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4"/>
          <w:szCs w:val="44"/>
          <w:highlight w:val="none"/>
        </w:rPr>
        <w:t>目录</w:t>
      </w:r>
    </w:p>
    <w:p>
      <w:pPr>
        <w:pStyle w:val="13"/>
        <w:keepNext w:val="0"/>
        <w:keepLines w:val="0"/>
        <w:pageBreakBefore w:val="0"/>
        <w:kinsoku/>
        <w:wordWrap/>
        <w:overflowPunct/>
        <w:topLinePunct w:val="0"/>
        <w:autoSpaceDE/>
        <w:autoSpaceDN/>
        <w:bidi w:val="0"/>
        <w:spacing w:line="576" w:lineRule="exact"/>
        <w:textAlignment w:val="auto"/>
        <w:rPr>
          <w:color w:val="auto"/>
          <w:highlight w:val="none"/>
        </w:rPr>
      </w:pPr>
      <w:r>
        <w:rPr>
          <w:rFonts w:hint="eastAsia"/>
          <w:color w:val="auto"/>
          <w:highlight w:val="none"/>
        </w:rPr>
        <w:t>公开时间：20</w:t>
      </w:r>
      <w:r>
        <w:rPr>
          <w:rFonts w:hint="eastAsia"/>
          <w:color w:val="auto"/>
          <w:highlight w:val="none"/>
          <w:lang w:val="en-US" w:eastAsia="zh-CN"/>
        </w:rPr>
        <w:t>23</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27</w:t>
      </w:r>
      <w:r>
        <w:rPr>
          <w:rFonts w:hint="eastAsia"/>
          <w:color w:val="auto"/>
          <w:highlight w:val="none"/>
        </w:rPr>
        <w:t>日</w:t>
      </w:r>
    </w:p>
    <w:sdt>
      <w:sdtPr>
        <w:rPr>
          <w:rFonts w:ascii="宋体" w:hAnsi="宋体" w:eastAsia="宋体" w:cs="Times New Roman"/>
          <w:kern w:val="2"/>
          <w:sz w:val="21"/>
          <w:szCs w:val="24"/>
          <w:lang w:val="en-US" w:eastAsia="zh-CN" w:bidi="ar-SA"/>
        </w:rPr>
        <w:id w:val="147470869"/>
        <w15:color w:val="DBDBDB"/>
        <w:docPartObj>
          <w:docPartGallery w:val="Table of Contents"/>
          <w:docPartUnique/>
        </w:docPartObj>
      </w:sdtPr>
      <w:sdtEndPr>
        <w:rPr>
          <w:rFonts w:hint="eastAsia" w:ascii="仿宋_GB2312" w:hAnsi="仿宋_GB2312" w:eastAsia="仿宋_GB2312" w:cs="仿宋_GB2312"/>
          <w:color w:val="auto"/>
          <w:kern w:val="2"/>
          <w:sz w:val="24"/>
          <w:szCs w:val="24"/>
          <w:highlight w:val="none"/>
          <w:lang w:val="en-US" w:eastAsia="zh-CN" w:bidi="ar-SA"/>
        </w:rPr>
      </w:sdtEndPr>
      <w:sdtContent>
        <w:p>
          <w:pPr>
            <w:keepNext w:val="0"/>
            <w:keepLines w:val="0"/>
            <w:pageBreakBefore w:val="0"/>
            <w:kinsoku/>
            <w:wordWrap/>
            <w:overflowPunct/>
            <w:topLinePunct w:val="0"/>
            <w:autoSpaceDE/>
            <w:autoSpaceDN/>
            <w:bidi w:val="0"/>
            <w:spacing w:before="0" w:beforeLines="0" w:after="0" w:afterLines="0" w:line="576" w:lineRule="exact"/>
            <w:ind w:left="0" w:leftChars="0" w:right="0" w:righ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color w:val="auto"/>
              <w:kern w:val="2"/>
              <w:sz w:val="24"/>
              <w:szCs w:val="24"/>
              <w:highlight w:val="none"/>
              <w:lang w:val="en-US" w:eastAsia="zh-CN" w:bidi="ar-SA"/>
            </w:rPr>
            <w:fldChar w:fldCharType="begin"/>
          </w:r>
          <w:r>
            <w:rPr>
              <w:rFonts w:hint="eastAsia" w:ascii="仿宋_GB2312" w:hAnsi="仿宋_GB2312" w:eastAsia="仿宋_GB2312" w:cs="仿宋_GB2312"/>
              <w:b/>
              <w:color w:val="auto"/>
              <w:kern w:val="2"/>
              <w:sz w:val="24"/>
              <w:szCs w:val="24"/>
              <w:highlight w:val="none"/>
              <w:lang w:val="en-US" w:eastAsia="zh-CN" w:bidi="ar-SA"/>
            </w:rPr>
            <w:instrText xml:space="preserve">TOC \o "1-3" \h \u </w:instrText>
          </w:r>
          <w:r>
            <w:rPr>
              <w:rFonts w:hint="eastAsia" w:ascii="仿宋_GB2312" w:hAnsi="仿宋_GB2312" w:eastAsia="仿宋_GB2312" w:cs="仿宋_GB2312"/>
              <w:b/>
              <w:color w:val="auto"/>
              <w:kern w:val="2"/>
              <w:sz w:val="24"/>
              <w:szCs w:val="24"/>
              <w:highlight w:val="none"/>
              <w:lang w:val="en-US" w:eastAsia="zh-CN" w:bidi="ar-SA"/>
            </w:rPr>
            <w:fldChar w:fldCharType="separate"/>
          </w:r>
        </w:p>
        <w:p>
          <w:pPr>
            <w:pStyle w:val="40"/>
            <w:keepNext w:val="0"/>
            <w:keepLines w:val="0"/>
            <w:pageBreakBefore w:val="0"/>
            <w:tabs>
              <w:tab w:val="right" w:leader="dot" w:pos="8306"/>
            </w:tabs>
            <w:kinsoku/>
            <w:wordWrap/>
            <w:overflowPunct/>
            <w:topLinePunct w:val="0"/>
            <w:autoSpaceDE/>
            <w:autoSpaceDN/>
            <w:bidi w:val="0"/>
            <w:spacing w:line="576"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auto"/>
              <w:kern w:val="2"/>
              <w:sz w:val="24"/>
              <w:szCs w:val="24"/>
              <w:highlight w:val="none"/>
              <w:lang w:val="en-US" w:eastAsia="zh-CN" w:bidi="ar-SA"/>
            </w:rPr>
            <w:fldChar w:fldCharType="begin"/>
          </w:r>
          <w:r>
            <w:rPr>
              <w:rFonts w:hint="eastAsia" w:ascii="仿宋_GB2312" w:hAnsi="仿宋_GB2312" w:eastAsia="仿宋_GB2312" w:cs="仿宋_GB2312"/>
              <w:kern w:val="2"/>
              <w:sz w:val="24"/>
              <w:szCs w:val="24"/>
              <w:highlight w:val="none"/>
              <w:lang w:val="en-US" w:eastAsia="zh-CN" w:bidi="ar-SA"/>
            </w:rPr>
            <w:instrText xml:space="preserve"> HYPERLINK \l _Toc6649 </w:instrText>
          </w:r>
          <w:r>
            <w:rPr>
              <w:rFonts w:hint="eastAsia" w:ascii="仿宋_GB2312" w:hAnsi="仿宋_GB2312" w:eastAsia="仿宋_GB2312" w:cs="仿宋_GB2312"/>
              <w:kern w:val="2"/>
              <w:sz w:val="24"/>
              <w:szCs w:val="24"/>
              <w:highlight w:val="none"/>
              <w:lang w:val="en-US" w:eastAsia="zh-CN" w:bidi="ar-SA"/>
            </w:rPr>
            <w:fldChar w:fldCharType="separate"/>
          </w:r>
          <w:r>
            <w:rPr>
              <w:rFonts w:hint="eastAsia" w:ascii="仿宋_GB2312" w:hAnsi="仿宋_GB2312" w:eastAsia="仿宋_GB2312" w:cs="仿宋_GB2312"/>
              <w:sz w:val="32"/>
              <w:szCs w:val="32"/>
              <w:highlight w:val="none"/>
            </w:rPr>
            <w:t xml:space="preserve">第一部分 </w:t>
          </w:r>
          <w:r>
            <w:rPr>
              <w:rFonts w:hint="eastAsia" w:ascii="仿宋_GB2312" w:hAnsi="仿宋_GB2312" w:eastAsia="仿宋_GB2312" w:cs="仿宋_GB2312"/>
              <w:bCs w:val="0"/>
              <w:sz w:val="32"/>
              <w:szCs w:val="32"/>
              <w:highlight w:val="none"/>
            </w:rPr>
            <w:t>部门概况</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_Toc6649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6</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color w:val="auto"/>
              <w:kern w:val="2"/>
              <w:sz w:val="24"/>
              <w:szCs w:val="24"/>
              <w:highlight w:val="none"/>
              <w:lang w:val="en-US" w:eastAsia="zh-CN" w:bidi="ar-SA"/>
            </w:rPr>
            <w:fldChar w:fldCharType="end"/>
          </w:r>
        </w:p>
        <w:p>
          <w:pPr>
            <w:pStyle w:val="41"/>
            <w:keepNext w:val="0"/>
            <w:keepLines w:val="0"/>
            <w:pageBreakBefore w:val="0"/>
            <w:tabs>
              <w:tab w:val="right" w:leader="dot" w:pos="8306"/>
            </w:tabs>
            <w:kinsoku/>
            <w:wordWrap/>
            <w:overflowPunct/>
            <w:topLinePunct w:val="0"/>
            <w:autoSpaceDE/>
            <w:autoSpaceDN/>
            <w:bidi w:val="0"/>
            <w:spacing w:line="576"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auto"/>
              <w:kern w:val="2"/>
              <w:sz w:val="24"/>
              <w:szCs w:val="24"/>
              <w:highlight w:val="none"/>
              <w:lang w:val="en-US" w:eastAsia="zh-CN" w:bidi="ar-SA"/>
            </w:rPr>
            <w:fldChar w:fldCharType="begin"/>
          </w:r>
          <w:r>
            <w:rPr>
              <w:rFonts w:hint="eastAsia" w:ascii="仿宋_GB2312" w:hAnsi="仿宋_GB2312" w:eastAsia="仿宋_GB2312" w:cs="仿宋_GB2312"/>
              <w:kern w:val="2"/>
              <w:sz w:val="24"/>
              <w:szCs w:val="24"/>
              <w:highlight w:val="none"/>
              <w:lang w:val="en-US" w:eastAsia="zh-CN" w:bidi="ar-SA"/>
            </w:rPr>
            <w:instrText xml:space="preserve"> HYPERLINK \l _Toc8736 </w:instrText>
          </w:r>
          <w:r>
            <w:rPr>
              <w:rFonts w:hint="eastAsia" w:ascii="仿宋_GB2312" w:hAnsi="仿宋_GB2312" w:eastAsia="仿宋_GB2312" w:cs="仿宋_GB2312"/>
              <w:kern w:val="2"/>
              <w:sz w:val="24"/>
              <w:szCs w:val="24"/>
              <w:highlight w:val="none"/>
              <w:lang w:val="en-US" w:eastAsia="zh-CN" w:bidi="ar-SA"/>
            </w:rPr>
            <w:fldChar w:fldCharType="separate"/>
          </w:r>
          <w:r>
            <w:rPr>
              <w:rFonts w:hint="eastAsia" w:ascii="仿宋_GB2312" w:hAnsi="仿宋_GB2312" w:eastAsia="仿宋_GB2312" w:cs="仿宋_GB2312"/>
              <w:sz w:val="24"/>
              <w:szCs w:val="24"/>
              <w:lang w:eastAsia="zh-CN"/>
            </w:rPr>
            <w:t>一、</w:t>
          </w:r>
          <w:r>
            <w:rPr>
              <w:rFonts w:hint="eastAsia" w:ascii="仿宋_GB2312" w:hAnsi="仿宋_GB2312" w:eastAsia="仿宋_GB2312" w:cs="仿宋_GB2312"/>
              <w:sz w:val="24"/>
              <w:szCs w:val="24"/>
              <w:highlight w:val="none"/>
              <w:lang w:eastAsia="zh-CN"/>
            </w:rPr>
            <w:t>部门职责</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_Toc8736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6</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color w:val="auto"/>
              <w:kern w:val="2"/>
              <w:sz w:val="24"/>
              <w:szCs w:val="24"/>
              <w:highlight w:val="none"/>
              <w:lang w:val="en-US" w:eastAsia="zh-CN" w:bidi="ar-SA"/>
            </w:rPr>
            <w:fldChar w:fldCharType="end"/>
          </w:r>
        </w:p>
        <w:p>
          <w:pPr>
            <w:pStyle w:val="41"/>
            <w:keepNext w:val="0"/>
            <w:keepLines w:val="0"/>
            <w:pageBreakBefore w:val="0"/>
            <w:tabs>
              <w:tab w:val="right" w:leader="dot" w:pos="8306"/>
            </w:tabs>
            <w:kinsoku/>
            <w:wordWrap/>
            <w:overflowPunct/>
            <w:topLinePunct w:val="0"/>
            <w:autoSpaceDE/>
            <w:autoSpaceDN/>
            <w:bidi w:val="0"/>
            <w:spacing w:line="576"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auto"/>
              <w:kern w:val="2"/>
              <w:sz w:val="24"/>
              <w:szCs w:val="24"/>
              <w:highlight w:val="none"/>
              <w:lang w:val="en-US" w:eastAsia="zh-CN" w:bidi="ar-SA"/>
            </w:rPr>
            <w:fldChar w:fldCharType="begin"/>
          </w:r>
          <w:r>
            <w:rPr>
              <w:rFonts w:hint="eastAsia" w:ascii="仿宋_GB2312" w:hAnsi="仿宋_GB2312" w:eastAsia="仿宋_GB2312" w:cs="仿宋_GB2312"/>
              <w:kern w:val="2"/>
              <w:sz w:val="24"/>
              <w:szCs w:val="24"/>
              <w:highlight w:val="none"/>
              <w:lang w:val="en-US" w:eastAsia="zh-CN" w:bidi="ar-SA"/>
            </w:rPr>
            <w:instrText xml:space="preserve"> HYPERLINK \l _Toc2313 </w:instrText>
          </w:r>
          <w:r>
            <w:rPr>
              <w:rFonts w:hint="eastAsia" w:ascii="仿宋_GB2312" w:hAnsi="仿宋_GB2312" w:eastAsia="仿宋_GB2312" w:cs="仿宋_GB2312"/>
              <w:kern w:val="2"/>
              <w:sz w:val="24"/>
              <w:szCs w:val="24"/>
              <w:highlight w:val="none"/>
              <w:lang w:val="en-US" w:eastAsia="zh-CN" w:bidi="ar-SA"/>
            </w:rPr>
            <w:fldChar w:fldCharType="separate"/>
          </w:r>
          <w:r>
            <w:rPr>
              <w:rFonts w:hint="eastAsia" w:ascii="仿宋_GB2312" w:hAnsi="仿宋_GB2312" w:eastAsia="仿宋_GB2312" w:cs="仿宋_GB2312"/>
              <w:sz w:val="24"/>
              <w:szCs w:val="24"/>
              <w:highlight w:val="none"/>
            </w:rPr>
            <w:t>二、机</w:t>
          </w:r>
          <w:r>
            <w:rPr>
              <w:rFonts w:hint="eastAsia" w:ascii="仿宋_GB2312" w:hAnsi="仿宋_GB2312" w:eastAsia="仿宋_GB2312" w:cs="仿宋_GB2312"/>
              <w:bCs w:val="0"/>
              <w:sz w:val="24"/>
              <w:szCs w:val="24"/>
              <w:highlight w:val="none"/>
            </w:rPr>
            <w:t>构设置</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_Toc2313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7</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color w:val="auto"/>
              <w:kern w:val="2"/>
              <w:sz w:val="24"/>
              <w:szCs w:val="24"/>
              <w:highlight w:val="none"/>
              <w:lang w:val="en-US" w:eastAsia="zh-CN" w:bidi="ar-SA"/>
            </w:rPr>
            <w:fldChar w:fldCharType="end"/>
          </w:r>
        </w:p>
        <w:p>
          <w:pPr>
            <w:pStyle w:val="40"/>
            <w:keepNext w:val="0"/>
            <w:keepLines w:val="0"/>
            <w:pageBreakBefore w:val="0"/>
            <w:tabs>
              <w:tab w:val="right" w:leader="dot" w:pos="8306"/>
            </w:tabs>
            <w:kinsoku/>
            <w:wordWrap/>
            <w:overflowPunct/>
            <w:topLinePunct w:val="0"/>
            <w:autoSpaceDE/>
            <w:autoSpaceDN/>
            <w:bidi w:val="0"/>
            <w:spacing w:line="576"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auto"/>
              <w:kern w:val="2"/>
              <w:sz w:val="24"/>
              <w:szCs w:val="24"/>
              <w:highlight w:val="none"/>
              <w:lang w:val="en-US" w:eastAsia="zh-CN" w:bidi="ar-SA"/>
            </w:rPr>
            <w:fldChar w:fldCharType="begin"/>
          </w:r>
          <w:r>
            <w:rPr>
              <w:rFonts w:hint="eastAsia" w:ascii="仿宋_GB2312" w:hAnsi="仿宋_GB2312" w:eastAsia="仿宋_GB2312" w:cs="仿宋_GB2312"/>
              <w:kern w:val="2"/>
              <w:sz w:val="24"/>
              <w:szCs w:val="24"/>
              <w:highlight w:val="none"/>
              <w:lang w:val="en-US" w:eastAsia="zh-CN" w:bidi="ar-SA"/>
            </w:rPr>
            <w:instrText xml:space="preserve"> HYPERLINK \l _Toc10178 </w:instrText>
          </w:r>
          <w:r>
            <w:rPr>
              <w:rFonts w:hint="eastAsia" w:ascii="仿宋_GB2312" w:hAnsi="仿宋_GB2312" w:eastAsia="仿宋_GB2312" w:cs="仿宋_GB2312"/>
              <w:kern w:val="2"/>
              <w:sz w:val="24"/>
              <w:szCs w:val="24"/>
              <w:highlight w:val="none"/>
              <w:lang w:val="en-US" w:eastAsia="zh-CN" w:bidi="ar-SA"/>
            </w:rPr>
            <w:fldChar w:fldCharType="separate"/>
          </w:r>
          <w:r>
            <w:rPr>
              <w:rFonts w:hint="eastAsia" w:ascii="仿宋_GB2312" w:hAnsi="仿宋_GB2312" w:eastAsia="仿宋_GB2312" w:cs="仿宋_GB2312"/>
              <w:bCs/>
              <w:sz w:val="32"/>
              <w:szCs w:val="32"/>
              <w:highlight w:val="none"/>
            </w:rPr>
            <w:t xml:space="preserve">第二部分 </w:t>
          </w:r>
          <w:r>
            <w:rPr>
              <w:rFonts w:hint="eastAsia" w:ascii="仿宋_GB2312" w:hAnsi="仿宋_GB2312" w:eastAsia="仿宋_GB2312" w:cs="仿宋_GB2312"/>
              <w:bCs/>
              <w:sz w:val="32"/>
              <w:szCs w:val="32"/>
              <w:highlight w:val="none"/>
              <w:lang w:val="en-US" w:eastAsia="zh-CN"/>
            </w:rPr>
            <w:t>2022年度</w:t>
          </w:r>
          <w:r>
            <w:rPr>
              <w:rFonts w:hint="eastAsia" w:ascii="仿宋_GB2312" w:hAnsi="仿宋_GB2312" w:eastAsia="仿宋_GB2312" w:cs="仿宋_GB2312"/>
              <w:bCs/>
              <w:sz w:val="32"/>
              <w:szCs w:val="32"/>
              <w:highlight w:val="none"/>
            </w:rPr>
            <w:t>部门决算情况说明</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_Toc10178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7</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color w:val="auto"/>
              <w:kern w:val="2"/>
              <w:sz w:val="24"/>
              <w:szCs w:val="24"/>
              <w:highlight w:val="none"/>
              <w:lang w:val="en-US" w:eastAsia="zh-CN" w:bidi="ar-SA"/>
            </w:rPr>
            <w:fldChar w:fldCharType="end"/>
          </w:r>
        </w:p>
        <w:p>
          <w:pPr>
            <w:pStyle w:val="41"/>
            <w:keepNext w:val="0"/>
            <w:keepLines w:val="0"/>
            <w:pageBreakBefore w:val="0"/>
            <w:tabs>
              <w:tab w:val="right" w:leader="dot" w:pos="8306"/>
            </w:tabs>
            <w:kinsoku/>
            <w:wordWrap/>
            <w:overflowPunct/>
            <w:topLinePunct w:val="0"/>
            <w:autoSpaceDE/>
            <w:autoSpaceDN/>
            <w:bidi w:val="0"/>
            <w:spacing w:line="576"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auto"/>
              <w:kern w:val="2"/>
              <w:sz w:val="24"/>
              <w:szCs w:val="24"/>
              <w:highlight w:val="none"/>
              <w:lang w:val="en-US" w:eastAsia="zh-CN" w:bidi="ar-SA"/>
            </w:rPr>
            <w:fldChar w:fldCharType="begin"/>
          </w:r>
          <w:r>
            <w:rPr>
              <w:rFonts w:hint="eastAsia" w:ascii="仿宋_GB2312" w:hAnsi="仿宋_GB2312" w:eastAsia="仿宋_GB2312" w:cs="仿宋_GB2312"/>
              <w:kern w:val="2"/>
              <w:sz w:val="24"/>
              <w:szCs w:val="24"/>
              <w:highlight w:val="none"/>
              <w:lang w:val="en-US" w:eastAsia="zh-CN" w:bidi="ar-SA"/>
            </w:rPr>
            <w:instrText xml:space="preserve"> HYPERLINK \l _Toc30891 </w:instrText>
          </w:r>
          <w:r>
            <w:rPr>
              <w:rFonts w:hint="eastAsia" w:ascii="仿宋_GB2312" w:hAnsi="仿宋_GB2312" w:eastAsia="仿宋_GB2312" w:cs="仿宋_GB2312"/>
              <w:kern w:val="2"/>
              <w:sz w:val="24"/>
              <w:szCs w:val="24"/>
              <w:highlight w:val="none"/>
              <w:lang w:val="en-US" w:eastAsia="zh-CN" w:bidi="ar-SA"/>
            </w:rPr>
            <w:fldChar w:fldCharType="separate"/>
          </w:r>
          <w:r>
            <w:rPr>
              <w:rFonts w:hint="eastAsia" w:ascii="仿宋_GB2312" w:hAnsi="仿宋_GB2312" w:eastAsia="仿宋_GB2312" w:cs="仿宋_GB2312"/>
              <w:sz w:val="24"/>
              <w:szCs w:val="24"/>
            </w:rPr>
            <w:t>一、</w:t>
          </w:r>
          <w:r>
            <w:rPr>
              <w:rFonts w:hint="eastAsia" w:ascii="仿宋_GB2312" w:hAnsi="仿宋_GB2312" w:eastAsia="仿宋_GB2312" w:cs="仿宋_GB2312"/>
              <w:sz w:val="24"/>
              <w:szCs w:val="24"/>
              <w:highlight w:val="none"/>
            </w:rPr>
            <w:t>收入支出决算总体情况说明</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_Toc30891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7</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color w:val="auto"/>
              <w:kern w:val="2"/>
              <w:sz w:val="24"/>
              <w:szCs w:val="24"/>
              <w:highlight w:val="none"/>
              <w:lang w:val="en-US" w:eastAsia="zh-CN" w:bidi="ar-SA"/>
            </w:rPr>
            <w:fldChar w:fldCharType="end"/>
          </w:r>
        </w:p>
        <w:p>
          <w:pPr>
            <w:pStyle w:val="41"/>
            <w:keepNext w:val="0"/>
            <w:keepLines w:val="0"/>
            <w:pageBreakBefore w:val="0"/>
            <w:tabs>
              <w:tab w:val="right" w:leader="dot" w:pos="8306"/>
            </w:tabs>
            <w:kinsoku/>
            <w:wordWrap/>
            <w:overflowPunct/>
            <w:topLinePunct w:val="0"/>
            <w:autoSpaceDE/>
            <w:autoSpaceDN/>
            <w:bidi w:val="0"/>
            <w:spacing w:line="576"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auto"/>
              <w:kern w:val="2"/>
              <w:sz w:val="24"/>
              <w:szCs w:val="24"/>
              <w:highlight w:val="none"/>
              <w:lang w:val="en-US" w:eastAsia="zh-CN" w:bidi="ar-SA"/>
            </w:rPr>
            <w:fldChar w:fldCharType="begin"/>
          </w:r>
          <w:r>
            <w:rPr>
              <w:rFonts w:hint="eastAsia" w:ascii="仿宋_GB2312" w:hAnsi="仿宋_GB2312" w:eastAsia="仿宋_GB2312" w:cs="仿宋_GB2312"/>
              <w:kern w:val="2"/>
              <w:sz w:val="24"/>
              <w:szCs w:val="24"/>
              <w:highlight w:val="none"/>
              <w:lang w:val="en-US" w:eastAsia="zh-CN" w:bidi="ar-SA"/>
            </w:rPr>
            <w:instrText xml:space="preserve"> HYPERLINK \l _Toc742 </w:instrText>
          </w:r>
          <w:r>
            <w:rPr>
              <w:rFonts w:hint="eastAsia" w:ascii="仿宋_GB2312" w:hAnsi="仿宋_GB2312" w:eastAsia="仿宋_GB2312" w:cs="仿宋_GB2312"/>
              <w:kern w:val="2"/>
              <w:sz w:val="24"/>
              <w:szCs w:val="24"/>
              <w:highlight w:val="none"/>
              <w:lang w:val="en-US" w:eastAsia="zh-CN" w:bidi="ar-SA"/>
            </w:rPr>
            <w:fldChar w:fldCharType="separate"/>
          </w:r>
          <w:r>
            <w:rPr>
              <w:rFonts w:hint="eastAsia" w:ascii="仿宋_GB2312" w:hAnsi="仿宋_GB2312" w:eastAsia="仿宋_GB2312" w:cs="仿宋_GB2312"/>
              <w:sz w:val="24"/>
              <w:szCs w:val="24"/>
            </w:rPr>
            <w:t>二、</w:t>
          </w:r>
          <w:r>
            <w:rPr>
              <w:rFonts w:hint="eastAsia" w:ascii="仿宋_GB2312" w:hAnsi="仿宋_GB2312" w:eastAsia="仿宋_GB2312" w:cs="仿宋_GB2312"/>
              <w:sz w:val="24"/>
              <w:szCs w:val="24"/>
              <w:highlight w:val="none"/>
            </w:rPr>
            <w:t>收入决算情况说明</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_Toc742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8</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color w:val="auto"/>
              <w:kern w:val="2"/>
              <w:sz w:val="24"/>
              <w:szCs w:val="24"/>
              <w:highlight w:val="none"/>
              <w:lang w:val="en-US" w:eastAsia="zh-CN" w:bidi="ar-SA"/>
            </w:rPr>
            <w:fldChar w:fldCharType="end"/>
          </w:r>
        </w:p>
        <w:p>
          <w:pPr>
            <w:pStyle w:val="41"/>
            <w:keepNext w:val="0"/>
            <w:keepLines w:val="0"/>
            <w:pageBreakBefore w:val="0"/>
            <w:tabs>
              <w:tab w:val="right" w:leader="dot" w:pos="8306"/>
            </w:tabs>
            <w:kinsoku/>
            <w:wordWrap/>
            <w:overflowPunct/>
            <w:topLinePunct w:val="0"/>
            <w:autoSpaceDE/>
            <w:autoSpaceDN/>
            <w:bidi w:val="0"/>
            <w:spacing w:line="576"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auto"/>
              <w:kern w:val="2"/>
              <w:sz w:val="24"/>
              <w:szCs w:val="24"/>
              <w:highlight w:val="none"/>
              <w:lang w:val="en-US" w:eastAsia="zh-CN" w:bidi="ar-SA"/>
            </w:rPr>
            <w:fldChar w:fldCharType="begin"/>
          </w:r>
          <w:r>
            <w:rPr>
              <w:rFonts w:hint="eastAsia" w:ascii="仿宋_GB2312" w:hAnsi="仿宋_GB2312" w:eastAsia="仿宋_GB2312" w:cs="仿宋_GB2312"/>
              <w:kern w:val="2"/>
              <w:sz w:val="24"/>
              <w:szCs w:val="24"/>
              <w:highlight w:val="none"/>
              <w:lang w:val="en-US" w:eastAsia="zh-CN" w:bidi="ar-SA"/>
            </w:rPr>
            <w:instrText xml:space="preserve"> HYPERLINK \l _Toc14129 </w:instrText>
          </w:r>
          <w:r>
            <w:rPr>
              <w:rFonts w:hint="eastAsia" w:ascii="仿宋_GB2312" w:hAnsi="仿宋_GB2312" w:eastAsia="仿宋_GB2312" w:cs="仿宋_GB2312"/>
              <w:kern w:val="2"/>
              <w:sz w:val="24"/>
              <w:szCs w:val="24"/>
              <w:highlight w:val="none"/>
              <w:lang w:val="en-US" w:eastAsia="zh-CN" w:bidi="ar-SA"/>
            </w:rPr>
            <w:fldChar w:fldCharType="separate"/>
          </w:r>
          <w:r>
            <w:rPr>
              <w:rFonts w:hint="eastAsia" w:ascii="仿宋_GB2312" w:hAnsi="仿宋_GB2312" w:eastAsia="仿宋_GB2312" w:cs="仿宋_GB2312"/>
              <w:sz w:val="24"/>
              <w:szCs w:val="24"/>
            </w:rPr>
            <w:t>三、</w:t>
          </w:r>
          <w:r>
            <w:rPr>
              <w:rFonts w:hint="eastAsia" w:ascii="仿宋_GB2312" w:hAnsi="仿宋_GB2312" w:eastAsia="仿宋_GB2312" w:cs="仿宋_GB2312"/>
              <w:sz w:val="24"/>
              <w:szCs w:val="24"/>
              <w:highlight w:val="none"/>
            </w:rPr>
            <w:t>支出决算情况说明</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_Toc14129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8</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color w:val="auto"/>
              <w:kern w:val="2"/>
              <w:sz w:val="24"/>
              <w:szCs w:val="24"/>
              <w:highlight w:val="none"/>
              <w:lang w:val="en-US" w:eastAsia="zh-CN" w:bidi="ar-SA"/>
            </w:rPr>
            <w:fldChar w:fldCharType="end"/>
          </w:r>
        </w:p>
        <w:p>
          <w:pPr>
            <w:pStyle w:val="41"/>
            <w:keepNext w:val="0"/>
            <w:keepLines w:val="0"/>
            <w:pageBreakBefore w:val="0"/>
            <w:tabs>
              <w:tab w:val="right" w:leader="dot" w:pos="8306"/>
            </w:tabs>
            <w:kinsoku/>
            <w:wordWrap/>
            <w:overflowPunct/>
            <w:topLinePunct w:val="0"/>
            <w:autoSpaceDE/>
            <w:autoSpaceDN/>
            <w:bidi w:val="0"/>
            <w:spacing w:line="576"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auto"/>
              <w:kern w:val="2"/>
              <w:sz w:val="24"/>
              <w:szCs w:val="24"/>
              <w:highlight w:val="none"/>
              <w:lang w:val="en-US" w:eastAsia="zh-CN" w:bidi="ar-SA"/>
            </w:rPr>
            <w:fldChar w:fldCharType="begin"/>
          </w:r>
          <w:r>
            <w:rPr>
              <w:rFonts w:hint="eastAsia" w:ascii="仿宋_GB2312" w:hAnsi="仿宋_GB2312" w:eastAsia="仿宋_GB2312" w:cs="仿宋_GB2312"/>
              <w:kern w:val="2"/>
              <w:sz w:val="24"/>
              <w:szCs w:val="24"/>
              <w:highlight w:val="none"/>
              <w:lang w:val="en-US" w:eastAsia="zh-CN" w:bidi="ar-SA"/>
            </w:rPr>
            <w:instrText xml:space="preserve"> HYPERLINK \l _Toc5799 </w:instrText>
          </w:r>
          <w:r>
            <w:rPr>
              <w:rFonts w:hint="eastAsia" w:ascii="仿宋_GB2312" w:hAnsi="仿宋_GB2312" w:eastAsia="仿宋_GB2312" w:cs="仿宋_GB2312"/>
              <w:kern w:val="2"/>
              <w:sz w:val="24"/>
              <w:szCs w:val="24"/>
              <w:highlight w:val="none"/>
              <w:lang w:val="en-US" w:eastAsia="zh-CN" w:bidi="ar-SA"/>
            </w:rPr>
            <w:fldChar w:fldCharType="separate"/>
          </w:r>
          <w:r>
            <w:rPr>
              <w:rFonts w:hint="eastAsia" w:ascii="仿宋_GB2312" w:hAnsi="仿宋_GB2312" w:eastAsia="仿宋_GB2312" w:cs="仿宋_GB2312"/>
              <w:sz w:val="24"/>
              <w:szCs w:val="24"/>
              <w:highlight w:val="none"/>
            </w:rPr>
            <w:t>四、财政拨款收入支出决算总体情况说明</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_Toc5799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9</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color w:val="auto"/>
              <w:kern w:val="2"/>
              <w:sz w:val="24"/>
              <w:szCs w:val="24"/>
              <w:highlight w:val="none"/>
              <w:lang w:val="en-US" w:eastAsia="zh-CN" w:bidi="ar-SA"/>
            </w:rPr>
            <w:fldChar w:fldCharType="end"/>
          </w:r>
        </w:p>
        <w:p>
          <w:pPr>
            <w:pStyle w:val="41"/>
            <w:keepNext w:val="0"/>
            <w:keepLines w:val="0"/>
            <w:pageBreakBefore w:val="0"/>
            <w:tabs>
              <w:tab w:val="right" w:leader="dot" w:pos="8306"/>
            </w:tabs>
            <w:kinsoku/>
            <w:wordWrap/>
            <w:overflowPunct/>
            <w:topLinePunct w:val="0"/>
            <w:autoSpaceDE/>
            <w:autoSpaceDN/>
            <w:bidi w:val="0"/>
            <w:spacing w:line="576"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auto"/>
              <w:kern w:val="2"/>
              <w:sz w:val="24"/>
              <w:szCs w:val="24"/>
              <w:highlight w:val="none"/>
              <w:lang w:val="en-US" w:eastAsia="zh-CN" w:bidi="ar-SA"/>
            </w:rPr>
            <w:fldChar w:fldCharType="begin"/>
          </w:r>
          <w:r>
            <w:rPr>
              <w:rFonts w:hint="eastAsia" w:ascii="仿宋_GB2312" w:hAnsi="仿宋_GB2312" w:eastAsia="仿宋_GB2312" w:cs="仿宋_GB2312"/>
              <w:kern w:val="2"/>
              <w:sz w:val="24"/>
              <w:szCs w:val="24"/>
              <w:highlight w:val="none"/>
              <w:lang w:val="en-US" w:eastAsia="zh-CN" w:bidi="ar-SA"/>
            </w:rPr>
            <w:instrText xml:space="preserve"> HYPERLINK \l _Toc28050 </w:instrText>
          </w:r>
          <w:r>
            <w:rPr>
              <w:rFonts w:hint="eastAsia" w:ascii="仿宋_GB2312" w:hAnsi="仿宋_GB2312" w:eastAsia="仿宋_GB2312" w:cs="仿宋_GB2312"/>
              <w:kern w:val="2"/>
              <w:sz w:val="24"/>
              <w:szCs w:val="24"/>
              <w:highlight w:val="none"/>
              <w:lang w:val="en-US" w:eastAsia="zh-CN" w:bidi="ar-SA"/>
            </w:rPr>
            <w:fldChar w:fldCharType="separate"/>
          </w:r>
          <w:r>
            <w:rPr>
              <w:rFonts w:hint="eastAsia" w:ascii="仿宋_GB2312" w:hAnsi="仿宋_GB2312" w:eastAsia="仿宋_GB2312" w:cs="仿宋_GB2312"/>
              <w:sz w:val="24"/>
              <w:szCs w:val="24"/>
              <w:highlight w:val="none"/>
            </w:rPr>
            <w:t>五、一般公共预算财政拨款支出决算情况说明</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_Toc28050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9</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color w:val="auto"/>
              <w:kern w:val="2"/>
              <w:sz w:val="24"/>
              <w:szCs w:val="24"/>
              <w:highlight w:val="none"/>
              <w:lang w:val="en-US" w:eastAsia="zh-CN" w:bidi="ar-SA"/>
            </w:rPr>
            <w:fldChar w:fldCharType="end"/>
          </w:r>
        </w:p>
        <w:p>
          <w:pPr>
            <w:pStyle w:val="41"/>
            <w:keepNext w:val="0"/>
            <w:keepLines w:val="0"/>
            <w:pageBreakBefore w:val="0"/>
            <w:tabs>
              <w:tab w:val="right" w:leader="dot" w:pos="8306"/>
            </w:tabs>
            <w:kinsoku/>
            <w:wordWrap/>
            <w:overflowPunct/>
            <w:topLinePunct w:val="0"/>
            <w:autoSpaceDE/>
            <w:autoSpaceDN/>
            <w:bidi w:val="0"/>
            <w:spacing w:line="576"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auto"/>
              <w:kern w:val="2"/>
              <w:sz w:val="24"/>
              <w:szCs w:val="24"/>
              <w:highlight w:val="none"/>
              <w:lang w:val="en-US" w:eastAsia="zh-CN" w:bidi="ar-SA"/>
            </w:rPr>
            <w:fldChar w:fldCharType="begin"/>
          </w:r>
          <w:r>
            <w:rPr>
              <w:rFonts w:hint="eastAsia" w:ascii="仿宋_GB2312" w:hAnsi="仿宋_GB2312" w:eastAsia="仿宋_GB2312" w:cs="仿宋_GB2312"/>
              <w:kern w:val="2"/>
              <w:sz w:val="24"/>
              <w:szCs w:val="24"/>
              <w:highlight w:val="none"/>
              <w:lang w:val="en-US" w:eastAsia="zh-CN" w:bidi="ar-SA"/>
            </w:rPr>
            <w:instrText xml:space="preserve"> HYPERLINK \l _Toc26586 </w:instrText>
          </w:r>
          <w:r>
            <w:rPr>
              <w:rFonts w:hint="eastAsia" w:ascii="仿宋_GB2312" w:hAnsi="仿宋_GB2312" w:eastAsia="仿宋_GB2312" w:cs="仿宋_GB2312"/>
              <w:kern w:val="2"/>
              <w:sz w:val="24"/>
              <w:szCs w:val="24"/>
              <w:highlight w:val="none"/>
              <w:lang w:val="en-US" w:eastAsia="zh-CN" w:bidi="ar-SA"/>
            </w:rPr>
            <w:fldChar w:fldCharType="separate"/>
          </w:r>
          <w:r>
            <w:rPr>
              <w:rFonts w:hint="eastAsia" w:ascii="仿宋_GB2312" w:hAnsi="仿宋_GB2312" w:eastAsia="仿宋_GB2312" w:cs="仿宋_GB2312"/>
              <w:sz w:val="24"/>
              <w:szCs w:val="24"/>
              <w:highlight w:val="none"/>
            </w:rPr>
            <w:t>六、一般公共预算财政拨款基本支出决算情况说明</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_Toc26586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14</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color w:val="auto"/>
              <w:kern w:val="2"/>
              <w:sz w:val="24"/>
              <w:szCs w:val="24"/>
              <w:highlight w:val="none"/>
              <w:lang w:val="en-US" w:eastAsia="zh-CN" w:bidi="ar-SA"/>
            </w:rPr>
            <w:fldChar w:fldCharType="end"/>
          </w:r>
        </w:p>
        <w:p>
          <w:pPr>
            <w:pStyle w:val="41"/>
            <w:keepNext w:val="0"/>
            <w:keepLines w:val="0"/>
            <w:pageBreakBefore w:val="0"/>
            <w:tabs>
              <w:tab w:val="right" w:leader="dot" w:pos="8306"/>
            </w:tabs>
            <w:kinsoku/>
            <w:wordWrap/>
            <w:overflowPunct/>
            <w:topLinePunct w:val="0"/>
            <w:autoSpaceDE/>
            <w:autoSpaceDN/>
            <w:bidi w:val="0"/>
            <w:spacing w:line="576"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auto"/>
              <w:kern w:val="2"/>
              <w:sz w:val="24"/>
              <w:szCs w:val="24"/>
              <w:highlight w:val="none"/>
              <w:lang w:val="en-US" w:eastAsia="zh-CN" w:bidi="ar-SA"/>
            </w:rPr>
            <w:fldChar w:fldCharType="begin"/>
          </w:r>
          <w:r>
            <w:rPr>
              <w:rFonts w:hint="eastAsia" w:ascii="仿宋_GB2312" w:hAnsi="仿宋_GB2312" w:eastAsia="仿宋_GB2312" w:cs="仿宋_GB2312"/>
              <w:kern w:val="2"/>
              <w:sz w:val="24"/>
              <w:szCs w:val="24"/>
              <w:highlight w:val="none"/>
              <w:lang w:val="en-US" w:eastAsia="zh-CN" w:bidi="ar-SA"/>
            </w:rPr>
            <w:instrText xml:space="preserve"> HYPERLINK \l _Toc9558 </w:instrText>
          </w:r>
          <w:r>
            <w:rPr>
              <w:rFonts w:hint="eastAsia" w:ascii="仿宋_GB2312" w:hAnsi="仿宋_GB2312" w:eastAsia="仿宋_GB2312" w:cs="仿宋_GB2312"/>
              <w:kern w:val="2"/>
              <w:sz w:val="24"/>
              <w:szCs w:val="24"/>
              <w:highlight w:val="none"/>
              <w:lang w:val="en-US" w:eastAsia="zh-CN" w:bidi="ar-SA"/>
            </w:rPr>
            <w:fldChar w:fldCharType="separate"/>
          </w:r>
          <w:r>
            <w:rPr>
              <w:rFonts w:hint="eastAsia" w:ascii="仿宋_GB2312" w:hAnsi="仿宋_GB2312" w:eastAsia="仿宋_GB2312" w:cs="仿宋_GB2312"/>
              <w:sz w:val="24"/>
              <w:szCs w:val="24"/>
              <w:highlight w:val="none"/>
            </w:rPr>
            <w:t>七、财政拨款“三公”经费支出决算情况说明</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_Toc9558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15</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color w:val="auto"/>
              <w:kern w:val="2"/>
              <w:sz w:val="24"/>
              <w:szCs w:val="24"/>
              <w:highlight w:val="none"/>
              <w:lang w:val="en-US" w:eastAsia="zh-CN" w:bidi="ar-SA"/>
            </w:rPr>
            <w:fldChar w:fldCharType="end"/>
          </w:r>
        </w:p>
        <w:p>
          <w:pPr>
            <w:pStyle w:val="41"/>
            <w:keepNext w:val="0"/>
            <w:keepLines w:val="0"/>
            <w:pageBreakBefore w:val="0"/>
            <w:tabs>
              <w:tab w:val="right" w:leader="dot" w:pos="8306"/>
            </w:tabs>
            <w:kinsoku/>
            <w:wordWrap/>
            <w:overflowPunct/>
            <w:topLinePunct w:val="0"/>
            <w:autoSpaceDE/>
            <w:autoSpaceDN/>
            <w:bidi w:val="0"/>
            <w:spacing w:line="576"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auto"/>
              <w:kern w:val="2"/>
              <w:sz w:val="24"/>
              <w:szCs w:val="24"/>
              <w:highlight w:val="none"/>
              <w:lang w:val="en-US" w:eastAsia="zh-CN" w:bidi="ar-SA"/>
            </w:rPr>
            <w:fldChar w:fldCharType="begin"/>
          </w:r>
          <w:r>
            <w:rPr>
              <w:rFonts w:hint="eastAsia" w:ascii="仿宋_GB2312" w:hAnsi="仿宋_GB2312" w:eastAsia="仿宋_GB2312" w:cs="仿宋_GB2312"/>
              <w:kern w:val="2"/>
              <w:sz w:val="24"/>
              <w:szCs w:val="24"/>
              <w:highlight w:val="none"/>
              <w:lang w:val="en-US" w:eastAsia="zh-CN" w:bidi="ar-SA"/>
            </w:rPr>
            <w:instrText xml:space="preserve"> HYPERLINK \l _Toc3651 </w:instrText>
          </w:r>
          <w:r>
            <w:rPr>
              <w:rFonts w:hint="eastAsia" w:ascii="仿宋_GB2312" w:hAnsi="仿宋_GB2312" w:eastAsia="仿宋_GB2312" w:cs="仿宋_GB2312"/>
              <w:kern w:val="2"/>
              <w:sz w:val="24"/>
              <w:szCs w:val="24"/>
              <w:highlight w:val="none"/>
              <w:lang w:val="en-US" w:eastAsia="zh-CN" w:bidi="ar-SA"/>
            </w:rPr>
            <w:fldChar w:fldCharType="separate"/>
          </w:r>
          <w:r>
            <w:rPr>
              <w:rFonts w:hint="eastAsia" w:ascii="仿宋_GB2312" w:hAnsi="仿宋_GB2312" w:eastAsia="仿宋_GB2312" w:cs="仿宋_GB2312"/>
              <w:sz w:val="24"/>
              <w:szCs w:val="24"/>
              <w:highlight w:val="none"/>
            </w:rPr>
            <w:t>八、政府性基金预算支出决算情况说明</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_Toc3651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16</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color w:val="auto"/>
              <w:kern w:val="2"/>
              <w:sz w:val="24"/>
              <w:szCs w:val="24"/>
              <w:highlight w:val="none"/>
              <w:lang w:val="en-US" w:eastAsia="zh-CN" w:bidi="ar-SA"/>
            </w:rPr>
            <w:fldChar w:fldCharType="end"/>
          </w:r>
        </w:p>
        <w:p>
          <w:pPr>
            <w:pStyle w:val="41"/>
            <w:keepNext w:val="0"/>
            <w:keepLines w:val="0"/>
            <w:pageBreakBefore w:val="0"/>
            <w:tabs>
              <w:tab w:val="right" w:leader="dot" w:pos="8306"/>
            </w:tabs>
            <w:kinsoku/>
            <w:wordWrap/>
            <w:overflowPunct/>
            <w:topLinePunct w:val="0"/>
            <w:autoSpaceDE/>
            <w:autoSpaceDN/>
            <w:bidi w:val="0"/>
            <w:spacing w:line="576"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auto"/>
              <w:kern w:val="2"/>
              <w:sz w:val="24"/>
              <w:szCs w:val="24"/>
              <w:highlight w:val="none"/>
              <w:lang w:val="en-US" w:eastAsia="zh-CN" w:bidi="ar-SA"/>
            </w:rPr>
            <w:fldChar w:fldCharType="begin"/>
          </w:r>
          <w:r>
            <w:rPr>
              <w:rFonts w:hint="eastAsia" w:ascii="仿宋_GB2312" w:hAnsi="仿宋_GB2312" w:eastAsia="仿宋_GB2312" w:cs="仿宋_GB2312"/>
              <w:kern w:val="2"/>
              <w:sz w:val="24"/>
              <w:szCs w:val="24"/>
              <w:highlight w:val="none"/>
              <w:lang w:val="en-US" w:eastAsia="zh-CN" w:bidi="ar-SA"/>
            </w:rPr>
            <w:instrText xml:space="preserve"> HYPERLINK \l _Toc23012 </w:instrText>
          </w:r>
          <w:r>
            <w:rPr>
              <w:rFonts w:hint="eastAsia" w:ascii="仿宋_GB2312" w:hAnsi="仿宋_GB2312" w:eastAsia="仿宋_GB2312" w:cs="仿宋_GB2312"/>
              <w:kern w:val="2"/>
              <w:sz w:val="24"/>
              <w:szCs w:val="24"/>
              <w:highlight w:val="none"/>
              <w:lang w:val="en-US" w:eastAsia="zh-CN" w:bidi="ar-SA"/>
            </w:rPr>
            <w:fldChar w:fldCharType="separate"/>
          </w:r>
          <w:r>
            <w:rPr>
              <w:rFonts w:hint="eastAsia" w:ascii="仿宋_GB2312" w:hAnsi="仿宋_GB2312" w:eastAsia="仿宋_GB2312" w:cs="仿宋_GB2312"/>
              <w:sz w:val="24"/>
              <w:szCs w:val="24"/>
            </w:rPr>
            <w:t>九、</w:t>
          </w:r>
          <w:r>
            <w:rPr>
              <w:rFonts w:hint="eastAsia" w:ascii="仿宋_GB2312" w:hAnsi="仿宋_GB2312" w:eastAsia="仿宋_GB2312" w:cs="仿宋_GB2312"/>
              <w:sz w:val="24"/>
              <w:szCs w:val="24"/>
              <w:highlight w:val="none"/>
            </w:rPr>
            <w:t>国有资本经营预算支出决算情况说明</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_Toc23012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16</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color w:val="auto"/>
              <w:kern w:val="2"/>
              <w:sz w:val="24"/>
              <w:szCs w:val="24"/>
              <w:highlight w:val="none"/>
              <w:lang w:val="en-US" w:eastAsia="zh-CN" w:bidi="ar-SA"/>
            </w:rPr>
            <w:fldChar w:fldCharType="end"/>
          </w:r>
        </w:p>
        <w:p>
          <w:pPr>
            <w:pStyle w:val="41"/>
            <w:keepNext w:val="0"/>
            <w:keepLines w:val="0"/>
            <w:pageBreakBefore w:val="0"/>
            <w:tabs>
              <w:tab w:val="right" w:leader="dot" w:pos="8306"/>
            </w:tabs>
            <w:kinsoku/>
            <w:wordWrap/>
            <w:overflowPunct/>
            <w:topLinePunct w:val="0"/>
            <w:autoSpaceDE/>
            <w:autoSpaceDN/>
            <w:bidi w:val="0"/>
            <w:spacing w:line="576"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auto"/>
              <w:kern w:val="2"/>
              <w:sz w:val="24"/>
              <w:szCs w:val="24"/>
              <w:highlight w:val="none"/>
              <w:lang w:val="en-US" w:eastAsia="zh-CN" w:bidi="ar-SA"/>
            </w:rPr>
            <w:fldChar w:fldCharType="begin"/>
          </w:r>
          <w:r>
            <w:rPr>
              <w:rFonts w:hint="eastAsia" w:ascii="仿宋_GB2312" w:hAnsi="仿宋_GB2312" w:eastAsia="仿宋_GB2312" w:cs="仿宋_GB2312"/>
              <w:kern w:val="2"/>
              <w:sz w:val="24"/>
              <w:szCs w:val="24"/>
              <w:highlight w:val="none"/>
              <w:lang w:val="en-US" w:eastAsia="zh-CN" w:bidi="ar-SA"/>
            </w:rPr>
            <w:instrText xml:space="preserve"> HYPERLINK \l _Toc9732 </w:instrText>
          </w:r>
          <w:r>
            <w:rPr>
              <w:rFonts w:hint="eastAsia" w:ascii="仿宋_GB2312" w:hAnsi="仿宋_GB2312" w:eastAsia="仿宋_GB2312" w:cs="仿宋_GB2312"/>
              <w:kern w:val="2"/>
              <w:sz w:val="24"/>
              <w:szCs w:val="24"/>
              <w:highlight w:val="none"/>
              <w:lang w:val="en-US" w:eastAsia="zh-CN" w:bidi="ar-SA"/>
            </w:rPr>
            <w:fldChar w:fldCharType="separate"/>
          </w:r>
          <w:r>
            <w:rPr>
              <w:rFonts w:hint="eastAsia" w:ascii="仿宋_GB2312" w:hAnsi="仿宋_GB2312" w:eastAsia="仿宋_GB2312" w:cs="仿宋_GB2312"/>
              <w:sz w:val="24"/>
              <w:szCs w:val="24"/>
            </w:rPr>
            <w:t>十、</w:t>
          </w:r>
          <w:r>
            <w:rPr>
              <w:rFonts w:hint="eastAsia" w:ascii="仿宋_GB2312" w:hAnsi="仿宋_GB2312" w:eastAsia="仿宋_GB2312" w:cs="仿宋_GB2312"/>
              <w:sz w:val="24"/>
              <w:szCs w:val="24"/>
              <w:highlight w:val="none"/>
            </w:rPr>
            <w:t>其他重要事项的情况说明</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_Toc9732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16</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color w:val="auto"/>
              <w:kern w:val="2"/>
              <w:sz w:val="24"/>
              <w:szCs w:val="24"/>
              <w:highlight w:val="none"/>
              <w:lang w:val="en-US" w:eastAsia="zh-CN" w:bidi="ar-SA"/>
            </w:rPr>
            <w:fldChar w:fldCharType="end"/>
          </w:r>
        </w:p>
        <w:p>
          <w:pPr>
            <w:pStyle w:val="43"/>
            <w:keepNext w:val="0"/>
            <w:keepLines w:val="0"/>
            <w:pageBreakBefore w:val="0"/>
            <w:tabs>
              <w:tab w:val="right" w:leader="dot" w:pos="8306"/>
            </w:tabs>
            <w:kinsoku/>
            <w:wordWrap/>
            <w:overflowPunct/>
            <w:topLinePunct w:val="0"/>
            <w:autoSpaceDE/>
            <w:autoSpaceDN/>
            <w:bidi w:val="0"/>
            <w:spacing w:line="576"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auto"/>
              <w:kern w:val="2"/>
              <w:sz w:val="24"/>
              <w:szCs w:val="24"/>
              <w:highlight w:val="none"/>
              <w:lang w:val="en-US" w:eastAsia="zh-CN" w:bidi="ar-SA"/>
            </w:rPr>
            <w:fldChar w:fldCharType="begin"/>
          </w:r>
          <w:r>
            <w:rPr>
              <w:rFonts w:hint="eastAsia" w:ascii="仿宋_GB2312" w:hAnsi="仿宋_GB2312" w:eastAsia="仿宋_GB2312" w:cs="仿宋_GB2312"/>
              <w:kern w:val="2"/>
              <w:sz w:val="24"/>
              <w:szCs w:val="24"/>
              <w:highlight w:val="none"/>
              <w:lang w:val="en-US" w:eastAsia="zh-CN" w:bidi="ar-SA"/>
            </w:rPr>
            <w:instrText xml:space="preserve"> HYPERLINK \l _Toc21519 </w:instrText>
          </w:r>
          <w:r>
            <w:rPr>
              <w:rFonts w:hint="eastAsia" w:ascii="仿宋_GB2312" w:hAnsi="仿宋_GB2312" w:eastAsia="仿宋_GB2312" w:cs="仿宋_GB2312"/>
              <w:kern w:val="2"/>
              <w:sz w:val="24"/>
              <w:szCs w:val="24"/>
              <w:highlight w:val="none"/>
              <w:lang w:val="en-US" w:eastAsia="zh-CN" w:bidi="ar-SA"/>
            </w:rPr>
            <w:fldChar w:fldCharType="separate"/>
          </w:r>
          <w:r>
            <w:rPr>
              <w:rFonts w:hint="eastAsia" w:ascii="仿宋_GB2312" w:hAnsi="仿宋_GB2312" w:eastAsia="仿宋_GB2312" w:cs="仿宋_GB2312"/>
              <w:sz w:val="24"/>
              <w:szCs w:val="24"/>
              <w:highlight w:val="none"/>
            </w:rPr>
            <w:t>（一）机关运行经费支出情况</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_Toc21519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16</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color w:val="auto"/>
              <w:kern w:val="2"/>
              <w:sz w:val="24"/>
              <w:szCs w:val="24"/>
              <w:highlight w:val="none"/>
              <w:lang w:val="en-US" w:eastAsia="zh-CN" w:bidi="ar-SA"/>
            </w:rPr>
            <w:fldChar w:fldCharType="end"/>
          </w:r>
        </w:p>
        <w:p>
          <w:pPr>
            <w:pStyle w:val="43"/>
            <w:keepNext w:val="0"/>
            <w:keepLines w:val="0"/>
            <w:pageBreakBefore w:val="0"/>
            <w:tabs>
              <w:tab w:val="right" w:leader="dot" w:pos="8306"/>
            </w:tabs>
            <w:kinsoku/>
            <w:wordWrap/>
            <w:overflowPunct/>
            <w:topLinePunct w:val="0"/>
            <w:autoSpaceDE/>
            <w:autoSpaceDN/>
            <w:bidi w:val="0"/>
            <w:spacing w:line="576"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auto"/>
              <w:kern w:val="2"/>
              <w:sz w:val="24"/>
              <w:szCs w:val="24"/>
              <w:highlight w:val="none"/>
              <w:lang w:val="en-US" w:eastAsia="zh-CN" w:bidi="ar-SA"/>
            </w:rPr>
            <w:fldChar w:fldCharType="begin"/>
          </w:r>
          <w:r>
            <w:rPr>
              <w:rFonts w:hint="eastAsia" w:ascii="仿宋_GB2312" w:hAnsi="仿宋_GB2312" w:eastAsia="仿宋_GB2312" w:cs="仿宋_GB2312"/>
              <w:kern w:val="2"/>
              <w:sz w:val="24"/>
              <w:szCs w:val="24"/>
              <w:highlight w:val="none"/>
              <w:lang w:val="en-US" w:eastAsia="zh-CN" w:bidi="ar-SA"/>
            </w:rPr>
            <w:instrText xml:space="preserve"> HYPERLINK \l _Toc29784 </w:instrText>
          </w:r>
          <w:r>
            <w:rPr>
              <w:rFonts w:hint="eastAsia" w:ascii="仿宋_GB2312" w:hAnsi="仿宋_GB2312" w:eastAsia="仿宋_GB2312" w:cs="仿宋_GB2312"/>
              <w:kern w:val="2"/>
              <w:sz w:val="24"/>
              <w:szCs w:val="24"/>
              <w:highlight w:val="none"/>
              <w:lang w:val="en-US" w:eastAsia="zh-CN" w:bidi="ar-SA"/>
            </w:rPr>
            <w:fldChar w:fldCharType="separate"/>
          </w:r>
          <w:r>
            <w:rPr>
              <w:rFonts w:hint="eastAsia" w:ascii="仿宋_GB2312" w:hAnsi="仿宋_GB2312" w:eastAsia="仿宋_GB2312" w:cs="仿宋_GB2312"/>
              <w:sz w:val="24"/>
              <w:szCs w:val="24"/>
              <w:highlight w:val="none"/>
            </w:rPr>
            <w:t>（二）政府采购支出情况</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_Toc29784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16</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color w:val="auto"/>
              <w:kern w:val="2"/>
              <w:sz w:val="24"/>
              <w:szCs w:val="24"/>
              <w:highlight w:val="none"/>
              <w:lang w:val="en-US" w:eastAsia="zh-CN" w:bidi="ar-SA"/>
            </w:rPr>
            <w:fldChar w:fldCharType="end"/>
          </w:r>
        </w:p>
        <w:p>
          <w:pPr>
            <w:pStyle w:val="43"/>
            <w:keepNext w:val="0"/>
            <w:keepLines w:val="0"/>
            <w:pageBreakBefore w:val="0"/>
            <w:tabs>
              <w:tab w:val="right" w:leader="dot" w:pos="8306"/>
            </w:tabs>
            <w:kinsoku/>
            <w:wordWrap/>
            <w:overflowPunct/>
            <w:topLinePunct w:val="0"/>
            <w:autoSpaceDE/>
            <w:autoSpaceDN/>
            <w:bidi w:val="0"/>
            <w:spacing w:line="576"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auto"/>
              <w:kern w:val="2"/>
              <w:sz w:val="24"/>
              <w:szCs w:val="24"/>
              <w:highlight w:val="none"/>
              <w:lang w:val="en-US" w:eastAsia="zh-CN" w:bidi="ar-SA"/>
            </w:rPr>
            <w:fldChar w:fldCharType="begin"/>
          </w:r>
          <w:r>
            <w:rPr>
              <w:rFonts w:hint="eastAsia" w:ascii="仿宋_GB2312" w:hAnsi="仿宋_GB2312" w:eastAsia="仿宋_GB2312" w:cs="仿宋_GB2312"/>
              <w:kern w:val="2"/>
              <w:sz w:val="24"/>
              <w:szCs w:val="24"/>
              <w:highlight w:val="none"/>
              <w:lang w:val="en-US" w:eastAsia="zh-CN" w:bidi="ar-SA"/>
            </w:rPr>
            <w:instrText xml:space="preserve"> HYPERLINK \l _Toc12081 </w:instrText>
          </w:r>
          <w:r>
            <w:rPr>
              <w:rFonts w:hint="eastAsia" w:ascii="仿宋_GB2312" w:hAnsi="仿宋_GB2312" w:eastAsia="仿宋_GB2312" w:cs="仿宋_GB2312"/>
              <w:kern w:val="2"/>
              <w:sz w:val="24"/>
              <w:szCs w:val="24"/>
              <w:highlight w:val="none"/>
              <w:lang w:val="en-US" w:eastAsia="zh-CN" w:bidi="ar-SA"/>
            </w:rPr>
            <w:fldChar w:fldCharType="separate"/>
          </w:r>
          <w:r>
            <w:rPr>
              <w:rFonts w:hint="eastAsia" w:ascii="仿宋_GB2312" w:hAnsi="仿宋_GB2312" w:eastAsia="仿宋_GB2312" w:cs="仿宋_GB2312"/>
              <w:sz w:val="24"/>
              <w:szCs w:val="24"/>
              <w:highlight w:val="none"/>
            </w:rPr>
            <w:t>（三）国有资产占有使用情况</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_Toc12081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17</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color w:val="auto"/>
              <w:kern w:val="2"/>
              <w:sz w:val="24"/>
              <w:szCs w:val="24"/>
              <w:highlight w:val="none"/>
              <w:lang w:val="en-US" w:eastAsia="zh-CN" w:bidi="ar-SA"/>
            </w:rPr>
            <w:fldChar w:fldCharType="end"/>
          </w:r>
        </w:p>
        <w:p>
          <w:pPr>
            <w:pStyle w:val="43"/>
            <w:keepNext w:val="0"/>
            <w:keepLines w:val="0"/>
            <w:pageBreakBefore w:val="0"/>
            <w:tabs>
              <w:tab w:val="right" w:leader="dot" w:pos="8306"/>
            </w:tabs>
            <w:kinsoku/>
            <w:wordWrap/>
            <w:overflowPunct/>
            <w:topLinePunct w:val="0"/>
            <w:autoSpaceDE/>
            <w:autoSpaceDN/>
            <w:bidi w:val="0"/>
            <w:spacing w:line="576"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auto"/>
              <w:kern w:val="2"/>
              <w:sz w:val="24"/>
              <w:szCs w:val="24"/>
              <w:highlight w:val="none"/>
              <w:lang w:val="en-US" w:eastAsia="zh-CN" w:bidi="ar-SA"/>
            </w:rPr>
            <w:fldChar w:fldCharType="begin"/>
          </w:r>
          <w:r>
            <w:rPr>
              <w:rFonts w:hint="eastAsia" w:ascii="仿宋_GB2312" w:hAnsi="仿宋_GB2312" w:eastAsia="仿宋_GB2312" w:cs="仿宋_GB2312"/>
              <w:kern w:val="2"/>
              <w:sz w:val="24"/>
              <w:szCs w:val="24"/>
              <w:highlight w:val="none"/>
              <w:lang w:val="en-US" w:eastAsia="zh-CN" w:bidi="ar-SA"/>
            </w:rPr>
            <w:instrText xml:space="preserve"> HYPERLINK \l _Toc6847 </w:instrText>
          </w:r>
          <w:r>
            <w:rPr>
              <w:rFonts w:hint="eastAsia" w:ascii="仿宋_GB2312" w:hAnsi="仿宋_GB2312" w:eastAsia="仿宋_GB2312" w:cs="仿宋_GB2312"/>
              <w:kern w:val="2"/>
              <w:sz w:val="24"/>
              <w:szCs w:val="24"/>
              <w:highlight w:val="none"/>
              <w:lang w:val="en-US" w:eastAsia="zh-CN" w:bidi="ar-SA"/>
            </w:rPr>
            <w:fldChar w:fldCharType="separate"/>
          </w:r>
          <w:r>
            <w:rPr>
              <w:rFonts w:hint="eastAsia" w:ascii="仿宋_GB2312" w:hAnsi="仿宋_GB2312" w:eastAsia="仿宋_GB2312" w:cs="仿宋_GB2312"/>
              <w:sz w:val="24"/>
              <w:szCs w:val="24"/>
              <w:highlight w:val="none"/>
            </w:rPr>
            <w:t>（四）预算绩效管理情况</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_Toc6847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17</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color w:val="auto"/>
              <w:kern w:val="2"/>
              <w:sz w:val="24"/>
              <w:szCs w:val="24"/>
              <w:highlight w:val="none"/>
              <w:lang w:val="en-US" w:eastAsia="zh-CN" w:bidi="ar-SA"/>
            </w:rPr>
            <w:fldChar w:fldCharType="end"/>
          </w:r>
        </w:p>
        <w:p>
          <w:pPr>
            <w:pStyle w:val="40"/>
            <w:keepNext w:val="0"/>
            <w:keepLines w:val="0"/>
            <w:pageBreakBefore w:val="0"/>
            <w:tabs>
              <w:tab w:val="right" w:leader="dot" w:pos="8306"/>
            </w:tabs>
            <w:kinsoku/>
            <w:wordWrap/>
            <w:overflowPunct/>
            <w:topLinePunct w:val="0"/>
            <w:autoSpaceDE/>
            <w:autoSpaceDN/>
            <w:bidi w:val="0"/>
            <w:spacing w:line="576"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auto"/>
              <w:kern w:val="2"/>
              <w:sz w:val="24"/>
              <w:szCs w:val="24"/>
              <w:highlight w:val="none"/>
              <w:lang w:val="en-US" w:eastAsia="zh-CN" w:bidi="ar-SA"/>
            </w:rPr>
            <w:fldChar w:fldCharType="begin"/>
          </w:r>
          <w:r>
            <w:rPr>
              <w:rFonts w:hint="eastAsia" w:ascii="仿宋_GB2312" w:hAnsi="仿宋_GB2312" w:eastAsia="仿宋_GB2312" w:cs="仿宋_GB2312"/>
              <w:kern w:val="2"/>
              <w:sz w:val="24"/>
              <w:szCs w:val="24"/>
              <w:highlight w:val="none"/>
              <w:lang w:val="en-US" w:eastAsia="zh-CN" w:bidi="ar-SA"/>
            </w:rPr>
            <w:instrText xml:space="preserve"> HYPERLINK \l _Toc30262 </w:instrText>
          </w:r>
          <w:r>
            <w:rPr>
              <w:rFonts w:hint="eastAsia" w:ascii="仿宋_GB2312" w:hAnsi="仿宋_GB2312" w:eastAsia="仿宋_GB2312" w:cs="仿宋_GB2312"/>
              <w:kern w:val="2"/>
              <w:sz w:val="24"/>
              <w:szCs w:val="24"/>
              <w:highlight w:val="none"/>
              <w:lang w:val="en-US" w:eastAsia="zh-CN" w:bidi="ar-SA"/>
            </w:rPr>
            <w:fldChar w:fldCharType="separate"/>
          </w:r>
          <w:r>
            <w:rPr>
              <w:rFonts w:hint="eastAsia" w:ascii="仿宋_GB2312" w:hAnsi="仿宋_GB2312" w:eastAsia="仿宋_GB2312" w:cs="仿宋_GB2312"/>
              <w:sz w:val="32"/>
              <w:szCs w:val="32"/>
            </w:rPr>
            <w:t xml:space="preserve">第三部分 </w:t>
          </w:r>
          <w:r>
            <w:rPr>
              <w:rFonts w:hint="eastAsia" w:ascii="仿宋_GB2312" w:hAnsi="仿宋_GB2312" w:eastAsia="仿宋_GB2312" w:cs="仿宋_GB2312"/>
              <w:sz w:val="32"/>
              <w:szCs w:val="32"/>
              <w:highlight w:val="none"/>
            </w:rPr>
            <w:t>名词解释</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_Toc30262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19</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color w:val="auto"/>
              <w:kern w:val="2"/>
              <w:sz w:val="24"/>
              <w:szCs w:val="24"/>
              <w:highlight w:val="none"/>
              <w:lang w:val="en-US" w:eastAsia="zh-CN" w:bidi="ar-SA"/>
            </w:rPr>
            <w:fldChar w:fldCharType="end"/>
          </w:r>
        </w:p>
        <w:p>
          <w:pPr>
            <w:pStyle w:val="40"/>
            <w:keepNext w:val="0"/>
            <w:keepLines w:val="0"/>
            <w:pageBreakBefore w:val="0"/>
            <w:tabs>
              <w:tab w:val="right" w:leader="dot" w:pos="8306"/>
            </w:tabs>
            <w:kinsoku/>
            <w:wordWrap/>
            <w:overflowPunct/>
            <w:topLinePunct w:val="0"/>
            <w:autoSpaceDE/>
            <w:autoSpaceDN/>
            <w:bidi w:val="0"/>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highlight w:val="none"/>
              <w:lang w:val="en-US" w:eastAsia="zh-CN" w:bidi="ar-SA"/>
            </w:rPr>
            <w:fldChar w:fldCharType="begin"/>
          </w:r>
          <w:r>
            <w:rPr>
              <w:rFonts w:hint="eastAsia" w:ascii="仿宋_GB2312" w:hAnsi="仿宋_GB2312" w:eastAsia="仿宋_GB2312" w:cs="仿宋_GB2312"/>
              <w:kern w:val="2"/>
              <w:sz w:val="32"/>
              <w:szCs w:val="32"/>
              <w:highlight w:val="none"/>
              <w:lang w:val="en-US" w:eastAsia="zh-CN" w:bidi="ar-SA"/>
            </w:rPr>
            <w:instrText xml:space="preserve"> HYPERLINK \l _Toc30406 </w:instrText>
          </w:r>
          <w:r>
            <w:rPr>
              <w:rFonts w:hint="eastAsia" w:ascii="仿宋_GB2312" w:hAnsi="仿宋_GB2312" w:eastAsia="仿宋_GB2312" w:cs="仿宋_GB2312"/>
              <w:kern w:val="2"/>
              <w:sz w:val="32"/>
              <w:szCs w:val="32"/>
              <w:highlight w:val="none"/>
              <w:lang w:val="en-US" w:eastAsia="zh-CN" w:bidi="ar-SA"/>
            </w:rPr>
            <w:fldChar w:fldCharType="separate"/>
          </w:r>
          <w:r>
            <w:rPr>
              <w:rFonts w:hint="eastAsia" w:ascii="仿宋_GB2312" w:hAnsi="仿宋_GB2312" w:eastAsia="仿宋_GB2312" w:cs="仿宋_GB2312"/>
              <w:sz w:val="32"/>
              <w:szCs w:val="32"/>
              <w:highlight w:val="none"/>
            </w:rPr>
            <w:t>第四部分 附件</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_Toc30406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auto"/>
              <w:kern w:val="2"/>
              <w:sz w:val="32"/>
              <w:szCs w:val="32"/>
              <w:highlight w:val="none"/>
              <w:lang w:val="en-US" w:eastAsia="zh-CN" w:bidi="ar-SA"/>
            </w:rPr>
            <w:fldChar w:fldCharType="end"/>
          </w:r>
        </w:p>
        <w:p>
          <w:pPr>
            <w:pStyle w:val="40"/>
            <w:keepNext w:val="0"/>
            <w:keepLines w:val="0"/>
            <w:pageBreakBefore w:val="0"/>
            <w:tabs>
              <w:tab w:val="right" w:leader="dot" w:pos="8306"/>
            </w:tabs>
            <w:kinsoku/>
            <w:wordWrap/>
            <w:overflowPunct/>
            <w:topLinePunct w:val="0"/>
            <w:autoSpaceDE/>
            <w:autoSpaceDN/>
            <w:bidi w:val="0"/>
            <w:spacing w:line="576"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auto"/>
              <w:kern w:val="2"/>
              <w:sz w:val="32"/>
              <w:szCs w:val="32"/>
              <w:highlight w:val="none"/>
              <w:lang w:val="en-US" w:eastAsia="zh-CN" w:bidi="ar-SA"/>
            </w:rPr>
            <w:fldChar w:fldCharType="begin"/>
          </w:r>
          <w:r>
            <w:rPr>
              <w:rFonts w:hint="eastAsia" w:ascii="仿宋_GB2312" w:hAnsi="仿宋_GB2312" w:eastAsia="仿宋_GB2312" w:cs="仿宋_GB2312"/>
              <w:kern w:val="2"/>
              <w:sz w:val="32"/>
              <w:szCs w:val="32"/>
              <w:highlight w:val="none"/>
              <w:lang w:val="en-US" w:eastAsia="zh-CN" w:bidi="ar-SA"/>
            </w:rPr>
            <w:instrText xml:space="preserve"> HYPERLINK \l _Toc11255 </w:instrText>
          </w:r>
          <w:r>
            <w:rPr>
              <w:rFonts w:hint="eastAsia" w:ascii="仿宋_GB2312" w:hAnsi="仿宋_GB2312" w:eastAsia="仿宋_GB2312" w:cs="仿宋_GB2312"/>
              <w:kern w:val="2"/>
              <w:sz w:val="32"/>
              <w:szCs w:val="32"/>
              <w:highlight w:val="none"/>
              <w:lang w:val="en-US" w:eastAsia="zh-CN" w:bidi="ar-SA"/>
            </w:rPr>
            <w:fldChar w:fldCharType="separate"/>
          </w:r>
          <w:r>
            <w:rPr>
              <w:rFonts w:hint="eastAsia" w:ascii="仿宋_GB2312" w:hAnsi="仿宋_GB2312" w:eastAsia="仿宋_GB2312" w:cs="仿宋_GB2312"/>
              <w:sz w:val="32"/>
              <w:szCs w:val="32"/>
              <w:highlight w:val="none"/>
            </w:rPr>
            <w:t>第五部分 附表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_Toc11255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auto"/>
              <w:kern w:val="2"/>
              <w:sz w:val="32"/>
              <w:szCs w:val="32"/>
              <w:highlight w:val="none"/>
              <w:lang w:val="en-US" w:eastAsia="zh-CN" w:bidi="ar-SA"/>
            </w:rPr>
            <w:fldChar w:fldCharType="end"/>
          </w:r>
        </w:p>
        <w:p>
          <w:pPr>
            <w:pStyle w:val="41"/>
            <w:keepNext w:val="0"/>
            <w:keepLines w:val="0"/>
            <w:pageBreakBefore w:val="0"/>
            <w:tabs>
              <w:tab w:val="right" w:leader="dot" w:pos="8306"/>
            </w:tabs>
            <w:kinsoku/>
            <w:wordWrap/>
            <w:overflowPunct/>
            <w:topLinePunct w:val="0"/>
            <w:autoSpaceDE/>
            <w:autoSpaceDN/>
            <w:bidi w:val="0"/>
            <w:spacing w:line="576"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auto"/>
              <w:kern w:val="2"/>
              <w:sz w:val="24"/>
              <w:szCs w:val="24"/>
              <w:highlight w:val="none"/>
              <w:lang w:val="en-US" w:eastAsia="zh-CN" w:bidi="ar-SA"/>
            </w:rPr>
            <w:fldChar w:fldCharType="begin"/>
          </w:r>
          <w:r>
            <w:rPr>
              <w:rFonts w:hint="eastAsia" w:ascii="仿宋_GB2312" w:hAnsi="仿宋_GB2312" w:eastAsia="仿宋_GB2312" w:cs="仿宋_GB2312"/>
              <w:kern w:val="2"/>
              <w:sz w:val="24"/>
              <w:szCs w:val="24"/>
              <w:highlight w:val="none"/>
              <w:lang w:val="en-US" w:eastAsia="zh-CN" w:bidi="ar-SA"/>
            </w:rPr>
            <w:instrText xml:space="preserve"> HYPERLINK \l _Toc14850 </w:instrText>
          </w:r>
          <w:r>
            <w:rPr>
              <w:rFonts w:hint="eastAsia" w:ascii="仿宋_GB2312" w:hAnsi="仿宋_GB2312" w:eastAsia="仿宋_GB2312" w:cs="仿宋_GB2312"/>
              <w:kern w:val="2"/>
              <w:sz w:val="24"/>
              <w:szCs w:val="24"/>
              <w:highlight w:val="none"/>
              <w:lang w:val="en-US" w:eastAsia="zh-CN" w:bidi="ar-SA"/>
            </w:rPr>
            <w:fldChar w:fldCharType="separate"/>
          </w:r>
          <w:r>
            <w:rPr>
              <w:rFonts w:hint="eastAsia" w:ascii="仿宋_GB2312" w:hAnsi="仿宋_GB2312" w:eastAsia="仿宋_GB2312" w:cs="仿宋_GB2312"/>
              <w:sz w:val="24"/>
              <w:szCs w:val="24"/>
              <w:highlight w:val="none"/>
            </w:rPr>
            <w:t>一、收</w:t>
          </w:r>
          <w:r>
            <w:rPr>
              <w:rFonts w:hint="eastAsia" w:ascii="仿宋_GB2312" w:hAnsi="仿宋_GB2312" w:eastAsia="仿宋_GB2312" w:cs="仿宋_GB2312"/>
              <w:bCs w:val="0"/>
              <w:sz w:val="24"/>
              <w:szCs w:val="24"/>
              <w:highlight w:val="none"/>
            </w:rPr>
            <w:t>入支出决算总表</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_Toc14850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64</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color w:val="auto"/>
              <w:kern w:val="2"/>
              <w:sz w:val="24"/>
              <w:szCs w:val="24"/>
              <w:highlight w:val="none"/>
              <w:lang w:val="en-US" w:eastAsia="zh-CN" w:bidi="ar-SA"/>
            </w:rPr>
            <w:fldChar w:fldCharType="end"/>
          </w:r>
        </w:p>
        <w:p>
          <w:pPr>
            <w:pStyle w:val="41"/>
            <w:keepNext w:val="0"/>
            <w:keepLines w:val="0"/>
            <w:pageBreakBefore w:val="0"/>
            <w:tabs>
              <w:tab w:val="right" w:leader="dot" w:pos="8306"/>
            </w:tabs>
            <w:kinsoku/>
            <w:wordWrap/>
            <w:overflowPunct/>
            <w:topLinePunct w:val="0"/>
            <w:autoSpaceDE/>
            <w:autoSpaceDN/>
            <w:bidi w:val="0"/>
            <w:spacing w:line="576"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auto"/>
              <w:kern w:val="2"/>
              <w:sz w:val="24"/>
              <w:szCs w:val="24"/>
              <w:highlight w:val="none"/>
              <w:lang w:val="en-US" w:eastAsia="zh-CN" w:bidi="ar-SA"/>
            </w:rPr>
            <w:fldChar w:fldCharType="begin"/>
          </w:r>
          <w:r>
            <w:rPr>
              <w:rFonts w:hint="eastAsia" w:ascii="仿宋_GB2312" w:hAnsi="仿宋_GB2312" w:eastAsia="仿宋_GB2312" w:cs="仿宋_GB2312"/>
              <w:kern w:val="2"/>
              <w:sz w:val="24"/>
              <w:szCs w:val="24"/>
              <w:highlight w:val="none"/>
              <w:lang w:val="en-US" w:eastAsia="zh-CN" w:bidi="ar-SA"/>
            </w:rPr>
            <w:instrText xml:space="preserve"> HYPERLINK \l _Toc4199 </w:instrText>
          </w:r>
          <w:r>
            <w:rPr>
              <w:rFonts w:hint="eastAsia" w:ascii="仿宋_GB2312" w:hAnsi="仿宋_GB2312" w:eastAsia="仿宋_GB2312" w:cs="仿宋_GB2312"/>
              <w:kern w:val="2"/>
              <w:sz w:val="24"/>
              <w:szCs w:val="24"/>
              <w:highlight w:val="none"/>
              <w:lang w:val="en-US" w:eastAsia="zh-CN" w:bidi="ar-SA"/>
            </w:rPr>
            <w:fldChar w:fldCharType="separate"/>
          </w:r>
          <w:r>
            <w:rPr>
              <w:rFonts w:hint="eastAsia" w:ascii="仿宋_GB2312" w:hAnsi="仿宋_GB2312" w:eastAsia="仿宋_GB2312" w:cs="仿宋_GB2312"/>
              <w:sz w:val="24"/>
              <w:szCs w:val="24"/>
              <w:highlight w:val="none"/>
            </w:rPr>
            <w:t>二、收</w:t>
          </w:r>
          <w:r>
            <w:rPr>
              <w:rFonts w:hint="eastAsia" w:ascii="仿宋_GB2312" w:hAnsi="仿宋_GB2312" w:eastAsia="仿宋_GB2312" w:cs="仿宋_GB2312"/>
              <w:bCs w:val="0"/>
              <w:sz w:val="24"/>
              <w:szCs w:val="24"/>
              <w:highlight w:val="none"/>
            </w:rPr>
            <w:t>入决算表</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_Toc4199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64</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color w:val="auto"/>
              <w:kern w:val="2"/>
              <w:sz w:val="24"/>
              <w:szCs w:val="24"/>
              <w:highlight w:val="none"/>
              <w:lang w:val="en-US" w:eastAsia="zh-CN" w:bidi="ar-SA"/>
            </w:rPr>
            <w:fldChar w:fldCharType="end"/>
          </w:r>
        </w:p>
        <w:p>
          <w:pPr>
            <w:pStyle w:val="41"/>
            <w:keepNext w:val="0"/>
            <w:keepLines w:val="0"/>
            <w:pageBreakBefore w:val="0"/>
            <w:tabs>
              <w:tab w:val="right" w:leader="dot" w:pos="8306"/>
            </w:tabs>
            <w:kinsoku/>
            <w:wordWrap/>
            <w:overflowPunct/>
            <w:topLinePunct w:val="0"/>
            <w:autoSpaceDE/>
            <w:autoSpaceDN/>
            <w:bidi w:val="0"/>
            <w:spacing w:line="576"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auto"/>
              <w:kern w:val="2"/>
              <w:sz w:val="24"/>
              <w:szCs w:val="24"/>
              <w:highlight w:val="none"/>
              <w:lang w:val="en-US" w:eastAsia="zh-CN" w:bidi="ar-SA"/>
            </w:rPr>
            <w:fldChar w:fldCharType="begin"/>
          </w:r>
          <w:r>
            <w:rPr>
              <w:rFonts w:hint="eastAsia" w:ascii="仿宋_GB2312" w:hAnsi="仿宋_GB2312" w:eastAsia="仿宋_GB2312" w:cs="仿宋_GB2312"/>
              <w:kern w:val="2"/>
              <w:sz w:val="24"/>
              <w:szCs w:val="24"/>
              <w:highlight w:val="none"/>
              <w:lang w:val="en-US" w:eastAsia="zh-CN" w:bidi="ar-SA"/>
            </w:rPr>
            <w:instrText xml:space="preserve"> HYPERLINK \l _Toc4441 </w:instrText>
          </w:r>
          <w:r>
            <w:rPr>
              <w:rFonts w:hint="eastAsia" w:ascii="仿宋_GB2312" w:hAnsi="仿宋_GB2312" w:eastAsia="仿宋_GB2312" w:cs="仿宋_GB2312"/>
              <w:kern w:val="2"/>
              <w:sz w:val="24"/>
              <w:szCs w:val="24"/>
              <w:highlight w:val="none"/>
              <w:lang w:val="en-US" w:eastAsia="zh-CN" w:bidi="ar-SA"/>
            </w:rPr>
            <w:fldChar w:fldCharType="separate"/>
          </w:r>
          <w:r>
            <w:rPr>
              <w:rFonts w:hint="eastAsia" w:ascii="仿宋_GB2312" w:hAnsi="仿宋_GB2312" w:eastAsia="仿宋_GB2312" w:cs="仿宋_GB2312"/>
              <w:bCs w:val="0"/>
              <w:sz w:val="24"/>
              <w:szCs w:val="24"/>
              <w:highlight w:val="none"/>
            </w:rPr>
            <w:t>三、</w:t>
          </w:r>
          <w:r>
            <w:rPr>
              <w:rFonts w:hint="eastAsia" w:ascii="仿宋_GB2312" w:hAnsi="仿宋_GB2312" w:eastAsia="仿宋_GB2312" w:cs="仿宋_GB2312"/>
              <w:sz w:val="24"/>
              <w:szCs w:val="24"/>
              <w:highlight w:val="none"/>
            </w:rPr>
            <w:t>支</w:t>
          </w:r>
          <w:r>
            <w:rPr>
              <w:rFonts w:hint="eastAsia" w:ascii="仿宋_GB2312" w:hAnsi="仿宋_GB2312" w:eastAsia="仿宋_GB2312" w:cs="仿宋_GB2312"/>
              <w:bCs w:val="0"/>
              <w:sz w:val="24"/>
              <w:szCs w:val="24"/>
              <w:highlight w:val="none"/>
            </w:rPr>
            <w:t>出决算表</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_Toc4441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64</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color w:val="auto"/>
              <w:kern w:val="2"/>
              <w:sz w:val="24"/>
              <w:szCs w:val="24"/>
              <w:highlight w:val="none"/>
              <w:lang w:val="en-US" w:eastAsia="zh-CN" w:bidi="ar-SA"/>
            </w:rPr>
            <w:fldChar w:fldCharType="end"/>
          </w:r>
        </w:p>
        <w:p>
          <w:pPr>
            <w:pStyle w:val="41"/>
            <w:keepNext w:val="0"/>
            <w:keepLines w:val="0"/>
            <w:pageBreakBefore w:val="0"/>
            <w:tabs>
              <w:tab w:val="right" w:leader="dot" w:pos="8306"/>
            </w:tabs>
            <w:kinsoku/>
            <w:wordWrap/>
            <w:overflowPunct/>
            <w:topLinePunct w:val="0"/>
            <w:autoSpaceDE/>
            <w:autoSpaceDN/>
            <w:bidi w:val="0"/>
            <w:spacing w:line="576"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auto"/>
              <w:kern w:val="2"/>
              <w:sz w:val="24"/>
              <w:szCs w:val="24"/>
              <w:highlight w:val="none"/>
              <w:lang w:val="en-US" w:eastAsia="zh-CN" w:bidi="ar-SA"/>
            </w:rPr>
            <w:fldChar w:fldCharType="begin"/>
          </w:r>
          <w:r>
            <w:rPr>
              <w:rFonts w:hint="eastAsia" w:ascii="仿宋_GB2312" w:hAnsi="仿宋_GB2312" w:eastAsia="仿宋_GB2312" w:cs="仿宋_GB2312"/>
              <w:kern w:val="2"/>
              <w:sz w:val="24"/>
              <w:szCs w:val="24"/>
              <w:highlight w:val="none"/>
              <w:lang w:val="en-US" w:eastAsia="zh-CN" w:bidi="ar-SA"/>
            </w:rPr>
            <w:instrText xml:space="preserve"> HYPERLINK \l _Toc12565 </w:instrText>
          </w:r>
          <w:r>
            <w:rPr>
              <w:rFonts w:hint="eastAsia" w:ascii="仿宋_GB2312" w:hAnsi="仿宋_GB2312" w:eastAsia="仿宋_GB2312" w:cs="仿宋_GB2312"/>
              <w:kern w:val="2"/>
              <w:sz w:val="24"/>
              <w:szCs w:val="24"/>
              <w:highlight w:val="none"/>
              <w:lang w:val="en-US" w:eastAsia="zh-CN" w:bidi="ar-SA"/>
            </w:rPr>
            <w:fldChar w:fldCharType="separate"/>
          </w:r>
          <w:r>
            <w:rPr>
              <w:rFonts w:hint="eastAsia" w:ascii="仿宋_GB2312" w:hAnsi="仿宋_GB2312" w:eastAsia="仿宋_GB2312" w:cs="仿宋_GB2312"/>
              <w:bCs w:val="0"/>
              <w:sz w:val="24"/>
              <w:szCs w:val="24"/>
              <w:highlight w:val="none"/>
            </w:rPr>
            <w:t>四、</w:t>
          </w:r>
          <w:r>
            <w:rPr>
              <w:rFonts w:hint="eastAsia" w:ascii="仿宋_GB2312" w:hAnsi="仿宋_GB2312" w:eastAsia="仿宋_GB2312" w:cs="仿宋_GB2312"/>
              <w:sz w:val="24"/>
              <w:szCs w:val="24"/>
              <w:highlight w:val="none"/>
            </w:rPr>
            <w:t>财</w:t>
          </w:r>
          <w:r>
            <w:rPr>
              <w:rFonts w:hint="eastAsia" w:ascii="仿宋_GB2312" w:hAnsi="仿宋_GB2312" w:eastAsia="仿宋_GB2312" w:cs="仿宋_GB2312"/>
              <w:bCs w:val="0"/>
              <w:sz w:val="24"/>
              <w:szCs w:val="24"/>
              <w:highlight w:val="none"/>
            </w:rPr>
            <w:t>政拨款收入支出决算总表</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_Toc12565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64</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color w:val="auto"/>
              <w:kern w:val="2"/>
              <w:sz w:val="24"/>
              <w:szCs w:val="24"/>
              <w:highlight w:val="none"/>
              <w:lang w:val="en-US" w:eastAsia="zh-CN" w:bidi="ar-SA"/>
            </w:rPr>
            <w:fldChar w:fldCharType="end"/>
          </w:r>
        </w:p>
        <w:p>
          <w:pPr>
            <w:pStyle w:val="41"/>
            <w:keepNext w:val="0"/>
            <w:keepLines w:val="0"/>
            <w:pageBreakBefore w:val="0"/>
            <w:tabs>
              <w:tab w:val="right" w:leader="dot" w:pos="8306"/>
            </w:tabs>
            <w:kinsoku/>
            <w:wordWrap/>
            <w:overflowPunct/>
            <w:topLinePunct w:val="0"/>
            <w:autoSpaceDE/>
            <w:autoSpaceDN/>
            <w:bidi w:val="0"/>
            <w:spacing w:line="576"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auto"/>
              <w:kern w:val="2"/>
              <w:sz w:val="24"/>
              <w:szCs w:val="24"/>
              <w:highlight w:val="none"/>
              <w:lang w:val="en-US" w:eastAsia="zh-CN" w:bidi="ar-SA"/>
            </w:rPr>
            <w:fldChar w:fldCharType="begin"/>
          </w:r>
          <w:r>
            <w:rPr>
              <w:rFonts w:hint="eastAsia" w:ascii="仿宋_GB2312" w:hAnsi="仿宋_GB2312" w:eastAsia="仿宋_GB2312" w:cs="仿宋_GB2312"/>
              <w:kern w:val="2"/>
              <w:sz w:val="24"/>
              <w:szCs w:val="24"/>
              <w:highlight w:val="none"/>
              <w:lang w:val="en-US" w:eastAsia="zh-CN" w:bidi="ar-SA"/>
            </w:rPr>
            <w:instrText xml:space="preserve"> HYPERLINK \l _Toc7513 </w:instrText>
          </w:r>
          <w:r>
            <w:rPr>
              <w:rFonts w:hint="eastAsia" w:ascii="仿宋_GB2312" w:hAnsi="仿宋_GB2312" w:eastAsia="仿宋_GB2312" w:cs="仿宋_GB2312"/>
              <w:kern w:val="2"/>
              <w:sz w:val="24"/>
              <w:szCs w:val="24"/>
              <w:highlight w:val="none"/>
              <w:lang w:val="en-US" w:eastAsia="zh-CN" w:bidi="ar-SA"/>
            </w:rPr>
            <w:fldChar w:fldCharType="separate"/>
          </w:r>
          <w:r>
            <w:rPr>
              <w:rFonts w:hint="eastAsia" w:ascii="仿宋_GB2312" w:hAnsi="仿宋_GB2312" w:eastAsia="仿宋_GB2312" w:cs="仿宋_GB2312"/>
              <w:bCs w:val="0"/>
              <w:sz w:val="24"/>
              <w:szCs w:val="24"/>
              <w:highlight w:val="none"/>
            </w:rPr>
            <w:t>五、</w:t>
          </w:r>
          <w:r>
            <w:rPr>
              <w:rFonts w:hint="eastAsia" w:ascii="仿宋_GB2312" w:hAnsi="仿宋_GB2312" w:eastAsia="仿宋_GB2312" w:cs="仿宋_GB2312"/>
              <w:sz w:val="24"/>
              <w:szCs w:val="24"/>
              <w:highlight w:val="none"/>
            </w:rPr>
            <w:t>财</w:t>
          </w:r>
          <w:r>
            <w:rPr>
              <w:rFonts w:hint="eastAsia" w:ascii="仿宋_GB2312" w:hAnsi="仿宋_GB2312" w:eastAsia="仿宋_GB2312" w:cs="仿宋_GB2312"/>
              <w:bCs w:val="0"/>
              <w:sz w:val="24"/>
              <w:szCs w:val="24"/>
              <w:highlight w:val="none"/>
            </w:rPr>
            <w:t>政拨款支出决算明细表</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_Toc7513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64</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color w:val="auto"/>
              <w:kern w:val="2"/>
              <w:sz w:val="24"/>
              <w:szCs w:val="24"/>
              <w:highlight w:val="none"/>
              <w:lang w:val="en-US" w:eastAsia="zh-CN" w:bidi="ar-SA"/>
            </w:rPr>
            <w:fldChar w:fldCharType="end"/>
          </w:r>
        </w:p>
        <w:p>
          <w:pPr>
            <w:pStyle w:val="41"/>
            <w:keepNext w:val="0"/>
            <w:keepLines w:val="0"/>
            <w:pageBreakBefore w:val="0"/>
            <w:tabs>
              <w:tab w:val="right" w:leader="dot" w:pos="8306"/>
            </w:tabs>
            <w:kinsoku/>
            <w:wordWrap/>
            <w:overflowPunct/>
            <w:topLinePunct w:val="0"/>
            <w:autoSpaceDE/>
            <w:autoSpaceDN/>
            <w:bidi w:val="0"/>
            <w:spacing w:line="576"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auto"/>
              <w:kern w:val="2"/>
              <w:sz w:val="24"/>
              <w:szCs w:val="24"/>
              <w:highlight w:val="none"/>
              <w:lang w:val="en-US" w:eastAsia="zh-CN" w:bidi="ar-SA"/>
            </w:rPr>
            <w:fldChar w:fldCharType="begin"/>
          </w:r>
          <w:r>
            <w:rPr>
              <w:rFonts w:hint="eastAsia" w:ascii="仿宋_GB2312" w:hAnsi="仿宋_GB2312" w:eastAsia="仿宋_GB2312" w:cs="仿宋_GB2312"/>
              <w:kern w:val="2"/>
              <w:sz w:val="24"/>
              <w:szCs w:val="24"/>
              <w:highlight w:val="none"/>
              <w:lang w:val="en-US" w:eastAsia="zh-CN" w:bidi="ar-SA"/>
            </w:rPr>
            <w:instrText xml:space="preserve"> HYPERLINK \l _Toc7318 </w:instrText>
          </w:r>
          <w:r>
            <w:rPr>
              <w:rFonts w:hint="eastAsia" w:ascii="仿宋_GB2312" w:hAnsi="仿宋_GB2312" w:eastAsia="仿宋_GB2312" w:cs="仿宋_GB2312"/>
              <w:kern w:val="2"/>
              <w:sz w:val="24"/>
              <w:szCs w:val="24"/>
              <w:highlight w:val="none"/>
              <w:lang w:val="en-US" w:eastAsia="zh-CN" w:bidi="ar-SA"/>
            </w:rPr>
            <w:fldChar w:fldCharType="separate"/>
          </w:r>
          <w:r>
            <w:rPr>
              <w:rFonts w:hint="eastAsia" w:ascii="仿宋_GB2312" w:hAnsi="仿宋_GB2312" w:eastAsia="仿宋_GB2312" w:cs="仿宋_GB2312"/>
              <w:bCs w:val="0"/>
              <w:sz w:val="24"/>
              <w:szCs w:val="24"/>
              <w:highlight w:val="none"/>
            </w:rPr>
            <w:t>六、</w:t>
          </w:r>
          <w:r>
            <w:rPr>
              <w:rFonts w:hint="eastAsia" w:ascii="仿宋_GB2312" w:hAnsi="仿宋_GB2312" w:eastAsia="仿宋_GB2312" w:cs="仿宋_GB2312"/>
              <w:sz w:val="24"/>
              <w:szCs w:val="24"/>
              <w:highlight w:val="none"/>
            </w:rPr>
            <w:t>一</w:t>
          </w:r>
          <w:r>
            <w:rPr>
              <w:rFonts w:hint="eastAsia" w:ascii="仿宋_GB2312" w:hAnsi="仿宋_GB2312" w:eastAsia="仿宋_GB2312" w:cs="仿宋_GB2312"/>
              <w:bCs w:val="0"/>
              <w:sz w:val="24"/>
              <w:szCs w:val="24"/>
              <w:highlight w:val="none"/>
            </w:rPr>
            <w:t>般公共预算财政拨款支出决算表</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_Toc7318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64</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color w:val="auto"/>
              <w:kern w:val="2"/>
              <w:sz w:val="24"/>
              <w:szCs w:val="24"/>
              <w:highlight w:val="none"/>
              <w:lang w:val="en-US" w:eastAsia="zh-CN" w:bidi="ar-SA"/>
            </w:rPr>
            <w:fldChar w:fldCharType="end"/>
          </w:r>
        </w:p>
        <w:p>
          <w:pPr>
            <w:pStyle w:val="41"/>
            <w:keepNext w:val="0"/>
            <w:keepLines w:val="0"/>
            <w:pageBreakBefore w:val="0"/>
            <w:tabs>
              <w:tab w:val="right" w:leader="dot" w:pos="8306"/>
            </w:tabs>
            <w:kinsoku/>
            <w:wordWrap/>
            <w:overflowPunct/>
            <w:topLinePunct w:val="0"/>
            <w:autoSpaceDE/>
            <w:autoSpaceDN/>
            <w:bidi w:val="0"/>
            <w:spacing w:line="576"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auto"/>
              <w:kern w:val="2"/>
              <w:sz w:val="24"/>
              <w:szCs w:val="24"/>
              <w:highlight w:val="none"/>
              <w:lang w:val="en-US" w:eastAsia="zh-CN" w:bidi="ar-SA"/>
            </w:rPr>
            <w:fldChar w:fldCharType="begin"/>
          </w:r>
          <w:r>
            <w:rPr>
              <w:rFonts w:hint="eastAsia" w:ascii="仿宋_GB2312" w:hAnsi="仿宋_GB2312" w:eastAsia="仿宋_GB2312" w:cs="仿宋_GB2312"/>
              <w:kern w:val="2"/>
              <w:sz w:val="24"/>
              <w:szCs w:val="24"/>
              <w:highlight w:val="none"/>
              <w:lang w:val="en-US" w:eastAsia="zh-CN" w:bidi="ar-SA"/>
            </w:rPr>
            <w:instrText xml:space="preserve"> HYPERLINK \l _Toc8045 </w:instrText>
          </w:r>
          <w:r>
            <w:rPr>
              <w:rFonts w:hint="eastAsia" w:ascii="仿宋_GB2312" w:hAnsi="仿宋_GB2312" w:eastAsia="仿宋_GB2312" w:cs="仿宋_GB2312"/>
              <w:kern w:val="2"/>
              <w:sz w:val="24"/>
              <w:szCs w:val="24"/>
              <w:highlight w:val="none"/>
              <w:lang w:val="en-US" w:eastAsia="zh-CN" w:bidi="ar-SA"/>
            </w:rPr>
            <w:fldChar w:fldCharType="separate"/>
          </w:r>
          <w:r>
            <w:rPr>
              <w:rFonts w:hint="eastAsia" w:ascii="仿宋_GB2312" w:hAnsi="仿宋_GB2312" w:eastAsia="仿宋_GB2312" w:cs="仿宋_GB2312"/>
              <w:bCs w:val="0"/>
              <w:sz w:val="24"/>
              <w:szCs w:val="24"/>
              <w:highlight w:val="none"/>
            </w:rPr>
            <w:t>七、</w:t>
          </w:r>
          <w:r>
            <w:rPr>
              <w:rFonts w:hint="eastAsia" w:ascii="仿宋_GB2312" w:hAnsi="仿宋_GB2312" w:eastAsia="仿宋_GB2312" w:cs="仿宋_GB2312"/>
              <w:sz w:val="24"/>
              <w:szCs w:val="24"/>
              <w:highlight w:val="none"/>
            </w:rPr>
            <w:t>一</w:t>
          </w:r>
          <w:r>
            <w:rPr>
              <w:rFonts w:hint="eastAsia" w:ascii="仿宋_GB2312" w:hAnsi="仿宋_GB2312" w:eastAsia="仿宋_GB2312" w:cs="仿宋_GB2312"/>
              <w:bCs w:val="0"/>
              <w:sz w:val="24"/>
              <w:szCs w:val="24"/>
              <w:highlight w:val="none"/>
            </w:rPr>
            <w:t>般公共预算财政拨款支出决算明细表</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_Toc8045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64</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color w:val="auto"/>
              <w:kern w:val="2"/>
              <w:sz w:val="24"/>
              <w:szCs w:val="24"/>
              <w:highlight w:val="none"/>
              <w:lang w:val="en-US" w:eastAsia="zh-CN" w:bidi="ar-SA"/>
            </w:rPr>
            <w:fldChar w:fldCharType="end"/>
          </w:r>
        </w:p>
        <w:p>
          <w:pPr>
            <w:pStyle w:val="41"/>
            <w:keepNext w:val="0"/>
            <w:keepLines w:val="0"/>
            <w:pageBreakBefore w:val="0"/>
            <w:tabs>
              <w:tab w:val="right" w:leader="dot" w:pos="8306"/>
            </w:tabs>
            <w:kinsoku/>
            <w:wordWrap/>
            <w:overflowPunct/>
            <w:topLinePunct w:val="0"/>
            <w:autoSpaceDE/>
            <w:autoSpaceDN/>
            <w:bidi w:val="0"/>
            <w:spacing w:line="576"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auto"/>
              <w:kern w:val="2"/>
              <w:sz w:val="24"/>
              <w:szCs w:val="24"/>
              <w:highlight w:val="none"/>
              <w:lang w:val="en-US" w:eastAsia="zh-CN" w:bidi="ar-SA"/>
            </w:rPr>
            <w:fldChar w:fldCharType="begin"/>
          </w:r>
          <w:r>
            <w:rPr>
              <w:rFonts w:hint="eastAsia" w:ascii="仿宋_GB2312" w:hAnsi="仿宋_GB2312" w:eastAsia="仿宋_GB2312" w:cs="仿宋_GB2312"/>
              <w:kern w:val="2"/>
              <w:sz w:val="24"/>
              <w:szCs w:val="24"/>
              <w:highlight w:val="none"/>
              <w:lang w:val="en-US" w:eastAsia="zh-CN" w:bidi="ar-SA"/>
            </w:rPr>
            <w:instrText xml:space="preserve"> HYPERLINK \l _Toc28463 </w:instrText>
          </w:r>
          <w:r>
            <w:rPr>
              <w:rFonts w:hint="eastAsia" w:ascii="仿宋_GB2312" w:hAnsi="仿宋_GB2312" w:eastAsia="仿宋_GB2312" w:cs="仿宋_GB2312"/>
              <w:kern w:val="2"/>
              <w:sz w:val="24"/>
              <w:szCs w:val="24"/>
              <w:highlight w:val="none"/>
              <w:lang w:val="en-US" w:eastAsia="zh-CN" w:bidi="ar-SA"/>
            </w:rPr>
            <w:fldChar w:fldCharType="separate"/>
          </w:r>
          <w:r>
            <w:rPr>
              <w:rFonts w:hint="eastAsia" w:ascii="仿宋_GB2312" w:hAnsi="仿宋_GB2312" w:eastAsia="仿宋_GB2312" w:cs="仿宋_GB2312"/>
              <w:bCs w:val="0"/>
              <w:sz w:val="24"/>
              <w:szCs w:val="24"/>
              <w:highlight w:val="none"/>
            </w:rPr>
            <w:t>八、</w:t>
          </w:r>
          <w:r>
            <w:rPr>
              <w:rFonts w:hint="eastAsia" w:ascii="仿宋_GB2312" w:hAnsi="仿宋_GB2312" w:eastAsia="仿宋_GB2312" w:cs="仿宋_GB2312"/>
              <w:sz w:val="24"/>
              <w:szCs w:val="24"/>
              <w:highlight w:val="none"/>
            </w:rPr>
            <w:t>一</w:t>
          </w:r>
          <w:r>
            <w:rPr>
              <w:rFonts w:hint="eastAsia" w:ascii="仿宋_GB2312" w:hAnsi="仿宋_GB2312" w:eastAsia="仿宋_GB2312" w:cs="仿宋_GB2312"/>
              <w:bCs w:val="0"/>
              <w:sz w:val="24"/>
              <w:szCs w:val="24"/>
              <w:highlight w:val="none"/>
            </w:rPr>
            <w:t>般公共预算财政拨款基本支出决算表</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_Toc28463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64</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color w:val="auto"/>
              <w:kern w:val="2"/>
              <w:sz w:val="24"/>
              <w:szCs w:val="24"/>
              <w:highlight w:val="none"/>
              <w:lang w:val="en-US" w:eastAsia="zh-CN" w:bidi="ar-SA"/>
            </w:rPr>
            <w:fldChar w:fldCharType="end"/>
          </w:r>
        </w:p>
        <w:p>
          <w:pPr>
            <w:pStyle w:val="41"/>
            <w:keepNext w:val="0"/>
            <w:keepLines w:val="0"/>
            <w:pageBreakBefore w:val="0"/>
            <w:tabs>
              <w:tab w:val="right" w:leader="dot" w:pos="8306"/>
            </w:tabs>
            <w:kinsoku/>
            <w:wordWrap/>
            <w:overflowPunct/>
            <w:topLinePunct w:val="0"/>
            <w:autoSpaceDE/>
            <w:autoSpaceDN/>
            <w:bidi w:val="0"/>
            <w:spacing w:line="576"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auto"/>
              <w:kern w:val="2"/>
              <w:sz w:val="24"/>
              <w:szCs w:val="24"/>
              <w:highlight w:val="none"/>
              <w:lang w:val="en-US" w:eastAsia="zh-CN" w:bidi="ar-SA"/>
            </w:rPr>
            <w:fldChar w:fldCharType="begin"/>
          </w:r>
          <w:r>
            <w:rPr>
              <w:rFonts w:hint="eastAsia" w:ascii="仿宋_GB2312" w:hAnsi="仿宋_GB2312" w:eastAsia="仿宋_GB2312" w:cs="仿宋_GB2312"/>
              <w:kern w:val="2"/>
              <w:sz w:val="24"/>
              <w:szCs w:val="24"/>
              <w:highlight w:val="none"/>
              <w:lang w:val="en-US" w:eastAsia="zh-CN" w:bidi="ar-SA"/>
            </w:rPr>
            <w:instrText xml:space="preserve"> HYPERLINK \l _Toc10565 </w:instrText>
          </w:r>
          <w:r>
            <w:rPr>
              <w:rFonts w:hint="eastAsia" w:ascii="仿宋_GB2312" w:hAnsi="仿宋_GB2312" w:eastAsia="仿宋_GB2312" w:cs="仿宋_GB2312"/>
              <w:kern w:val="2"/>
              <w:sz w:val="24"/>
              <w:szCs w:val="24"/>
              <w:highlight w:val="none"/>
              <w:lang w:val="en-US" w:eastAsia="zh-CN" w:bidi="ar-SA"/>
            </w:rPr>
            <w:fldChar w:fldCharType="separate"/>
          </w:r>
          <w:r>
            <w:rPr>
              <w:rFonts w:hint="eastAsia" w:ascii="仿宋_GB2312" w:hAnsi="仿宋_GB2312" w:eastAsia="仿宋_GB2312" w:cs="仿宋_GB2312"/>
              <w:bCs w:val="0"/>
              <w:sz w:val="24"/>
              <w:szCs w:val="24"/>
              <w:highlight w:val="none"/>
            </w:rPr>
            <w:t>九、</w:t>
          </w:r>
          <w:r>
            <w:rPr>
              <w:rFonts w:hint="eastAsia" w:ascii="仿宋_GB2312" w:hAnsi="仿宋_GB2312" w:eastAsia="仿宋_GB2312" w:cs="仿宋_GB2312"/>
              <w:sz w:val="24"/>
              <w:szCs w:val="24"/>
              <w:highlight w:val="none"/>
            </w:rPr>
            <w:t>一</w:t>
          </w:r>
          <w:r>
            <w:rPr>
              <w:rFonts w:hint="eastAsia" w:ascii="仿宋_GB2312" w:hAnsi="仿宋_GB2312" w:eastAsia="仿宋_GB2312" w:cs="仿宋_GB2312"/>
              <w:bCs w:val="0"/>
              <w:sz w:val="24"/>
              <w:szCs w:val="24"/>
              <w:highlight w:val="none"/>
            </w:rPr>
            <w:t>般公共预算财政拨款项目支出决算表</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_Toc10565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64</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color w:val="auto"/>
              <w:kern w:val="2"/>
              <w:sz w:val="24"/>
              <w:szCs w:val="24"/>
              <w:highlight w:val="none"/>
              <w:lang w:val="en-US" w:eastAsia="zh-CN" w:bidi="ar-SA"/>
            </w:rPr>
            <w:fldChar w:fldCharType="end"/>
          </w:r>
        </w:p>
        <w:p>
          <w:pPr>
            <w:pStyle w:val="41"/>
            <w:keepNext w:val="0"/>
            <w:keepLines w:val="0"/>
            <w:pageBreakBefore w:val="0"/>
            <w:tabs>
              <w:tab w:val="right" w:leader="dot" w:pos="8306"/>
            </w:tabs>
            <w:kinsoku/>
            <w:wordWrap/>
            <w:overflowPunct/>
            <w:topLinePunct w:val="0"/>
            <w:autoSpaceDE/>
            <w:autoSpaceDN/>
            <w:bidi w:val="0"/>
            <w:spacing w:line="576"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auto"/>
              <w:kern w:val="2"/>
              <w:sz w:val="24"/>
              <w:szCs w:val="24"/>
              <w:highlight w:val="none"/>
              <w:lang w:val="en-US" w:eastAsia="zh-CN" w:bidi="ar-SA"/>
            </w:rPr>
            <w:fldChar w:fldCharType="begin"/>
          </w:r>
          <w:r>
            <w:rPr>
              <w:rFonts w:hint="eastAsia" w:ascii="仿宋_GB2312" w:hAnsi="仿宋_GB2312" w:eastAsia="仿宋_GB2312" w:cs="仿宋_GB2312"/>
              <w:kern w:val="2"/>
              <w:sz w:val="24"/>
              <w:szCs w:val="24"/>
              <w:highlight w:val="none"/>
              <w:lang w:val="en-US" w:eastAsia="zh-CN" w:bidi="ar-SA"/>
            </w:rPr>
            <w:instrText xml:space="preserve"> HYPERLINK \l _Toc10337 </w:instrText>
          </w:r>
          <w:r>
            <w:rPr>
              <w:rFonts w:hint="eastAsia" w:ascii="仿宋_GB2312" w:hAnsi="仿宋_GB2312" w:eastAsia="仿宋_GB2312" w:cs="仿宋_GB2312"/>
              <w:kern w:val="2"/>
              <w:sz w:val="24"/>
              <w:szCs w:val="24"/>
              <w:highlight w:val="none"/>
              <w:lang w:val="en-US" w:eastAsia="zh-CN" w:bidi="ar-SA"/>
            </w:rPr>
            <w:fldChar w:fldCharType="separate"/>
          </w:r>
          <w:r>
            <w:rPr>
              <w:rFonts w:hint="eastAsia" w:ascii="仿宋_GB2312" w:hAnsi="仿宋_GB2312" w:eastAsia="仿宋_GB2312" w:cs="仿宋_GB2312"/>
              <w:bCs w:val="0"/>
              <w:sz w:val="24"/>
              <w:szCs w:val="24"/>
              <w:highlight w:val="none"/>
            </w:rPr>
            <w:t>十、</w:t>
          </w:r>
          <w:r>
            <w:rPr>
              <w:rFonts w:hint="eastAsia" w:ascii="仿宋_GB2312" w:hAnsi="仿宋_GB2312" w:eastAsia="仿宋_GB2312" w:cs="仿宋_GB2312"/>
              <w:sz w:val="24"/>
              <w:szCs w:val="24"/>
              <w:highlight w:val="none"/>
            </w:rPr>
            <w:t>政</w:t>
          </w:r>
          <w:r>
            <w:rPr>
              <w:rFonts w:hint="eastAsia" w:ascii="仿宋_GB2312" w:hAnsi="仿宋_GB2312" w:eastAsia="仿宋_GB2312" w:cs="仿宋_GB2312"/>
              <w:bCs w:val="0"/>
              <w:sz w:val="24"/>
              <w:szCs w:val="24"/>
              <w:highlight w:val="none"/>
            </w:rPr>
            <w:t>府性基金预算财政拨款收入支出决算表</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_Toc10337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64</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color w:val="auto"/>
              <w:kern w:val="2"/>
              <w:sz w:val="24"/>
              <w:szCs w:val="24"/>
              <w:highlight w:val="none"/>
              <w:lang w:val="en-US" w:eastAsia="zh-CN" w:bidi="ar-SA"/>
            </w:rPr>
            <w:fldChar w:fldCharType="end"/>
          </w:r>
        </w:p>
        <w:p>
          <w:pPr>
            <w:pStyle w:val="41"/>
            <w:keepNext w:val="0"/>
            <w:keepLines w:val="0"/>
            <w:pageBreakBefore w:val="0"/>
            <w:tabs>
              <w:tab w:val="right" w:leader="dot" w:pos="8306"/>
            </w:tabs>
            <w:kinsoku/>
            <w:wordWrap/>
            <w:overflowPunct/>
            <w:topLinePunct w:val="0"/>
            <w:autoSpaceDE/>
            <w:autoSpaceDN/>
            <w:bidi w:val="0"/>
            <w:spacing w:line="576"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auto"/>
              <w:kern w:val="2"/>
              <w:sz w:val="24"/>
              <w:szCs w:val="24"/>
              <w:highlight w:val="none"/>
              <w:lang w:val="en-US" w:eastAsia="zh-CN" w:bidi="ar-SA"/>
            </w:rPr>
            <w:fldChar w:fldCharType="begin"/>
          </w:r>
          <w:r>
            <w:rPr>
              <w:rFonts w:hint="eastAsia" w:ascii="仿宋_GB2312" w:hAnsi="仿宋_GB2312" w:eastAsia="仿宋_GB2312" w:cs="仿宋_GB2312"/>
              <w:kern w:val="2"/>
              <w:sz w:val="24"/>
              <w:szCs w:val="24"/>
              <w:highlight w:val="none"/>
              <w:lang w:val="en-US" w:eastAsia="zh-CN" w:bidi="ar-SA"/>
            </w:rPr>
            <w:instrText xml:space="preserve"> HYPERLINK \l _Toc26276 </w:instrText>
          </w:r>
          <w:r>
            <w:rPr>
              <w:rFonts w:hint="eastAsia" w:ascii="仿宋_GB2312" w:hAnsi="仿宋_GB2312" w:eastAsia="仿宋_GB2312" w:cs="仿宋_GB2312"/>
              <w:kern w:val="2"/>
              <w:sz w:val="24"/>
              <w:szCs w:val="24"/>
              <w:highlight w:val="none"/>
              <w:lang w:val="en-US" w:eastAsia="zh-CN" w:bidi="ar-SA"/>
            </w:rPr>
            <w:fldChar w:fldCharType="separate"/>
          </w:r>
          <w:r>
            <w:rPr>
              <w:rFonts w:hint="eastAsia" w:ascii="仿宋_GB2312" w:hAnsi="仿宋_GB2312" w:eastAsia="仿宋_GB2312" w:cs="仿宋_GB2312"/>
              <w:bCs w:val="0"/>
              <w:sz w:val="24"/>
              <w:szCs w:val="24"/>
              <w:highlight w:val="none"/>
            </w:rPr>
            <w:t>十一、</w:t>
          </w:r>
          <w:r>
            <w:rPr>
              <w:rFonts w:hint="eastAsia" w:ascii="仿宋_GB2312" w:hAnsi="仿宋_GB2312" w:eastAsia="仿宋_GB2312" w:cs="仿宋_GB2312"/>
              <w:sz w:val="24"/>
              <w:szCs w:val="24"/>
              <w:highlight w:val="none"/>
            </w:rPr>
            <w:t>国</w:t>
          </w:r>
          <w:r>
            <w:rPr>
              <w:rFonts w:hint="eastAsia" w:ascii="仿宋_GB2312" w:hAnsi="仿宋_GB2312" w:eastAsia="仿宋_GB2312" w:cs="仿宋_GB2312"/>
              <w:bCs w:val="0"/>
              <w:sz w:val="24"/>
              <w:szCs w:val="24"/>
              <w:highlight w:val="none"/>
            </w:rPr>
            <w:t>有资本经营预算</w:t>
          </w:r>
          <w:r>
            <w:rPr>
              <w:rFonts w:hint="eastAsia" w:ascii="仿宋_GB2312" w:hAnsi="仿宋_GB2312" w:eastAsia="仿宋_GB2312" w:cs="仿宋_GB2312"/>
              <w:bCs w:val="0"/>
              <w:sz w:val="24"/>
              <w:szCs w:val="24"/>
              <w:highlight w:val="none"/>
              <w:lang w:eastAsia="zh-CN"/>
            </w:rPr>
            <w:t>财政拨款收入</w:t>
          </w:r>
          <w:r>
            <w:rPr>
              <w:rFonts w:hint="eastAsia" w:ascii="仿宋_GB2312" w:hAnsi="仿宋_GB2312" w:eastAsia="仿宋_GB2312" w:cs="仿宋_GB2312"/>
              <w:bCs w:val="0"/>
              <w:sz w:val="24"/>
              <w:szCs w:val="24"/>
              <w:highlight w:val="none"/>
            </w:rPr>
            <w:t>支出决算表</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_Toc26276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64</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color w:val="auto"/>
              <w:kern w:val="2"/>
              <w:sz w:val="24"/>
              <w:szCs w:val="24"/>
              <w:highlight w:val="none"/>
              <w:lang w:val="en-US" w:eastAsia="zh-CN" w:bidi="ar-SA"/>
            </w:rPr>
            <w:fldChar w:fldCharType="end"/>
          </w:r>
        </w:p>
        <w:p>
          <w:pPr>
            <w:pStyle w:val="41"/>
            <w:keepNext w:val="0"/>
            <w:keepLines w:val="0"/>
            <w:pageBreakBefore w:val="0"/>
            <w:tabs>
              <w:tab w:val="right" w:leader="dot" w:pos="8306"/>
            </w:tabs>
            <w:kinsoku/>
            <w:wordWrap/>
            <w:overflowPunct/>
            <w:topLinePunct w:val="0"/>
            <w:autoSpaceDE/>
            <w:autoSpaceDN/>
            <w:bidi w:val="0"/>
            <w:spacing w:line="576"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auto"/>
              <w:kern w:val="2"/>
              <w:sz w:val="24"/>
              <w:szCs w:val="24"/>
              <w:highlight w:val="none"/>
              <w:lang w:val="en-US" w:eastAsia="zh-CN" w:bidi="ar-SA"/>
            </w:rPr>
            <w:fldChar w:fldCharType="begin"/>
          </w:r>
          <w:r>
            <w:rPr>
              <w:rFonts w:hint="eastAsia" w:ascii="仿宋_GB2312" w:hAnsi="仿宋_GB2312" w:eastAsia="仿宋_GB2312" w:cs="仿宋_GB2312"/>
              <w:kern w:val="2"/>
              <w:sz w:val="24"/>
              <w:szCs w:val="24"/>
              <w:highlight w:val="none"/>
              <w:lang w:val="en-US" w:eastAsia="zh-CN" w:bidi="ar-SA"/>
            </w:rPr>
            <w:instrText xml:space="preserve"> HYPERLINK \l _Toc28163 </w:instrText>
          </w:r>
          <w:r>
            <w:rPr>
              <w:rFonts w:hint="eastAsia" w:ascii="仿宋_GB2312" w:hAnsi="仿宋_GB2312" w:eastAsia="仿宋_GB2312" w:cs="仿宋_GB2312"/>
              <w:kern w:val="2"/>
              <w:sz w:val="24"/>
              <w:szCs w:val="24"/>
              <w:highlight w:val="none"/>
              <w:lang w:val="en-US" w:eastAsia="zh-CN" w:bidi="ar-SA"/>
            </w:rPr>
            <w:fldChar w:fldCharType="separate"/>
          </w:r>
          <w:r>
            <w:rPr>
              <w:rFonts w:hint="eastAsia" w:ascii="仿宋_GB2312" w:hAnsi="仿宋_GB2312" w:eastAsia="仿宋_GB2312" w:cs="仿宋_GB2312"/>
              <w:bCs w:val="0"/>
              <w:sz w:val="24"/>
              <w:szCs w:val="24"/>
              <w:highlight w:val="none"/>
            </w:rPr>
            <w:t>十二、</w:t>
          </w:r>
          <w:r>
            <w:rPr>
              <w:rFonts w:hint="eastAsia" w:ascii="仿宋_GB2312" w:hAnsi="仿宋_GB2312" w:eastAsia="仿宋_GB2312" w:cs="仿宋_GB2312"/>
              <w:bCs w:val="0"/>
              <w:sz w:val="24"/>
              <w:szCs w:val="24"/>
              <w:highlight w:val="none"/>
              <w:lang w:eastAsia="zh-CN"/>
            </w:rPr>
            <w:t>国有资本经营预算财政拨款支出决算表</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_Toc28163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64</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color w:val="auto"/>
              <w:kern w:val="2"/>
              <w:sz w:val="24"/>
              <w:szCs w:val="24"/>
              <w:highlight w:val="none"/>
              <w:lang w:val="en-US" w:eastAsia="zh-CN" w:bidi="ar-SA"/>
            </w:rPr>
            <w:fldChar w:fldCharType="end"/>
          </w:r>
        </w:p>
        <w:p>
          <w:pPr>
            <w:pStyle w:val="41"/>
            <w:keepNext w:val="0"/>
            <w:keepLines w:val="0"/>
            <w:pageBreakBefore w:val="0"/>
            <w:tabs>
              <w:tab w:val="right" w:leader="dot" w:pos="8306"/>
            </w:tabs>
            <w:kinsoku/>
            <w:wordWrap/>
            <w:overflowPunct/>
            <w:topLinePunct w:val="0"/>
            <w:autoSpaceDE/>
            <w:autoSpaceDN/>
            <w:bidi w:val="0"/>
            <w:spacing w:line="576"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auto"/>
              <w:kern w:val="2"/>
              <w:sz w:val="24"/>
              <w:szCs w:val="24"/>
              <w:highlight w:val="none"/>
              <w:lang w:val="en-US" w:eastAsia="zh-CN" w:bidi="ar-SA"/>
            </w:rPr>
            <w:fldChar w:fldCharType="begin"/>
          </w:r>
          <w:r>
            <w:rPr>
              <w:rFonts w:hint="eastAsia" w:ascii="仿宋_GB2312" w:hAnsi="仿宋_GB2312" w:eastAsia="仿宋_GB2312" w:cs="仿宋_GB2312"/>
              <w:kern w:val="2"/>
              <w:sz w:val="24"/>
              <w:szCs w:val="24"/>
              <w:highlight w:val="none"/>
              <w:lang w:val="en-US" w:eastAsia="zh-CN" w:bidi="ar-SA"/>
            </w:rPr>
            <w:instrText xml:space="preserve"> HYPERLINK \l _Toc29345 </w:instrText>
          </w:r>
          <w:r>
            <w:rPr>
              <w:rFonts w:hint="eastAsia" w:ascii="仿宋_GB2312" w:hAnsi="仿宋_GB2312" w:eastAsia="仿宋_GB2312" w:cs="仿宋_GB2312"/>
              <w:kern w:val="2"/>
              <w:sz w:val="24"/>
              <w:szCs w:val="24"/>
              <w:highlight w:val="none"/>
              <w:lang w:val="en-US" w:eastAsia="zh-CN" w:bidi="ar-SA"/>
            </w:rPr>
            <w:fldChar w:fldCharType="separate"/>
          </w:r>
          <w:r>
            <w:rPr>
              <w:rFonts w:hint="eastAsia" w:ascii="仿宋_GB2312" w:hAnsi="仿宋_GB2312" w:eastAsia="仿宋_GB2312" w:cs="仿宋_GB2312"/>
              <w:bCs w:val="0"/>
              <w:sz w:val="24"/>
              <w:szCs w:val="24"/>
              <w:highlight w:val="none"/>
            </w:rPr>
            <w:t>十三、</w:t>
          </w:r>
          <w:r>
            <w:rPr>
              <w:rFonts w:hint="eastAsia" w:ascii="仿宋_GB2312" w:hAnsi="仿宋_GB2312" w:eastAsia="仿宋_GB2312" w:cs="仿宋_GB2312"/>
              <w:bCs w:val="0"/>
              <w:sz w:val="24"/>
              <w:szCs w:val="24"/>
              <w:highlight w:val="none"/>
              <w:lang w:eastAsia="zh-CN"/>
            </w:rPr>
            <w:t>财政拨款“三公”经费支出决算表</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_Toc29345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64</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color w:val="auto"/>
              <w:kern w:val="2"/>
              <w:sz w:val="24"/>
              <w:szCs w:val="24"/>
              <w:highlight w:val="none"/>
              <w:lang w:val="en-US" w:eastAsia="zh-CN" w:bidi="ar-SA"/>
            </w:rPr>
            <w:fldChar w:fldCharType="end"/>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420" w:firstLineChars="175"/>
            <w:jc w:val="left"/>
            <w:textAlignment w:val="auto"/>
            <w:rPr>
              <w:rFonts w:hint="eastAsia" w:ascii="仿宋_GB2312" w:hAnsi="仿宋_GB2312" w:eastAsia="仿宋_GB2312" w:cs="仿宋_GB2312"/>
              <w:b/>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fldChar w:fldCharType="end"/>
          </w:r>
        </w:p>
      </w:sdtContent>
    </w:sdt>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369" w:firstLineChars="175"/>
        <w:jc w:val="left"/>
        <w:textAlignment w:val="auto"/>
        <w:rPr>
          <w:rFonts w:hint="eastAsia" w:asciiTheme="minorEastAsia" w:hAnsiTheme="minorEastAsia" w:eastAsiaTheme="minorEastAsia" w:cstheme="minorEastAsia"/>
          <w:b/>
          <w:color w:val="auto"/>
          <w:kern w:val="2"/>
          <w:sz w:val="21"/>
          <w:szCs w:val="24"/>
          <w:highlight w:val="none"/>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369" w:firstLineChars="175"/>
        <w:jc w:val="left"/>
        <w:textAlignment w:val="auto"/>
        <w:rPr>
          <w:rFonts w:hint="eastAsia" w:asciiTheme="minorEastAsia" w:hAnsiTheme="minorEastAsia" w:eastAsiaTheme="minorEastAsia" w:cstheme="minorEastAsia"/>
          <w:b/>
          <w:color w:val="auto"/>
          <w:kern w:val="2"/>
          <w:sz w:val="21"/>
          <w:szCs w:val="24"/>
          <w:highlight w:val="none"/>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369" w:firstLineChars="175"/>
        <w:jc w:val="left"/>
        <w:textAlignment w:val="auto"/>
        <w:rPr>
          <w:rFonts w:hint="eastAsia" w:asciiTheme="minorEastAsia" w:hAnsiTheme="minorEastAsia" w:eastAsiaTheme="minorEastAsia" w:cstheme="minorEastAsia"/>
          <w:b/>
          <w:color w:val="auto"/>
          <w:kern w:val="2"/>
          <w:sz w:val="21"/>
          <w:szCs w:val="24"/>
          <w:highlight w:val="none"/>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369" w:firstLineChars="175"/>
        <w:jc w:val="left"/>
        <w:textAlignment w:val="auto"/>
        <w:rPr>
          <w:rFonts w:hint="eastAsia" w:asciiTheme="minorEastAsia" w:hAnsiTheme="minorEastAsia" w:eastAsiaTheme="minorEastAsia" w:cstheme="minorEastAsia"/>
          <w:b/>
          <w:color w:val="auto"/>
          <w:kern w:val="2"/>
          <w:sz w:val="21"/>
          <w:szCs w:val="24"/>
          <w:highlight w:val="none"/>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jc w:val="left"/>
        <w:textAlignment w:val="auto"/>
        <w:rPr>
          <w:rFonts w:hint="eastAsia" w:asciiTheme="minorEastAsia" w:hAnsiTheme="minorEastAsia" w:eastAsiaTheme="minorEastAsia" w:cstheme="minorEastAsia"/>
          <w:b/>
          <w:color w:val="auto"/>
          <w:kern w:val="2"/>
          <w:sz w:val="21"/>
          <w:szCs w:val="24"/>
          <w:highlight w:val="none"/>
          <w:lang w:val="en-US" w:eastAsia="zh-CN" w:bidi="ar-SA"/>
        </w:rPr>
      </w:pPr>
    </w:p>
    <w:p>
      <w:pPr>
        <w:pStyle w:val="3"/>
        <w:jc w:val="center"/>
        <w:rPr>
          <w:rFonts w:ascii="黑体" w:eastAsia="黑体"/>
          <w:color w:val="auto"/>
          <w:sz w:val="32"/>
          <w:szCs w:val="32"/>
          <w:highlight w:val="none"/>
        </w:rPr>
      </w:pPr>
      <w:bookmarkStart w:id="21" w:name="_Toc6649"/>
      <w:bookmarkStart w:id="22" w:name="_Toc26459"/>
      <w:r>
        <w:rPr>
          <w:rFonts w:hint="eastAsia" w:ascii="黑体" w:hAnsi="黑体" w:eastAsia="黑体"/>
          <w:b w:val="0"/>
          <w:color w:val="auto"/>
          <w:highlight w:val="none"/>
        </w:rPr>
        <w:t xml:space="preserve">第一部分 </w:t>
      </w:r>
      <w:r>
        <w:rPr>
          <w:rStyle w:val="30"/>
          <w:rFonts w:hint="eastAsia" w:ascii="黑体" w:hAnsi="黑体" w:eastAsia="黑体"/>
          <w:b w:val="0"/>
          <w:bCs w:val="0"/>
          <w:color w:val="auto"/>
          <w:highlight w:val="none"/>
        </w:rPr>
        <w:t>部门概况</w:t>
      </w:r>
      <w:bookmarkEnd w:id="21"/>
      <w:bookmarkEnd w:id="22"/>
    </w:p>
    <w:p>
      <w:pPr>
        <w:pStyle w:val="4"/>
        <w:keepNext/>
        <w:keepLines/>
        <w:pageBreakBefore w:val="0"/>
        <w:widowControl w:val="0"/>
        <w:numPr>
          <w:ilvl w:val="0"/>
          <w:numId w:val="1"/>
        </w:numPr>
        <w:kinsoku/>
        <w:wordWrap/>
        <w:overflowPunct/>
        <w:topLinePunct w:val="0"/>
        <w:autoSpaceDE/>
        <w:autoSpaceDN/>
        <w:bidi w:val="0"/>
        <w:adjustRightInd/>
        <w:snapToGrid/>
        <w:spacing w:before="0" w:after="0" w:line="560" w:lineRule="exact"/>
        <w:ind w:firstLine="640" w:firstLineChars="200"/>
        <w:textAlignment w:val="auto"/>
        <w:rPr>
          <w:rFonts w:hint="eastAsia" w:ascii="黑体" w:hAnsi="黑体" w:eastAsia="黑体"/>
          <w:b w:val="0"/>
          <w:color w:val="auto"/>
          <w:highlight w:val="none"/>
          <w:lang w:eastAsia="zh-CN"/>
        </w:rPr>
      </w:pPr>
      <w:bookmarkStart w:id="23" w:name="_Toc23232"/>
      <w:bookmarkStart w:id="24" w:name="_Toc8736"/>
      <w:r>
        <w:rPr>
          <w:rFonts w:hint="eastAsia" w:ascii="黑体" w:hAnsi="黑体" w:eastAsia="黑体"/>
          <w:b w:val="0"/>
          <w:color w:val="auto"/>
          <w:highlight w:val="none"/>
          <w:lang w:eastAsia="zh-CN"/>
        </w:rPr>
        <w:t>部门职责</w:t>
      </w:r>
      <w:bookmarkEnd w:id="23"/>
      <w:bookmarkEnd w:id="24"/>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30" w:beforeAutospacing="0" w:after="0" w:afterAutospacing="0" w:line="560" w:lineRule="atLeast"/>
        <w:ind w:left="0" w:right="0" w:firstLine="640" w:firstLineChars="200"/>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（一）</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落实国家政策，严格依法行政，发挥经济管理职能，加强政策引导，制定发展规划，服务市场主体和营造发展环境，搞好市场监管，大力促进社会事业发展，发展镇村经济、文化和社会事业，提供公共服务，维护社会稳定，构建社会主义和谐社会。</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30" w:beforeAutospacing="0" w:after="0" w:afterAutospacing="0" w:line="560" w:lineRule="atLeast"/>
        <w:ind w:left="0" w:right="0" w:firstLine="640" w:firstLineChars="200"/>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二</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执行本级人民代表大会的决议和上级国家行政机关的决定和命令，发布决定和命令。</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30" w:beforeAutospacing="0" w:after="0" w:afterAutospacing="0" w:line="560" w:lineRule="atLeast"/>
        <w:ind w:left="0" w:right="0" w:firstLine="640" w:firstLineChars="200"/>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三）制定和组织实施经济、科技和社会发展计划，制定资源开发技术改造和产业结构调整方案，组织指导好各业生产，搞好商品流通，协调好本镇与外地区的经济交流与合作，抓好招商引资，人才引进项目开发，不断培育市场体系，组织经济运行，促进经济发展。</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30" w:beforeAutospacing="0" w:after="0" w:afterAutospacing="0" w:line="560" w:lineRule="atLeast"/>
        <w:ind w:left="0" w:right="0" w:firstLine="640" w:firstLineChars="200"/>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（四）制定并组织实施镇村建设规划，部署重点工程建设，地方道路建设及公共设施，水利设施的管理，负责土地、林木、水等自然资源和生态环境的保护，做好护林防火工作。</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30" w:beforeAutospacing="0" w:after="0" w:afterAutospacing="0" w:line="560" w:lineRule="atLeast"/>
        <w:ind w:left="0" w:right="0" w:firstLine="640" w:firstLineChars="200"/>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五</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负责本行政区域内的民政、计划生育、文化教育、卫生、体育等社会公益事业的综合性工作，维护一切经济单位和个人的正当经济权益，取缔非法经济活动，调解和处理民事纠纷，打击刑事犯罪维护社会稳定。</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30" w:beforeAutospacing="0" w:after="0" w:afterAutospacing="0" w:line="560" w:lineRule="atLeast"/>
        <w:ind w:left="0" w:right="0" w:firstLine="640" w:firstLineChars="200"/>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六</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按计划组织本级财政收入和地方税的征收，完成国家财政计划，不断培植税源，管好财政资金，增强财政实力。</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30" w:beforeAutospacing="0" w:after="0" w:afterAutospacing="0" w:line="560" w:lineRule="atLeast"/>
        <w:ind w:left="0" w:right="0" w:firstLine="640" w:firstLineChars="200"/>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七</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抓好精神文明建设，丰富群众文化生活，提倡移风易俗，反对封建迷信，破除陈规陋习，树立社会主义新风尚。</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30" w:beforeAutospacing="0" w:after="0" w:afterAutospacing="0" w:line="560" w:lineRule="atLeast"/>
        <w:ind w:left="0" w:right="0" w:firstLine="640" w:firstLineChars="200"/>
        <w:jc w:val="both"/>
        <w:textAlignment w:val="auto"/>
        <w:outlineLvl w:val="2"/>
        <w:rPr>
          <w:rFonts w:hint="eastAsia"/>
          <w:sz w:val="32"/>
          <w:szCs w:val="32"/>
          <w:lang w:eastAsia="zh-CN"/>
        </w:rPr>
      </w:pPr>
      <w:bookmarkStart w:id="25" w:name="_Toc20213"/>
      <w:r>
        <w:rPr>
          <w:rFonts w:hint="eastAsia" w:ascii="仿宋_GB2312" w:hAnsi="仿宋_GB2312" w:eastAsia="仿宋_GB2312" w:cs="仿宋_GB2312"/>
          <w:b w:val="0"/>
          <w:bCs w:val="0"/>
          <w:color w:val="000000" w:themeColor="text1"/>
          <w:sz w:val="32"/>
          <w:szCs w:val="32"/>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八</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完成上级交办的</w:t>
      </w:r>
      <w:bookmarkStart w:id="295" w:name="_GoBack"/>
      <w:bookmarkEnd w:id="295"/>
      <w:r>
        <w:rPr>
          <w:rFonts w:hint="eastAsia" w:ascii="仿宋_GB2312" w:eastAsia="仿宋_GB2312" w:cs="仿宋_GB2312"/>
          <w:i w:val="0"/>
          <w:caps w:val="0"/>
          <w:color w:val="333333"/>
          <w:spacing w:val="0"/>
          <w:kern w:val="0"/>
          <w:sz w:val="32"/>
          <w:szCs w:val="32"/>
          <w:shd w:val="clear" w:color="auto" w:fill="FFFFFF"/>
          <w:lang w:val="en-US" w:eastAsia="zh-CN" w:bidi="ar"/>
        </w:rPr>
        <w:t>其他事项</w:t>
      </w:r>
      <w:bookmarkEnd w:id="25"/>
    </w:p>
    <w:p>
      <w:pPr>
        <w:pStyle w:val="4"/>
        <w:keepNext/>
        <w:keepLines/>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Style w:val="31"/>
          <w:b w:val="0"/>
          <w:bCs w:val="0"/>
          <w:color w:val="auto"/>
          <w:highlight w:val="none"/>
        </w:rPr>
      </w:pPr>
      <w:bookmarkStart w:id="26" w:name="_Toc15377200"/>
      <w:bookmarkStart w:id="27" w:name="_Toc2313"/>
      <w:bookmarkStart w:id="28" w:name="_Toc15396601"/>
      <w:bookmarkStart w:id="29" w:name="_Toc22564"/>
      <w:r>
        <w:rPr>
          <w:rFonts w:hint="eastAsia" w:ascii="黑体" w:eastAsia="黑体"/>
          <w:b w:val="0"/>
          <w:color w:val="auto"/>
          <w:highlight w:val="none"/>
        </w:rPr>
        <w:t>二、</w:t>
      </w:r>
      <w:r>
        <w:rPr>
          <w:rFonts w:hint="eastAsia" w:ascii="黑体" w:hAnsi="黑体" w:eastAsia="黑体"/>
          <w:b w:val="0"/>
          <w:color w:val="auto"/>
          <w:highlight w:val="none"/>
        </w:rPr>
        <w:t>机</w:t>
      </w:r>
      <w:r>
        <w:rPr>
          <w:rStyle w:val="31"/>
          <w:rFonts w:hint="eastAsia" w:ascii="黑体" w:hAnsi="黑体" w:eastAsia="黑体"/>
          <w:b w:val="0"/>
          <w:bCs w:val="0"/>
          <w:color w:val="auto"/>
          <w:highlight w:val="none"/>
        </w:rPr>
        <w:t>构设置</w:t>
      </w:r>
      <w:bookmarkEnd w:id="26"/>
      <w:bookmarkEnd w:id="27"/>
      <w:bookmarkEnd w:id="28"/>
      <w:bookmarkEnd w:id="29"/>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sz w:val="32"/>
          <w:szCs w:val="32"/>
          <w:highlight w:val="none"/>
          <w:lang w:eastAsia="zh-CN"/>
        </w:rPr>
        <w:t>磨滩镇人民政府</w:t>
      </w:r>
      <w:r>
        <w:rPr>
          <w:rFonts w:hint="eastAsia" w:ascii="仿宋_GB2312" w:hAnsi="仿宋_GB2312" w:eastAsia="仿宋_GB2312" w:cs="仿宋_GB2312"/>
          <w:kern w:val="0"/>
          <w:sz w:val="32"/>
          <w:szCs w:val="32"/>
          <w:shd w:val="clear" w:color="auto" w:fill="FFFFFF"/>
        </w:rPr>
        <w:t>属于一级预算单位，政府单位机构数1个，其中行政单位1个，参照公务员法管理的事业单位0个，其他事业单位0个。</w:t>
      </w:r>
    </w:p>
    <w:p>
      <w:pPr>
        <w:pStyle w:val="3"/>
        <w:ind w:right="440"/>
        <w:jc w:val="center"/>
        <w:rPr>
          <w:color w:val="auto"/>
          <w:highlight w:val="none"/>
        </w:rPr>
      </w:pPr>
      <w:bookmarkStart w:id="30" w:name="_Toc5168"/>
      <w:bookmarkStart w:id="31" w:name="_Toc15396602"/>
      <w:bookmarkStart w:id="32" w:name="_Toc15377204"/>
      <w:bookmarkStart w:id="33" w:name="_Toc10178"/>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2022年度</w:t>
      </w:r>
      <w:r>
        <w:rPr>
          <w:rStyle w:val="30"/>
          <w:rFonts w:hint="eastAsia" w:ascii="黑体" w:hAnsi="黑体" w:eastAsia="黑体"/>
          <w:b w:val="0"/>
          <w:bCs/>
          <w:color w:val="auto"/>
          <w:highlight w:val="none"/>
        </w:rPr>
        <w:t>部门决算情况说明</w:t>
      </w:r>
      <w:bookmarkEnd w:id="30"/>
      <w:bookmarkEnd w:id="31"/>
      <w:bookmarkEnd w:id="32"/>
      <w:bookmarkEnd w:id="33"/>
    </w:p>
    <w:p>
      <w:pPr>
        <w:pStyle w:val="29"/>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1"/>
        <w:rPr>
          <w:rStyle w:val="31"/>
          <w:rFonts w:ascii="黑体" w:hAnsi="黑体" w:eastAsia="黑体"/>
          <w:b w:val="0"/>
          <w:color w:val="auto"/>
          <w:highlight w:val="none"/>
        </w:rPr>
      </w:pPr>
      <w:bookmarkStart w:id="34" w:name="_Toc15396603"/>
      <w:bookmarkStart w:id="35" w:name="_Toc15377205"/>
      <w:bookmarkStart w:id="36" w:name="_Toc30891"/>
      <w:bookmarkStart w:id="37" w:name="_Toc21135"/>
      <w:r>
        <w:rPr>
          <w:rFonts w:hint="eastAsia" w:ascii="黑体" w:hAnsi="黑体" w:eastAsia="黑体"/>
          <w:color w:val="auto"/>
          <w:sz w:val="32"/>
          <w:szCs w:val="32"/>
          <w:highlight w:val="none"/>
          <w:lang w:val="en-US" w:eastAsia="zh-CN"/>
        </w:rPr>
        <w:t>一、</w:t>
      </w:r>
      <w:r>
        <w:rPr>
          <w:rFonts w:hint="eastAsia" w:ascii="黑体" w:hAnsi="黑体" w:eastAsia="黑体"/>
          <w:color w:val="auto"/>
          <w:sz w:val="32"/>
          <w:szCs w:val="32"/>
          <w:highlight w:val="none"/>
        </w:rPr>
        <w:t>收</w:t>
      </w:r>
      <w:r>
        <w:rPr>
          <w:rStyle w:val="31"/>
          <w:rFonts w:hint="eastAsia" w:ascii="黑体" w:hAnsi="黑体" w:eastAsia="黑体"/>
          <w:b w:val="0"/>
          <w:color w:val="auto"/>
          <w:highlight w:val="none"/>
        </w:rPr>
        <w:t>入支出决算总体情况说明</w:t>
      </w:r>
      <w:bookmarkEnd w:id="34"/>
      <w:bookmarkEnd w:id="35"/>
      <w:bookmarkEnd w:id="36"/>
      <w:bookmarkEnd w:id="3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年度收、支总计</w:t>
      </w:r>
      <w:r>
        <w:rPr>
          <w:rFonts w:hint="eastAsia" w:ascii="仿宋_GB2312" w:hAnsi="仿宋_GB2312" w:eastAsia="仿宋_GB2312" w:cs="仿宋_GB2312"/>
          <w:color w:val="auto"/>
          <w:sz w:val="32"/>
          <w:szCs w:val="32"/>
          <w:highlight w:val="none"/>
          <w:lang w:val="en-US" w:eastAsia="zh-CN"/>
        </w:rPr>
        <w:t>1155.99</w:t>
      </w:r>
      <w:r>
        <w:rPr>
          <w:rFonts w:hint="eastAsia" w:ascii="仿宋_GB2312" w:hAnsi="仿宋_GB2312" w:eastAsia="仿宋_GB2312" w:cs="仿宋_GB2312"/>
          <w:color w:val="auto"/>
          <w:sz w:val="32"/>
          <w:szCs w:val="32"/>
          <w:highlight w:val="none"/>
        </w:rPr>
        <w:t>万元。与20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年相比，收、支总计各增加</w:t>
      </w:r>
      <w:r>
        <w:rPr>
          <w:rFonts w:hint="eastAsia" w:ascii="仿宋_GB2312" w:hAnsi="仿宋_GB2312" w:eastAsia="仿宋_GB2312" w:cs="仿宋_GB2312"/>
          <w:color w:val="auto"/>
          <w:sz w:val="32"/>
          <w:szCs w:val="32"/>
          <w:highlight w:val="none"/>
          <w:lang w:val="en-US" w:eastAsia="zh-CN"/>
        </w:rPr>
        <w:t>202.35</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21.22</w:t>
      </w:r>
      <w:r>
        <w:rPr>
          <w:rFonts w:hint="eastAsia" w:ascii="仿宋_GB2312" w:hAnsi="仿宋_GB2312" w:eastAsia="仿宋_GB2312" w:cs="仿宋_GB2312"/>
          <w:color w:val="auto"/>
          <w:sz w:val="32"/>
          <w:szCs w:val="32"/>
          <w:highlight w:val="none"/>
        </w:rPr>
        <w:t>%。主要变动</w:t>
      </w:r>
      <w:r>
        <w:rPr>
          <w:rFonts w:hint="eastAsia" w:ascii="仿宋_GB2312" w:hAnsi="仿宋_GB2312" w:eastAsia="仿宋_GB2312" w:cs="仿宋_GB2312"/>
          <w:color w:val="auto"/>
          <w:sz w:val="32"/>
          <w:szCs w:val="32"/>
          <w:highlight w:val="none"/>
          <w:lang w:eastAsia="zh-CN"/>
        </w:rPr>
        <w:t>原因是政府性基金</w:t>
      </w:r>
      <w:r>
        <w:rPr>
          <w:rFonts w:hint="eastAsia" w:ascii="仿宋_GB2312" w:hAnsi="仿宋_GB2312" w:eastAsia="仿宋_GB2312" w:cs="仿宋_GB2312"/>
          <w:kern w:val="0"/>
          <w:sz w:val="32"/>
          <w:szCs w:val="32"/>
          <w:shd w:val="clear" w:color="auto" w:fill="FFFFFF"/>
        </w:rPr>
        <w:t>算拨款及人员</w:t>
      </w:r>
      <w:r>
        <w:rPr>
          <w:rFonts w:hint="eastAsia" w:ascii="仿宋_GB2312" w:hAnsi="仿宋_GB2312" w:eastAsia="仿宋_GB2312" w:cs="仿宋_GB2312"/>
          <w:kern w:val="0"/>
          <w:sz w:val="32"/>
          <w:szCs w:val="32"/>
          <w:shd w:val="clear" w:color="auto" w:fill="FFFFFF"/>
          <w:lang w:eastAsia="zh-CN"/>
        </w:rPr>
        <w:t>增加</w:t>
      </w:r>
      <w:r>
        <w:rPr>
          <w:rFonts w:hint="eastAsia" w:ascii="仿宋_GB2312" w:hAnsi="仿宋_GB2312" w:eastAsia="仿宋_GB2312" w:cs="仿宋_GB2312"/>
          <w:color w:val="auto"/>
          <w:sz w:val="32"/>
          <w:szCs w:val="32"/>
          <w:highlight w:val="none"/>
          <w:lang w:eastAsia="zh-CN"/>
        </w:rPr>
        <w:t>。</w:t>
      </w:r>
    </w:p>
    <w:p>
      <w:pPr>
        <w:pStyle w:val="6"/>
        <w:jc w:val="center"/>
        <w:rPr>
          <w:rFonts w:hint="eastAsia"/>
          <w:lang w:eastAsia="zh-CN"/>
        </w:rPr>
      </w:pPr>
      <w:r>
        <w:rPr>
          <w:rFonts w:hint="eastAsia"/>
          <w:lang w:eastAsia="zh-CN"/>
        </w:rPr>
        <w:drawing>
          <wp:inline distT="0" distB="0" distL="114300" distR="114300">
            <wp:extent cx="4956175" cy="2117725"/>
            <wp:effectExtent l="4445" t="4445" r="11430" b="1143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w:t>
      </w:r>
    </w:p>
    <w:p>
      <w:pPr>
        <w:pStyle w:val="2"/>
      </w:pPr>
    </w:p>
    <w:p>
      <w:pPr>
        <w:pStyle w:val="2"/>
        <w:rPr>
          <w:rFonts w:hint="eastAsia" w:ascii="黑体" w:hAnsi="黑体" w:eastAsia="黑体" w:cs="黑体"/>
          <w:sz w:val="32"/>
          <w:szCs w:val="32"/>
        </w:rPr>
      </w:pPr>
      <w:bookmarkStart w:id="38" w:name="_Toc15377206"/>
      <w:bookmarkStart w:id="39" w:name="_Toc15396604"/>
      <w:bookmarkStart w:id="40" w:name="_Toc742"/>
      <w:bookmarkStart w:id="41" w:name="_Toc21084"/>
      <w:r>
        <w:rPr>
          <w:rFonts w:hint="eastAsia" w:ascii="黑体" w:hAnsi="黑体" w:eastAsia="黑体" w:cs="黑体"/>
          <w:sz w:val="32"/>
          <w:szCs w:val="32"/>
          <w:lang w:val="en-US" w:eastAsia="zh-CN"/>
        </w:rPr>
        <w:t>二、</w:t>
      </w:r>
      <w:r>
        <w:rPr>
          <w:rFonts w:hint="eastAsia" w:ascii="黑体" w:hAnsi="黑体" w:eastAsia="黑体" w:cs="黑体"/>
          <w:sz w:val="32"/>
          <w:szCs w:val="32"/>
        </w:rPr>
        <w:t>收入决算情况说明</w:t>
      </w:r>
      <w:bookmarkEnd w:id="38"/>
      <w:bookmarkEnd w:id="39"/>
      <w:bookmarkEnd w:id="40"/>
      <w:bookmarkEnd w:id="4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_GB2312" w:hAnsi="仿宋_GB2312" w:eastAsia="仿宋_GB2312" w:cs="仿宋_GB2312"/>
          <w:color w:val="auto"/>
          <w:sz w:val="32"/>
          <w:szCs w:val="32"/>
          <w:highlight w:val="none"/>
        </w:rPr>
      </w:pPr>
      <w:bookmarkStart w:id="42" w:name="_Toc1464"/>
      <w:bookmarkStart w:id="43" w:name="_Toc8388"/>
      <w:bookmarkStart w:id="44" w:name="_Toc10981"/>
      <w:bookmarkStart w:id="45" w:name="_Toc2497"/>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年本年收入合计</w:t>
      </w:r>
      <w:r>
        <w:rPr>
          <w:rFonts w:hint="eastAsia" w:ascii="仿宋_GB2312" w:hAnsi="仿宋_GB2312" w:eastAsia="仿宋_GB2312" w:cs="仿宋_GB2312"/>
          <w:color w:val="auto"/>
          <w:sz w:val="32"/>
          <w:szCs w:val="32"/>
          <w:highlight w:val="none"/>
          <w:lang w:val="en-US" w:eastAsia="zh-CN"/>
        </w:rPr>
        <w:t>1155.99</w:t>
      </w:r>
      <w:r>
        <w:rPr>
          <w:rFonts w:hint="eastAsia" w:ascii="仿宋_GB2312" w:hAnsi="仿宋_GB2312" w:eastAsia="仿宋_GB2312" w:cs="仿宋_GB2312"/>
          <w:color w:val="auto"/>
          <w:sz w:val="32"/>
          <w:szCs w:val="32"/>
          <w:highlight w:val="none"/>
        </w:rPr>
        <w:t>万元，其中：一般公共预算财政拨款收入</w:t>
      </w:r>
      <w:r>
        <w:rPr>
          <w:rFonts w:hint="eastAsia" w:ascii="仿宋_GB2312" w:hAnsi="仿宋_GB2312" w:eastAsia="仿宋_GB2312" w:cs="仿宋_GB2312"/>
          <w:color w:val="auto"/>
          <w:sz w:val="32"/>
          <w:szCs w:val="32"/>
          <w:highlight w:val="none"/>
          <w:lang w:val="en-US" w:eastAsia="zh-CN"/>
        </w:rPr>
        <w:t>1149.49</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99.44</w:t>
      </w:r>
      <w:r>
        <w:rPr>
          <w:rFonts w:hint="eastAsia" w:ascii="仿宋_GB2312" w:hAnsi="仿宋_GB2312" w:eastAsia="仿宋_GB2312" w:cs="仿宋_GB2312"/>
          <w:color w:val="auto"/>
          <w:sz w:val="32"/>
          <w:szCs w:val="32"/>
          <w:highlight w:val="none"/>
        </w:rPr>
        <w:t>%；政府性基金预算财政拨款收入</w:t>
      </w:r>
      <w:r>
        <w:rPr>
          <w:rFonts w:hint="eastAsia" w:ascii="仿宋_GB2312" w:hAnsi="仿宋_GB2312" w:eastAsia="仿宋_GB2312" w:cs="仿宋_GB2312"/>
          <w:color w:val="auto"/>
          <w:sz w:val="32"/>
          <w:szCs w:val="32"/>
          <w:highlight w:val="none"/>
          <w:lang w:val="en-US" w:eastAsia="zh-CN"/>
        </w:rPr>
        <w:t>6.50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0.56</w:t>
      </w:r>
      <w:r>
        <w:rPr>
          <w:rFonts w:hint="eastAsia" w:ascii="仿宋_GB2312" w:hAnsi="仿宋_GB2312" w:eastAsia="仿宋_GB2312" w:cs="仿宋_GB2312"/>
          <w:color w:val="auto"/>
          <w:sz w:val="32"/>
          <w:szCs w:val="32"/>
          <w:highlight w:val="none"/>
        </w:rPr>
        <w:t>%。</w:t>
      </w:r>
      <w:bookmarkEnd w:id="42"/>
      <w:bookmarkEnd w:id="43"/>
      <w:bookmarkEnd w:id="44"/>
      <w:bookmarkEnd w:id="45"/>
    </w:p>
    <w:p>
      <w:pPr>
        <w:spacing w:line="600" w:lineRule="exact"/>
        <w:ind w:firstLine="643" w:firstLineChars="200"/>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lang w:eastAsia="zh-CN"/>
        </w:rPr>
        <w:drawing>
          <wp:anchor distT="0" distB="0" distL="114300" distR="114300" simplePos="0" relativeHeight="251659264" behindDoc="0" locked="0" layoutInCell="1" allowOverlap="1">
            <wp:simplePos x="0" y="0"/>
            <wp:positionH relativeFrom="column">
              <wp:posOffset>382270</wp:posOffset>
            </wp:positionH>
            <wp:positionV relativeFrom="paragraph">
              <wp:posOffset>94615</wp:posOffset>
            </wp:positionV>
            <wp:extent cx="4499610" cy="2115820"/>
            <wp:effectExtent l="4445" t="4445" r="10795" b="13335"/>
            <wp:wrapSquare wrapText="bothSides"/>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ind w:firstLine="643" w:firstLineChars="200"/>
        <w:rPr>
          <w:rFonts w:hint="eastAsia" w:ascii="仿宋" w:hAnsi="仿宋" w:eastAsia="仿宋"/>
          <w:b/>
          <w:color w:val="auto"/>
          <w:sz w:val="32"/>
          <w:szCs w:val="32"/>
          <w:highlight w:val="none"/>
          <w:lang w:eastAsia="zh-CN"/>
        </w:rPr>
      </w:pPr>
    </w:p>
    <w:p>
      <w:pPr>
        <w:spacing w:line="600" w:lineRule="exact"/>
        <w:rPr>
          <w:rFonts w:hint="eastAsia" w:ascii="仿宋" w:hAnsi="仿宋" w:eastAsia="仿宋"/>
          <w:b/>
          <w:color w:val="auto"/>
          <w:sz w:val="32"/>
          <w:szCs w:val="32"/>
          <w:highlight w:val="none"/>
          <w:lang w:eastAsia="zh-CN"/>
        </w:rPr>
      </w:pPr>
    </w:p>
    <w:p>
      <w:pPr>
        <w:spacing w:line="600" w:lineRule="exact"/>
        <w:ind w:firstLine="643" w:firstLineChars="200"/>
        <w:jc w:val="center"/>
        <w:rPr>
          <w:rFonts w:hint="eastAsia" w:ascii="仿宋" w:hAnsi="仿宋" w:eastAsia="仿宋"/>
          <w:b/>
          <w:color w:val="auto"/>
          <w:sz w:val="32"/>
          <w:szCs w:val="32"/>
          <w:highlight w:val="none"/>
          <w:lang w:eastAsia="zh-CN"/>
        </w:rPr>
      </w:pPr>
    </w:p>
    <w:p>
      <w:pPr>
        <w:spacing w:line="600" w:lineRule="exact"/>
        <w:ind w:firstLine="643" w:firstLineChars="200"/>
        <w:rPr>
          <w:rFonts w:hint="eastAsia" w:ascii="仿宋" w:hAnsi="仿宋" w:eastAsia="仿宋"/>
          <w:b/>
          <w:color w:val="auto"/>
          <w:sz w:val="32"/>
          <w:szCs w:val="32"/>
          <w:highlight w:val="none"/>
          <w:lang w:eastAsia="zh-CN"/>
        </w:rPr>
      </w:pPr>
    </w:p>
    <w:p>
      <w:pPr>
        <w:spacing w:line="600" w:lineRule="exact"/>
        <w:rPr>
          <w:rFonts w:hint="eastAsia" w:ascii="仿宋" w:hAnsi="仿宋" w:eastAsia="仿宋"/>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（图2：收入决算结构图）</w:t>
      </w:r>
    </w:p>
    <w:p>
      <w:pPr>
        <w:pStyle w:val="2"/>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olor w:val="auto"/>
          <w:sz w:val="32"/>
          <w:szCs w:val="32"/>
          <w:highlight w:val="none"/>
        </w:rPr>
      </w:pPr>
      <w:bookmarkStart w:id="46" w:name="_Toc15377207"/>
      <w:bookmarkStart w:id="47" w:name="_Toc15396605"/>
      <w:bookmarkStart w:id="48" w:name="_Toc14129"/>
      <w:bookmarkStart w:id="49" w:name="_Toc16233"/>
      <w:r>
        <w:rPr>
          <w:rFonts w:hint="eastAsia" w:ascii="黑体" w:hAnsi="黑体" w:eastAsia="黑体"/>
          <w:color w:val="auto"/>
          <w:sz w:val="32"/>
          <w:szCs w:val="32"/>
          <w:highlight w:val="none"/>
          <w:lang w:val="en-US" w:eastAsia="zh-CN"/>
        </w:rPr>
        <w:t>三、</w:t>
      </w:r>
      <w:r>
        <w:rPr>
          <w:rFonts w:hint="eastAsia" w:ascii="黑体" w:hAnsi="黑体" w:eastAsia="黑体"/>
          <w:color w:val="auto"/>
          <w:sz w:val="32"/>
          <w:szCs w:val="32"/>
          <w:highlight w:val="none"/>
        </w:rPr>
        <w:t>支出决算情况说明</w:t>
      </w:r>
      <w:bookmarkEnd w:id="46"/>
      <w:bookmarkEnd w:id="47"/>
      <w:bookmarkEnd w:id="48"/>
      <w:bookmarkEnd w:id="4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ascii="仿宋" w:hAnsi="仿宋" w:eastAsia="仿宋"/>
          <w:color w:val="auto"/>
          <w:sz w:val="32"/>
          <w:szCs w:val="32"/>
          <w:highlight w:val="none"/>
          <w:shd w:val="pct10" w:color="auto" w:fill="FFFFFF"/>
        </w:rPr>
      </w:pPr>
      <w:bookmarkStart w:id="50" w:name="_Toc28874"/>
      <w:bookmarkStart w:id="51" w:name="_Toc12983"/>
      <w:bookmarkStart w:id="52" w:name="_Toc30131"/>
      <w:bookmarkStart w:id="53" w:name="_Toc29381"/>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1155.99</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1086.23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93.97</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69.76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6.03</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bookmarkEnd w:id="50"/>
      <w:bookmarkEnd w:id="51"/>
      <w:bookmarkEnd w:id="52"/>
      <w:bookmarkEnd w:id="53"/>
    </w:p>
    <w:p>
      <w:pPr>
        <w:pStyle w:val="6"/>
        <w:jc w:val="center"/>
        <w:rPr>
          <w:rFonts w:ascii="仿宋" w:hAnsi="仿宋" w:eastAsia="仿宋"/>
          <w:color w:val="auto"/>
          <w:sz w:val="32"/>
          <w:szCs w:val="32"/>
          <w:highlight w:val="none"/>
          <w:shd w:val="pct10" w:color="auto" w:fill="FFFFFF"/>
        </w:rPr>
      </w:pPr>
      <w:r>
        <w:rPr>
          <w:rFonts w:hint="eastAsia" w:ascii="仿宋" w:hAnsi="仿宋" w:eastAsia="仿宋"/>
          <w:color w:val="auto"/>
          <w:sz w:val="32"/>
          <w:szCs w:val="32"/>
          <w:highlight w:val="none"/>
          <w:shd w:val="pct10" w:color="auto" w:fill="FFFFFF"/>
          <w:lang w:eastAsia="zh-CN"/>
        </w:rPr>
        <w:drawing>
          <wp:inline distT="0" distB="0" distL="114300" distR="114300">
            <wp:extent cx="4756150" cy="2028825"/>
            <wp:effectExtent l="4445" t="5080" r="20955" b="444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rPr>
        <w:t>（图3：支出决算结构图）</w:t>
      </w:r>
    </w:p>
    <w:p>
      <w:pPr>
        <w:spacing w:line="600" w:lineRule="exact"/>
        <w:ind w:firstLine="640" w:firstLineChars="200"/>
        <w:rPr>
          <w:rFonts w:ascii="仿宋_GB2312" w:eastAsia="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olor w:val="auto"/>
          <w:sz w:val="32"/>
          <w:szCs w:val="32"/>
          <w:highlight w:val="none"/>
        </w:rPr>
      </w:pPr>
      <w:bookmarkStart w:id="54" w:name="_Toc19651"/>
      <w:bookmarkStart w:id="55" w:name="_Toc15377208"/>
      <w:bookmarkStart w:id="56" w:name="_Toc5799"/>
      <w:bookmarkStart w:id="57" w:name="_Toc15396606"/>
      <w:r>
        <w:rPr>
          <w:rFonts w:hint="eastAsia" w:ascii="黑体" w:hAnsi="黑体" w:eastAsia="黑体"/>
          <w:color w:val="auto"/>
          <w:sz w:val="32"/>
          <w:szCs w:val="32"/>
          <w:highlight w:val="none"/>
        </w:rPr>
        <w:t>四、财政拨款收入支出决算总体情况说明</w:t>
      </w:r>
      <w:bookmarkEnd w:id="54"/>
      <w:bookmarkEnd w:id="55"/>
      <w:bookmarkEnd w:id="56"/>
      <w:bookmarkEnd w:id="5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年财政拨款收、支总计</w:t>
      </w:r>
      <w:r>
        <w:rPr>
          <w:rFonts w:hint="eastAsia" w:ascii="仿宋_GB2312" w:hAnsi="仿宋_GB2312" w:eastAsia="仿宋_GB2312" w:cs="仿宋_GB2312"/>
          <w:color w:val="auto"/>
          <w:sz w:val="32"/>
          <w:szCs w:val="32"/>
          <w:highlight w:val="none"/>
          <w:lang w:val="en-US" w:eastAsia="zh-CN"/>
        </w:rPr>
        <w:t>1155.99</w:t>
      </w:r>
      <w:r>
        <w:rPr>
          <w:rFonts w:hint="eastAsia" w:ascii="仿宋_GB2312" w:hAnsi="仿宋_GB2312" w:eastAsia="仿宋_GB2312" w:cs="仿宋_GB2312"/>
          <w:color w:val="auto"/>
          <w:sz w:val="32"/>
          <w:szCs w:val="32"/>
          <w:highlight w:val="none"/>
        </w:rPr>
        <w:t>万元。与20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年相比，财政拨款收、支总计各增加</w:t>
      </w:r>
      <w:r>
        <w:rPr>
          <w:rFonts w:hint="eastAsia" w:ascii="仿宋_GB2312" w:hAnsi="仿宋_GB2312" w:eastAsia="仿宋_GB2312" w:cs="仿宋_GB2312"/>
          <w:color w:val="auto"/>
          <w:sz w:val="32"/>
          <w:szCs w:val="32"/>
          <w:highlight w:val="none"/>
          <w:lang w:val="en-US" w:eastAsia="zh-CN"/>
        </w:rPr>
        <w:t>202.35</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21.22</w:t>
      </w:r>
      <w:r>
        <w:rPr>
          <w:rFonts w:hint="eastAsia" w:ascii="仿宋_GB2312" w:hAnsi="仿宋_GB2312" w:eastAsia="仿宋_GB2312" w:cs="仿宋_GB2312"/>
          <w:color w:val="auto"/>
          <w:sz w:val="32"/>
          <w:szCs w:val="32"/>
          <w:highlight w:val="none"/>
        </w:rPr>
        <w:t>%。主要变动原因是</w:t>
      </w:r>
      <w:r>
        <w:rPr>
          <w:rFonts w:hint="eastAsia" w:ascii="仿宋_GB2312" w:hAnsi="仿宋_GB2312" w:eastAsia="仿宋_GB2312" w:cs="仿宋_GB2312"/>
          <w:kern w:val="0"/>
          <w:sz w:val="32"/>
          <w:szCs w:val="32"/>
          <w:shd w:val="clear" w:color="auto" w:fill="FFFFFF"/>
        </w:rPr>
        <w:t>政府基金预算拨款及人员</w:t>
      </w:r>
      <w:r>
        <w:rPr>
          <w:rFonts w:hint="eastAsia" w:ascii="仿宋_GB2312" w:hAnsi="仿宋_GB2312" w:eastAsia="仿宋_GB2312" w:cs="仿宋_GB2312"/>
          <w:kern w:val="0"/>
          <w:sz w:val="32"/>
          <w:szCs w:val="32"/>
          <w:shd w:val="clear" w:color="auto" w:fill="FFFFFF"/>
          <w:lang w:eastAsia="zh-CN"/>
        </w:rPr>
        <w:t>增加。</w:t>
      </w:r>
    </w:p>
    <w:p>
      <w:pPr>
        <w:pStyle w:val="6"/>
        <w:rPr>
          <w:rFonts w:ascii="仿宋" w:hAnsi="仿宋" w:eastAsia="仿宋"/>
          <w:color w:val="auto"/>
          <w:sz w:val="32"/>
          <w:szCs w:val="32"/>
          <w:highlight w:val="none"/>
        </w:rPr>
      </w:pPr>
      <w:r>
        <w:rPr>
          <w:rFonts w:hint="eastAsia"/>
          <w:lang w:eastAsia="zh-CN"/>
        </w:rPr>
        <w:drawing>
          <wp:inline distT="0" distB="0" distL="114300" distR="114300">
            <wp:extent cx="4956175" cy="2117725"/>
            <wp:effectExtent l="4445" t="4445" r="11430" b="1143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 w:hAnsi="仿宋" w:eastAsia="仿宋"/>
          <w:b/>
          <w:color w:val="auto"/>
          <w:sz w:val="32"/>
          <w:szCs w:val="32"/>
          <w:highlight w:val="none"/>
        </w:rPr>
      </w:pPr>
      <w:r>
        <w:rPr>
          <w:rFonts w:hint="eastAsia" w:ascii="仿宋" w:hAnsi="仿宋" w:eastAsia="仿宋"/>
          <w:color w:val="auto"/>
          <w:sz w:val="32"/>
          <w:szCs w:val="32"/>
          <w:highlight w:val="none"/>
        </w:rPr>
        <w:t>（图4：财政拨款收、支决算总计变动情况）</w:t>
      </w:r>
    </w:p>
    <w:p>
      <w:pPr>
        <w:spacing w:line="600" w:lineRule="exact"/>
        <w:ind w:firstLine="640" w:firstLineChars="200"/>
        <w:outlineLvl w:val="1"/>
        <w:rPr>
          <w:rFonts w:hint="eastAsia" w:ascii="黑体" w:hAnsi="黑体" w:eastAsia="黑体"/>
          <w:color w:val="auto"/>
          <w:sz w:val="32"/>
          <w:szCs w:val="32"/>
          <w:highlight w:val="none"/>
        </w:rPr>
      </w:pPr>
      <w:bookmarkStart w:id="58" w:name="_Toc15396607"/>
      <w:bookmarkStart w:id="59" w:name="_Toc6526"/>
      <w:bookmarkStart w:id="60" w:name="_Toc15377209"/>
      <w:bookmarkStart w:id="61" w:name="_Toc2805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Style w:val="31"/>
          <w:rFonts w:ascii="黑体" w:hAnsi="黑体" w:eastAsia="黑体"/>
          <w:b w:val="0"/>
          <w:color w:val="auto"/>
          <w:highlight w:val="none"/>
        </w:rPr>
      </w:pPr>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31"/>
          <w:rFonts w:hint="eastAsia" w:ascii="黑体" w:hAnsi="黑体" w:eastAsia="黑体"/>
          <w:b w:val="0"/>
          <w:color w:val="auto"/>
          <w:highlight w:val="none"/>
        </w:rPr>
        <w:t>般公共预算财政拨款支出决算情况说明</w:t>
      </w:r>
      <w:bookmarkEnd w:id="58"/>
      <w:bookmarkEnd w:id="59"/>
      <w:bookmarkEnd w:id="60"/>
      <w:bookmarkEnd w:id="61"/>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eastAsia" w:ascii="楷体" w:hAnsi="楷体" w:eastAsia="楷体" w:cs="楷体"/>
          <w:b/>
          <w:color w:val="auto"/>
          <w:sz w:val="32"/>
          <w:szCs w:val="32"/>
          <w:highlight w:val="none"/>
        </w:rPr>
      </w:pPr>
      <w:bookmarkStart w:id="62" w:name="_Toc3527"/>
      <w:bookmarkStart w:id="63" w:name="_Toc15377210"/>
      <w:r>
        <w:rPr>
          <w:rFonts w:hint="eastAsia" w:ascii="楷体" w:hAnsi="楷体" w:eastAsia="楷体" w:cs="楷体"/>
          <w:b/>
          <w:color w:val="auto"/>
          <w:sz w:val="32"/>
          <w:szCs w:val="32"/>
          <w:highlight w:val="none"/>
        </w:rPr>
        <w:t>（一）一般公共预算财政拨款支出决算总体情况</w:t>
      </w:r>
      <w:bookmarkEnd w:id="62"/>
      <w:bookmarkEnd w:id="6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年一般公共预算财政拨款支出</w:t>
      </w:r>
      <w:r>
        <w:rPr>
          <w:rFonts w:hint="eastAsia" w:ascii="仿宋_GB2312" w:hAnsi="仿宋_GB2312" w:eastAsia="仿宋_GB2312" w:cs="仿宋_GB2312"/>
          <w:color w:val="auto"/>
          <w:sz w:val="32"/>
          <w:szCs w:val="32"/>
          <w:highlight w:val="none"/>
          <w:lang w:val="en-US" w:eastAsia="zh-CN"/>
        </w:rPr>
        <w:t>1149.49</w:t>
      </w:r>
      <w:r>
        <w:rPr>
          <w:rFonts w:hint="eastAsia" w:ascii="仿宋_GB2312" w:hAnsi="仿宋_GB2312" w:eastAsia="仿宋_GB2312" w:cs="仿宋_GB2312"/>
          <w:color w:val="auto"/>
          <w:sz w:val="32"/>
          <w:szCs w:val="32"/>
          <w:highlight w:val="none"/>
        </w:rPr>
        <w:t>万元，占本年支出合计的</w:t>
      </w:r>
      <w:r>
        <w:rPr>
          <w:rFonts w:hint="eastAsia" w:ascii="仿宋_GB2312" w:hAnsi="仿宋_GB2312" w:eastAsia="仿宋_GB2312" w:cs="仿宋_GB2312"/>
          <w:color w:val="auto"/>
          <w:sz w:val="32"/>
          <w:szCs w:val="32"/>
          <w:highlight w:val="none"/>
          <w:lang w:val="en-US" w:eastAsia="zh-CN"/>
        </w:rPr>
        <w:t>99.44</w:t>
      </w:r>
      <w:r>
        <w:rPr>
          <w:rFonts w:hint="eastAsia" w:ascii="仿宋_GB2312" w:hAnsi="仿宋_GB2312" w:eastAsia="仿宋_GB2312" w:cs="仿宋_GB2312"/>
          <w:color w:val="auto"/>
          <w:sz w:val="32"/>
          <w:szCs w:val="32"/>
          <w:highlight w:val="none"/>
        </w:rPr>
        <w:t>%。与20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年相比，一般公共预算财政拨款</w:t>
      </w:r>
      <w:r>
        <w:rPr>
          <w:rFonts w:hint="eastAsia" w:ascii="仿宋_GB2312" w:hAnsi="仿宋_GB2312" w:eastAsia="仿宋_GB2312" w:cs="仿宋_GB2312"/>
          <w:color w:val="auto"/>
          <w:sz w:val="32"/>
          <w:szCs w:val="32"/>
          <w:highlight w:val="none"/>
          <w:lang w:eastAsia="zh-CN"/>
        </w:rPr>
        <w:t>支出</w:t>
      </w:r>
      <w:r>
        <w:rPr>
          <w:rFonts w:hint="eastAsia" w:ascii="仿宋_GB2312" w:hAnsi="仿宋_GB2312" w:eastAsia="仿宋_GB2312" w:cs="仿宋_GB2312"/>
          <w:color w:val="auto"/>
          <w:sz w:val="32"/>
          <w:szCs w:val="32"/>
          <w:highlight w:val="none"/>
        </w:rPr>
        <w:t>增加</w:t>
      </w:r>
      <w:r>
        <w:rPr>
          <w:rFonts w:hint="eastAsia" w:ascii="仿宋_GB2312" w:hAnsi="仿宋_GB2312" w:eastAsia="仿宋_GB2312" w:cs="仿宋_GB2312"/>
          <w:color w:val="auto"/>
          <w:sz w:val="32"/>
          <w:szCs w:val="32"/>
          <w:highlight w:val="none"/>
          <w:lang w:val="en-US" w:eastAsia="zh-CN"/>
        </w:rPr>
        <w:t>195.85</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20.53</w:t>
      </w:r>
      <w:r>
        <w:rPr>
          <w:rFonts w:hint="eastAsia" w:ascii="仿宋_GB2312" w:hAnsi="仿宋_GB2312" w:eastAsia="仿宋_GB2312" w:cs="仿宋_GB2312"/>
          <w:color w:val="auto"/>
          <w:sz w:val="32"/>
          <w:szCs w:val="32"/>
          <w:highlight w:val="none"/>
        </w:rPr>
        <w:t>%。主要变动原因是</w:t>
      </w:r>
      <w:r>
        <w:rPr>
          <w:rFonts w:hint="eastAsia" w:ascii="仿宋_GB2312" w:hAnsi="仿宋_GB2312" w:eastAsia="仿宋_GB2312" w:cs="仿宋_GB2312"/>
          <w:kern w:val="0"/>
          <w:sz w:val="32"/>
          <w:szCs w:val="32"/>
          <w:shd w:val="clear" w:color="auto" w:fill="FFFFFF"/>
        </w:rPr>
        <w:t>人员</w:t>
      </w:r>
      <w:r>
        <w:rPr>
          <w:rFonts w:hint="eastAsia" w:ascii="仿宋_GB2312" w:hAnsi="仿宋_GB2312" w:eastAsia="仿宋_GB2312" w:cs="仿宋_GB2312"/>
          <w:kern w:val="0"/>
          <w:sz w:val="32"/>
          <w:szCs w:val="32"/>
          <w:shd w:val="clear" w:color="auto" w:fill="FFFFFF"/>
          <w:lang w:eastAsia="zh-CN"/>
        </w:rPr>
        <w:t>增加。</w:t>
      </w:r>
    </w:p>
    <w:p>
      <w:pPr>
        <w:pStyle w:val="6"/>
        <w:jc w:val="center"/>
        <w:rPr>
          <w:rFonts w:ascii="仿宋" w:hAnsi="仿宋" w:eastAsia="仿宋"/>
          <w:color w:val="auto"/>
          <w:sz w:val="32"/>
          <w:szCs w:val="32"/>
          <w:highlight w:val="none"/>
        </w:rPr>
      </w:pPr>
      <w:r>
        <w:rPr>
          <w:rFonts w:hint="eastAsia"/>
          <w:lang w:eastAsia="zh-CN"/>
        </w:rPr>
        <w:drawing>
          <wp:inline distT="0" distB="0" distL="114300" distR="114300">
            <wp:extent cx="4432300" cy="2166620"/>
            <wp:effectExtent l="4445" t="4445" r="20955" b="1968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pPr>
      <w:r>
        <w:rPr>
          <w:rFonts w:hint="eastAsia" w:ascii="仿宋" w:hAnsi="仿宋" w:eastAsia="仿宋"/>
          <w:color w:val="auto"/>
          <w:sz w:val="32"/>
          <w:szCs w:val="32"/>
          <w:highlight w:val="none"/>
        </w:rPr>
        <w:t>（图5：一般公共预算财政拨款支出决算变动情况）</w:t>
      </w:r>
    </w:p>
    <w:p>
      <w:pPr>
        <w:spacing w:line="600" w:lineRule="exact"/>
        <w:ind w:firstLine="643" w:firstLineChars="200"/>
        <w:outlineLvl w:val="2"/>
        <w:rPr>
          <w:rFonts w:hint="eastAsia" w:ascii="楷体" w:hAnsi="楷体" w:eastAsia="楷体" w:cs="楷体"/>
          <w:b/>
          <w:color w:val="auto"/>
          <w:sz w:val="32"/>
          <w:szCs w:val="32"/>
          <w:highlight w:val="none"/>
        </w:rPr>
      </w:pPr>
      <w:bookmarkStart w:id="64" w:name="_Toc15377211"/>
      <w:bookmarkStart w:id="65" w:name="_Toc14391"/>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eastAsia" w:ascii="楷体" w:hAnsi="楷体" w:eastAsia="楷体" w:cs="楷体"/>
          <w:b/>
          <w:color w:val="auto"/>
          <w:sz w:val="32"/>
          <w:szCs w:val="32"/>
          <w:highlight w:val="none"/>
        </w:rPr>
      </w:pPr>
      <w:r>
        <w:rPr>
          <w:rFonts w:hint="eastAsia" w:ascii="楷体" w:hAnsi="楷体" w:eastAsia="楷体" w:cs="楷体"/>
          <w:b/>
          <w:color w:val="auto"/>
          <w:sz w:val="32"/>
          <w:szCs w:val="32"/>
          <w:highlight w:val="none"/>
        </w:rPr>
        <w:t>（二）一般公共预算财政拨款支出决算结构情况</w:t>
      </w:r>
      <w:bookmarkEnd w:id="64"/>
      <w:bookmarkEnd w:id="6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1149.49</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一般公共服务</w:t>
      </w:r>
      <w:r>
        <w:rPr>
          <w:rFonts w:hint="eastAsia" w:ascii="仿宋" w:hAnsi="仿宋" w:eastAsia="仿宋"/>
          <w:b/>
          <w:bCs/>
          <w:color w:val="auto"/>
          <w:sz w:val="32"/>
          <w:szCs w:val="32"/>
          <w:highlight w:val="none"/>
        </w:rPr>
        <w:t>支出</w:t>
      </w:r>
      <w:r>
        <w:rPr>
          <w:rFonts w:hint="eastAsia" w:ascii="仿宋" w:hAnsi="仿宋" w:eastAsia="仿宋"/>
          <w:color w:val="auto"/>
          <w:sz w:val="32"/>
          <w:szCs w:val="32"/>
          <w:highlight w:val="none"/>
          <w:lang w:val="en-US" w:eastAsia="zh-CN"/>
        </w:rPr>
        <w:t>571.32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49.7</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lang w:eastAsia="zh-CN"/>
        </w:rPr>
        <w:t>国防</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lang w:val="en-US" w:eastAsia="zh-CN"/>
        </w:rPr>
        <w:t>2万元，占0.17%；</w:t>
      </w:r>
      <w:r>
        <w:rPr>
          <w:rFonts w:hint="eastAsia" w:ascii="仿宋" w:hAnsi="仿宋" w:eastAsia="仿宋"/>
          <w:b/>
          <w:bCs/>
          <w:color w:val="auto"/>
          <w:sz w:val="32"/>
          <w:szCs w:val="32"/>
          <w:highlight w:val="none"/>
          <w:lang w:val="en-US" w:eastAsia="zh-CN"/>
        </w:rPr>
        <w:t>公共安全</w:t>
      </w:r>
      <w:r>
        <w:rPr>
          <w:rFonts w:hint="eastAsia" w:ascii="仿宋" w:hAnsi="仿宋" w:eastAsia="仿宋"/>
          <w:color w:val="auto"/>
          <w:sz w:val="32"/>
          <w:szCs w:val="32"/>
          <w:highlight w:val="none"/>
          <w:lang w:val="en-US" w:eastAsia="zh-CN"/>
        </w:rPr>
        <w:t>支出3.88万元，占0.34%；</w:t>
      </w:r>
      <w:r>
        <w:rPr>
          <w:rFonts w:hint="eastAsia" w:ascii="仿宋" w:hAnsi="仿宋" w:eastAsia="仿宋"/>
          <w:b/>
          <w:bCs/>
          <w:color w:val="auto"/>
          <w:sz w:val="32"/>
          <w:szCs w:val="32"/>
          <w:highlight w:val="none"/>
        </w:rPr>
        <w:t>文化旅游体育与传媒支出</w:t>
      </w:r>
      <w:r>
        <w:rPr>
          <w:rFonts w:hint="eastAsia" w:ascii="仿宋" w:hAnsi="仿宋" w:eastAsia="仿宋"/>
          <w:b/>
          <w:bCs/>
          <w:color w:val="auto"/>
          <w:sz w:val="32"/>
          <w:szCs w:val="32"/>
          <w:highlight w:val="none"/>
          <w:lang w:val="en-US" w:eastAsia="zh-CN"/>
        </w:rPr>
        <w:t>4.47</w:t>
      </w:r>
      <w:r>
        <w:rPr>
          <w:rFonts w:hint="eastAsia" w:ascii="仿宋" w:hAnsi="仿宋" w:eastAsia="仿宋"/>
          <w:b/>
          <w:bCs/>
          <w:color w:val="auto"/>
          <w:sz w:val="32"/>
          <w:szCs w:val="32"/>
          <w:highlight w:val="none"/>
        </w:rPr>
        <w:t>万元，占</w:t>
      </w:r>
      <w:r>
        <w:rPr>
          <w:rFonts w:hint="eastAsia" w:ascii="仿宋" w:hAnsi="仿宋" w:eastAsia="仿宋"/>
          <w:b/>
          <w:bCs/>
          <w:color w:val="auto"/>
          <w:sz w:val="32"/>
          <w:szCs w:val="32"/>
          <w:highlight w:val="none"/>
          <w:lang w:val="en-US" w:eastAsia="zh-CN"/>
        </w:rPr>
        <w:t>0.39</w:t>
      </w:r>
      <w:r>
        <w:rPr>
          <w:rFonts w:ascii="仿宋" w:hAnsi="仿宋" w:eastAsia="仿宋"/>
          <w:b/>
          <w:bCs/>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社会保障和就业</w:t>
      </w:r>
      <w:r>
        <w:rPr>
          <w:rFonts w:hint="eastAsia" w:ascii="仿宋" w:hAnsi="仿宋" w:eastAsia="仿宋"/>
          <w:b/>
          <w:bCs/>
          <w:color w:val="auto"/>
          <w:sz w:val="32"/>
          <w:szCs w:val="32"/>
          <w:highlight w:val="none"/>
        </w:rPr>
        <w:t>支出</w:t>
      </w:r>
      <w:r>
        <w:rPr>
          <w:rFonts w:hint="eastAsia" w:ascii="仿宋" w:hAnsi="仿宋" w:eastAsia="仿宋"/>
          <w:color w:val="auto"/>
          <w:sz w:val="32"/>
          <w:szCs w:val="32"/>
          <w:highlight w:val="none"/>
        </w:rPr>
        <w:t>116.65万元，占</w:t>
      </w:r>
      <w:r>
        <w:rPr>
          <w:rFonts w:hint="eastAsia" w:ascii="仿宋" w:hAnsi="仿宋" w:eastAsia="仿宋"/>
          <w:color w:val="auto"/>
          <w:sz w:val="32"/>
          <w:szCs w:val="32"/>
          <w:highlight w:val="none"/>
          <w:lang w:val="en-US" w:eastAsia="zh-CN"/>
        </w:rPr>
        <w:t>10.15</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color w:val="auto"/>
          <w:sz w:val="32"/>
          <w:szCs w:val="32"/>
          <w:highlight w:val="none"/>
          <w:lang w:val="en-US" w:eastAsia="zh-CN"/>
        </w:rPr>
        <w:t>34.46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城乡社区支出</w:t>
      </w:r>
      <w:r>
        <w:rPr>
          <w:rFonts w:hint="eastAsia" w:ascii="仿宋" w:hAnsi="仿宋" w:eastAsia="仿宋"/>
          <w:b/>
          <w:bCs/>
          <w:color w:val="auto"/>
          <w:sz w:val="32"/>
          <w:szCs w:val="32"/>
          <w:highlight w:val="none"/>
          <w:lang w:val="en-US" w:eastAsia="zh-CN"/>
        </w:rPr>
        <w:t>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0.17</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农林水</w:t>
      </w:r>
      <w:r>
        <w:rPr>
          <w:rFonts w:hint="eastAsia" w:ascii="仿宋" w:hAnsi="仿宋" w:eastAsia="仿宋"/>
          <w:color w:val="auto"/>
          <w:sz w:val="32"/>
          <w:szCs w:val="32"/>
          <w:highlight w:val="none"/>
        </w:rPr>
        <w:t>支出</w:t>
      </w:r>
      <w:r>
        <w:rPr>
          <w:rFonts w:hint="eastAsia" w:ascii="仿宋" w:hAnsi="仿宋" w:eastAsia="仿宋"/>
          <w:b/>
          <w:bCs/>
          <w:color w:val="auto"/>
          <w:sz w:val="32"/>
          <w:szCs w:val="32"/>
          <w:highlight w:val="none"/>
          <w:lang w:val="en-US" w:eastAsia="zh-CN"/>
        </w:rPr>
        <w:t>360.99万元，占31.4%；住房保障支出53.72万元，占4.67%</w:t>
      </w:r>
      <w:r>
        <w:rPr>
          <w:rFonts w:hint="eastAsia" w:ascii="仿宋" w:hAnsi="仿宋" w:eastAsia="仿宋"/>
          <w:color w:val="auto"/>
          <w:sz w:val="32"/>
          <w:szCs w:val="32"/>
          <w:highlight w:val="none"/>
        </w:rPr>
        <w:t>。</w:t>
      </w:r>
    </w:p>
    <w:p>
      <w:pPr>
        <w:pStyle w:val="6"/>
        <w:rPr>
          <w:rFonts w:hint="eastAsia" w:eastAsia="仿宋"/>
          <w:lang w:eastAsia="zh-CN"/>
        </w:rPr>
      </w:pPr>
      <w:r>
        <w:rPr>
          <w:rFonts w:hint="eastAsia" w:eastAsia="仿宋"/>
          <w:lang w:eastAsia="zh-CN"/>
        </w:rPr>
        <w:drawing>
          <wp:inline distT="0" distB="0" distL="114300" distR="114300">
            <wp:extent cx="5955030" cy="2943225"/>
            <wp:effectExtent l="4445" t="4445" r="22225" b="508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pPr>
      <w:r>
        <w:rPr>
          <w:rFonts w:hint="eastAsia" w:ascii="仿宋" w:hAnsi="仿宋" w:eastAsia="仿宋"/>
          <w:color w:val="auto"/>
          <w:sz w:val="32"/>
          <w:szCs w:val="32"/>
          <w:highlight w:val="none"/>
        </w:rPr>
        <w:t>（图6：一般公共预算财政拨款支出决算结构）</w:t>
      </w:r>
    </w:p>
    <w:p>
      <w:pPr>
        <w:spacing w:line="600" w:lineRule="exact"/>
        <w:ind w:firstLine="643" w:firstLineChars="200"/>
        <w:outlineLvl w:val="2"/>
        <w:rPr>
          <w:rFonts w:hint="eastAsia" w:ascii="楷体" w:hAnsi="楷体" w:eastAsia="楷体" w:cs="楷体"/>
          <w:b/>
          <w:color w:val="auto"/>
          <w:sz w:val="32"/>
          <w:szCs w:val="32"/>
          <w:highlight w:val="none"/>
        </w:rPr>
      </w:pPr>
      <w:bookmarkStart w:id="66" w:name="_Toc27115"/>
      <w:bookmarkStart w:id="67" w:name="_Toc15377212"/>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eastAsia" w:ascii="楷体" w:hAnsi="楷体" w:eastAsia="楷体" w:cs="楷体"/>
          <w:b/>
          <w:color w:val="auto"/>
          <w:sz w:val="32"/>
          <w:szCs w:val="32"/>
          <w:highlight w:val="none"/>
        </w:rPr>
      </w:pPr>
      <w:r>
        <w:rPr>
          <w:rFonts w:hint="eastAsia" w:ascii="楷体" w:hAnsi="楷体" w:eastAsia="楷体" w:cs="楷体"/>
          <w:b/>
          <w:color w:val="auto"/>
          <w:sz w:val="32"/>
          <w:szCs w:val="32"/>
          <w:highlight w:val="none"/>
        </w:rPr>
        <w:t>（三）一般公共预算财政拨款支出决算具体情况</w:t>
      </w:r>
      <w:bookmarkEnd w:id="66"/>
      <w:bookmarkEnd w:id="67"/>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1"/>
        <w:rPr>
          <w:rFonts w:ascii="仿宋" w:hAnsi="仿宋" w:eastAsia="仿宋"/>
          <w:color w:val="auto"/>
          <w:sz w:val="32"/>
          <w:szCs w:val="32"/>
          <w:highlight w:val="none"/>
        </w:rPr>
      </w:pPr>
      <w:bookmarkStart w:id="68" w:name="_Toc15377213"/>
      <w:bookmarkStart w:id="69" w:name="_Toc15994"/>
      <w:bookmarkStart w:id="70" w:name="_Toc29458"/>
      <w:bookmarkStart w:id="71" w:name="_Toc15377444"/>
      <w:bookmarkStart w:id="72" w:name="_Toc7523"/>
      <w:bookmarkStart w:id="73" w:name="_Toc15378460"/>
      <w:bookmarkStart w:id="74" w:name="_Toc2868"/>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22</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1155.99万元，</w:t>
      </w:r>
      <w:r>
        <w:rPr>
          <w:rStyle w:val="19"/>
          <w:rFonts w:hint="eastAsia" w:ascii="仿宋" w:hAnsi="仿宋" w:eastAsia="仿宋"/>
          <w:bCs/>
          <w:color w:val="auto"/>
          <w:sz w:val="32"/>
          <w:szCs w:val="32"/>
          <w:highlight w:val="none"/>
        </w:rPr>
        <w:t>完成预算</w:t>
      </w:r>
      <w:r>
        <w:rPr>
          <w:rStyle w:val="19"/>
          <w:rFonts w:hint="eastAsia" w:ascii="仿宋" w:hAnsi="仿宋" w:eastAsia="仿宋"/>
          <w:bCs/>
          <w:color w:val="auto"/>
          <w:sz w:val="32"/>
          <w:szCs w:val="32"/>
          <w:highlight w:val="none"/>
          <w:lang w:val="en-US" w:eastAsia="zh-CN"/>
        </w:rPr>
        <w:t>100</w:t>
      </w:r>
      <w:r>
        <w:rPr>
          <w:rStyle w:val="19"/>
          <w:rFonts w:ascii="仿宋" w:hAnsi="仿宋" w:eastAsia="仿宋"/>
          <w:bCs/>
          <w:color w:val="auto"/>
          <w:sz w:val="32"/>
          <w:szCs w:val="32"/>
          <w:highlight w:val="none"/>
        </w:rPr>
        <w:t>%</w:t>
      </w:r>
      <w:r>
        <w:rPr>
          <w:rStyle w:val="19"/>
          <w:rFonts w:hint="eastAsia" w:ascii="仿宋" w:hAnsi="仿宋" w:eastAsia="仿宋"/>
          <w:bCs/>
          <w:color w:val="auto"/>
          <w:sz w:val="32"/>
          <w:szCs w:val="32"/>
          <w:highlight w:val="none"/>
        </w:rPr>
        <w:t>。其中：</w:t>
      </w:r>
      <w:bookmarkEnd w:id="68"/>
      <w:bookmarkEnd w:id="69"/>
      <w:bookmarkEnd w:id="70"/>
      <w:bookmarkEnd w:id="71"/>
      <w:bookmarkEnd w:id="72"/>
      <w:bookmarkEnd w:id="73"/>
      <w:bookmarkEnd w:id="7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b w:val="0"/>
          <w:bCs w:val="0"/>
          <w:color w:val="auto"/>
          <w:sz w:val="32"/>
          <w:szCs w:val="32"/>
          <w:highlight w:val="none"/>
          <w:lang w:val="en-US" w:eastAsia="zh-CN"/>
        </w:rPr>
      </w:pPr>
      <w:r>
        <w:rPr>
          <w:rFonts w:hint="eastAsia" w:ascii="仿宋" w:hAnsi="仿宋" w:eastAsia="仿宋"/>
          <w:b w:val="0"/>
          <w:bCs w:val="0"/>
          <w:color w:val="auto"/>
          <w:sz w:val="32"/>
          <w:szCs w:val="32"/>
          <w:highlight w:val="none"/>
          <w:lang w:val="en-US" w:eastAsia="zh-CN"/>
        </w:rPr>
        <w:t>1.一般公共服务（类）人大事务（款）行政运行（项）:支出决算为8.56万元，完成预算100%。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b w:val="0"/>
          <w:bCs w:val="0"/>
          <w:color w:val="auto"/>
          <w:sz w:val="32"/>
          <w:szCs w:val="32"/>
          <w:highlight w:val="none"/>
          <w:lang w:val="en-US" w:eastAsia="zh-CN"/>
        </w:rPr>
      </w:pPr>
      <w:r>
        <w:rPr>
          <w:rFonts w:hint="eastAsia" w:ascii="仿宋" w:hAnsi="仿宋" w:eastAsia="仿宋"/>
          <w:b w:val="0"/>
          <w:bCs w:val="0"/>
          <w:color w:val="auto"/>
          <w:sz w:val="32"/>
          <w:szCs w:val="32"/>
          <w:highlight w:val="none"/>
          <w:lang w:val="en-US" w:eastAsia="zh-CN"/>
        </w:rPr>
        <w:t>2.一般公共服务（类）人大事务（款）代表工作（项）:支出决算为1.44万元，完成预算100%。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b w:val="0"/>
          <w:bCs w:val="0"/>
          <w:color w:val="auto"/>
          <w:sz w:val="32"/>
          <w:szCs w:val="32"/>
          <w:highlight w:val="none"/>
          <w:lang w:val="en-US" w:eastAsia="zh-CN"/>
        </w:rPr>
      </w:pPr>
      <w:r>
        <w:rPr>
          <w:rFonts w:hint="eastAsia" w:ascii="仿宋" w:hAnsi="仿宋" w:eastAsia="仿宋"/>
          <w:b w:val="0"/>
          <w:bCs w:val="0"/>
          <w:color w:val="auto"/>
          <w:sz w:val="32"/>
          <w:szCs w:val="32"/>
          <w:highlight w:val="none"/>
          <w:lang w:val="en-US" w:eastAsia="zh-CN"/>
        </w:rPr>
        <w:t>3.一般公共服务（类）人大事务（款）其他人大事务支出（项）:支出决算为1.5万元，完成预算100%。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b w:val="0"/>
          <w:bCs w:val="0"/>
          <w:color w:val="auto"/>
          <w:sz w:val="32"/>
          <w:szCs w:val="32"/>
          <w:highlight w:val="none"/>
          <w:lang w:val="en-US" w:eastAsia="zh-CN"/>
        </w:rPr>
      </w:pPr>
      <w:r>
        <w:rPr>
          <w:rFonts w:hint="eastAsia" w:ascii="仿宋" w:hAnsi="仿宋" w:eastAsia="仿宋"/>
          <w:b w:val="0"/>
          <w:bCs w:val="0"/>
          <w:color w:val="auto"/>
          <w:sz w:val="32"/>
          <w:szCs w:val="32"/>
          <w:highlight w:val="none"/>
          <w:lang w:val="en-US" w:eastAsia="zh-CN"/>
        </w:rPr>
        <w:t>4.一般公共服务（类）政府办公厅（室）及相关机构事务（款）行政运行（项）:支出决算为529.88万元，完成预算100%。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b w:val="0"/>
          <w:bCs w:val="0"/>
          <w:color w:val="auto"/>
          <w:sz w:val="32"/>
          <w:szCs w:val="32"/>
          <w:highlight w:val="none"/>
          <w:lang w:val="en-US" w:eastAsia="zh-CN"/>
        </w:rPr>
      </w:pPr>
      <w:r>
        <w:rPr>
          <w:rFonts w:hint="eastAsia" w:ascii="仿宋" w:hAnsi="仿宋" w:eastAsia="仿宋"/>
          <w:b w:val="0"/>
          <w:bCs w:val="0"/>
          <w:color w:val="auto"/>
          <w:sz w:val="32"/>
          <w:szCs w:val="32"/>
          <w:highlight w:val="none"/>
          <w:lang w:val="en-US" w:eastAsia="zh-CN"/>
        </w:rPr>
        <w:t>5.一般公共服务（类）财政事务（款）行政运行（项）:支出决算为14.74万元，完成预算100%。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b w:val="0"/>
          <w:bCs w:val="0"/>
          <w:color w:val="auto"/>
          <w:sz w:val="32"/>
          <w:szCs w:val="32"/>
          <w:highlight w:val="none"/>
          <w:lang w:val="en-US" w:eastAsia="zh-CN"/>
        </w:rPr>
      </w:pPr>
      <w:r>
        <w:rPr>
          <w:rFonts w:hint="eastAsia" w:ascii="仿宋" w:hAnsi="仿宋" w:eastAsia="仿宋"/>
          <w:b w:val="0"/>
          <w:bCs w:val="0"/>
          <w:color w:val="auto"/>
          <w:sz w:val="32"/>
          <w:szCs w:val="32"/>
          <w:highlight w:val="none"/>
          <w:lang w:val="en-US" w:eastAsia="zh-CN"/>
        </w:rPr>
        <w:t>6.一般公共服务（类）纪检监察事务（款）行政运行（项）:支出决算为6.99万元，完成预算100%。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b w:val="0"/>
          <w:bCs w:val="0"/>
          <w:color w:val="auto"/>
          <w:sz w:val="32"/>
          <w:szCs w:val="32"/>
          <w:highlight w:val="none"/>
          <w:lang w:val="en-US" w:eastAsia="zh-CN"/>
        </w:rPr>
      </w:pPr>
      <w:r>
        <w:rPr>
          <w:rFonts w:hint="eastAsia" w:ascii="仿宋" w:hAnsi="仿宋" w:eastAsia="仿宋"/>
          <w:b w:val="0"/>
          <w:bCs w:val="0"/>
          <w:color w:val="auto"/>
          <w:sz w:val="32"/>
          <w:szCs w:val="32"/>
          <w:highlight w:val="none"/>
          <w:lang w:val="en-US" w:eastAsia="zh-CN"/>
        </w:rPr>
        <w:t>7.一般公共服务（类）党委办公厅（室）及相关机构事务（款）行政运行（项）:支出决算为8.21万元，完成预算100%。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b w:val="0"/>
          <w:bCs w:val="0"/>
          <w:color w:val="auto"/>
          <w:sz w:val="32"/>
          <w:szCs w:val="32"/>
          <w:highlight w:val="none"/>
          <w:lang w:val="en-US" w:eastAsia="zh-CN"/>
        </w:rPr>
      </w:pPr>
      <w:r>
        <w:rPr>
          <w:rFonts w:hint="eastAsia" w:ascii="仿宋" w:hAnsi="仿宋" w:eastAsia="仿宋"/>
          <w:b w:val="0"/>
          <w:bCs w:val="0"/>
          <w:color w:val="auto"/>
          <w:sz w:val="32"/>
          <w:szCs w:val="32"/>
          <w:highlight w:val="none"/>
          <w:lang w:val="en-US" w:eastAsia="zh-CN"/>
        </w:rPr>
        <w:t>8.国防支出（类）其他国防支出（款）其他国防支出（项）:支出决算为2万元，完成预算100%。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b w:val="0"/>
          <w:bCs w:val="0"/>
          <w:sz w:val="32"/>
          <w:szCs w:val="32"/>
        </w:rPr>
      </w:pPr>
      <w:r>
        <w:rPr>
          <w:rFonts w:hint="eastAsia" w:ascii="仿宋" w:hAnsi="仿宋" w:eastAsia="仿宋"/>
          <w:b w:val="0"/>
          <w:bCs w:val="0"/>
          <w:color w:val="auto"/>
          <w:sz w:val="32"/>
          <w:szCs w:val="32"/>
          <w:highlight w:val="none"/>
          <w:lang w:val="en-US" w:eastAsia="zh-CN"/>
        </w:rPr>
        <w:t>9.</w:t>
      </w:r>
      <w:r>
        <w:rPr>
          <w:rFonts w:hint="eastAsia" w:ascii="仿宋" w:hAnsi="仿宋" w:eastAsia="仿宋"/>
          <w:b w:val="0"/>
          <w:bCs w:val="0"/>
          <w:color w:val="auto"/>
          <w:sz w:val="32"/>
          <w:szCs w:val="32"/>
          <w:highlight w:val="none"/>
        </w:rPr>
        <w:t>公共安全支出</w:t>
      </w:r>
      <w:r>
        <w:rPr>
          <w:rStyle w:val="19"/>
          <w:rFonts w:hint="eastAsia" w:ascii="仿宋" w:hAnsi="仿宋" w:eastAsia="仿宋"/>
          <w:b w:val="0"/>
          <w:bCs w:val="0"/>
          <w:color w:val="auto"/>
          <w:sz w:val="32"/>
          <w:szCs w:val="32"/>
          <w:highlight w:val="none"/>
        </w:rPr>
        <w:t>（类）其他公共安全支出（款）其他公共安全支出（项）</w:t>
      </w:r>
      <w:r>
        <w:rPr>
          <w:rStyle w:val="19"/>
          <w:rFonts w:ascii="仿宋" w:hAnsi="仿宋" w:eastAsia="仿宋"/>
          <w:b w:val="0"/>
          <w:bCs w:val="0"/>
          <w:color w:val="auto"/>
          <w:sz w:val="32"/>
          <w:szCs w:val="32"/>
          <w:highlight w:val="none"/>
        </w:rPr>
        <w:t>:</w:t>
      </w:r>
      <w:r>
        <w:rPr>
          <w:rStyle w:val="19"/>
          <w:rFonts w:hint="eastAsia" w:ascii="仿宋" w:hAnsi="仿宋" w:eastAsia="仿宋"/>
          <w:b w:val="0"/>
          <w:bCs w:val="0"/>
          <w:color w:val="auto"/>
          <w:sz w:val="32"/>
          <w:szCs w:val="32"/>
          <w:highlight w:val="none"/>
        </w:rPr>
        <w:t>支出决算为</w:t>
      </w:r>
      <w:r>
        <w:rPr>
          <w:rStyle w:val="19"/>
          <w:rFonts w:hint="eastAsia" w:ascii="仿宋" w:hAnsi="仿宋" w:eastAsia="仿宋"/>
          <w:b w:val="0"/>
          <w:bCs w:val="0"/>
          <w:color w:val="auto"/>
          <w:sz w:val="32"/>
          <w:szCs w:val="32"/>
          <w:highlight w:val="none"/>
          <w:lang w:val="en-US" w:eastAsia="zh-CN"/>
        </w:rPr>
        <w:t>3.88</w:t>
      </w:r>
      <w:r>
        <w:rPr>
          <w:rStyle w:val="19"/>
          <w:rFonts w:hint="eastAsia" w:ascii="仿宋" w:hAnsi="仿宋" w:eastAsia="仿宋"/>
          <w:b w:val="0"/>
          <w:bCs w:val="0"/>
          <w:color w:val="auto"/>
          <w:sz w:val="32"/>
          <w:szCs w:val="32"/>
          <w:highlight w:val="none"/>
        </w:rPr>
        <w:t>万元，完成预算</w:t>
      </w:r>
      <w:r>
        <w:rPr>
          <w:rStyle w:val="19"/>
          <w:rFonts w:hint="eastAsia" w:ascii="仿宋" w:hAnsi="仿宋" w:eastAsia="仿宋"/>
          <w:b w:val="0"/>
          <w:bCs w:val="0"/>
          <w:color w:val="auto"/>
          <w:sz w:val="32"/>
          <w:szCs w:val="32"/>
          <w:highlight w:val="none"/>
          <w:lang w:val="en-US" w:eastAsia="zh-CN"/>
        </w:rPr>
        <w:t>100</w:t>
      </w:r>
      <w:r>
        <w:rPr>
          <w:rStyle w:val="19"/>
          <w:rFonts w:ascii="仿宋" w:hAnsi="仿宋" w:eastAsia="仿宋"/>
          <w:b w:val="0"/>
          <w:bCs w:val="0"/>
          <w:color w:val="auto"/>
          <w:sz w:val="32"/>
          <w:szCs w:val="32"/>
          <w:highlight w:val="none"/>
        </w:rPr>
        <w:t>%</w:t>
      </w:r>
      <w:r>
        <w:rPr>
          <w:rStyle w:val="19"/>
          <w:rFonts w:hint="eastAsia" w:ascii="仿宋" w:hAnsi="仿宋" w:eastAsia="仿宋"/>
          <w:b w:val="0"/>
          <w:bCs w:val="0"/>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19"/>
          <w:rFonts w:hint="eastAsia" w:ascii="仿宋" w:hAnsi="仿宋" w:eastAsia="仿宋"/>
          <w:b w:val="0"/>
          <w:bCs w:val="0"/>
          <w:color w:val="auto"/>
          <w:sz w:val="32"/>
          <w:szCs w:val="32"/>
          <w:highlight w:val="none"/>
          <w:lang w:eastAsia="zh-CN"/>
        </w:rPr>
      </w:pPr>
      <w:r>
        <w:rPr>
          <w:rStyle w:val="19"/>
          <w:rFonts w:hint="eastAsia" w:ascii="仿宋" w:hAnsi="仿宋" w:eastAsia="仿宋"/>
          <w:b w:val="0"/>
          <w:bCs w:val="0"/>
          <w:color w:val="auto"/>
          <w:sz w:val="32"/>
          <w:szCs w:val="32"/>
          <w:highlight w:val="none"/>
          <w:lang w:val="en-US" w:eastAsia="zh-CN"/>
        </w:rPr>
        <w:t>10</w:t>
      </w:r>
      <w:r>
        <w:rPr>
          <w:rStyle w:val="19"/>
          <w:rFonts w:ascii="仿宋" w:hAnsi="仿宋" w:eastAsia="仿宋"/>
          <w:b w:val="0"/>
          <w:bCs w:val="0"/>
          <w:color w:val="auto"/>
          <w:sz w:val="32"/>
          <w:szCs w:val="32"/>
          <w:highlight w:val="none"/>
        </w:rPr>
        <w:t>.</w:t>
      </w:r>
      <w:r>
        <w:rPr>
          <w:rStyle w:val="19"/>
          <w:rFonts w:hint="eastAsia" w:ascii="仿宋" w:hAnsi="仿宋" w:eastAsia="仿宋"/>
          <w:b w:val="0"/>
          <w:bCs w:val="0"/>
          <w:color w:val="auto"/>
          <w:sz w:val="32"/>
          <w:szCs w:val="32"/>
          <w:highlight w:val="none"/>
        </w:rPr>
        <w:t>文化旅游体育与传媒（类）文化和旅游（款</w:t>
      </w:r>
      <w:r>
        <w:rPr>
          <w:rStyle w:val="19"/>
          <w:rFonts w:hint="eastAsia" w:ascii="仿宋" w:hAnsi="仿宋" w:eastAsia="仿宋"/>
          <w:b w:val="0"/>
          <w:bCs w:val="0"/>
          <w:color w:val="auto"/>
          <w:sz w:val="32"/>
          <w:szCs w:val="32"/>
          <w:highlight w:val="none"/>
          <w:lang w:eastAsia="zh-CN"/>
        </w:rPr>
        <w:t>）</w:t>
      </w:r>
      <w:r>
        <w:rPr>
          <w:rStyle w:val="19"/>
          <w:rFonts w:hint="eastAsia" w:ascii="仿宋" w:hAnsi="仿宋" w:eastAsia="仿宋"/>
          <w:b w:val="0"/>
          <w:bCs w:val="0"/>
          <w:color w:val="auto"/>
          <w:sz w:val="32"/>
          <w:szCs w:val="32"/>
          <w:highlight w:val="none"/>
        </w:rPr>
        <w:t>群众文化（项）</w:t>
      </w:r>
      <w:r>
        <w:rPr>
          <w:rStyle w:val="19"/>
          <w:rFonts w:ascii="仿宋" w:hAnsi="仿宋" w:eastAsia="仿宋"/>
          <w:b w:val="0"/>
          <w:bCs w:val="0"/>
          <w:color w:val="auto"/>
          <w:sz w:val="32"/>
          <w:szCs w:val="32"/>
          <w:highlight w:val="none"/>
        </w:rPr>
        <w:t>:</w:t>
      </w:r>
      <w:r>
        <w:rPr>
          <w:rStyle w:val="19"/>
          <w:rFonts w:hint="eastAsia" w:ascii="仿宋" w:hAnsi="仿宋" w:eastAsia="仿宋"/>
          <w:b w:val="0"/>
          <w:bCs w:val="0"/>
          <w:color w:val="auto"/>
          <w:sz w:val="32"/>
          <w:szCs w:val="32"/>
          <w:highlight w:val="none"/>
        </w:rPr>
        <w:t>支出决算为</w:t>
      </w:r>
      <w:r>
        <w:rPr>
          <w:rStyle w:val="19"/>
          <w:rFonts w:hint="eastAsia" w:ascii="仿宋" w:hAnsi="仿宋" w:eastAsia="仿宋"/>
          <w:b w:val="0"/>
          <w:bCs w:val="0"/>
          <w:color w:val="auto"/>
          <w:sz w:val="32"/>
          <w:szCs w:val="32"/>
          <w:highlight w:val="none"/>
          <w:lang w:val="en-US" w:eastAsia="zh-CN"/>
        </w:rPr>
        <w:t>4.47</w:t>
      </w:r>
      <w:r>
        <w:rPr>
          <w:rStyle w:val="19"/>
          <w:rFonts w:hint="eastAsia" w:ascii="仿宋" w:hAnsi="仿宋" w:eastAsia="仿宋"/>
          <w:b w:val="0"/>
          <w:bCs w:val="0"/>
          <w:color w:val="auto"/>
          <w:sz w:val="32"/>
          <w:szCs w:val="32"/>
          <w:highlight w:val="none"/>
        </w:rPr>
        <w:t>万元，完成预算</w:t>
      </w:r>
      <w:r>
        <w:rPr>
          <w:rStyle w:val="19"/>
          <w:rFonts w:hint="eastAsia" w:ascii="仿宋" w:hAnsi="仿宋" w:eastAsia="仿宋"/>
          <w:b w:val="0"/>
          <w:bCs w:val="0"/>
          <w:color w:val="auto"/>
          <w:sz w:val="32"/>
          <w:szCs w:val="32"/>
          <w:highlight w:val="none"/>
          <w:lang w:val="en-US" w:eastAsia="zh-CN"/>
        </w:rPr>
        <w:t>100</w:t>
      </w:r>
      <w:r>
        <w:rPr>
          <w:rStyle w:val="19"/>
          <w:rFonts w:ascii="仿宋" w:hAnsi="仿宋" w:eastAsia="仿宋"/>
          <w:b w:val="0"/>
          <w:bCs w:val="0"/>
          <w:color w:val="auto"/>
          <w:sz w:val="32"/>
          <w:szCs w:val="32"/>
          <w:highlight w:val="none"/>
        </w:rPr>
        <w:t>%</w:t>
      </w:r>
      <w:r>
        <w:rPr>
          <w:rStyle w:val="19"/>
          <w:rFonts w:hint="eastAsia" w:ascii="仿宋" w:hAnsi="仿宋" w:eastAsia="仿宋"/>
          <w:b w:val="0"/>
          <w:bCs w:val="0"/>
          <w:color w:val="auto"/>
          <w:sz w:val="32"/>
          <w:szCs w:val="32"/>
          <w:highlight w:val="none"/>
          <w:lang w:eastAsia="zh-CN"/>
        </w:rPr>
        <w:t>。</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Style w:val="19"/>
          <w:rFonts w:hint="eastAsia" w:ascii="仿宋" w:hAnsi="仿宋" w:eastAsia="仿宋"/>
          <w:b w:val="0"/>
          <w:bCs w:val="0"/>
          <w:color w:val="auto"/>
          <w:sz w:val="32"/>
          <w:szCs w:val="32"/>
          <w:highlight w:val="none"/>
        </w:rPr>
      </w:pPr>
      <w:r>
        <w:rPr>
          <w:rStyle w:val="19"/>
          <w:rFonts w:hint="eastAsia" w:ascii="仿宋" w:hAnsi="仿宋" w:eastAsia="仿宋"/>
          <w:b w:val="0"/>
          <w:bCs w:val="0"/>
          <w:color w:val="auto"/>
          <w:sz w:val="32"/>
          <w:szCs w:val="32"/>
          <w:highlight w:val="none"/>
          <w:lang w:val="en-US" w:eastAsia="zh-CN"/>
        </w:rPr>
        <w:t>11.</w:t>
      </w:r>
      <w:r>
        <w:rPr>
          <w:rFonts w:hint="eastAsia" w:ascii="仿宋" w:hAnsi="仿宋" w:eastAsia="仿宋" w:cs="Times New Roman"/>
          <w:b w:val="0"/>
          <w:bCs w:val="0"/>
          <w:color w:val="auto"/>
          <w:kern w:val="2"/>
          <w:sz w:val="32"/>
          <w:szCs w:val="32"/>
          <w:highlight w:val="none"/>
          <w:lang w:val="en-US" w:eastAsia="zh-CN" w:bidi="ar-SA"/>
        </w:rPr>
        <w:t>社会保障和就业支出（类）人力资源和社会保障管理事务（款）行政运行（项）：</w:t>
      </w:r>
      <w:r>
        <w:rPr>
          <w:rStyle w:val="19"/>
          <w:rFonts w:hint="eastAsia" w:ascii="仿宋" w:hAnsi="仿宋" w:eastAsia="仿宋"/>
          <w:b w:val="0"/>
          <w:bCs w:val="0"/>
          <w:color w:val="auto"/>
          <w:sz w:val="32"/>
          <w:szCs w:val="32"/>
          <w:highlight w:val="none"/>
        </w:rPr>
        <w:t>支出决算为</w:t>
      </w:r>
      <w:r>
        <w:rPr>
          <w:rStyle w:val="19"/>
          <w:rFonts w:hint="eastAsia" w:ascii="仿宋" w:hAnsi="仿宋" w:eastAsia="仿宋"/>
          <w:b w:val="0"/>
          <w:bCs w:val="0"/>
          <w:color w:val="auto"/>
          <w:sz w:val="32"/>
          <w:szCs w:val="32"/>
          <w:highlight w:val="none"/>
          <w:lang w:val="en-US" w:eastAsia="zh-CN"/>
        </w:rPr>
        <w:t>3.72</w:t>
      </w:r>
      <w:r>
        <w:rPr>
          <w:rStyle w:val="19"/>
          <w:rFonts w:hint="eastAsia" w:ascii="仿宋" w:hAnsi="仿宋" w:eastAsia="仿宋"/>
          <w:b w:val="0"/>
          <w:bCs w:val="0"/>
          <w:color w:val="auto"/>
          <w:sz w:val="32"/>
          <w:szCs w:val="32"/>
          <w:highlight w:val="none"/>
        </w:rPr>
        <w:t>万元，完成预算</w:t>
      </w:r>
      <w:r>
        <w:rPr>
          <w:rStyle w:val="19"/>
          <w:rFonts w:hint="eastAsia" w:ascii="仿宋" w:hAnsi="仿宋" w:eastAsia="仿宋"/>
          <w:b w:val="0"/>
          <w:bCs w:val="0"/>
          <w:color w:val="auto"/>
          <w:sz w:val="32"/>
          <w:szCs w:val="32"/>
          <w:highlight w:val="none"/>
          <w:lang w:val="en-US" w:eastAsia="zh-CN"/>
        </w:rPr>
        <w:t>100</w:t>
      </w:r>
      <w:r>
        <w:rPr>
          <w:rStyle w:val="19"/>
          <w:rFonts w:ascii="仿宋" w:hAnsi="仿宋" w:eastAsia="仿宋"/>
          <w:b w:val="0"/>
          <w:bCs w:val="0"/>
          <w:color w:val="auto"/>
          <w:sz w:val="32"/>
          <w:szCs w:val="32"/>
          <w:highlight w:val="none"/>
        </w:rPr>
        <w:t>%</w:t>
      </w:r>
      <w:r>
        <w:rPr>
          <w:rStyle w:val="19"/>
          <w:rFonts w:hint="eastAsia" w:ascii="仿宋" w:hAnsi="仿宋" w:eastAsia="仿宋"/>
          <w:b w:val="0"/>
          <w:bCs w:val="0"/>
          <w:color w:val="auto"/>
          <w:sz w:val="32"/>
          <w:szCs w:val="32"/>
          <w:highlight w:val="none"/>
        </w:rPr>
        <w:t>。</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Style w:val="19"/>
          <w:rFonts w:hint="eastAsia" w:ascii="仿宋" w:hAnsi="仿宋" w:eastAsia="仿宋"/>
          <w:b w:val="0"/>
          <w:bCs w:val="0"/>
          <w:color w:val="auto"/>
          <w:sz w:val="32"/>
          <w:szCs w:val="32"/>
          <w:highlight w:val="none"/>
        </w:rPr>
      </w:pPr>
      <w:r>
        <w:rPr>
          <w:rFonts w:hint="eastAsia" w:ascii="仿宋" w:hAnsi="仿宋" w:eastAsia="仿宋" w:cs="Times New Roman"/>
          <w:b w:val="0"/>
          <w:bCs w:val="0"/>
          <w:color w:val="auto"/>
          <w:kern w:val="2"/>
          <w:sz w:val="32"/>
          <w:szCs w:val="32"/>
          <w:highlight w:val="none"/>
          <w:lang w:val="en-US" w:eastAsia="zh-CN" w:bidi="ar-SA"/>
        </w:rPr>
        <w:t>12.社会保障和就业支出（类）行政事业单位养老支出（款）行政单位离退休（项）：</w:t>
      </w:r>
      <w:r>
        <w:rPr>
          <w:rStyle w:val="19"/>
          <w:rFonts w:hint="eastAsia" w:ascii="仿宋" w:hAnsi="仿宋" w:eastAsia="仿宋"/>
          <w:b w:val="0"/>
          <w:bCs w:val="0"/>
          <w:color w:val="auto"/>
          <w:sz w:val="32"/>
          <w:szCs w:val="32"/>
          <w:highlight w:val="none"/>
        </w:rPr>
        <w:t>支出决算为</w:t>
      </w:r>
      <w:r>
        <w:rPr>
          <w:rStyle w:val="19"/>
          <w:rFonts w:hint="eastAsia" w:ascii="仿宋" w:hAnsi="仿宋" w:eastAsia="仿宋"/>
          <w:b w:val="0"/>
          <w:bCs w:val="0"/>
          <w:color w:val="auto"/>
          <w:sz w:val="32"/>
          <w:szCs w:val="32"/>
          <w:highlight w:val="none"/>
          <w:lang w:val="en-US" w:eastAsia="zh-CN"/>
        </w:rPr>
        <w:t>38</w:t>
      </w:r>
      <w:r>
        <w:rPr>
          <w:rStyle w:val="19"/>
          <w:rFonts w:hint="eastAsia" w:ascii="仿宋" w:hAnsi="仿宋" w:eastAsia="仿宋"/>
          <w:b w:val="0"/>
          <w:bCs w:val="0"/>
          <w:color w:val="auto"/>
          <w:sz w:val="32"/>
          <w:szCs w:val="32"/>
          <w:highlight w:val="none"/>
        </w:rPr>
        <w:t>万元，完成预算</w:t>
      </w:r>
      <w:r>
        <w:rPr>
          <w:rStyle w:val="19"/>
          <w:rFonts w:hint="eastAsia" w:ascii="仿宋" w:hAnsi="仿宋" w:eastAsia="仿宋"/>
          <w:b w:val="0"/>
          <w:bCs w:val="0"/>
          <w:color w:val="auto"/>
          <w:sz w:val="32"/>
          <w:szCs w:val="32"/>
          <w:highlight w:val="none"/>
          <w:lang w:val="en-US" w:eastAsia="zh-CN"/>
        </w:rPr>
        <w:t>100</w:t>
      </w:r>
      <w:r>
        <w:rPr>
          <w:rStyle w:val="19"/>
          <w:rFonts w:ascii="仿宋" w:hAnsi="仿宋" w:eastAsia="仿宋"/>
          <w:b w:val="0"/>
          <w:bCs w:val="0"/>
          <w:color w:val="auto"/>
          <w:sz w:val="32"/>
          <w:szCs w:val="32"/>
          <w:highlight w:val="none"/>
        </w:rPr>
        <w:t>%</w:t>
      </w:r>
      <w:r>
        <w:rPr>
          <w:rStyle w:val="19"/>
          <w:rFonts w:hint="eastAsia" w:ascii="仿宋" w:hAnsi="仿宋" w:eastAsia="仿宋"/>
          <w:b w:val="0"/>
          <w:bCs w:val="0"/>
          <w:color w:val="auto"/>
          <w:sz w:val="32"/>
          <w:szCs w:val="32"/>
          <w:highlight w:val="none"/>
        </w:rPr>
        <w:t>。</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Times New Roman"/>
          <w:b w:val="0"/>
          <w:bCs w:val="0"/>
          <w:color w:val="auto"/>
          <w:kern w:val="2"/>
          <w:sz w:val="32"/>
          <w:szCs w:val="32"/>
          <w:highlight w:val="none"/>
          <w:lang w:val="en-US" w:eastAsia="zh-CN" w:bidi="ar-SA"/>
        </w:rPr>
      </w:pPr>
      <w:r>
        <w:rPr>
          <w:rFonts w:hint="eastAsia" w:ascii="仿宋" w:hAnsi="仿宋" w:eastAsia="仿宋" w:cs="Times New Roman"/>
          <w:b w:val="0"/>
          <w:bCs w:val="0"/>
          <w:color w:val="auto"/>
          <w:kern w:val="2"/>
          <w:sz w:val="32"/>
          <w:szCs w:val="32"/>
          <w:highlight w:val="none"/>
          <w:lang w:val="en-US" w:eastAsia="zh-CN" w:bidi="ar-SA"/>
        </w:rPr>
        <w:t>13.社会保障和就业支出（类）行政事业单位养老支出（款）机关事业单位基本养老保险缴费支出（项）：支出决算为69.74万元，完成预算100%。</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仿宋" w:hAnsi="仿宋" w:eastAsia="仿宋" w:cs="Times New Roman"/>
          <w:b w:val="0"/>
          <w:bCs w:val="0"/>
          <w:color w:val="auto"/>
          <w:kern w:val="2"/>
          <w:sz w:val="32"/>
          <w:szCs w:val="32"/>
          <w:highlight w:val="none"/>
          <w:lang w:val="en-US" w:eastAsia="zh-CN" w:bidi="ar-SA"/>
        </w:rPr>
      </w:pPr>
      <w:r>
        <w:rPr>
          <w:rFonts w:hint="eastAsia" w:ascii="仿宋" w:hAnsi="仿宋" w:eastAsia="仿宋" w:cs="Times New Roman"/>
          <w:b w:val="0"/>
          <w:bCs w:val="0"/>
          <w:color w:val="auto"/>
          <w:kern w:val="2"/>
          <w:sz w:val="32"/>
          <w:szCs w:val="32"/>
          <w:highlight w:val="none"/>
          <w:lang w:val="en-US" w:eastAsia="zh-CN" w:bidi="ar-SA"/>
        </w:rPr>
        <w:t>14.社会保障和就业支出（类）其他社会保障和就业支出（款）其他社会保障和就业支出（项）：支出决算为5.19万元，完成预算100%。</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Times New Roman"/>
          <w:b w:val="0"/>
          <w:bCs w:val="0"/>
          <w:color w:val="auto"/>
          <w:kern w:val="2"/>
          <w:sz w:val="32"/>
          <w:szCs w:val="32"/>
          <w:highlight w:val="none"/>
          <w:lang w:val="en-US" w:eastAsia="zh-CN" w:bidi="ar-SA"/>
        </w:rPr>
      </w:pPr>
      <w:r>
        <w:rPr>
          <w:rFonts w:hint="eastAsia" w:ascii="仿宋" w:hAnsi="仿宋" w:eastAsia="仿宋" w:cs="Times New Roman"/>
          <w:b w:val="0"/>
          <w:bCs w:val="0"/>
          <w:color w:val="auto"/>
          <w:kern w:val="2"/>
          <w:sz w:val="32"/>
          <w:szCs w:val="32"/>
          <w:highlight w:val="none"/>
          <w:lang w:val="en-US" w:eastAsia="zh-CN" w:bidi="ar-SA"/>
        </w:rPr>
        <w:t>15.卫生健康支出（类）卫生健康管理事务（款）行政运行（项）：支出决算为4.73万元，完成预算100%。</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Times New Roman"/>
          <w:b w:val="0"/>
          <w:bCs w:val="0"/>
          <w:color w:val="auto"/>
          <w:kern w:val="2"/>
          <w:sz w:val="32"/>
          <w:szCs w:val="32"/>
          <w:highlight w:val="none"/>
          <w:lang w:val="en-US" w:eastAsia="zh-CN" w:bidi="ar-SA"/>
        </w:rPr>
      </w:pPr>
      <w:r>
        <w:rPr>
          <w:rFonts w:hint="eastAsia" w:ascii="仿宋" w:hAnsi="仿宋" w:eastAsia="仿宋" w:cs="Times New Roman"/>
          <w:b w:val="0"/>
          <w:bCs w:val="0"/>
          <w:color w:val="auto"/>
          <w:kern w:val="2"/>
          <w:sz w:val="32"/>
          <w:szCs w:val="32"/>
          <w:highlight w:val="none"/>
          <w:lang w:val="en-US" w:eastAsia="zh-CN" w:bidi="ar-SA"/>
        </w:rPr>
        <w:t>16.卫生健康支出（类）计划生育事务（款）其他计划生育事务支出（项）：支出决算为1.36万元，完成预算100%。</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Times New Roman"/>
          <w:b w:val="0"/>
          <w:bCs w:val="0"/>
          <w:color w:val="auto"/>
          <w:kern w:val="2"/>
          <w:sz w:val="32"/>
          <w:szCs w:val="32"/>
          <w:highlight w:val="none"/>
          <w:lang w:val="en-US" w:eastAsia="zh-CN" w:bidi="ar-SA"/>
        </w:rPr>
      </w:pPr>
      <w:r>
        <w:rPr>
          <w:rFonts w:hint="eastAsia" w:ascii="仿宋" w:hAnsi="仿宋" w:eastAsia="仿宋" w:cs="Times New Roman"/>
          <w:b w:val="0"/>
          <w:bCs w:val="0"/>
          <w:color w:val="auto"/>
          <w:kern w:val="2"/>
          <w:sz w:val="32"/>
          <w:szCs w:val="32"/>
          <w:highlight w:val="none"/>
          <w:lang w:val="en-US" w:eastAsia="zh-CN" w:bidi="ar-SA"/>
        </w:rPr>
        <w:t>17.卫生健康支出（类）行政事业单位医疗（款）行政单位医疗（项）：支出决算为28.36万元，完成预算100%。</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Times New Roman"/>
          <w:b w:val="0"/>
          <w:bCs w:val="0"/>
          <w:color w:val="auto"/>
          <w:kern w:val="2"/>
          <w:sz w:val="32"/>
          <w:szCs w:val="32"/>
          <w:highlight w:val="none"/>
          <w:lang w:val="en-US" w:eastAsia="zh-CN" w:bidi="ar-SA"/>
        </w:rPr>
      </w:pPr>
      <w:r>
        <w:rPr>
          <w:rFonts w:hint="eastAsia" w:ascii="仿宋" w:hAnsi="仿宋" w:eastAsia="仿宋" w:cs="Times New Roman"/>
          <w:b w:val="0"/>
          <w:bCs w:val="0"/>
          <w:color w:val="auto"/>
          <w:kern w:val="2"/>
          <w:sz w:val="32"/>
          <w:szCs w:val="32"/>
          <w:highlight w:val="none"/>
          <w:lang w:val="en-US" w:eastAsia="zh-CN" w:bidi="ar-SA"/>
        </w:rPr>
        <w:t>18.城乡社区支出（类）城乡社区环境卫生（款）城乡社区环境卫生（项）：支出决算为2万元，完成预算100%。</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Times New Roman"/>
          <w:b w:val="0"/>
          <w:bCs w:val="0"/>
          <w:color w:val="auto"/>
          <w:kern w:val="2"/>
          <w:sz w:val="32"/>
          <w:szCs w:val="32"/>
          <w:highlight w:val="none"/>
          <w:lang w:val="en-US" w:eastAsia="zh-CN" w:bidi="ar-SA"/>
        </w:rPr>
      </w:pPr>
      <w:r>
        <w:rPr>
          <w:rFonts w:hint="eastAsia" w:ascii="仿宋" w:hAnsi="仿宋" w:eastAsia="仿宋" w:cs="Times New Roman"/>
          <w:b w:val="0"/>
          <w:bCs w:val="0"/>
          <w:color w:val="auto"/>
          <w:kern w:val="2"/>
          <w:sz w:val="32"/>
          <w:szCs w:val="32"/>
          <w:highlight w:val="none"/>
          <w:lang w:val="en-US" w:eastAsia="zh-CN" w:bidi="ar-SA"/>
        </w:rPr>
        <w:t>19.城乡社区支出（类）国有土地使用权出让收入安排的支出（款）其他国有土地使用权出让收入安排的支出（项）：支出决算为6.5万元，完成预算100%。</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Times New Roman"/>
          <w:b w:val="0"/>
          <w:bCs w:val="0"/>
          <w:color w:val="auto"/>
          <w:kern w:val="2"/>
          <w:sz w:val="32"/>
          <w:szCs w:val="32"/>
          <w:highlight w:val="none"/>
          <w:lang w:val="en-US" w:eastAsia="zh-CN" w:bidi="ar-SA"/>
        </w:rPr>
      </w:pPr>
      <w:r>
        <w:rPr>
          <w:rFonts w:hint="eastAsia" w:ascii="仿宋" w:hAnsi="仿宋" w:eastAsia="仿宋" w:cs="Times New Roman"/>
          <w:b w:val="0"/>
          <w:bCs w:val="0"/>
          <w:color w:val="auto"/>
          <w:kern w:val="2"/>
          <w:sz w:val="32"/>
          <w:szCs w:val="32"/>
          <w:highlight w:val="none"/>
          <w:lang w:val="en-US" w:eastAsia="zh-CN" w:bidi="ar-SA"/>
        </w:rPr>
        <w:t>20.农林水支出（类）农业农村（款）行政运行（项）：支出决算为15.07万元，完成预算100%。</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Times New Roman"/>
          <w:b w:val="0"/>
          <w:bCs w:val="0"/>
          <w:color w:val="auto"/>
          <w:kern w:val="2"/>
          <w:sz w:val="32"/>
          <w:szCs w:val="32"/>
          <w:highlight w:val="none"/>
          <w:lang w:val="en-US" w:eastAsia="zh-CN" w:bidi="ar-SA"/>
        </w:rPr>
      </w:pPr>
      <w:r>
        <w:rPr>
          <w:rFonts w:hint="eastAsia" w:ascii="仿宋" w:hAnsi="仿宋" w:eastAsia="仿宋" w:cs="Times New Roman"/>
          <w:b w:val="0"/>
          <w:bCs w:val="0"/>
          <w:color w:val="auto"/>
          <w:kern w:val="2"/>
          <w:sz w:val="32"/>
          <w:szCs w:val="32"/>
          <w:highlight w:val="none"/>
          <w:lang w:val="en-US" w:eastAsia="zh-CN" w:bidi="ar-SA"/>
        </w:rPr>
        <w:t>21.农林水支出（类）农业农村（款）农村道路建设（项）：支出决算为1.34万元，完成预算100%。</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Times New Roman"/>
          <w:b w:val="0"/>
          <w:bCs w:val="0"/>
          <w:color w:val="auto"/>
          <w:kern w:val="2"/>
          <w:sz w:val="32"/>
          <w:szCs w:val="32"/>
          <w:highlight w:val="none"/>
          <w:lang w:val="en-US" w:eastAsia="zh-CN" w:bidi="ar-SA"/>
        </w:rPr>
      </w:pPr>
      <w:r>
        <w:rPr>
          <w:rFonts w:hint="eastAsia" w:ascii="仿宋" w:hAnsi="仿宋" w:eastAsia="仿宋" w:cs="Times New Roman"/>
          <w:b w:val="0"/>
          <w:bCs w:val="0"/>
          <w:color w:val="auto"/>
          <w:kern w:val="2"/>
          <w:sz w:val="32"/>
          <w:szCs w:val="32"/>
          <w:highlight w:val="none"/>
          <w:lang w:val="en-US" w:eastAsia="zh-CN" w:bidi="ar-SA"/>
        </w:rPr>
        <w:t>22.农林水支出（类）林业和草原（款）行政运行（项）：支出决算为15.77万元，完成预算100%。</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Times New Roman"/>
          <w:b w:val="0"/>
          <w:bCs w:val="0"/>
          <w:color w:val="auto"/>
          <w:kern w:val="2"/>
          <w:sz w:val="32"/>
          <w:szCs w:val="32"/>
          <w:highlight w:val="none"/>
          <w:lang w:val="en-US" w:eastAsia="zh-CN" w:bidi="ar-SA"/>
        </w:rPr>
      </w:pPr>
      <w:r>
        <w:rPr>
          <w:rFonts w:hint="eastAsia" w:ascii="仿宋" w:hAnsi="仿宋" w:eastAsia="仿宋" w:cs="Times New Roman"/>
          <w:b w:val="0"/>
          <w:bCs w:val="0"/>
          <w:color w:val="auto"/>
          <w:kern w:val="2"/>
          <w:sz w:val="32"/>
          <w:szCs w:val="32"/>
          <w:highlight w:val="none"/>
          <w:lang w:val="en-US" w:eastAsia="zh-CN" w:bidi="ar-SA"/>
        </w:rPr>
        <w:t>23.农林水支出（类）巩固脱贫衔接乡村振兴（款）其他巩固脱贫衔接乡村振兴支出（项）：支出决算为18.55万元，完成预算100%。</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Times New Roman"/>
          <w:b w:val="0"/>
          <w:bCs w:val="0"/>
          <w:color w:val="auto"/>
          <w:kern w:val="2"/>
          <w:sz w:val="32"/>
          <w:szCs w:val="32"/>
          <w:highlight w:val="none"/>
          <w:lang w:val="en-US" w:eastAsia="zh-CN" w:bidi="ar-SA"/>
        </w:rPr>
      </w:pPr>
      <w:r>
        <w:rPr>
          <w:rFonts w:hint="eastAsia" w:ascii="仿宋" w:hAnsi="仿宋" w:eastAsia="仿宋" w:cs="Times New Roman"/>
          <w:b w:val="0"/>
          <w:bCs w:val="0"/>
          <w:color w:val="auto"/>
          <w:kern w:val="2"/>
          <w:sz w:val="32"/>
          <w:szCs w:val="32"/>
          <w:highlight w:val="none"/>
          <w:lang w:val="en-US" w:eastAsia="zh-CN" w:bidi="ar-SA"/>
        </w:rPr>
        <w:t>24.农林水支出（类）农村综合改革（款）对村民委员会和村党支部的补助（项）：支出决算为310.25万元，完成预算100%。</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Times New Roman"/>
          <w:b w:val="0"/>
          <w:bCs w:val="0"/>
          <w:color w:val="auto"/>
          <w:kern w:val="2"/>
          <w:sz w:val="32"/>
          <w:szCs w:val="32"/>
          <w:highlight w:val="none"/>
          <w:lang w:val="en-US" w:eastAsia="zh-CN" w:bidi="ar-SA"/>
        </w:rPr>
      </w:pPr>
      <w:r>
        <w:rPr>
          <w:rFonts w:hint="eastAsia" w:ascii="仿宋" w:hAnsi="仿宋" w:eastAsia="仿宋" w:cs="Times New Roman"/>
          <w:b w:val="0"/>
          <w:bCs w:val="0"/>
          <w:color w:val="auto"/>
          <w:kern w:val="2"/>
          <w:sz w:val="32"/>
          <w:szCs w:val="32"/>
          <w:highlight w:val="none"/>
          <w:lang w:val="en-US" w:eastAsia="zh-CN" w:bidi="ar-SA"/>
        </w:rPr>
        <w:t>25.住房保障支出（类）住房改革支出（款）住房公积金（项）：支出决算为53.72万元，完成预算100%。</w:t>
      </w:r>
    </w:p>
    <w:p>
      <w:pPr>
        <w:tabs>
          <w:tab w:val="right" w:pos="8306"/>
        </w:tabs>
        <w:spacing w:line="600" w:lineRule="exact"/>
        <w:ind w:firstLine="640"/>
        <w:outlineLvl w:val="1"/>
        <w:rPr>
          <w:rFonts w:hint="eastAsia" w:ascii="黑体" w:eastAsia="黑体"/>
          <w:color w:val="auto"/>
          <w:sz w:val="32"/>
          <w:szCs w:val="32"/>
          <w:highlight w:val="none"/>
        </w:rPr>
      </w:pPr>
      <w:bookmarkStart w:id="75" w:name="_Toc15377214"/>
      <w:bookmarkStart w:id="76" w:name="_Toc27436"/>
      <w:bookmarkStart w:id="77" w:name="_Toc15396608"/>
      <w:bookmarkStart w:id="78" w:name="_Toc26586"/>
    </w:p>
    <w:p>
      <w:pPr>
        <w:keepNext w:val="0"/>
        <w:keepLines w:val="0"/>
        <w:pageBreakBefore w:val="0"/>
        <w:widowControl w:val="0"/>
        <w:tabs>
          <w:tab w:val="right" w:pos="8306"/>
        </w:tabs>
        <w:kinsoku/>
        <w:wordWrap/>
        <w:overflowPunct/>
        <w:topLinePunct w:val="0"/>
        <w:autoSpaceDE/>
        <w:autoSpaceDN/>
        <w:bidi w:val="0"/>
        <w:adjustRightInd/>
        <w:snapToGrid/>
        <w:spacing w:line="560" w:lineRule="exact"/>
        <w:ind w:firstLine="640" w:firstLineChars="200"/>
        <w:textAlignment w:val="auto"/>
        <w:outlineLvl w:val="1"/>
        <w:rPr>
          <w:rStyle w:val="31"/>
          <w:color w:val="auto"/>
          <w:highlight w:val="none"/>
        </w:rPr>
      </w:pPr>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31"/>
          <w:rFonts w:hint="eastAsia" w:ascii="黑体" w:hAnsi="黑体" w:eastAsia="黑体"/>
          <w:b w:val="0"/>
          <w:color w:val="auto"/>
          <w:highlight w:val="none"/>
        </w:rPr>
        <w:t>般公共预算财政拨款基本支出决算情况说明</w:t>
      </w:r>
      <w:bookmarkEnd w:id="75"/>
      <w:bookmarkEnd w:id="76"/>
      <w:bookmarkEnd w:id="77"/>
      <w:bookmarkEnd w:id="78"/>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1079.72</w:t>
      </w:r>
      <w:r>
        <w:rPr>
          <w:rFonts w:hint="eastAsia" w:ascii="仿宋" w:hAnsi="仿宋" w:eastAsia="仿宋"/>
          <w:color w:val="auto"/>
          <w:sz w:val="32"/>
          <w:szCs w:val="32"/>
          <w:highlight w:val="none"/>
        </w:rPr>
        <w:t>万元，其中：</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922.13</w:t>
      </w:r>
      <w:r>
        <w:rPr>
          <w:rFonts w:hint="eastAsia" w:ascii="仿宋" w:hAnsi="仿宋" w:eastAsia="仿宋"/>
          <w:color w:val="auto"/>
          <w:sz w:val="32"/>
          <w:szCs w:val="32"/>
          <w:highlight w:val="none"/>
        </w:rPr>
        <w:t>万元，主要包括：基本工资</w:t>
      </w:r>
      <w:r>
        <w:rPr>
          <w:rFonts w:hint="eastAsia" w:ascii="仿宋" w:hAnsi="仿宋" w:eastAsia="仿宋"/>
          <w:color w:val="auto"/>
          <w:sz w:val="32"/>
          <w:szCs w:val="32"/>
          <w:highlight w:val="none"/>
          <w:lang w:val="en-US" w:eastAsia="zh-CN"/>
        </w:rPr>
        <w:t>191.52万元</w:t>
      </w:r>
      <w:r>
        <w:rPr>
          <w:rFonts w:hint="eastAsia" w:ascii="仿宋" w:hAnsi="仿宋" w:eastAsia="仿宋"/>
          <w:color w:val="auto"/>
          <w:sz w:val="32"/>
          <w:szCs w:val="32"/>
          <w:highlight w:val="none"/>
        </w:rPr>
        <w:t>、津贴补贴</w:t>
      </w:r>
      <w:r>
        <w:rPr>
          <w:rFonts w:hint="eastAsia" w:ascii="仿宋" w:hAnsi="仿宋" w:eastAsia="仿宋"/>
          <w:color w:val="auto"/>
          <w:sz w:val="32"/>
          <w:szCs w:val="32"/>
          <w:highlight w:val="none"/>
          <w:lang w:val="en-US" w:eastAsia="zh-CN"/>
        </w:rPr>
        <w:t>107.25万元</w:t>
      </w:r>
      <w:r>
        <w:rPr>
          <w:rFonts w:hint="eastAsia" w:ascii="仿宋" w:hAnsi="仿宋" w:eastAsia="仿宋"/>
          <w:color w:val="auto"/>
          <w:sz w:val="32"/>
          <w:szCs w:val="32"/>
          <w:highlight w:val="none"/>
        </w:rPr>
        <w:t>、奖金</w:t>
      </w:r>
      <w:r>
        <w:rPr>
          <w:rFonts w:hint="eastAsia" w:ascii="仿宋" w:hAnsi="仿宋" w:eastAsia="仿宋"/>
          <w:color w:val="auto"/>
          <w:sz w:val="32"/>
          <w:szCs w:val="32"/>
          <w:highlight w:val="none"/>
          <w:lang w:val="en-US" w:eastAsia="zh-CN"/>
        </w:rPr>
        <w:t>5.95万元</w:t>
      </w:r>
      <w:r>
        <w:rPr>
          <w:rFonts w:hint="eastAsia" w:ascii="仿宋" w:hAnsi="仿宋" w:eastAsia="仿宋"/>
          <w:color w:val="auto"/>
          <w:sz w:val="32"/>
          <w:szCs w:val="32"/>
          <w:highlight w:val="none"/>
        </w:rPr>
        <w:t>、机关事业单位基本养老保险缴费</w:t>
      </w:r>
      <w:r>
        <w:rPr>
          <w:rFonts w:hint="eastAsia" w:ascii="仿宋" w:hAnsi="仿宋" w:eastAsia="仿宋"/>
          <w:color w:val="auto"/>
          <w:sz w:val="32"/>
          <w:szCs w:val="32"/>
          <w:highlight w:val="none"/>
          <w:lang w:val="en-US" w:eastAsia="zh-CN"/>
        </w:rPr>
        <w:t>69.74万元</w:t>
      </w:r>
      <w:r>
        <w:rPr>
          <w:rFonts w:hint="eastAsia" w:ascii="仿宋" w:hAnsi="仿宋" w:eastAsia="仿宋"/>
          <w:color w:val="auto"/>
          <w:sz w:val="32"/>
          <w:szCs w:val="32"/>
          <w:highlight w:val="none"/>
        </w:rPr>
        <w:t>、职工基本医疗保险缴费</w:t>
      </w:r>
      <w:r>
        <w:rPr>
          <w:rFonts w:hint="eastAsia" w:ascii="仿宋" w:hAnsi="仿宋" w:eastAsia="仿宋"/>
          <w:color w:val="auto"/>
          <w:sz w:val="32"/>
          <w:szCs w:val="32"/>
          <w:highlight w:val="none"/>
          <w:lang w:val="en-US" w:eastAsia="zh-CN"/>
        </w:rPr>
        <w:t>28.36万元</w:t>
      </w:r>
      <w:r>
        <w:rPr>
          <w:rFonts w:hint="eastAsia" w:ascii="仿宋" w:hAnsi="仿宋" w:eastAsia="仿宋"/>
          <w:color w:val="auto"/>
          <w:sz w:val="32"/>
          <w:szCs w:val="32"/>
          <w:highlight w:val="none"/>
        </w:rPr>
        <w:t>、其他社会保障缴费</w:t>
      </w:r>
      <w:r>
        <w:rPr>
          <w:rFonts w:hint="eastAsia" w:ascii="仿宋" w:hAnsi="仿宋" w:eastAsia="仿宋"/>
          <w:color w:val="auto"/>
          <w:sz w:val="32"/>
          <w:szCs w:val="32"/>
          <w:highlight w:val="none"/>
          <w:lang w:val="en-US" w:eastAsia="zh-CN"/>
        </w:rPr>
        <w:t>5.19万元</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住房公积金</w:t>
      </w:r>
      <w:r>
        <w:rPr>
          <w:rFonts w:hint="eastAsia" w:ascii="仿宋" w:hAnsi="仿宋" w:eastAsia="仿宋"/>
          <w:color w:val="auto"/>
          <w:sz w:val="32"/>
          <w:szCs w:val="32"/>
          <w:highlight w:val="none"/>
          <w:lang w:val="en-US" w:eastAsia="zh-CN"/>
        </w:rPr>
        <w:t>53.72万元、</w:t>
      </w:r>
      <w:r>
        <w:rPr>
          <w:rFonts w:hint="eastAsia" w:ascii="仿宋" w:hAnsi="仿宋" w:eastAsia="仿宋"/>
          <w:color w:val="auto"/>
          <w:sz w:val="32"/>
          <w:szCs w:val="32"/>
          <w:highlight w:val="none"/>
        </w:rPr>
        <w:t>其他工资福利支出</w:t>
      </w:r>
      <w:r>
        <w:rPr>
          <w:rFonts w:hint="eastAsia" w:ascii="仿宋" w:hAnsi="仿宋" w:eastAsia="仿宋"/>
          <w:color w:val="auto"/>
          <w:sz w:val="32"/>
          <w:szCs w:val="32"/>
          <w:highlight w:val="none"/>
          <w:lang w:val="en-US" w:eastAsia="zh-CN"/>
        </w:rPr>
        <w:t>160.80万元</w:t>
      </w:r>
      <w:r>
        <w:rPr>
          <w:rFonts w:hint="eastAsia" w:ascii="仿宋" w:hAnsi="仿宋" w:eastAsia="仿宋"/>
          <w:color w:val="auto"/>
          <w:sz w:val="32"/>
          <w:szCs w:val="32"/>
          <w:highlight w:val="none"/>
        </w:rPr>
        <w:t>、生活补助</w:t>
      </w:r>
      <w:r>
        <w:rPr>
          <w:rFonts w:hint="eastAsia" w:ascii="仿宋" w:hAnsi="仿宋" w:eastAsia="仿宋"/>
          <w:color w:val="auto"/>
          <w:sz w:val="32"/>
          <w:szCs w:val="32"/>
          <w:highlight w:val="none"/>
          <w:lang w:val="en-US" w:eastAsia="zh-CN"/>
        </w:rPr>
        <w:t>297.04万元</w:t>
      </w:r>
      <w:r>
        <w:rPr>
          <w:rFonts w:hint="eastAsia" w:ascii="仿宋" w:hAnsi="仿宋" w:eastAsia="仿宋"/>
          <w:color w:val="auto"/>
          <w:sz w:val="32"/>
          <w:szCs w:val="32"/>
          <w:highlight w:val="none"/>
        </w:rPr>
        <w:t>、其他对个人和家庭的补助支出</w:t>
      </w:r>
      <w:r>
        <w:rPr>
          <w:rFonts w:hint="eastAsia" w:ascii="仿宋" w:hAnsi="仿宋" w:eastAsia="仿宋"/>
          <w:color w:val="auto"/>
          <w:sz w:val="32"/>
          <w:szCs w:val="32"/>
          <w:highlight w:val="none"/>
          <w:lang w:val="en-US" w:eastAsia="zh-CN"/>
        </w:rPr>
        <w:t>2.55万元</w:t>
      </w:r>
      <w:r>
        <w:rPr>
          <w:rFonts w:hint="eastAsia" w:ascii="仿宋" w:hAnsi="仿宋" w:eastAsia="仿宋"/>
          <w:color w:val="auto"/>
          <w:sz w:val="32"/>
          <w:szCs w:val="32"/>
          <w:highlight w:val="none"/>
        </w:rPr>
        <w:t>等。</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rPr>
        <w:t>公用经费</w:t>
      </w:r>
      <w:r>
        <w:rPr>
          <w:rFonts w:hint="eastAsia" w:ascii="仿宋" w:hAnsi="仿宋" w:eastAsia="仿宋"/>
          <w:color w:val="auto"/>
          <w:sz w:val="32"/>
          <w:szCs w:val="32"/>
          <w:highlight w:val="none"/>
          <w:lang w:val="en-US" w:eastAsia="zh-CN"/>
        </w:rPr>
        <w:t>157.59</w:t>
      </w:r>
      <w:r>
        <w:rPr>
          <w:rFonts w:hint="eastAsia" w:ascii="仿宋" w:hAnsi="仿宋" w:eastAsia="仿宋"/>
          <w:color w:val="auto"/>
          <w:sz w:val="32"/>
          <w:szCs w:val="32"/>
          <w:highlight w:val="none"/>
        </w:rPr>
        <w:t>万元，主要包括：办公费</w:t>
      </w:r>
      <w:r>
        <w:rPr>
          <w:rFonts w:hint="eastAsia" w:ascii="仿宋" w:hAnsi="仿宋" w:eastAsia="仿宋"/>
          <w:color w:val="auto"/>
          <w:sz w:val="32"/>
          <w:szCs w:val="32"/>
          <w:highlight w:val="none"/>
          <w:lang w:val="en-US" w:eastAsia="zh-CN"/>
        </w:rPr>
        <w:t>36.69万元</w:t>
      </w:r>
      <w:r>
        <w:rPr>
          <w:rFonts w:hint="eastAsia" w:ascii="仿宋" w:hAnsi="仿宋" w:eastAsia="仿宋"/>
          <w:color w:val="auto"/>
          <w:sz w:val="32"/>
          <w:szCs w:val="32"/>
          <w:highlight w:val="none"/>
        </w:rPr>
        <w:t>、印刷费</w:t>
      </w:r>
      <w:r>
        <w:rPr>
          <w:rFonts w:hint="eastAsia" w:ascii="仿宋" w:hAnsi="仿宋" w:eastAsia="仿宋"/>
          <w:color w:val="auto"/>
          <w:sz w:val="32"/>
          <w:szCs w:val="32"/>
          <w:highlight w:val="none"/>
          <w:lang w:val="en-US" w:eastAsia="zh-CN"/>
        </w:rPr>
        <w:t>1万元</w:t>
      </w:r>
      <w:r>
        <w:rPr>
          <w:rFonts w:hint="eastAsia" w:ascii="仿宋" w:hAnsi="仿宋" w:eastAsia="仿宋"/>
          <w:color w:val="auto"/>
          <w:sz w:val="32"/>
          <w:szCs w:val="32"/>
          <w:highlight w:val="none"/>
        </w:rPr>
        <w:t>、水费</w:t>
      </w:r>
      <w:r>
        <w:rPr>
          <w:rFonts w:hint="eastAsia" w:ascii="仿宋" w:hAnsi="仿宋" w:eastAsia="仿宋"/>
          <w:color w:val="auto"/>
          <w:sz w:val="32"/>
          <w:szCs w:val="32"/>
          <w:highlight w:val="none"/>
          <w:lang w:val="en-US" w:eastAsia="zh-CN"/>
        </w:rPr>
        <w:t>0.8万元</w:t>
      </w:r>
      <w:r>
        <w:rPr>
          <w:rFonts w:hint="eastAsia" w:ascii="仿宋" w:hAnsi="仿宋" w:eastAsia="仿宋"/>
          <w:color w:val="auto"/>
          <w:sz w:val="32"/>
          <w:szCs w:val="32"/>
          <w:highlight w:val="none"/>
        </w:rPr>
        <w:t>、电费</w:t>
      </w:r>
      <w:r>
        <w:rPr>
          <w:rFonts w:hint="eastAsia" w:ascii="仿宋" w:hAnsi="仿宋" w:eastAsia="仿宋"/>
          <w:color w:val="auto"/>
          <w:sz w:val="32"/>
          <w:szCs w:val="32"/>
          <w:highlight w:val="none"/>
          <w:lang w:val="en-US" w:eastAsia="zh-CN"/>
        </w:rPr>
        <w:t>4万元</w:t>
      </w:r>
      <w:r>
        <w:rPr>
          <w:rFonts w:hint="eastAsia" w:ascii="仿宋" w:hAnsi="仿宋" w:eastAsia="仿宋"/>
          <w:color w:val="auto"/>
          <w:sz w:val="32"/>
          <w:szCs w:val="32"/>
          <w:highlight w:val="none"/>
        </w:rPr>
        <w:t>、邮电费</w:t>
      </w:r>
      <w:r>
        <w:rPr>
          <w:rFonts w:hint="eastAsia" w:ascii="仿宋" w:hAnsi="仿宋" w:eastAsia="仿宋"/>
          <w:color w:val="auto"/>
          <w:sz w:val="32"/>
          <w:szCs w:val="32"/>
          <w:highlight w:val="none"/>
          <w:lang w:val="en-US" w:eastAsia="zh-CN"/>
        </w:rPr>
        <w:t>3万元</w:t>
      </w:r>
      <w:r>
        <w:rPr>
          <w:rFonts w:hint="eastAsia" w:ascii="仿宋" w:hAnsi="仿宋" w:eastAsia="仿宋"/>
          <w:color w:val="auto"/>
          <w:sz w:val="32"/>
          <w:szCs w:val="32"/>
          <w:highlight w:val="none"/>
        </w:rPr>
        <w:t>、差旅费</w:t>
      </w:r>
      <w:r>
        <w:rPr>
          <w:rFonts w:hint="eastAsia" w:ascii="仿宋" w:hAnsi="仿宋" w:eastAsia="仿宋"/>
          <w:color w:val="auto"/>
          <w:sz w:val="32"/>
          <w:szCs w:val="32"/>
          <w:highlight w:val="none"/>
          <w:lang w:val="en-US" w:eastAsia="zh-CN"/>
        </w:rPr>
        <w:t>57.60万元</w:t>
      </w:r>
      <w:r>
        <w:rPr>
          <w:rFonts w:hint="eastAsia" w:ascii="仿宋" w:hAnsi="仿宋" w:eastAsia="仿宋"/>
          <w:color w:val="auto"/>
          <w:sz w:val="32"/>
          <w:szCs w:val="32"/>
          <w:highlight w:val="none"/>
        </w:rPr>
        <w:t>、租赁费</w:t>
      </w:r>
      <w:r>
        <w:rPr>
          <w:rFonts w:hint="eastAsia" w:ascii="仿宋" w:hAnsi="仿宋" w:eastAsia="仿宋"/>
          <w:color w:val="auto"/>
          <w:sz w:val="32"/>
          <w:szCs w:val="32"/>
          <w:highlight w:val="none"/>
          <w:lang w:val="en-US" w:eastAsia="zh-CN"/>
        </w:rPr>
        <w:t>2万元</w:t>
      </w:r>
      <w:r>
        <w:rPr>
          <w:rFonts w:hint="eastAsia" w:ascii="仿宋" w:hAnsi="仿宋" w:eastAsia="仿宋"/>
          <w:color w:val="auto"/>
          <w:sz w:val="32"/>
          <w:szCs w:val="32"/>
          <w:highlight w:val="none"/>
        </w:rPr>
        <w:t>、公务接待费</w:t>
      </w:r>
      <w:r>
        <w:rPr>
          <w:rFonts w:hint="eastAsia" w:ascii="仿宋" w:hAnsi="仿宋" w:eastAsia="仿宋"/>
          <w:color w:val="auto"/>
          <w:sz w:val="32"/>
          <w:szCs w:val="32"/>
          <w:highlight w:val="none"/>
          <w:lang w:val="en-US" w:eastAsia="zh-CN"/>
        </w:rPr>
        <w:t>7.2万元</w:t>
      </w:r>
      <w:r>
        <w:rPr>
          <w:rFonts w:hint="eastAsia" w:ascii="仿宋" w:hAnsi="仿宋" w:eastAsia="仿宋"/>
          <w:color w:val="auto"/>
          <w:sz w:val="32"/>
          <w:szCs w:val="32"/>
          <w:highlight w:val="none"/>
        </w:rPr>
        <w:t>、工会经费</w:t>
      </w:r>
      <w:r>
        <w:rPr>
          <w:rFonts w:hint="eastAsia" w:ascii="仿宋" w:hAnsi="仿宋" w:eastAsia="仿宋"/>
          <w:color w:val="auto"/>
          <w:sz w:val="32"/>
          <w:szCs w:val="32"/>
          <w:highlight w:val="none"/>
          <w:lang w:val="en-US" w:eastAsia="zh-CN"/>
        </w:rPr>
        <w:t>9.3万元</w:t>
      </w:r>
      <w:r>
        <w:rPr>
          <w:rFonts w:hint="eastAsia" w:ascii="仿宋" w:hAnsi="仿宋" w:eastAsia="仿宋"/>
          <w:color w:val="auto"/>
          <w:sz w:val="32"/>
          <w:szCs w:val="32"/>
          <w:highlight w:val="none"/>
        </w:rPr>
        <w:t>、其他交通费</w:t>
      </w:r>
      <w:r>
        <w:rPr>
          <w:rFonts w:hint="eastAsia" w:ascii="仿宋" w:hAnsi="仿宋" w:eastAsia="仿宋"/>
          <w:color w:val="auto"/>
          <w:sz w:val="32"/>
          <w:szCs w:val="32"/>
          <w:highlight w:val="none"/>
          <w:lang w:val="en-US" w:eastAsia="zh-CN"/>
        </w:rPr>
        <w:t>25.72万元</w:t>
      </w:r>
      <w:r>
        <w:rPr>
          <w:rFonts w:hint="eastAsia" w:ascii="仿宋" w:hAnsi="仿宋" w:eastAsia="仿宋"/>
          <w:color w:val="auto"/>
          <w:sz w:val="32"/>
          <w:szCs w:val="32"/>
          <w:highlight w:val="none"/>
        </w:rPr>
        <w:t>、其他商品和服务支出</w:t>
      </w:r>
      <w:r>
        <w:rPr>
          <w:rFonts w:hint="eastAsia" w:ascii="仿宋" w:hAnsi="仿宋" w:eastAsia="仿宋"/>
          <w:color w:val="auto"/>
          <w:sz w:val="32"/>
          <w:szCs w:val="32"/>
          <w:highlight w:val="none"/>
          <w:lang w:val="en-US" w:eastAsia="zh-CN"/>
        </w:rPr>
        <w:t>10.29万元</w:t>
      </w:r>
      <w:r>
        <w:rPr>
          <w:rFonts w:hint="eastAsia" w:ascii="仿宋" w:hAnsi="仿宋" w:eastAsia="仿宋"/>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b/>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Style w:val="31"/>
          <w:rFonts w:ascii="黑体" w:hAnsi="黑体" w:eastAsia="黑体"/>
          <w:b w:val="0"/>
          <w:color w:val="auto"/>
          <w:highlight w:val="none"/>
        </w:rPr>
      </w:pPr>
      <w:bookmarkStart w:id="79" w:name="_Toc6802"/>
      <w:bookmarkStart w:id="80" w:name="_Toc15396609"/>
      <w:bookmarkStart w:id="81" w:name="_Toc9558"/>
      <w:bookmarkStart w:id="82" w:name="_Toc15377215"/>
      <w:r>
        <w:rPr>
          <w:rFonts w:hint="eastAsia" w:ascii="黑体" w:eastAsia="黑体"/>
          <w:color w:val="auto"/>
          <w:sz w:val="32"/>
          <w:szCs w:val="32"/>
          <w:highlight w:val="none"/>
        </w:rPr>
        <w:t>七、</w:t>
      </w:r>
      <w:r>
        <w:rPr>
          <w:rStyle w:val="31"/>
          <w:rFonts w:hint="eastAsia" w:ascii="黑体" w:hAnsi="黑体" w:eastAsia="黑体"/>
          <w:b w:val="0"/>
          <w:color w:val="auto"/>
          <w:highlight w:val="none"/>
        </w:rPr>
        <w:t>财政拨款</w:t>
      </w:r>
      <w:r>
        <w:rPr>
          <w:rStyle w:val="31"/>
          <w:rFonts w:hint="eastAsia" w:ascii="黑体" w:hAnsi="黑体" w:eastAsia="黑体"/>
          <w:color w:val="auto"/>
          <w:highlight w:val="none"/>
        </w:rPr>
        <w:t>“</w:t>
      </w:r>
      <w:r>
        <w:rPr>
          <w:rStyle w:val="31"/>
          <w:rFonts w:hint="eastAsia" w:ascii="黑体" w:hAnsi="黑体" w:eastAsia="黑体"/>
          <w:b w:val="0"/>
          <w:color w:val="auto"/>
          <w:highlight w:val="none"/>
        </w:rPr>
        <w:t>三公”经费支出决算情况说明</w:t>
      </w:r>
      <w:bookmarkEnd w:id="79"/>
      <w:bookmarkEnd w:id="80"/>
      <w:bookmarkEnd w:id="81"/>
      <w:bookmarkEnd w:id="82"/>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eastAsia" w:ascii="楷体" w:hAnsi="楷体" w:eastAsia="楷体" w:cs="楷体"/>
          <w:b/>
          <w:color w:val="auto"/>
          <w:sz w:val="32"/>
          <w:szCs w:val="32"/>
          <w:highlight w:val="none"/>
        </w:rPr>
      </w:pPr>
      <w:bookmarkStart w:id="83" w:name="_Toc15377216"/>
      <w:bookmarkStart w:id="84" w:name="_Toc29638"/>
      <w:r>
        <w:rPr>
          <w:rFonts w:hint="eastAsia" w:ascii="楷体" w:hAnsi="楷体" w:eastAsia="楷体" w:cs="楷体"/>
          <w:b/>
          <w:color w:val="auto"/>
          <w:sz w:val="32"/>
          <w:szCs w:val="32"/>
          <w:highlight w:val="none"/>
        </w:rPr>
        <w:t>（一）“三公”经费财政拨款支出决算总体情况说明</w:t>
      </w:r>
      <w:bookmarkEnd w:id="83"/>
      <w:bookmarkEnd w:id="8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7.2</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较上年增加</w:t>
      </w:r>
      <w:r>
        <w:rPr>
          <w:rFonts w:hint="eastAsia" w:ascii="仿宋" w:hAnsi="仿宋" w:eastAsia="仿宋"/>
          <w:color w:val="auto"/>
          <w:sz w:val="32"/>
          <w:szCs w:val="32"/>
          <w:highlight w:val="none"/>
          <w:lang w:val="en-US" w:eastAsia="zh-CN"/>
        </w:rPr>
        <w:t>0.26万元，增长3.75%，主要原因是</w:t>
      </w:r>
      <w:r>
        <w:rPr>
          <w:rFonts w:hint="eastAsia" w:ascii="仿宋_GB2312" w:hAnsi="仿宋_GB2312" w:eastAsia="仿宋_GB2312" w:cs="仿宋_GB2312"/>
          <w:b w:val="0"/>
          <w:bCs w:val="0"/>
          <w:color w:val="000000" w:themeColor="text1"/>
          <w:sz w:val="32"/>
          <w:szCs w:val="32"/>
          <w14:textFill>
            <w14:solidFill>
              <w14:schemeClr w14:val="tx1"/>
            </w14:solidFill>
          </w14:textFill>
        </w:rPr>
        <w:t>2022年公务活动增多，接待人次相应增加</w:t>
      </w:r>
      <w:r>
        <w:rPr>
          <w:rFonts w:hint="eastAsia" w:ascii="仿宋" w:hAnsi="仿宋" w:eastAsia="仿宋"/>
          <w:color w:val="auto"/>
          <w:sz w:val="32"/>
          <w:szCs w:val="32"/>
          <w:highlight w:val="none"/>
          <w:lang w:val="en-US" w:eastAsia="zh-CN"/>
        </w:rPr>
        <w:t>。</w:t>
      </w:r>
      <w:r>
        <w:rPr>
          <w:rFonts w:hint="eastAsia" w:ascii="仿宋" w:hAnsi="仿宋" w:eastAsia="仿宋"/>
          <w:color w:val="auto"/>
          <w:sz w:val="32"/>
          <w:szCs w:val="32"/>
          <w:highlight w:val="none"/>
        </w:rPr>
        <w:t>决算数与预算数持平。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eastAsia" w:ascii="楷体" w:hAnsi="楷体" w:eastAsia="楷体" w:cs="楷体"/>
          <w:b/>
          <w:color w:val="auto"/>
          <w:sz w:val="32"/>
          <w:szCs w:val="32"/>
          <w:highlight w:val="none"/>
        </w:rPr>
      </w:pPr>
      <w:bookmarkStart w:id="85" w:name="_Toc15377217"/>
      <w:bookmarkStart w:id="86" w:name="_Toc12347"/>
      <w:r>
        <w:rPr>
          <w:rFonts w:hint="eastAsia" w:ascii="楷体" w:hAnsi="楷体" w:eastAsia="楷体" w:cs="楷体"/>
          <w:b/>
          <w:color w:val="auto"/>
          <w:sz w:val="32"/>
          <w:szCs w:val="32"/>
          <w:highlight w:val="none"/>
        </w:rPr>
        <w:t>（二）“三公”经费财政拨款支出决算具体情况说明</w:t>
      </w:r>
      <w:bookmarkEnd w:id="85"/>
      <w:bookmarkEnd w:id="8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7.2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pStyle w:val="6"/>
        <w:jc w:val="center"/>
        <w:rPr>
          <w:rFonts w:hint="eastAsia" w:eastAsia="仿宋"/>
          <w:lang w:eastAsia="zh-CN"/>
        </w:rPr>
      </w:pPr>
      <w:r>
        <w:rPr>
          <w:rFonts w:hint="eastAsia" w:eastAsia="仿宋"/>
          <w:lang w:eastAsia="zh-CN"/>
        </w:rPr>
        <w:drawing>
          <wp:inline distT="0" distB="0" distL="114300" distR="114300">
            <wp:extent cx="4708525" cy="1857375"/>
            <wp:effectExtent l="4445" t="4445" r="11430" b="508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（图7：“三公”经费财政拨款支出结构）</w:t>
      </w:r>
    </w:p>
    <w:p>
      <w:pPr>
        <w:pStyle w:val="6"/>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auto"/>
          <w:sz w:val="32"/>
          <w:szCs w:val="32"/>
          <w:highlight w:val="none"/>
        </w:rPr>
      </w:pPr>
      <w:r>
        <w:rPr>
          <w:rFonts w:hint="eastAsia" w:ascii="仿宋_GB2312" w:eastAsia="仿宋_GB2312"/>
          <w:color w:val="auto"/>
          <w:sz w:val="32"/>
          <w:szCs w:val="32"/>
          <w:highlight w:val="none"/>
          <w:lang w:val="en-US" w:eastAsia="zh-CN"/>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 w:hAnsi="仿宋" w:eastAsia="仿宋"/>
          <w:color w:val="auto"/>
          <w:sz w:val="32"/>
          <w:szCs w:val="32"/>
          <w:highlight w:val="none"/>
          <w:lang w:eastAsia="zh-CN"/>
        </w:rPr>
        <w:t>年初未安排预算，与上年数持平</w:t>
      </w:r>
      <w:r>
        <w:rPr>
          <w:rFonts w:hint="eastAsia" w:ascii="仿宋" w:hAnsi="仿宋" w:eastAsia="仿宋"/>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olor w:val="auto"/>
          <w:sz w:val="32"/>
          <w:szCs w:val="32"/>
          <w:highlight w:val="none"/>
        </w:rPr>
      </w:pPr>
      <w:r>
        <w:rPr>
          <w:rFonts w:hint="eastAsia" w:ascii="仿宋_GB2312" w:eastAsia="仿宋_GB2312"/>
          <w:color w:val="auto"/>
          <w:sz w:val="32"/>
          <w:szCs w:val="32"/>
          <w:highlight w:val="none"/>
          <w:lang w:val="en-US" w:eastAsia="zh-CN"/>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 w:hAnsi="仿宋" w:eastAsia="仿宋"/>
          <w:color w:val="auto"/>
          <w:sz w:val="32"/>
          <w:szCs w:val="32"/>
          <w:highlight w:val="none"/>
          <w:lang w:eastAsia="zh-CN"/>
        </w:rPr>
        <w:t>年初未安排预算，与上年数持平</w:t>
      </w:r>
      <w:r>
        <w:rPr>
          <w:rFonts w:hint="eastAsia" w:ascii="仿宋" w:hAnsi="仿宋" w:eastAsia="仿宋"/>
          <w:color w:val="auto"/>
          <w:sz w:val="32"/>
          <w:szCs w:val="32"/>
          <w:highlight w:val="none"/>
        </w:rPr>
        <w:t>。</w:t>
      </w: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 w:hAnsi="仿宋" w:eastAsia="仿宋"/>
          <w:color w:val="auto"/>
          <w:sz w:val="32"/>
          <w:szCs w:val="32"/>
          <w:highlight w:val="none"/>
          <w:lang w:eastAsia="zh-CN"/>
        </w:rPr>
        <w:t>年初未安排预算，与上年数持平</w:t>
      </w:r>
      <w:r>
        <w:rPr>
          <w:rFonts w:hint="eastAsia" w:ascii="仿宋" w:hAnsi="仿宋" w:eastAsia="仿宋"/>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7.2</w:t>
      </w:r>
      <w:r>
        <w:rPr>
          <w:rFonts w:hint="eastAsia" w:ascii="仿宋_GB2312" w:eastAsia="仿宋_GB2312"/>
          <w:color w:val="auto"/>
          <w:sz w:val="32"/>
          <w:szCs w:val="32"/>
          <w:highlight w:val="none"/>
        </w:rPr>
        <w:t>万元，</w:t>
      </w:r>
      <w:r>
        <w:rPr>
          <w:rStyle w:val="19"/>
          <w:rFonts w:hint="eastAsia" w:ascii="仿宋" w:hAnsi="仿宋" w:eastAsia="仿宋"/>
          <w:b w:val="0"/>
          <w:bCs/>
          <w:color w:val="auto"/>
          <w:sz w:val="32"/>
          <w:szCs w:val="32"/>
          <w:highlight w:val="none"/>
        </w:rPr>
        <w:t>完成预算</w:t>
      </w:r>
      <w:r>
        <w:rPr>
          <w:rStyle w:val="19"/>
          <w:rFonts w:hint="eastAsia" w:ascii="仿宋" w:hAnsi="仿宋" w:eastAsia="仿宋"/>
          <w:b w:val="0"/>
          <w:bCs/>
          <w:color w:val="auto"/>
          <w:sz w:val="32"/>
          <w:szCs w:val="32"/>
          <w:highlight w:val="none"/>
          <w:lang w:val="en-US" w:eastAsia="zh-CN"/>
        </w:rPr>
        <w:t>100</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0.26</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3.75</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hAnsi="仿宋_GB2312" w:eastAsia="仿宋_GB2312" w:cs="仿宋_GB2312"/>
          <w:b w:val="0"/>
          <w:bCs w:val="0"/>
          <w:color w:val="000000" w:themeColor="text1"/>
          <w:sz w:val="32"/>
          <w:szCs w:val="32"/>
          <w14:textFill>
            <w14:solidFill>
              <w14:schemeClr w14:val="tx1"/>
            </w14:solidFill>
          </w14:textFill>
        </w:rPr>
        <w:t>2022年公务活动增多，接待人次相应增加</w:t>
      </w:r>
      <w:r>
        <w:rPr>
          <w:rFonts w:hint="eastAsia" w:ascii="仿宋_GB2312" w:eastAsia="仿宋_GB2312"/>
          <w:color w:val="auto"/>
          <w:sz w:val="32"/>
          <w:szCs w:val="32"/>
          <w:highlight w:val="none"/>
        </w:rPr>
        <w:t>。其中：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highlight w:val="none"/>
        </w:rPr>
      </w:pPr>
      <w:r>
        <w:rPr>
          <w:rFonts w:hint="eastAsia" w:ascii="仿宋" w:hAnsi="仿宋" w:eastAsia="仿宋"/>
          <w:color w:val="auto"/>
          <w:sz w:val="32"/>
          <w:szCs w:val="32"/>
          <w:highlight w:val="none"/>
          <w:lang w:val="en-US" w:eastAsia="zh-CN"/>
        </w:rPr>
        <w:t>4.</w:t>
      </w: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7.2</w:t>
      </w:r>
      <w:r>
        <w:rPr>
          <w:rFonts w:hint="eastAsia" w:ascii="仿宋_GB2312" w:eastAsia="仿宋_GB2312"/>
          <w:color w:val="auto"/>
          <w:sz w:val="32"/>
          <w:szCs w:val="32"/>
          <w:highlight w:val="none"/>
        </w:rPr>
        <w:t>万元，主要用于</w:t>
      </w:r>
      <w:r>
        <w:rPr>
          <w:rFonts w:hint="eastAsia" w:ascii="仿宋_GB2312" w:hAnsi="仿宋_GB2312" w:eastAsia="仿宋_GB2312" w:cs="仿宋_GB2312"/>
          <w:b w:val="0"/>
          <w:bCs w:val="0"/>
          <w:color w:val="000000" w:themeColor="text1"/>
          <w:sz w:val="32"/>
          <w:szCs w:val="32"/>
          <w14:textFill>
            <w14:solidFill>
              <w14:schemeClr w14:val="tx1"/>
            </w14:solidFill>
          </w14:textFill>
        </w:rPr>
        <w:t>执行政府基本运转方面工作安排检查、开展各项业务活动的住宿及用餐费等</w:t>
      </w:r>
      <w:r>
        <w:rPr>
          <w:rFonts w:hint="eastAsia" w:ascii="仿宋_GB2312" w:eastAsia="仿宋_GB2312"/>
          <w:color w:val="auto"/>
          <w:sz w:val="32"/>
          <w:szCs w:val="32"/>
          <w:highlight w:val="none"/>
        </w:rPr>
        <w:t>。国内公务接待</w:t>
      </w:r>
      <w:r>
        <w:rPr>
          <w:rFonts w:hint="eastAsia" w:ascii="仿宋_GB2312" w:eastAsia="仿宋_GB2312"/>
          <w:color w:val="auto"/>
          <w:sz w:val="32"/>
          <w:szCs w:val="32"/>
          <w:highlight w:val="none"/>
          <w:lang w:val="en-US" w:eastAsia="zh-CN"/>
        </w:rPr>
        <w:t>215余</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1500余</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7.2</w:t>
      </w:r>
      <w:r>
        <w:rPr>
          <w:rFonts w:hint="eastAsia" w:ascii="仿宋_GB2312" w:eastAsia="仿宋_GB2312"/>
          <w:color w:val="auto"/>
          <w:sz w:val="32"/>
          <w:szCs w:val="32"/>
          <w:highlight w:val="none"/>
        </w:rPr>
        <w:t>万元，具体内容包括：用于</w:t>
      </w:r>
      <w:r>
        <w:rPr>
          <w:rFonts w:hint="eastAsia" w:ascii="仿宋_GB2312" w:hAnsi="仿宋_GB2312" w:eastAsia="仿宋_GB2312" w:cs="仿宋_GB2312"/>
          <w:b w:val="0"/>
          <w:bCs w:val="0"/>
          <w:color w:val="000000" w:themeColor="text1"/>
          <w:sz w:val="32"/>
          <w:szCs w:val="32"/>
          <w14:textFill>
            <w14:solidFill>
              <w14:schemeClr w14:val="tx1"/>
            </w14:solidFill>
          </w14:textFill>
        </w:rPr>
        <w:t>执行政府基本运转方面工作安排检查、开展各项业务活动的住宿及用餐费等</w:t>
      </w:r>
      <w:r>
        <w:rPr>
          <w:rFonts w:hint="eastAsia" w:ascii="仿宋_GB2312" w:eastAsia="仿宋_GB2312"/>
          <w:color w:val="auto"/>
          <w:sz w:val="32"/>
          <w:szCs w:val="32"/>
          <w:highlight w:val="none"/>
        </w:rPr>
        <w:t>。</w:t>
      </w:r>
    </w:p>
    <w:p>
      <w:pPr>
        <w:keepNext w:val="0"/>
        <w:keepLines w:val="0"/>
        <w:pageBreakBefore w:val="0"/>
        <w:kinsoku/>
        <w:wordWrap/>
        <w:overflowPunct/>
        <w:topLinePunct w:val="0"/>
        <w:bidi w:val="0"/>
        <w:spacing w:line="560" w:lineRule="exact"/>
        <w:ind w:firstLine="640"/>
        <w:textAlignment w:val="auto"/>
        <w:outlineLvl w:val="9"/>
        <w:rPr>
          <w:rFonts w:ascii="黑体" w:eastAsia="黑体"/>
          <w:color w:val="auto"/>
          <w:sz w:val="32"/>
          <w:szCs w:val="32"/>
          <w:highlight w:val="none"/>
        </w:rPr>
      </w:pPr>
      <w:bookmarkStart w:id="87" w:name="_Toc15377218"/>
      <w:bookmarkStart w:id="88" w:name="_Toc1539661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Style w:val="31"/>
          <w:rFonts w:ascii="黑体" w:hAnsi="黑体" w:eastAsia="黑体"/>
          <w:color w:val="auto"/>
          <w:highlight w:val="none"/>
        </w:rPr>
      </w:pPr>
      <w:bookmarkStart w:id="89" w:name="_Toc4770"/>
      <w:bookmarkStart w:id="90" w:name="_Toc3651"/>
      <w:r>
        <w:rPr>
          <w:rFonts w:hint="eastAsia" w:ascii="黑体" w:eastAsia="黑体"/>
          <w:color w:val="auto"/>
          <w:sz w:val="32"/>
          <w:szCs w:val="32"/>
          <w:highlight w:val="none"/>
        </w:rPr>
        <w:t>八、</w:t>
      </w:r>
      <w:r>
        <w:rPr>
          <w:rStyle w:val="31"/>
          <w:rFonts w:hint="eastAsia" w:ascii="黑体" w:hAnsi="黑体" w:eastAsia="黑体"/>
          <w:b w:val="0"/>
          <w:color w:val="auto"/>
          <w:highlight w:val="none"/>
        </w:rPr>
        <w:t>政府性基金预算支出决算情况说明</w:t>
      </w:r>
      <w:bookmarkEnd w:id="87"/>
      <w:bookmarkEnd w:id="88"/>
      <w:bookmarkEnd w:id="89"/>
      <w:bookmarkEnd w:id="90"/>
    </w:p>
    <w:p>
      <w:pPr>
        <w:keepNext w:val="0"/>
        <w:keepLines w:val="0"/>
        <w:pageBreakBefore w:val="0"/>
        <w:kinsoku/>
        <w:wordWrap/>
        <w:overflowPunct/>
        <w:topLinePunct w:val="0"/>
        <w:bidi w:val="0"/>
        <w:spacing w:line="560" w:lineRule="exact"/>
        <w:ind w:firstLine="640"/>
        <w:textAlignment w:val="auto"/>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6.5</w:t>
      </w:r>
      <w:r>
        <w:rPr>
          <w:rFonts w:hint="eastAsia" w:ascii="仿宋_GB2312" w:eastAsia="仿宋_GB2312"/>
          <w:color w:val="auto"/>
          <w:sz w:val="32"/>
          <w:szCs w:val="32"/>
          <w:highlight w:val="none"/>
        </w:rPr>
        <w:t>万元。</w:t>
      </w:r>
    </w:p>
    <w:p>
      <w:pPr>
        <w:keepNext w:val="0"/>
        <w:keepLines w:val="0"/>
        <w:pageBreakBefore w:val="0"/>
        <w:kinsoku/>
        <w:wordWrap/>
        <w:overflowPunct/>
        <w:topLinePunct w:val="0"/>
        <w:bidi w:val="0"/>
        <w:spacing w:line="560" w:lineRule="exact"/>
        <w:ind w:firstLine="640"/>
        <w:textAlignment w:val="auto"/>
        <w:rPr>
          <w:rFonts w:ascii="仿宋_GB2312" w:eastAsia="仿宋_GB2312"/>
          <w:color w:val="auto"/>
          <w:sz w:val="32"/>
          <w:szCs w:val="32"/>
          <w:highlight w:val="none"/>
        </w:rPr>
      </w:pP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outlineLvl w:val="1"/>
        <w:rPr>
          <w:rStyle w:val="31"/>
          <w:rFonts w:ascii="黑体" w:hAnsi="黑体" w:eastAsia="黑体"/>
          <w:b w:val="0"/>
          <w:color w:val="auto"/>
          <w:highlight w:val="none"/>
        </w:rPr>
      </w:pPr>
      <w:bookmarkStart w:id="91" w:name="_Toc15377219"/>
      <w:bookmarkStart w:id="92" w:name="_Toc15396611"/>
      <w:bookmarkStart w:id="93" w:name="_Toc25497"/>
      <w:bookmarkStart w:id="94" w:name="_Toc23012"/>
      <w:r>
        <w:rPr>
          <w:rStyle w:val="31"/>
          <w:rFonts w:hint="eastAsia" w:ascii="黑体" w:hAnsi="黑体" w:eastAsia="黑体"/>
          <w:b w:val="0"/>
          <w:color w:val="auto"/>
          <w:highlight w:val="none"/>
        </w:rPr>
        <w:t>国有资本经营预算支出决算情况说明</w:t>
      </w:r>
      <w:bookmarkEnd w:id="91"/>
      <w:bookmarkEnd w:id="92"/>
      <w:bookmarkEnd w:id="93"/>
      <w:bookmarkEnd w:id="94"/>
    </w:p>
    <w:p>
      <w:pPr>
        <w:keepNext w:val="0"/>
        <w:keepLines w:val="0"/>
        <w:pageBreakBefore w:val="0"/>
        <w:kinsoku/>
        <w:wordWrap/>
        <w:overflowPunct/>
        <w:topLinePunct w:val="0"/>
        <w:bidi w:val="0"/>
        <w:spacing w:line="560" w:lineRule="exact"/>
        <w:ind w:firstLine="640"/>
        <w:textAlignment w:val="auto"/>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keepNext w:val="0"/>
        <w:keepLines w:val="0"/>
        <w:pageBreakBefore w:val="0"/>
        <w:kinsoku/>
        <w:wordWrap/>
        <w:overflowPunct/>
        <w:topLinePunct w:val="0"/>
        <w:bidi w:val="0"/>
        <w:spacing w:line="560" w:lineRule="exact"/>
        <w:jc w:val="center"/>
        <w:textAlignment w:val="auto"/>
        <w:rPr>
          <w:rFonts w:ascii="方正小标宋简体" w:hAnsi="方正小标宋简体" w:eastAsia="方正小标宋简体" w:cs="方正小标宋简体"/>
          <w:color w:val="auto"/>
          <w:sz w:val="44"/>
          <w:szCs w:val="44"/>
          <w:highlight w:val="none"/>
        </w:rPr>
      </w:pP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outlineLvl w:val="1"/>
        <w:rPr>
          <w:rStyle w:val="31"/>
          <w:rFonts w:hint="eastAsia" w:ascii="黑体" w:hAnsi="黑体" w:eastAsia="黑体"/>
          <w:b w:val="0"/>
          <w:color w:val="auto"/>
          <w:highlight w:val="none"/>
        </w:rPr>
      </w:pPr>
      <w:bookmarkStart w:id="95" w:name="_Toc15396612"/>
      <w:bookmarkStart w:id="96" w:name="_Toc15377221"/>
      <w:bookmarkStart w:id="97" w:name="_Toc9732"/>
      <w:bookmarkStart w:id="98" w:name="_Toc8553"/>
      <w:r>
        <w:rPr>
          <w:rStyle w:val="31"/>
          <w:rFonts w:hint="eastAsia" w:ascii="黑体" w:hAnsi="黑体" w:eastAsia="黑体"/>
          <w:b w:val="0"/>
          <w:color w:val="auto"/>
          <w:highlight w:val="none"/>
        </w:rPr>
        <w:t>其他重要事项的情况说明</w:t>
      </w:r>
      <w:bookmarkEnd w:id="95"/>
      <w:bookmarkEnd w:id="96"/>
      <w:bookmarkEnd w:id="97"/>
      <w:bookmarkEnd w:id="98"/>
    </w:p>
    <w:p>
      <w:pPr>
        <w:keepNext w:val="0"/>
        <w:keepLines w:val="0"/>
        <w:pageBreakBefore w:val="0"/>
        <w:kinsoku/>
        <w:wordWrap/>
        <w:overflowPunct/>
        <w:topLinePunct w:val="0"/>
        <w:bidi w:val="0"/>
        <w:spacing w:line="560" w:lineRule="exact"/>
        <w:ind w:firstLine="643" w:firstLineChars="200"/>
        <w:textAlignment w:val="auto"/>
        <w:outlineLvl w:val="2"/>
        <w:rPr>
          <w:rFonts w:hint="eastAsia" w:ascii="楷体" w:hAnsi="楷体" w:eastAsia="楷体" w:cs="楷体"/>
          <w:color w:val="auto"/>
          <w:sz w:val="32"/>
          <w:szCs w:val="32"/>
          <w:highlight w:val="none"/>
        </w:rPr>
      </w:pPr>
      <w:bookmarkStart w:id="99" w:name="_Toc15377222"/>
      <w:bookmarkStart w:id="100" w:name="_Toc21519"/>
      <w:r>
        <w:rPr>
          <w:rFonts w:hint="eastAsia" w:ascii="楷体" w:hAnsi="楷体" w:eastAsia="楷体" w:cs="楷体"/>
          <w:b/>
          <w:color w:val="auto"/>
          <w:sz w:val="32"/>
          <w:szCs w:val="32"/>
          <w:highlight w:val="none"/>
        </w:rPr>
        <w:t>（一）机关运行经费支出情况</w:t>
      </w:r>
      <w:bookmarkEnd w:id="99"/>
      <w:bookmarkEnd w:id="100"/>
    </w:p>
    <w:p>
      <w:pPr>
        <w:keepNext w:val="0"/>
        <w:keepLines w:val="0"/>
        <w:pageBreakBefore w:val="0"/>
        <w:kinsoku/>
        <w:wordWrap/>
        <w:overflowPunct/>
        <w:topLinePunct w:val="0"/>
        <w:bidi w:val="0"/>
        <w:spacing w:line="560" w:lineRule="exact"/>
        <w:ind w:firstLine="640" w:firstLineChars="200"/>
        <w:textAlignment w:val="auto"/>
        <w:rPr>
          <w:rFonts w:ascii="仿宋" w:hAnsi="仿宋" w:eastAsia="仿宋"/>
          <w:b/>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磨滩镇人民政府</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156.25</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19.47</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11</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。主要原因是落实过紧日子要求、厉行节约</w:t>
      </w:r>
      <w:r>
        <w:rPr>
          <w:rFonts w:hint="eastAsia" w:ascii="仿宋_GB2312" w:eastAsia="仿宋_GB2312"/>
          <w:color w:val="auto"/>
          <w:sz w:val="32"/>
          <w:szCs w:val="32"/>
          <w:highlight w:val="none"/>
          <w:lang w:eastAsia="zh-CN"/>
        </w:rPr>
        <w:t>。</w:t>
      </w:r>
    </w:p>
    <w:p>
      <w:pPr>
        <w:keepNext w:val="0"/>
        <w:keepLines w:val="0"/>
        <w:pageBreakBefore w:val="0"/>
        <w:kinsoku/>
        <w:wordWrap/>
        <w:overflowPunct/>
        <w:topLinePunct w:val="0"/>
        <w:bidi w:val="0"/>
        <w:spacing w:line="560" w:lineRule="exact"/>
        <w:ind w:firstLine="643" w:firstLineChars="200"/>
        <w:textAlignment w:val="auto"/>
        <w:outlineLvl w:val="2"/>
        <w:rPr>
          <w:rFonts w:hint="eastAsia" w:ascii="楷体" w:hAnsi="楷体" w:eastAsia="楷体" w:cs="楷体"/>
          <w:b/>
          <w:color w:val="auto"/>
          <w:sz w:val="32"/>
          <w:szCs w:val="32"/>
          <w:highlight w:val="none"/>
        </w:rPr>
      </w:pPr>
      <w:bookmarkStart w:id="101" w:name="_Toc15377223"/>
      <w:bookmarkStart w:id="102" w:name="_Toc29784"/>
      <w:r>
        <w:rPr>
          <w:rFonts w:hint="eastAsia" w:ascii="楷体" w:hAnsi="楷体" w:eastAsia="楷体" w:cs="楷体"/>
          <w:b/>
          <w:color w:val="auto"/>
          <w:sz w:val="32"/>
          <w:szCs w:val="32"/>
          <w:highlight w:val="none"/>
        </w:rPr>
        <w:t>（二）政府采购支出情况</w:t>
      </w:r>
      <w:bookmarkEnd w:id="101"/>
      <w:bookmarkEnd w:id="102"/>
    </w:p>
    <w:p>
      <w:pPr>
        <w:keepNext w:val="0"/>
        <w:keepLines w:val="0"/>
        <w:pageBreakBefore w:val="0"/>
        <w:kinsoku/>
        <w:wordWrap/>
        <w:overflowPunct/>
        <w:topLinePunct w:val="0"/>
        <w:bidi w:val="0"/>
        <w:spacing w:line="560"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磨滩镇</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万元、政府采购工程支出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万元、政府采购服务支出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万元。授予中小企业合同金额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，其中：授予小微企业合同金额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keepNext w:val="0"/>
        <w:keepLines w:val="0"/>
        <w:pageBreakBefore w:val="0"/>
        <w:kinsoku/>
        <w:wordWrap/>
        <w:overflowPunct/>
        <w:topLinePunct w:val="0"/>
        <w:bidi w:val="0"/>
        <w:spacing w:line="560" w:lineRule="exact"/>
        <w:ind w:firstLine="643" w:firstLineChars="200"/>
        <w:textAlignment w:val="auto"/>
        <w:outlineLvl w:val="2"/>
        <w:rPr>
          <w:rFonts w:hint="eastAsia" w:ascii="楷体" w:hAnsi="楷体" w:eastAsia="楷体" w:cs="楷体"/>
          <w:b/>
          <w:color w:val="auto"/>
          <w:sz w:val="32"/>
          <w:szCs w:val="32"/>
          <w:highlight w:val="none"/>
        </w:rPr>
      </w:pPr>
      <w:bookmarkStart w:id="103" w:name="_Toc12081"/>
      <w:bookmarkStart w:id="104" w:name="_Toc15377224"/>
      <w:r>
        <w:rPr>
          <w:rFonts w:hint="eastAsia" w:ascii="楷体" w:hAnsi="楷体" w:eastAsia="楷体" w:cs="楷体"/>
          <w:b/>
          <w:color w:val="auto"/>
          <w:sz w:val="32"/>
          <w:szCs w:val="32"/>
          <w:highlight w:val="none"/>
        </w:rPr>
        <w:t>（三）国有资产占有使用情况</w:t>
      </w:r>
      <w:bookmarkEnd w:id="103"/>
      <w:bookmarkEnd w:id="104"/>
    </w:p>
    <w:p>
      <w:pPr>
        <w:keepNext w:val="0"/>
        <w:keepLines w:val="0"/>
        <w:pageBreakBefore w:val="0"/>
        <w:kinsoku/>
        <w:wordWrap/>
        <w:overflowPunct/>
        <w:topLinePunct w:val="0"/>
        <w:autoSpaceDE w:val="0"/>
        <w:autoSpaceDN w:val="0"/>
        <w:bidi w:val="0"/>
        <w:adjustRightInd w:val="0"/>
        <w:spacing w:line="560" w:lineRule="exact"/>
        <w:ind w:firstLine="640" w:firstLineChars="200"/>
        <w:jc w:val="left"/>
        <w:textAlignment w:val="auto"/>
        <w:rPr>
          <w:rFonts w:ascii="仿宋" w:hAnsi="仿宋" w:eastAsia="仿宋"/>
          <w:b/>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eastAsia="zh-CN"/>
        </w:rPr>
        <w:t>磨滩镇人民政府</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辆，其中：主要领导干部用车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辆、机要通信用车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辆、应急保障用车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辆、其他用车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50</w:t>
      </w:r>
      <w:r>
        <w:rPr>
          <w:rFonts w:hint="eastAsia" w:ascii="仿宋_GB2312" w:eastAsia="仿宋_GB2312"/>
          <w:color w:val="auto"/>
          <w:sz w:val="32"/>
          <w:szCs w:val="32"/>
          <w:highlight w:val="none"/>
        </w:rPr>
        <w:t>万元以上通用设备</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keepNext w:val="0"/>
        <w:keepLines w:val="0"/>
        <w:pageBreakBefore w:val="0"/>
        <w:kinsoku/>
        <w:wordWrap/>
        <w:overflowPunct/>
        <w:topLinePunct w:val="0"/>
        <w:bidi w:val="0"/>
        <w:spacing w:line="560" w:lineRule="exact"/>
        <w:ind w:firstLine="643" w:firstLineChars="200"/>
        <w:textAlignment w:val="auto"/>
        <w:outlineLvl w:val="2"/>
        <w:rPr>
          <w:rFonts w:hint="eastAsia" w:ascii="楷体" w:hAnsi="楷体" w:eastAsia="楷体" w:cs="楷体"/>
          <w:b/>
          <w:color w:val="auto"/>
          <w:sz w:val="32"/>
          <w:szCs w:val="32"/>
          <w:highlight w:val="none"/>
        </w:rPr>
      </w:pPr>
      <w:bookmarkStart w:id="105" w:name="_Toc6847"/>
      <w:r>
        <w:rPr>
          <w:rFonts w:hint="eastAsia" w:ascii="楷体" w:hAnsi="楷体" w:eastAsia="楷体" w:cs="楷体"/>
          <w:b/>
          <w:color w:val="auto"/>
          <w:sz w:val="32"/>
          <w:szCs w:val="32"/>
          <w:highlight w:val="none"/>
        </w:rPr>
        <w:t>（四）预算绩效管理情况</w:t>
      </w:r>
      <w:bookmarkEnd w:id="105"/>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根据预算绩效管理要求，本部门在2022年度预算编制阶段，对基层组织活动和公共运行维护经费</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和烤烟发展经费</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b w:val="0"/>
          <w:bCs w:val="0"/>
          <w:color w:val="000000" w:themeColor="text1"/>
          <w:sz w:val="32"/>
          <w:szCs w:val="32"/>
          <w14:textFill>
            <w14:solidFill>
              <w14:schemeClr w14:val="tx1"/>
            </w14:solidFill>
          </w14:textFill>
        </w:rPr>
        <w:t>个项目编制了绩效目标，预算执行过程中，</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对其</w:t>
      </w:r>
      <w:r>
        <w:rPr>
          <w:rFonts w:hint="eastAsia" w:ascii="仿宋_GB2312" w:hAnsi="仿宋_GB2312" w:eastAsia="仿宋_GB2312" w:cs="仿宋_GB2312"/>
          <w:b w:val="0"/>
          <w:bCs w:val="0"/>
          <w:color w:val="000000" w:themeColor="text1"/>
          <w:sz w:val="32"/>
          <w:szCs w:val="32"/>
          <w14:textFill>
            <w14:solidFill>
              <w14:schemeClr w14:val="tx1"/>
            </w14:solidFill>
          </w14:textFill>
        </w:rPr>
        <w:t>开展绩效监控。</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组织对2022年度一般公共预算、政府性基金预算、国有资本经营预算、社会保险基金预算以及资本资产、债券资金等全面开展绩效自评，形成广元市昭化区</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磨滩</w:t>
      </w:r>
      <w:r>
        <w:rPr>
          <w:rFonts w:hint="eastAsia" w:ascii="仿宋_GB2312" w:hAnsi="仿宋_GB2312" w:eastAsia="仿宋_GB2312" w:cs="仿宋_GB2312"/>
          <w:b w:val="0"/>
          <w:bCs w:val="0"/>
          <w:color w:val="000000" w:themeColor="text1"/>
          <w:sz w:val="32"/>
          <w:szCs w:val="32"/>
          <w14:textFill>
            <w14:solidFill>
              <w14:schemeClr w14:val="tx1"/>
            </w14:solidFill>
          </w14:textFill>
        </w:rPr>
        <w:t>镇人民政府部门整体（含部门预算项目）绩效自评报告，绩效自评得分为</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99.5</w:t>
      </w:r>
      <w:r>
        <w:rPr>
          <w:rFonts w:hint="eastAsia" w:ascii="仿宋_GB2312" w:hAnsi="仿宋_GB2312" w:eastAsia="仿宋_GB2312" w:cs="仿宋_GB2312"/>
          <w:b w:val="0"/>
          <w:bCs w:val="0"/>
          <w:color w:val="000000" w:themeColor="text1"/>
          <w:sz w:val="32"/>
          <w:szCs w:val="32"/>
          <w14:textFill>
            <w14:solidFill>
              <w14:schemeClr w14:val="tx1"/>
            </w14:solidFill>
          </w14:textFill>
        </w:rPr>
        <w:t>分，绩效自评综述：2022年</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磨滩</w:t>
      </w:r>
      <w:r>
        <w:rPr>
          <w:rFonts w:hint="eastAsia" w:ascii="仿宋_GB2312" w:hAnsi="仿宋_GB2312" w:eastAsia="仿宋_GB2312" w:cs="仿宋_GB2312"/>
          <w:b w:val="0"/>
          <w:bCs w:val="0"/>
          <w:color w:val="000000" w:themeColor="text1"/>
          <w:sz w:val="32"/>
          <w:szCs w:val="32"/>
          <w14:textFill>
            <w14:solidFill>
              <w14:schemeClr w14:val="tx1"/>
            </w14:solidFill>
          </w14:textFill>
        </w:rPr>
        <w:t>镇部门整体支出符合国家财经法规和财务管理制度规定以及有关专项资金管理办法的规定，资金的拨付有完整的审批过程和手续，支出基本符合部门预算批复的用途，资金使用无截留、挤占、挪用、虚列支出等情况。根据区政府绩效考核文件精神，绩效目标在2022年基本完成，在保障机关运转、履行职能职责上整体情况良好。绩效自评报告详见附件。</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p>
    <w:p>
      <w:pPr>
        <w:keepNext w:val="0"/>
        <w:keepLines w:val="0"/>
        <w:pageBreakBefore w:val="0"/>
        <w:numPr>
          <w:ilvl w:val="0"/>
          <w:numId w:val="3"/>
        </w:numPr>
        <w:kinsoku/>
        <w:wordWrap/>
        <w:overflowPunct/>
        <w:topLinePunct w:val="0"/>
        <w:bidi w:val="0"/>
        <w:spacing w:line="560" w:lineRule="exact"/>
        <w:ind w:firstLine="660" w:firstLineChars="150"/>
        <w:jc w:val="center"/>
        <w:textAlignment w:val="auto"/>
        <w:outlineLvl w:val="0"/>
        <w:rPr>
          <w:rStyle w:val="30"/>
          <w:rFonts w:ascii="黑体" w:hAnsi="黑体" w:eastAsia="黑体"/>
          <w:b w:val="0"/>
          <w:color w:val="auto"/>
          <w:highlight w:val="none"/>
        </w:rPr>
      </w:pPr>
      <w:bookmarkStart w:id="106" w:name="_Toc15377225"/>
      <w:bookmarkStart w:id="107" w:name="_Toc335"/>
      <w:bookmarkStart w:id="108" w:name="_Toc15396613"/>
      <w:bookmarkStart w:id="109" w:name="_Toc30262"/>
      <w:r>
        <w:rPr>
          <w:rFonts w:hint="eastAsia" w:ascii="黑体" w:hAnsi="黑体" w:eastAsia="黑体"/>
          <w:color w:val="auto"/>
          <w:sz w:val="44"/>
          <w:szCs w:val="44"/>
          <w:highlight w:val="none"/>
        </w:rPr>
        <w:t>名</w:t>
      </w:r>
      <w:r>
        <w:rPr>
          <w:rStyle w:val="30"/>
          <w:rFonts w:hint="eastAsia" w:ascii="黑体" w:hAnsi="黑体" w:eastAsia="黑体"/>
          <w:b w:val="0"/>
          <w:color w:val="auto"/>
          <w:highlight w:val="none"/>
        </w:rPr>
        <w:t>词解释</w:t>
      </w:r>
      <w:bookmarkEnd w:id="106"/>
      <w:bookmarkEnd w:id="107"/>
      <w:bookmarkEnd w:id="108"/>
      <w:bookmarkEnd w:id="109"/>
    </w:p>
    <w:p>
      <w:pPr>
        <w:keepNext w:val="0"/>
        <w:keepLines w:val="0"/>
        <w:pageBreakBefore w:val="0"/>
        <w:widowControl w:val="0"/>
        <w:shd w:val="clear" w:color="auto" w:fill="auto"/>
        <w:kinsoku/>
        <w:wordWrap/>
        <w:overflowPunct/>
        <w:topLinePunct w:val="0"/>
        <w:autoSpaceDE/>
        <w:autoSpaceDN/>
        <w:bidi w:val="0"/>
        <w:adjustRightInd/>
        <w:snapToGrid w:val="0"/>
        <w:spacing w:line="560" w:lineRule="exact"/>
        <w:textAlignment w:val="auto"/>
        <w:outlineLvl w:val="9"/>
        <w:rPr>
          <w:rFonts w:hint="eastAsia" w:ascii="Times New Roman" w:hAnsi="Times New Roman" w:eastAsia="仿宋_GB2312" w:cs="Times New Roman"/>
          <w:b w:val="0"/>
          <w:bCs w:val="0"/>
          <w:sz w:val="32"/>
          <w:szCs w:val="32"/>
        </w:rPr>
      </w:pPr>
    </w:p>
    <w:p>
      <w:pPr>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firstLine="640" w:firstLineChars="200"/>
        <w:textAlignment w:val="auto"/>
        <w:outlineLvl w:val="9"/>
        <w:rPr>
          <w:rFonts w:hint="eastAsia" w:ascii="Times New Roman" w:hAnsi="Times New Roman" w:eastAsia="仿宋_GB2312" w:cs="Times New Roman"/>
          <w:b w:val="0"/>
          <w:bCs w:val="0"/>
          <w:sz w:val="32"/>
          <w:szCs w:val="32"/>
        </w:rPr>
      </w:pPr>
      <w:r>
        <w:rPr>
          <w:rFonts w:hint="eastAsia" w:ascii="Times New Roman" w:hAnsi="Times New Roman" w:eastAsia="仿宋_GB2312" w:cs="Times New Roman"/>
          <w:b w:val="0"/>
          <w:bCs w:val="0"/>
          <w:sz w:val="32"/>
          <w:szCs w:val="32"/>
        </w:rPr>
        <w:t>1</w:t>
      </w:r>
      <w:r>
        <w:rPr>
          <w:rFonts w:hint="eastAsia" w:eastAsia="仿宋_GB2312" w:cs="Times New Roman"/>
          <w:b w:val="0"/>
          <w:bCs w:val="0"/>
          <w:sz w:val="32"/>
          <w:szCs w:val="32"/>
          <w:lang w:val="en-US" w:eastAsia="zh-CN"/>
        </w:rPr>
        <w:t>.</w:t>
      </w:r>
      <w:r>
        <w:rPr>
          <w:rFonts w:hint="eastAsia" w:ascii="Times New Roman" w:hAnsi="Times New Roman" w:eastAsia="仿宋_GB2312" w:cs="Times New Roman"/>
          <w:b w:val="0"/>
          <w:bCs w:val="0"/>
          <w:sz w:val="32"/>
          <w:szCs w:val="32"/>
        </w:rPr>
        <w:t>财政拨款收入：指单位从同级政府财政部门取得的各类财政拨款。</w:t>
      </w:r>
    </w:p>
    <w:p>
      <w:pPr>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firstLine="640" w:firstLineChars="200"/>
        <w:textAlignment w:val="auto"/>
        <w:outlineLvl w:val="9"/>
        <w:rPr>
          <w:rFonts w:hint="eastAsia" w:ascii="Times New Roman" w:hAnsi="Times New Roman" w:eastAsia="仿宋_GB2312" w:cs="Times New Roman"/>
          <w:b w:val="0"/>
          <w:bCs w:val="0"/>
          <w:sz w:val="32"/>
          <w:szCs w:val="32"/>
        </w:rPr>
      </w:pPr>
      <w:r>
        <w:rPr>
          <w:rFonts w:hint="eastAsia" w:ascii="Times New Roman" w:hAnsi="Times New Roman" w:eastAsia="仿宋_GB2312" w:cs="Times New Roman"/>
          <w:b w:val="0"/>
          <w:bCs w:val="0"/>
          <w:sz w:val="32"/>
          <w:szCs w:val="32"/>
        </w:rPr>
        <w:t>2</w:t>
      </w:r>
      <w:r>
        <w:rPr>
          <w:rFonts w:hint="eastAsia" w:eastAsia="仿宋_GB2312" w:cs="Times New Roman"/>
          <w:b w:val="0"/>
          <w:bCs w:val="0"/>
          <w:sz w:val="32"/>
          <w:szCs w:val="32"/>
          <w:lang w:val="en-US" w:eastAsia="zh-CN"/>
        </w:rPr>
        <w:t>.</w:t>
      </w:r>
      <w:r>
        <w:rPr>
          <w:rFonts w:hint="eastAsia" w:ascii="Times New Roman" w:hAnsi="Times New Roman" w:eastAsia="仿宋_GB2312" w:cs="Times New Roman"/>
          <w:b w:val="0"/>
          <w:bCs w:val="0"/>
          <w:sz w:val="32"/>
          <w:szCs w:val="32"/>
        </w:rPr>
        <w:t>一般公共预算财政拨款收入：指单位从同级政府财政部门取得的预算资金。</w:t>
      </w:r>
    </w:p>
    <w:p>
      <w:pPr>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firstLine="640" w:firstLineChars="200"/>
        <w:textAlignment w:val="auto"/>
        <w:outlineLvl w:val="9"/>
        <w:rPr>
          <w:rFonts w:hint="eastAsia" w:ascii="Times New Roman" w:hAnsi="Times New Roman" w:eastAsia="仿宋_GB2312" w:cs="Times New Roman"/>
          <w:b w:val="0"/>
          <w:bCs w:val="0"/>
          <w:sz w:val="32"/>
          <w:szCs w:val="32"/>
        </w:rPr>
      </w:pPr>
      <w:r>
        <w:rPr>
          <w:rFonts w:hint="eastAsia" w:ascii="Times New Roman" w:hAnsi="Times New Roman" w:eastAsia="仿宋_GB2312" w:cs="Times New Roman"/>
          <w:b w:val="0"/>
          <w:bCs w:val="0"/>
          <w:sz w:val="32"/>
          <w:szCs w:val="32"/>
        </w:rPr>
        <w:t>3</w:t>
      </w:r>
      <w:r>
        <w:rPr>
          <w:rFonts w:hint="eastAsia" w:eastAsia="仿宋_GB2312" w:cs="Times New Roman"/>
          <w:b w:val="0"/>
          <w:bCs w:val="0"/>
          <w:sz w:val="32"/>
          <w:szCs w:val="32"/>
          <w:lang w:val="en-US" w:eastAsia="zh-CN"/>
        </w:rPr>
        <w:t>.</w:t>
      </w:r>
      <w:r>
        <w:rPr>
          <w:rFonts w:hint="eastAsia" w:ascii="Times New Roman" w:hAnsi="Times New Roman" w:eastAsia="仿宋_GB2312" w:cs="Times New Roman"/>
          <w:b w:val="0"/>
          <w:bCs w:val="0"/>
          <w:sz w:val="32"/>
          <w:szCs w:val="32"/>
        </w:rPr>
        <w:t>事业收入：指事业单位开展专业业务活动及辅助活动取得的收入。</w:t>
      </w:r>
    </w:p>
    <w:p>
      <w:pPr>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firstLine="640" w:firstLineChars="200"/>
        <w:textAlignment w:val="auto"/>
        <w:outlineLvl w:val="9"/>
        <w:rPr>
          <w:rFonts w:hint="eastAsia" w:ascii="Times New Roman" w:hAnsi="Times New Roman" w:eastAsia="仿宋_GB2312" w:cs="Times New Roman"/>
          <w:b w:val="0"/>
          <w:bCs w:val="0"/>
          <w:sz w:val="32"/>
          <w:szCs w:val="32"/>
        </w:rPr>
      </w:pPr>
      <w:r>
        <w:rPr>
          <w:rFonts w:hint="eastAsia" w:ascii="Times New Roman" w:hAnsi="Times New Roman" w:eastAsia="仿宋_GB2312" w:cs="Times New Roman"/>
          <w:b w:val="0"/>
          <w:bCs w:val="0"/>
          <w:sz w:val="32"/>
          <w:szCs w:val="32"/>
        </w:rPr>
        <w:t>4</w:t>
      </w:r>
      <w:r>
        <w:rPr>
          <w:rFonts w:hint="eastAsia" w:eastAsia="仿宋_GB2312" w:cs="Times New Roman"/>
          <w:b w:val="0"/>
          <w:bCs w:val="0"/>
          <w:sz w:val="32"/>
          <w:szCs w:val="32"/>
          <w:lang w:val="en-US" w:eastAsia="zh-CN"/>
        </w:rPr>
        <w:t>.</w:t>
      </w:r>
      <w:r>
        <w:rPr>
          <w:rFonts w:hint="eastAsia" w:ascii="Times New Roman" w:hAnsi="Times New Roman" w:eastAsia="仿宋_GB2312" w:cs="Times New Roman"/>
          <w:b w:val="0"/>
          <w:bCs w:val="0"/>
          <w:sz w:val="32"/>
          <w:szCs w:val="32"/>
        </w:rPr>
        <w:t>经营收入：指事业单位在专业业务活动及其辅助活动之外开展非独立核算经营活动取得的收入。</w:t>
      </w:r>
    </w:p>
    <w:p>
      <w:pPr>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firstLine="640" w:firstLineChars="200"/>
        <w:textAlignment w:val="auto"/>
        <w:outlineLvl w:val="1"/>
        <w:rPr>
          <w:rFonts w:hint="eastAsia" w:ascii="Times New Roman" w:hAnsi="Times New Roman" w:eastAsia="仿宋_GB2312" w:cs="Times New Roman"/>
          <w:b w:val="0"/>
          <w:bCs w:val="0"/>
          <w:sz w:val="32"/>
          <w:szCs w:val="32"/>
        </w:rPr>
      </w:pPr>
      <w:bookmarkStart w:id="110" w:name="_Toc29210"/>
      <w:r>
        <w:rPr>
          <w:rFonts w:hint="eastAsia" w:ascii="Times New Roman" w:hAnsi="Times New Roman" w:eastAsia="仿宋_GB2312" w:cs="Times New Roman"/>
          <w:b w:val="0"/>
          <w:bCs w:val="0"/>
          <w:sz w:val="32"/>
          <w:szCs w:val="32"/>
        </w:rPr>
        <w:t>5</w:t>
      </w:r>
      <w:r>
        <w:rPr>
          <w:rFonts w:hint="eastAsia" w:eastAsia="仿宋_GB2312" w:cs="Times New Roman"/>
          <w:b w:val="0"/>
          <w:bCs w:val="0"/>
          <w:sz w:val="32"/>
          <w:szCs w:val="32"/>
          <w:lang w:val="en-US" w:eastAsia="zh-CN"/>
        </w:rPr>
        <w:t>.</w:t>
      </w:r>
      <w:r>
        <w:rPr>
          <w:rFonts w:hint="eastAsia" w:ascii="Times New Roman" w:hAnsi="Times New Roman" w:eastAsia="仿宋_GB2312" w:cs="Times New Roman"/>
          <w:b w:val="0"/>
          <w:bCs w:val="0"/>
          <w:sz w:val="32"/>
          <w:szCs w:val="32"/>
        </w:rPr>
        <w:t>其他收入：指单位取得的除上述收入以外的各项收入。</w:t>
      </w:r>
      <w:bookmarkEnd w:id="110"/>
    </w:p>
    <w:p>
      <w:pPr>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firstLine="640" w:firstLineChars="200"/>
        <w:textAlignment w:val="auto"/>
        <w:outlineLvl w:val="9"/>
        <w:rPr>
          <w:rFonts w:hint="eastAsia" w:ascii="Times New Roman" w:hAnsi="Times New Roman" w:eastAsia="仿宋_GB2312" w:cs="Times New Roman"/>
          <w:b w:val="0"/>
          <w:bCs w:val="0"/>
          <w:sz w:val="32"/>
          <w:szCs w:val="32"/>
        </w:rPr>
      </w:pPr>
      <w:r>
        <w:rPr>
          <w:rFonts w:hint="eastAsia" w:ascii="Times New Roman" w:hAnsi="Times New Roman" w:eastAsia="仿宋_GB2312" w:cs="Times New Roman"/>
          <w:b w:val="0"/>
          <w:bCs w:val="0"/>
          <w:sz w:val="32"/>
          <w:szCs w:val="32"/>
        </w:rPr>
        <w:t>6</w:t>
      </w:r>
      <w:r>
        <w:rPr>
          <w:rFonts w:hint="eastAsia" w:eastAsia="仿宋_GB2312" w:cs="Times New Roman"/>
          <w:b w:val="0"/>
          <w:bCs w:val="0"/>
          <w:sz w:val="32"/>
          <w:szCs w:val="32"/>
          <w:lang w:val="en-US" w:eastAsia="zh-CN"/>
        </w:rPr>
        <w:t>.</w:t>
      </w:r>
      <w:r>
        <w:rPr>
          <w:rFonts w:hint="eastAsia" w:ascii="Times New Roman" w:hAnsi="Times New Roman" w:eastAsia="仿宋_GB2312" w:cs="Times New Roman"/>
          <w:b w:val="0"/>
          <w:bCs w:val="0"/>
          <w:sz w:val="32"/>
          <w:szCs w:val="32"/>
        </w:rPr>
        <w:t>上年结转：指以前年度尚未完成，结转到本年仍按原规定用途继续使用的资金。</w:t>
      </w:r>
    </w:p>
    <w:p>
      <w:pPr>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firstLine="640" w:firstLineChars="200"/>
        <w:textAlignment w:val="auto"/>
        <w:outlineLvl w:val="9"/>
        <w:rPr>
          <w:rFonts w:hint="eastAsia" w:ascii="Times New Roman" w:hAnsi="Times New Roman" w:eastAsia="仿宋_GB2312" w:cs="Times New Roman"/>
          <w:b w:val="0"/>
          <w:bCs w:val="0"/>
          <w:sz w:val="32"/>
          <w:szCs w:val="32"/>
        </w:rPr>
      </w:pPr>
      <w:r>
        <w:rPr>
          <w:rFonts w:hint="eastAsia" w:ascii="Times New Roman" w:hAnsi="Times New Roman" w:eastAsia="仿宋_GB2312" w:cs="Times New Roman"/>
          <w:b w:val="0"/>
          <w:bCs w:val="0"/>
          <w:sz w:val="32"/>
          <w:szCs w:val="32"/>
        </w:rPr>
        <w:t>7</w:t>
      </w:r>
      <w:r>
        <w:rPr>
          <w:rFonts w:hint="eastAsia" w:eastAsia="仿宋_GB2312" w:cs="Times New Roman"/>
          <w:b w:val="0"/>
          <w:bCs w:val="0"/>
          <w:sz w:val="32"/>
          <w:szCs w:val="32"/>
          <w:lang w:val="en-US" w:eastAsia="zh-CN"/>
        </w:rPr>
        <w:t>.</w:t>
      </w:r>
      <w:r>
        <w:rPr>
          <w:rFonts w:hint="eastAsia" w:ascii="Times New Roman" w:hAnsi="Times New Roman" w:eastAsia="仿宋_GB2312" w:cs="Times New Roman"/>
          <w:b w:val="0"/>
          <w:bCs w:val="0"/>
          <w:sz w:val="32"/>
          <w:szCs w:val="32"/>
        </w:rPr>
        <w:t>年初结转和结余：指以前年度尚未完成、结转到本年按有关规定继续使用的资金。</w:t>
      </w:r>
    </w:p>
    <w:p>
      <w:pPr>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firstLine="640" w:firstLineChars="200"/>
        <w:textAlignment w:val="auto"/>
        <w:outlineLvl w:val="9"/>
        <w:rPr>
          <w:rFonts w:hint="eastAsia" w:ascii="Times New Roman" w:hAnsi="Times New Roman" w:eastAsia="仿宋_GB2312" w:cs="Times New Roman"/>
          <w:b w:val="0"/>
          <w:bCs w:val="0"/>
          <w:sz w:val="32"/>
          <w:szCs w:val="32"/>
        </w:rPr>
      </w:pPr>
      <w:r>
        <w:rPr>
          <w:rFonts w:hint="eastAsia" w:ascii="Times New Roman" w:hAnsi="Times New Roman" w:eastAsia="仿宋_GB2312" w:cs="Times New Roman"/>
          <w:b w:val="0"/>
          <w:bCs w:val="0"/>
          <w:sz w:val="32"/>
          <w:szCs w:val="32"/>
        </w:rPr>
        <w:t>8</w:t>
      </w:r>
      <w:r>
        <w:rPr>
          <w:rFonts w:hint="eastAsia" w:eastAsia="仿宋_GB2312" w:cs="Times New Roman"/>
          <w:b w:val="0"/>
          <w:bCs w:val="0"/>
          <w:sz w:val="32"/>
          <w:szCs w:val="32"/>
          <w:lang w:val="en-US" w:eastAsia="zh-CN"/>
        </w:rPr>
        <w:t>.</w:t>
      </w:r>
      <w:r>
        <w:rPr>
          <w:rFonts w:hint="eastAsia" w:ascii="Times New Roman" w:hAnsi="Times New Roman" w:eastAsia="仿宋_GB2312" w:cs="Times New Roman"/>
          <w:b w:val="0"/>
          <w:bCs w:val="0"/>
          <w:sz w:val="32"/>
          <w:szCs w:val="32"/>
        </w:rPr>
        <w:t>年末结转和结余：指单位按有关规定结转到下年或以后年度继续使用的资金。</w:t>
      </w:r>
    </w:p>
    <w:p>
      <w:pPr>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firstLine="640" w:firstLineChars="200"/>
        <w:textAlignment w:val="auto"/>
        <w:outlineLvl w:val="1"/>
        <w:rPr>
          <w:rFonts w:hint="eastAsia" w:ascii="Times New Roman" w:hAnsi="Times New Roman" w:eastAsia="仿宋_GB2312" w:cs="Times New Roman"/>
          <w:b w:val="0"/>
          <w:bCs w:val="0"/>
          <w:sz w:val="32"/>
          <w:szCs w:val="32"/>
        </w:rPr>
      </w:pPr>
      <w:bookmarkStart w:id="111" w:name="_Toc22917"/>
      <w:r>
        <w:rPr>
          <w:rFonts w:hint="eastAsia" w:ascii="Times New Roman" w:hAnsi="Times New Roman" w:eastAsia="仿宋_GB2312" w:cs="Times New Roman"/>
          <w:b w:val="0"/>
          <w:bCs w:val="0"/>
          <w:sz w:val="32"/>
          <w:szCs w:val="32"/>
        </w:rPr>
        <w:t>9</w:t>
      </w:r>
      <w:r>
        <w:rPr>
          <w:rFonts w:hint="eastAsia" w:eastAsia="仿宋_GB2312" w:cs="Times New Roman"/>
          <w:b w:val="0"/>
          <w:bCs w:val="0"/>
          <w:sz w:val="32"/>
          <w:szCs w:val="32"/>
          <w:lang w:val="en-US" w:eastAsia="zh-CN"/>
        </w:rPr>
        <w:t>.</w:t>
      </w:r>
      <w:r>
        <w:rPr>
          <w:rFonts w:hint="eastAsia" w:ascii="Times New Roman" w:hAnsi="Times New Roman" w:eastAsia="仿宋_GB2312" w:cs="Times New Roman"/>
          <w:b w:val="0"/>
          <w:bCs w:val="0"/>
          <w:sz w:val="32"/>
          <w:szCs w:val="32"/>
        </w:rPr>
        <w:t>一般公共服务支出：反映政府提供一般公共服务的支出。</w:t>
      </w:r>
      <w:bookmarkEnd w:id="111"/>
    </w:p>
    <w:p>
      <w:pPr>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firstLine="640" w:firstLineChars="200"/>
        <w:textAlignment w:val="auto"/>
        <w:outlineLvl w:val="9"/>
        <w:rPr>
          <w:rFonts w:hint="eastAsia" w:ascii="Times New Roman" w:hAnsi="Times New Roman" w:eastAsia="仿宋_GB2312" w:cs="Times New Roman"/>
          <w:b w:val="0"/>
          <w:bCs w:val="0"/>
          <w:sz w:val="32"/>
          <w:szCs w:val="32"/>
        </w:rPr>
      </w:pPr>
      <w:r>
        <w:rPr>
          <w:rFonts w:hint="eastAsia" w:ascii="Times New Roman" w:hAnsi="Times New Roman" w:eastAsia="仿宋_GB2312" w:cs="Times New Roman"/>
          <w:b w:val="0"/>
          <w:bCs w:val="0"/>
          <w:sz w:val="32"/>
          <w:szCs w:val="32"/>
        </w:rPr>
        <w:t>10</w:t>
      </w:r>
      <w:r>
        <w:rPr>
          <w:rFonts w:hint="eastAsia" w:eastAsia="仿宋_GB2312" w:cs="Times New Roman"/>
          <w:b w:val="0"/>
          <w:bCs w:val="0"/>
          <w:sz w:val="32"/>
          <w:szCs w:val="32"/>
          <w:lang w:val="en-US" w:eastAsia="zh-CN"/>
        </w:rPr>
        <w:t>.</w:t>
      </w:r>
      <w:r>
        <w:rPr>
          <w:rFonts w:hint="eastAsia" w:ascii="Times New Roman" w:hAnsi="Times New Roman" w:eastAsia="仿宋_GB2312" w:cs="Times New Roman"/>
          <w:b w:val="0"/>
          <w:bCs w:val="0"/>
          <w:sz w:val="32"/>
          <w:szCs w:val="32"/>
        </w:rPr>
        <w:t>一般公共服务（类）人大事务（款）代表工作（项）：指用于保障代表工作正常运行的基本支出。</w:t>
      </w:r>
    </w:p>
    <w:p>
      <w:pPr>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firstLine="640" w:firstLineChars="200"/>
        <w:textAlignment w:val="auto"/>
        <w:outlineLvl w:val="9"/>
        <w:rPr>
          <w:rFonts w:hint="eastAsia" w:ascii="Times New Roman" w:hAnsi="Times New Roman" w:eastAsia="仿宋_GB2312" w:cs="Times New Roman"/>
          <w:b w:val="0"/>
          <w:bCs w:val="0"/>
          <w:sz w:val="32"/>
          <w:szCs w:val="32"/>
        </w:rPr>
      </w:pPr>
      <w:r>
        <w:rPr>
          <w:rFonts w:hint="eastAsia" w:ascii="Times New Roman" w:hAnsi="Times New Roman" w:eastAsia="仿宋_GB2312" w:cs="Times New Roman"/>
          <w:b w:val="0"/>
          <w:bCs w:val="0"/>
          <w:sz w:val="32"/>
          <w:szCs w:val="32"/>
        </w:rPr>
        <w:t>11</w:t>
      </w:r>
      <w:r>
        <w:rPr>
          <w:rFonts w:hint="eastAsia" w:eastAsia="仿宋_GB2312" w:cs="Times New Roman"/>
          <w:b w:val="0"/>
          <w:bCs w:val="0"/>
          <w:sz w:val="32"/>
          <w:szCs w:val="32"/>
          <w:lang w:val="en-US" w:eastAsia="zh-CN"/>
        </w:rPr>
        <w:t>.</w:t>
      </w:r>
      <w:r>
        <w:rPr>
          <w:rFonts w:hint="eastAsia" w:ascii="Times New Roman" w:hAnsi="Times New Roman" w:eastAsia="仿宋_GB2312" w:cs="Times New Roman"/>
          <w:b w:val="0"/>
          <w:bCs w:val="0"/>
          <w:sz w:val="32"/>
          <w:szCs w:val="32"/>
        </w:rPr>
        <w:t>一般公共服务（类）人大事务（款）其他人大事务支出（项）：指机关单位开展人大事务管理工作的日常支出。</w:t>
      </w:r>
    </w:p>
    <w:p>
      <w:pPr>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firstLine="640" w:firstLineChars="200"/>
        <w:textAlignment w:val="auto"/>
        <w:outlineLvl w:val="9"/>
        <w:rPr>
          <w:rFonts w:hint="eastAsia" w:ascii="Times New Roman" w:hAnsi="Times New Roman" w:eastAsia="仿宋_GB2312" w:cs="Times New Roman"/>
          <w:b w:val="0"/>
          <w:bCs w:val="0"/>
          <w:sz w:val="32"/>
          <w:szCs w:val="32"/>
        </w:rPr>
      </w:pPr>
      <w:r>
        <w:rPr>
          <w:rFonts w:hint="eastAsia" w:ascii="Times New Roman" w:hAnsi="Times New Roman" w:eastAsia="仿宋_GB2312" w:cs="Times New Roman"/>
          <w:b w:val="0"/>
          <w:bCs w:val="0"/>
          <w:sz w:val="32"/>
          <w:szCs w:val="32"/>
        </w:rPr>
        <w:t>12</w:t>
      </w:r>
      <w:r>
        <w:rPr>
          <w:rFonts w:hint="eastAsia" w:eastAsia="仿宋_GB2312" w:cs="Times New Roman"/>
          <w:b w:val="0"/>
          <w:bCs w:val="0"/>
          <w:sz w:val="32"/>
          <w:szCs w:val="32"/>
          <w:lang w:val="en-US" w:eastAsia="zh-CN"/>
        </w:rPr>
        <w:t>.</w:t>
      </w:r>
      <w:r>
        <w:rPr>
          <w:rFonts w:hint="eastAsia" w:ascii="Times New Roman" w:hAnsi="Times New Roman" w:eastAsia="仿宋_GB2312" w:cs="Times New Roman"/>
          <w:b w:val="0"/>
          <w:bCs w:val="0"/>
          <w:sz w:val="32"/>
          <w:szCs w:val="32"/>
        </w:rPr>
        <w:t>一般公共服务（类）政府办公厅（室）及相关机构事务（款）行政运行（项）：指用于保障机构正常运行、开展日常工作的基本支出。</w:t>
      </w:r>
    </w:p>
    <w:p>
      <w:pPr>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firstLine="640" w:firstLineChars="200"/>
        <w:textAlignment w:val="auto"/>
        <w:outlineLvl w:val="9"/>
        <w:rPr>
          <w:rFonts w:hint="eastAsia" w:ascii="Times New Roman" w:hAnsi="Times New Roman" w:eastAsia="仿宋_GB2312" w:cs="Times New Roman"/>
          <w:b w:val="0"/>
          <w:bCs w:val="0"/>
          <w:sz w:val="32"/>
          <w:szCs w:val="32"/>
        </w:rPr>
      </w:pPr>
      <w:r>
        <w:rPr>
          <w:rFonts w:hint="eastAsia" w:ascii="Times New Roman" w:hAnsi="Times New Roman" w:eastAsia="仿宋_GB2312" w:cs="Times New Roman"/>
          <w:b w:val="0"/>
          <w:bCs w:val="0"/>
          <w:sz w:val="32"/>
          <w:szCs w:val="32"/>
        </w:rPr>
        <w:t>13</w:t>
      </w:r>
      <w:r>
        <w:rPr>
          <w:rFonts w:hint="eastAsia" w:eastAsia="仿宋_GB2312" w:cs="Times New Roman"/>
          <w:b w:val="0"/>
          <w:bCs w:val="0"/>
          <w:sz w:val="32"/>
          <w:szCs w:val="32"/>
          <w:lang w:val="en-US" w:eastAsia="zh-CN"/>
        </w:rPr>
        <w:t>.</w:t>
      </w:r>
      <w:r>
        <w:rPr>
          <w:rFonts w:hint="eastAsia" w:ascii="Times New Roman" w:hAnsi="Times New Roman" w:eastAsia="仿宋_GB2312" w:cs="Times New Roman"/>
          <w:b w:val="0"/>
          <w:bCs w:val="0"/>
          <w:sz w:val="32"/>
          <w:szCs w:val="32"/>
        </w:rPr>
        <w:t>一般公共服务支出（类）财政事务（款）行政运行（项）：反映行政事业单位财政事务方面的基本支出。</w:t>
      </w:r>
    </w:p>
    <w:p>
      <w:pPr>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firstLine="640" w:firstLineChars="200"/>
        <w:textAlignment w:val="auto"/>
        <w:outlineLvl w:val="9"/>
        <w:rPr>
          <w:rFonts w:hint="eastAsia" w:ascii="Times New Roman" w:hAnsi="Times New Roman" w:eastAsia="仿宋_GB2312" w:cs="Times New Roman"/>
          <w:b w:val="0"/>
          <w:bCs w:val="0"/>
          <w:sz w:val="32"/>
          <w:szCs w:val="32"/>
        </w:rPr>
      </w:pPr>
      <w:r>
        <w:rPr>
          <w:rFonts w:hint="eastAsia" w:ascii="Times New Roman" w:hAnsi="Times New Roman" w:eastAsia="仿宋_GB2312" w:cs="Times New Roman"/>
          <w:b w:val="0"/>
          <w:bCs w:val="0"/>
          <w:sz w:val="32"/>
          <w:szCs w:val="32"/>
        </w:rPr>
        <w:t>14</w:t>
      </w:r>
      <w:r>
        <w:rPr>
          <w:rFonts w:hint="eastAsia" w:eastAsia="仿宋_GB2312" w:cs="Times New Roman"/>
          <w:b w:val="0"/>
          <w:bCs w:val="0"/>
          <w:sz w:val="32"/>
          <w:szCs w:val="32"/>
          <w:lang w:val="en-US" w:eastAsia="zh-CN"/>
        </w:rPr>
        <w:t>.</w:t>
      </w:r>
      <w:r>
        <w:rPr>
          <w:rFonts w:hint="eastAsia" w:ascii="Times New Roman" w:hAnsi="Times New Roman" w:eastAsia="仿宋_GB2312" w:cs="Times New Roman"/>
          <w:b w:val="0"/>
          <w:bCs w:val="0"/>
          <w:sz w:val="32"/>
          <w:szCs w:val="32"/>
        </w:rPr>
        <w:t>一般公共服务支出（类）纪检监察事务（款）其他纪检监察事务支出（项）：指机关单位开展纪检监察方面的日常支出。</w:t>
      </w:r>
    </w:p>
    <w:p>
      <w:pPr>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firstLine="640" w:firstLineChars="200"/>
        <w:textAlignment w:val="auto"/>
        <w:outlineLvl w:val="9"/>
        <w:rPr>
          <w:rFonts w:hint="eastAsia" w:ascii="Times New Roman" w:hAnsi="Times New Roman" w:eastAsia="仿宋_GB2312" w:cs="Times New Roman"/>
          <w:b w:val="0"/>
          <w:bCs w:val="0"/>
          <w:sz w:val="32"/>
          <w:szCs w:val="32"/>
        </w:rPr>
      </w:pPr>
      <w:r>
        <w:rPr>
          <w:rFonts w:hint="eastAsia" w:ascii="Times New Roman" w:hAnsi="Times New Roman" w:eastAsia="仿宋_GB2312" w:cs="Times New Roman"/>
          <w:b w:val="0"/>
          <w:bCs w:val="0"/>
          <w:sz w:val="32"/>
          <w:szCs w:val="32"/>
        </w:rPr>
        <w:t>15</w:t>
      </w:r>
      <w:r>
        <w:rPr>
          <w:rFonts w:hint="eastAsia" w:eastAsia="仿宋_GB2312" w:cs="Times New Roman"/>
          <w:b w:val="0"/>
          <w:bCs w:val="0"/>
          <w:sz w:val="32"/>
          <w:szCs w:val="32"/>
          <w:lang w:val="en-US" w:eastAsia="zh-CN"/>
        </w:rPr>
        <w:t>.</w:t>
      </w:r>
      <w:r>
        <w:rPr>
          <w:rFonts w:hint="eastAsia" w:ascii="Times New Roman" w:hAnsi="Times New Roman" w:eastAsia="仿宋_GB2312" w:cs="Times New Roman"/>
          <w:b w:val="0"/>
          <w:bCs w:val="0"/>
          <w:sz w:val="32"/>
          <w:szCs w:val="32"/>
        </w:rPr>
        <w:t>国防支出（类）其他国防支出（款）其他国防支出（项）：指反映政府用于国防方面的支出。</w:t>
      </w:r>
    </w:p>
    <w:p>
      <w:pPr>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firstLine="640" w:firstLineChars="200"/>
        <w:textAlignment w:val="auto"/>
        <w:outlineLvl w:val="9"/>
        <w:rPr>
          <w:rFonts w:hint="eastAsia" w:ascii="Times New Roman" w:hAnsi="Times New Roman" w:eastAsia="仿宋_GB2312" w:cs="Times New Roman"/>
          <w:b w:val="0"/>
          <w:bCs w:val="0"/>
          <w:sz w:val="32"/>
          <w:szCs w:val="32"/>
        </w:rPr>
      </w:pPr>
      <w:r>
        <w:rPr>
          <w:rFonts w:hint="eastAsia" w:ascii="Times New Roman" w:hAnsi="Times New Roman" w:eastAsia="仿宋_GB2312" w:cs="Times New Roman"/>
          <w:b w:val="0"/>
          <w:bCs w:val="0"/>
          <w:sz w:val="32"/>
          <w:szCs w:val="32"/>
        </w:rPr>
        <w:t>16</w:t>
      </w:r>
      <w:r>
        <w:rPr>
          <w:rFonts w:hint="eastAsia" w:eastAsia="仿宋_GB2312" w:cs="Times New Roman"/>
          <w:b w:val="0"/>
          <w:bCs w:val="0"/>
          <w:sz w:val="32"/>
          <w:szCs w:val="32"/>
          <w:lang w:val="en-US" w:eastAsia="zh-CN"/>
        </w:rPr>
        <w:t>.</w:t>
      </w:r>
      <w:r>
        <w:rPr>
          <w:rFonts w:hint="eastAsia" w:ascii="Times New Roman" w:hAnsi="Times New Roman" w:eastAsia="仿宋_GB2312" w:cs="Times New Roman"/>
          <w:b w:val="0"/>
          <w:bCs w:val="0"/>
          <w:sz w:val="32"/>
          <w:szCs w:val="32"/>
        </w:rPr>
        <w:t>文化旅游体育与传媒支出（类）文化和旅游（款）群众文化（项）：指反映群众文化方面的支出，包括基层文化馆（站）、群众艺术馆支出等。</w:t>
      </w:r>
    </w:p>
    <w:p>
      <w:pPr>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firstLine="640" w:firstLineChars="200"/>
        <w:textAlignment w:val="auto"/>
        <w:outlineLvl w:val="9"/>
        <w:rPr>
          <w:rFonts w:hint="eastAsia" w:ascii="Times New Roman" w:hAnsi="Times New Roman" w:eastAsia="仿宋_GB2312" w:cs="Times New Roman"/>
          <w:b w:val="0"/>
          <w:bCs w:val="0"/>
          <w:sz w:val="32"/>
          <w:szCs w:val="32"/>
        </w:rPr>
      </w:pPr>
      <w:r>
        <w:rPr>
          <w:rFonts w:hint="eastAsia" w:ascii="Times New Roman" w:hAnsi="Times New Roman" w:eastAsia="仿宋_GB2312" w:cs="Times New Roman"/>
          <w:b w:val="0"/>
          <w:bCs w:val="0"/>
          <w:sz w:val="32"/>
          <w:szCs w:val="32"/>
        </w:rPr>
        <w:t>17</w:t>
      </w:r>
      <w:r>
        <w:rPr>
          <w:rFonts w:hint="eastAsia" w:eastAsia="仿宋_GB2312" w:cs="Times New Roman"/>
          <w:b w:val="0"/>
          <w:bCs w:val="0"/>
          <w:sz w:val="32"/>
          <w:szCs w:val="32"/>
          <w:lang w:val="en-US" w:eastAsia="zh-CN"/>
        </w:rPr>
        <w:t>.</w:t>
      </w:r>
      <w:r>
        <w:rPr>
          <w:rFonts w:hint="eastAsia" w:ascii="Times New Roman" w:hAnsi="Times New Roman" w:eastAsia="仿宋_GB2312" w:cs="Times New Roman"/>
          <w:b w:val="0"/>
          <w:bCs w:val="0"/>
          <w:sz w:val="32"/>
          <w:szCs w:val="32"/>
        </w:rPr>
        <w:t>社会保障和就业（类）行政事业单位养老支出（款）行政单位离退休（项）：指部门离退休人员的养老支出。</w:t>
      </w:r>
    </w:p>
    <w:p>
      <w:pPr>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firstLine="640" w:firstLineChars="200"/>
        <w:textAlignment w:val="auto"/>
        <w:outlineLvl w:val="9"/>
        <w:rPr>
          <w:rFonts w:hint="eastAsia" w:ascii="Times New Roman" w:hAnsi="Times New Roman" w:eastAsia="仿宋_GB2312" w:cs="Times New Roman"/>
          <w:b w:val="0"/>
          <w:bCs w:val="0"/>
          <w:sz w:val="32"/>
          <w:szCs w:val="32"/>
        </w:rPr>
      </w:pPr>
      <w:r>
        <w:rPr>
          <w:rFonts w:hint="eastAsia" w:ascii="Times New Roman" w:hAnsi="Times New Roman" w:eastAsia="仿宋_GB2312" w:cs="Times New Roman"/>
          <w:b w:val="0"/>
          <w:bCs w:val="0"/>
          <w:sz w:val="32"/>
          <w:szCs w:val="32"/>
        </w:rPr>
        <w:t>18</w:t>
      </w:r>
      <w:r>
        <w:rPr>
          <w:rFonts w:hint="eastAsia" w:eastAsia="仿宋_GB2312" w:cs="Times New Roman"/>
          <w:b w:val="0"/>
          <w:bCs w:val="0"/>
          <w:sz w:val="32"/>
          <w:szCs w:val="32"/>
          <w:lang w:val="en-US" w:eastAsia="zh-CN"/>
        </w:rPr>
        <w:t>.</w:t>
      </w:r>
      <w:r>
        <w:rPr>
          <w:rFonts w:hint="eastAsia" w:ascii="Times New Roman" w:hAnsi="Times New Roman" w:eastAsia="仿宋_GB2312" w:cs="Times New Roman"/>
          <w:b w:val="0"/>
          <w:bCs w:val="0"/>
          <w:sz w:val="32"/>
          <w:szCs w:val="32"/>
        </w:rPr>
        <w:t>社会保障和就业（类）行政事业单位养老支出（款）机关事业单位基本养老保险缴费支出（项）：指部门实施养老保险制度由单位缴纳的养老保险的支出。</w:t>
      </w:r>
    </w:p>
    <w:p>
      <w:pPr>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firstLine="640" w:firstLineChars="200"/>
        <w:textAlignment w:val="auto"/>
        <w:outlineLvl w:val="9"/>
        <w:rPr>
          <w:rFonts w:hint="eastAsia" w:ascii="Times New Roman" w:hAnsi="Times New Roman" w:eastAsia="仿宋_GB2312" w:cs="Times New Roman"/>
          <w:b w:val="0"/>
          <w:bCs w:val="0"/>
          <w:sz w:val="32"/>
          <w:szCs w:val="32"/>
        </w:rPr>
      </w:pPr>
      <w:r>
        <w:rPr>
          <w:rFonts w:hint="eastAsia" w:ascii="Times New Roman" w:hAnsi="Times New Roman" w:eastAsia="仿宋_GB2312" w:cs="Times New Roman"/>
          <w:b w:val="0"/>
          <w:bCs w:val="0"/>
          <w:sz w:val="32"/>
          <w:szCs w:val="32"/>
        </w:rPr>
        <w:t>19</w:t>
      </w:r>
      <w:r>
        <w:rPr>
          <w:rFonts w:hint="eastAsia" w:eastAsia="仿宋_GB2312" w:cs="Times New Roman"/>
          <w:b w:val="0"/>
          <w:bCs w:val="0"/>
          <w:sz w:val="32"/>
          <w:szCs w:val="32"/>
          <w:lang w:val="en-US" w:eastAsia="zh-CN"/>
        </w:rPr>
        <w:t>.</w:t>
      </w:r>
      <w:r>
        <w:rPr>
          <w:rFonts w:hint="eastAsia" w:ascii="Times New Roman" w:hAnsi="Times New Roman" w:eastAsia="仿宋_GB2312" w:cs="Times New Roman"/>
          <w:b w:val="0"/>
          <w:bCs w:val="0"/>
          <w:sz w:val="32"/>
          <w:szCs w:val="32"/>
        </w:rPr>
        <w:t>卫生健康（类）计划生育事务（款）其他计划生育事务支出（项）：指用于计划生育管理事务方面的支出。</w:t>
      </w:r>
    </w:p>
    <w:p>
      <w:pPr>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firstLine="640" w:firstLineChars="200"/>
        <w:textAlignment w:val="auto"/>
        <w:outlineLvl w:val="9"/>
        <w:rPr>
          <w:rFonts w:hint="eastAsia" w:ascii="Times New Roman" w:hAnsi="Times New Roman" w:eastAsia="仿宋_GB2312" w:cs="Times New Roman"/>
          <w:b w:val="0"/>
          <w:bCs w:val="0"/>
          <w:sz w:val="32"/>
          <w:szCs w:val="32"/>
        </w:rPr>
      </w:pPr>
      <w:r>
        <w:rPr>
          <w:rFonts w:hint="eastAsia" w:ascii="Times New Roman" w:hAnsi="Times New Roman" w:eastAsia="仿宋_GB2312" w:cs="Times New Roman"/>
          <w:b w:val="0"/>
          <w:bCs w:val="0"/>
          <w:sz w:val="32"/>
          <w:szCs w:val="32"/>
        </w:rPr>
        <w:t>20</w:t>
      </w:r>
      <w:r>
        <w:rPr>
          <w:rFonts w:hint="eastAsia" w:eastAsia="仿宋_GB2312" w:cs="Times New Roman"/>
          <w:b w:val="0"/>
          <w:bCs w:val="0"/>
          <w:sz w:val="32"/>
          <w:szCs w:val="32"/>
          <w:lang w:val="en-US" w:eastAsia="zh-CN"/>
        </w:rPr>
        <w:t>.</w:t>
      </w:r>
      <w:r>
        <w:rPr>
          <w:rFonts w:hint="eastAsia" w:ascii="Times New Roman" w:hAnsi="Times New Roman" w:eastAsia="仿宋_GB2312" w:cs="Times New Roman"/>
          <w:b w:val="0"/>
          <w:bCs w:val="0"/>
          <w:sz w:val="32"/>
          <w:szCs w:val="32"/>
        </w:rPr>
        <w:t>卫生健康（类）行政事业单位医疗（款）行政单位医疗（项）：指机关及参公管理事业单位用于单位应缴纳基本医疗保险支出。</w:t>
      </w:r>
    </w:p>
    <w:p>
      <w:pPr>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firstLine="640" w:firstLineChars="200"/>
        <w:textAlignment w:val="auto"/>
        <w:outlineLvl w:val="1"/>
        <w:rPr>
          <w:rFonts w:hint="eastAsia" w:ascii="Times New Roman" w:hAnsi="Times New Roman" w:eastAsia="仿宋_GB2312" w:cs="Times New Roman"/>
          <w:b w:val="0"/>
          <w:bCs w:val="0"/>
          <w:sz w:val="32"/>
          <w:szCs w:val="32"/>
        </w:rPr>
      </w:pPr>
      <w:bookmarkStart w:id="112" w:name="_Toc16433"/>
      <w:r>
        <w:rPr>
          <w:rFonts w:hint="eastAsia" w:ascii="Times New Roman" w:hAnsi="Times New Roman" w:eastAsia="仿宋_GB2312" w:cs="Times New Roman"/>
          <w:b w:val="0"/>
          <w:bCs w:val="0"/>
          <w:sz w:val="32"/>
          <w:szCs w:val="32"/>
        </w:rPr>
        <w:t>21</w:t>
      </w:r>
      <w:r>
        <w:rPr>
          <w:rFonts w:hint="eastAsia" w:eastAsia="仿宋_GB2312" w:cs="Times New Roman"/>
          <w:b w:val="0"/>
          <w:bCs w:val="0"/>
          <w:sz w:val="32"/>
          <w:szCs w:val="32"/>
          <w:lang w:val="en-US" w:eastAsia="zh-CN"/>
        </w:rPr>
        <w:t>.</w:t>
      </w:r>
      <w:r>
        <w:rPr>
          <w:rFonts w:hint="eastAsia" w:ascii="Times New Roman" w:hAnsi="Times New Roman" w:eastAsia="仿宋_GB2312" w:cs="Times New Roman"/>
          <w:b w:val="0"/>
          <w:bCs w:val="0"/>
          <w:sz w:val="32"/>
          <w:szCs w:val="32"/>
        </w:rPr>
        <w:t>卫生健康支出：反映政府在卫生健康方面的支出。</w:t>
      </w:r>
      <w:bookmarkEnd w:id="112"/>
    </w:p>
    <w:p>
      <w:pPr>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firstLine="640" w:firstLineChars="200"/>
        <w:textAlignment w:val="auto"/>
        <w:outlineLvl w:val="9"/>
        <w:rPr>
          <w:rFonts w:hint="eastAsia" w:ascii="Times New Roman" w:hAnsi="Times New Roman" w:eastAsia="仿宋_GB2312" w:cs="Times New Roman"/>
          <w:b w:val="0"/>
          <w:bCs w:val="0"/>
          <w:sz w:val="32"/>
          <w:szCs w:val="32"/>
        </w:rPr>
      </w:pPr>
      <w:r>
        <w:rPr>
          <w:rFonts w:hint="eastAsia" w:ascii="Times New Roman" w:hAnsi="Times New Roman" w:eastAsia="仿宋_GB2312" w:cs="Times New Roman"/>
          <w:b w:val="0"/>
          <w:bCs w:val="0"/>
          <w:sz w:val="32"/>
          <w:szCs w:val="32"/>
        </w:rPr>
        <w:t>22</w:t>
      </w:r>
      <w:r>
        <w:rPr>
          <w:rFonts w:hint="eastAsia" w:eastAsia="仿宋_GB2312" w:cs="Times New Roman"/>
          <w:b w:val="0"/>
          <w:bCs w:val="0"/>
          <w:sz w:val="32"/>
          <w:szCs w:val="32"/>
          <w:lang w:val="en-US" w:eastAsia="zh-CN"/>
        </w:rPr>
        <w:t>.</w:t>
      </w:r>
      <w:r>
        <w:rPr>
          <w:rFonts w:hint="eastAsia" w:ascii="Times New Roman" w:hAnsi="Times New Roman" w:eastAsia="仿宋_GB2312" w:cs="Times New Roman"/>
          <w:b w:val="0"/>
          <w:bCs w:val="0"/>
          <w:sz w:val="32"/>
          <w:szCs w:val="32"/>
        </w:rPr>
        <w:t>卫生健康（类）行政事业单位医疗（款）事业单位医疗（项）：指事业单位用于单位应缴纳基本医疗保险支出。</w:t>
      </w:r>
    </w:p>
    <w:p>
      <w:pPr>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firstLine="640" w:firstLineChars="200"/>
        <w:textAlignment w:val="auto"/>
        <w:outlineLvl w:val="1"/>
        <w:rPr>
          <w:rFonts w:hint="eastAsia" w:ascii="Times New Roman" w:hAnsi="Times New Roman" w:eastAsia="仿宋_GB2312" w:cs="Times New Roman"/>
          <w:b w:val="0"/>
          <w:bCs w:val="0"/>
          <w:sz w:val="32"/>
          <w:szCs w:val="32"/>
        </w:rPr>
      </w:pPr>
      <w:bookmarkStart w:id="113" w:name="_Toc27347"/>
      <w:r>
        <w:rPr>
          <w:rFonts w:hint="eastAsia" w:ascii="Times New Roman" w:hAnsi="Times New Roman" w:eastAsia="仿宋_GB2312" w:cs="Times New Roman"/>
          <w:b w:val="0"/>
          <w:bCs w:val="0"/>
          <w:sz w:val="32"/>
          <w:szCs w:val="32"/>
        </w:rPr>
        <w:t>23</w:t>
      </w:r>
      <w:r>
        <w:rPr>
          <w:rFonts w:hint="eastAsia" w:eastAsia="仿宋_GB2312" w:cs="Times New Roman"/>
          <w:b w:val="0"/>
          <w:bCs w:val="0"/>
          <w:sz w:val="32"/>
          <w:szCs w:val="32"/>
          <w:lang w:val="en-US" w:eastAsia="zh-CN"/>
        </w:rPr>
        <w:t>.</w:t>
      </w:r>
      <w:r>
        <w:rPr>
          <w:rFonts w:hint="eastAsia" w:ascii="Times New Roman" w:hAnsi="Times New Roman" w:eastAsia="仿宋_GB2312" w:cs="Times New Roman"/>
          <w:b w:val="0"/>
          <w:bCs w:val="0"/>
          <w:sz w:val="32"/>
          <w:szCs w:val="32"/>
        </w:rPr>
        <w:t>城乡社区支出：反映政府城乡社区事务支出。</w:t>
      </w:r>
      <w:bookmarkEnd w:id="113"/>
    </w:p>
    <w:p>
      <w:pPr>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firstLine="640" w:firstLineChars="200"/>
        <w:textAlignment w:val="auto"/>
        <w:outlineLvl w:val="9"/>
        <w:rPr>
          <w:rFonts w:hint="eastAsia" w:ascii="Times New Roman" w:hAnsi="Times New Roman" w:eastAsia="仿宋_GB2312" w:cs="Times New Roman"/>
          <w:b w:val="0"/>
          <w:bCs w:val="0"/>
          <w:sz w:val="32"/>
          <w:szCs w:val="32"/>
        </w:rPr>
      </w:pPr>
      <w:r>
        <w:rPr>
          <w:rFonts w:hint="eastAsia" w:ascii="Times New Roman" w:hAnsi="Times New Roman" w:eastAsia="仿宋_GB2312" w:cs="Times New Roman"/>
          <w:b w:val="0"/>
          <w:bCs w:val="0"/>
          <w:sz w:val="32"/>
          <w:szCs w:val="32"/>
        </w:rPr>
        <w:t>24</w:t>
      </w:r>
      <w:r>
        <w:rPr>
          <w:rFonts w:hint="eastAsia" w:eastAsia="仿宋_GB2312" w:cs="Times New Roman"/>
          <w:b w:val="0"/>
          <w:bCs w:val="0"/>
          <w:sz w:val="32"/>
          <w:szCs w:val="32"/>
          <w:lang w:val="en-US" w:eastAsia="zh-CN"/>
        </w:rPr>
        <w:t>.</w:t>
      </w:r>
      <w:r>
        <w:rPr>
          <w:rFonts w:hint="eastAsia" w:ascii="Times New Roman" w:hAnsi="Times New Roman" w:eastAsia="仿宋_GB2312" w:cs="Times New Roman"/>
          <w:b w:val="0"/>
          <w:bCs w:val="0"/>
          <w:sz w:val="32"/>
          <w:szCs w:val="32"/>
        </w:rPr>
        <w:t>城乡社区支出（类）城乡社区管理事务（款）行政运行（项）：反映行政单位城乡社区管理事务的基本支出。</w:t>
      </w:r>
    </w:p>
    <w:p>
      <w:pPr>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firstLine="640" w:firstLineChars="200"/>
        <w:textAlignment w:val="auto"/>
        <w:outlineLvl w:val="9"/>
        <w:rPr>
          <w:rFonts w:hint="eastAsia" w:ascii="Times New Roman" w:hAnsi="Times New Roman" w:eastAsia="仿宋_GB2312" w:cs="Times New Roman"/>
          <w:b w:val="0"/>
          <w:bCs w:val="0"/>
          <w:sz w:val="32"/>
          <w:szCs w:val="32"/>
        </w:rPr>
      </w:pPr>
      <w:r>
        <w:rPr>
          <w:rFonts w:hint="eastAsia" w:ascii="Times New Roman" w:hAnsi="Times New Roman" w:eastAsia="仿宋_GB2312" w:cs="Times New Roman"/>
          <w:b w:val="0"/>
          <w:bCs w:val="0"/>
          <w:sz w:val="32"/>
          <w:szCs w:val="32"/>
        </w:rPr>
        <w:t>25</w:t>
      </w:r>
      <w:r>
        <w:rPr>
          <w:rFonts w:hint="eastAsia" w:eastAsia="仿宋_GB2312" w:cs="Times New Roman"/>
          <w:b w:val="0"/>
          <w:bCs w:val="0"/>
          <w:sz w:val="32"/>
          <w:szCs w:val="32"/>
          <w:lang w:val="en-US" w:eastAsia="zh-CN"/>
        </w:rPr>
        <w:t>.</w:t>
      </w:r>
      <w:r>
        <w:rPr>
          <w:rFonts w:hint="eastAsia" w:ascii="Times New Roman" w:hAnsi="Times New Roman" w:eastAsia="仿宋_GB2312" w:cs="Times New Roman"/>
          <w:b w:val="0"/>
          <w:bCs w:val="0"/>
          <w:sz w:val="32"/>
          <w:szCs w:val="32"/>
        </w:rPr>
        <w:t>城乡社区支出（类）城乡社区环境卫生（款）城乡社区环境卫生（项）：指用于城乡社区道路清扫、垃圾清运与处理、公厕建设与维护、园林绿化等方面的支出。</w:t>
      </w:r>
    </w:p>
    <w:p>
      <w:pPr>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firstLine="640" w:firstLineChars="200"/>
        <w:textAlignment w:val="auto"/>
        <w:outlineLvl w:val="1"/>
        <w:rPr>
          <w:rFonts w:hint="eastAsia" w:ascii="Times New Roman" w:hAnsi="Times New Roman" w:eastAsia="仿宋_GB2312" w:cs="Times New Roman"/>
          <w:b w:val="0"/>
          <w:bCs w:val="0"/>
          <w:sz w:val="32"/>
          <w:szCs w:val="32"/>
        </w:rPr>
      </w:pPr>
      <w:bookmarkStart w:id="114" w:name="_Toc28335"/>
      <w:r>
        <w:rPr>
          <w:rFonts w:hint="eastAsia" w:ascii="Times New Roman" w:hAnsi="Times New Roman" w:eastAsia="仿宋_GB2312" w:cs="Times New Roman"/>
          <w:b w:val="0"/>
          <w:bCs w:val="0"/>
          <w:sz w:val="32"/>
          <w:szCs w:val="32"/>
        </w:rPr>
        <w:t>26</w:t>
      </w:r>
      <w:r>
        <w:rPr>
          <w:rFonts w:hint="eastAsia" w:eastAsia="仿宋_GB2312" w:cs="Times New Roman"/>
          <w:b w:val="0"/>
          <w:bCs w:val="0"/>
          <w:sz w:val="32"/>
          <w:szCs w:val="32"/>
          <w:lang w:val="en-US" w:eastAsia="zh-CN"/>
        </w:rPr>
        <w:t>.</w:t>
      </w:r>
      <w:r>
        <w:rPr>
          <w:rFonts w:hint="eastAsia" w:ascii="Times New Roman" w:hAnsi="Times New Roman" w:eastAsia="仿宋_GB2312" w:cs="Times New Roman"/>
          <w:b w:val="0"/>
          <w:bCs w:val="0"/>
          <w:sz w:val="32"/>
          <w:szCs w:val="32"/>
        </w:rPr>
        <w:t>农林水支出：反映政府农林水事务支出。</w:t>
      </w:r>
      <w:bookmarkEnd w:id="114"/>
    </w:p>
    <w:p>
      <w:pPr>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firstLine="640" w:firstLineChars="200"/>
        <w:textAlignment w:val="auto"/>
        <w:outlineLvl w:val="9"/>
        <w:rPr>
          <w:rFonts w:hint="eastAsia" w:ascii="Times New Roman" w:hAnsi="Times New Roman" w:eastAsia="仿宋_GB2312" w:cs="Times New Roman"/>
          <w:b w:val="0"/>
          <w:bCs w:val="0"/>
          <w:sz w:val="32"/>
          <w:szCs w:val="32"/>
        </w:rPr>
      </w:pPr>
      <w:r>
        <w:rPr>
          <w:rFonts w:hint="eastAsia" w:ascii="Times New Roman" w:hAnsi="Times New Roman" w:eastAsia="仿宋_GB2312" w:cs="Times New Roman"/>
          <w:b w:val="0"/>
          <w:bCs w:val="0"/>
          <w:sz w:val="32"/>
          <w:szCs w:val="32"/>
        </w:rPr>
        <w:t>27</w:t>
      </w:r>
      <w:r>
        <w:rPr>
          <w:rFonts w:hint="eastAsia" w:eastAsia="仿宋_GB2312" w:cs="Times New Roman"/>
          <w:b w:val="0"/>
          <w:bCs w:val="0"/>
          <w:sz w:val="32"/>
          <w:szCs w:val="32"/>
          <w:lang w:val="en-US" w:eastAsia="zh-CN"/>
        </w:rPr>
        <w:t>.</w:t>
      </w:r>
      <w:r>
        <w:rPr>
          <w:rFonts w:hint="eastAsia" w:ascii="Times New Roman" w:hAnsi="Times New Roman" w:eastAsia="仿宋_GB2312" w:cs="Times New Roman"/>
          <w:b w:val="0"/>
          <w:bCs w:val="0"/>
          <w:sz w:val="32"/>
          <w:szCs w:val="32"/>
        </w:rPr>
        <w:t>农林水支出（类）农业农村（款）农村道路建设（项）：指用于农村公路、乡村道路建设方面的支出。</w:t>
      </w:r>
    </w:p>
    <w:p>
      <w:pPr>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firstLine="640" w:firstLineChars="200"/>
        <w:textAlignment w:val="auto"/>
        <w:outlineLvl w:val="9"/>
        <w:rPr>
          <w:rFonts w:hint="eastAsia" w:ascii="Times New Roman" w:hAnsi="Times New Roman" w:eastAsia="仿宋_GB2312" w:cs="Times New Roman"/>
          <w:b w:val="0"/>
          <w:bCs w:val="0"/>
          <w:sz w:val="32"/>
          <w:szCs w:val="32"/>
        </w:rPr>
      </w:pPr>
      <w:r>
        <w:rPr>
          <w:rFonts w:hint="eastAsia" w:eastAsia="仿宋_GB2312" w:cs="Times New Roman"/>
          <w:b w:val="0"/>
          <w:bCs w:val="0"/>
          <w:sz w:val="32"/>
          <w:szCs w:val="32"/>
          <w:lang w:val="en-US" w:eastAsia="zh-CN"/>
        </w:rPr>
        <w:t>2</w:t>
      </w:r>
      <w:r>
        <w:rPr>
          <w:rFonts w:hint="eastAsia" w:ascii="Times New Roman" w:hAnsi="Times New Roman" w:eastAsia="仿宋_GB2312" w:cs="Times New Roman"/>
          <w:b w:val="0"/>
          <w:bCs w:val="0"/>
          <w:sz w:val="32"/>
          <w:szCs w:val="32"/>
        </w:rPr>
        <w:t>8</w:t>
      </w:r>
      <w:r>
        <w:rPr>
          <w:rFonts w:hint="eastAsia" w:eastAsia="仿宋_GB2312" w:cs="Times New Roman"/>
          <w:b w:val="0"/>
          <w:bCs w:val="0"/>
          <w:sz w:val="32"/>
          <w:szCs w:val="32"/>
          <w:lang w:val="en-US" w:eastAsia="zh-CN"/>
        </w:rPr>
        <w:t>.</w:t>
      </w:r>
      <w:r>
        <w:rPr>
          <w:rFonts w:hint="eastAsia" w:ascii="Times New Roman" w:hAnsi="Times New Roman" w:eastAsia="仿宋_GB2312" w:cs="Times New Roman"/>
          <w:b w:val="0"/>
          <w:bCs w:val="0"/>
          <w:sz w:val="32"/>
          <w:szCs w:val="32"/>
        </w:rPr>
        <w:t>农林水支出（类）农业农村（款）行政运行（项）：反映财政用于种植业、畜牧业、渔业、兽医、农机、农垦、农场、农业产业化经营组织、农村和垦区公益事业、农产品加工等方面的基本支出。</w:t>
      </w:r>
    </w:p>
    <w:p>
      <w:pPr>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firstLine="640" w:firstLineChars="200"/>
        <w:textAlignment w:val="auto"/>
        <w:outlineLvl w:val="9"/>
        <w:rPr>
          <w:rFonts w:hint="eastAsia" w:ascii="Times New Roman" w:hAnsi="Times New Roman" w:eastAsia="仿宋_GB2312" w:cs="Times New Roman"/>
          <w:b w:val="0"/>
          <w:bCs w:val="0"/>
          <w:sz w:val="32"/>
          <w:szCs w:val="32"/>
        </w:rPr>
      </w:pPr>
      <w:r>
        <w:rPr>
          <w:rFonts w:hint="eastAsia" w:eastAsia="仿宋_GB2312" w:cs="Times New Roman"/>
          <w:b w:val="0"/>
          <w:bCs w:val="0"/>
          <w:sz w:val="32"/>
          <w:szCs w:val="32"/>
          <w:lang w:val="en-US" w:eastAsia="zh-CN"/>
        </w:rPr>
        <w:t>2</w:t>
      </w:r>
      <w:r>
        <w:rPr>
          <w:rFonts w:hint="eastAsia" w:ascii="Times New Roman" w:hAnsi="Times New Roman" w:eastAsia="仿宋_GB2312" w:cs="Times New Roman"/>
          <w:b w:val="0"/>
          <w:bCs w:val="0"/>
          <w:sz w:val="32"/>
          <w:szCs w:val="32"/>
        </w:rPr>
        <w:t>9</w:t>
      </w:r>
      <w:r>
        <w:rPr>
          <w:rFonts w:hint="eastAsia" w:eastAsia="仿宋_GB2312" w:cs="Times New Roman"/>
          <w:b w:val="0"/>
          <w:bCs w:val="0"/>
          <w:sz w:val="32"/>
          <w:szCs w:val="32"/>
          <w:lang w:val="en-US" w:eastAsia="zh-CN"/>
        </w:rPr>
        <w:t>.</w:t>
      </w:r>
      <w:r>
        <w:rPr>
          <w:rFonts w:hint="eastAsia" w:ascii="Times New Roman" w:hAnsi="Times New Roman" w:eastAsia="仿宋_GB2312" w:cs="Times New Roman"/>
          <w:b w:val="0"/>
          <w:bCs w:val="0"/>
          <w:sz w:val="32"/>
          <w:szCs w:val="32"/>
        </w:rPr>
        <w:t>农林水支出（类）巩固脱贫衔接乡村振兴（款）其他巩固脱贫衔接乡村振兴（项）：反映政府用于巩固脱贫衔接乡村振兴方面的其他支出。</w:t>
      </w:r>
    </w:p>
    <w:p>
      <w:pPr>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firstLine="640" w:firstLineChars="200"/>
        <w:textAlignment w:val="auto"/>
        <w:outlineLvl w:val="9"/>
        <w:rPr>
          <w:rFonts w:hint="eastAsia" w:ascii="Times New Roman" w:hAnsi="Times New Roman" w:eastAsia="仿宋_GB2312" w:cs="Times New Roman"/>
          <w:b w:val="0"/>
          <w:bCs w:val="0"/>
          <w:sz w:val="32"/>
          <w:szCs w:val="32"/>
        </w:rPr>
      </w:pPr>
      <w:r>
        <w:rPr>
          <w:rFonts w:hint="eastAsia" w:eastAsia="仿宋_GB2312" w:cs="Times New Roman"/>
          <w:b w:val="0"/>
          <w:bCs w:val="0"/>
          <w:sz w:val="32"/>
          <w:szCs w:val="32"/>
          <w:lang w:val="en-US" w:eastAsia="zh-CN"/>
        </w:rPr>
        <w:t>30.</w:t>
      </w:r>
      <w:r>
        <w:rPr>
          <w:rFonts w:hint="eastAsia" w:ascii="Times New Roman" w:hAnsi="Times New Roman" w:eastAsia="仿宋_GB2312" w:cs="Times New Roman"/>
          <w:b w:val="0"/>
          <w:bCs w:val="0"/>
          <w:sz w:val="32"/>
          <w:szCs w:val="32"/>
        </w:rPr>
        <w:t>农林水支出（类）巩固脱贫衔接乡村振兴（款）生产发展（项）：反映政府用于巩固脱贫衔接乡村振兴方面生产发展支出。</w:t>
      </w:r>
    </w:p>
    <w:p>
      <w:pPr>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firstLine="640" w:firstLineChars="200"/>
        <w:textAlignment w:val="auto"/>
        <w:outlineLvl w:val="9"/>
        <w:rPr>
          <w:rFonts w:hint="eastAsia" w:ascii="Times New Roman" w:hAnsi="Times New Roman" w:eastAsia="仿宋_GB2312" w:cs="Times New Roman"/>
          <w:b w:val="0"/>
          <w:bCs w:val="0"/>
          <w:sz w:val="32"/>
          <w:szCs w:val="32"/>
        </w:rPr>
      </w:pPr>
      <w:r>
        <w:rPr>
          <w:rFonts w:hint="eastAsia" w:eastAsia="仿宋_GB2312" w:cs="Times New Roman"/>
          <w:b w:val="0"/>
          <w:bCs w:val="0"/>
          <w:sz w:val="32"/>
          <w:szCs w:val="32"/>
          <w:lang w:val="en-US" w:eastAsia="zh-CN"/>
        </w:rPr>
        <w:t>31.</w:t>
      </w:r>
      <w:r>
        <w:rPr>
          <w:rFonts w:hint="eastAsia" w:ascii="Times New Roman" w:hAnsi="Times New Roman" w:eastAsia="仿宋_GB2312" w:cs="Times New Roman"/>
          <w:b w:val="0"/>
          <w:bCs w:val="0"/>
          <w:sz w:val="32"/>
          <w:szCs w:val="32"/>
        </w:rPr>
        <w:t>农林水支出（类）农村综合改革（款）对村民委员会和村党支部的补助（项）：指对村民委员会和村党支部的补助支出，以及建立县级基本财力保障机制安排的村级组织运转奖补资金。</w:t>
      </w:r>
    </w:p>
    <w:p>
      <w:pPr>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firstLine="640" w:firstLineChars="200"/>
        <w:textAlignment w:val="auto"/>
        <w:outlineLvl w:val="9"/>
        <w:rPr>
          <w:rFonts w:hint="eastAsia" w:ascii="Times New Roman" w:hAnsi="Times New Roman" w:eastAsia="仿宋_GB2312" w:cs="Times New Roman"/>
          <w:b w:val="0"/>
          <w:bCs w:val="0"/>
          <w:sz w:val="32"/>
          <w:szCs w:val="32"/>
        </w:rPr>
      </w:pPr>
      <w:r>
        <w:rPr>
          <w:rFonts w:hint="eastAsia" w:eastAsia="仿宋_GB2312" w:cs="Times New Roman"/>
          <w:b w:val="0"/>
          <w:bCs w:val="0"/>
          <w:sz w:val="32"/>
          <w:szCs w:val="32"/>
          <w:lang w:val="en-US" w:eastAsia="zh-CN"/>
        </w:rPr>
        <w:t>32.</w:t>
      </w:r>
      <w:r>
        <w:rPr>
          <w:rFonts w:hint="eastAsia" w:ascii="Times New Roman" w:hAnsi="Times New Roman" w:eastAsia="仿宋_GB2312" w:cs="Times New Roman"/>
          <w:b w:val="0"/>
          <w:bCs w:val="0"/>
          <w:sz w:val="32"/>
          <w:szCs w:val="32"/>
        </w:rPr>
        <w:t>住房保障（类）住房改革支出（款）住房公积金（项）：指按照《住房公积金管理条例》的规定，由单位及其在职职工缴存的长期住房储金。</w:t>
      </w:r>
    </w:p>
    <w:p>
      <w:pPr>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firstLine="640" w:firstLineChars="200"/>
        <w:textAlignment w:val="auto"/>
        <w:outlineLvl w:val="9"/>
        <w:rPr>
          <w:rFonts w:hint="eastAsia" w:ascii="Times New Roman" w:hAnsi="Times New Roman" w:eastAsia="仿宋_GB2312" w:cs="Times New Roman"/>
          <w:b w:val="0"/>
          <w:bCs w:val="0"/>
          <w:sz w:val="32"/>
          <w:szCs w:val="32"/>
        </w:rPr>
      </w:pPr>
      <w:r>
        <w:rPr>
          <w:rFonts w:hint="eastAsia" w:eastAsia="仿宋_GB2312" w:cs="Times New Roman"/>
          <w:b w:val="0"/>
          <w:bCs w:val="0"/>
          <w:sz w:val="32"/>
          <w:szCs w:val="32"/>
          <w:lang w:val="en-US" w:eastAsia="zh-CN"/>
        </w:rPr>
        <w:t>33.</w:t>
      </w:r>
      <w:r>
        <w:rPr>
          <w:rFonts w:hint="eastAsia" w:ascii="Times New Roman" w:hAnsi="Times New Roman" w:eastAsia="仿宋_GB2312" w:cs="Times New Roman"/>
          <w:b w:val="0"/>
          <w:bCs w:val="0"/>
          <w:sz w:val="32"/>
          <w:szCs w:val="32"/>
        </w:rPr>
        <w:t>住房保障支出（类）保障性安居工程支出（款）其他保障性安居工程支出（项）：反映政府用于保障性住房方面的其他支出。</w:t>
      </w:r>
    </w:p>
    <w:p>
      <w:pPr>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firstLine="640" w:firstLineChars="200"/>
        <w:textAlignment w:val="auto"/>
        <w:outlineLvl w:val="9"/>
        <w:rPr>
          <w:rFonts w:hint="eastAsia" w:ascii="Times New Roman" w:hAnsi="Times New Roman" w:eastAsia="仿宋_GB2312" w:cs="Times New Roman"/>
          <w:b w:val="0"/>
          <w:bCs w:val="0"/>
          <w:sz w:val="32"/>
          <w:szCs w:val="32"/>
        </w:rPr>
      </w:pPr>
      <w:r>
        <w:rPr>
          <w:rFonts w:hint="eastAsia" w:eastAsia="仿宋_GB2312" w:cs="Times New Roman"/>
          <w:b w:val="0"/>
          <w:bCs w:val="0"/>
          <w:sz w:val="32"/>
          <w:szCs w:val="32"/>
          <w:lang w:val="en-US" w:eastAsia="zh-CN"/>
        </w:rPr>
        <w:t>34.</w:t>
      </w:r>
      <w:r>
        <w:rPr>
          <w:rFonts w:hint="eastAsia" w:ascii="Times New Roman" w:hAnsi="Times New Roman" w:eastAsia="仿宋_GB2312" w:cs="Times New Roman"/>
          <w:b w:val="0"/>
          <w:bCs w:val="0"/>
          <w:sz w:val="32"/>
          <w:szCs w:val="32"/>
        </w:rPr>
        <w:t>基本支出：指为保障机构正常运转、完成日常工作任务而发生的人员支出和公用支出。</w:t>
      </w:r>
    </w:p>
    <w:p>
      <w:pPr>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firstLine="640" w:firstLineChars="200"/>
        <w:textAlignment w:val="auto"/>
        <w:outlineLvl w:val="9"/>
        <w:rPr>
          <w:rFonts w:hint="eastAsia" w:ascii="Times New Roman" w:hAnsi="Times New Roman" w:eastAsia="仿宋_GB2312" w:cs="Times New Roman"/>
          <w:b w:val="0"/>
          <w:bCs w:val="0"/>
          <w:sz w:val="32"/>
          <w:szCs w:val="32"/>
        </w:rPr>
      </w:pPr>
      <w:r>
        <w:rPr>
          <w:rFonts w:hint="eastAsia" w:eastAsia="仿宋_GB2312" w:cs="Times New Roman"/>
          <w:b w:val="0"/>
          <w:bCs w:val="0"/>
          <w:sz w:val="32"/>
          <w:szCs w:val="32"/>
          <w:lang w:val="en-US" w:eastAsia="zh-CN"/>
        </w:rPr>
        <w:t>35.</w:t>
      </w:r>
      <w:r>
        <w:rPr>
          <w:rFonts w:hint="eastAsia" w:ascii="Times New Roman" w:hAnsi="Times New Roman" w:eastAsia="仿宋_GB2312" w:cs="Times New Roman"/>
          <w:b w:val="0"/>
          <w:bCs w:val="0"/>
          <w:sz w:val="32"/>
          <w:szCs w:val="32"/>
        </w:rPr>
        <w:t>项目支出：指在基本支出之外为完成特定行政任务和事业发展目标所发生的支出。</w:t>
      </w:r>
    </w:p>
    <w:p>
      <w:pPr>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firstLine="640" w:firstLineChars="200"/>
        <w:textAlignment w:val="auto"/>
        <w:outlineLvl w:val="9"/>
        <w:rPr>
          <w:rFonts w:hint="eastAsia" w:ascii="Times New Roman" w:hAnsi="Times New Roman" w:eastAsia="仿宋_GB2312" w:cs="Times New Roman"/>
          <w:b w:val="0"/>
          <w:bCs w:val="0"/>
          <w:sz w:val="32"/>
          <w:szCs w:val="32"/>
        </w:rPr>
      </w:pPr>
      <w:r>
        <w:rPr>
          <w:rFonts w:hint="eastAsia" w:eastAsia="仿宋_GB2312" w:cs="Times New Roman"/>
          <w:b w:val="0"/>
          <w:bCs w:val="0"/>
          <w:sz w:val="32"/>
          <w:szCs w:val="32"/>
          <w:lang w:val="en-US" w:eastAsia="zh-CN"/>
        </w:rPr>
        <w:t>36.</w:t>
      </w:r>
      <w:r>
        <w:rPr>
          <w:rFonts w:hint="eastAsia" w:ascii="Times New Roman" w:hAnsi="Times New Roman" w:eastAsia="仿宋_GB2312" w:cs="Times New Roman"/>
          <w:b w:val="0"/>
          <w:bCs w:val="0"/>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firstLine="640" w:firstLineChars="200"/>
        <w:textAlignment w:val="auto"/>
        <w:outlineLvl w:val="1"/>
        <w:rPr>
          <w:rFonts w:hint="eastAsia" w:ascii="Times New Roman" w:hAnsi="Times New Roman" w:eastAsia="仿宋_GB2312" w:cs="Times New Roman"/>
          <w:b w:val="0"/>
          <w:bCs w:val="0"/>
          <w:sz w:val="32"/>
          <w:szCs w:val="32"/>
        </w:rPr>
      </w:pPr>
      <w:bookmarkStart w:id="115" w:name="_Toc14530"/>
      <w:r>
        <w:rPr>
          <w:rFonts w:hint="eastAsia" w:eastAsia="仿宋_GB2312" w:cs="Times New Roman"/>
          <w:b w:val="0"/>
          <w:bCs w:val="0"/>
          <w:sz w:val="32"/>
          <w:szCs w:val="32"/>
          <w:lang w:val="en-US" w:eastAsia="zh-CN"/>
        </w:rPr>
        <w:t>37.</w:t>
      </w:r>
      <w:r>
        <w:rPr>
          <w:rFonts w:hint="eastAsia" w:ascii="Times New Roman" w:hAnsi="Times New Roman" w:eastAsia="仿宋_GB2312" w:cs="Times New Roman"/>
          <w:b w:val="0"/>
          <w:bCs w:val="0"/>
          <w:sz w:val="32"/>
          <w:szCs w:val="32"/>
        </w:rPr>
        <w:t>国防支出：反映政府维护国家安全方面的支出。</w:t>
      </w:r>
      <w:bookmarkEnd w:id="115"/>
    </w:p>
    <w:p>
      <w:pPr>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firstLine="640" w:firstLineChars="200"/>
        <w:textAlignment w:val="auto"/>
        <w:outlineLvl w:val="9"/>
        <w:rPr>
          <w:rFonts w:hint="eastAsia" w:ascii="Times New Roman" w:hAnsi="Times New Roman" w:eastAsia="仿宋_GB2312" w:cs="Times New Roman"/>
          <w:b w:val="0"/>
          <w:bCs w:val="0"/>
          <w:sz w:val="32"/>
          <w:szCs w:val="32"/>
        </w:rPr>
      </w:pPr>
      <w:r>
        <w:rPr>
          <w:rFonts w:hint="eastAsia" w:eastAsia="仿宋_GB2312" w:cs="Times New Roman"/>
          <w:b w:val="0"/>
          <w:bCs w:val="0"/>
          <w:sz w:val="32"/>
          <w:szCs w:val="32"/>
          <w:lang w:val="en-US" w:eastAsia="zh-CN"/>
        </w:rPr>
        <w:t>38.</w:t>
      </w:r>
      <w:r>
        <w:rPr>
          <w:rFonts w:hint="eastAsia" w:ascii="Times New Roman" w:hAnsi="Times New Roman" w:eastAsia="仿宋_GB2312" w:cs="Times New Roman"/>
          <w:b w:val="0"/>
          <w:bCs w:val="0"/>
          <w:sz w:val="32"/>
          <w:szCs w:val="32"/>
        </w:rPr>
        <w:t>文化旅游体育与传媒支出：反映政府在文化、旅游、文物、体育、广播电视、电影、新闻出版等方面的支出。</w:t>
      </w:r>
    </w:p>
    <w:p>
      <w:pPr>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firstLine="640" w:firstLineChars="200"/>
        <w:textAlignment w:val="auto"/>
        <w:outlineLvl w:val="9"/>
        <w:rPr>
          <w:rFonts w:hint="eastAsia" w:ascii="Times New Roman" w:hAnsi="Times New Roman" w:eastAsia="仿宋_GB2312" w:cs="Times New Roman"/>
          <w:b w:val="0"/>
          <w:bCs w:val="0"/>
          <w:sz w:val="32"/>
          <w:szCs w:val="32"/>
        </w:rPr>
      </w:pPr>
      <w:r>
        <w:rPr>
          <w:rFonts w:hint="eastAsia" w:eastAsia="仿宋_GB2312" w:cs="Times New Roman"/>
          <w:b w:val="0"/>
          <w:bCs w:val="0"/>
          <w:sz w:val="32"/>
          <w:szCs w:val="32"/>
          <w:lang w:val="en-US" w:eastAsia="zh-CN"/>
        </w:rPr>
        <w:t>39.</w:t>
      </w:r>
      <w:r>
        <w:rPr>
          <w:rFonts w:hint="eastAsia" w:ascii="Times New Roman" w:hAnsi="Times New Roman" w:eastAsia="仿宋_GB2312" w:cs="Times New Roman"/>
          <w:b w:val="0"/>
          <w:bCs w:val="0"/>
          <w:sz w:val="32"/>
          <w:szCs w:val="32"/>
        </w:rPr>
        <w:t>社会保障和就业支出：反映政府在社会保障与就业方面的支出。</w:t>
      </w:r>
    </w:p>
    <w:p>
      <w:pPr>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firstLine="640" w:firstLineChars="200"/>
        <w:textAlignment w:val="auto"/>
        <w:outlineLvl w:val="9"/>
        <w:rPr>
          <w:rFonts w:hint="eastAsia" w:ascii="Times New Roman" w:hAnsi="Times New Roman" w:eastAsia="仿宋_GB2312" w:cs="Times New Roman"/>
          <w:b w:val="0"/>
          <w:bCs w:val="0"/>
          <w:sz w:val="32"/>
          <w:szCs w:val="32"/>
        </w:rPr>
      </w:pPr>
      <w:r>
        <w:rPr>
          <w:rFonts w:hint="eastAsia" w:eastAsia="仿宋_GB2312" w:cs="Times New Roman"/>
          <w:b w:val="0"/>
          <w:bCs w:val="0"/>
          <w:sz w:val="32"/>
          <w:szCs w:val="32"/>
          <w:lang w:val="en-US" w:eastAsia="zh-CN"/>
        </w:rPr>
        <w:t>40.</w:t>
      </w:r>
      <w:r>
        <w:rPr>
          <w:rFonts w:hint="eastAsia" w:ascii="Times New Roman" w:hAnsi="Times New Roman" w:eastAsia="仿宋_GB2312" w:cs="Times New Roman"/>
          <w:b w:val="0"/>
          <w:bCs w:val="0"/>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公务用车运行维护费以及其他费用。</w:t>
      </w:r>
      <w:bookmarkStart w:id="116" w:name="_Toc15396614"/>
      <w:bookmarkStart w:id="117" w:name="_Toc15377226"/>
    </w:p>
    <w:p>
      <w:pPr>
        <w:pStyle w:val="6"/>
        <w:keepNext w:val="0"/>
        <w:keepLines w:val="0"/>
        <w:pageBreakBefore w:val="0"/>
        <w:kinsoku/>
        <w:wordWrap/>
        <w:overflowPunct/>
        <w:topLinePunct w:val="0"/>
        <w:bidi w:val="0"/>
        <w:spacing w:line="560" w:lineRule="exact"/>
        <w:textAlignment w:val="auto"/>
        <w:rPr>
          <w:rFonts w:hint="eastAsia" w:ascii="楷体_GB2312" w:hAnsi="楷体_GB2312" w:eastAsia="楷体_GB2312" w:cs="楷体_GB2312"/>
          <w:b w:val="0"/>
          <w:bCs w:val="0"/>
          <w:color w:val="000000" w:themeColor="text1"/>
          <w:sz w:val="32"/>
          <w:szCs w:val="32"/>
          <w14:textFill>
            <w14:solidFill>
              <w14:schemeClr w14:val="tx1"/>
            </w14:solidFill>
          </w14:textFill>
        </w:rPr>
      </w:pPr>
    </w:p>
    <w:p>
      <w:pPr>
        <w:pStyle w:val="6"/>
        <w:keepNext w:val="0"/>
        <w:keepLines w:val="0"/>
        <w:pageBreakBefore w:val="0"/>
        <w:kinsoku/>
        <w:wordWrap/>
        <w:overflowPunct/>
        <w:topLinePunct w:val="0"/>
        <w:bidi w:val="0"/>
        <w:spacing w:line="560" w:lineRule="exact"/>
        <w:textAlignment w:val="auto"/>
        <w:rPr>
          <w:rFonts w:hint="eastAsia" w:ascii="楷体_GB2312" w:hAnsi="楷体_GB2312" w:eastAsia="楷体_GB2312" w:cs="楷体_GB2312"/>
          <w:b w:val="0"/>
          <w:bCs w:val="0"/>
          <w:color w:val="000000" w:themeColor="text1"/>
          <w:sz w:val="32"/>
          <w:szCs w:val="32"/>
          <w14:textFill>
            <w14:solidFill>
              <w14:schemeClr w14:val="tx1"/>
            </w14:solidFill>
          </w14:textFill>
        </w:rPr>
      </w:pPr>
    </w:p>
    <w:p>
      <w:pPr>
        <w:pStyle w:val="6"/>
        <w:keepNext w:val="0"/>
        <w:keepLines w:val="0"/>
        <w:pageBreakBefore w:val="0"/>
        <w:kinsoku/>
        <w:wordWrap/>
        <w:overflowPunct/>
        <w:topLinePunct w:val="0"/>
        <w:bidi w:val="0"/>
        <w:spacing w:line="560" w:lineRule="exact"/>
        <w:textAlignment w:val="auto"/>
        <w:rPr>
          <w:rFonts w:hint="eastAsia" w:ascii="楷体_GB2312" w:hAnsi="楷体_GB2312" w:eastAsia="楷体_GB2312" w:cs="楷体_GB2312"/>
          <w:b w:val="0"/>
          <w:bCs w:val="0"/>
          <w:color w:val="000000" w:themeColor="text1"/>
          <w:sz w:val="32"/>
          <w:szCs w:val="32"/>
          <w14:textFill>
            <w14:solidFill>
              <w14:schemeClr w14:val="tx1"/>
            </w14:solidFill>
          </w14:textFill>
        </w:rPr>
      </w:pPr>
    </w:p>
    <w:p>
      <w:pPr>
        <w:pStyle w:val="6"/>
        <w:keepNext w:val="0"/>
        <w:keepLines w:val="0"/>
        <w:pageBreakBefore w:val="0"/>
        <w:kinsoku/>
        <w:wordWrap/>
        <w:overflowPunct/>
        <w:topLinePunct w:val="0"/>
        <w:bidi w:val="0"/>
        <w:spacing w:line="560" w:lineRule="exact"/>
        <w:textAlignment w:val="auto"/>
        <w:rPr>
          <w:rFonts w:hint="eastAsia" w:ascii="楷体_GB2312" w:hAnsi="楷体_GB2312" w:eastAsia="楷体_GB2312" w:cs="楷体_GB2312"/>
          <w:b w:val="0"/>
          <w:bCs w:val="0"/>
          <w:color w:val="000000" w:themeColor="text1"/>
          <w:sz w:val="32"/>
          <w:szCs w:val="32"/>
          <w14:textFill>
            <w14:solidFill>
              <w14:schemeClr w14:val="tx1"/>
            </w14:solidFill>
          </w14:textFill>
        </w:rPr>
      </w:pPr>
    </w:p>
    <w:p>
      <w:pPr>
        <w:pStyle w:val="6"/>
        <w:keepNext w:val="0"/>
        <w:keepLines w:val="0"/>
        <w:pageBreakBefore w:val="0"/>
        <w:kinsoku/>
        <w:wordWrap/>
        <w:overflowPunct/>
        <w:topLinePunct w:val="0"/>
        <w:bidi w:val="0"/>
        <w:spacing w:line="560" w:lineRule="exact"/>
        <w:textAlignment w:val="auto"/>
        <w:rPr>
          <w:rFonts w:hint="eastAsia" w:ascii="楷体_GB2312" w:hAnsi="楷体_GB2312" w:eastAsia="楷体_GB2312" w:cs="楷体_GB2312"/>
          <w:b w:val="0"/>
          <w:bCs w:val="0"/>
          <w:color w:val="000000" w:themeColor="text1"/>
          <w:sz w:val="32"/>
          <w:szCs w:val="32"/>
          <w14:textFill>
            <w14:solidFill>
              <w14:schemeClr w14:val="tx1"/>
            </w14:solidFill>
          </w14:textFill>
        </w:rPr>
      </w:pPr>
    </w:p>
    <w:p>
      <w:pPr>
        <w:pStyle w:val="6"/>
        <w:keepNext w:val="0"/>
        <w:keepLines w:val="0"/>
        <w:pageBreakBefore w:val="0"/>
        <w:kinsoku/>
        <w:wordWrap/>
        <w:overflowPunct/>
        <w:topLinePunct w:val="0"/>
        <w:bidi w:val="0"/>
        <w:spacing w:line="560" w:lineRule="exact"/>
        <w:textAlignment w:val="auto"/>
        <w:rPr>
          <w:rFonts w:hint="eastAsia" w:ascii="楷体_GB2312" w:hAnsi="楷体_GB2312" w:eastAsia="楷体_GB2312" w:cs="楷体_GB2312"/>
          <w:b w:val="0"/>
          <w:bCs w:val="0"/>
          <w:color w:val="000000" w:themeColor="text1"/>
          <w:sz w:val="32"/>
          <w:szCs w:val="32"/>
          <w14:textFill>
            <w14:solidFill>
              <w14:schemeClr w14:val="tx1"/>
            </w14:solidFill>
          </w14:textFill>
        </w:rPr>
      </w:pPr>
    </w:p>
    <w:p>
      <w:pPr>
        <w:pStyle w:val="6"/>
        <w:keepNext w:val="0"/>
        <w:keepLines w:val="0"/>
        <w:pageBreakBefore w:val="0"/>
        <w:kinsoku/>
        <w:wordWrap/>
        <w:overflowPunct/>
        <w:topLinePunct w:val="0"/>
        <w:bidi w:val="0"/>
        <w:spacing w:line="560" w:lineRule="exact"/>
        <w:textAlignment w:val="auto"/>
        <w:rPr>
          <w:rFonts w:hint="eastAsia" w:ascii="楷体_GB2312" w:hAnsi="楷体_GB2312" w:eastAsia="楷体_GB2312" w:cs="楷体_GB2312"/>
          <w:b w:val="0"/>
          <w:bCs w:val="0"/>
          <w:color w:val="000000" w:themeColor="text1"/>
          <w:sz w:val="32"/>
          <w:szCs w:val="32"/>
          <w14:textFill>
            <w14:solidFill>
              <w14:schemeClr w14:val="tx1"/>
            </w14:solidFill>
          </w14:textFill>
        </w:rPr>
      </w:pPr>
    </w:p>
    <w:p>
      <w:pPr>
        <w:pStyle w:val="6"/>
        <w:keepNext w:val="0"/>
        <w:keepLines w:val="0"/>
        <w:pageBreakBefore w:val="0"/>
        <w:kinsoku/>
        <w:wordWrap/>
        <w:overflowPunct/>
        <w:topLinePunct w:val="0"/>
        <w:bidi w:val="0"/>
        <w:spacing w:line="560" w:lineRule="exact"/>
        <w:textAlignment w:val="auto"/>
        <w:rPr>
          <w:rFonts w:hint="eastAsia" w:ascii="楷体_GB2312" w:hAnsi="楷体_GB2312" w:eastAsia="楷体_GB2312" w:cs="楷体_GB2312"/>
          <w:b w:val="0"/>
          <w:bCs w:val="0"/>
          <w:color w:val="000000" w:themeColor="text1"/>
          <w:sz w:val="32"/>
          <w:szCs w:val="32"/>
          <w14:textFill>
            <w14:solidFill>
              <w14:schemeClr w14:val="tx1"/>
            </w14:solidFill>
          </w14:textFill>
        </w:rPr>
      </w:pPr>
    </w:p>
    <w:p>
      <w:pPr>
        <w:pStyle w:val="6"/>
        <w:keepNext w:val="0"/>
        <w:keepLines w:val="0"/>
        <w:pageBreakBefore w:val="0"/>
        <w:kinsoku/>
        <w:wordWrap/>
        <w:overflowPunct/>
        <w:topLinePunct w:val="0"/>
        <w:bidi w:val="0"/>
        <w:spacing w:line="560" w:lineRule="exact"/>
        <w:textAlignment w:val="auto"/>
        <w:rPr>
          <w:rFonts w:hint="eastAsia" w:ascii="楷体_GB2312" w:hAnsi="楷体_GB2312" w:eastAsia="楷体_GB2312" w:cs="楷体_GB2312"/>
          <w:b w:val="0"/>
          <w:bCs w:val="0"/>
          <w:color w:val="000000" w:themeColor="text1"/>
          <w:sz w:val="32"/>
          <w:szCs w:val="32"/>
          <w14:textFill>
            <w14:solidFill>
              <w14:schemeClr w14:val="tx1"/>
            </w14:solidFill>
          </w14:textFill>
        </w:rPr>
      </w:pPr>
    </w:p>
    <w:p>
      <w:pPr>
        <w:pStyle w:val="6"/>
        <w:keepNext w:val="0"/>
        <w:keepLines w:val="0"/>
        <w:pageBreakBefore w:val="0"/>
        <w:kinsoku/>
        <w:wordWrap/>
        <w:overflowPunct/>
        <w:topLinePunct w:val="0"/>
        <w:bidi w:val="0"/>
        <w:spacing w:line="560" w:lineRule="exact"/>
        <w:textAlignment w:val="auto"/>
        <w:rPr>
          <w:rFonts w:hint="eastAsia" w:ascii="楷体_GB2312" w:hAnsi="楷体_GB2312" w:eastAsia="楷体_GB2312" w:cs="楷体_GB2312"/>
          <w:b w:val="0"/>
          <w:bCs w:val="0"/>
          <w:color w:val="000000" w:themeColor="text1"/>
          <w:sz w:val="32"/>
          <w:szCs w:val="32"/>
          <w14:textFill>
            <w14:solidFill>
              <w14:schemeClr w14:val="tx1"/>
            </w14:solidFill>
          </w14:textFill>
        </w:rPr>
      </w:pPr>
    </w:p>
    <w:p>
      <w:pPr>
        <w:pStyle w:val="6"/>
        <w:keepNext w:val="0"/>
        <w:keepLines w:val="0"/>
        <w:pageBreakBefore w:val="0"/>
        <w:kinsoku/>
        <w:wordWrap/>
        <w:overflowPunct/>
        <w:topLinePunct w:val="0"/>
        <w:bidi w:val="0"/>
        <w:spacing w:line="560" w:lineRule="exact"/>
        <w:textAlignment w:val="auto"/>
        <w:rPr>
          <w:rFonts w:hint="eastAsia" w:ascii="楷体_GB2312" w:hAnsi="楷体_GB2312" w:eastAsia="楷体_GB2312" w:cs="楷体_GB2312"/>
          <w:b w:val="0"/>
          <w:bCs w:val="0"/>
          <w:color w:val="000000" w:themeColor="text1"/>
          <w:sz w:val="32"/>
          <w:szCs w:val="32"/>
          <w14:textFill>
            <w14:solidFill>
              <w14:schemeClr w14:val="tx1"/>
            </w14:solidFill>
          </w14:textFill>
        </w:rPr>
      </w:pPr>
    </w:p>
    <w:p>
      <w:pPr>
        <w:keepNext w:val="0"/>
        <w:keepLines w:val="0"/>
        <w:pageBreakBefore w:val="0"/>
        <w:kinsoku/>
        <w:wordWrap/>
        <w:overflowPunct/>
        <w:topLinePunct w:val="0"/>
        <w:bidi w:val="0"/>
        <w:spacing w:line="560" w:lineRule="exact"/>
        <w:jc w:val="both"/>
        <w:textAlignment w:val="auto"/>
        <w:outlineLvl w:val="0"/>
        <w:rPr>
          <w:rFonts w:hint="eastAsia" w:ascii="黑体" w:hAnsi="黑体" w:eastAsia="黑体"/>
          <w:color w:val="auto"/>
          <w:sz w:val="44"/>
          <w:szCs w:val="44"/>
          <w:highlight w:val="none"/>
        </w:rPr>
      </w:pPr>
      <w:bookmarkStart w:id="118" w:name="_Toc30406"/>
      <w:bookmarkStart w:id="119" w:name="_Toc21328"/>
    </w:p>
    <w:p>
      <w:pPr>
        <w:keepNext w:val="0"/>
        <w:keepLines w:val="0"/>
        <w:pageBreakBefore w:val="0"/>
        <w:kinsoku/>
        <w:wordWrap/>
        <w:overflowPunct/>
        <w:topLinePunct w:val="0"/>
        <w:bidi w:val="0"/>
        <w:spacing w:line="560" w:lineRule="exact"/>
        <w:jc w:val="center"/>
        <w:textAlignment w:val="auto"/>
        <w:outlineLvl w:val="0"/>
        <w:rPr>
          <w:rStyle w:val="30"/>
          <w:rFonts w:hint="eastAsia" w:ascii="黑体" w:hAnsi="黑体" w:eastAsia="黑体"/>
          <w:b w:val="0"/>
          <w:color w:val="auto"/>
          <w:highlight w:val="none"/>
          <w:lang w:eastAsia="zh-CN"/>
        </w:rPr>
      </w:pPr>
      <w:r>
        <w:rPr>
          <w:rFonts w:hint="eastAsia" w:ascii="黑体" w:hAnsi="黑体" w:eastAsia="黑体"/>
          <w:color w:val="auto"/>
          <w:sz w:val="44"/>
          <w:szCs w:val="44"/>
          <w:highlight w:val="none"/>
        </w:rPr>
        <w:t>第</w:t>
      </w:r>
      <w:r>
        <w:rPr>
          <w:rStyle w:val="30"/>
          <w:rFonts w:hint="eastAsia" w:ascii="黑体" w:hAnsi="黑体" w:eastAsia="黑体"/>
          <w:b w:val="0"/>
          <w:color w:val="auto"/>
          <w:highlight w:val="none"/>
        </w:rPr>
        <w:t>四部分 附件</w:t>
      </w:r>
      <w:bookmarkEnd w:id="116"/>
      <w:bookmarkEnd w:id="118"/>
      <w:bookmarkEnd w:id="119"/>
    </w:p>
    <w:p>
      <w:pPr>
        <w:keepNext w:val="0"/>
        <w:keepLines w:val="0"/>
        <w:pageBreakBefore w:val="0"/>
        <w:kinsoku/>
        <w:wordWrap/>
        <w:overflowPunct/>
        <w:topLinePunct w:val="0"/>
        <w:autoSpaceDE/>
        <w:autoSpaceDN/>
        <w:bidi w:val="0"/>
        <w:spacing w:line="560" w:lineRule="exact"/>
        <w:jc w:val="left"/>
        <w:textAlignment w:val="auto"/>
        <w:outlineLvl w:val="1"/>
        <w:rPr>
          <w:rFonts w:hint="eastAsia" w:ascii="方正小标宋简体" w:hAnsi="方正小标宋简体" w:eastAsia="黑体" w:cs="方正小标宋简体"/>
          <w:color w:val="auto"/>
          <w:sz w:val="44"/>
          <w:szCs w:val="44"/>
          <w:highlight w:val="none"/>
          <w:lang w:val="en-US" w:eastAsia="zh-CN"/>
        </w:rPr>
      </w:pPr>
      <w:bookmarkStart w:id="120" w:name="_Toc9366"/>
      <w:bookmarkStart w:id="121" w:name="_Toc3870"/>
      <w:bookmarkStart w:id="122" w:name="_Toc20589"/>
      <w:r>
        <w:rPr>
          <w:rFonts w:hint="eastAsia" w:ascii="黑体" w:hAnsi="黑体" w:eastAsia="黑体" w:cs="黑体"/>
          <w:color w:val="auto"/>
          <w:sz w:val="32"/>
          <w:szCs w:val="32"/>
          <w:highlight w:val="none"/>
        </w:rPr>
        <w:t>附件</w:t>
      </w:r>
      <w:bookmarkEnd w:id="120"/>
      <w:bookmarkEnd w:id="121"/>
      <w:bookmarkEnd w:id="122"/>
      <w:r>
        <w:rPr>
          <w:rFonts w:hint="eastAsia" w:ascii="黑体" w:hAnsi="黑体" w:eastAsia="黑体" w:cs="黑体"/>
          <w:color w:val="auto"/>
          <w:sz w:val="32"/>
          <w:szCs w:val="32"/>
          <w:highlight w:val="none"/>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广元市昭化区</w:t>
      </w:r>
      <w:r>
        <w:rPr>
          <w:rFonts w:hint="eastAsia" w:ascii="方正小标宋简体" w:hAnsi="方正小标宋简体" w:eastAsia="方正小标宋简体" w:cs="方正小标宋简体"/>
          <w:sz w:val="44"/>
          <w:szCs w:val="44"/>
          <w:lang w:eastAsia="zh-CN"/>
        </w:rPr>
        <w:t>磨滩镇人民政府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Times New Roman" w:hAnsi="Times New Roman"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关于</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年部门整体支出绩效自评报告</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Times New Roman" w:hAnsi="Times New Roman" w:eastAsia="黑体" w:cs="黑体"/>
          <w:sz w:val="32"/>
          <w:szCs w:val="32"/>
        </w:rPr>
      </w:pPr>
      <w:bookmarkStart w:id="123" w:name="_Toc23032"/>
      <w:bookmarkStart w:id="124" w:name="_Toc32251"/>
      <w:bookmarkStart w:id="125" w:name="_Toc29043"/>
      <w:bookmarkStart w:id="126" w:name="_Toc3858"/>
      <w:r>
        <w:rPr>
          <w:rFonts w:hint="eastAsia" w:ascii="Times New Roman" w:hAnsi="Times New Roman" w:eastAsia="黑体" w:cs="黑体"/>
          <w:sz w:val="32"/>
          <w:szCs w:val="32"/>
        </w:rPr>
        <w:t>一、预算单位概况</w:t>
      </w:r>
      <w:bookmarkEnd w:id="123"/>
      <w:bookmarkEnd w:id="124"/>
      <w:bookmarkEnd w:id="125"/>
      <w:bookmarkEnd w:id="126"/>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outlineLvl w:val="2"/>
        <w:rPr>
          <w:rFonts w:hint="eastAsia" w:ascii="Times New Roman" w:hAnsi="Times New Roman" w:eastAsia="楷体_GB2312" w:cs="楷体_GB2312"/>
          <w:b/>
          <w:bCs/>
          <w:sz w:val="32"/>
          <w:szCs w:val="32"/>
          <w:highlight w:val="none"/>
        </w:rPr>
      </w:pPr>
      <w:bookmarkStart w:id="127" w:name="_Toc7238"/>
      <w:r>
        <w:rPr>
          <w:rFonts w:hint="eastAsia" w:ascii="Times New Roman" w:hAnsi="Times New Roman" w:eastAsia="楷体_GB2312" w:cs="楷体_GB2312"/>
          <w:b/>
          <w:bCs/>
          <w:sz w:val="32"/>
          <w:szCs w:val="32"/>
          <w:highlight w:val="none"/>
          <w:lang w:eastAsia="zh-CN"/>
        </w:rPr>
        <w:t>（一）</w:t>
      </w:r>
      <w:r>
        <w:rPr>
          <w:rFonts w:hint="eastAsia" w:ascii="Times New Roman" w:hAnsi="Times New Roman" w:eastAsia="楷体_GB2312" w:cs="楷体_GB2312"/>
          <w:b/>
          <w:bCs/>
          <w:sz w:val="32"/>
          <w:szCs w:val="32"/>
          <w:highlight w:val="none"/>
        </w:rPr>
        <w:t>机构组成</w:t>
      </w:r>
      <w:bookmarkEnd w:id="127"/>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楷体_GB2312" w:cs="楷体_GB2312"/>
          <w:sz w:val="32"/>
          <w:szCs w:val="32"/>
        </w:rPr>
      </w:pPr>
      <w:r>
        <w:rPr>
          <w:rFonts w:hint="eastAsia" w:ascii="Times New Roman" w:hAnsi="Times New Roman" w:eastAsia="仿宋_GB2312" w:cs="Times New Roman"/>
          <w:color w:val="auto"/>
          <w:sz w:val="32"/>
          <w:szCs w:val="32"/>
          <w:lang w:eastAsia="zh-CN"/>
        </w:rPr>
        <w:t>磨滩镇2022年</w:t>
      </w:r>
      <w:r>
        <w:rPr>
          <w:rFonts w:hint="default" w:ascii="Times New Roman" w:hAnsi="Times New Roman" w:eastAsia="仿宋_GB2312" w:cs="Times New Roman"/>
          <w:color w:val="auto"/>
          <w:sz w:val="32"/>
          <w:szCs w:val="32"/>
        </w:rPr>
        <w:t>末机构数</w:t>
      </w:r>
      <w:r>
        <w:rPr>
          <w:rFonts w:hint="eastAsia"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个</w:t>
      </w:r>
      <w:r>
        <w:rPr>
          <w:rFonts w:hint="default" w:ascii="Times New Roman" w:hAnsi="Times New Roman" w:eastAsia="仿宋_GB2312" w:cs="Times New Roman"/>
          <w:color w:val="auto"/>
          <w:sz w:val="32"/>
          <w:szCs w:val="32"/>
        </w:rPr>
        <w:t>，其中行政机关1个即</w:t>
      </w:r>
      <w:r>
        <w:rPr>
          <w:rFonts w:hint="eastAsia" w:ascii="Times New Roman" w:hAnsi="Times New Roman" w:eastAsia="仿宋_GB2312" w:cs="Times New Roman"/>
          <w:color w:val="auto"/>
          <w:sz w:val="32"/>
          <w:szCs w:val="32"/>
          <w:lang w:eastAsia="zh-CN"/>
        </w:rPr>
        <w:t>磨滩镇</w:t>
      </w:r>
      <w:r>
        <w:rPr>
          <w:rFonts w:hint="default" w:ascii="Times New Roman" w:hAnsi="Times New Roman" w:eastAsia="仿宋_GB2312" w:cs="Times New Roman"/>
          <w:color w:val="auto"/>
          <w:sz w:val="32"/>
          <w:szCs w:val="32"/>
          <w:lang w:eastAsia="zh-CN"/>
        </w:rPr>
        <w:t>人民政府</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由</w:t>
      </w:r>
      <w:r>
        <w:rPr>
          <w:rFonts w:hint="eastAsia" w:ascii="Times New Roman" w:hAnsi="Times New Roman" w:eastAsia="仿宋_GB2312" w:cs="Times New Roman"/>
          <w:color w:val="auto"/>
          <w:sz w:val="32"/>
          <w:szCs w:val="32"/>
          <w:highlight w:val="none"/>
          <w:lang w:val="en-US" w:eastAsia="zh-CN"/>
        </w:rPr>
        <w:t>11</w:t>
      </w:r>
      <w:r>
        <w:rPr>
          <w:rFonts w:hint="default" w:ascii="Times New Roman" w:hAnsi="Times New Roman" w:eastAsia="仿宋_GB2312" w:cs="Times New Roman"/>
          <w:color w:val="auto"/>
          <w:sz w:val="32"/>
          <w:szCs w:val="32"/>
          <w:highlight w:val="none"/>
        </w:rPr>
        <w:t>个</w:t>
      </w:r>
      <w:r>
        <w:rPr>
          <w:rFonts w:hint="eastAsia" w:ascii="Times New Roman" w:hAnsi="Times New Roman" w:eastAsia="仿宋_GB2312" w:cs="Times New Roman"/>
          <w:color w:val="auto"/>
          <w:sz w:val="32"/>
          <w:szCs w:val="32"/>
          <w:highlight w:val="none"/>
          <w:lang w:val="en-US" w:eastAsia="zh-CN"/>
        </w:rPr>
        <w:t>部门组成</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rPr>
        <w:t>分别是党政综合与乡村振兴办公室、党建工作办公室、综合行政执法办公室、社会事务办公室、经济发展办公室、社会治理工作办公室、财政所；有便民服务中心、农业综合服务中心、农民工服务中心、乡村建设和文化服务旅游中心4个事业机构；有工会、青年、妇联等群团组织。</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3" w:firstLineChars="200"/>
        <w:textAlignment w:val="auto"/>
        <w:outlineLvl w:val="2"/>
        <w:rPr>
          <w:rFonts w:hint="eastAsia" w:ascii="Times New Roman" w:hAnsi="Times New Roman" w:eastAsia="楷体_GB2312" w:cs="楷体_GB2312"/>
          <w:b/>
          <w:bCs/>
          <w:sz w:val="32"/>
          <w:szCs w:val="32"/>
        </w:rPr>
      </w:pPr>
      <w:bookmarkStart w:id="128" w:name="_Toc21877"/>
      <w:r>
        <w:rPr>
          <w:rFonts w:hint="eastAsia" w:ascii="Times New Roman" w:hAnsi="Times New Roman" w:eastAsia="楷体_GB2312" w:cs="楷体_GB2312"/>
          <w:b/>
          <w:bCs/>
          <w:sz w:val="32"/>
          <w:szCs w:val="32"/>
        </w:rPr>
        <w:t>机构职能</w:t>
      </w:r>
      <w:r>
        <w:rPr>
          <w:rFonts w:hint="eastAsia" w:eastAsia="楷体_GB2312" w:cs="楷体_GB2312"/>
          <w:b/>
          <w:bCs/>
          <w:sz w:val="32"/>
          <w:szCs w:val="32"/>
          <w:lang w:eastAsia="zh-CN"/>
        </w:rPr>
        <w:t>和人员概况</w:t>
      </w:r>
      <w:bookmarkEnd w:id="128"/>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eastAsia="楷体_GB2312" w:cs="楷体_GB2312"/>
          <w:sz w:val="32"/>
          <w:szCs w:val="32"/>
          <w:lang w:val="en-US" w:eastAsia="zh-CN"/>
        </w:rPr>
      </w:pPr>
      <w:r>
        <w:rPr>
          <w:rFonts w:hint="eastAsia" w:eastAsia="楷体_GB2312" w:cs="楷体_GB2312"/>
          <w:sz w:val="32"/>
          <w:szCs w:val="32"/>
          <w:lang w:val="en-US" w:eastAsia="zh-CN"/>
        </w:rPr>
        <w:t>1.机构职能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制定和组织实施经济、科技和社会发展计划，制定资源开发技术改造和产业结构调整方案，组织指导好各业生产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搞好商品流通，协调好本办事处与外地区的经济交流与合作，抓好招商引资，人才引进项目开发，不断培育市场体系，组织经济运行，促进经济发展。</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eastAsia="仿宋_GB2312"/>
          <w:sz w:val="32"/>
          <w:szCs w:val="32"/>
          <w:lang w:val="en-US" w:eastAsia="zh-CN"/>
        </w:rPr>
        <w:t>（2）</w:t>
      </w:r>
      <w:r>
        <w:rPr>
          <w:rFonts w:hint="eastAsia" w:ascii="仿宋_GB2312" w:hAnsi="仿宋_GB2312" w:eastAsia="仿宋_GB2312" w:cs="仿宋_GB2312"/>
          <w:sz w:val="32"/>
          <w:szCs w:val="32"/>
        </w:rPr>
        <w:t>制定并组织实施村镇建设规划，部署重点工程建设，地方道路建设及公共设施，水利设施的管理，负责土地、林木、水等自然资源和生态环境的保护，做好护林防火工作。</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负责本行政区域内的民政、计划生育、文化教育、卫生、体育等社会公益事业的综合性工作，维护一切经济单位和个人的正当经济权益，取缔非法经济活动，调解和处理民事纠纷，打击刑事犯罪维护社会稳定。</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按计划组织本级财政收入和地方税的征收，完成国家财政计划，不断培植税源，管好财政资金，增强财政实力。</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抓好精神文明建设，丰富群众文化生活，提倡移风易俗，反对封建迷信，破除陈规陋习，树立社会主义新风尚。</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执行本级人民代表大会的决议和上级国家行政机关的决定和命令，发布决定和命令。</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执行本行政区域内的经济和社会发展计划、预算。管理本行政区域内的经济、教育、科学、文化、卫生、体育事业和财政、民政、公安、司法行政、计划生育等行政工作。</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保护好社会主义全民所有的财产和劳动群众集体所有财产，保护公民私有的合法财产，维护社会秩序，保障公民的人身权利、民主权利和其他权利。</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保障农村集体经济组织应有的自主权。</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保障少数民族的权利和尊重少数民族的风俗习惯。</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保障宪法和法律赋予妇女的男女平等、同工同酬和婚姻自由平等各项权利。</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eastAsia" w:ascii="Times New Roman" w:hAnsi="Times New Roman" w:eastAsia="楷体_GB2312" w:cs="楷体_GB2312"/>
          <w:sz w:val="32"/>
          <w:szCs w:val="32"/>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完成和办理上级人民政府交办的其他事项</w:t>
      </w:r>
      <w:r>
        <w:rPr>
          <w:rFonts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楷体_GB2312" w:cs="楷体_GB2312"/>
          <w:sz w:val="32"/>
          <w:szCs w:val="32"/>
        </w:rPr>
      </w:pPr>
      <w:r>
        <w:rPr>
          <w:rFonts w:hint="eastAsia" w:ascii="楷体" w:hAnsi="楷体" w:eastAsia="楷体" w:cs="楷体"/>
          <w:sz w:val="32"/>
          <w:szCs w:val="32"/>
          <w:lang w:val="en-US" w:eastAsia="zh-CN"/>
        </w:rPr>
        <w:t>2.</w:t>
      </w:r>
      <w:r>
        <w:rPr>
          <w:rFonts w:hint="eastAsia" w:ascii="Times New Roman" w:hAnsi="Times New Roman" w:eastAsia="楷体_GB2312" w:cs="楷体_GB2312"/>
          <w:sz w:val="32"/>
          <w:szCs w:val="32"/>
        </w:rPr>
        <w:t>人员概况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lang w:eastAsia="zh-CN"/>
        </w:rPr>
        <w:t>磨滩</w:t>
      </w:r>
      <w:r>
        <w:rPr>
          <w:rFonts w:hint="eastAsia" w:ascii="仿宋_GB2312" w:hAnsi="仿宋_GB2312" w:eastAsia="仿宋_GB2312" w:cs="仿宋_GB2312"/>
          <w:kern w:val="0"/>
          <w:sz w:val="32"/>
          <w:szCs w:val="32"/>
          <w:shd w:val="clear" w:color="auto" w:fill="FFFFFF"/>
        </w:rPr>
        <w:t>镇共有编制</w:t>
      </w:r>
      <w:r>
        <w:rPr>
          <w:rFonts w:hint="eastAsia" w:ascii="仿宋_GB2312" w:hAnsi="仿宋_GB2312" w:eastAsia="仿宋_GB2312" w:cs="仿宋_GB2312"/>
          <w:kern w:val="0"/>
          <w:sz w:val="32"/>
          <w:szCs w:val="32"/>
          <w:shd w:val="clear" w:color="auto" w:fill="FFFFFF"/>
          <w:lang w:val="en-US" w:eastAsia="zh-CN"/>
        </w:rPr>
        <w:t>48名</w:t>
      </w:r>
      <w:r>
        <w:rPr>
          <w:rFonts w:hint="eastAsia" w:ascii="仿宋_GB2312" w:hAnsi="仿宋_GB2312" w:eastAsia="仿宋_GB2312" w:cs="仿宋_GB2312"/>
          <w:kern w:val="0"/>
          <w:sz w:val="32"/>
          <w:szCs w:val="32"/>
          <w:shd w:val="clear" w:color="auto" w:fill="FFFFFF"/>
        </w:rPr>
        <w:t>，其中：行政编制</w:t>
      </w:r>
      <w:r>
        <w:rPr>
          <w:rFonts w:hint="eastAsia" w:ascii="仿宋_GB2312" w:hAnsi="仿宋_GB2312" w:eastAsia="仿宋_GB2312" w:cs="仿宋_GB2312"/>
          <w:kern w:val="0"/>
          <w:sz w:val="32"/>
          <w:szCs w:val="32"/>
          <w:shd w:val="clear" w:color="auto" w:fill="FFFFFF"/>
          <w:lang w:val="en-US" w:eastAsia="zh-CN"/>
        </w:rPr>
        <w:t>24</w:t>
      </w:r>
      <w:r>
        <w:rPr>
          <w:rFonts w:hint="eastAsia" w:ascii="仿宋_GB2312" w:hAnsi="仿宋_GB2312" w:eastAsia="仿宋_GB2312" w:cs="仿宋_GB2312"/>
          <w:kern w:val="0"/>
          <w:sz w:val="32"/>
          <w:szCs w:val="32"/>
          <w:shd w:val="clear" w:color="auto" w:fill="FFFFFF"/>
        </w:rPr>
        <w:t>名，事业编制</w:t>
      </w:r>
      <w:r>
        <w:rPr>
          <w:rFonts w:hint="eastAsia" w:ascii="仿宋_GB2312" w:hAnsi="仿宋_GB2312" w:eastAsia="仿宋_GB2312" w:cs="仿宋_GB2312"/>
          <w:kern w:val="0"/>
          <w:sz w:val="32"/>
          <w:szCs w:val="32"/>
          <w:shd w:val="clear" w:color="auto" w:fill="FFFFFF"/>
          <w:lang w:val="en-US" w:eastAsia="zh-CN"/>
        </w:rPr>
        <w:t>18</w:t>
      </w:r>
      <w:r>
        <w:rPr>
          <w:rFonts w:hint="eastAsia" w:ascii="仿宋_GB2312" w:hAnsi="仿宋_GB2312" w:eastAsia="仿宋_GB2312" w:cs="仿宋_GB2312"/>
          <w:kern w:val="0"/>
          <w:sz w:val="32"/>
          <w:szCs w:val="32"/>
          <w:shd w:val="clear" w:color="auto" w:fill="FFFFFF"/>
        </w:rPr>
        <w:t>名，机关工勤编制</w:t>
      </w:r>
      <w:r>
        <w:rPr>
          <w:rFonts w:hint="eastAsia" w:ascii="仿宋_GB2312" w:hAnsi="仿宋_GB2312" w:eastAsia="仿宋_GB2312" w:cs="仿宋_GB2312"/>
          <w:kern w:val="0"/>
          <w:sz w:val="32"/>
          <w:szCs w:val="32"/>
          <w:shd w:val="clear" w:color="auto" w:fill="FFFFFF"/>
          <w:lang w:val="en-US" w:eastAsia="zh-CN"/>
        </w:rPr>
        <w:t>4</w:t>
      </w:r>
      <w:r>
        <w:rPr>
          <w:rFonts w:hint="eastAsia" w:ascii="仿宋_GB2312" w:hAnsi="仿宋_GB2312" w:eastAsia="仿宋_GB2312" w:cs="仿宋_GB2312"/>
          <w:kern w:val="0"/>
          <w:sz w:val="32"/>
          <w:szCs w:val="32"/>
          <w:shd w:val="clear" w:color="auto" w:fill="FFFFFF"/>
        </w:rPr>
        <w:t>名，事业工勤编制</w:t>
      </w:r>
      <w:r>
        <w:rPr>
          <w:rFonts w:hint="eastAsia" w:ascii="仿宋_GB2312" w:hAnsi="仿宋_GB2312" w:eastAsia="仿宋_GB2312" w:cs="仿宋_GB2312"/>
          <w:kern w:val="0"/>
          <w:sz w:val="32"/>
          <w:szCs w:val="32"/>
          <w:shd w:val="clear" w:color="auto" w:fill="FFFFFF"/>
          <w:lang w:val="en-US" w:eastAsia="zh-CN"/>
        </w:rPr>
        <w:t>2</w:t>
      </w:r>
      <w:r>
        <w:rPr>
          <w:rFonts w:hint="eastAsia" w:ascii="仿宋_GB2312" w:hAnsi="仿宋_GB2312" w:eastAsia="仿宋_GB2312" w:cs="仿宋_GB2312"/>
          <w:kern w:val="0"/>
          <w:sz w:val="32"/>
          <w:szCs w:val="32"/>
          <w:shd w:val="clear" w:color="auto" w:fill="FFFFFF"/>
        </w:rPr>
        <w:t>名。</w:t>
      </w:r>
      <w:r>
        <w:rPr>
          <w:rFonts w:hint="eastAsia" w:ascii="仿宋_GB2312" w:hAnsi="仿宋_GB2312" w:eastAsia="仿宋_GB2312" w:cs="仿宋_GB2312"/>
          <w:sz w:val="32"/>
          <w:szCs w:val="32"/>
          <w:shd w:val="clear" w:color="auto" w:fill="FFFFFF"/>
        </w:rPr>
        <w:t>按财政供给率分，均为财政全额供给</w:t>
      </w:r>
      <w:r>
        <w:rPr>
          <w:rFonts w:hint="eastAsia" w:ascii="仿宋_GB2312" w:hAnsi="仿宋_GB2312" w:eastAsia="仿宋_GB2312" w:cs="仿宋_GB2312"/>
          <w:kern w:val="0"/>
          <w:sz w:val="32"/>
          <w:szCs w:val="32"/>
          <w:shd w:val="clear" w:color="auto" w:fill="FFFFFF"/>
        </w:rPr>
        <w:t>。2022年其他人员共</w:t>
      </w:r>
      <w:r>
        <w:rPr>
          <w:rFonts w:hint="eastAsia" w:ascii="仿宋_GB2312" w:hAnsi="仿宋_GB2312" w:eastAsia="仿宋_GB2312" w:cs="仿宋_GB2312"/>
          <w:kern w:val="0"/>
          <w:sz w:val="32"/>
          <w:szCs w:val="32"/>
          <w:shd w:val="clear" w:color="auto" w:fill="FFFFFF"/>
          <w:lang w:val="en-US" w:eastAsia="zh-CN"/>
        </w:rPr>
        <w:t>5</w:t>
      </w:r>
      <w:r>
        <w:rPr>
          <w:rFonts w:hint="eastAsia" w:ascii="仿宋_GB2312" w:hAnsi="仿宋_GB2312" w:eastAsia="仿宋_GB2312" w:cs="仿宋_GB2312"/>
          <w:kern w:val="0"/>
          <w:sz w:val="32"/>
          <w:szCs w:val="32"/>
          <w:shd w:val="clear" w:color="auto" w:fill="FFFFFF"/>
        </w:rPr>
        <w:t>人，其中：遗属人员</w:t>
      </w:r>
      <w:r>
        <w:rPr>
          <w:rFonts w:hint="eastAsia" w:ascii="仿宋_GB2312" w:hAnsi="仿宋_GB2312" w:eastAsia="仿宋_GB2312" w:cs="仿宋_GB2312"/>
          <w:kern w:val="0"/>
          <w:sz w:val="32"/>
          <w:szCs w:val="32"/>
          <w:shd w:val="clear" w:color="auto" w:fill="FFFFFF"/>
          <w:lang w:val="en-US" w:eastAsia="zh-CN"/>
        </w:rPr>
        <w:t>3</w:t>
      </w:r>
      <w:r>
        <w:rPr>
          <w:rFonts w:hint="eastAsia" w:ascii="仿宋_GB2312" w:hAnsi="仿宋_GB2312" w:eastAsia="仿宋_GB2312" w:cs="仿宋_GB2312"/>
          <w:kern w:val="0"/>
          <w:sz w:val="32"/>
          <w:szCs w:val="32"/>
          <w:shd w:val="clear" w:color="auto" w:fill="FFFFFF"/>
        </w:rPr>
        <w:t>人，三支一扶</w:t>
      </w:r>
      <w:r>
        <w:rPr>
          <w:rFonts w:hint="eastAsia" w:ascii="仿宋_GB2312" w:hAnsi="仿宋_GB2312" w:eastAsia="仿宋_GB2312" w:cs="仿宋_GB2312"/>
          <w:kern w:val="0"/>
          <w:sz w:val="32"/>
          <w:szCs w:val="32"/>
          <w:shd w:val="clear" w:color="auto" w:fill="FFFFFF"/>
          <w:lang w:val="en-US" w:eastAsia="zh-CN"/>
        </w:rPr>
        <w:t>2</w:t>
      </w:r>
      <w:r>
        <w:rPr>
          <w:rFonts w:hint="eastAsia" w:ascii="仿宋_GB2312" w:hAnsi="仿宋_GB2312" w:eastAsia="仿宋_GB2312" w:cs="仿宋_GB2312"/>
          <w:kern w:val="0"/>
          <w:sz w:val="32"/>
          <w:szCs w:val="32"/>
          <w:shd w:val="clear" w:color="auto" w:fill="FFFFFF"/>
        </w:rPr>
        <w:t>人；2022年本单位退休人员共</w:t>
      </w:r>
      <w:r>
        <w:rPr>
          <w:rFonts w:hint="eastAsia" w:ascii="仿宋_GB2312" w:hAnsi="仿宋_GB2312" w:eastAsia="仿宋_GB2312" w:cs="仿宋_GB2312"/>
          <w:kern w:val="0"/>
          <w:sz w:val="32"/>
          <w:szCs w:val="32"/>
          <w:shd w:val="clear" w:color="auto" w:fill="FFFFFF"/>
          <w:lang w:val="en-US" w:eastAsia="zh-CN"/>
        </w:rPr>
        <w:t>20</w:t>
      </w:r>
      <w:r>
        <w:rPr>
          <w:rFonts w:hint="eastAsia" w:ascii="仿宋_GB2312" w:hAnsi="仿宋_GB2312" w:eastAsia="仿宋_GB2312" w:cs="仿宋_GB2312"/>
          <w:kern w:val="0"/>
          <w:sz w:val="32"/>
          <w:szCs w:val="32"/>
          <w:shd w:val="clear" w:color="auto" w:fill="FFFFFF"/>
        </w:rPr>
        <w:t>人，其中：行政人员</w:t>
      </w:r>
      <w:r>
        <w:rPr>
          <w:rFonts w:hint="eastAsia" w:ascii="仿宋_GB2312" w:hAnsi="仿宋_GB2312" w:eastAsia="仿宋_GB2312" w:cs="仿宋_GB2312"/>
          <w:kern w:val="0"/>
          <w:sz w:val="32"/>
          <w:szCs w:val="32"/>
          <w:shd w:val="clear" w:color="auto" w:fill="FFFFFF"/>
          <w:lang w:val="en-US" w:eastAsia="zh-CN"/>
        </w:rPr>
        <w:t>10</w:t>
      </w:r>
      <w:r>
        <w:rPr>
          <w:rFonts w:hint="eastAsia" w:ascii="仿宋_GB2312" w:hAnsi="仿宋_GB2312" w:eastAsia="仿宋_GB2312" w:cs="仿宋_GB2312"/>
          <w:kern w:val="0"/>
          <w:sz w:val="32"/>
          <w:szCs w:val="32"/>
          <w:shd w:val="clear" w:color="auto" w:fill="FFFFFF"/>
        </w:rPr>
        <w:t>人，事业人员</w:t>
      </w:r>
      <w:r>
        <w:rPr>
          <w:rFonts w:hint="eastAsia" w:ascii="仿宋_GB2312" w:hAnsi="仿宋_GB2312" w:eastAsia="仿宋_GB2312" w:cs="仿宋_GB2312"/>
          <w:kern w:val="0"/>
          <w:sz w:val="32"/>
          <w:szCs w:val="32"/>
          <w:shd w:val="clear" w:color="auto" w:fill="FFFFFF"/>
          <w:lang w:val="en-US" w:eastAsia="zh-CN"/>
        </w:rPr>
        <w:t>10</w:t>
      </w:r>
      <w:r>
        <w:rPr>
          <w:rFonts w:hint="eastAsia" w:ascii="仿宋_GB2312" w:hAnsi="仿宋_GB2312" w:eastAsia="仿宋_GB2312" w:cs="仿宋_GB2312"/>
          <w:kern w:val="0"/>
          <w:sz w:val="32"/>
          <w:szCs w:val="32"/>
          <w:shd w:val="clear" w:color="auto" w:fill="FFFFFF"/>
        </w:rPr>
        <w:t>人。</w:t>
      </w:r>
    </w:p>
    <w:p>
      <w:pPr>
        <w:keepNext w:val="0"/>
        <w:keepLines w:val="0"/>
        <w:pageBreakBefore w:val="0"/>
        <w:kinsoku/>
        <w:wordWrap/>
        <w:overflowPunct/>
        <w:topLinePunct w:val="0"/>
        <w:autoSpaceDE w:val="0"/>
        <w:autoSpaceDN w:val="0"/>
        <w:bidi w:val="0"/>
        <w:adjustRightInd w:val="0"/>
        <w:spacing w:line="560" w:lineRule="exact"/>
        <w:ind w:firstLine="643" w:firstLineChars="200"/>
        <w:jc w:val="left"/>
        <w:textAlignment w:val="auto"/>
        <w:outlineLvl w:val="2"/>
        <w:rPr>
          <w:rFonts w:hint="eastAsia" w:ascii="楷体" w:hAnsi="楷体" w:eastAsia="楷体" w:cs="楷体"/>
          <w:b/>
          <w:color w:val="auto"/>
          <w:sz w:val="32"/>
          <w:szCs w:val="32"/>
          <w:highlight w:val="none"/>
          <w:lang w:val="en-US" w:eastAsia="zh-CN"/>
        </w:rPr>
      </w:pPr>
      <w:bookmarkStart w:id="129" w:name="_Toc4850"/>
      <w:r>
        <w:rPr>
          <w:rFonts w:hint="eastAsia" w:ascii="楷体" w:hAnsi="楷体" w:eastAsia="楷体" w:cs="楷体"/>
          <w:b/>
          <w:color w:val="auto"/>
          <w:sz w:val="32"/>
          <w:szCs w:val="32"/>
          <w:highlight w:val="none"/>
          <w:lang w:val="en-US" w:eastAsia="zh-CN"/>
        </w:rPr>
        <w:t>（三）年度主要工作任务</w:t>
      </w:r>
      <w:bookmarkEnd w:id="129"/>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kern w:val="0"/>
          <w:sz w:val="32"/>
          <w:szCs w:val="32"/>
          <w:shd w:val="clear" w:color="auto" w:fill="FFFFFF"/>
          <w:lang w:val="en-US" w:eastAsia="zh-CN"/>
        </w:rPr>
      </w:pPr>
      <w:r>
        <w:rPr>
          <w:rFonts w:hint="eastAsia" w:ascii="仿宋_GB2312" w:hAnsi="仿宋_GB2312" w:eastAsia="仿宋_GB2312" w:cs="仿宋_GB2312"/>
          <w:kern w:val="0"/>
          <w:sz w:val="32"/>
          <w:szCs w:val="32"/>
          <w:shd w:val="clear" w:color="auto" w:fill="FFFFFF"/>
          <w:lang w:val="en-US" w:eastAsia="zh-CN"/>
        </w:rPr>
        <w:t>1.持续推进乡村振兴。一是持续巩固拓展脱贫攻坚成果。常态化开展防返贫动态监测，及时按照返贫风险类型和程度分层分类精准落实帮扶措施，抓好监测对象动态清零，坚决守住不发生规模性返贫底线。二是全区域、全领域创建省级“鱼米之乡”。坚持种养结合，以渔促稻，全域发展稻鱼、稻虾产业，打造‘稻田+’田园综合体，通过扩面增量，提升质效，实现乡民生活富裕、鱼米产业兴旺。三是稳步实施强村工程。全面实施2022年入库项目，改善各村基础设施条件和提升产业结构；积极推动佛岩村市级乡村振兴重点村和磨滩村、长青村区级乡村振兴重点村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kern w:val="0"/>
          <w:sz w:val="32"/>
          <w:szCs w:val="32"/>
          <w:shd w:val="clear" w:color="auto" w:fill="FFFFFF"/>
          <w:lang w:val="en-US" w:eastAsia="zh-CN"/>
        </w:rPr>
      </w:pPr>
      <w:r>
        <w:rPr>
          <w:rFonts w:hint="eastAsia" w:ascii="仿宋_GB2312" w:hAnsi="仿宋_GB2312" w:eastAsia="仿宋_GB2312" w:cs="仿宋_GB2312"/>
          <w:kern w:val="0"/>
          <w:sz w:val="32"/>
          <w:szCs w:val="32"/>
          <w:shd w:val="clear" w:color="auto" w:fill="FFFFFF"/>
          <w:lang w:val="en-US" w:eastAsia="zh-CN"/>
        </w:rPr>
        <w:t>2.加快发展特色产业。一是持续做大做强做靓“王家贡米”特色品牌，围绕“两点一中心”稻渔综合种养示范基地，实行集中规划，成片发展，辐射带动全镇稻渔综合种养产业发展，打造稻渔综合种养省级示范园区。二是巩固烤烟“两线三带”发展，扩大种植面积，提质增效烤烟产业省级示范园区，争创长青村为烤烟千亩村，长青村二社为千担社，实现种植规模与烟叶产量双丰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kern w:val="0"/>
          <w:sz w:val="32"/>
          <w:szCs w:val="32"/>
          <w:shd w:val="clear" w:color="auto" w:fill="FFFFFF"/>
          <w:lang w:val="en-US" w:eastAsia="zh-CN"/>
        </w:rPr>
      </w:pPr>
      <w:r>
        <w:rPr>
          <w:rFonts w:hint="eastAsia" w:ascii="仿宋_GB2312" w:hAnsi="仿宋_GB2312" w:eastAsia="仿宋_GB2312" w:cs="仿宋_GB2312"/>
          <w:kern w:val="0"/>
          <w:sz w:val="32"/>
          <w:szCs w:val="32"/>
          <w:shd w:val="clear" w:color="auto" w:fill="FFFFFF"/>
          <w:lang w:val="en-US" w:eastAsia="zh-CN"/>
        </w:rPr>
        <w:t>3.做优做强镇域经济。一是积极对接区级部门，力争省道224“王家—磨滩—枣林”段二级公路改建工程在年内开工建设，打造昭化至磨滩1小时交通圈生活圈经济圈。二是持续做好两项改革“后半篇”文章，实施场镇提质计划，扩建场镇面积，新建停车场，提升住宿餐饮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kern w:val="0"/>
          <w:sz w:val="32"/>
          <w:szCs w:val="32"/>
          <w:shd w:val="clear" w:color="auto" w:fill="FFFFFF"/>
          <w:lang w:val="en-US" w:eastAsia="zh-CN"/>
        </w:rPr>
      </w:pPr>
      <w:r>
        <w:rPr>
          <w:rFonts w:hint="eastAsia" w:ascii="仿宋_GB2312" w:hAnsi="仿宋_GB2312" w:eastAsia="仿宋_GB2312" w:cs="仿宋_GB2312"/>
          <w:kern w:val="0"/>
          <w:sz w:val="32"/>
          <w:szCs w:val="32"/>
          <w:shd w:val="clear" w:color="auto" w:fill="FFFFFF"/>
          <w:lang w:val="en-US" w:eastAsia="zh-CN"/>
        </w:rPr>
        <w:t>4.扎实推动项目投资。一是持续优化营商环境，强化服务意识，镇领导全过程跟踪管理，提供“保姆式”服务，促进项目落地。二是全面开展场镇提质“五化”行动，完成场镇路灯安装做好光亮工程，建设休闲步游道、廊亭等，做足“佛岩—龙王”县道前期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kern w:val="0"/>
          <w:sz w:val="32"/>
          <w:szCs w:val="32"/>
          <w:shd w:val="clear" w:color="auto" w:fill="FFFFFF"/>
          <w:lang w:val="en-US" w:eastAsia="zh-CN"/>
        </w:rPr>
      </w:pPr>
      <w:r>
        <w:rPr>
          <w:rFonts w:hint="eastAsia" w:ascii="仿宋_GB2312" w:hAnsi="仿宋_GB2312" w:eastAsia="仿宋_GB2312" w:cs="仿宋_GB2312"/>
          <w:kern w:val="0"/>
          <w:sz w:val="32"/>
          <w:szCs w:val="32"/>
          <w:shd w:val="clear" w:color="auto" w:fill="FFFFFF"/>
          <w:lang w:val="en-US" w:eastAsia="zh-CN"/>
        </w:rPr>
        <w:t>5.持续抓好基层治理。一是纵深推进法治政府建设。完善岗位法治“账图模式”，积极创建法治政府建设示范镇、示范村。二是积极化解纠纷诉求。借鉴拓展“枫桥经验”，深入推进“平安磨滩”建设。三是建立健全各项制度。优化“大调解”工作体系建设，完善情报预警机制，抓实磨滩警务站微警务，切实做好信访接待工作。四是建设“健康磨滩”，常态化抓好疫情防控，全面落实安全生产责任制，强化食品药品安全、道路交通安全、森林防灭火、防灾减灾等领域专项排查，及时治理重大安全隐患，着力解决群众关注度高、亟待解决的身边小事、急事、难事，坚决守护好人民群众的生命财产安全。</w:t>
      </w:r>
    </w:p>
    <w:p>
      <w:pPr>
        <w:keepNext w:val="0"/>
        <w:keepLines w:val="0"/>
        <w:pageBreakBefore w:val="0"/>
        <w:kinsoku/>
        <w:wordWrap/>
        <w:overflowPunct/>
        <w:topLinePunct w:val="0"/>
        <w:autoSpaceDE w:val="0"/>
        <w:autoSpaceDN w:val="0"/>
        <w:bidi w:val="0"/>
        <w:adjustRightInd w:val="0"/>
        <w:spacing w:line="560" w:lineRule="exact"/>
        <w:ind w:firstLine="643" w:firstLineChars="200"/>
        <w:jc w:val="left"/>
        <w:textAlignment w:val="auto"/>
        <w:outlineLvl w:val="2"/>
        <w:rPr>
          <w:rFonts w:hint="eastAsia" w:ascii="楷体" w:hAnsi="楷体" w:eastAsia="楷体" w:cs="楷体"/>
          <w:b/>
          <w:color w:val="auto"/>
          <w:sz w:val="32"/>
          <w:szCs w:val="32"/>
          <w:highlight w:val="none"/>
          <w:lang w:val="en-US" w:eastAsia="zh-CN"/>
        </w:rPr>
      </w:pPr>
      <w:bookmarkStart w:id="130" w:name="_Toc15625"/>
      <w:r>
        <w:rPr>
          <w:rFonts w:hint="eastAsia" w:ascii="楷体" w:hAnsi="楷体" w:eastAsia="楷体" w:cs="楷体"/>
          <w:b/>
          <w:color w:val="auto"/>
          <w:sz w:val="32"/>
          <w:szCs w:val="32"/>
          <w:highlight w:val="none"/>
          <w:lang w:val="en-US" w:eastAsia="zh-CN"/>
        </w:rPr>
        <w:t>（四）部门整体支出绩效目标</w:t>
      </w:r>
      <w:bookmarkEnd w:id="13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磨滩镇2022年整体绩效目标：基层组织活动与公共服务运行经费垃圾清运不少于432次，开展征兵不少于2次，党员干部培训次数不少于10次，烤烟集中培训不少于1次，垃圾清运每周不少于1次，路灯亮灯长度2公里，全镇经财网络运行1个，召开人大会议不少于2次，烟地整理不低于600亩，保障8村1社区日常工作的正常运转，通过实现以上目标，完善政府公共服务能力，提升整体服务水平，促进镇域旅游发展、农业提升、改善民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Times New Roman" w:hAnsi="Times New Roman" w:eastAsia="黑体" w:cs="黑体"/>
          <w:sz w:val="32"/>
          <w:szCs w:val="32"/>
        </w:rPr>
      </w:pPr>
      <w:bookmarkStart w:id="131" w:name="_Toc2160"/>
      <w:bookmarkStart w:id="132" w:name="_Toc5208"/>
      <w:bookmarkStart w:id="133" w:name="_Toc18348"/>
      <w:bookmarkStart w:id="134" w:name="_Toc32271"/>
      <w:r>
        <w:rPr>
          <w:rFonts w:hint="eastAsia" w:ascii="Times New Roman" w:hAnsi="Times New Roman" w:eastAsia="黑体" w:cs="黑体"/>
          <w:sz w:val="32"/>
          <w:szCs w:val="32"/>
        </w:rPr>
        <w:t>二、</w:t>
      </w:r>
      <w:bookmarkEnd w:id="131"/>
      <w:bookmarkEnd w:id="132"/>
      <w:r>
        <w:rPr>
          <w:rFonts w:hint="eastAsia" w:ascii="黑体" w:hAnsi="黑体" w:eastAsia="黑体" w:cs="黑体"/>
          <w:color w:val="auto"/>
          <w:kern w:val="0"/>
          <w:sz w:val="32"/>
          <w:szCs w:val="32"/>
          <w:highlight w:val="none"/>
          <w:lang w:val="en-US" w:eastAsia="zh-CN" w:bidi="ar-SA"/>
        </w:rPr>
        <w:t>部门资金收支</w:t>
      </w:r>
      <w:r>
        <w:rPr>
          <w:rFonts w:hint="default" w:ascii="黑体" w:hAnsi="黑体" w:eastAsia="黑体" w:cs="黑体"/>
          <w:color w:val="auto"/>
          <w:kern w:val="0"/>
          <w:sz w:val="32"/>
          <w:szCs w:val="32"/>
          <w:highlight w:val="none"/>
          <w:lang w:val="en-US" w:eastAsia="zh-CN" w:bidi="ar-SA"/>
        </w:rPr>
        <w:t>情况</w:t>
      </w:r>
      <w:bookmarkEnd w:id="133"/>
      <w:bookmarkEnd w:id="134"/>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outlineLvl w:val="2"/>
        <w:rPr>
          <w:rFonts w:hint="eastAsia" w:ascii="仿宋" w:hAnsi="仿宋" w:eastAsia="仿宋"/>
          <w:b/>
          <w:color w:val="auto"/>
          <w:sz w:val="32"/>
          <w:szCs w:val="32"/>
          <w:highlight w:val="none"/>
          <w:lang w:val="en-US" w:eastAsia="zh-CN"/>
        </w:rPr>
      </w:pPr>
      <w:bookmarkStart w:id="135" w:name="_Toc2129"/>
      <w:r>
        <w:rPr>
          <w:rFonts w:hint="eastAsia" w:ascii="楷体" w:hAnsi="楷体" w:eastAsia="楷体" w:cs="楷体"/>
          <w:b/>
          <w:bCs/>
          <w:sz w:val="32"/>
          <w:szCs w:val="32"/>
        </w:rPr>
        <w:t>(一)</w:t>
      </w:r>
      <w:r>
        <w:rPr>
          <w:rFonts w:hint="eastAsia" w:ascii="楷体" w:hAnsi="楷体" w:eastAsia="楷体" w:cs="楷体"/>
          <w:b/>
          <w:bCs/>
          <w:color w:val="auto"/>
          <w:sz w:val="32"/>
          <w:szCs w:val="32"/>
          <w:highlight w:val="none"/>
          <w:lang w:val="en-US" w:eastAsia="zh-CN"/>
        </w:rPr>
        <w:t>部门总体收支情况</w:t>
      </w:r>
      <w:bookmarkEnd w:id="135"/>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kern w:val="0"/>
          <w:sz w:val="32"/>
          <w:szCs w:val="32"/>
          <w:highlight w:val="none"/>
          <w:lang w:val="en-US" w:eastAsia="zh-CN" w:bidi="ar-SA"/>
        </w:rPr>
        <w:t>1.部门总体收入情况。</w:t>
      </w:r>
      <w:r>
        <w:rPr>
          <w:rFonts w:hint="eastAsia" w:ascii="仿宋_GB2312" w:hAnsi="仿宋_GB2312" w:eastAsia="仿宋_GB2312" w:cs="仿宋_GB2312"/>
          <w:color w:val="auto"/>
          <w:sz w:val="32"/>
          <w:szCs w:val="32"/>
          <w:shd w:val="clear" w:color="auto" w:fill="FFFFFF"/>
          <w:lang w:val="en-US" w:eastAsia="zh-CN"/>
        </w:rPr>
        <w:t>磨滩镇2022年部门预算收入批复总数1134.84万元，决算收入总数1155.99万元，较2021年部门决算收入总数953.64万元增加202.35万元，增加17.5%。主要原因是国有土地使用权出让收入安排的支出，以及人员增加经费调增。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2.部门总体支出情况。磨滩镇2022年部门预算支出批复总数1134.84万元，决算支出总数1155.99万元，较2021年部门决算支出总数953.64万元增加202.35万元，增加17.5%，主要原因是人员增减经费调增。</w:t>
      </w:r>
    </w:p>
    <w:p>
      <w:pPr>
        <w:keepNext w:val="0"/>
        <w:keepLines w:val="0"/>
        <w:pageBreakBefore w:val="0"/>
        <w:kinsoku/>
        <w:wordWrap/>
        <w:overflowPunct/>
        <w:topLinePunct w:val="0"/>
        <w:autoSpaceDE/>
        <w:bidi w:val="0"/>
        <w:adjustRightInd/>
        <w:spacing w:line="560" w:lineRule="exact"/>
        <w:ind w:left="0" w:lef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3.部门总体结转结余情况。磨滩镇2022年无结转结余资金。</w:t>
      </w:r>
    </w:p>
    <w:p>
      <w:pPr>
        <w:keepNext w:val="0"/>
        <w:keepLines w:val="0"/>
        <w:pageBreakBefore w:val="0"/>
        <w:kinsoku/>
        <w:wordWrap/>
        <w:overflowPunct/>
        <w:topLinePunct w:val="0"/>
        <w:autoSpaceDE w:val="0"/>
        <w:autoSpaceDN w:val="0"/>
        <w:bidi w:val="0"/>
        <w:adjustRightInd w:val="0"/>
        <w:spacing w:line="560" w:lineRule="exact"/>
        <w:ind w:firstLine="643" w:firstLineChars="200"/>
        <w:jc w:val="left"/>
        <w:textAlignment w:val="auto"/>
        <w:outlineLvl w:val="2"/>
        <w:rPr>
          <w:rFonts w:hint="eastAsia" w:ascii="楷体" w:hAnsi="楷体" w:eastAsia="楷体" w:cs="楷体"/>
          <w:b/>
          <w:color w:val="auto"/>
          <w:sz w:val="32"/>
          <w:szCs w:val="32"/>
          <w:highlight w:val="none"/>
          <w:lang w:val="en-US" w:eastAsia="zh-CN"/>
        </w:rPr>
      </w:pPr>
      <w:bookmarkStart w:id="136" w:name="_Toc8188"/>
      <w:r>
        <w:rPr>
          <w:rFonts w:hint="eastAsia" w:ascii="楷体" w:hAnsi="楷体" w:eastAsia="楷体" w:cs="楷体"/>
          <w:b/>
          <w:color w:val="auto"/>
          <w:sz w:val="32"/>
          <w:szCs w:val="32"/>
          <w:highlight w:val="none"/>
          <w:lang w:val="en-US" w:eastAsia="zh-CN"/>
        </w:rPr>
        <w:t>（二）部门财政拨款收支情况</w:t>
      </w:r>
      <w:bookmarkEnd w:id="136"/>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kern w:val="0"/>
          <w:sz w:val="32"/>
          <w:szCs w:val="32"/>
          <w:highlight w:val="none"/>
          <w:lang w:val="en-US" w:eastAsia="zh-CN" w:bidi="ar-SA"/>
        </w:rPr>
        <w:t>1.部门财政拨款收入情况。</w:t>
      </w:r>
      <w:r>
        <w:rPr>
          <w:rFonts w:hint="eastAsia" w:ascii="仿宋_GB2312" w:hAnsi="仿宋_GB2312" w:eastAsia="仿宋_GB2312" w:cs="仿宋_GB2312"/>
          <w:color w:val="auto"/>
          <w:sz w:val="32"/>
          <w:szCs w:val="32"/>
          <w:shd w:val="clear" w:color="auto" w:fill="FFFFFF"/>
          <w:lang w:val="en-US" w:eastAsia="zh-CN"/>
        </w:rPr>
        <w:t>磨滩镇2022年部门预算收入批复总数1134.84万元，决算收入总数1155.99万元，较2021年部门决算收入总数953.64万元增加202.35万元，增加17.5%。主要原因是政府性基金预算财政拨款收入的增加以及人员增加经费调增。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2.部门财政拨款支出情况。磨滩镇2022年部门预算支出批复总数1134.84万元，决算支出总数1155.99万元，较2021年部门决算支出总数953.64万元增加202.35万元，增加17.5%，主要原因是人员增减经费调增以及国有土地使用权出让收入安排的支出。</w:t>
      </w:r>
    </w:p>
    <w:p>
      <w:pPr>
        <w:keepNext w:val="0"/>
        <w:keepLines w:val="0"/>
        <w:pageBreakBefore w:val="0"/>
        <w:kinsoku/>
        <w:wordWrap/>
        <w:overflowPunct/>
        <w:topLinePunct w:val="0"/>
        <w:autoSpaceDE/>
        <w:bidi w:val="0"/>
        <w:adjustRightInd/>
        <w:spacing w:line="560" w:lineRule="exact"/>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3.部门财政拨款结转结余情况。磨滩镇2022年无结转结余资金。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Times New Roman" w:hAnsi="Times New Roman" w:eastAsia="黑体" w:cs="黑体"/>
          <w:sz w:val="32"/>
          <w:szCs w:val="32"/>
        </w:rPr>
      </w:pPr>
      <w:bookmarkStart w:id="137" w:name="_Toc6743"/>
      <w:bookmarkStart w:id="138" w:name="_Toc10748"/>
      <w:bookmarkStart w:id="139" w:name="_Toc13589"/>
      <w:bookmarkStart w:id="140" w:name="_Toc20995"/>
      <w:r>
        <w:rPr>
          <w:rFonts w:hint="eastAsia" w:ascii="Times New Roman" w:hAnsi="Times New Roman" w:eastAsia="黑体" w:cs="黑体"/>
          <w:sz w:val="32"/>
          <w:szCs w:val="32"/>
        </w:rPr>
        <w:t>三、部门整体预算绩效管理情况</w:t>
      </w:r>
      <w:bookmarkEnd w:id="137"/>
      <w:bookmarkEnd w:id="138"/>
      <w:bookmarkEnd w:id="139"/>
      <w:bookmarkEnd w:id="140"/>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2"/>
        <w:rPr>
          <w:rFonts w:hint="eastAsia" w:ascii="楷体" w:hAnsi="楷体" w:eastAsia="楷体" w:cs="楷体"/>
          <w:sz w:val="32"/>
          <w:szCs w:val="32"/>
        </w:rPr>
      </w:pPr>
      <w:bookmarkStart w:id="141" w:name="_Toc31010"/>
      <w:r>
        <w:rPr>
          <w:rFonts w:hint="eastAsia" w:ascii="楷体" w:hAnsi="楷体" w:eastAsia="楷体" w:cs="楷体"/>
          <w:sz w:val="32"/>
          <w:szCs w:val="32"/>
        </w:rPr>
        <w:t>(一)</w:t>
      </w:r>
      <w:r>
        <w:rPr>
          <w:rFonts w:hint="eastAsia" w:ascii="楷体" w:hAnsi="楷体" w:eastAsia="楷体" w:cs="楷体"/>
          <w:b/>
          <w:color w:val="auto"/>
          <w:sz w:val="32"/>
          <w:szCs w:val="32"/>
          <w:highlight w:val="none"/>
          <w:lang w:val="en-US" w:eastAsia="zh-CN"/>
        </w:rPr>
        <w:t>部门预算项目绩效分析</w:t>
      </w:r>
      <w:bookmarkEnd w:id="141"/>
    </w:p>
    <w:p>
      <w:pPr>
        <w:pStyle w:val="14"/>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color w:val="auto"/>
          <w:kern w:val="0"/>
          <w:sz w:val="32"/>
          <w:szCs w:val="32"/>
          <w:highlight w:val="none"/>
          <w:lang w:val="en-US" w:eastAsia="zh-CN" w:bidi="ar-SA"/>
        </w:rPr>
      </w:pPr>
      <w:r>
        <w:rPr>
          <w:rFonts w:hint="eastAsia" w:ascii="楷体" w:hAnsi="楷体" w:eastAsia="楷体" w:cs="楷体"/>
          <w:color w:val="auto"/>
          <w:kern w:val="0"/>
          <w:sz w:val="32"/>
          <w:szCs w:val="32"/>
          <w:highlight w:val="none"/>
          <w:lang w:val="en-US" w:eastAsia="zh-CN" w:bidi="ar-SA"/>
        </w:rPr>
        <w:t>1.人员类项目绩效分析</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shd w:val="clear" w:color="auto" w:fill="FFFFFF"/>
          <w:lang w:val="en-US" w:eastAsia="zh-CN"/>
        </w:rPr>
        <w:t>（1）目标制定。</w:t>
      </w:r>
      <w:r>
        <w:rPr>
          <w:rFonts w:hint="eastAsia" w:ascii="仿宋_GB2312" w:hAnsi="仿宋_GB2312" w:eastAsia="仿宋_GB2312" w:cs="仿宋_GB2312"/>
          <w:color w:val="auto"/>
          <w:kern w:val="0"/>
          <w:sz w:val="32"/>
          <w:szCs w:val="32"/>
          <w:highlight w:val="none"/>
          <w:lang w:val="en-US" w:eastAsia="zh-CN" w:bidi="ar-SA"/>
        </w:rPr>
        <w:t>年初严格按照人员情况完成了</w:t>
      </w:r>
      <w:r>
        <w:rPr>
          <w:rFonts w:hint="eastAsia" w:ascii="仿宋_GB2312" w:hAnsi="仿宋_GB2312" w:eastAsia="仿宋_GB2312" w:cs="仿宋_GB2312"/>
          <w:color w:val="auto"/>
          <w:kern w:val="0"/>
          <w:sz w:val="32"/>
          <w:szCs w:val="32"/>
          <w:highlight w:val="none"/>
          <w:lang w:val="zh-CN" w:eastAsia="zh-CN" w:bidi="ar-SA"/>
        </w:rPr>
        <w:t>绩效目标制定</w:t>
      </w:r>
      <w:r>
        <w:rPr>
          <w:rFonts w:hint="eastAsia" w:ascii="仿宋_GB2312" w:hAnsi="仿宋_GB2312" w:eastAsia="仿宋_GB2312" w:cs="仿宋_GB2312"/>
          <w:color w:val="auto"/>
          <w:kern w:val="0"/>
          <w:sz w:val="32"/>
          <w:szCs w:val="32"/>
          <w:highlight w:val="none"/>
          <w:lang w:val="en-US" w:eastAsia="zh-CN" w:bidi="ar-SA"/>
        </w:rPr>
        <w:t>，做到了</w:t>
      </w:r>
      <w:r>
        <w:rPr>
          <w:rFonts w:hint="eastAsia" w:ascii="仿宋_GB2312" w:hAnsi="仿宋_GB2312" w:eastAsia="仿宋_GB2312" w:cs="仿宋_GB2312"/>
          <w:color w:val="auto"/>
          <w:kern w:val="0"/>
          <w:sz w:val="32"/>
          <w:szCs w:val="32"/>
          <w:highlight w:val="none"/>
          <w:lang w:val="zh-CN" w:eastAsia="zh-CN" w:bidi="ar-SA"/>
        </w:rPr>
        <w:t>绩效目标制定</w:t>
      </w:r>
      <w:r>
        <w:rPr>
          <w:rFonts w:hint="eastAsia" w:ascii="仿宋_GB2312" w:hAnsi="仿宋_GB2312" w:eastAsia="仿宋_GB2312" w:cs="仿宋_GB2312"/>
          <w:color w:val="auto"/>
          <w:kern w:val="0"/>
          <w:sz w:val="32"/>
          <w:szCs w:val="32"/>
          <w:highlight w:val="none"/>
          <w:lang w:val="en-US" w:eastAsia="zh-CN" w:bidi="ar-SA"/>
        </w:rPr>
        <w:t>规范、完整无漏项，单位编制、人员情况与供养人员横向联网系统数据吻合，名称、绩效指标、内容说明等符合规范。细化量化了产出指标和效益指标等，反映了相应项目工作任务及效果。</w:t>
      </w:r>
    </w:p>
    <w:p>
      <w:pPr>
        <w:keepNext w:val="0"/>
        <w:keepLines w:val="0"/>
        <w:pageBreakBefore w:val="0"/>
        <w:kinsoku/>
        <w:wordWrap/>
        <w:overflowPunct/>
        <w:topLinePunct w:val="0"/>
        <w:autoSpaceDE/>
        <w:bidi w:val="0"/>
        <w:adjustRightInd/>
        <w:spacing w:line="560" w:lineRule="exact"/>
        <w:ind w:left="0" w:lef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shd w:val="clear" w:color="auto" w:fill="FFFFFF"/>
          <w:lang w:val="en-US" w:eastAsia="zh-CN"/>
        </w:rPr>
        <w:t>（2）目标实现。</w:t>
      </w:r>
      <w:r>
        <w:rPr>
          <w:rFonts w:hint="eastAsia" w:ascii="仿宋_GB2312" w:hAnsi="仿宋_GB2312" w:eastAsia="仿宋_GB2312" w:cs="仿宋_GB2312"/>
          <w:color w:val="auto"/>
          <w:kern w:val="0"/>
          <w:sz w:val="32"/>
          <w:szCs w:val="32"/>
          <w:highlight w:val="none"/>
          <w:lang w:val="en-US" w:eastAsia="zh-CN" w:bidi="ar-SA"/>
        </w:rPr>
        <w:t>2022年人员类预算922.13万元，主要用于：</w:t>
      </w:r>
      <w:r>
        <w:rPr>
          <w:rFonts w:hint="eastAsia" w:ascii="仿宋_GB2312" w:hAnsi="仿宋_GB2312" w:eastAsia="仿宋_GB2312" w:cs="仿宋_GB2312"/>
          <w:sz w:val="32"/>
          <w:szCs w:val="32"/>
          <w:lang w:val="en-US" w:eastAsia="zh-CN"/>
        </w:rPr>
        <w:t>人员基本工资、津贴补贴、奖金、机关事业单位养老保险、医疗保险，其他社会保障缴费、住房公积金、其他工资福利</w:t>
      </w:r>
      <w:r>
        <w:rPr>
          <w:rFonts w:hint="eastAsia" w:ascii="仿宋_GB2312" w:hAnsi="仿宋_GB2312" w:eastAsia="仿宋_GB2312" w:cs="仿宋_GB2312"/>
          <w:color w:val="auto"/>
          <w:sz w:val="32"/>
          <w:szCs w:val="32"/>
          <w:lang w:val="en-US" w:eastAsia="zh-CN"/>
        </w:rPr>
        <w:t>、其他对个人家庭补助支出等</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auto"/>
          <w:kern w:val="0"/>
          <w:sz w:val="32"/>
          <w:szCs w:val="32"/>
          <w:highlight w:val="none"/>
          <w:lang w:val="en-US" w:eastAsia="zh-CN" w:bidi="ar-SA"/>
        </w:rPr>
        <w:t>年初制定的运转保障率、预算准确率、科目调整次数等指标均完成，总体完成较好，基本实现了预期目标。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kern w:val="0"/>
          <w:sz w:val="32"/>
          <w:szCs w:val="32"/>
          <w:highlight w:val="none"/>
          <w:lang w:val="en-US" w:eastAsia="zh-CN" w:bidi="ar-SA"/>
        </w:rPr>
        <w:t>（3）支出控制。磨滩镇2022年人员类资金支出922.13万元，</w:t>
      </w:r>
      <w:r>
        <w:rPr>
          <w:rFonts w:hint="eastAsia" w:ascii="仿宋_GB2312" w:hAnsi="仿宋_GB2312" w:eastAsia="仿宋_GB2312" w:cs="仿宋_GB2312"/>
          <w:color w:val="auto"/>
          <w:sz w:val="32"/>
          <w:szCs w:val="32"/>
          <w:lang w:eastAsia="zh-CN"/>
        </w:rPr>
        <w:t>全年执行数：</w:t>
      </w:r>
      <w:r>
        <w:rPr>
          <w:rFonts w:hint="eastAsia" w:ascii="仿宋_GB2312" w:hAnsi="仿宋_GB2312" w:eastAsia="仿宋_GB2312" w:cs="仿宋_GB2312"/>
          <w:color w:val="auto"/>
          <w:sz w:val="32"/>
          <w:szCs w:val="32"/>
          <w:lang w:val="en-US" w:eastAsia="zh-CN"/>
        </w:rPr>
        <w:t>人员基本工资191.52万元、津贴补贴107.25万元、奖金5.95万元、机关事业单位养老保险69.74万元、职工基本医疗保险28.36万元、其他社会保障缴费5.19万元、住房公积金53.72万元、其他工资福利160.8万元、其他对个人家庭补助支出299.59万元，</w:t>
      </w:r>
      <w:r>
        <w:rPr>
          <w:rFonts w:hint="eastAsia" w:ascii="仿宋_GB2312" w:hAnsi="仿宋_GB2312" w:eastAsia="仿宋_GB2312" w:cs="仿宋_GB2312"/>
          <w:color w:val="auto"/>
          <w:sz w:val="32"/>
          <w:szCs w:val="32"/>
          <w:lang w:eastAsia="zh-CN"/>
        </w:rPr>
        <w:t>支出占比</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eastAsia="zh-CN"/>
        </w:rPr>
        <w:t>%，本单位本年度严格按照预算数执行。</w:t>
      </w:r>
    </w:p>
    <w:p>
      <w:pPr>
        <w:keepNext w:val="0"/>
        <w:keepLines w:val="0"/>
        <w:pageBreakBefore w:val="0"/>
        <w:kinsoku/>
        <w:wordWrap/>
        <w:overflowPunct/>
        <w:topLinePunct w:val="0"/>
        <w:autoSpaceDE/>
        <w:bidi w:val="0"/>
        <w:adjustRightInd/>
        <w:spacing w:line="560" w:lineRule="exact"/>
        <w:ind w:left="0" w:leftChars="0" w:firstLine="640" w:firstLineChars="200"/>
        <w:jc w:val="both"/>
        <w:textAlignment w:val="auto"/>
        <w:rPr>
          <w:rFonts w:hint="eastAsia" w:ascii="仿宋_GB2312" w:hAnsi="仿宋_GB2312" w:eastAsia="仿宋_GB2312" w:cs="仿宋_GB2312"/>
          <w:color w:val="auto"/>
          <w:kern w:val="0"/>
          <w:sz w:val="32"/>
          <w:szCs w:val="32"/>
          <w:highlight w:val="none"/>
          <w:lang w:val="zh-CN" w:eastAsia="zh-CN" w:bidi="ar-SA"/>
        </w:rPr>
      </w:pPr>
      <w:r>
        <w:rPr>
          <w:rFonts w:hint="eastAsia" w:ascii="仿宋_GB2312" w:hAnsi="仿宋_GB2312" w:eastAsia="仿宋_GB2312" w:cs="仿宋_GB2312"/>
          <w:color w:val="auto"/>
          <w:kern w:val="0"/>
          <w:sz w:val="32"/>
          <w:szCs w:val="32"/>
          <w:highlight w:val="none"/>
          <w:lang w:val="en-US" w:eastAsia="zh-CN" w:bidi="ar-SA"/>
        </w:rPr>
        <w:t>（4）及时处置。按照《广元市昭化区预算绩效事中运行监控管理暂行办法》（昭府办函〔2022〕37号）的要求，按时完成预算绩效运行监控，将绩效监控结果应用到预算调整，合理安排预算执行进度，提高资金使用绩效。2022年没有调整</w:t>
      </w:r>
      <w:r>
        <w:rPr>
          <w:rFonts w:hint="eastAsia" w:ascii="仿宋_GB2312" w:hAnsi="仿宋_GB2312" w:eastAsia="仿宋_GB2312" w:cs="仿宋_GB2312"/>
          <w:color w:val="auto"/>
          <w:kern w:val="0"/>
          <w:sz w:val="32"/>
          <w:szCs w:val="32"/>
          <w:highlight w:val="none"/>
          <w:lang w:val="zh-CN" w:eastAsia="zh-CN" w:bidi="ar-SA"/>
        </w:rPr>
        <w:t>绩效监控调整取消额和结余注销额。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（5）执行进度。</w:t>
      </w:r>
      <w:r>
        <w:rPr>
          <w:rFonts w:hint="eastAsia" w:ascii="仿宋_GB2312" w:hAnsi="仿宋_GB2312" w:eastAsia="仿宋_GB2312" w:cs="仿宋_GB2312"/>
          <w:color w:val="auto"/>
          <w:sz w:val="32"/>
          <w:szCs w:val="32"/>
          <w:lang w:val="en-US" w:eastAsia="zh-CN"/>
        </w:rPr>
        <w:t>磨滩</w:t>
      </w:r>
      <w:r>
        <w:rPr>
          <w:rFonts w:hint="eastAsia" w:ascii="仿宋_GB2312" w:hAnsi="仿宋_GB2312" w:eastAsia="仿宋_GB2312" w:cs="仿宋_GB2312"/>
          <w:color w:val="auto"/>
          <w:sz w:val="32"/>
          <w:szCs w:val="32"/>
        </w:rPr>
        <w:t>镇人民政府</w:t>
      </w:r>
      <w:r>
        <w:rPr>
          <w:rFonts w:hint="eastAsia" w:ascii="仿宋_GB2312" w:hAnsi="仿宋_GB2312" w:eastAsia="仿宋_GB2312" w:cs="仿宋_GB2312"/>
          <w:color w:val="auto"/>
          <w:sz w:val="32"/>
          <w:szCs w:val="32"/>
          <w:lang w:eastAsia="zh-CN"/>
        </w:rPr>
        <w:t>截止</w:t>
      </w:r>
      <w:r>
        <w:rPr>
          <w:rFonts w:hint="eastAsia" w:ascii="仿宋_GB2312" w:hAnsi="仿宋_GB2312" w:eastAsia="仿宋_GB2312" w:cs="仿宋_GB2312"/>
          <w:color w:val="auto"/>
          <w:sz w:val="32"/>
          <w:szCs w:val="32"/>
          <w:lang w:val="en-US" w:eastAsia="zh-CN"/>
        </w:rPr>
        <w:t>12月31日，实际支出922.13万元，执行率100%。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kern w:val="0"/>
          <w:sz w:val="32"/>
          <w:szCs w:val="32"/>
          <w:highlight w:val="none"/>
          <w:lang w:val="en-US" w:eastAsia="zh-CN" w:bidi="ar-SA"/>
        </w:rPr>
        <w:t>（6）预算完成情况。</w:t>
      </w:r>
      <w:r>
        <w:rPr>
          <w:rFonts w:hint="eastAsia" w:ascii="仿宋_GB2312" w:hAnsi="仿宋_GB2312" w:eastAsia="仿宋_GB2312" w:cs="仿宋_GB2312"/>
          <w:color w:val="auto"/>
          <w:sz w:val="32"/>
          <w:szCs w:val="32"/>
          <w:lang w:eastAsia="zh-CN"/>
        </w:rPr>
        <w:t>截止</w:t>
      </w:r>
      <w:r>
        <w:rPr>
          <w:rFonts w:hint="eastAsia" w:ascii="仿宋_GB2312" w:hAnsi="仿宋_GB2312" w:eastAsia="仿宋_GB2312" w:cs="仿宋_GB2312"/>
          <w:color w:val="auto"/>
          <w:sz w:val="32"/>
          <w:szCs w:val="32"/>
          <w:lang w:val="en-US" w:eastAsia="zh-CN"/>
        </w:rPr>
        <w:t>2022年12月31日，磨滩</w:t>
      </w:r>
      <w:r>
        <w:rPr>
          <w:rFonts w:hint="eastAsia" w:ascii="仿宋_GB2312" w:hAnsi="仿宋_GB2312" w:eastAsia="仿宋_GB2312" w:cs="仿宋_GB2312"/>
          <w:color w:val="auto"/>
          <w:sz w:val="32"/>
          <w:szCs w:val="32"/>
        </w:rPr>
        <w:t>镇人民政府202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全年</w:t>
      </w:r>
      <w:r>
        <w:rPr>
          <w:rFonts w:hint="eastAsia" w:ascii="仿宋_GB2312" w:hAnsi="仿宋_GB2312" w:eastAsia="仿宋_GB2312" w:cs="仿宋_GB2312"/>
          <w:color w:val="auto"/>
          <w:sz w:val="32"/>
          <w:szCs w:val="32"/>
        </w:rPr>
        <w:t>预算</w:t>
      </w:r>
      <w:r>
        <w:rPr>
          <w:rFonts w:hint="eastAsia" w:ascii="仿宋_GB2312" w:hAnsi="仿宋_GB2312" w:eastAsia="仿宋_GB2312" w:cs="仿宋_GB2312"/>
          <w:color w:val="auto"/>
          <w:sz w:val="32"/>
          <w:szCs w:val="32"/>
          <w:lang w:eastAsia="zh-CN"/>
        </w:rPr>
        <w:t>人员类资金支出</w:t>
      </w:r>
      <w:r>
        <w:rPr>
          <w:rFonts w:hint="eastAsia" w:ascii="仿宋_GB2312" w:hAnsi="仿宋_GB2312" w:eastAsia="仿宋_GB2312" w:cs="仿宋_GB2312"/>
          <w:color w:val="auto"/>
          <w:sz w:val="32"/>
          <w:szCs w:val="32"/>
          <w:lang w:val="en-US" w:eastAsia="zh-CN"/>
        </w:rPr>
        <w:t>922.13万元</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全年实际执行数</w:t>
      </w:r>
      <w:r>
        <w:rPr>
          <w:rFonts w:hint="eastAsia" w:ascii="仿宋_GB2312" w:hAnsi="仿宋_GB2312" w:eastAsia="仿宋_GB2312" w:cs="仿宋_GB2312"/>
          <w:color w:val="auto"/>
          <w:sz w:val="32"/>
          <w:szCs w:val="32"/>
          <w:lang w:val="en-US" w:eastAsia="zh-CN"/>
        </w:rPr>
        <w:t>922.13万元，执行率100%。</w:t>
      </w:r>
    </w:p>
    <w:p>
      <w:pPr>
        <w:keepNext w:val="0"/>
        <w:keepLines w:val="0"/>
        <w:pageBreakBefore w:val="0"/>
        <w:kinsoku/>
        <w:wordWrap/>
        <w:overflowPunct/>
        <w:topLinePunct w:val="0"/>
        <w:autoSpaceDE/>
        <w:bidi w:val="0"/>
        <w:adjustRightInd/>
        <w:spacing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bidi="ar-SA"/>
        </w:rPr>
        <w:t>（7）资金结余率（低效无效率）。</w:t>
      </w:r>
      <w:r>
        <w:rPr>
          <w:rFonts w:hint="eastAsia" w:ascii="仿宋_GB2312" w:hAnsi="仿宋_GB2312" w:eastAsia="仿宋_GB2312" w:cs="仿宋_GB2312"/>
          <w:color w:val="auto"/>
          <w:sz w:val="32"/>
          <w:szCs w:val="32"/>
          <w:highlight w:val="none"/>
          <w:lang w:val="en-US" w:eastAsia="zh-CN"/>
        </w:rPr>
        <w:t>2022年磨滩镇无人员类结余资金。</w:t>
      </w:r>
    </w:p>
    <w:p>
      <w:pPr>
        <w:keepNext w:val="0"/>
        <w:keepLines w:val="0"/>
        <w:pageBreakBefore w:val="0"/>
        <w:kinsoku/>
        <w:wordWrap/>
        <w:overflowPunct/>
        <w:topLinePunct w:val="0"/>
        <w:autoSpaceDE/>
        <w:bidi w:val="0"/>
        <w:adjustRightIn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kern w:val="0"/>
          <w:sz w:val="32"/>
          <w:szCs w:val="32"/>
          <w:highlight w:val="none"/>
          <w:lang w:val="en-US" w:eastAsia="zh-CN" w:bidi="ar-SA"/>
        </w:rPr>
        <w:t>（8）违规记录。2022年度我单位未收到</w:t>
      </w:r>
      <w:r>
        <w:rPr>
          <w:rFonts w:hint="eastAsia" w:ascii="仿宋_GB2312" w:hAnsi="仿宋_GB2312" w:eastAsia="仿宋_GB2312" w:cs="仿宋_GB2312"/>
          <w:color w:val="auto"/>
          <w:kern w:val="0"/>
          <w:sz w:val="32"/>
          <w:szCs w:val="32"/>
          <w:highlight w:val="none"/>
          <w:lang w:val="zh-CN" w:eastAsia="zh-CN" w:bidi="ar-SA"/>
        </w:rPr>
        <w:t>审计监督、财政检查反映单位上一年度部门预算管理不合规的情况，</w:t>
      </w:r>
      <w:r>
        <w:rPr>
          <w:rFonts w:hint="eastAsia" w:ascii="仿宋_GB2312" w:hAnsi="仿宋_GB2312" w:eastAsia="仿宋_GB2312" w:cs="仿宋_GB2312"/>
          <w:color w:val="auto"/>
          <w:kern w:val="0"/>
          <w:sz w:val="32"/>
          <w:szCs w:val="32"/>
          <w:highlight w:val="none"/>
          <w:lang w:val="en-US" w:eastAsia="zh-CN" w:bidi="ar-SA"/>
        </w:rPr>
        <w:t>未发现部门预算管理方面违纪违规问题。</w:t>
      </w:r>
    </w:p>
    <w:p>
      <w:pPr>
        <w:keepNext w:val="0"/>
        <w:keepLines w:val="0"/>
        <w:pageBreakBefore w:val="0"/>
        <w:kinsoku/>
        <w:wordWrap/>
        <w:overflowPunct/>
        <w:topLinePunct w:val="0"/>
        <w:bidi w:val="0"/>
        <w:spacing w:line="560" w:lineRule="exact"/>
        <w:ind w:firstLine="640" w:firstLineChars="200"/>
        <w:textAlignment w:val="auto"/>
        <w:rPr>
          <w:rFonts w:hint="eastAsia" w:ascii="楷体" w:hAnsi="楷体" w:eastAsia="楷体" w:cs="楷体"/>
          <w:color w:val="auto"/>
          <w:kern w:val="0"/>
          <w:sz w:val="32"/>
          <w:szCs w:val="32"/>
          <w:highlight w:val="none"/>
          <w:lang w:val="en-US" w:eastAsia="zh-CN" w:bidi="ar-SA"/>
        </w:rPr>
      </w:pPr>
      <w:r>
        <w:rPr>
          <w:rFonts w:hint="eastAsia" w:ascii="楷体" w:hAnsi="楷体" w:eastAsia="楷体" w:cs="楷体"/>
          <w:color w:val="auto"/>
          <w:kern w:val="0"/>
          <w:sz w:val="32"/>
          <w:szCs w:val="32"/>
          <w:highlight w:val="none"/>
          <w:lang w:val="en-US" w:eastAsia="zh-CN" w:bidi="ar-SA"/>
        </w:rPr>
        <w:t>2.运转类项目绩效分析</w:t>
      </w:r>
    </w:p>
    <w:p>
      <w:pPr>
        <w:keepNext w:val="0"/>
        <w:keepLines w:val="0"/>
        <w:pageBreakBefore w:val="0"/>
        <w:kinsoku/>
        <w:wordWrap/>
        <w:overflowPunct/>
        <w:topLinePunct w:val="0"/>
        <w:autoSpaceDE/>
        <w:bidi w:val="0"/>
        <w:adjustRightInd/>
        <w:spacing w:line="560" w:lineRule="exact"/>
        <w:ind w:left="0" w:leftChars="0" w:firstLine="640" w:firstLineChars="200"/>
        <w:jc w:val="both"/>
        <w:textAlignment w:val="auto"/>
        <w:rPr>
          <w:rFonts w:hint="default"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（1）目标制定。年初高标准、高质量完成了</w:t>
      </w:r>
      <w:r>
        <w:rPr>
          <w:rFonts w:hint="eastAsia" w:ascii="仿宋_GB2312" w:hAnsi="Calibri" w:eastAsia="仿宋_GB2312" w:cs="仿宋"/>
          <w:color w:val="auto"/>
          <w:kern w:val="0"/>
          <w:sz w:val="32"/>
          <w:szCs w:val="32"/>
          <w:highlight w:val="none"/>
          <w:lang w:val="zh-CN" w:eastAsia="zh-CN" w:bidi="ar-SA"/>
        </w:rPr>
        <w:t>绩效目标制定</w:t>
      </w:r>
      <w:r>
        <w:rPr>
          <w:rFonts w:hint="eastAsia" w:ascii="仿宋_GB2312" w:hAnsi="Calibri" w:eastAsia="仿宋_GB2312" w:cs="仿宋"/>
          <w:color w:val="auto"/>
          <w:kern w:val="0"/>
          <w:sz w:val="32"/>
          <w:szCs w:val="32"/>
          <w:highlight w:val="none"/>
          <w:lang w:val="en-US" w:eastAsia="zh-CN" w:bidi="ar-SA"/>
        </w:rPr>
        <w:t>，做到了</w:t>
      </w:r>
      <w:r>
        <w:rPr>
          <w:rFonts w:hint="eastAsia" w:ascii="仿宋_GB2312" w:hAnsi="Calibri" w:eastAsia="仿宋_GB2312" w:cs="仿宋"/>
          <w:color w:val="auto"/>
          <w:kern w:val="0"/>
          <w:sz w:val="32"/>
          <w:szCs w:val="32"/>
          <w:highlight w:val="none"/>
          <w:lang w:val="zh-CN" w:eastAsia="zh-CN" w:bidi="ar-SA"/>
        </w:rPr>
        <w:t>绩效目标制定</w:t>
      </w:r>
      <w:r>
        <w:rPr>
          <w:rFonts w:hint="eastAsia" w:ascii="仿宋_GB2312" w:hAnsi="Calibri" w:eastAsia="仿宋_GB2312" w:cs="仿宋"/>
          <w:color w:val="auto"/>
          <w:kern w:val="0"/>
          <w:sz w:val="32"/>
          <w:szCs w:val="32"/>
          <w:highlight w:val="none"/>
          <w:lang w:val="en-US" w:eastAsia="zh-CN" w:bidi="ar-SA"/>
        </w:rPr>
        <w:t>规范、完整无漏项，项目名称、绩效指标、项目内容说明等符合规范。</w:t>
      </w:r>
      <w:r>
        <w:rPr>
          <w:rFonts w:hint="default" w:ascii="仿宋_GB2312" w:hAnsi="Calibri" w:eastAsia="仿宋_GB2312" w:cs="仿宋"/>
          <w:color w:val="auto"/>
          <w:kern w:val="0"/>
          <w:sz w:val="32"/>
          <w:szCs w:val="32"/>
          <w:highlight w:val="none"/>
          <w:lang w:val="en-US" w:eastAsia="zh-CN" w:bidi="ar-SA"/>
        </w:rPr>
        <w:t>细化量化</w:t>
      </w:r>
      <w:r>
        <w:rPr>
          <w:rFonts w:hint="eastAsia" w:ascii="仿宋_GB2312" w:hAnsi="Calibri" w:eastAsia="仿宋_GB2312" w:cs="仿宋"/>
          <w:color w:val="auto"/>
          <w:kern w:val="0"/>
          <w:sz w:val="32"/>
          <w:szCs w:val="32"/>
          <w:highlight w:val="none"/>
          <w:lang w:val="en-US" w:eastAsia="zh-CN" w:bidi="ar-SA"/>
        </w:rPr>
        <w:t>了产出</w:t>
      </w:r>
      <w:r>
        <w:rPr>
          <w:rFonts w:hint="default" w:ascii="仿宋_GB2312" w:hAnsi="Calibri" w:eastAsia="仿宋_GB2312" w:cs="仿宋"/>
          <w:color w:val="auto"/>
          <w:kern w:val="0"/>
          <w:sz w:val="32"/>
          <w:szCs w:val="32"/>
          <w:highlight w:val="none"/>
          <w:lang w:val="en-US" w:eastAsia="zh-CN" w:bidi="ar-SA"/>
        </w:rPr>
        <w:t>指标、效益指标等，反映了相应项目工作任务</w:t>
      </w:r>
      <w:r>
        <w:rPr>
          <w:rFonts w:hint="eastAsia" w:ascii="仿宋_GB2312" w:hAnsi="Calibri" w:eastAsia="仿宋_GB2312" w:cs="仿宋"/>
          <w:color w:val="auto"/>
          <w:kern w:val="0"/>
          <w:sz w:val="32"/>
          <w:szCs w:val="32"/>
          <w:highlight w:val="none"/>
          <w:lang w:val="en-US" w:eastAsia="zh-CN" w:bidi="ar-SA"/>
        </w:rPr>
        <w:t>及</w:t>
      </w:r>
      <w:r>
        <w:rPr>
          <w:rFonts w:hint="default" w:ascii="仿宋_GB2312" w:hAnsi="Calibri" w:eastAsia="仿宋_GB2312" w:cs="仿宋"/>
          <w:color w:val="auto"/>
          <w:kern w:val="0"/>
          <w:sz w:val="32"/>
          <w:szCs w:val="32"/>
          <w:highlight w:val="none"/>
          <w:lang w:val="en-US" w:eastAsia="zh-CN" w:bidi="ar-SA"/>
        </w:rPr>
        <w:t>效果</w:t>
      </w:r>
      <w:r>
        <w:rPr>
          <w:rFonts w:hint="eastAsia" w:ascii="仿宋_GB2312" w:hAnsi="Calibri" w:eastAsia="仿宋_GB2312" w:cs="仿宋"/>
          <w:color w:val="auto"/>
          <w:kern w:val="0"/>
          <w:sz w:val="32"/>
          <w:szCs w:val="32"/>
          <w:highlight w:val="none"/>
          <w:lang w:val="en-US" w:eastAsia="zh-CN" w:bidi="ar-SA"/>
        </w:rPr>
        <w:t>。</w:t>
      </w:r>
    </w:p>
    <w:p>
      <w:pPr>
        <w:keepNext w:val="0"/>
        <w:keepLines w:val="0"/>
        <w:pageBreakBefore w:val="0"/>
        <w:kinsoku/>
        <w:wordWrap/>
        <w:overflowPunct/>
        <w:topLinePunct w:val="0"/>
        <w:autoSpaceDE/>
        <w:bidi w:val="0"/>
        <w:adjustRightInd/>
        <w:spacing w:line="560"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（2）目标实现</w:t>
      </w:r>
      <w:r>
        <w:rPr>
          <w:rFonts w:hint="eastAsia" w:hAnsi="Calibri" w:eastAsia="仿宋_GB2312" w:cs="仿宋"/>
          <w:color w:val="auto"/>
          <w:kern w:val="0"/>
          <w:sz w:val="32"/>
          <w:szCs w:val="32"/>
          <w:highlight w:val="none"/>
          <w:lang w:val="en-US" w:eastAsia="zh-CN" w:bidi="ar-SA"/>
        </w:rPr>
        <w:t>。</w:t>
      </w:r>
      <w:r>
        <w:rPr>
          <w:rFonts w:hint="eastAsia" w:ascii="仿宋_GB2312" w:hAnsi="Calibri" w:eastAsia="仿宋_GB2312" w:cs="仿宋"/>
          <w:color w:val="auto"/>
          <w:kern w:val="0"/>
          <w:sz w:val="32"/>
          <w:szCs w:val="32"/>
          <w:highlight w:val="none"/>
          <w:lang w:val="en-US" w:eastAsia="zh-CN" w:bidi="ar-SA"/>
        </w:rPr>
        <w:t>2022年运转类项目共157.59万元，主要包括单位定额公用经费157.59万元等等。2022年公用经费主要用于办公费、印刷费、水电费、维修费、公务接待费支出等，年初制定的运转保障率、预算准确率、科目调整次数等指标均完成，总体完成较好，基本实现了预期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（3）支出控制。</w:t>
      </w:r>
      <w:r>
        <w:rPr>
          <w:rFonts w:hint="eastAsia" w:ascii="仿宋_GB2312" w:hAnsi="仿宋_GB2312" w:eastAsia="仿宋_GB2312" w:cs="仿宋_GB2312"/>
          <w:color w:val="auto"/>
          <w:sz w:val="32"/>
          <w:szCs w:val="32"/>
          <w:lang w:val="en-US" w:eastAsia="zh-CN"/>
        </w:rPr>
        <w:t>2022年磨滩镇人民政府预算日常公用经费</w:t>
      </w:r>
      <w:r>
        <w:rPr>
          <w:rFonts w:hint="eastAsia" w:ascii="仿宋_GB2312" w:hAnsi="仿宋_GB2312" w:eastAsia="仿宋_GB2312" w:cs="仿宋_GB2312"/>
          <w:color w:val="auto"/>
          <w:sz w:val="32"/>
          <w:szCs w:val="32"/>
          <w:highlight w:val="none"/>
          <w:lang w:val="en-US" w:eastAsia="zh-CN"/>
        </w:rPr>
        <w:t>157.59万</w:t>
      </w:r>
      <w:r>
        <w:rPr>
          <w:rFonts w:hint="eastAsia" w:ascii="仿宋_GB2312" w:hAnsi="仿宋_GB2312" w:eastAsia="仿宋_GB2312" w:cs="仿宋_GB2312"/>
          <w:color w:val="auto"/>
          <w:sz w:val="32"/>
          <w:szCs w:val="32"/>
          <w:lang w:val="en-US" w:eastAsia="zh-CN"/>
        </w:rPr>
        <w:t>元。全年执行数：办公费36.69万元、印刷费1万元、水费0.8万元、电费4万元、邮电费3万元、差旅费57.6万元、公务接待费7.2万元、工会经费9.3万元、其他交通费25.72万元、其他商品和服务费10.29万元等等，支出占比100%，本单位本年度严格按照预算数执行。</w:t>
      </w:r>
    </w:p>
    <w:p>
      <w:pPr>
        <w:keepNext w:val="0"/>
        <w:keepLines w:val="0"/>
        <w:pageBreakBefore w:val="0"/>
        <w:kinsoku/>
        <w:wordWrap/>
        <w:overflowPunct/>
        <w:topLinePunct w:val="0"/>
        <w:autoSpaceDE/>
        <w:bidi w:val="0"/>
        <w:adjustRightInd/>
        <w:spacing w:line="560"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zh-CN" w:eastAsia="zh-CN" w:bidi="ar-SA"/>
        </w:rPr>
      </w:pPr>
      <w:r>
        <w:rPr>
          <w:rFonts w:hint="eastAsia" w:ascii="仿宋_GB2312" w:hAnsi="Calibri" w:eastAsia="仿宋_GB2312" w:cs="仿宋"/>
          <w:color w:val="auto"/>
          <w:kern w:val="0"/>
          <w:sz w:val="32"/>
          <w:szCs w:val="32"/>
          <w:highlight w:val="none"/>
          <w:lang w:val="en-US" w:eastAsia="zh-CN" w:bidi="ar-SA"/>
        </w:rPr>
        <w:t>（4）及时处置。按照《广元市昭化区预算绩效事中运行监控管理暂行办法》（昭府办函〔2022〕37号）的要求，按时完成预算绩效运行监控，将绩效监控结果应用到预算调整，合理安排</w:t>
      </w:r>
      <w:r>
        <w:rPr>
          <w:rFonts w:hint="default" w:ascii="仿宋_GB2312" w:hAnsi="Calibri" w:eastAsia="仿宋_GB2312" w:cs="仿宋"/>
          <w:color w:val="auto"/>
          <w:kern w:val="0"/>
          <w:sz w:val="32"/>
          <w:szCs w:val="32"/>
          <w:highlight w:val="none"/>
          <w:lang w:val="en-US" w:eastAsia="zh-CN" w:bidi="ar-SA"/>
        </w:rPr>
        <w:t>预算执行进度，提高资金使用绩效</w:t>
      </w:r>
      <w:r>
        <w:rPr>
          <w:rFonts w:hint="eastAsia" w:ascii="仿宋_GB2312" w:hAnsi="Calibri" w:eastAsia="仿宋_GB2312" w:cs="仿宋"/>
          <w:color w:val="auto"/>
          <w:kern w:val="0"/>
          <w:sz w:val="32"/>
          <w:szCs w:val="32"/>
          <w:highlight w:val="none"/>
          <w:lang w:val="en-US" w:eastAsia="zh-CN" w:bidi="ar-SA"/>
        </w:rPr>
        <w:t>。2022年没有调整</w:t>
      </w:r>
      <w:r>
        <w:rPr>
          <w:rFonts w:hint="eastAsia" w:ascii="仿宋_GB2312" w:hAnsi="Calibri" w:eastAsia="仿宋_GB2312" w:cs="仿宋"/>
          <w:color w:val="auto"/>
          <w:kern w:val="0"/>
          <w:sz w:val="32"/>
          <w:szCs w:val="32"/>
          <w:highlight w:val="none"/>
          <w:lang w:val="zh-CN" w:eastAsia="zh-CN" w:bidi="ar-SA"/>
        </w:rPr>
        <w:t>绩效监控调整取消额和结余注销额。</w:t>
      </w:r>
    </w:p>
    <w:p>
      <w:pPr>
        <w:keepNext w:val="0"/>
        <w:keepLines w:val="0"/>
        <w:pageBreakBefore w:val="0"/>
        <w:kinsoku/>
        <w:wordWrap/>
        <w:overflowPunct/>
        <w:topLinePunct w:val="0"/>
        <w:autoSpaceDE/>
        <w:bidi w:val="0"/>
        <w:adjustRightInd/>
        <w:spacing w:line="560" w:lineRule="exact"/>
        <w:ind w:left="0" w:leftChars="0" w:firstLine="640" w:firstLineChars="200"/>
        <w:jc w:val="both"/>
        <w:textAlignment w:val="auto"/>
        <w:rPr>
          <w:rFonts w:hint="default"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（5）执行进度。</w:t>
      </w:r>
      <w:r>
        <w:rPr>
          <w:rFonts w:hint="eastAsia" w:ascii="仿宋_GB2312" w:hAnsi="Calibri" w:eastAsia="仿宋_GB2312" w:cs="仿宋"/>
          <w:color w:val="auto"/>
          <w:kern w:val="0"/>
          <w:sz w:val="32"/>
          <w:szCs w:val="32"/>
          <w:highlight w:val="none"/>
          <w:lang w:val="zh-CN" w:eastAsia="zh-CN" w:bidi="ar-SA"/>
        </w:rPr>
        <w:t>部门预算资金在财政资金下拨后及时支出，</w:t>
      </w:r>
      <w:r>
        <w:rPr>
          <w:rFonts w:hint="eastAsia" w:ascii="仿宋_GB2312" w:hAnsi="仿宋_GB2312" w:eastAsia="仿宋_GB2312" w:cs="仿宋_GB2312"/>
          <w:color w:val="auto"/>
          <w:sz w:val="32"/>
          <w:szCs w:val="32"/>
          <w:highlight w:val="none"/>
          <w:lang w:val="en-US" w:eastAsia="zh-CN"/>
        </w:rPr>
        <w:t>截止12月31日，实际支出157.59万元，执行率100%。</w:t>
      </w:r>
    </w:p>
    <w:p>
      <w:pPr>
        <w:keepNext w:val="0"/>
        <w:keepLines w:val="0"/>
        <w:pageBreakBefore w:val="0"/>
        <w:kinsoku/>
        <w:wordWrap/>
        <w:overflowPunct/>
        <w:topLinePunct w:val="0"/>
        <w:autoSpaceDE/>
        <w:bidi w:val="0"/>
        <w:adjustRightInd/>
        <w:spacing w:line="560" w:lineRule="exact"/>
        <w:ind w:left="0" w:leftChars="0" w:firstLine="640" w:firstLineChars="200"/>
        <w:jc w:val="both"/>
        <w:textAlignment w:val="auto"/>
        <w:rPr>
          <w:rFonts w:hint="default"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（6）预算完成情况。截止12月31日，磨滩镇2022年运转类项目预算金额</w:t>
      </w:r>
      <w:r>
        <w:rPr>
          <w:rFonts w:hint="eastAsia" w:ascii="仿宋_GB2312" w:hAnsi="仿宋_GB2312" w:eastAsia="仿宋_GB2312" w:cs="仿宋_GB2312"/>
          <w:color w:val="auto"/>
          <w:sz w:val="32"/>
          <w:szCs w:val="32"/>
          <w:highlight w:val="none"/>
          <w:lang w:val="en-US" w:eastAsia="zh-CN"/>
        </w:rPr>
        <w:t>157.59</w:t>
      </w:r>
      <w:r>
        <w:rPr>
          <w:rFonts w:hint="eastAsia" w:ascii="仿宋_GB2312" w:hAnsi="Calibri" w:eastAsia="仿宋_GB2312" w:cs="仿宋"/>
          <w:color w:val="auto"/>
          <w:kern w:val="0"/>
          <w:sz w:val="32"/>
          <w:szCs w:val="32"/>
          <w:highlight w:val="none"/>
          <w:lang w:val="en-US" w:eastAsia="zh-CN" w:bidi="ar-SA"/>
        </w:rPr>
        <w:t>万元，全年实际执行数</w:t>
      </w:r>
      <w:r>
        <w:rPr>
          <w:rFonts w:hint="eastAsia" w:ascii="仿宋_GB2312" w:hAnsi="仿宋_GB2312" w:eastAsia="仿宋_GB2312" w:cs="仿宋_GB2312"/>
          <w:color w:val="auto"/>
          <w:sz w:val="32"/>
          <w:szCs w:val="32"/>
          <w:highlight w:val="none"/>
          <w:lang w:val="en-US" w:eastAsia="zh-CN"/>
        </w:rPr>
        <w:t>157.59</w:t>
      </w:r>
      <w:r>
        <w:rPr>
          <w:rFonts w:hint="eastAsia" w:ascii="仿宋_GB2312" w:hAnsi="Calibri" w:eastAsia="仿宋_GB2312" w:cs="仿宋"/>
          <w:color w:val="auto"/>
          <w:kern w:val="0"/>
          <w:sz w:val="32"/>
          <w:szCs w:val="32"/>
          <w:highlight w:val="none"/>
          <w:lang w:val="en-US" w:eastAsia="zh-CN" w:bidi="ar-SA"/>
        </w:rPr>
        <w:t>万元，执行率100%。</w:t>
      </w:r>
    </w:p>
    <w:p>
      <w:pPr>
        <w:keepNext w:val="0"/>
        <w:keepLines w:val="0"/>
        <w:pageBreakBefore w:val="0"/>
        <w:kinsoku/>
        <w:wordWrap/>
        <w:overflowPunct/>
        <w:topLinePunct w:val="0"/>
        <w:autoSpaceDE/>
        <w:bidi w:val="0"/>
        <w:adjustRightInd/>
        <w:spacing w:line="560" w:lineRule="exact"/>
        <w:ind w:left="0" w:leftChars="0" w:firstLine="640" w:firstLineChars="200"/>
        <w:jc w:val="both"/>
        <w:textAlignment w:val="auto"/>
        <w:rPr>
          <w:rFonts w:hint="default"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（7）资金结余率（低效无效率）。</w:t>
      </w:r>
      <w:r>
        <w:rPr>
          <w:rFonts w:hint="eastAsia" w:ascii="仿宋_GB2312" w:hAnsi="仿宋_GB2312" w:eastAsia="仿宋_GB2312" w:cs="仿宋_GB2312"/>
          <w:color w:val="auto"/>
          <w:sz w:val="32"/>
          <w:szCs w:val="32"/>
          <w:highlight w:val="none"/>
          <w:lang w:val="en-US" w:eastAsia="zh-CN"/>
        </w:rPr>
        <w:t>2022年磨滩镇运转类无结余资金</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sz w:val="32"/>
          <w:szCs w:val="32"/>
          <w:highlight w:val="none"/>
          <w:lang w:val="en-US" w:eastAsia="zh-CN"/>
        </w:rPr>
      </w:pPr>
      <w:r>
        <w:rPr>
          <w:rFonts w:hint="eastAsia" w:ascii="仿宋_GB2312" w:hAnsi="Calibri" w:eastAsia="仿宋_GB2312" w:cs="仿宋"/>
          <w:color w:val="auto"/>
          <w:kern w:val="0"/>
          <w:sz w:val="32"/>
          <w:szCs w:val="32"/>
          <w:highlight w:val="none"/>
          <w:lang w:val="en-US" w:eastAsia="zh-CN" w:bidi="ar-SA"/>
        </w:rPr>
        <w:t>（8）违规记录。2022年度我单位未收到</w:t>
      </w:r>
      <w:r>
        <w:rPr>
          <w:rFonts w:hint="eastAsia" w:ascii="仿宋_GB2312" w:hAnsi="Calibri" w:eastAsia="仿宋_GB2312" w:cs="仿宋"/>
          <w:color w:val="auto"/>
          <w:kern w:val="0"/>
          <w:sz w:val="32"/>
          <w:szCs w:val="32"/>
          <w:highlight w:val="none"/>
          <w:lang w:val="zh-CN" w:eastAsia="zh-CN" w:bidi="ar-SA"/>
        </w:rPr>
        <w:t>审计监督、财政检查反映单位上一年度部门预算管理不合规的情况，</w:t>
      </w:r>
      <w:r>
        <w:rPr>
          <w:rFonts w:hint="eastAsia" w:ascii="仿宋_GB2312" w:hAnsi="Calibri" w:eastAsia="仿宋_GB2312" w:cs="仿宋"/>
          <w:color w:val="auto"/>
          <w:kern w:val="0"/>
          <w:sz w:val="32"/>
          <w:szCs w:val="32"/>
          <w:highlight w:val="none"/>
          <w:lang w:val="en-US" w:eastAsia="zh-CN" w:bidi="ar-SA"/>
        </w:rPr>
        <w:t>未发现部门预算管理方面违纪违规问题。</w:t>
      </w:r>
    </w:p>
    <w:p>
      <w:pPr>
        <w:pStyle w:val="14"/>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highlight w:val="none"/>
          <w:lang w:val="en-US" w:eastAsia="zh-CN"/>
        </w:rPr>
      </w:pPr>
      <w:r>
        <w:rPr>
          <w:rFonts w:hint="eastAsia" w:ascii="楷体" w:hAnsi="楷体" w:eastAsia="楷体" w:cs="楷体"/>
          <w:color w:val="auto"/>
          <w:kern w:val="0"/>
          <w:sz w:val="32"/>
          <w:szCs w:val="32"/>
          <w:highlight w:val="none"/>
          <w:lang w:val="en-US" w:eastAsia="zh-CN" w:bidi="ar-SA"/>
        </w:rPr>
        <w:t>3.特定目标类项目绩效分析</w:t>
      </w:r>
    </w:p>
    <w:p>
      <w:pPr>
        <w:keepNext w:val="0"/>
        <w:keepLines w:val="0"/>
        <w:pageBreakBefore w:val="0"/>
        <w:kinsoku/>
        <w:wordWrap/>
        <w:overflowPunct/>
        <w:topLinePunct w:val="0"/>
        <w:autoSpaceDE/>
        <w:bidi w:val="0"/>
        <w:adjustRightInd/>
        <w:spacing w:line="560" w:lineRule="exact"/>
        <w:ind w:left="0" w:lef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（1）目标制定。年初严格按照人员情况完成了</w:t>
      </w:r>
      <w:r>
        <w:rPr>
          <w:rFonts w:hint="eastAsia" w:ascii="仿宋_GB2312" w:hAnsi="仿宋_GB2312" w:eastAsia="仿宋_GB2312" w:cs="仿宋_GB2312"/>
          <w:color w:val="auto"/>
          <w:kern w:val="0"/>
          <w:sz w:val="32"/>
          <w:szCs w:val="32"/>
          <w:highlight w:val="none"/>
          <w:lang w:val="zh-CN" w:eastAsia="zh-CN" w:bidi="ar-SA"/>
        </w:rPr>
        <w:t>绩效目标制定</w:t>
      </w:r>
      <w:r>
        <w:rPr>
          <w:rFonts w:hint="eastAsia" w:ascii="仿宋_GB2312" w:hAnsi="仿宋_GB2312" w:eastAsia="仿宋_GB2312" w:cs="仿宋_GB2312"/>
          <w:color w:val="auto"/>
          <w:kern w:val="0"/>
          <w:sz w:val="32"/>
          <w:szCs w:val="32"/>
          <w:highlight w:val="none"/>
          <w:lang w:val="en-US" w:eastAsia="zh-CN" w:bidi="ar-SA"/>
        </w:rPr>
        <w:t>，做到了</w:t>
      </w:r>
      <w:r>
        <w:rPr>
          <w:rFonts w:hint="eastAsia" w:ascii="仿宋_GB2312" w:hAnsi="仿宋_GB2312" w:eastAsia="仿宋_GB2312" w:cs="仿宋_GB2312"/>
          <w:color w:val="auto"/>
          <w:kern w:val="0"/>
          <w:sz w:val="32"/>
          <w:szCs w:val="32"/>
          <w:highlight w:val="none"/>
          <w:lang w:val="zh-CN" w:eastAsia="zh-CN" w:bidi="ar-SA"/>
        </w:rPr>
        <w:t>绩效目标制定</w:t>
      </w:r>
      <w:r>
        <w:rPr>
          <w:rFonts w:hint="eastAsia" w:ascii="仿宋_GB2312" w:hAnsi="仿宋_GB2312" w:eastAsia="仿宋_GB2312" w:cs="仿宋_GB2312"/>
          <w:color w:val="auto"/>
          <w:kern w:val="0"/>
          <w:sz w:val="32"/>
          <w:szCs w:val="32"/>
          <w:highlight w:val="none"/>
          <w:lang w:val="en-US" w:eastAsia="zh-CN" w:bidi="ar-SA"/>
        </w:rPr>
        <w:t>规范、完整无漏项，名称、绩效指标、内容说明等符合规范。细化量化了产出指标和效益指标等，反映了相应项目工作任务及效果。</w:t>
      </w:r>
    </w:p>
    <w:p>
      <w:pPr>
        <w:keepNext w:val="0"/>
        <w:keepLines w:val="0"/>
        <w:pageBreakBefore w:val="0"/>
        <w:kinsoku/>
        <w:wordWrap/>
        <w:overflowPunct/>
        <w:topLinePunct w:val="0"/>
        <w:autoSpaceDE/>
        <w:bidi w:val="0"/>
        <w:adjustRightInd/>
        <w:spacing w:line="560" w:lineRule="exact"/>
        <w:ind w:left="0" w:lef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2）目标实现。2022年特定类项目共118.18万元。主要包括2022年烟叶发展资金61.18万元、基层组织活动与公共服务运行经费57万元等等。年初制定的运转保障率、预算准确率、科目调整次数等指标均完成，总体完成较好，基本实现了预期目标。</w:t>
      </w:r>
    </w:p>
    <w:p>
      <w:pPr>
        <w:keepNext w:val="0"/>
        <w:keepLines w:val="0"/>
        <w:pageBreakBefore w:val="0"/>
        <w:kinsoku/>
        <w:wordWrap/>
        <w:overflowPunct/>
        <w:topLinePunct w:val="0"/>
        <w:autoSpaceDE/>
        <w:bidi w:val="0"/>
        <w:adjustRightInd/>
        <w:spacing w:line="560" w:lineRule="exact"/>
        <w:ind w:left="0" w:lef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（3）支出控制。磨滩镇2022年特定类项目资金支出69.76万元，主要包括其他巩固脱贫衔接乡村振兴支出18.55万元、对村民委员会和村党支部的补助51.21万元。支出69.76万元，</w:t>
      </w:r>
      <w:r>
        <w:rPr>
          <w:rFonts w:hint="eastAsia" w:ascii="仿宋_GB2312" w:hAnsi="仿宋_GB2312" w:eastAsia="仿宋_GB2312" w:cs="仿宋_GB2312"/>
          <w:color w:val="auto"/>
          <w:sz w:val="32"/>
          <w:szCs w:val="32"/>
          <w:lang w:val="en-US" w:eastAsia="zh-CN"/>
        </w:rPr>
        <w:t>支出占比59%（</w:t>
      </w:r>
      <w:r>
        <w:rPr>
          <w:rFonts w:hint="eastAsia" w:ascii="仿宋_GB2312" w:hAnsi="仿宋_GB2312" w:eastAsia="仿宋_GB2312" w:cs="仿宋_GB2312"/>
          <w:sz w:val="32"/>
          <w:szCs w:val="32"/>
          <w:lang w:val="en-US" w:eastAsia="zh-CN"/>
        </w:rPr>
        <w:t>由于项目特殊性，剩余于2023年度支付</w:t>
      </w:r>
      <w:r>
        <w:rPr>
          <w:rFonts w:hint="eastAsia" w:ascii="仿宋_GB2312" w:hAnsi="仿宋_GB2312" w:eastAsia="仿宋_GB2312" w:cs="仿宋_GB2312"/>
          <w:color w:val="auto"/>
          <w:sz w:val="32"/>
          <w:szCs w:val="32"/>
          <w:lang w:val="en-US" w:eastAsia="zh-CN"/>
        </w:rPr>
        <w:t>），本单位本年度严格按照预算数执行。</w:t>
      </w:r>
    </w:p>
    <w:p>
      <w:pPr>
        <w:keepNext w:val="0"/>
        <w:keepLines w:val="0"/>
        <w:pageBreakBefore w:val="0"/>
        <w:kinsoku/>
        <w:wordWrap/>
        <w:overflowPunct/>
        <w:topLinePunct w:val="0"/>
        <w:autoSpaceDE/>
        <w:bidi w:val="0"/>
        <w:adjustRightInd/>
        <w:spacing w:line="560" w:lineRule="exact"/>
        <w:ind w:left="0" w:leftChars="0" w:firstLine="640" w:firstLineChars="200"/>
        <w:jc w:val="both"/>
        <w:textAlignment w:val="auto"/>
        <w:rPr>
          <w:rFonts w:hint="eastAsia" w:ascii="仿宋_GB2312" w:hAnsi="仿宋_GB2312" w:eastAsia="仿宋_GB2312" w:cs="仿宋_GB2312"/>
          <w:color w:val="auto"/>
          <w:kern w:val="0"/>
          <w:sz w:val="32"/>
          <w:szCs w:val="32"/>
          <w:highlight w:val="none"/>
          <w:lang w:val="zh-CN" w:eastAsia="zh-CN" w:bidi="ar-SA"/>
        </w:rPr>
      </w:pPr>
      <w:r>
        <w:rPr>
          <w:rFonts w:hint="eastAsia" w:ascii="仿宋_GB2312" w:hAnsi="仿宋_GB2312" w:eastAsia="仿宋_GB2312" w:cs="仿宋_GB2312"/>
          <w:color w:val="auto"/>
          <w:kern w:val="0"/>
          <w:sz w:val="32"/>
          <w:szCs w:val="32"/>
          <w:highlight w:val="none"/>
          <w:lang w:val="en-US" w:eastAsia="zh-CN" w:bidi="ar-SA"/>
        </w:rPr>
        <w:t>（4）及时处置。按照《广元市昭化区预算绩效事中运行监控管理暂行办法》（昭府办函〔2022〕37号）的要求，按时完成预算绩效运行监控，将绩效监控结果应用到预算调整，合理安排预算执行进度，提高资金使用绩效。2022年没有调整</w:t>
      </w:r>
      <w:r>
        <w:rPr>
          <w:rFonts w:hint="eastAsia" w:ascii="仿宋_GB2312" w:hAnsi="仿宋_GB2312" w:eastAsia="仿宋_GB2312" w:cs="仿宋_GB2312"/>
          <w:color w:val="auto"/>
          <w:kern w:val="0"/>
          <w:sz w:val="32"/>
          <w:szCs w:val="32"/>
          <w:highlight w:val="none"/>
          <w:lang w:val="zh-CN" w:eastAsia="zh-CN" w:bidi="ar-SA"/>
        </w:rPr>
        <w:t>绩效监控调整取消额和结余注销额。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（5）执行进度。</w:t>
      </w:r>
      <w:r>
        <w:rPr>
          <w:rFonts w:hint="eastAsia" w:ascii="仿宋_GB2312" w:hAnsi="仿宋_GB2312" w:eastAsia="仿宋_GB2312" w:cs="仿宋_GB2312"/>
          <w:color w:val="auto"/>
          <w:kern w:val="0"/>
          <w:sz w:val="32"/>
          <w:szCs w:val="32"/>
          <w:highlight w:val="none"/>
          <w:lang w:val="zh-CN" w:eastAsia="zh-CN" w:bidi="ar-SA"/>
        </w:rPr>
        <w:t>部门预算资金在财政资金下拨后及时支出，</w:t>
      </w:r>
      <w:r>
        <w:rPr>
          <w:rFonts w:hint="eastAsia" w:ascii="仿宋_GB2312" w:hAnsi="仿宋_GB2312" w:eastAsia="仿宋_GB2312" w:cs="仿宋_GB2312"/>
          <w:color w:val="auto"/>
          <w:sz w:val="32"/>
          <w:szCs w:val="32"/>
          <w:highlight w:val="none"/>
          <w:lang w:eastAsia="zh-CN"/>
        </w:rPr>
        <w:t>截止</w:t>
      </w:r>
      <w:r>
        <w:rPr>
          <w:rFonts w:hint="eastAsia" w:ascii="仿宋_GB2312" w:hAnsi="仿宋_GB2312" w:eastAsia="仿宋_GB2312" w:cs="仿宋_GB2312"/>
          <w:color w:val="auto"/>
          <w:sz w:val="32"/>
          <w:szCs w:val="32"/>
          <w:highlight w:val="none"/>
          <w:lang w:val="en-US" w:eastAsia="zh-CN"/>
        </w:rPr>
        <w:t>2022年12月31日，实际支出69.76万元，执行率59%。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bidi="ar-SA"/>
        </w:rPr>
        <w:t>（6）预算完成情况。</w:t>
      </w:r>
      <w:r>
        <w:rPr>
          <w:rFonts w:hint="eastAsia" w:ascii="仿宋_GB2312" w:hAnsi="仿宋_GB2312" w:eastAsia="仿宋_GB2312" w:cs="仿宋_GB2312"/>
          <w:color w:val="auto"/>
          <w:sz w:val="32"/>
          <w:szCs w:val="32"/>
          <w:highlight w:val="none"/>
          <w:lang w:eastAsia="zh-CN"/>
        </w:rPr>
        <w:t>截止</w:t>
      </w:r>
      <w:r>
        <w:rPr>
          <w:rFonts w:hint="eastAsia" w:ascii="仿宋_GB2312" w:hAnsi="仿宋_GB2312" w:eastAsia="仿宋_GB2312" w:cs="仿宋_GB2312"/>
          <w:color w:val="auto"/>
          <w:sz w:val="32"/>
          <w:szCs w:val="32"/>
          <w:highlight w:val="none"/>
          <w:lang w:val="en-US" w:eastAsia="zh-CN"/>
        </w:rPr>
        <w:t>2022年12月31日，磨滩</w:t>
      </w:r>
      <w:r>
        <w:rPr>
          <w:rFonts w:hint="eastAsia" w:ascii="仿宋_GB2312" w:hAnsi="仿宋_GB2312" w:eastAsia="仿宋_GB2312" w:cs="仿宋_GB2312"/>
          <w:color w:val="auto"/>
          <w:sz w:val="32"/>
          <w:szCs w:val="32"/>
          <w:highlight w:val="none"/>
        </w:rPr>
        <w:t>镇人民政府202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eastAsia="zh-CN"/>
        </w:rPr>
        <w:t>全年</w:t>
      </w:r>
      <w:r>
        <w:rPr>
          <w:rFonts w:hint="eastAsia" w:ascii="仿宋_GB2312" w:hAnsi="仿宋_GB2312" w:eastAsia="仿宋_GB2312" w:cs="仿宋_GB2312"/>
          <w:color w:val="auto"/>
          <w:sz w:val="32"/>
          <w:szCs w:val="32"/>
          <w:highlight w:val="none"/>
        </w:rPr>
        <w:t>预算</w:t>
      </w:r>
      <w:r>
        <w:rPr>
          <w:rFonts w:hint="eastAsia" w:ascii="仿宋_GB2312" w:hAnsi="仿宋_GB2312" w:eastAsia="仿宋_GB2312" w:cs="仿宋_GB2312"/>
          <w:color w:val="auto"/>
          <w:sz w:val="32"/>
          <w:szCs w:val="32"/>
          <w:highlight w:val="none"/>
          <w:lang w:val="en-US" w:eastAsia="zh-CN"/>
        </w:rPr>
        <w:t>特定</w:t>
      </w:r>
      <w:r>
        <w:rPr>
          <w:rFonts w:hint="eastAsia" w:ascii="仿宋_GB2312" w:hAnsi="仿宋_GB2312" w:eastAsia="仿宋_GB2312" w:cs="仿宋_GB2312"/>
          <w:color w:val="auto"/>
          <w:sz w:val="32"/>
          <w:szCs w:val="32"/>
          <w:highlight w:val="none"/>
          <w:lang w:eastAsia="zh-CN"/>
        </w:rPr>
        <w:t>类资金支出</w:t>
      </w:r>
      <w:r>
        <w:rPr>
          <w:rFonts w:hint="eastAsia" w:ascii="仿宋_GB2312" w:hAnsi="仿宋_GB2312" w:eastAsia="仿宋_GB2312" w:cs="仿宋_GB2312"/>
          <w:color w:val="auto"/>
          <w:sz w:val="32"/>
          <w:szCs w:val="32"/>
          <w:highlight w:val="none"/>
          <w:lang w:val="en-US" w:eastAsia="zh-CN"/>
        </w:rPr>
        <w:t>69.76万元</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全年实际执行数</w:t>
      </w:r>
      <w:r>
        <w:rPr>
          <w:rFonts w:hint="eastAsia" w:ascii="仿宋_GB2312" w:hAnsi="仿宋_GB2312" w:eastAsia="仿宋_GB2312" w:cs="仿宋_GB2312"/>
          <w:color w:val="auto"/>
          <w:sz w:val="32"/>
          <w:szCs w:val="32"/>
          <w:highlight w:val="none"/>
          <w:lang w:val="en-US" w:eastAsia="zh-CN"/>
        </w:rPr>
        <w:t>69.76万元，执行率59%。</w:t>
      </w:r>
    </w:p>
    <w:p>
      <w:pPr>
        <w:keepNext w:val="0"/>
        <w:keepLines w:val="0"/>
        <w:pageBreakBefore w:val="0"/>
        <w:kinsoku/>
        <w:wordWrap/>
        <w:overflowPunct/>
        <w:topLinePunct w:val="0"/>
        <w:autoSpaceDE/>
        <w:bidi w:val="0"/>
        <w:adjustRightInd/>
        <w:spacing w:line="560" w:lineRule="exact"/>
        <w:ind w:left="0" w:lef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（7）资金结余率（低效无效率）。由于项目特殊性，</w:t>
      </w:r>
      <w:r>
        <w:rPr>
          <w:rFonts w:hint="eastAsia" w:ascii="仿宋_GB2312" w:hAnsi="仿宋_GB2312" w:eastAsia="仿宋_GB2312" w:cs="仿宋_GB2312"/>
          <w:color w:val="auto"/>
          <w:sz w:val="32"/>
          <w:szCs w:val="32"/>
          <w:highlight w:val="none"/>
          <w:lang w:val="en-US" w:eastAsia="zh-CN"/>
        </w:rPr>
        <w:t>2022年磨滩镇有特定目标类结余资金，其中烤烟发展经费结余50.63万元，</w:t>
      </w:r>
      <w:r>
        <w:rPr>
          <w:rFonts w:hint="eastAsia" w:ascii="仿宋_GB2312" w:hAnsi="仿宋_GB2312" w:eastAsia="仿宋_GB2312" w:cs="仿宋_GB2312"/>
          <w:color w:val="auto"/>
          <w:kern w:val="0"/>
          <w:sz w:val="32"/>
          <w:szCs w:val="32"/>
          <w:highlight w:val="none"/>
          <w:lang w:val="en-US" w:eastAsia="zh-CN" w:bidi="ar-SA"/>
        </w:rPr>
        <w:t>基层组织活动与公共服务运行经费结余5.79万元</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bidi w:val="0"/>
        <w:adjustRightInd/>
        <w:spacing w:line="560" w:lineRule="exact"/>
        <w:ind w:left="0" w:leftChars="0" w:firstLine="640" w:firstLineChars="200"/>
        <w:jc w:val="both"/>
        <w:textAlignment w:val="auto"/>
        <w:rPr>
          <w:rFonts w:hint="default"/>
          <w:lang w:val="en-US" w:eastAsia="zh-CN"/>
        </w:rPr>
      </w:pPr>
      <w:r>
        <w:rPr>
          <w:rFonts w:hint="eastAsia" w:ascii="仿宋_GB2312" w:hAnsi="仿宋_GB2312" w:eastAsia="仿宋_GB2312" w:cs="仿宋_GB2312"/>
          <w:color w:val="auto"/>
          <w:kern w:val="0"/>
          <w:sz w:val="32"/>
          <w:szCs w:val="32"/>
          <w:highlight w:val="none"/>
          <w:lang w:val="en-US" w:eastAsia="zh-CN" w:bidi="ar-SA"/>
        </w:rPr>
        <w:t>（8）违规记录。2022年度我单位未收到</w:t>
      </w:r>
      <w:r>
        <w:rPr>
          <w:rFonts w:hint="eastAsia" w:ascii="仿宋_GB2312" w:hAnsi="仿宋_GB2312" w:eastAsia="仿宋_GB2312" w:cs="仿宋_GB2312"/>
          <w:color w:val="auto"/>
          <w:kern w:val="0"/>
          <w:sz w:val="32"/>
          <w:szCs w:val="32"/>
          <w:highlight w:val="none"/>
          <w:lang w:val="zh-CN" w:eastAsia="zh-CN" w:bidi="ar-SA"/>
        </w:rPr>
        <w:t>审计监督、财政检查反映单位上一年度部门预算管理不合规的情况，</w:t>
      </w:r>
      <w:r>
        <w:rPr>
          <w:rFonts w:hint="eastAsia" w:ascii="仿宋_GB2312" w:hAnsi="仿宋_GB2312" w:eastAsia="仿宋_GB2312" w:cs="仿宋_GB2312"/>
          <w:color w:val="auto"/>
          <w:kern w:val="0"/>
          <w:sz w:val="32"/>
          <w:szCs w:val="32"/>
          <w:highlight w:val="none"/>
          <w:lang w:val="en-US" w:eastAsia="zh-CN" w:bidi="ar-SA"/>
        </w:rPr>
        <w:t>未发现部门预算管理方面违纪违规</w:t>
      </w:r>
      <w:r>
        <w:rPr>
          <w:rFonts w:hint="eastAsia" w:ascii="仿宋_GB2312" w:hAnsi="Calibri" w:eastAsia="仿宋_GB2312" w:cs="仿宋"/>
          <w:color w:val="auto"/>
          <w:kern w:val="0"/>
          <w:sz w:val="32"/>
          <w:szCs w:val="32"/>
          <w:highlight w:val="none"/>
          <w:lang w:val="en-US" w:eastAsia="zh-CN" w:bidi="ar-SA"/>
        </w:rPr>
        <w:t>问题。</w:t>
      </w:r>
    </w:p>
    <w:p>
      <w:pPr>
        <w:keepNext w:val="0"/>
        <w:keepLines w:val="0"/>
        <w:pageBreakBefore w:val="0"/>
        <w:kinsoku/>
        <w:wordWrap/>
        <w:overflowPunct/>
        <w:topLinePunct w:val="0"/>
        <w:autoSpaceDE w:val="0"/>
        <w:autoSpaceDN w:val="0"/>
        <w:bidi w:val="0"/>
        <w:adjustRightInd w:val="0"/>
        <w:spacing w:line="560" w:lineRule="exact"/>
        <w:ind w:firstLine="643" w:firstLineChars="200"/>
        <w:jc w:val="left"/>
        <w:textAlignment w:val="auto"/>
        <w:outlineLvl w:val="2"/>
        <w:rPr>
          <w:rFonts w:hint="eastAsia" w:ascii="楷体" w:hAnsi="楷体" w:eastAsia="楷体" w:cs="楷体"/>
          <w:b/>
          <w:color w:val="auto"/>
          <w:sz w:val="32"/>
          <w:szCs w:val="32"/>
          <w:highlight w:val="none"/>
          <w:lang w:val="en-US" w:eastAsia="zh-CN"/>
        </w:rPr>
      </w:pPr>
      <w:bookmarkStart w:id="142" w:name="_Toc32091"/>
      <w:r>
        <w:rPr>
          <w:rFonts w:hint="eastAsia" w:ascii="楷体" w:hAnsi="楷体" w:eastAsia="楷体" w:cs="楷体"/>
          <w:b/>
          <w:color w:val="auto"/>
          <w:sz w:val="32"/>
          <w:szCs w:val="32"/>
          <w:highlight w:val="none"/>
          <w:lang w:val="en-US" w:eastAsia="zh-CN"/>
        </w:rPr>
        <w:t>（二）部门整体履职绩效分析部门预算项目绩效管理</w:t>
      </w:r>
      <w:bookmarkEnd w:id="14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从我单位部门整体支出绩效目标完成总情况来看，各个指标绩效运行正常有序。从数量指标来看，部门整体支出计划与完成数覆盖全镇8村1社区43个村民小组，覆盖率为100%。从成本指标上看，严格按照“上四下六”均衡用款原则执行了全年公用经费支出，特定项目支出严格审批各项资料完成支付。从质量指标上看，全年合理安接了人员工资及各类保险与日常公用支出，确保了单位正常运转。从成本指标上看，基本上按照单位计划完成了基本支出和项目支出的进度资金支付，确保了各级干部队伍的稳定及各个项目的正常有序建设。从效益指标及群众满意度指标上量，能助力乡村损兴。经济效益上讲，引导产业发展，增加了农户收入。镇村干部及涉及群众满意度较高。</w:t>
      </w:r>
    </w:p>
    <w:p>
      <w:pPr>
        <w:keepNext w:val="0"/>
        <w:keepLines w:val="0"/>
        <w:pageBreakBefore w:val="0"/>
        <w:kinsoku/>
        <w:wordWrap/>
        <w:overflowPunct/>
        <w:topLinePunct w:val="0"/>
        <w:autoSpaceDE w:val="0"/>
        <w:autoSpaceDN w:val="0"/>
        <w:bidi w:val="0"/>
        <w:adjustRightInd w:val="0"/>
        <w:spacing w:line="560" w:lineRule="exact"/>
        <w:ind w:firstLine="643" w:firstLineChars="200"/>
        <w:jc w:val="left"/>
        <w:textAlignment w:val="auto"/>
        <w:outlineLvl w:val="2"/>
        <w:rPr>
          <w:rFonts w:hint="eastAsia" w:ascii="楷体" w:hAnsi="楷体" w:eastAsia="楷体" w:cs="楷体"/>
          <w:b/>
          <w:color w:val="auto"/>
          <w:sz w:val="32"/>
          <w:szCs w:val="32"/>
          <w:highlight w:val="none"/>
          <w:lang w:val="en-US" w:eastAsia="zh-CN"/>
        </w:rPr>
      </w:pPr>
      <w:bookmarkStart w:id="143" w:name="_Toc12370"/>
      <w:r>
        <w:rPr>
          <w:rFonts w:hint="eastAsia" w:ascii="楷体" w:hAnsi="楷体" w:eastAsia="楷体" w:cs="楷体"/>
          <w:b/>
          <w:color w:val="auto"/>
          <w:sz w:val="32"/>
          <w:szCs w:val="32"/>
          <w:highlight w:val="none"/>
          <w:lang w:val="en-US" w:eastAsia="zh-CN"/>
        </w:rPr>
        <w:t>(三)结果应用情况</w:t>
      </w:r>
      <w:bookmarkEnd w:id="143"/>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 w:hAnsi="楷体" w:eastAsia="楷体" w:cs="楷体"/>
          <w:color w:val="auto"/>
          <w:kern w:val="0"/>
          <w:sz w:val="32"/>
          <w:szCs w:val="32"/>
          <w:highlight w:val="none"/>
          <w:shd w:val="clear" w:color="auto" w:fill="FFFFFF"/>
          <w:lang w:val="en-US" w:eastAsia="zh-CN"/>
        </w:rPr>
      </w:pPr>
      <w:r>
        <w:rPr>
          <w:rFonts w:hint="eastAsia" w:ascii="楷体" w:hAnsi="楷体" w:eastAsia="楷体" w:cs="楷体"/>
          <w:color w:val="auto"/>
          <w:kern w:val="0"/>
          <w:sz w:val="32"/>
          <w:szCs w:val="32"/>
          <w:highlight w:val="none"/>
          <w:shd w:val="clear" w:color="auto" w:fill="FFFFFF"/>
          <w:lang w:val="en-US" w:eastAsia="zh-CN"/>
        </w:rPr>
        <w:t>1.内部应用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kern w:val="0"/>
          <w:sz w:val="32"/>
          <w:szCs w:val="32"/>
          <w:highlight w:val="none"/>
          <w:shd w:val="clear" w:color="auto" w:fill="FFFFFF"/>
          <w:lang w:val="zh-CN" w:eastAsia="zh-CN"/>
        </w:rPr>
      </w:pPr>
      <w:r>
        <w:rPr>
          <w:rFonts w:hint="eastAsia" w:ascii="仿宋_GB2312" w:hAnsi="仿宋_GB2312" w:eastAsia="仿宋_GB2312" w:cs="仿宋_GB2312"/>
          <w:color w:val="auto"/>
          <w:kern w:val="0"/>
          <w:sz w:val="32"/>
          <w:szCs w:val="32"/>
          <w:highlight w:val="none"/>
          <w:shd w:val="clear" w:color="auto" w:fill="FFFFFF"/>
          <w:lang w:val="en-US" w:eastAsia="zh-CN"/>
        </w:rPr>
        <w:t>我单位在《机关效能手册》中明确</w:t>
      </w:r>
      <w:r>
        <w:rPr>
          <w:rFonts w:hint="eastAsia" w:ascii="仿宋_GB2312" w:hAnsi="仿宋_GB2312" w:eastAsia="仿宋_GB2312" w:cs="仿宋_GB2312"/>
          <w:color w:val="auto"/>
          <w:kern w:val="0"/>
          <w:sz w:val="32"/>
          <w:szCs w:val="32"/>
          <w:highlight w:val="none"/>
          <w:shd w:val="clear" w:color="auto" w:fill="FFFFFF"/>
          <w:lang w:val="zh-CN" w:eastAsia="zh-CN"/>
        </w:rPr>
        <w:t>将内设机构绩效自评纳入考核体系，建立了对内设机构预算与绩效挂钩机制。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 w:hAnsi="楷体" w:eastAsia="楷体" w:cs="楷体"/>
          <w:color w:val="auto"/>
          <w:kern w:val="0"/>
          <w:sz w:val="32"/>
          <w:szCs w:val="32"/>
          <w:highlight w:val="none"/>
          <w:shd w:val="clear" w:color="auto" w:fill="FFFFFF"/>
          <w:lang w:val="en-US" w:eastAsia="zh-CN"/>
        </w:rPr>
      </w:pPr>
      <w:r>
        <w:rPr>
          <w:rFonts w:hint="eastAsia" w:ascii="楷体" w:hAnsi="楷体" w:eastAsia="楷体" w:cs="楷体"/>
          <w:color w:val="auto"/>
          <w:kern w:val="0"/>
          <w:sz w:val="32"/>
          <w:szCs w:val="32"/>
          <w:highlight w:val="none"/>
          <w:shd w:val="clear" w:color="auto" w:fill="FFFFFF"/>
          <w:lang w:val="en-US" w:eastAsia="zh-CN"/>
        </w:rPr>
        <w:t>2.信息公开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kern w:val="0"/>
          <w:sz w:val="32"/>
          <w:szCs w:val="32"/>
          <w:highlight w:val="none"/>
          <w:shd w:val="clear" w:color="auto" w:fill="FFFFFF"/>
          <w:lang w:val="en-US" w:eastAsia="zh-CN"/>
        </w:rPr>
      </w:pPr>
      <w:r>
        <w:rPr>
          <w:rFonts w:hint="eastAsia" w:ascii="仿宋_GB2312" w:hAnsi="仿宋_GB2312" w:eastAsia="仿宋_GB2312" w:cs="仿宋_GB2312"/>
          <w:color w:val="auto"/>
          <w:kern w:val="0"/>
          <w:sz w:val="32"/>
          <w:szCs w:val="32"/>
          <w:highlight w:val="none"/>
          <w:shd w:val="clear" w:color="auto" w:fill="FFFFFF"/>
          <w:lang w:val="en-US" w:eastAsia="zh-CN"/>
        </w:rPr>
        <w:t>按照财政部门的管理要求，我单位将部门整体绩效自评情况和自行组织的评价情况及时通过</w:t>
      </w:r>
      <w:r>
        <w:rPr>
          <w:rFonts w:hint="eastAsia" w:ascii="仿宋_GB2312" w:hAnsi="仿宋_GB2312" w:eastAsia="仿宋_GB2312" w:cs="仿宋_GB2312"/>
          <w:b w:val="0"/>
          <w:bCs w:val="0"/>
          <w:color w:val="auto"/>
          <w:kern w:val="2"/>
          <w:sz w:val="32"/>
          <w:szCs w:val="32"/>
          <w:lang w:val="en-US" w:eastAsia="zh-CN" w:bidi="ar-SA"/>
        </w:rPr>
        <w:t>昭化区人民政府网站</w:t>
      </w:r>
      <w:r>
        <w:rPr>
          <w:rFonts w:hint="eastAsia" w:ascii="仿宋_GB2312" w:hAnsi="仿宋_GB2312" w:eastAsia="仿宋_GB2312" w:cs="仿宋_GB2312"/>
          <w:color w:val="auto"/>
          <w:kern w:val="0"/>
          <w:sz w:val="32"/>
          <w:szCs w:val="32"/>
          <w:highlight w:val="none"/>
          <w:shd w:val="clear" w:color="auto" w:fill="FFFFFF"/>
          <w:lang w:val="en-US" w:eastAsia="zh-CN"/>
        </w:rPr>
        <w:t>随同单位决算向社会公开。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 w:hAnsi="楷体" w:eastAsia="楷体" w:cs="楷体"/>
          <w:color w:val="auto"/>
          <w:kern w:val="0"/>
          <w:sz w:val="32"/>
          <w:szCs w:val="32"/>
          <w:highlight w:val="none"/>
          <w:shd w:val="clear" w:color="auto" w:fill="FFFFFF"/>
          <w:lang w:val="en-US" w:eastAsia="zh-CN"/>
        </w:rPr>
      </w:pPr>
      <w:r>
        <w:rPr>
          <w:rFonts w:hint="eastAsia" w:ascii="楷体" w:hAnsi="楷体" w:eastAsia="楷体" w:cs="楷体"/>
          <w:color w:val="auto"/>
          <w:kern w:val="0"/>
          <w:sz w:val="32"/>
          <w:szCs w:val="32"/>
          <w:highlight w:val="none"/>
          <w:shd w:val="clear" w:color="auto" w:fill="FFFFFF"/>
          <w:lang w:val="en-US" w:eastAsia="zh-CN"/>
        </w:rPr>
        <w:t>3.整改反馈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kern w:val="0"/>
          <w:sz w:val="32"/>
          <w:szCs w:val="32"/>
          <w:highlight w:val="none"/>
          <w:shd w:val="clear" w:color="auto" w:fill="FFFFFF"/>
          <w:lang w:val="zh-CN" w:eastAsia="zh-CN"/>
        </w:rPr>
      </w:pPr>
      <w:r>
        <w:rPr>
          <w:rFonts w:hint="eastAsia" w:ascii="仿宋_GB2312" w:hAnsi="仿宋_GB2312" w:eastAsia="仿宋_GB2312" w:cs="仿宋_GB2312"/>
          <w:color w:val="auto"/>
          <w:kern w:val="0"/>
          <w:sz w:val="32"/>
          <w:szCs w:val="32"/>
          <w:highlight w:val="none"/>
          <w:shd w:val="clear" w:color="auto" w:fill="FFFFFF"/>
          <w:lang w:val="en-US" w:eastAsia="zh-CN"/>
        </w:rPr>
        <w:t>2022年整体支出绩效评价和项目支出绩效评价，我单位就存在的问题进行整改落实，并向区财政局报送《关于2021年部门整体支出绩效抽查问题的整改报告》《关于2022年绩效自评重点抽查问题的整改报告》</w:t>
      </w:r>
      <w:r>
        <w:rPr>
          <w:rFonts w:hint="eastAsia" w:ascii="仿宋_GB2312" w:hAnsi="仿宋_GB2312" w:eastAsia="仿宋_GB2312" w:cs="仿宋_GB2312"/>
          <w:color w:val="auto"/>
          <w:kern w:val="0"/>
          <w:sz w:val="32"/>
          <w:szCs w:val="32"/>
          <w:highlight w:val="none"/>
          <w:shd w:val="clear" w:color="auto" w:fill="FFFFFF"/>
          <w:lang w:val="zh-CN" w:eastAsia="zh-CN"/>
        </w:rPr>
        <w:t>。</w:t>
      </w:r>
      <w:r>
        <w:rPr>
          <w:rFonts w:hint="eastAsia" w:ascii="仿宋_GB2312" w:hAnsi="仿宋_GB2312" w:eastAsia="仿宋_GB2312" w:cs="仿宋_GB2312"/>
          <w:b w:val="0"/>
          <w:bCs w:val="0"/>
          <w:color w:val="auto"/>
          <w:kern w:val="2"/>
          <w:sz w:val="32"/>
          <w:szCs w:val="32"/>
          <w:lang w:val="en-US" w:eastAsia="zh-CN" w:bidi="ar-SA"/>
        </w:rPr>
        <w:t>严格执行财经制度和管理规定，按时完成预算执行进度，严格控制、合理利用各项经费，鼓励合法合规的经费开支，按要求进行预算管理，不断完善资产管理制度。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outlineLvl w:val="2"/>
        <w:rPr>
          <w:rFonts w:hint="eastAsia" w:ascii="楷体" w:hAnsi="楷体" w:eastAsia="楷体" w:cs="楷体"/>
          <w:b/>
          <w:bCs/>
          <w:sz w:val="32"/>
          <w:szCs w:val="32"/>
        </w:rPr>
      </w:pPr>
      <w:bookmarkStart w:id="144" w:name="_Toc13363"/>
      <w:r>
        <w:rPr>
          <w:rFonts w:hint="eastAsia" w:ascii="楷体" w:hAnsi="楷体" w:eastAsia="楷体" w:cs="楷体"/>
          <w:b/>
          <w:bCs/>
          <w:sz w:val="32"/>
          <w:szCs w:val="32"/>
        </w:rPr>
        <w:t>(</w:t>
      </w:r>
      <w:r>
        <w:rPr>
          <w:rFonts w:hint="eastAsia" w:ascii="楷体" w:hAnsi="楷体" w:eastAsia="楷体" w:cs="楷体"/>
          <w:b/>
          <w:bCs/>
          <w:sz w:val="32"/>
          <w:szCs w:val="32"/>
          <w:lang w:eastAsia="zh-CN"/>
        </w:rPr>
        <w:t>四</w:t>
      </w:r>
      <w:r>
        <w:rPr>
          <w:rFonts w:hint="eastAsia" w:ascii="楷体" w:hAnsi="楷体" w:eastAsia="楷体" w:cs="楷体"/>
          <w:b/>
          <w:bCs/>
          <w:sz w:val="32"/>
          <w:szCs w:val="32"/>
        </w:rPr>
        <w:t>)自评质量</w:t>
      </w:r>
      <w:bookmarkEnd w:id="144"/>
    </w:p>
    <w:p>
      <w:pPr>
        <w:keepNext w:val="0"/>
        <w:keepLines w:val="0"/>
        <w:pageBreakBefore w:val="0"/>
        <w:kinsoku/>
        <w:wordWrap/>
        <w:overflowPunct/>
        <w:topLinePunct w:val="0"/>
        <w:autoSpaceDE/>
        <w:bidi w:val="0"/>
        <w:adjustRightInd/>
        <w:spacing w:line="560" w:lineRule="exact"/>
        <w:ind w:left="0" w:lef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SA"/>
        </w:rPr>
      </w:pPr>
      <w:bookmarkStart w:id="145" w:name="_Toc23364"/>
      <w:bookmarkStart w:id="146" w:name="_Toc18937"/>
      <w:r>
        <w:rPr>
          <w:rFonts w:hint="eastAsia" w:ascii="仿宋_GB2312" w:hAnsi="仿宋_GB2312" w:eastAsia="仿宋_GB2312" w:cs="仿宋_GB2312"/>
          <w:color w:val="auto"/>
          <w:kern w:val="0"/>
          <w:sz w:val="32"/>
          <w:szCs w:val="32"/>
          <w:highlight w:val="none"/>
          <w:lang w:val="en-US" w:eastAsia="zh-CN" w:bidi="ar-SA"/>
        </w:rPr>
        <w:t>按照上级部门预算编制通知和有关要求，按时完成基础库、项目库报送工作，预算编制准确。部门整体绩效目标编制完整、合理，项目绩效目标编制明确、量化。按要求严格预算执行管理，严格执行“三公经费”预算，行政运行经费与上年相比明显下降，没有产生债务。并通过资料收集、绩效评价、工作总结及撰写报告等几个阶段，认真、准确填写自评数据表，形成详实的自评报告，并按时完成自评工作，对所报送自评材料的真实性、完整性、一致性、规范性负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Times New Roman" w:hAnsi="Times New Roman" w:eastAsia="黑体" w:cs="黑体"/>
          <w:sz w:val="32"/>
          <w:szCs w:val="32"/>
        </w:rPr>
      </w:pPr>
      <w:bookmarkStart w:id="147" w:name="_Toc15843"/>
      <w:bookmarkStart w:id="148" w:name="_Toc32557"/>
      <w:r>
        <w:rPr>
          <w:rFonts w:hint="eastAsia" w:ascii="Times New Roman" w:hAnsi="Times New Roman" w:eastAsia="黑体" w:cs="黑体"/>
          <w:sz w:val="32"/>
          <w:szCs w:val="32"/>
        </w:rPr>
        <w:t>四、评价结论及建议</w:t>
      </w:r>
      <w:bookmarkEnd w:id="145"/>
      <w:bookmarkEnd w:id="146"/>
      <w:bookmarkEnd w:id="147"/>
      <w:bookmarkEnd w:id="148"/>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outlineLvl w:val="2"/>
        <w:rPr>
          <w:rFonts w:hint="eastAsia" w:ascii="楷体" w:hAnsi="楷体" w:eastAsia="楷体" w:cs="楷体"/>
          <w:b/>
          <w:bCs/>
          <w:sz w:val="32"/>
          <w:szCs w:val="32"/>
        </w:rPr>
      </w:pPr>
      <w:bookmarkStart w:id="149" w:name="_Toc21403"/>
      <w:r>
        <w:rPr>
          <w:rFonts w:hint="eastAsia" w:ascii="楷体" w:hAnsi="楷体" w:eastAsia="楷体" w:cs="楷体"/>
          <w:b/>
          <w:bCs/>
          <w:sz w:val="32"/>
          <w:szCs w:val="32"/>
        </w:rPr>
        <w:t>(一)</w:t>
      </w:r>
      <w:r>
        <w:rPr>
          <w:rFonts w:hint="eastAsia" w:ascii="楷体" w:hAnsi="楷体" w:eastAsia="楷体" w:cs="楷体"/>
          <w:b/>
          <w:bCs/>
          <w:sz w:val="32"/>
          <w:szCs w:val="32"/>
          <w:lang w:eastAsia="zh-CN"/>
        </w:rPr>
        <w:t>评价</w:t>
      </w:r>
      <w:r>
        <w:rPr>
          <w:rFonts w:hint="eastAsia" w:ascii="楷体" w:hAnsi="楷体" w:eastAsia="楷体" w:cs="楷体"/>
          <w:b/>
          <w:bCs/>
          <w:sz w:val="32"/>
          <w:szCs w:val="32"/>
        </w:rPr>
        <w:t>结论</w:t>
      </w:r>
      <w:bookmarkEnd w:id="149"/>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sz w:val="32"/>
          <w:szCs w:val="32"/>
        </w:rPr>
        <w:t>20</w:t>
      </w:r>
      <w:r>
        <w:rPr>
          <w:rFonts w:hint="eastAsia" w:ascii="仿宋_GB2312" w:hAnsi="仿宋_GB2312" w:eastAsia="仿宋_GB2312" w:cs="仿宋_GB2312"/>
          <w:b w:val="0"/>
          <w:bCs w:val="0"/>
          <w:color w:val="000000"/>
          <w:sz w:val="32"/>
          <w:szCs w:val="32"/>
          <w:lang w:val="en-US" w:eastAsia="zh-CN"/>
        </w:rPr>
        <w:t>22</w:t>
      </w:r>
      <w:r>
        <w:rPr>
          <w:rFonts w:hint="eastAsia" w:ascii="仿宋_GB2312" w:hAnsi="仿宋_GB2312" w:eastAsia="仿宋_GB2312" w:cs="仿宋_GB2312"/>
          <w:b w:val="0"/>
          <w:bCs w:val="0"/>
          <w:color w:val="000000"/>
          <w:sz w:val="32"/>
          <w:szCs w:val="32"/>
        </w:rPr>
        <w:t>年</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sz w:val="32"/>
          <w:szCs w:val="32"/>
        </w:rPr>
        <w:t>我</w:t>
      </w:r>
      <w:r>
        <w:rPr>
          <w:rFonts w:hint="eastAsia" w:ascii="仿宋_GB2312" w:hAnsi="仿宋_GB2312" w:eastAsia="仿宋_GB2312" w:cs="仿宋_GB2312"/>
          <w:b w:val="0"/>
          <w:bCs w:val="0"/>
          <w:sz w:val="32"/>
          <w:szCs w:val="32"/>
          <w:lang w:eastAsia="zh-CN"/>
        </w:rPr>
        <w:t>镇</w:t>
      </w:r>
      <w:r>
        <w:rPr>
          <w:rFonts w:hint="eastAsia" w:ascii="仿宋_GB2312" w:hAnsi="仿宋_GB2312" w:eastAsia="仿宋_GB2312" w:cs="仿宋_GB2312"/>
          <w:b w:val="0"/>
          <w:bCs w:val="0"/>
          <w:sz w:val="32"/>
          <w:szCs w:val="32"/>
        </w:rPr>
        <w:t>按照《广元市昭化区人民政府办公室关于印发&lt;关于印发《广元市昭化区财政预算绩效管理办法》《广元市昭化区财政预算事前绩效评估管理暂行办法》《广元市昭化区预算绩效事中运行监控管理暂行办法》《广元市昭化区财政支出事后绩效评价管理办法》的通知&gt;的通知》(昭府办函〔20</w:t>
      </w:r>
      <w:r>
        <w:rPr>
          <w:rFonts w:hint="eastAsia" w:ascii="仿宋_GB2312" w:hAnsi="仿宋_GB2312" w:eastAsia="仿宋_GB2312" w:cs="仿宋_GB2312"/>
          <w:b w:val="0"/>
          <w:bCs w:val="0"/>
          <w:sz w:val="32"/>
          <w:szCs w:val="32"/>
          <w:lang w:val="en-US" w:eastAsia="zh-CN"/>
        </w:rPr>
        <w:t>22</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37</w:t>
      </w:r>
      <w:r>
        <w:rPr>
          <w:rFonts w:hint="eastAsia" w:ascii="仿宋_GB2312" w:hAnsi="仿宋_GB2312" w:eastAsia="仿宋_GB2312" w:cs="仿宋_GB2312"/>
          <w:b w:val="0"/>
          <w:bCs w:val="0"/>
          <w:sz w:val="32"/>
          <w:szCs w:val="32"/>
        </w:rPr>
        <w:t>号)绩效评价指标体系开展绩效评价</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在数据准确、资料齐全、佐证充分基础上综合自评得分</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为</w:t>
      </w:r>
      <w:r>
        <w:rPr>
          <w:rFonts w:hint="eastAsia" w:ascii="仿宋_GB2312" w:hAnsi="仿宋_GB2312" w:eastAsia="仿宋_GB2312" w:cs="仿宋_GB2312"/>
          <w:i w:val="0"/>
          <w:iCs w:val="0"/>
          <w:caps w:val="0"/>
          <w:color w:val="000000" w:themeColor="text1"/>
          <w:spacing w:val="0"/>
          <w:sz w:val="32"/>
          <w:szCs w:val="32"/>
          <w:highlight w:val="none"/>
          <w:shd w:val="clear" w:fill="FFFFFF"/>
          <w:lang w:val="en-US" w:eastAsia="zh-CN"/>
          <w14:textFill>
            <w14:solidFill>
              <w14:schemeClr w14:val="tx1"/>
            </w14:solidFill>
          </w14:textFill>
        </w:rPr>
        <w:t>99.5</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分。</w:t>
      </w:r>
      <w:r>
        <w:rPr>
          <w:rFonts w:hint="eastAsia" w:ascii="仿宋_GB2312" w:hAnsi="仿宋_GB2312" w:eastAsia="仿宋_GB2312" w:cs="仿宋_GB2312"/>
          <w:color w:val="auto"/>
          <w:sz w:val="32"/>
          <w:szCs w:val="32"/>
        </w:rPr>
        <w:t>紧紧围绕党委、政府中心工作依法履职，</w:t>
      </w:r>
      <w:r>
        <w:rPr>
          <w:rFonts w:hint="eastAsia" w:ascii="仿宋_GB2312" w:hAnsi="仿宋_GB2312" w:eastAsia="仿宋_GB2312" w:cs="仿宋_GB2312"/>
          <w:b w:val="0"/>
          <w:bCs w:val="0"/>
          <w:color w:val="000000"/>
          <w:sz w:val="32"/>
          <w:szCs w:val="32"/>
        </w:rPr>
        <w:t>按照保进度、重质量、求实效的要求，全面推进各项重点工作，</w:t>
      </w:r>
      <w:r>
        <w:rPr>
          <w:rFonts w:hint="eastAsia" w:ascii="仿宋_GB2312" w:hAnsi="仿宋_GB2312" w:eastAsia="仿宋_GB2312" w:cs="仿宋_GB2312"/>
          <w:color w:val="auto"/>
          <w:sz w:val="32"/>
          <w:szCs w:val="32"/>
        </w:rPr>
        <w:t>完成了各项任务，保障了中央和省、市、县政府重大决策部署贯彻落实，促进了作风转变和自身建设，经费保障能力不断提高，经费投向科学合理，财务管理监督规范有效，经济社会效益功能明显，为维护地方经济安全发挥了积极作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根据部门整体支出绩效评价内容，本单位制定了相应的绩效目标，根据目标时</w:t>
      </w:r>
      <w:r>
        <w:rPr>
          <w:rFonts w:hint="eastAsia" w:ascii="仿宋_GB2312" w:hAnsi="仿宋_GB2312" w:eastAsia="仿宋_GB2312" w:cs="仿宋_GB2312"/>
          <w:color w:val="auto"/>
          <w:sz w:val="32"/>
          <w:szCs w:val="32"/>
          <w:lang w:val="en-US" w:eastAsia="zh-CN"/>
        </w:rPr>
        <w:t>时</w:t>
      </w:r>
      <w:r>
        <w:rPr>
          <w:rFonts w:hint="eastAsia" w:ascii="仿宋_GB2312" w:hAnsi="仿宋_GB2312" w:eastAsia="仿宋_GB2312" w:cs="仿宋_GB2312"/>
          <w:color w:val="auto"/>
          <w:sz w:val="32"/>
          <w:szCs w:val="32"/>
        </w:rPr>
        <w:t>监督，自查项目进展、完成情况。全面掌握资金执行率，更好完成了202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年的绩效目标任务。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outlineLvl w:val="2"/>
        <w:rPr>
          <w:rFonts w:hint="eastAsia" w:ascii="楷体" w:hAnsi="楷体" w:eastAsia="楷体" w:cs="楷体"/>
          <w:b/>
          <w:bCs/>
          <w:sz w:val="32"/>
          <w:szCs w:val="32"/>
        </w:rPr>
      </w:pPr>
      <w:bookmarkStart w:id="150" w:name="_Toc19122"/>
      <w:r>
        <w:rPr>
          <w:rFonts w:hint="eastAsia" w:ascii="楷体" w:hAnsi="楷体" w:eastAsia="楷体" w:cs="楷体"/>
          <w:b/>
          <w:bCs/>
          <w:sz w:val="32"/>
          <w:szCs w:val="32"/>
        </w:rPr>
        <w:t>(</w:t>
      </w:r>
      <w:r>
        <w:rPr>
          <w:rFonts w:hint="eastAsia" w:ascii="楷体" w:hAnsi="楷体" w:eastAsia="楷体" w:cs="楷体"/>
          <w:b/>
          <w:bCs/>
          <w:sz w:val="32"/>
          <w:szCs w:val="32"/>
          <w:lang w:val="en-US" w:eastAsia="zh-CN"/>
        </w:rPr>
        <w:t>二</w:t>
      </w:r>
      <w:r>
        <w:rPr>
          <w:rFonts w:hint="eastAsia" w:ascii="楷体" w:hAnsi="楷体" w:eastAsia="楷体" w:cs="楷体"/>
          <w:b/>
          <w:bCs/>
          <w:sz w:val="32"/>
          <w:szCs w:val="32"/>
        </w:rPr>
        <w:t>)存在问题</w:t>
      </w:r>
      <w:bookmarkEnd w:id="150"/>
    </w:p>
    <w:p>
      <w:pPr>
        <w:pStyle w:val="8"/>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一年来，我们虽然做了大量工作，取得了一定成效，但还存在一些问题和不足，离上级的绩效管理要求还有一定距离：</w:t>
      </w:r>
      <w:r>
        <w:rPr>
          <w:rFonts w:hint="eastAsia" w:ascii="Times New Roman" w:hAnsi="Times New Roman" w:eastAsia="仿宋_GB2312" w:cs="仿宋_GB2312"/>
          <w:color w:val="auto"/>
          <w:sz w:val="32"/>
          <w:szCs w:val="32"/>
          <w:lang w:val="en-US" w:eastAsia="zh-CN"/>
        </w:rPr>
        <w:t>一是在项目支出绩效自评建设方面还需积极培育符合实际情况的自评文化，使自评意识和自评文化渗透到每一位干部思想深处，使自评成为每位干部的自觉行为；</w:t>
      </w:r>
      <w:r>
        <w:rPr>
          <w:rFonts w:hint="eastAsia" w:ascii="Times New Roman" w:hAnsi="Times New Roman" w:eastAsia="仿宋_GB2312" w:cs="仿宋_GB2312"/>
          <w:i w:val="0"/>
          <w:iCs w:val="0"/>
          <w:caps w:val="0"/>
          <w:color w:val="auto"/>
          <w:spacing w:val="0"/>
          <w:sz w:val="32"/>
          <w:szCs w:val="32"/>
          <w:highlight w:val="none"/>
          <w:shd w:val="clear" w:fill="FFFFFF"/>
          <w:lang w:val="en-US" w:eastAsia="zh-CN"/>
        </w:rPr>
        <w:t>二是</w:t>
      </w:r>
      <w:r>
        <w:rPr>
          <w:rFonts w:hint="eastAsia" w:ascii="Times New Roman" w:hAnsi="Times New Roman" w:eastAsia="仿宋_GB2312" w:cs="仿宋_GB2312"/>
          <w:i w:val="0"/>
          <w:iCs w:val="0"/>
          <w:caps w:val="0"/>
          <w:color w:val="auto"/>
          <w:spacing w:val="0"/>
          <w:sz w:val="32"/>
          <w:szCs w:val="32"/>
          <w:highlight w:val="none"/>
          <w:shd w:val="clear" w:fill="FFFFFF"/>
          <w:lang w:eastAsia="zh-CN"/>
        </w:rPr>
        <w:t>预算目标</w:t>
      </w:r>
      <w:r>
        <w:rPr>
          <w:rFonts w:hint="default" w:ascii="Times New Roman" w:hAnsi="Times New Roman" w:eastAsia="仿宋_GB2312" w:cs="仿宋_GB2312"/>
          <w:i w:val="0"/>
          <w:iCs w:val="0"/>
          <w:caps w:val="0"/>
          <w:color w:val="auto"/>
          <w:spacing w:val="0"/>
          <w:sz w:val="32"/>
          <w:szCs w:val="32"/>
          <w:highlight w:val="none"/>
          <w:shd w:val="clear" w:fill="FFFFFF"/>
        </w:rPr>
        <w:t>执行</w:t>
      </w:r>
      <w:r>
        <w:rPr>
          <w:rFonts w:hint="eastAsia" w:ascii="Times New Roman" w:hAnsi="Times New Roman" w:eastAsia="仿宋_GB2312" w:cs="仿宋_GB2312"/>
          <w:i w:val="0"/>
          <w:iCs w:val="0"/>
          <w:caps w:val="0"/>
          <w:color w:val="auto"/>
          <w:spacing w:val="0"/>
          <w:sz w:val="32"/>
          <w:szCs w:val="32"/>
          <w:highlight w:val="none"/>
          <w:shd w:val="clear" w:fill="FFFFFF"/>
          <w:lang w:eastAsia="zh-CN"/>
        </w:rPr>
        <w:t>结果</w:t>
      </w:r>
      <w:r>
        <w:rPr>
          <w:rFonts w:hint="default" w:ascii="Times New Roman" w:hAnsi="Times New Roman" w:eastAsia="仿宋_GB2312" w:cs="仿宋_GB2312"/>
          <w:i w:val="0"/>
          <w:iCs w:val="0"/>
          <w:caps w:val="0"/>
          <w:color w:val="auto"/>
          <w:spacing w:val="0"/>
          <w:sz w:val="32"/>
          <w:szCs w:val="32"/>
          <w:highlight w:val="none"/>
          <w:shd w:val="clear" w:fill="FFFFFF"/>
        </w:rPr>
        <w:t>与项目预算绩效</w:t>
      </w:r>
      <w:r>
        <w:rPr>
          <w:rFonts w:hint="eastAsia" w:ascii="Times New Roman" w:hAnsi="Times New Roman" w:eastAsia="仿宋_GB2312" w:cs="仿宋_GB2312"/>
          <w:i w:val="0"/>
          <w:iCs w:val="0"/>
          <w:caps w:val="0"/>
          <w:color w:val="auto"/>
          <w:spacing w:val="0"/>
          <w:sz w:val="32"/>
          <w:szCs w:val="32"/>
          <w:highlight w:val="none"/>
          <w:shd w:val="clear" w:fill="FFFFFF"/>
          <w:lang w:eastAsia="zh-CN"/>
        </w:rPr>
        <w:t>计划指标内容</w:t>
      </w:r>
      <w:r>
        <w:rPr>
          <w:rFonts w:hint="default" w:ascii="Times New Roman" w:hAnsi="Times New Roman" w:eastAsia="仿宋_GB2312" w:cs="仿宋_GB2312"/>
          <w:i w:val="0"/>
          <w:iCs w:val="0"/>
          <w:caps w:val="0"/>
          <w:color w:val="auto"/>
          <w:spacing w:val="0"/>
          <w:sz w:val="32"/>
          <w:szCs w:val="32"/>
          <w:highlight w:val="none"/>
          <w:shd w:val="clear" w:fill="FFFFFF"/>
        </w:rPr>
        <w:t>存在偏差</w:t>
      </w:r>
      <w:r>
        <w:rPr>
          <w:rFonts w:hint="eastAsia" w:ascii="Times New Roman" w:hAnsi="Times New Roman" w:eastAsia="仿宋_GB2312" w:cs="仿宋_GB2312"/>
          <w:i w:val="0"/>
          <w:iCs w:val="0"/>
          <w:caps w:val="0"/>
          <w:color w:val="auto"/>
          <w:spacing w:val="0"/>
          <w:sz w:val="32"/>
          <w:szCs w:val="32"/>
          <w:highlight w:val="none"/>
          <w:shd w:val="clear" w:fill="FFFFFF"/>
          <w:lang w:eastAsia="zh-CN"/>
        </w:rPr>
        <w:t>，其主要原因是年初预算绩效目标测算不太精准。</w:t>
      </w:r>
      <w:r>
        <w:rPr>
          <w:rFonts w:hint="eastAsia" w:ascii="Times New Roman" w:hAnsi="Times New Roman" w:eastAsia="仿宋_GB2312" w:cs="仿宋_GB2312"/>
          <w:color w:val="auto"/>
          <w:sz w:val="32"/>
          <w:szCs w:val="32"/>
        </w:rPr>
        <w:t>财政科学化、精细化管理水平有待进一步提高。</w:t>
      </w:r>
      <w:r>
        <w:rPr>
          <w:rFonts w:hint="eastAsia" w:ascii="Times New Roman" w:hAnsi="Times New Roman" w:eastAsia="仿宋_GB2312" w:cs="仿宋_GB2312"/>
          <w:color w:val="auto"/>
          <w:kern w:val="2"/>
          <w:sz w:val="32"/>
          <w:szCs w:val="32"/>
          <w:lang w:val="en-US" w:eastAsia="zh-CN" w:bidi="ar-SA"/>
        </w:rPr>
        <w:t>今后我镇继续围绕绩效中心工作，服务大局，以更高的标准和要求抓好工作。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outlineLvl w:val="2"/>
        <w:rPr>
          <w:rFonts w:hint="eastAsia" w:ascii="楷体" w:hAnsi="楷体" w:eastAsia="楷体" w:cs="楷体"/>
          <w:b/>
          <w:bCs/>
          <w:sz w:val="32"/>
          <w:szCs w:val="32"/>
        </w:rPr>
      </w:pPr>
      <w:bookmarkStart w:id="151" w:name="_Toc2810"/>
      <w:r>
        <w:rPr>
          <w:rFonts w:hint="eastAsia" w:ascii="楷体" w:hAnsi="楷体" w:eastAsia="楷体" w:cs="楷体"/>
          <w:b/>
          <w:bCs/>
          <w:sz w:val="32"/>
          <w:szCs w:val="32"/>
        </w:rPr>
        <w:t>(三)改进建议</w:t>
      </w:r>
      <w:bookmarkEnd w:id="151"/>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bCs w:val="0"/>
          <w:i w:val="0"/>
          <w:caps w:val="0"/>
          <w:color w:val="auto"/>
          <w:spacing w:val="0"/>
          <w:sz w:val="32"/>
          <w:szCs w:val="32"/>
          <w:shd w:val="clear" w:color="auto" w:fill="FFFFFF"/>
          <w:lang w:eastAsia="zh-CN"/>
        </w:rPr>
      </w:pPr>
      <w:r>
        <w:rPr>
          <w:rFonts w:hint="default" w:ascii="Times New Roman" w:hAnsi="Times New Roman" w:eastAsia="仿宋_GB2312" w:cs="Times New Roman"/>
          <w:b w:val="0"/>
          <w:bCs w:val="0"/>
          <w:i w:val="0"/>
          <w:caps w:val="0"/>
          <w:color w:val="auto"/>
          <w:spacing w:val="0"/>
          <w:sz w:val="32"/>
          <w:szCs w:val="32"/>
          <w:shd w:val="clear" w:color="auto" w:fill="FFFFFF"/>
        </w:rPr>
        <w:t>1</w:t>
      </w:r>
      <w:r>
        <w:rPr>
          <w:rFonts w:hint="default" w:ascii="Times New Roman" w:hAnsi="Times New Roman" w:eastAsia="仿宋_GB2312" w:cs="Times New Roman"/>
          <w:b w:val="0"/>
          <w:bCs w:val="0"/>
          <w:i w:val="0"/>
          <w:caps w:val="0"/>
          <w:color w:val="auto"/>
          <w:spacing w:val="0"/>
          <w:sz w:val="32"/>
          <w:szCs w:val="32"/>
          <w:shd w:val="clear" w:color="auto" w:fill="FFFFFF"/>
          <w:lang w:eastAsia="zh-CN"/>
        </w:rPr>
        <w:t>.严格按照预算编制的相关制度和要求进行预算编制，全面编制预算项目，优先保障固定性</w:t>
      </w:r>
      <w:r>
        <w:rPr>
          <w:rFonts w:hint="eastAsia" w:ascii="Times New Roman" w:hAnsi="Times New Roman" w:eastAsia="仿宋_GB2312" w:cs="Times New Roman"/>
          <w:b w:val="0"/>
          <w:bCs w:val="0"/>
          <w:i w:val="0"/>
          <w:caps w:val="0"/>
          <w:color w:val="auto"/>
          <w:spacing w:val="0"/>
          <w:sz w:val="32"/>
          <w:szCs w:val="32"/>
          <w:shd w:val="clear" w:color="auto" w:fill="FFFFFF"/>
          <w:lang w:eastAsia="zh-CN"/>
        </w:rPr>
        <w:t>和</w:t>
      </w:r>
      <w:r>
        <w:rPr>
          <w:rFonts w:hint="default" w:ascii="Times New Roman" w:hAnsi="Times New Roman" w:eastAsia="仿宋_GB2312" w:cs="Times New Roman"/>
          <w:b w:val="0"/>
          <w:bCs w:val="0"/>
          <w:i w:val="0"/>
          <w:caps w:val="0"/>
          <w:color w:val="auto"/>
          <w:spacing w:val="0"/>
          <w:sz w:val="32"/>
          <w:szCs w:val="32"/>
          <w:shd w:val="clear" w:color="auto" w:fill="FFFFFF"/>
          <w:lang w:eastAsia="zh-CN"/>
        </w:rPr>
        <w:t>相对刚性的费用开支项目，尽量压缩</w:t>
      </w:r>
      <w:r>
        <w:rPr>
          <w:rFonts w:hint="eastAsia" w:ascii="Times New Roman" w:hAnsi="Times New Roman" w:eastAsia="仿宋_GB2312" w:cs="Times New Roman"/>
          <w:b w:val="0"/>
          <w:bCs w:val="0"/>
          <w:i w:val="0"/>
          <w:caps w:val="0"/>
          <w:color w:val="auto"/>
          <w:spacing w:val="0"/>
          <w:sz w:val="32"/>
          <w:szCs w:val="32"/>
          <w:shd w:val="clear" w:color="auto" w:fill="FFFFFF"/>
          <w:lang w:eastAsia="zh-CN"/>
        </w:rPr>
        <w:t>具有</w:t>
      </w:r>
      <w:r>
        <w:rPr>
          <w:rFonts w:hint="default" w:ascii="Times New Roman" w:hAnsi="Times New Roman" w:eastAsia="仿宋_GB2312" w:cs="Times New Roman"/>
          <w:b w:val="0"/>
          <w:bCs w:val="0"/>
          <w:i w:val="0"/>
          <w:caps w:val="0"/>
          <w:color w:val="auto"/>
          <w:spacing w:val="0"/>
          <w:sz w:val="32"/>
          <w:szCs w:val="32"/>
          <w:shd w:val="clear" w:color="auto" w:fill="FFFFFF"/>
          <w:lang w:eastAsia="zh-CN"/>
        </w:rPr>
        <w:t>变动性，有控制空间的费用项目，进一步提高预算编制的科学性，严谨性和可控性。</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pacing w:before="0" w:beforeAutospacing="0" w:afterAutospacing="0" w:line="560" w:lineRule="exact"/>
        <w:ind w:left="0" w:leftChars="0" w:right="0" w:firstLine="640" w:firstLineChars="200"/>
        <w:jc w:val="both"/>
        <w:textAlignment w:val="auto"/>
        <w:rPr>
          <w:rFonts w:hint="default" w:ascii="Times New Roman" w:hAnsi="Times New Roman" w:eastAsia="仿宋_GB2312" w:cs="Times New Roman"/>
          <w:b w:val="0"/>
          <w:bCs w:val="0"/>
          <w:i w:val="0"/>
          <w:caps w:val="0"/>
          <w:color w:val="auto"/>
          <w:spacing w:val="0"/>
          <w:sz w:val="32"/>
          <w:szCs w:val="32"/>
          <w:shd w:val="clear" w:color="auto" w:fill="FFFFFF"/>
        </w:rPr>
      </w:pPr>
      <w:r>
        <w:rPr>
          <w:rFonts w:hint="default" w:ascii="Times New Roman" w:hAnsi="Times New Roman" w:eastAsia="仿宋_GB2312" w:cs="Times New Roman"/>
          <w:b w:val="0"/>
          <w:bCs w:val="0"/>
          <w:i w:val="0"/>
          <w:caps w:val="0"/>
          <w:color w:val="auto"/>
          <w:spacing w:val="0"/>
          <w:sz w:val="32"/>
          <w:szCs w:val="32"/>
          <w:shd w:val="clear" w:color="auto" w:fill="FFFFFF"/>
        </w:rPr>
        <w:t>2</w:t>
      </w:r>
      <w:r>
        <w:rPr>
          <w:rFonts w:hint="default" w:ascii="Times New Roman" w:hAnsi="Times New Roman" w:eastAsia="仿宋_GB2312" w:cs="Times New Roman"/>
          <w:b w:val="0"/>
          <w:bCs w:val="0"/>
          <w:i w:val="0"/>
          <w:caps w:val="0"/>
          <w:color w:val="auto"/>
          <w:spacing w:val="0"/>
          <w:sz w:val="32"/>
          <w:szCs w:val="32"/>
          <w:shd w:val="clear" w:color="auto" w:fill="FFFFFF"/>
          <w:lang w:eastAsia="zh-CN"/>
        </w:rPr>
        <w:t>.</w:t>
      </w:r>
      <w:r>
        <w:rPr>
          <w:rFonts w:hint="default" w:ascii="Times New Roman" w:hAnsi="Times New Roman" w:eastAsia="仿宋_GB2312" w:cs="Times New Roman"/>
          <w:b w:val="0"/>
          <w:bCs w:val="0"/>
          <w:i w:val="0"/>
          <w:caps w:val="0"/>
          <w:color w:val="auto"/>
          <w:spacing w:val="0"/>
          <w:sz w:val="32"/>
          <w:szCs w:val="32"/>
          <w:shd w:val="clear" w:color="auto" w:fill="FFFFFF"/>
        </w:rPr>
        <w:t>加强单位财务管理，健全单位财务管理制度体系，规范单位财务行为</w:t>
      </w:r>
      <w:r>
        <w:rPr>
          <w:rFonts w:hint="eastAsia" w:ascii="Times New Roman" w:hAnsi="Times New Roman" w:eastAsia="仿宋_GB2312" w:cs="Times New Roman"/>
          <w:b w:val="0"/>
          <w:bCs w:val="0"/>
          <w:i w:val="0"/>
          <w:caps w:val="0"/>
          <w:color w:val="auto"/>
          <w:spacing w:val="0"/>
          <w:sz w:val="32"/>
          <w:szCs w:val="32"/>
          <w:shd w:val="clear" w:color="auto" w:fill="FFFFFF"/>
          <w:lang w:eastAsia="zh-CN"/>
        </w:rPr>
        <w:t>，</w:t>
      </w:r>
      <w:r>
        <w:rPr>
          <w:rFonts w:hint="default" w:ascii="Times New Roman" w:hAnsi="Times New Roman" w:eastAsia="仿宋_GB2312" w:cs="Times New Roman"/>
          <w:b w:val="0"/>
          <w:bCs w:val="0"/>
          <w:i w:val="0"/>
          <w:caps w:val="0"/>
          <w:color w:val="auto"/>
          <w:spacing w:val="0"/>
          <w:sz w:val="32"/>
          <w:szCs w:val="32"/>
          <w:shd w:val="clear" w:color="auto" w:fill="FFFFFF"/>
        </w:rPr>
        <w:t>在费用报账支付时，</w:t>
      </w:r>
      <w:r>
        <w:rPr>
          <w:rFonts w:hint="eastAsia" w:ascii="Times New Roman" w:hAnsi="Times New Roman" w:eastAsia="仿宋_GB2312" w:cs="Times New Roman"/>
          <w:b w:val="0"/>
          <w:bCs w:val="0"/>
          <w:i w:val="0"/>
          <w:caps w:val="0"/>
          <w:color w:val="auto"/>
          <w:spacing w:val="0"/>
          <w:sz w:val="32"/>
          <w:szCs w:val="32"/>
          <w:shd w:val="clear" w:color="auto" w:fill="FFFFFF"/>
          <w:lang w:eastAsia="zh-CN"/>
        </w:rPr>
        <w:t>严格把关，</w:t>
      </w:r>
      <w:r>
        <w:rPr>
          <w:rFonts w:hint="default" w:ascii="Times New Roman" w:hAnsi="Times New Roman" w:eastAsia="仿宋_GB2312" w:cs="Times New Roman"/>
          <w:b w:val="0"/>
          <w:bCs w:val="0"/>
          <w:i w:val="0"/>
          <w:caps w:val="0"/>
          <w:color w:val="auto"/>
          <w:spacing w:val="0"/>
          <w:sz w:val="32"/>
          <w:szCs w:val="32"/>
          <w:shd w:val="clear" w:color="auto" w:fill="FFFFFF"/>
        </w:rPr>
        <w:t>按照预算规定的费用项目和用途进行资金使用审核、列报支付、财务核算，杜绝超支现象的发生。</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pacing w:before="0" w:beforeAutospacing="0" w:afterAutospacing="0" w:line="560" w:lineRule="exact"/>
        <w:ind w:left="0" w:leftChars="0" w:right="0" w:firstLine="640" w:firstLineChars="200"/>
        <w:jc w:val="both"/>
        <w:textAlignment w:val="auto"/>
        <w:rPr>
          <w:rFonts w:hint="default" w:ascii="Times New Roman" w:hAnsi="Times New Roman" w:eastAsia="仿宋_GB2312" w:cs="Times New Roman"/>
          <w:b w:val="0"/>
          <w:bCs w:val="0"/>
          <w:i w:val="0"/>
          <w:caps w:val="0"/>
          <w:color w:val="auto"/>
          <w:spacing w:val="0"/>
          <w:sz w:val="32"/>
          <w:szCs w:val="32"/>
          <w:shd w:val="clear" w:color="auto" w:fill="FFFFFF"/>
        </w:rPr>
      </w:pPr>
      <w:r>
        <w:rPr>
          <w:rFonts w:hint="default" w:ascii="Times New Roman" w:hAnsi="Times New Roman" w:eastAsia="仿宋_GB2312" w:cs="Times New Roman"/>
          <w:b w:val="0"/>
          <w:bCs w:val="0"/>
          <w:i w:val="0"/>
          <w:caps w:val="0"/>
          <w:color w:val="auto"/>
          <w:spacing w:val="0"/>
          <w:sz w:val="32"/>
          <w:szCs w:val="32"/>
          <w:shd w:val="clear" w:color="auto" w:fill="FFFFFF"/>
        </w:rPr>
        <w:t>3</w:t>
      </w:r>
      <w:r>
        <w:rPr>
          <w:rFonts w:hint="default" w:ascii="Times New Roman" w:hAnsi="Times New Roman" w:eastAsia="仿宋_GB2312" w:cs="Times New Roman"/>
          <w:b w:val="0"/>
          <w:bCs w:val="0"/>
          <w:i w:val="0"/>
          <w:caps w:val="0"/>
          <w:color w:val="auto"/>
          <w:spacing w:val="0"/>
          <w:sz w:val="32"/>
          <w:szCs w:val="32"/>
          <w:shd w:val="clear" w:color="auto" w:fill="FFFFFF"/>
          <w:lang w:eastAsia="zh-CN"/>
        </w:rPr>
        <w:t>.</w:t>
      </w:r>
      <w:r>
        <w:rPr>
          <w:rFonts w:hint="default" w:ascii="Times New Roman" w:hAnsi="Times New Roman" w:eastAsia="仿宋_GB2312" w:cs="Times New Roman"/>
          <w:b w:val="0"/>
          <w:bCs w:val="0"/>
          <w:i w:val="0"/>
          <w:caps w:val="0"/>
          <w:color w:val="auto"/>
          <w:spacing w:val="0"/>
          <w:sz w:val="32"/>
          <w:szCs w:val="32"/>
          <w:shd w:val="clear" w:color="auto" w:fill="FFFFFF"/>
        </w:rPr>
        <w:t>完善资产管理，抓好“三公”经费控制。规范各类资产的购置审批、使用管理、资产处置和报废审批制度，加强单位内部资产管理工作。严格控制“三公”经费的规模和比例，把关“三公”经费支出的审核，细化“三公”经费管理，合理压缩“三公”经费支出。</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pacing w:before="0" w:beforeAutospacing="0" w:afterAutospacing="0" w:line="560" w:lineRule="exact"/>
        <w:ind w:left="0" w:leftChars="0" w:right="0" w:firstLine="640" w:firstLineChars="200"/>
        <w:jc w:val="both"/>
        <w:textAlignment w:val="auto"/>
        <w:rPr>
          <w:rFonts w:hint="default" w:ascii="Times New Roman" w:hAnsi="Times New Roman" w:eastAsia="仿宋_GB2312" w:cs="Times New Roman"/>
          <w:b w:val="0"/>
          <w:bCs w:val="0"/>
          <w:i w:val="0"/>
          <w:caps w:val="0"/>
          <w:color w:val="auto"/>
          <w:spacing w:val="0"/>
          <w:sz w:val="32"/>
          <w:szCs w:val="32"/>
          <w:shd w:val="clear" w:color="auto" w:fill="FFFFFF"/>
          <w:lang w:val="en-US" w:eastAsia="zh-CN"/>
        </w:rPr>
      </w:pPr>
      <w:r>
        <w:rPr>
          <w:rFonts w:hint="default" w:ascii="Times New Roman" w:hAnsi="Times New Roman" w:eastAsia="仿宋_GB2312" w:cs="Times New Roman"/>
          <w:b w:val="0"/>
          <w:bCs w:val="0"/>
          <w:i w:val="0"/>
          <w:caps w:val="0"/>
          <w:color w:val="auto"/>
          <w:spacing w:val="0"/>
          <w:sz w:val="32"/>
          <w:szCs w:val="32"/>
          <w:shd w:val="clear" w:color="auto" w:fill="FFFFFF"/>
        </w:rPr>
        <w:t>4</w:t>
      </w:r>
      <w:r>
        <w:rPr>
          <w:rFonts w:hint="default" w:ascii="Times New Roman" w:hAnsi="Times New Roman" w:eastAsia="仿宋_GB2312" w:cs="Times New Roman"/>
          <w:b w:val="0"/>
          <w:bCs w:val="0"/>
          <w:i w:val="0"/>
          <w:caps w:val="0"/>
          <w:color w:val="auto"/>
          <w:spacing w:val="0"/>
          <w:sz w:val="32"/>
          <w:szCs w:val="32"/>
          <w:shd w:val="clear" w:color="auto" w:fill="FFFFFF"/>
          <w:lang w:eastAsia="zh-CN"/>
        </w:rPr>
        <w:t>.</w:t>
      </w:r>
      <w:r>
        <w:rPr>
          <w:rFonts w:hint="default" w:ascii="Times New Roman" w:hAnsi="Times New Roman" w:eastAsia="仿宋_GB2312" w:cs="Times New Roman"/>
          <w:b w:val="0"/>
          <w:bCs w:val="0"/>
          <w:i w:val="0"/>
          <w:caps w:val="0"/>
          <w:color w:val="auto"/>
          <w:spacing w:val="0"/>
          <w:sz w:val="32"/>
          <w:szCs w:val="32"/>
          <w:shd w:val="clear" w:color="auto" w:fill="FFFFFF"/>
        </w:rPr>
        <w:t>对相关人员加强培训，特别是针对《预算法</w:t>
      </w:r>
      <w:r>
        <w:rPr>
          <w:rFonts w:hint="eastAsia" w:eastAsia="仿宋_GB2312" w:cs="Times New Roman"/>
          <w:b w:val="0"/>
          <w:bCs w:val="0"/>
          <w:i w:val="0"/>
          <w:caps w:val="0"/>
          <w:color w:val="auto"/>
          <w:spacing w:val="0"/>
          <w:sz w:val="32"/>
          <w:szCs w:val="32"/>
          <w:shd w:val="clear" w:color="auto" w:fill="FFFFFF"/>
          <w:lang w:eastAsia="zh-CN"/>
        </w:rPr>
        <w:t>》《</w:t>
      </w:r>
      <w:r>
        <w:rPr>
          <w:rFonts w:hint="default" w:ascii="Times New Roman" w:hAnsi="Times New Roman" w:eastAsia="仿宋_GB2312" w:cs="Times New Roman"/>
          <w:b w:val="0"/>
          <w:bCs w:val="0"/>
          <w:i w:val="0"/>
          <w:caps w:val="0"/>
          <w:color w:val="auto"/>
          <w:spacing w:val="0"/>
          <w:sz w:val="32"/>
          <w:szCs w:val="32"/>
          <w:shd w:val="clear" w:color="auto" w:fill="FFFFFF"/>
        </w:rPr>
        <w:t>行政事业单位会计制度》等学习培训，规范部门预算收支核算，切实提高部门预算收支管理水平。</w:t>
      </w:r>
    </w:p>
    <w:p>
      <w:pPr>
        <w:rPr>
          <w:rFonts w:hint="eastAsia" w:ascii="方正小标宋简体" w:hAnsi="方正小标宋简体" w:eastAsia="方正小标宋简体" w:cs="方正小标宋简体"/>
          <w:b/>
          <w:bCs/>
          <w:spacing w:val="0"/>
          <w:sz w:val="44"/>
          <w:szCs w:val="44"/>
        </w:rPr>
      </w:pPr>
      <w:r>
        <w:rPr>
          <w:rFonts w:hint="eastAsia" w:hAnsi="宋体" w:cs="宋体"/>
          <w:color w:val="auto"/>
          <w:kern w:val="0"/>
          <w:sz w:val="32"/>
          <w:szCs w:val="32"/>
          <w:highlight w:val="none"/>
          <w:shd w:val="clear" w:color="auto" w:fill="FFFFFF"/>
          <w:lang w:val="zh-CN"/>
        </w:rPr>
        <w:br w:type="page"/>
      </w:r>
      <w:bookmarkStart w:id="152" w:name="_Toc29648"/>
      <w:bookmarkStart w:id="153" w:name="_Toc965"/>
      <w:bookmarkStart w:id="154" w:name="_Toc4459"/>
    </w:p>
    <w:p>
      <w:pPr>
        <w:spacing w:before="5" w:line="215" w:lineRule="auto"/>
        <w:jc w:val="center"/>
        <w:outlineLvl w:val="1"/>
        <w:rPr>
          <w:rFonts w:hint="eastAsia"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b/>
          <w:bCs/>
          <w:spacing w:val="0"/>
          <w:sz w:val="44"/>
          <w:szCs w:val="44"/>
        </w:rPr>
        <w:t>广元市昭化区部门整体支出绩效目标自评表</w:t>
      </w:r>
      <w:bookmarkEnd w:id="152"/>
      <w:bookmarkEnd w:id="153"/>
      <w:bookmarkEnd w:id="154"/>
    </w:p>
    <w:p>
      <w:pPr>
        <w:spacing w:line="219" w:lineRule="auto"/>
        <w:ind w:left="4044"/>
        <w:rPr>
          <w:rFonts w:hint="eastAsia" w:ascii="Times New Roman" w:hAnsi="Times New Roman" w:eastAsia="宋体" w:cs="宋体"/>
          <w:sz w:val="25"/>
          <w:szCs w:val="25"/>
          <w:lang w:eastAsia="zh-CN"/>
        </w:rPr>
      </w:pPr>
      <w:r>
        <w:rPr>
          <w:rFonts w:hint="eastAsia" w:cs="宋体"/>
          <w:sz w:val="25"/>
          <w:szCs w:val="25"/>
          <w:lang w:eastAsia="zh-CN"/>
        </w:rPr>
        <w:t>（</w:t>
      </w:r>
      <w:r>
        <w:rPr>
          <w:rFonts w:hint="eastAsia" w:ascii="Times New Roman" w:hAnsi="Times New Roman" w:eastAsia="宋体" w:cs="宋体"/>
          <w:spacing w:val="24"/>
          <w:sz w:val="25"/>
          <w:szCs w:val="25"/>
          <w:lang w:val="en-US" w:eastAsia="zh-CN"/>
        </w:rPr>
        <w:t>2022</w:t>
      </w:r>
      <w:r>
        <w:rPr>
          <w:rFonts w:ascii="Times New Roman" w:hAnsi="Times New Roman" w:eastAsia="宋体" w:cs="宋体"/>
          <w:spacing w:val="-16"/>
          <w:sz w:val="25"/>
          <w:szCs w:val="25"/>
        </w:rPr>
        <w:t>年度</w:t>
      </w:r>
      <w:r>
        <w:rPr>
          <w:rFonts w:hint="eastAsia" w:cs="宋体"/>
          <w:sz w:val="25"/>
          <w:szCs w:val="25"/>
          <w:lang w:eastAsia="zh-CN"/>
        </w:rPr>
        <w:t>）</w:t>
      </w:r>
    </w:p>
    <w:p>
      <w:pPr>
        <w:spacing w:line="147" w:lineRule="exact"/>
        <w:rPr>
          <w:rFonts w:ascii="Times New Roman" w:hAnsi="Times New Roman"/>
        </w:rPr>
      </w:pPr>
    </w:p>
    <w:tbl>
      <w:tblPr>
        <w:tblStyle w:val="39"/>
        <w:tblW w:w="969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6"/>
        <w:gridCol w:w="840"/>
        <w:gridCol w:w="1350"/>
        <w:gridCol w:w="1005"/>
        <w:gridCol w:w="1560"/>
        <w:gridCol w:w="1155"/>
        <w:gridCol w:w="1350"/>
        <w:gridCol w:w="17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506" w:type="dxa"/>
            <w:gridSpan w:val="2"/>
            <w:vAlign w:val="top"/>
          </w:tcPr>
          <w:p>
            <w:pPr>
              <w:spacing w:before="92" w:line="219" w:lineRule="auto"/>
              <w:ind w:left="434"/>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rPr>
              <w:t>主管部门</w:t>
            </w:r>
          </w:p>
        </w:tc>
        <w:tc>
          <w:tcPr>
            <w:tcW w:w="3915" w:type="dxa"/>
            <w:gridSpan w:val="3"/>
            <w:vAlign w:val="top"/>
          </w:tcPr>
          <w:p>
            <w:pPr>
              <w:spacing w:line="360" w:lineRule="auto"/>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pacing w:val="5"/>
                <w:sz w:val="21"/>
                <w:szCs w:val="21"/>
                <w:lang w:eastAsia="zh-CN"/>
              </w:rPr>
              <w:t>昭化区磨滩镇人民政府</w:t>
            </w:r>
          </w:p>
        </w:tc>
        <w:tc>
          <w:tcPr>
            <w:tcW w:w="1155" w:type="dxa"/>
            <w:vAlign w:val="top"/>
          </w:tcPr>
          <w:p>
            <w:pPr>
              <w:spacing w:before="93" w:line="22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实施单位</w:t>
            </w:r>
          </w:p>
        </w:tc>
        <w:tc>
          <w:tcPr>
            <w:tcW w:w="3120" w:type="dxa"/>
            <w:gridSpan w:val="2"/>
            <w:vAlign w:val="top"/>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lang w:eastAsia="zh-CN"/>
              </w:rPr>
              <w:t>昭化区磨滩镇人民政府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506" w:type="dxa"/>
            <w:gridSpan w:val="2"/>
            <w:vMerge w:val="restart"/>
            <w:tcBorders>
              <w:bottom w:val="nil"/>
            </w:tcBorders>
            <w:vAlign w:val="top"/>
          </w:tcPr>
          <w:p>
            <w:pPr>
              <w:spacing w:line="246" w:lineRule="auto"/>
              <w:rPr>
                <w:rFonts w:hint="eastAsia" w:ascii="仿宋_GB2312" w:hAnsi="仿宋_GB2312" w:eastAsia="仿宋_GB2312" w:cs="仿宋_GB2312"/>
                <w:sz w:val="21"/>
                <w:szCs w:val="21"/>
              </w:rPr>
            </w:pPr>
          </w:p>
          <w:p>
            <w:pPr>
              <w:spacing w:line="246" w:lineRule="auto"/>
              <w:rPr>
                <w:rFonts w:hint="eastAsia" w:ascii="仿宋_GB2312" w:hAnsi="仿宋_GB2312" w:eastAsia="仿宋_GB2312" w:cs="仿宋_GB2312"/>
                <w:sz w:val="21"/>
                <w:szCs w:val="21"/>
              </w:rPr>
            </w:pPr>
          </w:p>
          <w:p>
            <w:pPr>
              <w:spacing w:line="246" w:lineRule="auto"/>
              <w:rPr>
                <w:rFonts w:hint="eastAsia" w:ascii="仿宋_GB2312" w:hAnsi="仿宋_GB2312" w:eastAsia="仿宋_GB2312" w:cs="仿宋_GB2312"/>
                <w:sz w:val="21"/>
                <w:szCs w:val="21"/>
              </w:rPr>
            </w:pPr>
          </w:p>
          <w:p>
            <w:pPr>
              <w:spacing w:line="247" w:lineRule="auto"/>
              <w:rPr>
                <w:rFonts w:hint="eastAsia" w:ascii="仿宋_GB2312" w:hAnsi="仿宋_GB2312" w:eastAsia="仿宋_GB2312" w:cs="仿宋_GB2312"/>
                <w:sz w:val="21"/>
                <w:szCs w:val="21"/>
              </w:rPr>
            </w:pPr>
          </w:p>
          <w:p>
            <w:pPr>
              <w:spacing w:line="247" w:lineRule="auto"/>
              <w:rPr>
                <w:rFonts w:hint="eastAsia" w:ascii="仿宋_GB2312" w:hAnsi="仿宋_GB2312" w:eastAsia="仿宋_GB2312" w:cs="仿宋_GB2312"/>
                <w:sz w:val="21"/>
                <w:szCs w:val="21"/>
              </w:rPr>
            </w:pPr>
          </w:p>
          <w:p>
            <w:pPr>
              <w:spacing w:before="59" w:line="248" w:lineRule="auto"/>
              <w:ind w:right="277"/>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项目(政策)资金</w:t>
            </w:r>
            <w:r>
              <w:rPr>
                <w:rFonts w:hint="eastAsia" w:ascii="仿宋_GB2312" w:hAnsi="仿宋_GB2312" w:eastAsia="仿宋_GB2312" w:cs="仿宋_GB2312"/>
                <w:spacing w:val="9"/>
                <w:sz w:val="21"/>
                <w:szCs w:val="21"/>
              </w:rPr>
              <w:t>(万元)</w:t>
            </w:r>
          </w:p>
        </w:tc>
        <w:tc>
          <w:tcPr>
            <w:tcW w:w="2355" w:type="dxa"/>
            <w:gridSpan w:val="2"/>
            <w:vAlign w:val="top"/>
          </w:tcPr>
          <w:p>
            <w:pPr>
              <w:rPr>
                <w:rFonts w:hint="eastAsia" w:ascii="仿宋_GB2312" w:hAnsi="仿宋_GB2312" w:eastAsia="仿宋_GB2312" w:cs="仿宋_GB2312"/>
                <w:sz w:val="21"/>
                <w:szCs w:val="21"/>
              </w:rPr>
            </w:pPr>
          </w:p>
        </w:tc>
        <w:tc>
          <w:tcPr>
            <w:tcW w:w="1560" w:type="dxa"/>
            <w:vAlign w:val="top"/>
          </w:tcPr>
          <w:p>
            <w:pPr>
              <w:spacing w:before="87"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年初预算数</w:t>
            </w:r>
          </w:p>
        </w:tc>
        <w:tc>
          <w:tcPr>
            <w:tcW w:w="1155" w:type="dxa"/>
            <w:vAlign w:val="top"/>
          </w:tcPr>
          <w:p>
            <w:pPr>
              <w:spacing w:before="87"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全年预算数</w:t>
            </w:r>
          </w:p>
        </w:tc>
        <w:tc>
          <w:tcPr>
            <w:tcW w:w="1350" w:type="dxa"/>
            <w:vAlign w:val="top"/>
          </w:tcPr>
          <w:p>
            <w:pPr>
              <w:spacing w:before="87"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全年执行数</w:t>
            </w:r>
          </w:p>
        </w:tc>
        <w:tc>
          <w:tcPr>
            <w:tcW w:w="1770" w:type="dxa"/>
            <w:vAlign w:val="top"/>
          </w:tcPr>
          <w:p>
            <w:pPr>
              <w:spacing w:before="87"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6"/>
                <w:sz w:val="21"/>
                <w:szCs w:val="21"/>
              </w:rPr>
              <w:t>执行率(%)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506" w:type="dxa"/>
            <w:gridSpan w:val="2"/>
            <w:vMerge w:val="continue"/>
            <w:tcBorders>
              <w:top w:val="nil"/>
              <w:bottom w:val="nil"/>
            </w:tcBorders>
            <w:vAlign w:val="top"/>
          </w:tcPr>
          <w:p>
            <w:pPr>
              <w:rPr>
                <w:rFonts w:hint="eastAsia" w:ascii="仿宋_GB2312" w:hAnsi="仿宋_GB2312" w:eastAsia="仿宋_GB2312" w:cs="仿宋_GB2312"/>
                <w:sz w:val="21"/>
                <w:szCs w:val="21"/>
              </w:rPr>
            </w:pPr>
          </w:p>
        </w:tc>
        <w:tc>
          <w:tcPr>
            <w:tcW w:w="2355" w:type="dxa"/>
            <w:gridSpan w:val="2"/>
            <w:vAlign w:val="top"/>
          </w:tcPr>
          <w:p>
            <w:pPr>
              <w:spacing w:before="88" w:line="219" w:lineRule="auto"/>
              <w:ind w:left="162"/>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年度资金总额</w:t>
            </w:r>
          </w:p>
        </w:tc>
        <w:tc>
          <w:tcPr>
            <w:tcW w:w="1560" w:type="dxa"/>
            <w:vAlign w:val="top"/>
          </w:tcPr>
          <w:p>
            <w:pPr>
              <w:spacing w:before="90" w:line="219" w:lineRule="auto"/>
              <w:ind w:left="162"/>
              <w:jc w:val="center"/>
              <w:rPr>
                <w:rFonts w:hint="eastAsia" w:ascii="仿宋_GB2312" w:hAnsi="仿宋_GB2312" w:eastAsia="仿宋_GB2312" w:cs="仿宋_GB2312"/>
                <w:spacing w:val="1"/>
                <w:sz w:val="21"/>
                <w:szCs w:val="21"/>
                <w:highlight w:val="none"/>
                <w:lang w:val="en-US" w:eastAsia="zh-CN"/>
              </w:rPr>
            </w:pPr>
            <w:r>
              <w:rPr>
                <w:rFonts w:hint="eastAsia" w:ascii="仿宋_GB2312" w:hAnsi="仿宋_GB2312" w:eastAsia="仿宋_GB2312" w:cs="仿宋_GB2312"/>
                <w:spacing w:val="1"/>
                <w:sz w:val="21"/>
                <w:szCs w:val="21"/>
                <w:highlight w:val="none"/>
                <w:lang w:val="en-US" w:eastAsia="zh-CN"/>
              </w:rPr>
              <w:t>1134.84</w:t>
            </w:r>
          </w:p>
        </w:tc>
        <w:tc>
          <w:tcPr>
            <w:tcW w:w="1155" w:type="dxa"/>
            <w:vAlign w:val="top"/>
          </w:tcPr>
          <w:p>
            <w:pPr>
              <w:spacing w:before="90" w:line="219" w:lineRule="auto"/>
              <w:ind w:left="162"/>
              <w:jc w:val="center"/>
              <w:rPr>
                <w:rFonts w:hint="eastAsia" w:ascii="仿宋_GB2312" w:hAnsi="仿宋_GB2312" w:eastAsia="仿宋_GB2312" w:cs="仿宋_GB2312"/>
                <w:spacing w:val="1"/>
                <w:sz w:val="21"/>
                <w:szCs w:val="21"/>
                <w:highlight w:val="none"/>
                <w:lang w:val="en-US" w:eastAsia="zh-CN"/>
              </w:rPr>
            </w:pPr>
            <w:r>
              <w:rPr>
                <w:rFonts w:hint="eastAsia" w:ascii="仿宋_GB2312" w:hAnsi="仿宋_GB2312" w:eastAsia="仿宋_GB2312" w:cs="仿宋_GB2312"/>
                <w:spacing w:val="1"/>
                <w:sz w:val="21"/>
                <w:szCs w:val="21"/>
                <w:highlight w:val="none"/>
                <w:lang w:val="en-US" w:eastAsia="zh-CN"/>
              </w:rPr>
              <w:t>1155.99</w:t>
            </w:r>
          </w:p>
        </w:tc>
        <w:tc>
          <w:tcPr>
            <w:tcW w:w="1350" w:type="dxa"/>
            <w:vAlign w:val="top"/>
          </w:tcPr>
          <w:p>
            <w:pPr>
              <w:spacing w:before="90" w:line="219" w:lineRule="auto"/>
              <w:ind w:left="162"/>
              <w:jc w:val="center"/>
              <w:rPr>
                <w:rFonts w:hint="eastAsia" w:ascii="仿宋_GB2312" w:hAnsi="仿宋_GB2312" w:eastAsia="仿宋_GB2312" w:cs="仿宋_GB2312"/>
                <w:spacing w:val="1"/>
                <w:sz w:val="21"/>
                <w:szCs w:val="21"/>
                <w:highlight w:val="none"/>
                <w:lang w:val="en-US" w:eastAsia="zh-CN"/>
              </w:rPr>
            </w:pPr>
            <w:r>
              <w:rPr>
                <w:rFonts w:hint="eastAsia" w:ascii="仿宋_GB2312" w:hAnsi="仿宋_GB2312" w:eastAsia="仿宋_GB2312" w:cs="仿宋_GB2312"/>
                <w:spacing w:val="1"/>
                <w:sz w:val="21"/>
                <w:szCs w:val="21"/>
                <w:highlight w:val="none"/>
                <w:lang w:val="en-US" w:eastAsia="zh-CN"/>
              </w:rPr>
              <w:t>1155.99</w:t>
            </w:r>
          </w:p>
        </w:tc>
        <w:tc>
          <w:tcPr>
            <w:tcW w:w="1770" w:type="dxa"/>
            <w:vAlign w:val="top"/>
          </w:tcPr>
          <w:p>
            <w:pPr>
              <w:spacing w:before="90" w:line="219" w:lineRule="auto"/>
              <w:ind w:left="162"/>
              <w:jc w:val="center"/>
              <w:rPr>
                <w:rFonts w:hint="eastAsia" w:ascii="仿宋_GB2312" w:hAnsi="仿宋_GB2312" w:eastAsia="仿宋_GB2312" w:cs="仿宋_GB2312"/>
                <w:spacing w:val="1"/>
                <w:sz w:val="21"/>
                <w:szCs w:val="21"/>
                <w:highlight w:val="none"/>
                <w:lang w:val="en-US" w:eastAsia="zh-CN"/>
              </w:rPr>
            </w:pPr>
            <w:r>
              <w:rPr>
                <w:rFonts w:hint="eastAsia" w:ascii="仿宋_GB2312" w:hAnsi="仿宋_GB2312" w:eastAsia="仿宋_GB2312" w:cs="仿宋_GB2312"/>
                <w:spacing w:val="1"/>
                <w:sz w:val="21"/>
                <w:szCs w:val="21"/>
                <w:highlight w:val="none"/>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506" w:type="dxa"/>
            <w:gridSpan w:val="2"/>
            <w:vMerge w:val="continue"/>
            <w:tcBorders>
              <w:top w:val="nil"/>
              <w:bottom w:val="nil"/>
            </w:tcBorders>
            <w:vAlign w:val="top"/>
          </w:tcPr>
          <w:p>
            <w:pPr>
              <w:rPr>
                <w:rFonts w:hint="eastAsia" w:ascii="仿宋_GB2312" w:hAnsi="仿宋_GB2312" w:eastAsia="仿宋_GB2312" w:cs="仿宋_GB2312"/>
                <w:sz w:val="21"/>
                <w:szCs w:val="21"/>
              </w:rPr>
            </w:pPr>
          </w:p>
        </w:tc>
        <w:tc>
          <w:tcPr>
            <w:tcW w:w="2355" w:type="dxa"/>
            <w:gridSpan w:val="2"/>
            <w:vAlign w:val="top"/>
          </w:tcPr>
          <w:p>
            <w:pPr>
              <w:spacing w:before="89" w:line="219" w:lineRule="auto"/>
              <w:ind w:left="16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(一)财政拨款小计</w:t>
            </w:r>
          </w:p>
        </w:tc>
        <w:tc>
          <w:tcPr>
            <w:tcW w:w="1560" w:type="dxa"/>
            <w:vAlign w:val="top"/>
          </w:tcPr>
          <w:p>
            <w:pPr>
              <w:spacing w:before="90" w:line="219" w:lineRule="auto"/>
              <w:ind w:left="162" w:leftChars="0"/>
              <w:jc w:val="center"/>
              <w:rPr>
                <w:rFonts w:hint="eastAsia" w:ascii="仿宋_GB2312" w:hAnsi="仿宋_GB2312" w:eastAsia="仿宋_GB2312" w:cs="仿宋_GB2312"/>
                <w:spacing w:val="1"/>
                <w:sz w:val="21"/>
                <w:szCs w:val="21"/>
                <w:highlight w:val="none"/>
                <w:lang w:val="en-US" w:eastAsia="zh-CN"/>
              </w:rPr>
            </w:pPr>
            <w:r>
              <w:rPr>
                <w:rFonts w:hint="eastAsia" w:ascii="仿宋_GB2312" w:hAnsi="仿宋_GB2312" w:eastAsia="仿宋_GB2312" w:cs="仿宋_GB2312"/>
                <w:spacing w:val="1"/>
                <w:sz w:val="21"/>
                <w:szCs w:val="21"/>
                <w:highlight w:val="none"/>
                <w:lang w:val="en-US" w:eastAsia="zh-CN"/>
              </w:rPr>
              <w:t>1134.84</w:t>
            </w:r>
          </w:p>
        </w:tc>
        <w:tc>
          <w:tcPr>
            <w:tcW w:w="1155" w:type="dxa"/>
            <w:vAlign w:val="top"/>
          </w:tcPr>
          <w:p>
            <w:pPr>
              <w:spacing w:before="90" w:line="219" w:lineRule="auto"/>
              <w:ind w:left="162" w:leftChars="0"/>
              <w:jc w:val="center"/>
              <w:rPr>
                <w:rFonts w:hint="eastAsia" w:ascii="仿宋_GB2312" w:hAnsi="仿宋_GB2312" w:eastAsia="仿宋_GB2312" w:cs="仿宋_GB2312"/>
                <w:spacing w:val="1"/>
                <w:sz w:val="21"/>
                <w:szCs w:val="21"/>
                <w:highlight w:val="none"/>
                <w:lang w:val="en-US" w:eastAsia="zh-CN"/>
              </w:rPr>
            </w:pPr>
            <w:r>
              <w:rPr>
                <w:rFonts w:hint="eastAsia" w:ascii="仿宋_GB2312" w:hAnsi="仿宋_GB2312" w:eastAsia="仿宋_GB2312" w:cs="仿宋_GB2312"/>
                <w:spacing w:val="1"/>
                <w:sz w:val="21"/>
                <w:szCs w:val="21"/>
                <w:highlight w:val="none"/>
                <w:lang w:val="en-US" w:eastAsia="zh-CN"/>
              </w:rPr>
              <w:t>1155.99</w:t>
            </w:r>
          </w:p>
        </w:tc>
        <w:tc>
          <w:tcPr>
            <w:tcW w:w="1350" w:type="dxa"/>
            <w:vAlign w:val="top"/>
          </w:tcPr>
          <w:p>
            <w:pPr>
              <w:spacing w:before="90" w:line="219" w:lineRule="auto"/>
              <w:ind w:left="162" w:leftChars="0"/>
              <w:jc w:val="center"/>
              <w:rPr>
                <w:rFonts w:hint="eastAsia" w:ascii="仿宋_GB2312" w:hAnsi="仿宋_GB2312" w:eastAsia="仿宋_GB2312" w:cs="仿宋_GB2312"/>
                <w:spacing w:val="1"/>
                <w:sz w:val="21"/>
                <w:szCs w:val="21"/>
                <w:highlight w:val="none"/>
                <w:lang w:val="en-US" w:eastAsia="zh-CN"/>
              </w:rPr>
            </w:pPr>
            <w:r>
              <w:rPr>
                <w:rFonts w:hint="eastAsia" w:ascii="仿宋_GB2312" w:hAnsi="仿宋_GB2312" w:eastAsia="仿宋_GB2312" w:cs="仿宋_GB2312"/>
                <w:spacing w:val="1"/>
                <w:sz w:val="21"/>
                <w:szCs w:val="21"/>
                <w:highlight w:val="none"/>
                <w:lang w:val="en-US" w:eastAsia="zh-CN"/>
              </w:rPr>
              <w:t>1155.99</w:t>
            </w:r>
          </w:p>
        </w:tc>
        <w:tc>
          <w:tcPr>
            <w:tcW w:w="1770" w:type="dxa"/>
            <w:vAlign w:val="top"/>
          </w:tcPr>
          <w:p>
            <w:pPr>
              <w:spacing w:before="90" w:line="219" w:lineRule="auto"/>
              <w:ind w:left="162"/>
              <w:jc w:val="center"/>
              <w:rPr>
                <w:rFonts w:hint="eastAsia" w:ascii="仿宋_GB2312" w:hAnsi="仿宋_GB2312" w:eastAsia="仿宋_GB2312" w:cs="仿宋_GB2312"/>
                <w:spacing w:val="1"/>
                <w:sz w:val="21"/>
                <w:szCs w:val="21"/>
                <w:highlight w:val="none"/>
                <w:lang w:val="en-US" w:eastAsia="zh-CN"/>
              </w:rPr>
            </w:pPr>
            <w:r>
              <w:rPr>
                <w:rFonts w:hint="eastAsia" w:ascii="仿宋_GB2312" w:hAnsi="仿宋_GB2312" w:eastAsia="仿宋_GB2312" w:cs="仿宋_GB2312"/>
                <w:spacing w:val="1"/>
                <w:sz w:val="21"/>
                <w:szCs w:val="21"/>
                <w:highlight w:val="none"/>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1506" w:type="dxa"/>
            <w:gridSpan w:val="2"/>
            <w:vMerge w:val="continue"/>
            <w:tcBorders>
              <w:top w:val="nil"/>
              <w:bottom w:val="nil"/>
            </w:tcBorders>
            <w:vAlign w:val="top"/>
          </w:tcPr>
          <w:p>
            <w:pPr>
              <w:rPr>
                <w:rFonts w:hint="eastAsia" w:ascii="仿宋_GB2312" w:hAnsi="仿宋_GB2312" w:eastAsia="仿宋_GB2312" w:cs="仿宋_GB2312"/>
                <w:sz w:val="21"/>
                <w:szCs w:val="21"/>
              </w:rPr>
            </w:pPr>
          </w:p>
        </w:tc>
        <w:tc>
          <w:tcPr>
            <w:tcW w:w="2355" w:type="dxa"/>
            <w:gridSpan w:val="2"/>
            <w:vAlign w:val="top"/>
          </w:tcPr>
          <w:p>
            <w:pPr>
              <w:spacing w:before="90" w:line="219" w:lineRule="auto"/>
              <w:ind w:left="162"/>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1.一般公共预算</w:t>
            </w:r>
          </w:p>
        </w:tc>
        <w:tc>
          <w:tcPr>
            <w:tcW w:w="1560" w:type="dxa"/>
            <w:vAlign w:val="top"/>
          </w:tcPr>
          <w:p>
            <w:pPr>
              <w:spacing w:before="90" w:line="219" w:lineRule="auto"/>
              <w:ind w:left="162" w:leftChars="0"/>
              <w:jc w:val="center"/>
              <w:rPr>
                <w:rFonts w:hint="eastAsia" w:ascii="仿宋_GB2312" w:hAnsi="仿宋_GB2312" w:eastAsia="仿宋_GB2312" w:cs="仿宋_GB2312"/>
                <w:spacing w:val="1"/>
                <w:sz w:val="21"/>
                <w:szCs w:val="21"/>
                <w:highlight w:val="none"/>
                <w:lang w:val="en-US" w:eastAsia="zh-CN"/>
              </w:rPr>
            </w:pPr>
            <w:r>
              <w:rPr>
                <w:rFonts w:hint="eastAsia" w:ascii="仿宋_GB2312" w:hAnsi="仿宋_GB2312" w:eastAsia="仿宋_GB2312" w:cs="仿宋_GB2312"/>
                <w:spacing w:val="1"/>
                <w:sz w:val="21"/>
                <w:szCs w:val="21"/>
                <w:highlight w:val="none"/>
                <w:lang w:val="en-US" w:eastAsia="zh-CN"/>
              </w:rPr>
              <w:t>1134.84</w:t>
            </w:r>
          </w:p>
        </w:tc>
        <w:tc>
          <w:tcPr>
            <w:tcW w:w="1155" w:type="dxa"/>
            <w:vAlign w:val="top"/>
          </w:tcPr>
          <w:p>
            <w:pPr>
              <w:spacing w:before="90" w:line="219" w:lineRule="auto"/>
              <w:ind w:left="162" w:leftChars="0"/>
              <w:jc w:val="center"/>
              <w:rPr>
                <w:rFonts w:hint="eastAsia" w:ascii="仿宋_GB2312" w:hAnsi="仿宋_GB2312" w:eastAsia="仿宋_GB2312" w:cs="仿宋_GB2312"/>
                <w:spacing w:val="1"/>
                <w:sz w:val="21"/>
                <w:szCs w:val="21"/>
                <w:highlight w:val="none"/>
                <w:lang w:val="en-US" w:eastAsia="zh-CN"/>
              </w:rPr>
            </w:pPr>
            <w:r>
              <w:rPr>
                <w:rFonts w:hint="eastAsia" w:ascii="仿宋_GB2312" w:hAnsi="仿宋_GB2312" w:eastAsia="仿宋_GB2312" w:cs="仿宋_GB2312"/>
                <w:spacing w:val="1"/>
                <w:sz w:val="21"/>
                <w:szCs w:val="21"/>
                <w:highlight w:val="none"/>
                <w:lang w:val="en-US" w:eastAsia="zh-CN"/>
              </w:rPr>
              <w:t>1149.49</w:t>
            </w:r>
          </w:p>
        </w:tc>
        <w:tc>
          <w:tcPr>
            <w:tcW w:w="1350" w:type="dxa"/>
            <w:vAlign w:val="top"/>
          </w:tcPr>
          <w:p>
            <w:pPr>
              <w:spacing w:before="90" w:line="219" w:lineRule="auto"/>
              <w:ind w:left="162" w:leftChars="0"/>
              <w:jc w:val="center"/>
              <w:rPr>
                <w:rFonts w:hint="eastAsia" w:ascii="仿宋_GB2312" w:hAnsi="仿宋_GB2312" w:eastAsia="仿宋_GB2312" w:cs="仿宋_GB2312"/>
                <w:spacing w:val="1"/>
                <w:sz w:val="21"/>
                <w:szCs w:val="21"/>
                <w:highlight w:val="none"/>
                <w:lang w:val="en-US" w:eastAsia="zh-CN"/>
              </w:rPr>
            </w:pPr>
            <w:r>
              <w:rPr>
                <w:rFonts w:hint="eastAsia" w:ascii="仿宋_GB2312" w:hAnsi="仿宋_GB2312" w:eastAsia="仿宋_GB2312" w:cs="仿宋_GB2312"/>
                <w:spacing w:val="1"/>
                <w:sz w:val="21"/>
                <w:szCs w:val="21"/>
                <w:highlight w:val="none"/>
                <w:lang w:val="en-US" w:eastAsia="zh-CN"/>
              </w:rPr>
              <w:t>1149.49</w:t>
            </w:r>
          </w:p>
        </w:tc>
        <w:tc>
          <w:tcPr>
            <w:tcW w:w="1770" w:type="dxa"/>
            <w:vAlign w:val="top"/>
          </w:tcPr>
          <w:p>
            <w:pPr>
              <w:spacing w:before="90" w:line="219" w:lineRule="auto"/>
              <w:ind w:left="162"/>
              <w:jc w:val="center"/>
              <w:rPr>
                <w:rFonts w:hint="eastAsia" w:ascii="仿宋_GB2312" w:hAnsi="仿宋_GB2312" w:eastAsia="仿宋_GB2312" w:cs="仿宋_GB2312"/>
                <w:spacing w:val="1"/>
                <w:sz w:val="21"/>
                <w:szCs w:val="21"/>
                <w:highlight w:val="none"/>
                <w:lang w:val="en-US" w:eastAsia="zh-CN"/>
              </w:rPr>
            </w:pPr>
            <w:r>
              <w:rPr>
                <w:rFonts w:hint="eastAsia" w:ascii="仿宋_GB2312" w:hAnsi="仿宋_GB2312" w:eastAsia="仿宋_GB2312" w:cs="仿宋_GB2312"/>
                <w:spacing w:val="1"/>
                <w:sz w:val="21"/>
                <w:szCs w:val="21"/>
                <w:highlight w:val="none"/>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1506" w:type="dxa"/>
            <w:gridSpan w:val="2"/>
            <w:vMerge w:val="continue"/>
            <w:tcBorders>
              <w:top w:val="nil"/>
              <w:bottom w:val="nil"/>
            </w:tcBorders>
            <w:vAlign w:val="top"/>
          </w:tcPr>
          <w:p>
            <w:pPr>
              <w:rPr>
                <w:rFonts w:hint="eastAsia" w:ascii="仿宋_GB2312" w:hAnsi="仿宋_GB2312" w:eastAsia="仿宋_GB2312" w:cs="仿宋_GB2312"/>
                <w:sz w:val="21"/>
                <w:szCs w:val="21"/>
              </w:rPr>
            </w:pPr>
          </w:p>
        </w:tc>
        <w:tc>
          <w:tcPr>
            <w:tcW w:w="2355" w:type="dxa"/>
            <w:gridSpan w:val="2"/>
            <w:vAlign w:val="top"/>
          </w:tcPr>
          <w:p>
            <w:pPr>
              <w:spacing w:before="99" w:line="219" w:lineRule="auto"/>
              <w:ind w:left="162"/>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2.政府性基金</w:t>
            </w:r>
          </w:p>
        </w:tc>
        <w:tc>
          <w:tcPr>
            <w:tcW w:w="1560" w:type="dxa"/>
            <w:vAlign w:val="top"/>
          </w:tcPr>
          <w:p>
            <w:pPr>
              <w:spacing w:before="90" w:line="219" w:lineRule="auto"/>
              <w:ind w:left="162" w:leftChars="0"/>
              <w:jc w:val="center"/>
              <w:rPr>
                <w:rFonts w:hint="eastAsia" w:ascii="仿宋_GB2312" w:hAnsi="仿宋_GB2312" w:eastAsia="仿宋_GB2312" w:cs="仿宋_GB2312"/>
                <w:spacing w:val="1"/>
                <w:sz w:val="21"/>
                <w:szCs w:val="21"/>
                <w:highlight w:val="none"/>
                <w:lang w:val="en-US" w:eastAsia="zh-CN"/>
              </w:rPr>
            </w:pPr>
            <w:r>
              <w:rPr>
                <w:rFonts w:hint="eastAsia" w:ascii="仿宋_GB2312" w:hAnsi="仿宋_GB2312" w:eastAsia="仿宋_GB2312" w:cs="仿宋_GB2312"/>
                <w:spacing w:val="1"/>
                <w:sz w:val="21"/>
                <w:szCs w:val="21"/>
                <w:highlight w:val="none"/>
                <w:lang w:val="en-US" w:eastAsia="zh-CN"/>
              </w:rPr>
              <w:t>0</w:t>
            </w:r>
          </w:p>
        </w:tc>
        <w:tc>
          <w:tcPr>
            <w:tcW w:w="1155" w:type="dxa"/>
            <w:vAlign w:val="top"/>
          </w:tcPr>
          <w:p>
            <w:pPr>
              <w:spacing w:before="90" w:line="219" w:lineRule="auto"/>
              <w:ind w:left="162" w:leftChars="0"/>
              <w:jc w:val="center"/>
              <w:rPr>
                <w:rFonts w:hint="eastAsia" w:ascii="仿宋_GB2312" w:hAnsi="仿宋_GB2312" w:eastAsia="仿宋_GB2312" w:cs="仿宋_GB2312"/>
                <w:spacing w:val="1"/>
                <w:sz w:val="21"/>
                <w:szCs w:val="21"/>
                <w:highlight w:val="none"/>
                <w:lang w:val="en-US" w:eastAsia="zh-CN"/>
              </w:rPr>
            </w:pPr>
            <w:r>
              <w:rPr>
                <w:rFonts w:hint="eastAsia" w:ascii="仿宋_GB2312" w:hAnsi="仿宋_GB2312" w:eastAsia="仿宋_GB2312" w:cs="仿宋_GB2312"/>
                <w:spacing w:val="1"/>
                <w:sz w:val="21"/>
                <w:szCs w:val="21"/>
                <w:highlight w:val="none"/>
                <w:lang w:val="en-US" w:eastAsia="zh-CN"/>
              </w:rPr>
              <w:t>6.5</w:t>
            </w:r>
          </w:p>
        </w:tc>
        <w:tc>
          <w:tcPr>
            <w:tcW w:w="1350" w:type="dxa"/>
            <w:vAlign w:val="top"/>
          </w:tcPr>
          <w:p>
            <w:pPr>
              <w:spacing w:before="90" w:line="219" w:lineRule="auto"/>
              <w:ind w:left="162" w:leftChars="0"/>
              <w:jc w:val="center"/>
              <w:rPr>
                <w:rFonts w:hint="eastAsia" w:ascii="仿宋_GB2312" w:hAnsi="仿宋_GB2312" w:eastAsia="仿宋_GB2312" w:cs="仿宋_GB2312"/>
                <w:spacing w:val="1"/>
                <w:sz w:val="21"/>
                <w:szCs w:val="21"/>
                <w:highlight w:val="none"/>
                <w:lang w:val="en-US" w:eastAsia="zh-CN"/>
              </w:rPr>
            </w:pPr>
            <w:r>
              <w:rPr>
                <w:rFonts w:hint="eastAsia" w:ascii="仿宋_GB2312" w:hAnsi="仿宋_GB2312" w:eastAsia="仿宋_GB2312" w:cs="仿宋_GB2312"/>
                <w:spacing w:val="1"/>
                <w:sz w:val="21"/>
                <w:szCs w:val="21"/>
                <w:highlight w:val="none"/>
                <w:lang w:val="en-US" w:eastAsia="zh-CN"/>
              </w:rPr>
              <w:t>6.5</w:t>
            </w:r>
          </w:p>
        </w:tc>
        <w:tc>
          <w:tcPr>
            <w:tcW w:w="1770" w:type="dxa"/>
            <w:vAlign w:val="top"/>
          </w:tcPr>
          <w:p>
            <w:pPr>
              <w:spacing w:before="90" w:line="219" w:lineRule="auto"/>
              <w:ind w:left="162"/>
              <w:jc w:val="center"/>
              <w:rPr>
                <w:rFonts w:hint="eastAsia" w:ascii="仿宋_GB2312" w:hAnsi="仿宋_GB2312" w:eastAsia="仿宋_GB2312" w:cs="仿宋_GB2312"/>
                <w:spacing w:val="1"/>
                <w:sz w:val="21"/>
                <w:szCs w:val="21"/>
                <w:highlight w:val="none"/>
                <w:lang w:val="en-US" w:eastAsia="zh-CN"/>
              </w:rPr>
            </w:pPr>
            <w:r>
              <w:rPr>
                <w:rFonts w:hint="eastAsia" w:ascii="仿宋_GB2312" w:hAnsi="仿宋_GB2312" w:eastAsia="仿宋_GB2312" w:cs="仿宋_GB2312"/>
                <w:spacing w:val="1"/>
                <w:sz w:val="21"/>
                <w:szCs w:val="21"/>
                <w:highlight w:val="none"/>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1506" w:type="dxa"/>
            <w:gridSpan w:val="2"/>
            <w:vMerge w:val="continue"/>
            <w:tcBorders>
              <w:top w:val="nil"/>
              <w:bottom w:val="nil"/>
            </w:tcBorders>
            <w:vAlign w:val="top"/>
          </w:tcPr>
          <w:p>
            <w:pPr>
              <w:rPr>
                <w:rFonts w:hint="eastAsia" w:ascii="仿宋_GB2312" w:hAnsi="仿宋_GB2312" w:eastAsia="仿宋_GB2312" w:cs="仿宋_GB2312"/>
                <w:sz w:val="21"/>
                <w:szCs w:val="21"/>
              </w:rPr>
            </w:pPr>
          </w:p>
        </w:tc>
        <w:tc>
          <w:tcPr>
            <w:tcW w:w="2355" w:type="dxa"/>
            <w:gridSpan w:val="2"/>
            <w:vAlign w:val="top"/>
          </w:tcPr>
          <w:p>
            <w:pPr>
              <w:spacing w:before="129" w:line="219" w:lineRule="auto"/>
              <w:ind w:left="162"/>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3.国有资本经营预算</w:t>
            </w:r>
          </w:p>
        </w:tc>
        <w:tc>
          <w:tcPr>
            <w:tcW w:w="1560" w:type="dxa"/>
            <w:vAlign w:val="top"/>
          </w:tcPr>
          <w:p>
            <w:pPr>
              <w:rPr>
                <w:rFonts w:hint="eastAsia" w:ascii="仿宋_GB2312" w:hAnsi="仿宋_GB2312" w:eastAsia="仿宋_GB2312" w:cs="仿宋_GB2312"/>
                <w:sz w:val="21"/>
                <w:szCs w:val="21"/>
                <w:highlight w:val="none"/>
              </w:rPr>
            </w:pPr>
          </w:p>
        </w:tc>
        <w:tc>
          <w:tcPr>
            <w:tcW w:w="1155" w:type="dxa"/>
            <w:vAlign w:val="top"/>
          </w:tcPr>
          <w:p>
            <w:pPr>
              <w:rPr>
                <w:rFonts w:hint="eastAsia" w:ascii="仿宋_GB2312" w:hAnsi="仿宋_GB2312" w:eastAsia="仿宋_GB2312" w:cs="仿宋_GB2312"/>
                <w:sz w:val="21"/>
                <w:szCs w:val="21"/>
                <w:highlight w:val="none"/>
              </w:rPr>
            </w:pPr>
          </w:p>
        </w:tc>
        <w:tc>
          <w:tcPr>
            <w:tcW w:w="1350" w:type="dxa"/>
            <w:vAlign w:val="top"/>
          </w:tcPr>
          <w:p>
            <w:pPr>
              <w:rPr>
                <w:rFonts w:hint="eastAsia" w:ascii="仿宋_GB2312" w:hAnsi="仿宋_GB2312" w:eastAsia="仿宋_GB2312" w:cs="仿宋_GB2312"/>
                <w:sz w:val="21"/>
                <w:szCs w:val="21"/>
                <w:highlight w:val="none"/>
              </w:rPr>
            </w:pPr>
          </w:p>
        </w:tc>
        <w:tc>
          <w:tcPr>
            <w:tcW w:w="1770" w:type="dxa"/>
            <w:vAlign w:val="top"/>
          </w:tcPr>
          <w:p>
            <w:pPr>
              <w:spacing w:before="90" w:line="219" w:lineRule="auto"/>
              <w:ind w:left="162"/>
              <w:jc w:val="center"/>
              <w:rPr>
                <w:rFonts w:hint="eastAsia" w:ascii="仿宋_GB2312" w:hAnsi="仿宋_GB2312" w:eastAsia="仿宋_GB2312" w:cs="仿宋_GB2312"/>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506" w:type="dxa"/>
            <w:gridSpan w:val="2"/>
            <w:vMerge w:val="continue"/>
            <w:tcBorders>
              <w:top w:val="nil"/>
              <w:bottom w:val="nil"/>
            </w:tcBorders>
            <w:vAlign w:val="top"/>
          </w:tcPr>
          <w:p>
            <w:pPr>
              <w:rPr>
                <w:rFonts w:hint="eastAsia" w:ascii="仿宋_GB2312" w:hAnsi="仿宋_GB2312" w:eastAsia="仿宋_GB2312" w:cs="仿宋_GB2312"/>
                <w:sz w:val="21"/>
                <w:szCs w:val="21"/>
              </w:rPr>
            </w:pPr>
          </w:p>
        </w:tc>
        <w:tc>
          <w:tcPr>
            <w:tcW w:w="2355" w:type="dxa"/>
            <w:gridSpan w:val="2"/>
            <w:vAlign w:val="top"/>
          </w:tcPr>
          <w:p>
            <w:pPr>
              <w:spacing w:before="91" w:line="219" w:lineRule="auto"/>
              <w:ind w:left="162"/>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4.社保基金</w:t>
            </w:r>
          </w:p>
        </w:tc>
        <w:tc>
          <w:tcPr>
            <w:tcW w:w="1560" w:type="dxa"/>
            <w:vAlign w:val="top"/>
          </w:tcPr>
          <w:p>
            <w:pPr>
              <w:rPr>
                <w:rFonts w:hint="eastAsia" w:ascii="仿宋_GB2312" w:hAnsi="仿宋_GB2312" w:eastAsia="仿宋_GB2312" w:cs="仿宋_GB2312"/>
                <w:sz w:val="21"/>
                <w:szCs w:val="21"/>
                <w:highlight w:val="none"/>
              </w:rPr>
            </w:pPr>
          </w:p>
        </w:tc>
        <w:tc>
          <w:tcPr>
            <w:tcW w:w="1155" w:type="dxa"/>
            <w:vAlign w:val="top"/>
          </w:tcPr>
          <w:p>
            <w:pPr>
              <w:rPr>
                <w:rFonts w:hint="eastAsia" w:ascii="仿宋_GB2312" w:hAnsi="仿宋_GB2312" w:eastAsia="仿宋_GB2312" w:cs="仿宋_GB2312"/>
                <w:sz w:val="21"/>
                <w:szCs w:val="21"/>
                <w:highlight w:val="none"/>
              </w:rPr>
            </w:pPr>
          </w:p>
        </w:tc>
        <w:tc>
          <w:tcPr>
            <w:tcW w:w="1350" w:type="dxa"/>
            <w:vAlign w:val="top"/>
          </w:tcPr>
          <w:p>
            <w:pPr>
              <w:rPr>
                <w:rFonts w:hint="eastAsia" w:ascii="仿宋_GB2312" w:hAnsi="仿宋_GB2312" w:eastAsia="仿宋_GB2312" w:cs="仿宋_GB2312"/>
                <w:sz w:val="21"/>
                <w:szCs w:val="21"/>
                <w:highlight w:val="none"/>
              </w:rPr>
            </w:pPr>
          </w:p>
        </w:tc>
        <w:tc>
          <w:tcPr>
            <w:tcW w:w="1770" w:type="dxa"/>
            <w:vAlign w:val="top"/>
          </w:tcPr>
          <w:p>
            <w:pPr>
              <w:rPr>
                <w:rFonts w:hint="eastAsia" w:ascii="仿宋_GB2312" w:hAnsi="仿宋_GB2312" w:eastAsia="仿宋_GB2312" w:cs="仿宋_GB2312"/>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506" w:type="dxa"/>
            <w:gridSpan w:val="2"/>
            <w:vMerge w:val="continue"/>
            <w:tcBorders>
              <w:top w:val="nil"/>
            </w:tcBorders>
            <w:vAlign w:val="top"/>
          </w:tcPr>
          <w:p>
            <w:pPr>
              <w:rPr>
                <w:rFonts w:hint="eastAsia" w:ascii="仿宋_GB2312" w:hAnsi="仿宋_GB2312" w:eastAsia="仿宋_GB2312" w:cs="仿宋_GB2312"/>
                <w:sz w:val="21"/>
                <w:szCs w:val="21"/>
              </w:rPr>
            </w:pPr>
          </w:p>
        </w:tc>
        <w:tc>
          <w:tcPr>
            <w:tcW w:w="2355" w:type="dxa"/>
            <w:gridSpan w:val="2"/>
            <w:vAlign w:val="top"/>
          </w:tcPr>
          <w:p>
            <w:pPr>
              <w:spacing w:before="93" w:line="220" w:lineRule="auto"/>
              <w:ind w:left="162"/>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(二)其他资金</w:t>
            </w:r>
          </w:p>
        </w:tc>
        <w:tc>
          <w:tcPr>
            <w:tcW w:w="1560" w:type="dxa"/>
            <w:vAlign w:val="top"/>
          </w:tcPr>
          <w:p>
            <w:pPr>
              <w:jc w:val="center"/>
              <w:rPr>
                <w:rFonts w:hint="eastAsia" w:ascii="仿宋_GB2312" w:hAnsi="仿宋_GB2312" w:eastAsia="仿宋_GB2312" w:cs="仿宋_GB2312"/>
                <w:sz w:val="21"/>
                <w:szCs w:val="21"/>
                <w:highlight w:val="none"/>
              </w:rPr>
            </w:pPr>
          </w:p>
        </w:tc>
        <w:tc>
          <w:tcPr>
            <w:tcW w:w="1155" w:type="dxa"/>
            <w:vAlign w:val="top"/>
          </w:tcPr>
          <w:p>
            <w:pPr>
              <w:jc w:val="center"/>
              <w:rPr>
                <w:rFonts w:hint="eastAsia" w:ascii="仿宋_GB2312" w:hAnsi="仿宋_GB2312" w:eastAsia="仿宋_GB2312" w:cs="仿宋_GB2312"/>
                <w:sz w:val="21"/>
                <w:szCs w:val="21"/>
                <w:highlight w:val="none"/>
              </w:rPr>
            </w:pPr>
          </w:p>
        </w:tc>
        <w:tc>
          <w:tcPr>
            <w:tcW w:w="1350" w:type="dxa"/>
            <w:vAlign w:val="top"/>
          </w:tcPr>
          <w:p>
            <w:pPr>
              <w:jc w:val="center"/>
              <w:rPr>
                <w:rFonts w:hint="eastAsia" w:ascii="仿宋_GB2312" w:hAnsi="仿宋_GB2312" w:eastAsia="仿宋_GB2312" w:cs="仿宋_GB2312"/>
                <w:sz w:val="21"/>
                <w:szCs w:val="21"/>
                <w:highlight w:val="none"/>
              </w:rPr>
            </w:pPr>
          </w:p>
        </w:tc>
        <w:tc>
          <w:tcPr>
            <w:tcW w:w="1770" w:type="dxa"/>
            <w:vAlign w:val="top"/>
          </w:tcPr>
          <w:p>
            <w:pPr>
              <w:jc w:val="center"/>
              <w:rPr>
                <w:rFonts w:hint="eastAsia" w:ascii="仿宋_GB2312" w:hAnsi="仿宋_GB2312" w:eastAsia="仿宋_GB2312" w:cs="仿宋_GB2312"/>
                <w:sz w:val="21"/>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 w:hRule="atLeast"/>
        </w:trPr>
        <w:tc>
          <w:tcPr>
            <w:tcW w:w="666" w:type="dxa"/>
            <w:vMerge w:val="restart"/>
            <w:tcBorders>
              <w:bottom w:val="nil"/>
            </w:tcBorders>
            <w:vAlign w:val="top"/>
          </w:tcPr>
          <w:p>
            <w:pPr>
              <w:spacing w:line="423" w:lineRule="auto"/>
              <w:rPr>
                <w:rFonts w:hint="eastAsia" w:ascii="仿宋_GB2312" w:hAnsi="仿宋_GB2312" w:eastAsia="仿宋_GB2312" w:cs="仿宋_GB2312"/>
                <w:sz w:val="21"/>
                <w:szCs w:val="21"/>
              </w:rPr>
            </w:pPr>
          </w:p>
          <w:p>
            <w:pPr>
              <w:spacing w:before="59" w:line="235" w:lineRule="auto"/>
              <w:ind w:left="204"/>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整体</w:t>
            </w:r>
          </w:p>
          <w:p>
            <w:pPr>
              <w:spacing w:line="220" w:lineRule="auto"/>
              <w:ind w:left="204"/>
              <w:rPr>
                <w:rFonts w:hint="eastAsia" w:ascii="仿宋_GB2312" w:hAnsi="仿宋_GB2312" w:eastAsia="仿宋_GB2312" w:cs="仿宋_GB2312"/>
                <w:sz w:val="21"/>
                <w:szCs w:val="21"/>
              </w:rPr>
            </w:pPr>
            <w:r>
              <w:rPr>
                <w:rFonts w:hint="eastAsia" w:ascii="仿宋_GB2312" w:hAnsi="仿宋_GB2312" w:eastAsia="仿宋_GB2312" w:cs="仿宋_GB2312"/>
                <w:spacing w:val="7"/>
                <w:sz w:val="21"/>
                <w:szCs w:val="21"/>
              </w:rPr>
              <w:t>目标</w:t>
            </w:r>
          </w:p>
        </w:tc>
        <w:tc>
          <w:tcPr>
            <w:tcW w:w="5910" w:type="dxa"/>
            <w:gridSpan w:val="5"/>
            <w:vAlign w:val="top"/>
          </w:tcPr>
          <w:p>
            <w:pPr>
              <w:spacing w:before="223" w:line="219" w:lineRule="auto"/>
              <w:ind w:left="2501"/>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年度目标</w:t>
            </w:r>
          </w:p>
        </w:tc>
        <w:tc>
          <w:tcPr>
            <w:tcW w:w="3120" w:type="dxa"/>
            <w:gridSpan w:val="2"/>
            <w:vAlign w:val="top"/>
          </w:tcPr>
          <w:p>
            <w:pPr>
              <w:spacing w:before="223" w:line="219" w:lineRule="auto"/>
              <w:ind w:left="996"/>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9" w:hRule="atLeast"/>
        </w:trPr>
        <w:tc>
          <w:tcPr>
            <w:tcW w:w="666" w:type="dxa"/>
            <w:vMerge w:val="continue"/>
            <w:tcBorders>
              <w:top w:val="nil"/>
            </w:tcBorders>
            <w:vAlign w:val="top"/>
          </w:tcPr>
          <w:p>
            <w:pPr>
              <w:rPr>
                <w:rFonts w:hint="eastAsia" w:ascii="仿宋_GB2312" w:hAnsi="仿宋_GB2312" w:eastAsia="仿宋_GB2312" w:cs="仿宋_GB2312"/>
                <w:sz w:val="21"/>
                <w:szCs w:val="21"/>
              </w:rPr>
            </w:pPr>
          </w:p>
        </w:tc>
        <w:tc>
          <w:tcPr>
            <w:tcW w:w="5910" w:type="dxa"/>
            <w:gridSpan w:val="5"/>
            <w:vAlign w:val="top"/>
          </w:tcPr>
          <w:p>
            <w:pPr>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i w:val="0"/>
                <w:caps w:val="0"/>
                <w:color w:val="000000"/>
                <w:spacing w:val="0"/>
                <w:sz w:val="21"/>
                <w:szCs w:val="21"/>
                <w:shd w:val="clear" w:fill="FFFFFF"/>
              </w:rPr>
              <w:t>深入学习贯彻党的十九届六中全会精神，全面落实区、镇第八次党代会精神，紧紧围绕区委“四城新区”建设，围绕“两翼两带一片”总体布局和“四横五纵”交通网建设，聚焦产业发展、两项改革“后半篇”文章、招商引资、基层治理、民生改善、从严治党等重点工作，推动磨滩镇工作再上新台阶。一是完成区级各项目标任务；二是保障在职干部、临聘人员、退休干部、村（社区）干部的工资、保险、目标奖、生活补助和日常正常运转；三是做好基层组织活动和公共运行维护工作；四是做好烤烟生产发展工作；六是做好预备役征兵保障工作；七是做好农村税费改革农村税收工作；八是做好场镇环境卫生、路灯管理、人大等相关工作。服务对象覆盖镇域内所有村社区，群众满意度达到95%以上。</w:t>
            </w:r>
          </w:p>
        </w:tc>
        <w:tc>
          <w:tcPr>
            <w:tcW w:w="3120" w:type="dxa"/>
            <w:gridSpan w:val="2"/>
            <w:vAlign w:val="top"/>
          </w:tcPr>
          <w:p>
            <w:pPr>
              <w:ind w:firstLine="420" w:firstLineChars="200"/>
              <w:rPr>
                <w:rFonts w:hint="eastAsia" w:ascii="仿宋_GB2312" w:hAnsi="仿宋_GB2312" w:eastAsia="仿宋_GB2312" w:cs="仿宋_GB2312"/>
                <w:sz w:val="21"/>
                <w:szCs w:val="21"/>
                <w:lang w:eastAsia="zh-CN"/>
              </w:rPr>
            </w:pPr>
            <w:r>
              <w:rPr>
                <w:rFonts w:hint="eastAsia" w:ascii="仿宋_GB2312" w:hAnsi="仿宋_GB2312" w:eastAsia="仿宋_GB2312" w:cs="仿宋_GB2312"/>
                <w:i w:val="0"/>
                <w:caps w:val="0"/>
                <w:color w:val="000000"/>
                <w:spacing w:val="0"/>
                <w:sz w:val="21"/>
                <w:szCs w:val="21"/>
                <w:shd w:val="clear" w:fill="FFFFFF"/>
              </w:rPr>
              <w:t>完成区级各项目标任务；保障在职干部、临聘人员、退休干部、村（社区）干部的工资、保险、目标奖、生活补助和日常正常运转；做好</w:t>
            </w:r>
            <w:r>
              <w:rPr>
                <w:rFonts w:hint="eastAsia" w:ascii="仿宋_GB2312" w:hAnsi="仿宋_GB2312" w:eastAsia="仿宋_GB2312" w:cs="仿宋_GB2312"/>
                <w:i w:val="0"/>
                <w:caps w:val="0"/>
                <w:color w:val="000000"/>
                <w:spacing w:val="0"/>
                <w:sz w:val="21"/>
                <w:szCs w:val="21"/>
                <w:shd w:val="clear" w:fill="FFFFFF"/>
                <w:lang w:eastAsia="zh-CN"/>
              </w:rPr>
              <w:t>了</w:t>
            </w:r>
            <w:r>
              <w:rPr>
                <w:rFonts w:hint="eastAsia" w:ascii="仿宋_GB2312" w:hAnsi="仿宋_GB2312" w:eastAsia="仿宋_GB2312" w:cs="仿宋_GB2312"/>
                <w:i w:val="0"/>
                <w:caps w:val="0"/>
                <w:color w:val="000000"/>
                <w:spacing w:val="0"/>
                <w:sz w:val="21"/>
                <w:szCs w:val="21"/>
                <w:shd w:val="clear" w:fill="FFFFFF"/>
              </w:rPr>
              <w:t>基层组织活动和公共运行维护工作</w:t>
            </w:r>
            <w:r>
              <w:rPr>
                <w:rFonts w:hint="eastAsia" w:ascii="仿宋_GB2312" w:hAnsi="仿宋_GB2312" w:eastAsia="仿宋_GB2312" w:cs="仿宋_GB2312"/>
                <w:i w:val="0"/>
                <w:caps w:val="0"/>
                <w:color w:val="000000"/>
                <w:spacing w:val="0"/>
                <w:sz w:val="21"/>
                <w:szCs w:val="21"/>
                <w:shd w:val="clear" w:fill="FFFFFF"/>
                <w:lang w:eastAsia="zh-CN"/>
              </w:rPr>
              <w:t>、</w:t>
            </w:r>
            <w:r>
              <w:rPr>
                <w:rFonts w:hint="eastAsia" w:ascii="仿宋_GB2312" w:hAnsi="仿宋_GB2312" w:eastAsia="仿宋_GB2312" w:cs="仿宋_GB2312"/>
                <w:i w:val="0"/>
                <w:caps w:val="0"/>
                <w:color w:val="000000"/>
                <w:spacing w:val="0"/>
                <w:sz w:val="21"/>
                <w:szCs w:val="21"/>
                <w:shd w:val="clear" w:fill="FFFFFF"/>
              </w:rPr>
              <w:t>农业生产发展工作</w:t>
            </w:r>
            <w:r>
              <w:rPr>
                <w:rFonts w:hint="eastAsia" w:ascii="仿宋_GB2312" w:hAnsi="仿宋_GB2312" w:eastAsia="仿宋_GB2312" w:cs="仿宋_GB2312"/>
                <w:i w:val="0"/>
                <w:caps w:val="0"/>
                <w:color w:val="000000"/>
                <w:spacing w:val="0"/>
                <w:sz w:val="21"/>
                <w:szCs w:val="21"/>
                <w:shd w:val="clear" w:fill="FFFFFF"/>
                <w:lang w:eastAsia="zh-CN"/>
              </w:rPr>
              <w:t>、</w:t>
            </w:r>
            <w:r>
              <w:rPr>
                <w:rFonts w:hint="eastAsia" w:ascii="仿宋_GB2312" w:hAnsi="仿宋_GB2312" w:eastAsia="仿宋_GB2312" w:cs="仿宋_GB2312"/>
                <w:i w:val="0"/>
                <w:caps w:val="0"/>
                <w:color w:val="000000"/>
                <w:spacing w:val="0"/>
                <w:sz w:val="21"/>
                <w:szCs w:val="21"/>
                <w:shd w:val="clear" w:fill="FFFFFF"/>
              </w:rPr>
              <w:t>旅游文化的保护和维修工作</w:t>
            </w:r>
            <w:r>
              <w:rPr>
                <w:rFonts w:hint="eastAsia" w:ascii="仿宋_GB2312" w:hAnsi="仿宋_GB2312" w:eastAsia="仿宋_GB2312" w:cs="仿宋_GB2312"/>
                <w:i w:val="0"/>
                <w:caps w:val="0"/>
                <w:color w:val="000000"/>
                <w:spacing w:val="0"/>
                <w:sz w:val="21"/>
                <w:szCs w:val="21"/>
                <w:shd w:val="clear" w:fill="FFFFFF"/>
                <w:lang w:eastAsia="zh-CN"/>
              </w:rPr>
              <w:t>、</w:t>
            </w:r>
            <w:r>
              <w:rPr>
                <w:rFonts w:hint="eastAsia" w:ascii="仿宋_GB2312" w:hAnsi="仿宋_GB2312" w:eastAsia="仿宋_GB2312" w:cs="仿宋_GB2312"/>
                <w:i w:val="0"/>
                <w:caps w:val="0"/>
                <w:color w:val="000000"/>
                <w:spacing w:val="0"/>
                <w:sz w:val="21"/>
                <w:szCs w:val="21"/>
                <w:shd w:val="clear" w:fill="FFFFFF"/>
              </w:rPr>
              <w:t>预备役征兵保障工作</w:t>
            </w:r>
            <w:r>
              <w:rPr>
                <w:rFonts w:hint="eastAsia" w:ascii="仿宋_GB2312" w:hAnsi="仿宋_GB2312" w:eastAsia="仿宋_GB2312" w:cs="仿宋_GB2312"/>
                <w:i w:val="0"/>
                <w:caps w:val="0"/>
                <w:color w:val="000000"/>
                <w:spacing w:val="0"/>
                <w:sz w:val="21"/>
                <w:szCs w:val="21"/>
                <w:shd w:val="clear" w:fill="FFFFFF"/>
                <w:lang w:eastAsia="zh-CN"/>
              </w:rPr>
              <w:t>、</w:t>
            </w:r>
            <w:r>
              <w:rPr>
                <w:rFonts w:hint="eastAsia" w:ascii="仿宋_GB2312" w:hAnsi="仿宋_GB2312" w:eastAsia="仿宋_GB2312" w:cs="仿宋_GB2312"/>
                <w:i w:val="0"/>
                <w:caps w:val="0"/>
                <w:color w:val="000000"/>
                <w:spacing w:val="0"/>
                <w:sz w:val="21"/>
                <w:szCs w:val="21"/>
                <w:shd w:val="clear" w:fill="FFFFFF"/>
              </w:rPr>
              <w:t>农村税费改革农村税收工作</w:t>
            </w:r>
            <w:r>
              <w:rPr>
                <w:rFonts w:hint="eastAsia" w:ascii="仿宋_GB2312" w:hAnsi="仿宋_GB2312" w:eastAsia="仿宋_GB2312" w:cs="仿宋_GB2312"/>
                <w:i w:val="0"/>
                <w:caps w:val="0"/>
                <w:color w:val="000000"/>
                <w:spacing w:val="0"/>
                <w:sz w:val="21"/>
                <w:szCs w:val="21"/>
                <w:shd w:val="clear" w:fill="FFFFFF"/>
                <w:lang w:eastAsia="zh-CN"/>
              </w:rPr>
              <w:t>、</w:t>
            </w:r>
            <w:r>
              <w:rPr>
                <w:rFonts w:hint="eastAsia" w:ascii="仿宋_GB2312" w:hAnsi="仿宋_GB2312" w:eastAsia="仿宋_GB2312" w:cs="仿宋_GB2312"/>
                <w:i w:val="0"/>
                <w:caps w:val="0"/>
                <w:color w:val="000000"/>
                <w:spacing w:val="0"/>
                <w:sz w:val="21"/>
                <w:szCs w:val="21"/>
                <w:shd w:val="clear" w:fill="FFFFFF"/>
              </w:rPr>
              <w:t>场镇环境卫生、路灯管理、人大等相关工作</w:t>
            </w:r>
            <w:r>
              <w:rPr>
                <w:rFonts w:hint="eastAsia" w:ascii="仿宋_GB2312" w:hAnsi="仿宋_GB2312" w:eastAsia="仿宋_GB2312" w:cs="仿宋_GB2312"/>
                <w:i w:val="0"/>
                <w:caps w:val="0"/>
                <w:color w:val="000000"/>
                <w:spacing w:val="0"/>
                <w:sz w:val="21"/>
                <w:szCs w:val="21"/>
                <w:shd w:val="clear" w:fill="FFFFFF"/>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4" w:hRule="atLeast"/>
        </w:trPr>
        <w:tc>
          <w:tcPr>
            <w:tcW w:w="666" w:type="dxa"/>
            <w:vMerge w:val="restart"/>
            <w:tcBorders>
              <w:top w:val="single" w:color="auto" w:sz="4" w:space="0"/>
              <w:left w:val="single" w:color="auto" w:sz="4" w:space="0"/>
              <w:bottom w:val="single" w:color="auto" w:sz="4" w:space="0"/>
              <w:right w:val="single" w:color="auto" w:sz="4" w:space="0"/>
            </w:tcBorders>
            <w:vAlign w:val="top"/>
          </w:tcPr>
          <w:p>
            <w:pPr>
              <w:spacing w:line="256" w:lineRule="auto"/>
              <w:rPr>
                <w:rFonts w:hint="eastAsia" w:ascii="仿宋_GB2312" w:hAnsi="仿宋_GB2312" w:eastAsia="仿宋_GB2312" w:cs="仿宋_GB2312"/>
                <w:sz w:val="21"/>
                <w:szCs w:val="21"/>
              </w:rPr>
            </w:pPr>
          </w:p>
          <w:p>
            <w:pPr>
              <w:spacing w:line="256" w:lineRule="auto"/>
              <w:rPr>
                <w:rFonts w:hint="eastAsia" w:ascii="仿宋_GB2312" w:hAnsi="仿宋_GB2312" w:eastAsia="仿宋_GB2312" w:cs="仿宋_GB2312"/>
                <w:sz w:val="21"/>
                <w:szCs w:val="21"/>
              </w:rPr>
            </w:pPr>
          </w:p>
          <w:p>
            <w:pPr>
              <w:spacing w:line="256" w:lineRule="auto"/>
              <w:rPr>
                <w:rFonts w:hint="eastAsia" w:ascii="仿宋_GB2312" w:hAnsi="仿宋_GB2312" w:eastAsia="仿宋_GB2312" w:cs="仿宋_GB2312"/>
                <w:sz w:val="21"/>
                <w:szCs w:val="21"/>
              </w:rPr>
            </w:pPr>
          </w:p>
          <w:p>
            <w:pPr>
              <w:spacing w:line="256" w:lineRule="auto"/>
              <w:rPr>
                <w:rFonts w:hint="eastAsia" w:ascii="仿宋_GB2312" w:hAnsi="仿宋_GB2312" w:eastAsia="仿宋_GB2312" w:cs="仿宋_GB2312"/>
                <w:sz w:val="21"/>
                <w:szCs w:val="21"/>
              </w:rPr>
            </w:pPr>
          </w:p>
          <w:p>
            <w:pPr>
              <w:spacing w:line="256" w:lineRule="auto"/>
              <w:rPr>
                <w:rFonts w:hint="eastAsia" w:ascii="仿宋_GB2312" w:hAnsi="仿宋_GB2312" w:eastAsia="仿宋_GB2312" w:cs="仿宋_GB2312"/>
                <w:sz w:val="21"/>
                <w:szCs w:val="21"/>
              </w:rPr>
            </w:pPr>
          </w:p>
          <w:p>
            <w:pPr>
              <w:spacing w:line="256" w:lineRule="auto"/>
              <w:rPr>
                <w:rFonts w:hint="eastAsia" w:ascii="仿宋_GB2312" w:hAnsi="仿宋_GB2312" w:eastAsia="仿宋_GB2312" w:cs="仿宋_GB2312"/>
                <w:sz w:val="21"/>
                <w:szCs w:val="21"/>
              </w:rPr>
            </w:pPr>
          </w:p>
          <w:p>
            <w:pPr>
              <w:spacing w:line="256" w:lineRule="auto"/>
              <w:rPr>
                <w:rFonts w:hint="eastAsia" w:ascii="仿宋_GB2312" w:hAnsi="仿宋_GB2312" w:eastAsia="仿宋_GB2312" w:cs="仿宋_GB2312"/>
                <w:sz w:val="21"/>
                <w:szCs w:val="21"/>
              </w:rPr>
            </w:pPr>
          </w:p>
          <w:p>
            <w:pPr>
              <w:spacing w:line="256" w:lineRule="auto"/>
              <w:rPr>
                <w:rFonts w:hint="eastAsia" w:ascii="仿宋_GB2312" w:hAnsi="仿宋_GB2312" w:eastAsia="仿宋_GB2312" w:cs="仿宋_GB2312"/>
                <w:sz w:val="21"/>
                <w:szCs w:val="21"/>
              </w:rPr>
            </w:pPr>
          </w:p>
          <w:p>
            <w:pPr>
              <w:spacing w:line="256" w:lineRule="auto"/>
              <w:rPr>
                <w:rFonts w:hint="eastAsia" w:ascii="仿宋_GB2312" w:hAnsi="仿宋_GB2312" w:eastAsia="仿宋_GB2312" w:cs="仿宋_GB2312"/>
                <w:sz w:val="21"/>
                <w:szCs w:val="21"/>
              </w:rPr>
            </w:pPr>
          </w:p>
          <w:p>
            <w:pPr>
              <w:spacing w:line="256" w:lineRule="auto"/>
              <w:rPr>
                <w:rFonts w:hint="eastAsia" w:ascii="仿宋_GB2312" w:hAnsi="仿宋_GB2312" w:eastAsia="仿宋_GB2312" w:cs="仿宋_GB2312"/>
                <w:sz w:val="21"/>
                <w:szCs w:val="21"/>
              </w:rPr>
            </w:pPr>
          </w:p>
          <w:p>
            <w:pPr>
              <w:spacing w:line="256" w:lineRule="auto"/>
              <w:rPr>
                <w:rFonts w:hint="eastAsia" w:ascii="仿宋_GB2312" w:hAnsi="仿宋_GB2312" w:eastAsia="仿宋_GB2312" w:cs="仿宋_GB2312"/>
                <w:sz w:val="21"/>
                <w:szCs w:val="21"/>
              </w:rPr>
            </w:pPr>
          </w:p>
          <w:p>
            <w:pPr>
              <w:spacing w:line="257" w:lineRule="auto"/>
              <w:rPr>
                <w:rFonts w:hint="eastAsia" w:ascii="仿宋_GB2312" w:hAnsi="仿宋_GB2312" w:eastAsia="仿宋_GB2312" w:cs="仿宋_GB2312"/>
                <w:sz w:val="21"/>
                <w:szCs w:val="21"/>
              </w:rPr>
            </w:pPr>
          </w:p>
          <w:p>
            <w:pPr>
              <w:spacing w:line="257" w:lineRule="auto"/>
              <w:rPr>
                <w:rFonts w:hint="eastAsia" w:ascii="仿宋_GB2312" w:hAnsi="仿宋_GB2312" w:eastAsia="仿宋_GB2312" w:cs="仿宋_GB2312"/>
                <w:sz w:val="21"/>
                <w:szCs w:val="21"/>
              </w:rPr>
            </w:pPr>
          </w:p>
          <w:p>
            <w:pPr>
              <w:spacing w:line="257" w:lineRule="auto"/>
              <w:rPr>
                <w:rFonts w:hint="eastAsia" w:ascii="仿宋_GB2312" w:hAnsi="仿宋_GB2312" w:eastAsia="仿宋_GB2312" w:cs="仿宋_GB2312"/>
                <w:sz w:val="21"/>
                <w:szCs w:val="21"/>
              </w:rPr>
            </w:pPr>
          </w:p>
          <w:p>
            <w:pPr>
              <w:spacing w:before="55" w:line="241" w:lineRule="auto"/>
              <w:ind w:left="75"/>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部门整体绩效指标</w:t>
            </w:r>
          </w:p>
        </w:tc>
        <w:tc>
          <w:tcPr>
            <w:tcW w:w="840" w:type="dxa"/>
            <w:tcBorders>
              <w:top w:val="single" w:color="auto" w:sz="4" w:space="0"/>
              <w:left w:val="single" w:color="auto" w:sz="4" w:space="0"/>
              <w:bottom w:val="single" w:color="auto" w:sz="4" w:space="0"/>
              <w:right w:val="single" w:color="auto" w:sz="4" w:space="0"/>
            </w:tcBorders>
            <w:vAlign w:val="top"/>
          </w:tcPr>
          <w:p>
            <w:pPr>
              <w:spacing w:before="176" w:line="220" w:lineRule="auto"/>
              <w:ind w:left="81"/>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一级指标</w:t>
            </w:r>
          </w:p>
        </w:tc>
        <w:tc>
          <w:tcPr>
            <w:tcW w:w="1350" w:type="dxa"/>
            <w:tcBorders>
              <w:top w:val="single" w:color="auto" w:sz="4" w:space="0"/>
              <w:left w:val="single" w:color="auto" w:sz="4" w:space="0"/>
              <w:bottom w:val="single" w:color="auto" w:sz="4" w:space="0"/>
              <w:right w:val="single" w:color="auto" w:sz="4" w:space="0"/>
            </w:tcBorders>
            <w:vAlign w:val="top"/>
          </w:tcPr>
          <w:p>
            <w:pPr>
              <w:spacing w:before="176" w:line="220" w:lineRule="auto"/>
              <w:ind w:left="191"/>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二级指标</w:t>
            </w:r>
          </w:p>
        </w:tc>
        <w:tc>
          <w:tcPr>
            <w:tcW w:w="2565" w:type="dxa"/>
            <w:gridSpan w:val="2"/>
            <w:tcBorders>
              <w:top w:val="single" w:color="auto" w:sz="4" w:space="0"/>
              <w:left w:val="single" w:color="auto" w:sz="4" w:space="0"/>
              <w:bottom w:val="single" w:color="auto" w:sz="4" w:space="0"/>
              <w:right w:val="single" w:color="auto" w:sz="4" w:space="0"/>
            </w:tcBorders>
            <w:vAlign w:val="top"/>
          </w:tcPr>
          <w:p>
            <w:pPr>
              <w:spacing w:before="176" w:line="220" w:lineRule="auto"/>
              <w:ind w:left="833"/>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三级指标</w:t>
            </w:r>
          </w:p>
        </w:tc>
        <w:tc>
          <w:tcPr>
            <w:tcW w:w="1155" w:type="dxa"/>
            <w:tcBorders>
              <w:left w:val="single" w:color="auto" w:sz="4" w:space="0"/>
            </w:tcBorders>
            <w:vAlign w:val="top"/>
          </w:tcPr>
          <w:p>
            <w:pPr>
              <w:spacing w:before="175" w:line="219" w:lineRule="auto"/>
              <w:ind w:left="224"/>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年度指标值</w:t>
            </w:r>
          </w:p>
        </w:tc>
        <w:tc>
          <w:tcPr>
            <w:tcW w:w="1350" w:type="dxa"/>
            <w:vAlign w:val="top"/>
          </w:tcPr>
          <w:p>
            <w:pPr>
              <w:spacing w:before="175" w:line="219" w:lineRule="auto"/>
              <w:ind w:left="287"/>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实际完成值</w:t>
            </w:r>
          </w:p>
        </w:tc>
        <w:tc>
          <w:tcPr>
            <w:tcW w:w="1770" w:type="dxa"/>
            <w:vAlign w:val="top"/>
          </w:tcPr>
          <w:p>
            <w:pPr>
              <w:spacing w:before="85" w:line="236" w:lineRule="auto"/>
              <w:ind w:left="326" w:hanging="247"/>
              <w:jc w:val="center"/>
              <w:rPr>
                <w:rFonts w:hint="eastAsia" w:ascii="仿宋_GB2312" w:hAnsi="仿宋_GB2312" w:eastAsia="仿宋_GB2312" w:cs="仿宋_GB2312"/>
                <w:spacing w:val="-2"/>
                <w:sz w:val="21"/>
                <w:szCs w:val="21"/>
              </w:rPr>
            </w:pPr>
            <w:r>
              <w:rPr>
                <w:rFonts w:hint="eastAsia" w:ascii="仿宋_GB2312" w:hAnsi="仿宋_GB2312" w:eastAsia="仿宋_GB2312" w:cs="仿宋_GB2312"/>
                <w:spacing w:val="-2"/>
                <w:sz w:val="21"/>
                <w:szCs w:val="21"/>
              </w:rPr>
              <w:t>偏差原因分析及</w:t>
            </w:r>
          </w:p>
          <w:p>
            <w:pPr>
              <w:spacing w:before="85" w:line="236" w:lineRule="auto"/>
              <w:ind w:left="326" w:hanging="247"/>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666" w:type="dxa"/>
            <w:vMerge w:val="continue"/>
            <w:tcBorders>
              <w:top w:val="single" w:color="auto" w:sz="4" w:space="0"/>
              <w:left w:val="single" w:color="auto" w:sz="4" w:space="0"/>
              <w:bottom w:val="single" w:color="auto" w:sz="4" w:space="0"/>
              <w:right w:val="single" w:color="auto" w:sz="4" w:space="0"/>
            </w:tcBorders>
            <w:vAlign w:val="top"/>
          </w:tcPr>
          <w:p>
            <w:pPr>
              <w:rPr>
                <w:rFonts w:hint="eastAsia" w:ascii="仿宋_GB2312" w:hAnsi="仿宋_GB2312" w:eastAsia="仿宋_GB2312" w:cs="仿宋_GB2312"/>
                <w:sz w:val="21"/>
                <w:szCs w:val="21"/>
              </w:rPr>
            </w:pPr>
          </w:p>
        </w:tc>
        <w:tc>
          <w:tcPr>
            <w:tcW w:w="840" w:type="dxa"/>
            <w:vMerge w:val="restart"/>
            <w:tcBorders>
              <w:top w:val="single" w:color="auto" w:sz="4" w:space="0"/>
              <w:left w:val="single" w:color="auto" w:sz="4" w:space="0"/>
              <w:bottom w:val="single" w:color="auto" w:sz="4" w:space="0"/>
              <w:right w:val="single" w:color="auto" w:sz="4" w:space="0"/>
            </w:tcBorders>
            <w:vAlign w:val="top"/>
          </w:tcPr>
          <w:p>
            <w:pPr>
              <w:spacing w:line="266" w:lineRule="auto"/>
              <w:jc w:val="center"/>
              <w:rPr>
                <w:rFonts w:hint="eastAsia" w:ascii="仿宋_GB2312" w:hAnsi="仿宋_GB2312" w:eastAsia="仿宋_GB2312" w:cs="仿宋_GB2312"/>
                <w:sz w:val="21"/>
                <w:szCs w:val="21"/>
              </w:rPr>
            </w:pPr>
          </w:p>
          <w:p>
            <w:pPr>
              <w:spacing w:line="266" w:lineRule="auto"/>
              <w:jc w:val="center"/>
              <w:rPr>
                <w:rFonts w:hint="eastAsia" w:ascii="仿宋_GB2312" w:hAnsi="仿宋_GB2312" w:eastAsia="仿宋_GB2312" w:cs="仿宋_GB2312"/>
                <w:sz w:val="21"/>
                <w:szCs w:val="21"/>
              </w:rPr>
            </w:pPr>
          </w:p>
          <w:p>
            <w:pPr>
              <w:spacing w:line="266" w:lineRule="auto"/>
              <w:jc w:val="center"/>
              <w:rPr>
                <w:rFonts w:hint="eastAsia" w:ascii="仿宋_GB2312" w:hAnsi="仿宋_GB2312" w:eastAsia="仿宋_GB2312" w:cs="仿宋_GB2312"/>
                <w:sz w:val="21"/>
                <w:szCs w:val="21"/>
              </w:rPr>
            </w:pPr>
          </w:p>
          <w:p>
            <w:pPr>
              <w:spacing w:line="266" w:lineRule="auto"/>
              <w:jc w:val="center"/>
              <w:rPr>
                <w:rFonts w:hint="eastAsia" w:ascii="仿宋_GB2312" w:hAnsi="仿宋_GB2312" w:eastAsia="仿宋_GB2312" w:cs="仿宋_GB2312"/>
                <w:sz w:val="21"/>
                <w:szCs w:val="21"/>
              </w:rPr>
            </w:pPr>
          </w:p>
          <w:p>
            <w:pPr>
              <w:spacing w:line="266" w:lineRule="auto"/>
              <w:jc w:val="center"/>
              <w:rPr>
                <w:rFonts w:hint="eastAsia" w:ascii="仿宋_GB2312" w:hAnsi="仿宋_GB2312" w:eastAsia="仿宋_GB2312" w:cs="仿宋_GB2312"/>
                <w:sz w:val="21"/>
                <w:szCs w:val="21"/>
              </w:rPr>
            </w:pPr>
          </w:p>
          <w:p>
            <w:pPr>
              <w:spacing w:line="267" w:lineRule="auto"/>
              <w:jc w:val="center"/>
              <w:rPr>
                <w:rFonts w:hint="eastAsia" w:ascii="仿宋_GB2312" w:hAnsi="仿宋_GB2312" w:eastAsia="仿宋_GB2312" w:cs="仿宋_GB2312"/>
                <w:sz w:val="21"/>
                <w:szCs w:val="21"/>
              </w:rPr>
            </w:pPr>
          </w:p>
          <w:p>
            <w:pPr>
              <w:spacing w:before="58" w:line="219" w:lineRule="auto"/>
              <w:ind w:left="81"/>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产出指标</w:t>
            </w:r>
          </w:p>
        </w:tc>
        <w:tc>
          <w:tcPr>
            <w:tcW w:w="1350" w:type="dxa"/>
            <w:vMerge w:val="restart"/>
            <w:tcBorders>
              <w:top w:val="single" w:color="auto" w:sz="4" w:space="0"/>
              <w:left w:val="single" w:color="auto" w:sz="4" w:space="0"/>
              <w:bottom w:val="single" w:color="auto" w:sz="4" w:space="0"/>
              <w:right w:val="single" w:color="auto" w:sz="4" w:space="0"/>
            </w:tcBorders>
            <w:vAlign w:val="top"/>
          </w:tcPr>
          <w:p>
            <w:pPr>
              <w:spacing w:before="116" w:line="218" w:lineRule="auto"/>
              <w:ind w:left="371" w:right="215" w:hanging="180"/>
              <w:jc w:val="center"/>
              <w:rPr>
                <w:rFonts w:hint="eastAsia" w:ascii="仿宋_GB2312" w:hAnsi="仿宋_GB2312" w:eastAsia="仿宋_GB2312" w:cs="仿宋_GB2312"/>
                <w:spacing w:val="-3"/>
                <w:sz w:val="21"/>
                <w:szCs w:val="21"/>
              </w:rPr>
            </w:pPr>
          </w:p>
          <w:p>
            <w:pPr>
              <w:spacing w:before="116" w:line="218" w:lineRule="auto"/>
              <w:ind w:left="371" w:right="215" w:hanging="180"/>
              <w:jc w:val="center"/>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3"/>
                <w:sz w:val="21"/>
                <w:szCs w:val="21"/>
              </w:rPr>
              <w:t>数量指标</w:t>
            </w:r>
          </w:p>
        </w:tc>
        <w:tc>
          <w:tcPr>
            <w:tcW w:w="2565" w:type="dxa"/>
            <w:gridSpan w:val="2"/>
            <w:tcBorders>
              <w:top w:val="single" w:color="auto" w:sz="4" w:space="0"/>
              <w:left w:val="single" w:color="auto" w:sz="4" w:space="0"/>
              <w:bottom w:val="single" w:color="auto" w:sz="4" w:space="0"/>
              <w:right w:val="single" w:color="auto" w:sz="4" w:space="0"/>
            </w:tcBorders>
            <w:vAlign w:val="center"/>
          </w:tcPr>
          <w:p>
            <w:pPr>
              <w:spacing w:before="116" w:line="218" w:lineRule="auto"/>
              <w:ind w:right="215"/>
              <w:jc w:val="center"/>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3"/>
                <w:sz w:val="21"/>
                <w:szCs w:val="21"/>
                <w:lang w:val="en-US" w:eastAsia="zh-CN"/>
              </w:rPr>
              <w:t>保障村级基本运转正常数</w:t>
            </w:r>
          </w:p>
        </w:tc>
        <w:tc>
          <w:tcPr>
            <w:tcW w:w="1155" w:type="dxa"/>
            <w:tcBorders>
              <w:left w:val="single" w:color="auto" w:sz="4" w:space="0"/>
            </w:tcBorders>
            <w:vAlign w:val="center"/>
          </w:tcPr>
          <w:p>
            <w:pPr>
              <w:spacing w:before="116" w:line="218" w:lineRule="auto"/>
              <w:ind w:left="371" w:right="215" w:hanging="180"/>
              <w:jc w:val="center"/>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9个</w:t>
            </w:r>
          </w:p>
        </w:tc>
        <w:tc>
          <w:tcPr>
            <w:tcW w:w="1350" w:type="dxa"/>
            <w:vAlign w:val="center"/>
          </w:tcPr>
          <w:p>
            <w:pPr>
              <w:spacing w:before="116" w:line="218" w:lineRule="auto"/>
              <w:ind w:left="371" w:right="215" w:hanging="180"/>
              <w:jc w:val="center"/>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3"/>
                <w:sz w:val="21"/>
                <w:szCs w:val="21"/>
                <w:lang w:val="en-US" w:eastAsia="zh-CN"/>
              </w:rPr>
              <w:t>9个</w:t>
            </w:r>
          </w:p>
        </w:tc>
        <w:tc>
          <w:tcPr>
            <w:tcW w:w="1770" w:type="dxa"/>
            <w:vAlign w:val="top"/>
          </w:tcPr>
          <w:p>
            <w:pPr>
              <w:spacing w:before="116" w:line="218" w:lineRule="auto"/>
              <w:ind w:left="371" w:right="215" w:hanging="180"/>
              <w:jc w:val="center"/>
              <w:rPr>
                <w:rFonts w:hint="eastAsia" w:ascii="仿宋_GB2312" w:hAnsi="仿宋_GB2312" w:eastAsia="仿宋_GB2312" w:cs="仿宋_GB2312"/>
                <w:spacing w:val="-3"/>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666" w:type="dxa"/>
            <w:vMerge w:val="continue"/>
            <w:tcBorders>
              <w:top w:val="single" w:color="auto" w:sz="4" w:space="0"/>
              <w:left w:val="single" w:color="auto" w:sz="4" w:space="0"/>
              <w:bottom w:val="single" w:color="auto" w:sz="4" w:space="0"/>
              <w:right w:val="single" w:color="auto" w:sz="4" w:space="0"/>
            </w:tcBorders>
            <w:vAlign w:val="top"/>
          </w:tcPr>
          <w:p>
            <w:pPr>
              <w:rPr>
                <w:rFonts w:hint="eastAsia" w:ascii="仿宋_GB2312" w:hAnsi="仿宋_GB2312" w:eastAsia="仿宋_GB2312" w:cs="仿宋_GB2312"/>
                <w:sz w:val="21"/>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sz w:val="21"/>
                <w:szCs w:val="21"/>
              </w:rPr>
            </w:pPr>
          </w:p>
        </w:tc>
        <w:tc>
          <w:tcPr>
            <w:tcW w:w="1350" w:type="dxa"/>
            <w:vMerge w:val="continue"/>
            <w:tcBorders>
              <w:top w:val="single" w:color="auto" w:sz="4" w:space="0"/>
              <w:left w:val="single" w:color="auto" w:sz="4" w:space="0"/>
              <w:bottom w:val="single" w:color="auto" w:sz="4" w:space="0"/>
              <w:right w:val="single" w:color="auto" w:sz="4" w:space="0"/>
            </w:tcBorders>
            <w:vAlign w:val="top"/>
          </w:tcPr>
          <w:p>
            <w:pPr>
              <w:spacing w:before="116" w:line="218" w:lineRule="auto"/>
              <w:ind w:left="371" w:right="215" w:hanging="180"/>
              <w:jc w:val="center"/>
              <w:rPr>
                <w:rFonts w:hint="eastAsia" w:ascii="仿宋_GB2312" w:hAnsi="仿宋_GB2312" w:eastAsia="仿宋_GB2312" w:cs="仿宋_GB2312"/>
                <w:spacing w:val="-3"/>
                <w:sz w:val="21"/>
                <w:szCs w:val="21"/>
              </w:rPr>
            </w:pPr>
          </w:p>
        </w:tc>
        <w:tc>
          <w:tcPr>
            <w:tcW w:w="2565" w:type="dxa"/>
            <w:gridSpan w:val="2"/>
            <w:tcBorders>
              <w:top w:val="single" w:color="auto" w:sz="4" w:space="0"/>
              <w:left w:val="single" w:color="auto" w:sz="4" w:space="0"/>
              <w:bottom w:val="single" w:color="auto" w:sz="4" w:space="0"/>
              <w:right w:val="single" w:color="auto" w:sz="4" w:space="0"/>
            </w:tcBorders>
            <w:vAlign w:val="center"/>
          </w:tcPr>
          <w:p>
            <w:pPr>
              <w:spacing w:before="116" w:line="218" w:lineRule="auto"/>
              <w:ind w:right="215"/>
              <w:jc w:val="center"/>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3"/>
                <w:sz w:val="21"/>
                <w:szCs w:val="21"/>
                <w:lang w:val="en-US" w:eastAsia="zh-CN"/>
              </w:rPr>
              <w:t>镇在职干部保障人数</w:t>
            </w:r>
          </w:p>
        </w:tc>
        <w:tc>
          <w:tcPr>
            <w:tcW w:w="1155" w:type="dxa"/>
            <w:tcBorders>
              <w:left w:val="single" w:color="auto" w:sz="4" w:space="0"/>
            </w:tcBorders>
            <w:vAlign w:val="center"/>
          </w:tcPr>
          <w:p>
            <w:pPr>
              <w:spacing w:before="116" w:line="218" w:lineRule="auto"/>
              <w:ind w:left="371" w:right="215" w:hanging="180"/>
              <w:jc w:val="center"/>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3"/>
                <w:sz w:val="21"/>
                <w:szCs w:val="21"/>
                <w:lang w:val="en-US" w:eastAsia="zh-CN"/>
              </w:rPr>
              <w:t>50人</w:t>
            </w:r>
          </w:p>
        </w:tc>
        <w:tc>
          <w:tcPr>
            <w:tcW w:w="1350" w:type="dxa"/>
            <w:vAlign w:val="center"/>
          </w:tcPr>
          <w:p>
            <w:pPr>
              <w:spacing w:before="116" w:line="218" w:lineRule="auto"/>
              <w:ind w:left="371" w:right="215" w:hanging="180"/>
              <w:jc w:val="center"/>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3"/>
                <w:sz w:val="21"/>
                <w:szCs w:val="21"/>
                <w:lang w:val="en-US" w:eastAsia="zh-CN"/>
              </w:rPr>
              <w:t>50人</w:t>
            </w:r>
          </w:p>
        </w:tc>
        <w:tc>
          <w:tcPr>
            <w:tcW w:w="1770" w:type="dxa"/>
            <w:vAlign w:val="top"/>
          </w:tcPr>
          <w:p>
            <w:pPr>
              <w:spacing w:before="116" w:line="218" w:lineRule="auto"/>
              <w:ind w:left="371" w:right="215" w:hanging="180"/>
              <w:jc w:val="center"/>
              <w:rPr>
                <w:rFonts w:hint="eastAsia" w:ascii="仿宋_GB2312" w:hAnsi="仿宋_GB2312" w:eastAsia="仿宋_GB2312" w:cs="仿宋_GB2312"/>
                <w:spacing w:val="-3"/>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666" w:type="dxa"/>
            <w:vMerge w:val="continue"/>
            <w:tcBorders>
              <w:top w:val="single" w:color="auto" w:sz="4" w:space="0"/>
              <w:left w:val="single" w:color="auto" w:sz="4" w:space="0"/>
              <w:bottom w:val="single" w:color="auto" w:sz="4" w:space="0"/>
              <w:right w:val="single" w:color="auto" w:sz="4" w:space="0"/>
            </w:tcBorders>
            <w:vAlign w:val="top"/>
          </w:tcPr>
          <w:p>
            <w:pPr>
              <w:rPr>
                <w:rFonts w:hint="eastAsia" w:ascii="仿宋_GB2312" w:hAnsi="仿宋_GB2312" w:eastAsia="仿宋_GB2312" w:cs="仿宋_GB2312"/>
                <w:sz w:val="21"/>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sz w:val="21"/>
                <w:szCs w:val="21"/>
              </w:rPr>
            </w:pPr>
          </w:p>
        </w:tc>
        <w:tc>
          <w:tcPr>
            <w:tcW w:w="1350" w:type="dxa"/>
            <w:vMerge w:val="continue"/>
            <w:tcBorders>
              <w:top w:val="single" w:color="auto" w:sz="4" w:space="0"/>
              <w:left w:val="single" w:color="auto" w:sz="4" w:space="0"/>
              <w:bottom w:val="single" w:color="auto" w:sz="4" w:space="0"/>
              <w:right w:val="single" w:color="auto" w:sz="4" w:space="0"/>
            </w:tcBorders>
            <w:vAlign w:val="top"/>
          </w:tcPr>
          <w:p>
            <w:pPr>
              <w:spacing w:before="116" w:line="218" w:lineRule="auto"/>
              <w:ind w:left="371" w:right="215" w:hanging="180"/>
              <w:jc w:val="center"/>
              <w:rPr>
                <w:rFonts w:hint="eastAsia" w:ascii="仿宋_GB2312" w:hAnsi="仿宋_GB2312" w:eastAsia="仿宋_GB2312" w:cs="仿宋_GB2312"/>
                <w:spacing w:val="-3"/>
                <w:sz w:val="21"/>
                <w:szCs w:val="21"/>
              </w:rPr>
            </w:pPr>
          </w:p>
        </w:tc>
        <w:tc>
          <w:tcPr>
            <w:tcW w:w="2565" w:type="dxa"/>
            <w:gridSpan w:val="2"/>
            <w:tcBorders>
              <w:top w:val="single" w:color="auto" w:sz="4" w:space="0"/>
              <w:left w:val="single" w:color="auto" w:sz="4" w:space="0"/>
              <w:bottom w:val="single" w:color="auto" w:sz="4" w:space="0"/>
              <w:right w:val="single" w:color="auto" w:sz="4" w:space="0"/>
            </w:tcBorders>
            <w:vAlign w:val="center"/>
          </w:tcPr>
          <w:p>
            <w:pPr>
              <w:spacing w:before="116" w:line="218" w:lineRule="auto"/>
              <w:ind w:right="215"/>
              <w:jc w:val="center"/>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3"/>
                <w:sz w:val="21"/>
                <w:szCs w:val="21"/>
                <w:lang w:val="en-US" w:eastAsia="zh-CN"/>
              </w:rPr>
              <w:t>村（社区）干部的生活补助及保险人数</w:t>
            </w:r>
          </w:p>
        </w:tc>
        <w:tc>
          <w:tcPr>
            <w:tcW w:w="1155" w:type="dxa"/>
            <w:tcBorders>
              <w:left w:val="single" w:color="auto" w:sz="4" w:space="0"/>
            </w:tcBorders>
            <w:vAlign w:val="center"/>
          </w:tcPr>
          <w:p>
            <w:pPr>
              <w:spacing w:before="116" w:line="218" w:lineRule="auto"/>
              <w:ind w:left="371" w:right="215" w:hanging="180"/>
              <w:jc w:val="center"/>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3"/>
                <w:sz w:val="21"/>
                <w:szCs w:val="21"/>
                <w:lang w:val="en-US" w:eastAsia="zh-CN"/>
              </w:rPr>
              <w:t>89人</w:t>
            </w:r>
          </w:p>
        </w:tc>
        <w:tc>
          <w:tcPr>
            <w:tcW w:w="1350" w:type="dxa"/>
            <w:vAlign w:val="center"/>
          </w:tcPr>
          <w:p>
            <w:pPr>
              <w:spacing w:before="116" w:line="218" w:lineRule="auto"/>
              <w:ind w:left="371" w:right="215" w:hanging="180"/>
              <w:jc w:val="center"/>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3"/>
                <w:sz w:val="21"/>
                <w:szCs w:val="21"/>
                <w:lang w:val="en-US" w:eastAsia="zh-CN"/>
              </w:rPr>
              <w:t>89人</w:t>
            </w:r>
          </w:p>
        </w:tc>
        <w:tc>
          <w:tcPr>
            <w:tcW w:w="1770" w:type="dxa"/>
            <w:vAlign w:val="top"/>
          </w:tcPr>
          <w:p>
            <w:pPr>
              <w:spacing w:before="116" w:line="218" w:lineRule="auto"/>
              <w:ind w:left="371" w:right="215" w:hanging="180"/>
              <w:jc w:val="center"/>
              <w:rPr>
                <w:rFonts w:hint="eastAsia" w:ascii="仿宋_GB2312" w:hAnsi="仿宋_GB2312" w:eastAsia="仿宋_GB2312" w:cs="仿宋_GB2312"/>
                <w:spacing w:val="-3"/>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666" w:type="dxa"/>
            <w:vMerge w:val="continue"/>
            <w:tcBorders>
              <w:top w:val="single" w:color="auto" w:sz="4" w:space="0"/>
              <w:left w:val="single" w:color="auto" w:sz="4" w:space="0"/>
              <w:bottom w:val="single" w:color="auto" w:sz="4" w:space="0"/>
              <w:right w:val="single" w:color="auto" w:sz="4" w:space="0"/>
            </w:tcBorders>
            <w:vAlign w:val="top"/>
          </w:tcPr>
          <w:p>
            <w:pPr>
              <w:rPr>
                <w:rFonts w:hint="eastAsia" w:ascii="仿宋_GB2312" w:hAnsi="仿宋_GB2312" w:eastAsia="仿宋_GB2312" w:cs="仿宋_GB2312"/>
                <w:sz w:val="21"/>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sz w:val="21"/>
                <w:szCs w:val="21"/>
              </w:rPr>
            </w:pPr>
          </w:p>
        </w:tc>
        <w:tc>
          <w:tcPr>
            <w:tcW w:w="1350" w:type="dxa"/>
            <w:vMerge w:val="restart"/>
            <w:tcBorders>
              <w:top w:val="single" w:color="auto" w:sz="4" w:space="0"/>
              <w:left w:val="single" w:color="auto" w:sz="4" w:space="0"/>
              <w:bottom w:val="single" w:color="auto" w:sz="4" w:space="0"/>
              <w:right w:val="single" w:color="auto" w:sz="4" w:space="0"/>
            </w:tcBorders>
            <w:vAlign w:val="top"/>
          </w:tcPr>
          <w:p>
            <w:pPr>
              <w:spacing w:before="116" w:line="218" w:lineRule="auto"/>
              <w:ind w:left="371" w:right="215" w:hanging="180"/>
              <w:jc w:val="center"/>
              <w:rPr>
                <w:rFonts w:hint="eastAsia" w:ascii="仿宋_GB2312" w:hAnsi="仿宋_GB2312" w:eastAsia="仿宋_GB2312" w:cs="仿宋_GB2312"/>
                <w:spacing w:val="-3"/>
                <w:sz w:val="21"/>
                <w:szCs w:val="21"/>
              </w:rPr>
            </w:pPr>
          </w:p>
          <w:p>
            <w:pPr>
              <w:spacing w:before="116" w:line="218" w:lineRule="auto"/>
              <w:ind w:left="371" w:right="215" w:hanging="180"/>
              <w:jc w:val="center"/>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3"/>
                <w:sz w:val="21"/>
                <w:szCs w:val="21"/>
              </w:rPr>
              <w:t>质量指标</w:t>
            </w:r>
          </w:p>
        </w:tc>
        <w:tc>
          <w:tcPr>
            <w:tcW w:w="2565" w:type="dxa"/>
            <w:gridSpan w:val="2"/>
            <w:tcBorders>
              <w:top w:val="single" w:color="auto" w:sz="4" w:space="0"/>
              <w:left w:val="single" w:color="auto" w:sz="4" w:space="0"/>
              <w:bottom w:val="single" w:color="auto" w:sz="4" w:space="0"/>
              <w:right w:val="single" w:color="auto" w:sz="4" w:space="0"/>
            </w:tcBorders>
            <w:vAlign w:val="center"/>
          </w:tcPr>
          <w:p>
            <w:pPr>
              <w:spacing w:before="116" w:line="218" w:lineRule="auto"/>
              <w:ind w:right="215"/>
              <w:jc w:val="center"/>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3"/>
                <w:sz w:val="21"/>
                <w:szCs w:val="21"/>
                <w:lang w:val="en-US" w:eastAsia="zh-CN"/>
              </w:rPr>
              <w:t>镇域内各项基本工作完成率</w:t>
            </w:r>
          </w:p>
        </w:tc>
        <w:tc>
          <w:tcPr>
            <w:tcW w:w="1155" w:type="dxa"/>
            <w:tcBorders>
              <w:left w:val="single" w:color="auto" w:sz="4" w:space="0"/>
            </w:tcBorders>
            <w:vAlign w:val="center"/>
          </w:tcPr>
          <w:p>
            <w:pPr>
              <w:spacing w:before="116" w:line="218" w:lineRule="auto"/>
              <w:ind w:left="371" w:right="215" w:hanging="180"/>
              <w:jc w:val="center"/>
              <w:rPr>
                <w:rFonts w:hint="eastAsia" w:ascii="仿宋_GB2312" w:hAnsi="仿宋_GB2312" w:eastAsia="仿宋_GB2312" w:cs="仿宋_GB2312"/>
                <w:spacing w:val="-3"/>
                <w:sz w:val="21"/>
                <w:szCs w:val="21"/>
                <w:lang w:val="en-US"/>
              </w:rPr>
            </w:pPr>
            <w:r>
              <w:rPr>
                <w:rFonts w:hint="eastAsia" w:ascii="仿宋_GB2312" w:hAnsi="仿宋_GB2312" w:eastAsia="仿宋_GB2312" w:cs="仿宋_GB2312"/>
                <w:spacing w:val="-3"/>
                <w:sz w:val="21"/>
                <w:szCs w:val="21"/>
                <w:lang w:val="en-US" w:eastAsia="zh-CN"/>
              </w:rPr>
              <w:t>98%</w:t>
            </w:r>
          </w:p>
        </w:tc>
        <w:tc>
          <w:tcPr>
            <w:tcW w:w="1350" w:type="dxa"/>
            <w:vAlign w:val="center"/>
          </w:tcPr>
          <w:p>
            <w:pPr>
              <w:spacing w:before="116" w:line="218" w:lineRule="auto"/>
              <w:ind w:left="371" w:right="215" w:hanging="180"/>
              <w:jc w:val="center"/>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3"/>
                <w:sz w:val="21"/>
                <w:szCs w:val="21"/>
                <w:lang w:val="en-US" w:eastAsia="zh-CN"/>
              </w:rPr>
              <w:t>98%</w:t>
            </w:r>
          </w:p>
        </w:tc>
        <w:tc>
          <w:tcPr>
            <w:tcW w:w="1770" w:type="dxa"/>
            <w:vAlign w:val="top"/>
          </w:tcPr>
          <w:p>
            <w:pPr>
              <w:spacing w:before="116" w:line="218" w:lineRule="auto"/>
              <w:ind w:left="371" w:right="215" w:hanging="180"/>
              <w:jc w:val="center"/>
              <w:rPr>
                <w:rFonts w:hint="eastAsia" w:ascii="仿宋_GB2312" w:hAnsi="仿宋_GB2312" w:eastAsia="仿宋_GB2312" w:cs="仿宋_GB2312"/>
                <w:spacing w:val="-3"/>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666" w:type="dxa"/>
            <w:vMerge w:val="continue"/>
            <w:tcBorders>
              <w:top w:val="single" w:color="auto" w:sz="4" w:space="0"/>
              <w:left w:val="single" w:color="auto" w:sz="4" w:space="0"/>
              <w:bottom w:val="single" w:color="auto" w:sz="4" w:space="0"/>
              <w:right w:val="single" w:color="auto" w:sz="4" w:space="0"/>
            </w:tcBorders>
            <w:vAlign w:val="top"/>
          </w:tcPr>
          <w:p>
            <w:pPr>
              <w:rPr>
                <w:rFonts w:hint="eastAsia" w:ascii="仿宋_GB2312" w:hAnsi="仿宋_GB2312" w:eastAsia="仿宋_GB2312" w:cs="仿宋_GB2312"/>
                <w:sz w:val="21"/>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sz w:val="21"/>
                <w:szCs w:val="21"/>
              </w:rPr>
            </w:pPr>
          </w:p>
        </w:tc>
        <w:tc>
          <w:tcPr>
            <w:tcW w:w="1350" w:type="dxa"/>
            <w:vMerge w:val="continue"/>
            <w:tcBorders>
              <w:top w:val="single" w:color="auto" w:sz="4" w:space="0"/>
              <w:left w:val="single" w:color="auto" w:sz="4" w:space="0"/>
              <w:bottom w:val="single" w:color="auto" w:sz="4" w:space="0"/>
              <w:right w:val="single" w:color="auto" w:sz="4" w:space="0"/>
            </w:tcBorders>
            <w:vAlign w:val="top"/>
          </w:tcPr>
          <w:p>
            <w:pPr>
              <w:spacing w:before="116" w:line="218" w:lineRule="auto"/>
              <w:ind w:left="371" w:right="215" w:hanging="180"/>
              <w:jc w:val="center"/>
              <w:rPr>
                <w:rFonts w:hint="eastAsia" w:ascii="仿宋_GB2312" w:hAnsi="仿宋_GB2312" w:eastAsia="仿宋_GB2312" w:cs="仿宋_GB2312"/>
                <w:spacing w:val="-3"/>
                <w:sz w:val="21"/>
                <w:szCs w:val="21"/>
              </w:rPr>
            </w:pPr>
          </w:p>
        </w:tc>
        <w:tc>
          <w:tcPr>
            <w:tcW w:w="2565" w:type="dxa"/>
            <w:gridSpan w:val="2"/>
            <w:tcBorders>
              <w:top w:val="single" w:color="auto" w:sz="4" w:space="0"/>
              <w:left w:val="single" w:color="auto" w:sz="4" w:space="0"/>
              <w:bottom w:val="single" w:color="auto" w:sz="4" w:space="0"/>
              <w:right w:val="single" w:color="auto" w:sz="4" w:space="0"/>
            </w:tcBorders>
            <w:vAlign w:val="center"/>
          </w:tcPr>
          <w:p>
            <w:pPr>
              <w:spacing w:before="116" w:line="218" w:lineRule="auto"/>
              <w:ind w:right="215"/>
              <w:jc w:val="center"/>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3"/>
                <w:sz w:val="21"/>
                <w:szCs w:val="21"/>
                <w:lang w:val="en-US" w:eastAsia="zh-CN"/>
              </w:rPr>
              <w:t>镇域内项目验收合格率</w:t>
            </w:r>
          </w:p>
        </w:tc>
        <w:tc>
          <w:tcPr>
            <w:tcW w:w="1155" w:type="dxa"/>
            <w:tcBorders>
              <w:left w:val="single" w:color="auto" w:sz="4" w:space="0"/>
            </w:tcBorders>
            <w:vAlign w:val="center"/>
          </w:tcPr>
          <w:p>
            <w:pPr>
              <w:spacing w:before="116" w:line="218" w:lineRule="auto"/>
              <w:ind w:left="371" w:right="215" w:hanging="180"/>
              <w:jc w:val="center"/>
              <w:rPr>
                <w:rFonts w:hint="eastAsia" w:ascii="仿宋_GB2312" w:hAnsi="仿宋_GB2312" w:eastAsia="仿宋_GB2312" w:cs="仿宋_GB2312"/>
                <w:spacing w:val="-3"/>
                <w:sz w:val="21"/>
                <w:szCs w:val="21"/>
                <w:lang w:val="en-US"/>
              </w:rPr>
            </w:pPr>
            <w:r>
              <w:rPr>
                <w:rFonts w:hint="eastAsia" w:ascii="仿宋_GB2312" w:hAnsi="仿宋_GB2312" w:eastAsia="仿宋_GB2312" w:cs="仿宋_GB2312"/>
                <w:spacing w:val="-3"/>
                <w:sz w:val="21"/>
                <w:szCs w:val="21"/>
                <w:lang w:val="en-US" w:eastAsia="zh-CN"/>
              </w:rPr>
              <w:t>98%</w:t>
            </w:r>
          </w:p>
        </w:tc>
        <w:tc>
          <w:tcPr>
            <w:tcW w:w="1350" w:type="dxa"/>
            <w:vAlign w:val="center"/>
          </w:tcPr>
          <w:p>
            <w:pPr>
              <w:spacing w:before="116" w:line="218" w:lineRule="auto"/>
              <w:ind w:left="371" w:right="215" w:hanging="180"/>
              <w:jc w:val="center"/>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3"/>
                <w:sz w:val="21"/>
                <w:szCs w:val="21"/>
                <w:lang w:val="en-US" w:eastAsia="zh-CN"/>
              </w:rPr>
              <w:t>98%</w:t>
            </w:r>
          </w:p>
        </w:tc>
        <w:tc>
          <w:tcPr>
            <w:tcW w:w="1770" w:type="dxa"/>
            <w:vAlign w:val="top"/>
          </w:tcPr>
          <w:p>
            <w:pPr>
              <w:spacing w:before="116" w:line="218" w:lineRule="auto"/>
              <w:ind w:left="371" w:right="215" w:hanging="180"/>
              <w:jc w:val="center"/>
              <w:rPr>
                <w:rFonts w:hint="eastAsia" w:ascii="仿宋_GB2312" w:hAnsi="仿宋_GB2312" w:eastAsia="仿宋_GB2312" w:cs="仿宋_GB2312"/>
                <w:spacing w:val="-3"/>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666" w:type="dxa"/>
            <w:vMerge w:val="continue"/>
            <w:tcBorders>
              <w:top w:val="single" w:color="auto" w:sz="4" w:space="0"/>
              <w:left w:val="single" w:color="auto" w:sz="4" w:space="0"/>
              <w:bottom w:val="single" w:color="auto" w:sz="4" w:space="0"/>
              <w:right w:val="single" w:color="auto" w:sz="4" w:space="0"/>
            </w:tcBorders>
            <w:vAlign w:val="top"/>
          </w:tcPr>
          <w:p>
            <w:pPr>
              <w:rPr>
                <w:rFonts w:hint="eastAsia" w:ascii="仿宋_GB2312" w:hAnsi="仿宋_GB2312" w:eastAsia="仿宋_GB2312" w:cs="仿宋_GB2312"/>
                <w:sz w:val="21"/>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sz w:val="21"/>
                <w:szCs w:val="21"/>
              </w:rPr>
            </w:pPr>
          </w:p>
        </w:tc>
        <w:tc>
          <w:tcPr>
            <w:tcW w:w="1350" w:type="dxa"/>
            <w:tcBorders>
              <w:top w:val="single" w:color="auto" w:sz="4" w:space="0"/>
              <w:left w:val="single" w:color="auto" w:sz="4" w:space="0"/>
              <w:bottom w:val="single" w:color="auto" w:sz="4" w:space="0"/>
              <w:right w:val="single" w:color="auto" w:sz="4" w:space="0"/>
            </w:tcBorders>
            <w:vAlign w:val="top"/>
          </w:tcPr>
          <w:p>
            <w:pPr>
              <w:spacing w:before="116" w:line="218" w:lineRule="auto"/>
              <w:ind w:left="371" w:right="215" w:hanging="180"/>
              <w:jc w:val="center"/>
              <w:rPr>
                <w:rFonts w:hint="eastAsia" w:ascii="仿宋_GB2312" w:hAnsi="仿宋_GB2312" w:eastAsia="仿宋_GB2312" w:cs="仿宋_GB2312"/>
                <w:spacing w:val="-3"/>
                <w:sz w:val="21"/>
                <w:szCs w:val="21"/>
              </w:rPr>
            </w:pPr>
          </w:p>
          <w:p>
            <w:pPr>
              <w:spacing w:before="116" w:line="218" w:lineRule="auto"/>
              <w:ind w:left="371" w:right="215" w:hanging="180"/>
              <w:jc w:val="center"/>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3"/>
                <w:sz w:val="21"/>
                <w:szCs w:val="21"/>
              </w:rPr>
              <w:t>时效指标</w:t>
            </w:r>
          </w:p>
        </w:tc>
        <w:tc>
          <w:tcPr>
            <w:tcW w:w="2565" w:type="dxa"/>
            <w:gridSpan w:val="2"/>
            <w:tcBorders>
              <w:top w:val="single" w:color="auto" w:sz="4" w:space="0"/>
              <w:left w:val="single" w:color="auto" w:sz="4" w:space="0"/>
              <w:bottom w:val="single" w:color="auto" w:sz="4" w:space="0"/>
              <w:right w:val="single" w:color="auto" w:sz="4" w:space="0"/>
            </w:tcBorders>
            <w:vAlign w:val="top"/>
          </w:tcPr>
          <w:p>
            <w:pPr>
              <w:spacing w:before="116" w:line="218" w:lineRule="auto"/>
              <w:ind w:right="215"/>
              <w:jc w:val="center"/>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3"/>
                <w:sz w:val="21"/>
                <w:szCs w:val="21"/>
              </w:rPr>
              <w:t>按工程建设、工作开展进度支付对应进度款</w:t>
            </w:r>
          </w:p>
        </w:tc>
        <w:tc>
          <w:tcPr>
            <w:tcW w:w="1155" w:type="dxa"/>
            <w:tcBorders>
              <w:left w:val="single" w:color="auto" w:sz="4" w:space="0"/>
            </w:tcBorders>
            <w:vAlign w:val="top"/>
          </w:tcPr>
          <w:p>
            <w:pPr>
              <w:spacing w:before="116" w:line="218" w:lineRule="auto"/>
              <w:ind w:left="371" w:right="215" w:hanging="180"/>
              <w:jc w:val="center"/>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1年</w:t>
            </w:r>
          </w:p>
        </w:tc>
        <w:tc>
          <w:tcPr>
            <w:tcW w:w="1350" w:type="dxa"/>
            <w:vAlign w:val="top"/>
          </w:tcPr>
          <w:p>
            <w:pPr>
              <w:spacing w:before="116" w:line="218" w:lineRule="auto"/>
              <w:ind w:left="371" w:right="215" w:hanging="180"/>
              <w:jc w:val="center"/>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1年</w:t>
            </w:r>
          </w:p>
        </w:tc>
        <w:tc>
          <w:tcPr>
            <w:tcW w:w="1770" w:type="dxa"/>
            <w:vAlign w:val="top"/>
          </w:tcPr>
          <w:p>
            <w:pPr>
              <w:spacing w:before="116" w:line="218" w:lineRule="auto"/>
              <w:ind w:left="371" w:right="215" w:hanging="180"/>
              <w:jc w:val="center"/>
              <w:rPr>
                <w:rFonts w:hint="eastAsia" w:ascii="仿宋_GB2312" w:hAnsi="仿宋_GB2312" w:eastAsia="仿宋_GB2312" w:cs="仿宋_GB2312"/>
                <w:spacing w:val="-3"/>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666" w:type="dxa"/>
            <w:vMerge w:val="continue"/>
            <w:tcBorders>
              <w:top w:val="single" w:color="auto" w:sz="4" w:space="0"/>
              <w:left w:val="single" w:color="auto" w:sz="4" w:space="0"/>
              <w:bottom w:val="single" w:color="auto" w:sz="4" w:space="0"/>
              <w:right w:val="single" w:color="auto" w:sz="4" w:space="0"/>
            </w:tcBorders>
            <w:vAlign w:val="top"/>
          </w:tcPr>
          <w:p>
            <w:pPr>
              <w:rPr>
                <w:rFonts w:hint="eastAsia" w:ascii="仿宋_GB2312" w:hAnsi="仿宋_GB2312" w:eastAsia="仿宋_GB2312" w:cs="仿宋_GB2312"/>
                <w:sz w:val="21"/>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sz w:val="21"/>
                <w:szCs w:val="21"/>
              </w:rPr>
            </w:pPr>
          </w:p>
        </w:tc>
        <w:tc>
          <w:tcPr>
            <w:tcW w:w="1350" w:type="dxa"/>
            <w:tcBorders>
              <w:top w:val="single" w:color="auto" w:sz="4" w:space="0"/>
              <w:left w:val="single" w:color="auto" w:sz="4" w:space="0"/>
              <w:bottom w:val="single" w:color="auto" w:sz="4" w:space="0"/>
              <w:right w:val="single" w:color="auto" w:sz="4" w:space="0"/>
            </w:tcBorders>
            <w:vAlign w:val="top"/>
          </w:tcPr>
          <w:p>
            <w:pPr>
              <w:spacing w:before="116" w:line="218" w:lineRule="auto"/>
              <w:ind w:left="371" w:right="215" w:hanging="180"/>
              <w:jc w:val="center"/>
              <w:rPr>
                <w:rFonts w:hint="eastAsia" w:ascii="仿宋_GB2312" w:hAnsi="仿宋_GB2312" w:eastAsia="仿宋_GB2312" w:cs="仿宋_GB2312"/>
                <w:spacing w:val="-3"/>
                <w:sz w:val="21"/>
                <w:szCs w:val="21"/>
              </w:rPr>
            </w:pPr>
          </w:p>
          <w:p>
            <w:pPr>
              <w:spacing w:before="116" w:line="218" w:lineRule="auto"/>
              <w:ind w:left="371" w:right="215" w:hanging="180"/>
              <w:jc w:val="center"/>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3"/>
                <w:sz w:val="21"/>
                <w:szCs w:val="21"/>
              </w:rPr>
              <w:t>成本指标</w:t>
            </w:r>
          </w:p>
        </w:tc>
        <w:tc>
          <w:tcPr>
            <w:tcW w:w="2565" w:type="dxa"/>
            <w:gridSpan w:val="2"/>
            <w:tcBorders>
              <w:top w:val="single" w:color="auto" w:sz="4" w:space="0"/>
              <w:left w:val="single" w:color="auto" w:sz="4" w:space="0"/>
              <w:bottom w:val="single" w:color="auto" w:sz="4" w:space="0"/>
              <w:right w:val="single" w:color="auto" w:sz="4" w:space="0"/>
            </w:tcBorders>
            <w:vAlign w:val="center"/>
          </w:tcPr>
          <w:p>
            <w:pPr>
              <w:spacing w:before="116" w:line="218" w:lineRule="auto"/>
              <w:ind w:right="215"/>
              <w:jc w:val="center"/>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3"/>
                <w:sz w:val="21"/>
                <w:szCs w:val="21"/>
                <w:lang w:val="en-US" w:eastAsia="zh-CN"/>
              </w:rPr>
              <w:t>全年全镇资金预算额</w:t>
            </w:r>
          </w:p>
        </w:tc>
        <w:tc>
          <w:tcPr>
            <w:tcW w:w="1155" w:type="dxa"/>
            <w:tcBorders>
              <w:left w:val="single" w:color="auto" w:sz="4" w:space="0"/>
            </w:tcBorders>
            <w:vAlign w:val="center"/>
          </w:tcPr>
          <w:p>
            <w:pPr>
              <w:spacing w:before="116" w:line="218" w:lineRule="auto"/>
              <w:ind w:right="215"/>
              <w:jc w:val="center"/>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1"/>
                <w:sz w:val="21"/>
                <w:szCs w:val="21"/>
                <w:highlight w:val="none"/>
                <w:lang w:val="en-US" w:eastAsia="zh-CN"/>
              </w:rPr>
              <w:t>1134.84</w:t>
            </w:r>
            <w:r>
              <w:rPr>
                <w:rFonts w:hint="eastAsia" w:ascii="仿宋_GB2312" w:hAnsi="仿宋_GB2312" w:eastAsia="仿宋_GB2312" w:cs="仿宋_GB2312"/>
                <w:spacing w:val="-3"/>
                <w:sz w:val="21"/>
                <w:szCs w:val="21"/>
                <w:lang w:val="en-US" w:eastAsia="zh-CN"/>
              </w:rPr>
              <w:t>万元</w:t>
            </w:r>
          </w:p>
        </w:tc>
        <w:tc>
          <w:tcPr>
            <w:tcW w:w="1350" w:type="dxa"/>
            <w:vAlign w:val="center"/>
          </w:tcPr>
          <w:p>
            <w:pPr>
              <w:spacing w:before="116" w:line="218" w:lineRule="auto"/>
              <w:ind w:right="215"/>
              <w:jc w:val="center"/>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1"/>
                <w:sz w:val="21"/>
                <w:szCs w:val="21"/>
                <w:highlight w:val="none"/>
                <w:lang w:val="en-US" w:eastAsia="zh-CN"/>
              </w:rPr>
              <w:t>1155.99</w:t>
            </w:r>
            <w:r>
              <w:rPr>
                <w:rFonts w:hint="eastAsia" w:ascii="仿宋_GB2312" w:hAnsi="仿宋_GB2312" w:eastAsia="仿宋_GB2312" w:cs="仿宋_GB2312"/>
                <w:spacing w:val="-3"/>
                <w:sz w:val="21"/>
                <w:szCs w:val="21"/>
                <w:lang w:val="en-US" w:eastAsia="zh-CN"/>
              </w:rPr>
              <w:t>万元</w:t>
            </w:r>
          </w:p>
        </w:tc>
        <w:tc>
          <w:tcPr>
            <w:tcW w:w="1770" w:type="dxa"/>
            <w:vAlign w:val="top"/>
          </w:tcPr>
          <w:p>
            <w:pPr>
              <w:spacing w:before="116" w:line="218" w:lineRule="auto"/>
              <w:ind w:left="371" w:right="215" w:hanging="180"/>
              <w:jc w:val="center"/>
              <w:rPr>
                <w:rFonts w:hint="eastAsia" w:ascii="仿宋_GB2312" w:hAnsi="仿宋_GB2312" w:eastAsia="仿宋_GB2312" w:cs="仿宋_GB2312"/>
                <w:spacing w:val="-3"/>
                <w:sz w:val="21"/>
                <w:szCs w:val="21"/>
                <w:lang w:eastAsia="zh-CN"/>
              </w:rPr>
            </w:pPr>
            <w:r>
              <w:rPr>
                <w:rFonts w:hint="eastAsia" w:ascii="仿宋_GB2312" w:hAnsi="仿宋_GB2312" w:eastAsia="仿宋_GB2312" w:cs="仿宋_GB2312"/>
                <w:spacing w:val="-3"/>
                <w:sz w:val="21"/>
                <w:szCs w:val="21"/>
                <w:lang w:eastAsia="zh-CN"/>
              </w:rPr>
              <w:t>人员变动、预算追加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666" w:type="dxa"/>
            <w:vMerge w:val="continue"/>
            <w:tcBorders>
              <w:top w:val="single" w:color="auto" w:sz="4" w:space="0"/>
              <w:left w:val="single" w:color="auto" w:sz="4" w:space="0"/>
              <w:bottom w:val="single" w:color="auto" w:sz="4" w:space="0"/>
              <w:right w:val="single" w:color="auto" w:sz="4" w:space="0"/>
            </w:tcBorders>
            <w:vAlign w:val="top"/>
          </w:tcPr>
          <w:p>
            <w:pPr>
              <w:rPr>
                <w:rFonts w:hint="eastAsia" w:ascii="仿宋_GB2312" w:hAnsi="仿宋_GB2312" w:eastAsia="仿宋_GB2312" w:cs="仿宋_GB2312"/>
                <w:sz w:val="21"/>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sz w:val="21"/>
                <w:szCs w:val="21"/>
              </w:rPr>
            </w:pPr>
          </w:p>
        </w:tc>
        <w:tc>
          <w:tcPr>
            <w:tcW w:w="1350" w:type="dxa"/>
            <w:tcBorders>
              <w:top w:val="single" w:color="auto" w:sz="4" w:space="0"/>
              <w:left w:val="single" w:color="auto" w:sz="4" w:space="0"/>
              <w:bottom w:val="single" w:color="auto" w:sz="4" w:space="0"/>
              <w:right w:val="single" w:color="auto" w:sz="4" w:space="0"/>
            </w:tcBorders>
            <w:vAlign w:val="top"/>
          </w:tcPr>
          <w:p>
            <w:pPr>
              <w:spacing w:before="116" w:line="218" w:lineRule="auto"/>
              <w:ind w:right="215"/>
              <w:jc w:val="center"/>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3"/>
                <w:sz w:val="21"/>
                <w:szCs w:val="21"/>
              </w:rPr>
              <w:t>社会效益指标</w:t>
            </w:r>
          </w:p>
        </w:tc>
        <w:tc>
          <w:tcPr>
            <w:tcW w:w="2565" w:type="dxa"/>
            <w:gridSpan w:val="2"/>
            <w:tcBorders>
              <w:top w:val="single" w:color="auto" w:sz="4" w:space="0"/>
              <w:left w:val="single" w:color="auto" w:sz="4" w:space="0"/>
              <w:bottom w:val="single" w:color="auto" w:sz="4" w:space="0"/>
              <w:right w:val="single" w:color="auto" w:sz="4" w:space="0"/>
            </w:tcBorders>
            <w:vAlign w:val="top"/>
          </w:tcPr>
          <w:p>
            <w:pPr>
              <w:spacing w:before="116" w:line="218" w:lineRule="auto"/>
              <w:ind w:right="215"/>
              <w:jc w:val="center"/>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3"/>
                <w:sz w:val="21"/>
                <w:szCs w:val="21"/>
              </w:rPr>
              <w:t>完善政府公共服务能力，提升整体服务水平:</w:t>
            </w:r>
          </w:p>
        </w:tc>
        <w:tc>
          <w:tcPr>
            <w:tcW w:w="1155" w:type="dxa"/>
            <w:tcBorders>
              <w:left w:val="single" w:color="auto" w:sz="4" w:space="0"/>
            </w:tcBorders>
            <w:vAlign w:val="top"/>
          </w:tcPr>
          <w:p>
            <w:pPr>
              <w:spacing w:before="116" w:line="218" w:lineRule="auto"/>
              <w:ind w:left="371" w:right="215" w:hanging="180"/>
              <w:jc w:val="center"/>
              <w:rPr>
                <w:rFonts w:hint="eastAsia" w:ascii="仿宋_GB2312" w:hAnsi="仿宋_GB2312" w:eastAsia="仿宋_GB2312" w:cs="仿宋_GB2312"/>
                <w:spacing w:val="-3"/>
                <w:sz w:val="21"/>
                <w:szCs w:val="21"/>
                <w:lang w:eastAsia="zh-CN"/>
              </w:rPr>
            </w:pPr>
            <w:r>
              <w:rPr>
                <w:rFonts w:hint="eastAsia" w:ascii="仿宋_GB2312" w:hAnsi="仿宋_GB2312" w:eastAsia="仿宋_GB2312" w:cs="仿宋_GB2312"/>
                <w:spacing w:val="-3"/>
                <w:sz w:val="21"/>
                <w:szCs w:val="21"/>
                <w:lang w:eastAsia="zh-CN"/>
              </w:rPr>
              <w:t>定性</w:t>
            </w:r>
          </w:p>
        </w:tc>
        <w:tc>
          <w:tcPr>
            <w:tcW w:w="1350" w:type="dxa"/>
            <w:vAlign w:val="top"/>
          </w:tcPr>
          <w:p>
            <w:pPr>
              <w:spacing w:before="116" w:line="218" w:lineRule="auto"/>
              <w:ind w:left="371" w:right="215" w:hanging="180"/>
              <w:jc w:val="center"/>
              <w:rPr>
                <w:rFonts w:hint="eastAsia" w:ascii="仿宋_GB2312" w:hAnsi="仿宋_GB2312" w:eastAsia="仿宋_GB2312" w:cs="仿宋_GB2312"/>
                <w:spacing w:val="-3"/>
                <w:sz w:val="21"/>
                <w:szCs w:val="21"/>
                <w:lang w:eastAsia="zh-CN"/>
              </w:rPr>
            </w:pPr>
            <w:r>
              <w:rPr>
                <w:rFonts w:hint="eastAsia" w:ascii="仿宋_GB2312" w:hAnsi="仿宋_GB2312" w:eastAsia="仿宋_GB2312" w:cs="仿宋_GB2312"/>
                <w:spacing w:val="-3"/>
                <w:sz w:val="21"/>
                <w:szCs w:val="21"/>
                <w:lang w:eastAsia="zh-CN"/>
              </w:rPr>
              <w:t>优</w:t>
            </w:r>
          </w:p>
        </w:tc>
        <w:tc>
          <w:tcPr>
            <w:tcW w:w="1770" w:type="dxa"/>
            <w:vAlign w:val="top"/>
          </w:tcPr>
          <w:p>
            <w:pPr>
              <w:spacing w:before="116" w:line="218" w:lineRule="auto"/>
              <w:ind w:left="371" w:right="215" w:hanging="180"/>
              <w:jc w:val="center"/>
              <w:rPr>
                <w:rFonts w:hint="eastAsia" w:ascii="仿宋_GB2312" w:hAnsi="仿宋_GB2312" w:eastAsia="仿宋_GB2312" w:cs="仿宋_GB2312"/>
                <w:spacing w:val="-3"/>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666" w:type="dxa"/>
            <w:vMerge w:val="continue"/>
            <w:tcBorders>
              <w:top w:val="single" w:color="auto" w:sz="4" w:space="0"/>
              <w:left w:val="single" w:color="auto" w:sz="4" w:space="0"/>
              <w:bottom w:val="single" w:color="auto" w:sz="4" w:space="0"/>
              <w:right w:val="single" w:color="auto" w:sz="4" w:space="0"/>
            </w:tcBorders>
            <w:vAlign w:val="top"/>
          </w:tcPr>
          <w:p>
            <w:pPr>
              <w:rPr>
                <w:rFonts w:hint="eastAsia" w:ascii="仿宋_GB2312" w:hAnsi="仿宋_GB2312" w:eastAsia="仿宋_GB2312" w:cs="仿宋_GB2312"/>
                <w:sz w:val="21"/>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sz w:val="21"/>
                <w:szCs w:val="21"/>
              </w:rPr>
            </w:pPr>
          </w:p>
        </w:tc>
        <w:tc>
          <w:tcPr>
            <w:tcW w:w="1350" w:type="dxa"/>
            <w:tcBorders>
              <w:top w:val="single" w:color="auto" w:sz="4" w:space="0"/>
              <w:left w:val="single" w:color="auto" w:sz="4" w:space="0"/>
              <w:bottom w:val="single" w:color="auto" w:sz="4" w:space="0"/>
              <w:right w:val="single" w:color="auto" w:sz="4" w:space="0"/>
            </w:tcBorders>
            <w:vAlign w:val="top"/>
          </w:tcPr>
          <w:p>
            <w:pPr>
              <w:spacing w:before="116" w:line="218" w:lineRule="auto"/>
              <w:ind w:right="215"/>
              <w:jc w:val="center"/>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3"/>
                <w:sz w:val="21"/>
                <w:szCs w:val="21"/>
              </w:rPr>
              <w:t>可持续影响 指标</w:t>
            </w:r>
          </w:p>
        </w:tc>
        <w:tc>
          <w:tcPr>
            <w:tcW w:w="2565" w:type="dxa"/>
            <w:gridSpan w:val="2"/>
            <w:tcBorders>
              <w:top w:val="single" w:color="auto" w:sz="4" w:space="0"/>
              <w:left w:val="single" w:color="auto" w:sz="4" w:space="0"/>
              <w:bottom w:val="single" w:color="auto" w:sz="4" w:space="0"/>
              <w:right w:val="single" w:color="auto" w:sz="4" w:space="0"/>
            </w:tcBorders>
            <w:vAlign w:val="top"/>
          </w:tcPr>
          <w:p>
            <w:pPr>
              <w:spacing w:before="116" w:line="218" w:lineRule="auto"/>
              <w:ind w:right="215"/>
              <w:jc w:val="center"/>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3"/>
                <w:sz w:val="21"/>
                <w:szCs w:val="21"/>
              </w:rPr>
              <w:t>促进村民对国家政策理解支持率</w:t>
            </w:r>
          </w:p>
        </w:tc>
        <w:tc>
          <w:tcPr>
            <w:tcW w:w="1155" w:type="dxa"/>
            <w:tcBorders>
              <w:left w:val="single" w:color="auto" w:sz="4" w:space="0"/>
            </w:tcBorders>
            <w:vAlign w:val="top"/>
          </w:tcPr>
          <w:p>
            <w:pPr>
              <w:spacing w:before="116" w:line="218" w:lineRule="auto"/>
              <w:ind w:left="371" w:right="215" w:hanging="180"/>
              <w:jc w:val="center"/>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95%</w:t>
            </w:r>
          </w:p>
        </w:tc>
        <w:tc>
          <w:tcPr>
            <w:tcW w:w="1350" w:type="dxa"/>
            <w:vAlign w:val="top"/>
          </w:tcPr>
          <w:p>
            <w:pPr>
              <w:spacing w:before="116" w:line="218" w:lineRule="auto"/>
              <w:ind w:left="371" w:right="215" w:hanging="180"/>
              <w:jc w:val="center"/>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3"/>
                <w:sz w:val="21"/>
                <w:szCs w:val="21"/>
                <w:lang w:val="en-US" w:eastAsia="zh-CN"/>
              </w:rPr>
              <w:t>98%</w:t>
            </w:r>
          </w:p>
        </w:tc>
        <w:tc>
          <w:tcPr>
            <w:tcW w:w="1770" w:type="dxa"/>
            <w:vAlign w:val="top"/>
          </w:tcPr>
          <w:p>
            <w:pPr>
              <w:spacing w:before="116" w:line="218" w:lineRule="auto"/>
              <w:ind w:left="371" w:right="215" w:hanging="180"/>
              <w:jc w:val="center"/>
              <w:rPr>
                <w:rFonts w:hint="eastAsia" w:ascii="仿宋_GB2312" w:hAnsi="仿宋_GB2312" w:eastAsia="仿宋_GB2312" w:cs="仿宋_GB2312"/>
                <w:spacing w:val="-3"/>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666" w:type="dxa"/>
            <w:vMerge w:val="continue"/>
            <w:tcBorders>
              <w:top w:val="single" w:color="auto" w:sz="4" w:space="0"/>
              <w:left w:val="single" w:color="auto" w:sz="4" w:space="0"/>
              <w:bottom w:val="single" w:color="auto" w:sz="4" w:space="0"/>
              <w:right w:val="single" w:color="auto" w:sz="4" w:space="0"/>
            </w:tcBorders>
            <w:vAlign w:val="top"/>
          </w:tcPr>
          <w:p>
            <w:pPr>
              <w:rPr>
                <w:rFonts w:hint="eastAsia" w:ascii="仿宋_GB2312" w:hAnsi="仿宋_GB2312" w:eastAsia="仿宋_GB2312" w:cs="仿宋_GB2312"/>
                <w:sz w:val="21"/>
                <w:szCs w:val="21"/>
              </w:rPr>
            </w:pPr>
          </w:p>
        </w:tc>
        <w:tc>
          <w:tcPr>
            <w:tcW w:w="840" w:type="dxa"/>
            <w:tcBorders>
              <w:top w:val="single" w:color="auto" w:sz="4" w:space="0"/>
              <w:left w:val="single" w:color="auto" w:sz="4" w:space="0"/>
              <w:bottom w:val="single" w:color="auto" w:sz="4" w:space="0"/>
              <w:right w:val="single" w:color="auto" w:sz="4" w:space="0"/>
            </w:tcBorders>
            <w:vAlign w:val="top"/>
          </w:tcPr>
          <w:p>
            <w:pPr>
              <w:spacing w:before="165" w:line="237" w:lineRule="auto"/>
              <w:ind w:left="81"/>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满意度</w:t>
            </w:r>
          </w:p>
          <w:p>
            <w:pPr>
              <w:spacing w:line="220" w:lineRule="auto"/>
              <w:ind w:left="220"/>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指标</w:t>
            </w:r>
          </w:p>
        </w:tc>
        <w:tc>
          <w:tcPr>
            <w:tcW w:w="1350" w:type="dxa"/>
            <w:tcBorders>
              <w:top w:val="single" w:color="auto" w:sz="4" w:space="0"/>
              <w:left w:val="single" w:color="auto" w:sz="4" w:space="0"/>
              <w:bottom w:val="single" w:color="auto" w:sz="4" w:space="0"/>
              <w:right w:val="single" w:color="auto" w:sz="4" w:space="0"/>
            </w:tcBorders>
            <w:vAlign w:val="top"/>
          </w:tcPr>
          <w:p>
            <w:pPr>
              <w:spacing w:before="116" w:line="218" w:lineRule="auto"/>
              <w:ind w:right="215"/>
              <w:jc w:val="center"/>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3"/>
                <w:sz w:val="21"/>
                <w:szCs w:val="21"/>
              </w:rPr>
              <w:t>服务对象满</w:t>
            </w:r>
          </w:p>
          <w:p>
            <w:pPr>
              <w:spacing w:before="116" w:line="218" w:lineRule="auto"/>
              <w:ind w:right="215"/>
              <w:jc w:val="center"/>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3"/>
                <w:sz w:val="21"/>
                <w:szCs w:val="21"/>
              </w:rPr>
              <w:t>意度指标</w:t>
            </w:r>
          </w:p>
        </w:tc>
        <w:tc>
          <w:tcPr>
            <w:tcW w:w="2565" w:type="dxa"/>
            <w:gridSpan w:val="2"/>
            <w:tcBorders>
              <w:top w:val="single" w:color="auto" w:sz="4" w:space="0"/>
              <w:left w:val="single" w:color="auto" w:sz="4" w:space="0"/>
              <w:bottom w:val="single" w:color="auto" w:sz="4" w:space="0"/>
              <w:right w:val="single" w:color="auto" w:sz="4" w:space="0"/>
            </w:tcBorders>
            <w:vAlign w:val="top"/>
          </w:tcPr>
          <w:p>
            <w:pPr>
              <w:spacing w:before="116" w:line="218" w:lineRule="auto"/>
              <w:ind w:right="215"/>
              <w:jc w:val="center"/>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3"/>
                <w:sz w:val="21"/>
                <w:szCs w:val="21"/>
              </w:rPr>
              <w:t>全镇镇村组干部、退休干部、遗属人员、群众满意度</w:t>
            </w:r>
          </w:p>
        </w:tc>
        <w:tc>
          <w:tcPr>
            <w:tcW w:w="1155" w:type="dxa"/>
            <w:tcBorders>
              <w:left w:val="single" w:color="auto" w:sz="4" w:space="0"/>
            </w:tcBorders>
            <w:vAlign w:val="top"/>
          </w:tcPr>
          <w:p>
            <w:pPr>
              <w:spacing w:before="116" w:line="218" w:lineRule="auto"/>
              <w:ind w:left="371" w:right="215" w:hanging="180"/>
              <w:jc w:val="center"/>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3"/>
                <w:sz w:val="21"/>
                <w:szCs w:val="21"/>
                <w:lang w:val="en-US" w:eastAsia="zh-CN"/>
              </w:rPr>
              <w:t>95%</w:t>
            </w:r>
          </w:p>
        </w:tc>
        <w:tc>
          <w:tcPr>
            <w:tcW w:w="1350" w:type="dxa"/>
            <w:vAlign w:val="top"/>
          </w:tcPr>
          <w:p>
            <w:pPr>
              <w:spacing w:before="116" w:line="218" w:lineRule="auto"/>
              <w:ind w:left="371" w:right="215" w:hanging="180"/>
              <w:jc w:val="center"/>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3"/>
                <w:sz w:val="21"/>
                <w:szCs w:val="21"/>
                <w:lang w:val="en-US" w:eastAsia="zh-CN"/>
              </w:rPr>
              <w:t>98%</w:t>
            </w:r>
          </w:p>
        </w:tc>
        <w:tc>
          <w:tcPr>
            <w:tcW w:w="1770" w:type="dxa"/>
            <w:vAlign w:val="top"/>
          </w:tcPr>
          <w:p>
            <w:pPr>
              <w:spacing w:before="116" w:line="218" w:lineRule="auto"/>
              <w:ind w:left="371" w:right="215" w:hanging="180"/>
              <w:jc w:val="center"/>
              <w:rPr>
                <w:rFonts w:hint="eastAsia" w:ascii="仿宋_GB2312" w:hAnsi="仿宋_GB2312" w:eastAsia="仿宋_GB2312" w:cs="仿宋_GB2312"/>
                <w:spacing w:val="-3"/>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7926" w:type="dxa"/>
            <w:gridSpan w:val="7"/>
            <w:tcBorders>
              <w:top w:val="single" w:color="auto" w:sz="4" w:space="0"/>
              <w:left w:val="single" w:color="auto" w:sz="4" w:space="0"/>
              <w:bottom w:val="single" w:color="auto" w:sz="4" w:space="0"/>
            </w:tcBorders>
            <w:vAlign w:val="top"/>
          </w:tcPr>
          <w:p>
            <w:pPr>
              <w:spacing w:before="116" w:line="218" w:lineRule="auto"/>
              <w:ind w:left="371" w:right="215" w:hanging="180"/>
              <w:jc w:val="center"/>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总分</w:t>
            </w:r>
          </w:p>
        </w:tc>
        <w:tc>
          <w:tcPr>
            <w:tcW w:w="1770" w:type="dxa"/>
            <w:vAlign w:val="top"/>
          </w:tcPr>
          <w:p>
            <w:pPr>
              <w:spacing w:before="116" w:line="218" w:lineRule="auto"/>
              <w:ind w:left="371" w:right="215" w:hanging="180"/>
              <w:jc w:val="center"/>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99.5</w:t>
            </w:r>
          </w:p>
        </w:tc>
      </w:tr>
    </w:tbl>
    <w:p>
      <w:pPr>
        <w:spacing w:line="320" w:lineRule="auto"/>
        <w:rPr>
          <w:rFonts w:ascii="Times New Roman" w:hAnsi="Times New Roman"/>
          <w:sz w:val="21"/>
        </w:rPr>
      </w:pPr>
    </w:p>
    <w:p>
      <w:pPr>
        <w:rPr>
          <w:rFonts w:ascii="Times New Roman" w:hAnsi="Times New Roman"/>
        </w:rPr>
      </w:pPr>
    </w:p>
    <w:p>
      <w:pPr>
        <w:pStyle w:val="6"/>
        <w:rPr>
          <w:rFonts w:hint="eastAsia" w:hAnsi="宋体" w:cs="宋体"/>
          <w:color w:val="auto"/>
          <w:kern w:val="0"/>
          <w:sz w:val="32"/>
          <w:szCs w:val="32"/>
          <w:highlight w:val="none"/>
          <w:shd w:val="clear" w:color="auto" w:fill="FFFFFF"/>
          <w:lang w:val="zh-CN"/>
        </w:rPr>
      </w:pPr>
    </w:p>
    <w:p>
      <w:pPr>
        <w:pStyle w:val="6"/>
        <w:rPr>
          <w:rFonts w:hint="eastAsia" w:hAnsi="宋体" w:cs="宋体"/>
          <w:color w:val="auto"/>
          <w:kern w:val="0"/>
          <w:sz w:val="32"/>
          <w:szCs w:val="32"/>
          <w:highlight w:val="none"/>
          <w:shd w:val="clear" w:color="auto" w:fill="FFFFFF"/>
          <w:lang w:val="zh-CN"/>
        </w:rPr>
      </w:pPr>
    </w:p>
    <w:p>
      <w:pPr>
        <w:pStyle w:val="6"/>
        <w:rPr>
          <w:rFonts w:hint="eastAsia" w:hAnsi="宋体" w:cs="宋体"/>
          <w:color w:val="auto"/>
          <w:kern w:val="0"/>
          <w:sz w:val="32"/>
          <w:szCs w:val="32"/>
          <w:highlight w:val="none"/>
          <w:shd w:val="clear" w:color="auto" w:fill="FFFFFF"/>
          <w:lang w:val="zh-CN"/>
        </w:rPr>
      </w:pPr>
    </w:p>
    <w:p>
      <w:pPr>
        <w:pStyle w:val="6"/>
        <w:rPr>
          <w:rFonts w:hint="eastAsia" w:hAnsi="宋体" w:cs="宋体"/>
          <w:color w:val="auto"/>
          <w:kern w:val="0"/>
          <w:sz w:val="32"/>
          <w:szCs w:val="32"/>
          <w:highlight w:val="none"/>
          <w:shd w:val="clear" w:color="auto" w:fill="FFFFFF"/>
          <w:lang w:val="zh-CN"/>
        </w:rPr>
      </w:pPr>
    </w:p>
    <w:p>
      <w:pPr>
        <w:pStyle w:val="6"/>
        <w:rPr>
          <w:rFonts w:hint="eastAsia" w:hAnsi="宋体" w:cs="宋体"/>
          <w:color w:val="auto"/>
          <w:kern w:val="0"/>
          <w:sz w:val="32"/>
          <w:szCs w:val="32"/>
          <w:highlight w:val="none"/>
          <w:shd w:val="clear" w:color="auto" w:fill="FFFFFF"/>
          <w:lang w:val="zh-CN"/>
        </w:rPr>
      </w:pPr>
    </w:p>
    <w:p>
      <w:pPr>
        <w:pStyle w:val="6"/>
        <w:rPr>
          <w:rFonts w:hint="eastAsia" w:hAnsi="宋体" w:cs="宋体"/>
          <w:color w:val="auto"/>
          <w:kern w:val="0"/>
          <w:sz w:val="32"/>
          <w:szCs w:val="32"/>
          <w:highlight w:val="none"/>
          <w:shd w:val="clear" w:color="auto" w:fill="FFFFFF"/>
          <w:lang w:val="zh-CN"/>
        </w:rPr>
      </w:pPr>
    </w:p>
    <w:p>
      <w:pPr>
        <w:pStyle w:val="6"/>
        <w:rPr>
          <w:rFonts w:hint="eastAsia" w:hAnsi="宋体" w:cs="宋体"/>
          <w:color w:val="auto"/>
          <w:kern w:val="0"/>
          <w:sz w:val="32"/>
          <w:szCs w:val="32"/>
          <w:highlight w:val="none"/>
          <w:shd w:val="clear" w:color="auto" w:fill="FFFFFF"/>
          <w:lang w:val="zh-CN"/>
        </w:rPr>
      </w:pPr>
    </w:p>
    <w:p>
      <w:pPr>
        <w:pStyle w:val="6"/>
        <w:rPr>
          <w:rFonts w:hint="eastAsia" w:hAnsi="宋体" w:cs="宋体"/>
          <w:color w:val="auto"/>
          <w:kern w:val="0"/>
          <w:sz w:val="32"/>
          <w:szCs w:val="32"/>
          <w:highlight w:val="none"/>
          <w:shd w:val="clear" w:color="auto" w:fill="FFFFFF"/>
          <w:lang w:val="zh-CN"/>
        </w:rPr>
      </w:pPr>
    </w:p>
    <w:p>
      <w:pPr>
        <w:pStyle w:val="6"/>
        <w:rPr>
          <w:rFonts w:hint="eastAsia" w:ascii="黑体" w:hAnsi="黑体" w:eastAsia="黑体" w:cs="黑体"/>
          <w:color w:val="auto"/>
          <w:sz w:val="32"/>
          <w:szCs w:val="32"/>
          <w:highlight w:val="none"/>
          <w:lang w:val="en-US" w:eastAsia="zh-CN"/>
        </w:rPr>
      </w:pPr>
      <w:r>
        <w:rPr>
          <w:rFonts w:hint="eastAsia" w:ascii="黑体" w:hAnsi="黑体" w:eastAsia="黑体" w:cs="黑体"/>
          <w:color w:val="auto"/>
          <w:kern w:val="0"/>
          <w:sz w:val="32"/>
          <w:szCs w:val="32"/>
          <w:highlight w:val="none"/>
          <w:shd w:val="clear" w:color="auto" w:fill="FFFFFF"/>
          <w:lang w:val="zh-CN"/>
        </w:rPr>
        <w:t>附件</w:t>
      </w:r>
      <w:r>
        <w:rPr>
          <w:rFonts w:hint="eastAsia" w:ascii="黑体" w:hAnsi="黑体" w:eastAsia="黑体" w:cs="黑体"/>
          <w:color w:val="auto"/>
          <w:kern w:val="0"/>
          <w:sz w:val="32"/>
          <w:szCs w:val="32"/>
          <w:highlight w:val="none"/>
          <w:shd w:val="clear" w:color="auto" w:fill="FFFFFF"/>
          <w:lang w:val="en-US" w:eastAsia="zh-CN"/>
        </w:rPr>
        <w:t>2</w:t>
      </w:r>
    </w:p>
    <w:p>
      <w:pPr>
        <w:snapToGrid w:val="0"/>
        <w:spacing w:line="576" w:lineRule="exact"/>
        <w:jc w:val="center"/>
        <w:rPr>
          <w:rFonts w:hint="eastAsia" w:ascii="方正小标宋简体" w:hAnsi="方正小标宋简体" w:eastAsia="方正小标宋简体" w:cs="方正小标宋简体"/>
          <w:b w:val="0"/>
          <w:bCs w:val="0"/>
          <w:spacing w:val="-20"/>
          <w:sz w:val="44"/>
          <w:szCs w:val="44"/>
        </w:rPr>
      </w:pPr>
      <w:r>
        <w:rPr>
          <w:rFonts w:hint="eastAsia" w:ascii="方正小标宋简体" w:hAnsi="方正小标宋简体" w:eastAsia="方正小标宋简体" w:cs="方正小标宋简体"/>
          <w:b w:val="0"/>
          <w:bCs w:val="0"/>
          <w:spacing w:val="0"/>
          <w:w w:val="88"/>
          <w:kern w:val="0"/>
          <w:sz w:val="44"/>
          <w:szCs w:val="44"/>
          <w:fitText w:val="8800" w:id="851531223"/>
        </w:rPr>
        <w:t>关于</w:t>
      </w:r>
      <w:r>
        <w:rPr>
          <w:rFonts w:hint="eastAsia" w:ascii="方正小标宋简体" w:hAnsi="方正小标宋简体" w:eastAsia="方正小标宋简体" w:cs="方正小标宋简体"/>
          <w:b w:val="0"/>
          <w:bCs w:val="0"/>
          <w:spacing w:val="0"/>
          <w:w w:val="88"/>
          <w:kern w:val="0"/>
          <w:sz w:val="44"/>
          <w:szCs w:val="44"/>
          <w:fitText w:val="8800" w:id="851531223"/>
          <w:lang w:val="zh-CN"/>
        </w:rPr>
        <w:t>2022年基层组织活动和公共服务运行经费</w:t>
      </w:r>
      <w:r>
        <w:rPr>
          <w:rFonts w:hint="eastAsia" w:ascii="方正小标宋简体" w:hAnsi="方正小标宋简体" w:eastAsia="方正小标宋简体" w:cs="方正小标宋简体"/>
          <w:b w:val="0"/>
          <w:bCs w:val="0"/>
          <w:spacing w:val="0"/>
          <w:w w:val="88"/>
          <w:kern w:val="0"/>
          <w:sz w:val="44"/>
          <w:szCs w:val="44"/>
          <w:fitText w:val="8800" w:id="851531223"/>
        </w:rPr>
        <w:t>项</w:t>
      </w:r>
      <w:r>
        <w:rPr>
          <w:rFonts w:hint="eastAsia" w:ascii="方正小标宋简体" w:hAnsi="方正小标宋简体" w:eastAsia="方正小标宋简体" w:cs="方正小标宋简体"/>
          <w:b w:val="0"/>
          <w:bCs w:val="0"/>
          <w:spacing w:val="3"/>
          <w:w w:val="88"/>
          <w:kern w:val="0"/>
          <w:sz w:val="44"/>
          <w:szCs w:val="44"/>
          <w:fitText w:val="8800" w:id="851531223"/>
        </w:rPr>
        <w:t>目</w:t>
      </w:r>
      <w:r>
        <w:rPr>
          <w:rFonts w:hint="eastAsia" w:ascii="方正小标宋简体" w:hAnsi="方正小标宋简体" w:eastAsia="方正小标宋简体" w:cs="方正小标宋简体"/>
          <w:b w:val="0"/>
          <w:bCs w:val="0"/>
          <w:spacing w:val="-20"/>
          <w:sz w:val="44"/>
          <w:szCs w:val="44"/>
        </w:rPr>
        <w:t>支出绩效自评报告</w:t>
      </w:r>
    </w:p>
    <w:p>
      <w:pPr>
        <w:pStyle w:val="36"/>
        <w:keepNext w:val="0"/>
        <w:keepLines w:val="0"/>
        <w:pageBreakBefore w:val="0"/>
        <w:widowControl w:val="0"/>
        <w:kinsoku/>
        <w:wordWrap/>
        <w:overflowPunct/>
        <w:topLinePunct w:val="0"/>
        <w:autoSpaceDE/>
        <w:autoSpaceDN/>
        <w:bidi w:val="0"/>
        <w:spacing w:line="578" w:lineRule="exact"/>
        <w:jc w:val="center"/>
        <w:textAlignment w:val="auto"/>
        <w:rPr>
          <w:rFonts w:hint="eastAsia" w:ascii="方正小标宋简体" w:hAnsi="方正小标宋简体" w:eastAsia="方正小标宋简体" w:cs="方正小标宋简体"/>
          <w:color w:val="auto"/>
          <w:kern w:val="2"/>
          <w:sz w:val="32"/>
          <w:szCs w:val="32"/>
          <w:highlight w:val="none"/>
          <w:lang w:val="en-US" w:eastAsia="zh-CN"/>
        </w:rPr>
      </w:pPr>
    </w:p>
    <w:p>
      <w:pPr>
        <w:keepNext w:val="0"/>
        <w:keepLines w:val="0"/>
        <w:pageBreakBefore w:val="0"/>
        <w:widowControl w:val="0"/>
        <w:numPr>
          <w:ilvl w:val="0"/>
          <w:numId w:val="5"/>
        </w:numPr>
        <w:kinsoku/>
        <w:wordWrap/>
        <w:overflowPunct/>
        <w:topLinePunct w:val="0"/>
        <w:autoSpaceDE/>
        <w:autoSpaceDN/>
        <w:bidi w:val="0"/>
        <w:adjustRightInd w:val="0"/>
        <w:snapToGrid w:val="0"/>
        <w:spacing w:line="576" w:lineRule="exact"/>
        <w:ind w:firstLine="640" w:firstLineChars="200"/>
        <w:textAlignment w:val="auto"/>
        <w:outlineLvl w:val="1"/>
        <w:rPr>
          <w:rFonts w:hint="default" w:ascii="Times New Roman" w:hAnsi="Times New Roman" w:eastAsia="黑体" w:cs="Times New Roman"/>
          <w:sz w:val="32"/>
          <w:szCs w:val="32"/>
          <w:lang w:val="zh-CN"/>
        </w:rPr>
      </w:pPr>
      <w:bookmarkStart w:id="155" w:name="_Toc6801"/>
      <w:bookmarkStart w:id="156" w:name="_Toc22282"/>
      <w:bookmarkStart w:id="157" w:name="_Toc16495"/>
      <w:r>
        <w:rPr>
          <w:rFonts w:hint="default" w:ascii="Times New Roman" w:hAnsi="Times New Roman" w:eastAsia="黑体" w:cs="Times New Roman"/>
          <w:sz w:val="32"/>
          <w:szCs w:val="32"/>
          <w:lang w:val="zh-CN"/>
        </w:rPr>
        <w:t>项目概况</w:t>
      </w:r>
      <w:bookmarkEnd w:id="155"/>
      <w:bookmarkEnd w:id="156"/>
      <w:bookmarkEnd w:id="157"/>
    </w:p>
    <w:p>
      <w:pPr>
        <w:keepNext w:val="0"/>
        <w:keepLines w:val="0"/>
        <w:pageBreakBefore w:val="0"/>
        <w:numPr>
          <w:ilvl w:val="0"/>
          <w:numId w:val="0"/>
        </w:numPr>
        <w:wordWrap/>
        <w:overflowPunct/>
        <w:topLinePunct w:val="0"/>
        <w:bidi w:val="0"/>
        <w:adjustRightInd w:val="0"/>
        <w:snapToGrid w:val="0"/>
        <w:spacing w:line="576" w:lineRule="exact"/>
        <w:ind w:firstLine="643" w:firstLineChars="200"/>
        <w:outlineLvl w:val="2"/>
        <w:rPr>
          <w:rFonts w:hint="eastAsia" w:eastAsia="楷体_GB2312" w:cs="Times New Roman"/>
          <w:b/>
          <w:sz w:val="32"/>
          <w:szCs w:val="32"/>
          <w:lang w:val="zh-CN"/>
        </w:rPr>
      </w:pPr>
      <w:bookmarkStart w:id="158" w:name="_Toc25550"/>
      <w:r>
        <w:rPr>
          <w:rFonts w:hint="eastAsia" w:eastAsia="楷体_GB2312" w:cs="Times New Roman"/>
          <w:b/>
          <w:sz w:val="32"/>
          <w:szCs w:val="32"/>
          <w:lang w:val="zh-CN"/>
        </w:rPr>
        <w:t>（一）项目基本情况</w:t>
      </w:r>
      <w:bookmarkEnd w:id="158"/>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zh-CN"/>
        </w:rPr>
      </w:pPr>
      <w:r>
        <w:rPr>
          <w:rFonts w:hint="eastAsia" w:ascii="仿宋_GB2312" w:hAnsi="宋体" w:eastAsia="仿宋_GB2312"/>
          <w:sz w:val="32"/>
          <w:szCs w:val="32"/>
        </w:rPr>
        <w:t>根据《广元市昭化区基层组织活动和公共服务运行经费管理使用管理办法》</w:t>
      </w:r>
      <w:r>
        <w:rPr>
          <w:rFonts w:hint="eastAsia" w:ascii="仿宋_GB2312" w:hAnsi="宋体" w:eastAsia="仿宋_GB2312"/>
          <w:sz w:val="32"/>
          <w:szCs w:val="32"/>
          <w:lang w:eastAsia="zh-CN"/>
        </w:rPr>
        <w:t>要求</w:t>
      </w:r>
      <w:r>
        <w:rPr>
          <w:rFonts w:hint="eastAsia" w:ascii="仿宋_GB2312" w:hAnsi="宋体" w:eastAsia="仿宋_GB2312"/>
          <w:sz w:val="32"/>
          <w:szCs w:val="32"/>
        </w:rPr>
        <w:t>，广元市昭化区</w:t>
      </w:r>
      <w:r>
        <w:rPr>
          <w:rFonts w:hint="eastAsia" w:ascii="仿宋_GB2312" w:hAnsi="宋体" w:eastAsia="仿宋_GB2312"/>
          <w:sz w:val="32"/>
          <w:szCs w:val="32"/>
          <w:lang w:eastAsia="zh-CN"/>
        </w:rPr>
        <w:t>磨滩</w:t>
      </w:r>
      <w:r>
        <w:rPr>
          <w:rFonts w:hint="eastAsia" w:ascii="仿宋_GB2312" w:hAnsi="宋体" w:eastAsia="仿宋_GB2312"/>
          <w:sz w:val="32"/>
          <w:szCs w:val="32"/>
        </w:rPr>
        <w:t>镇辖</w:t>
      </w:r>
      <w:r>
        <w:rPr>
          <w:rFonts w:hint="eastAsia" w:ascii="仿宋_GB2312" w:hAnsi="宋体" w:eastAsia="仿宋_GB2312"/>
          <w:sz w:val="32"/>
          <w:szCs w:val="32"/>
          <w:lang w:val="en-US" w:eastAsia="zh-CN"/>
        </w:rPr>
        <w:t>8</w:t>
      </w:r>
      <w:r>
        <w:rPr>
          <w:rFonts w:hint="eastAsia" w:ascii="仿宋_GB2312" w:hAnsi="宋体" w:eastAsia="仿宋_GB2312"/>
          <w:sz w:val="32"/>
          <w:szCs w:val="32"/>
        </w:rPr>
        <w:t>个村1个社区，</w:t>
      </w:r>
      <w:r>
        <w:rPr>
          <w:rFonts w:hint="eastAsia" w:ascii="仿宋_GB2312" w:hAnsi="仿宋_GB2312" w:eastAsia="仿宋_GB2312" w:cs="仿宋_GB2312"/>
          <w:b w:val="0"/>
          <w:bCs/>
          <w:sz w:val="32"/>
          <w:szCs w:val="32"/>
          <w:highlight w:val="none"/>
          <w:lang w:val="zh-CN"/>
        </w:rPr>
        <w:t>金华村、百胜村、龙门场社区、金堂村、中华村、佛岩村</w:t>
      </w:r>
      <w:r>
        <w:rPr>
          <w:rFonts w:hint="eastAsia" w:ascii="仿宋_GB2312" w:hAnsi="仿宋_GB2312" w:eastAsia="仿宋_GB2312" w:cs="仿宋_GB2312"/>
          <w:b w:val="0"/>
          <w:bCs/>
          <w:sz w:val="32"/>
          <w:szCs w:val="32"/>
          <w:highlight w:val="none"/>
          <w:lang w:val="en-US" w:eastAsia="zh-CN"/>
        </w:rPr>
        <w:t>6村</w:t>
      </w:r>
      <w:r>
        <w:rPr>
          <w:rFonts w:hint="eastAsia" w:ascii="仿宋_GB2312" w:hAnsi="仿宋_GB2312" w:eastAsia="仿宋_GB2312" w:cs="仿宋_GB2312"/>
          <w:b w:val="0"/>
          <w:bCs/>
          <w:sz w:val="32"/>
          <w:szCs w:val="32"/>
          <w:highlight w:val="none"/>
        </w:rPr>
        <w:t>按三类村（社区）</w:t>
      </w:r>
      <w:r>
        <w:rPr>
          <w:rFonts w:hint="eastAsia" w:ascii="仿宋_GB2312" w:hAnsi="仿宋_GB2312" w:eastAsia="仿宋_GB2312" w:cs="仿宋_GB2312"/>
          <w:b w:val="0"/>
          <w:bCs/>
          <w:sz w:val="32"/>
          <w:szCs w:val="32"/>
          <w:highlight w:val="none"/>
          <w:lang w:val="zh-CN"/>
        </w:rPr>
        <w:t>计划资金均分别为</w:t>
      </w:r>
      <w:r>
        <w:rPr>
          <w:rFonts w:hint="eastAsia" w:ascii="仿宋_GB2312" w:hAnsi="仿宋_GB2312" w:eastAsia="仿宋_GB2312" w:cs="仿宋_GB2312"/>
          <w:b w:val="0"/>
          <w:bCs/>
          <w:sz w:val="32"/>
          <w:szCs w:val="32"/>
          <w:highlight w:val="none"/>
        </w:rPr>
        <w:t>6万元；</w:t>
      </w:r>
      <w:r>
        <w:rPr>
          <w:rFonts w:hint="eastAsia" w:ascii="仿宋_GB2312" w:hAnsi="仿宋_GB2312" w:eastAsia="仿宋_GB2312" w:cs="仿宋_GB2312"/>
          <w:b w:val="0"/>
          <w:bCs/>
          <w:sz w:val="32"/>
          <w:szCs w:val="32"/>
          <w:highlight w:val="none"/>
          <w:lang w:eastAsia="zh-CN"/>
        </w:rPr>
        <w:t>桂花村、长青村、磨滩村</w:t>
      </w:r>
      <w:r>
        <w:rPr>
          <w:rFonts w:hint="eastAsia" w:ascii="仿宋_GB2312" w:hAnsi="仿宋_GB2312" w:eastAsia="仿宋_GB2312" w:cs="仿宋_GB2312"/>
          <w:b w:val="0"/>
          <w:bCs/>
          <w:sz w:val="32"/>
          <w:szCs w:val="32"/>
          <w:highlight w:val="none"/>
          <w:lang w:val="en-US" w:eastAsia="zh-CN"/>
        </w:rPr>
        <w:t>3</w:t>
      </w:r>
      <w:r>
        <w:rPr>
          <w:rFonts w:hint="eastAsia" w:ascii="仿宋_GB2312" w:hAnsi="仿宋_GB2312" w:eastAsia="仿宋_GB2312" w:cs="仿宋_GB2312"/>
          <w:b w:val="0"/>
          <w:bCs/>
          <w:sz w:val="32"/>
          <w:szCs w:val="32"/>
          <w:highlight w:val="none"/>
        </w:rPr>
        <w:t>村（社区）按二类村（社区）</w:t>
      </w:r>
      <w:r>
        <w:rPr>
          <w:rFonts w:hint="eastAsia" w:ascii="仿宋_GB2312" w:hAnsi="仿宋_GB2312" w:eastAsia="仿宋_GB2312" w:cs="仿宋_GB2312"/>
          <w:b w:val="0"/>
          <w:bCs/>
          <w:sz w:val="32"/>
          <w:szCs w:val="32"/>
          <w:highlight w:val="none"/>
          <w:lang w:val="zh-CN"/>
        </w:rPr>
        <w:t>计划资金分别为</w:t>
      </w:r>
      <w:r>
        <w:rPr>
          <w:rFonts w:hint="eastAsia" w:ascii="仿宋_GB2312" w:hAnsi="仿宋_GB2312" w:eastAsia="仿宋_GB2312" w:cs="仿宋_GB2312"/>
          <w:b w:val="0"/>
          <w:bCs/>
          <w:sz w:val="32"/>
          <w:szCs w:val="32"/>
          <w:highlight w:val="none"/>
        </w:rPr>
        <w:t>7万元；</w:t>
      </w:r>
      <w:r>
        <w:rPr>
          <w:rFonts w:hint="eastAsia" w:ascii="仿宋_GB2312" w:hAnsi="仿宋_GB2312" w:eastAsia="仿宋_GB2312" w:cs="仿宋_GB2312"/>
          <w:b w:val="0"/>
          <w:bCs/>
          <w:sz w:val="32"/>
          <w:szCs w:val="32"/>
          <w:highlight w:val="none"/>
          <w:lang w:val="zh-CN"/>
        </w:rPr>
        <w:t>村（社区）实行报账制度。区级、镇本级资金到位率均为100%。</w:t>
      </w:r>
    </w:p>
    <w:p>
      <w:pPr>
        <w:keepNext w:val="0"/>
        <w:keepLines w:val="0"/>
        <w:pageBreakBefore w:val="0"/>
        <w:widowControl w:val="0"/>
        <w:numPr>
          <w:ilvl w:val="0"/>
          <w:numId w:val="6"/>
        </w:numPr>
        <w:kinsoku/>
        <w:wordWrap/>
        <w:overflowPunct/>
        <w:topLinePunct w:val="0"/>
        <w:autoSpaceDE/>
        <w:autoSpaceDN/>
        <w:bidi w:val="0"/>
        <w:adjustRightInd w:val="0"/>
        <w:snapToGrid w:val="0"/>
        <w:spacing w:line="576" w:lineRule="exact"/>
        <w:ind w:firstLine="643" w:firstLineChars="200"/>
        <w:textAlignment w:val="auto"/>
        <w:outlineLvl w:val="2"/>
        <w:rPr>
          <w:rFonts w:hint="default" w:ascii="Times New Roman" w:hAnsi="Times New Roman" w:eastAsia="楷体_GB2312" w:cs="Times New Roman"/>
          <w:b/>
          <w:sz w:val="32"/>
          <w:szCs w:val="32"/>
          <w:lang w:val="zh-CN"/>
        </w:rPr>
      </w:pPr>
      <w:bookmarkStart w:id="159" w:name="_Toc16929"/>
      <w:r>
        <w:rPr>
          <w:rFonts w:hint="default" w:ascii="Times New Roman" w:hAnsi="Times New Roman" w:eastAsia="楷体_GB2312" w:cs="Times New Roman"/>
          <w:b/>
          <w:sz w:val="32"/>
          <w:szCs w:val="32"/>
          <w:lang w:val="zh-CN"/>
        </w:rPr>
        <w:t>项目绩效目标</w:t>
      </w:r>
      <w:bookmarkEnd w:id="159"/>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宋体" w:eastAsia="仿宋_GB2312"/>
          <w:sz w:val="32"/>
          <w:szCs w:val="32"/>
          <w:lang w:val="zh-CN"/>
        </w:rPr>
      </w:pPr>
      <w:r>
        <w:rPr>
          <w:rFonts w:hint="eastAsia" w:ascii="仿宋_GB2312" w:hAnsi="宋体" w:eastAsia="仿宋_GB2312"/>
          <w:sz w:val="32"/>
          <w:szCs w:val="32"/>
          <w:lang w:val="zh-CN"/>
        </w:rPr>
        <w:t>20</w:t>
      </w:r>
      <w:r>
        <w:rPr>
          <w:rFonts w:hint="eastAsia" w:ascii="仿宋_GB2312" w:hAnsi="宋体" w:eastAsia="仿宋_GB2312"/>
          <w:sz w:val="32"/>
          <w:szCs w:val="32"/>
        </w:rPr>
        <w:t>2</w:t>
      </w:r>
      <w:r>
        <w:rPr>
          <w:rFonts w:hint="eastAsia" w:ascii="仿宋_GB2312" w:hAnsi="宋体" w:eastAsia="仿宋_GB2312"/>
          <w:sz w:val="32"/>
          <w:szCs w:val="32"/>
          <w:lang w:val="en-US" w:eastAsia="zh-CN"/>
        </w:rPr>
        <w:t>2</w:t>
      </w:r>
      <w:r>
        <w:rPr>
          <w:rFonts w:hint="eastAsia" w:ascii="仿宋_GB2312" w:hAnsi="宋体" w:eastAsia="仿宋_GB2312"/>
          <w:sz w:val="32"/>
          <w:szCs w:val="32"/>
          <w:lang w:val="zh-CN"/>
        </w:rPr>
        <w:t>年该项目主要用于磨滩镇</w:t>
      </w:r>
      <w:r>
        <w:rPr>
          <w:rFonts w:hint="eastAsia" w:ascii="仿宋_GB2312" w:hAnsi="宋体" w:eastAsia="仿宋_GB2312"/>
          <w:sz w:val="32"/>
          <w:szCs w:val="32"/>
          <w:lang w:val="en-US" w:eastAsia="zh-CN"/>
        </w:rPr>
        <w:t>8</w:t>
      </w:r>
      <w:r>
        <w:rPr>
          <w:rFonts w:hint="eastAsia" w:ascii="仿宋_GB2312" w:hAnsi="宋体" w:eastAsia="仿宋_GB2312"/>
          <w:sz w:val="32"/>
          <w:szCs w:val="32"/>
          <w:lang w:val="zh-CN"/>
        </w:rPr>
        <w:t>村</w:t>
      </w:r>
      <w:r>
        <w:rPr>
          <w:rFonts w:hint="eastAsia" w:ascii="仿宋_GB2312" w:hAnsi="宋体" w:eastAsia="仿宋_GB2312"/>
          <w:sz w:val="32"/>
          <w:szCs w:val="32"/>
        </w:rPr>
        <w:t>1</w:t>
      </w:r>
      <w:r>
        <w:rPr>
          <w:rFonts w:hint="eastAsia" w:ascii="仿宋_GB2312" w:hAnsi="宋体" w:eastAsia="仿宋_GB2312"/>
          <w:sz w:val="32"/>
          <w:szCs w:val="32"/>
          <w:lang w:val="zh-CN"/>
        </w:rPr>
        <w:t>社区的辖区内道路、水利、供水等基础设施，农村垃圾、园林绿化等；农业科技推广、农业信息化、农业资源与生态保护等；农村生活服务“村村通”、报刊图书阅览服务、文体及健身活动等；农村社会管理环境卫生监督管理、政策宣传、农村土地规划管理、食品安全保障等服务维护活动。</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outlineLvl w:val="2"/>
        <w:rPr>
          <w:rFonts w:hint="eastAsia" w:ascii="Times New Roman" w:hAnsi="Times New Roman" w:eastAsia="楷体_GB2312" w:cs="Times New Roman"/>
          <w:b/>
          <w:sz w:val="32"/>
          <w:szCs w:val="32"/>
          <w:lang w:val="zh-CN"/>
        </w:rPr>
      </w:pPr>
      <w:bookmarkStart w:id="160" w:name="_Toc200"/>
      <w:r>
        <w:rPr>
          <w:rFonts w:hint="eastAsia" w:ascii="Times New Roman" w:hAnsi="Times New Roman" w:eastAsia="楷体_GB2312" w:cs="Times New Roman"/>
          <w:b/>
          <w:sz w:val="32"/>
          <w:szCs w:val="32"/>
          <w:lang w:val="zh-CN"/>
        </w:rPr>
        <w:t>（</w:t>
      </w:r>
      <w:r>
        <w:rPr>
          <w:rFonts w:hint="eastAsia" w:eastAsia="楷体_GB2312" w:cs="Times New Roman"/>
          <w:b/>
          <w:sz w:val="32"/>
          <w:szCs w:val="32"/>
          <w:lang w:val="zh-CN"/>
        </w:rPr>
        <w:t>三</w:t>
      </w:r>
      <w:r>
        <w:rPr>
          <w:rFonts w:hint="eastAsia" w:ascii="Times New Roman" w:hAnsi="Times New Roman" w:eastAsia="楷体_GB2312" w:cs="Times New Roman"/>
          <w:b/>
          <w:sz w:val="32"/>
          <w:szCs w:val="32"/>
          <w:lang w:val="zh-CN"/>
        </w:rPr>
        <w:t>）自评步骤及方法</w:t>
      </w:r>
      <w:bookmarkEnd w:id="160"/>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宋体" w:eastAsia="仿宋_GB2312"/>
          <w:sz w:val="32"/>
          <w:szCs w:val="32"/>
          <w:lang w:val="zh-CN"/>
        </w:rPr>
      </w:pPr>
      <w:r>
        <w:rPr>
          <w:rFonts w:hint="eastAsia" w:ascii="仿宋_GB2312" w:hAnsi="宋体" w:eastAsia="仿宋_GB2312"/>
          <w:sz w:val="32"/>
          <w:szCs w:val="32"/>
          <w:lang w:val="zh-CN"/>
        </w:rPr>
        <w:t>本项目采取自评与他评相结合方式，成立项目自评小组，结合评价内容，做到有计划，有安排，扎实开展本次自评工作。按照上级下达的项目支出绩效评价指标体系，自评小组针对申报内容、实施情况、资金兑现、财务管理、社会效益等作出自我评价，认真听取村、社区居民建议意见，做好自评工作。</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outlineLvl w:val="1"/>
        <w:rPr>
          <w:rFonts w:hint="default" w:ascii="黑体" w:hAnsi="黑体" w:eastAsia="黑体" w:cs="黑体"/>
          <w:color w:val="auto"/>
          <w:kern w:val="0"/>
          <w:sz w:val="32"/>
          <w:szCs w:val="32"/>
          <w:highlight w:val="none"/>
          <w:lang w:val="en-US" w:eastAsia="zh-CN" w:bidi="ar-SA"/>
        </w:rPr>
      </w:pPr>
      <w:bookmarkStart w:id="161" w:name="_Toc24354"/>
      <w:r>
        <w:rPr>
          <w:rFonts w:hint="default" w:ascii="黑体" w:hAnsi="黑体" w:eastAsia="黑体" w:cs="黑体"/>
          <w:color w:val="auto"/>
          <w:kern w:val="0"/>
          <w:sz w:val="32"/>
          <w:szCs w:val="32"/>
          <w:highlight w:val="none"/>
          <w:lang w:val="en-US" w:eastAsia="zh-CN" w:bidi="ar-SA"/>
        </w:rPr>
        <w:t>二、项目</w:t>
      </w:r>
      <w:r>
        <w:rPr>
          <w:rFonts w:hint="eastAsia" w:ascii="黑体" w:hAnsi="黑体" w:eastAsia="黑体" w:cs="黑体"/>
          <w:color w:val="auto"/>
          <w:kern w:val="0"/>
          <w:sz w:val="32"/>
          <w:szCs w:val="32"/>
          <w:highlight w:val="none"/>
          <w:lang w:val="en-US" w:eastAsia="zh-CN" w:bidi="ar-SA"/>
        </w:rPr>
        <w:t>资金申报及使用情况</w:t>
      </w:r>
      <w:bookmarkEnd w:id="161"/>
    </w:p>
    <w:p>
      <w:pPr>
        <w:pageBreakBefore w:val="0"/>
        <w:kinsoku/>
        <w:wordWrap/>
        <w:overflowPunct/>
        <w:topLinePunct w:val="0"/>
        <w:autoSpaceDE w:val="0"/>
        <w:autoSpaceDN w:val="0"/>
        <w:bidi w:val="0"/>
        <w:adjustRightInd w:val="0"/>
        <w:spacing w:line="576" w:lineRule="exact"/>
        <w:ind w:firstLine="643" w:firstLineChars="200"/>
        <w:jc w:val="left"/>
        <w:textAlignment w:val="auto"/>
        <w:outlineLvl w:val="2"/>
        <w:rPr>
          <w:rFonts w:hint="eastAsia" w:ascii="仿宋" w:hAnsi="仿宋" w:eastAsia="仿宋" w:cs="Times New Roman"/>
          <w:b/>
          <w:color w:val="auto"/>
          <w:sz w:val="32"/>
          <w:szCs w:val="32"/>
          <w:highlight w:val="none"/>
          <w:lang w:val="zh-CN" w:eastAsia="zh-CN"/>
        </w:rPr>
      </w:pPr>
      <w:bookmarkStart w:id="162" w:name="_Toc16276"/>
      <w:r>
        <w:rPr>
          <w:rFonts w:hint="eastAsia" w:ascii="仿宋" w:hAnsi="仿宋" w:eastAsia="仿宋" w:cs="Times New Roman"/>
          <w:b/>
          <w:color w:val="auto"/>
          <w:sz w:val="32"/>
          <w:szCs w:val="32"/>
          <w:highlight w:val="none"/>
          <w:lang w:val="zh-CN" w:eastAsia="zh-CN"/>
        </w:rPr>
        <w:t>（一）项目资金申报及批复情况</w:t>
      </w:r>
      <w:bookmarkEnd w:id="162"/>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宋体" w:eastAsia="仿宋_GB2312"/>
          <w:sz w:val="32"/>
          <w:szCs w:val="32"/>
          <w:lang w:val="zh-CN" w:eastAsia="zh-CN"/>
        </w:rPr>
      </w:pPr>
      <w:r>
        <w:rPr>
          <w:rFonts w:hint="eastAsia" w:ascii="仿宋_GB2312" w:hAnsi="宋体" w:eastAsia="仿宋_GB2312"/>
          <w:sz w:val="32"/>
          <w:szCs w:val="32"/>
          <w:lang w:val="en-US" w:eastAsia="zh-CN"/>
        </w:rPr>
        <w:t>2022年基</w:t>
      </w:r>
      <w:r>
        <w:rPr>
          <w:rFonts w:hint="eastAsia" w:ascii="仿宋_GB2312" w:hAnsi="宋体" w:eastAsia="仿宋_GB2312"/>
          <w:sz w:val="32"/>
          <w:szCs w:val="32"/>
          <w:lang w:val="zh-CN" w:eastAsia="zh-CN"/>
        </w:rPr>
        <w:t>层组织活动与公共服务运行经费项目预算</w:t>
      </w:r>
      <w:r>
        <w:rPr>
          <w:rFonts w:hint="eastAsia" w:ascii="仿宋_GB2312" w:hAnsi="宋体" w:eastAsia="仿宋_GB2312"/>
          <w:sz w:val="32"/>
          <w:szCs w:val="32"/>
          <w:lang w:val="en-US" w:eastAsia="zh-CN"/>
        </w:rPr>
        <w:t>57</w:t>
      </w:r>
      <w:r>
        <w:rPr>
          <w:rFonts w:hint="eastAsia" w:ascii="仿宋_GB2312" w:hAnsi="宋体" w:eastAsia="仿宋_GB2312"/>
          <w:sz w:val="32"/>
          <w:szCs w:val="32"/>
          <w:lang w:val="zh-CN" w:eastAsia="zh-CN"/>
        </w:rPr>
        <w:t>万元，区财政批复预算</w:t>
      </w:r>
      <w:r>
        <w:rPr>
          <w:rFonts w:hint="eastAsia" w:ascii="仿宋_GB2312" w:hAnsi="宋体" w:eastAsia="仿宋_GB2312"/>
          <w:sz w:val="32"/>
          <w:szCs w:val="32"/>
          <w:lang w:val="en-US" w:eastAsia="zh-CN"/>
        </w:rPr>
        <w:t>57</w:t>
      </w:r>
      <w:r>
        <w:rPr>
          <w:rFonts w:hint="eastAsia" w:ascii="仿宋_GB2312" w:hAnsi="宋体" w:eastAsia="仿宋_GB2312"/>
          <w:sz w:val="32"/>
          <w:szCs w:val="32"/>
          <w:lang w:val="zh-CN" w:eastAsia="zh-CN"/>
        </w:rPr>
        <w:t>万元，下达资金</w:t>
      </w:r>
      <w:r>
        <w:rPr>
          <w:rFonts w:hint="eastAsia" w:ascii="仿宋_GB2312" w:hAnsi="宋体" w:eastAsia="仿宋_GB2312"/>
          <w:sz w:val="32"/>
          <w:szCs w:val="32"/>
          <w:lang w:val="en-US" w:eastAsia="zh-CN"/>
        </w:rPr>
        <w:t>57万元，资金到位率100%。支付依据符合相关规定，项目资金支付与预算申请相符合。</w:t>
      </w:r>
    </w:p>
    <w:p>
      <w:pPr>
        <w:pageBreakBefore w:val="0"/>
        <w:kinsoku/>
        <w:wordWrap/>
        <w:overflowPunct/>
        <w:topLinePunct w:val="0"/>
        <w:autoSpaceDE w:val="0"/>
        <w:autoSpaceDN w:val="0"/>
        <w:bidi w:val="0"/>
        <w:adjustRightInd w:val="0"/>
        <w:spacing w:line="576" w:lineRule="exact"/>
        <w:ind w:firstLine="643" w:firstLineChars="200"/>
        <w:jc w:val="left"/>
        <w:textAlignment w:val="auto"/>
        <w:outlineLvl w:val="2"/>
        <w:rPr>
          <w:rFonts w:hint="default" w:ascii="仿宋" w:hAnsi="仿宋" w:eastAsia="仿宋" w:cs="Times New Roman"/>
          <w:b/>
          <w:color w:val="auto"/>
          <w:sz w:val="32"/>
          <w:szCs w:val="32"/>
          <w:highlight w:val="none"/>
          <w:lang w:val="zh-CN" w:eastAsia="zh-CN"/>
        </w:rPr>
      </w:pPr>
      <w:bookmarkStart w:id="163" w:name="_Toc3181"/>
      <w:r>
        <w:rPr>
          <w:rFonts w:hint="default"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二</w:t>
      </w:r>
      <w:r>
        <w:rPr>
          <w:rFonts w:hint="default"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项目计划、到位及使用</w:t>
      </w:r>
      <w:r>
        <w:rPr>
          <w:rFonts w:hint="default" w:ascii="仿宋" w:hAnsi="仿宋" w:eastAsia="仿宋" w:cs="Times New Roman"/>
          <w:b/>
          <w:color w:val="auto"/>
          <w:sz w:val="32"/>
          <w:szCs w:val="32"/>
          <w:highlight w:val="none"/>
          <w:lang w:val="zh-CN" w:eastAsia="zh-CN"/>
        </w:rPr>
        <w:t>情况</w:t>
      </w:r>
      <w:bookmarkEnd w:id="163"/>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宋体" w:eastAsia="仿宋_GB2312"/>
          <w:sz w:val="32"/>
          <w:szCs w:val="32"/>
          <w:lang w:val="zh-CN" w:eastAsia="zh-CN"/>
        </w:rPr>
      </w:pPr>
      <w:r>
        <w:rPr>
          <w:rFonts w:hint="eastAsia" w:ascii="仿宋_GB2312" w:hAnsi="宋体" w:eastAsia="仿宋_GB2312"/>
          <w:sz w:val="32"/>
          <w:szCs w:val="32"/>
          <w:lang w:val="en-US" w:eastAsia="zh-CN"/>
        </w:rPr>
        <w:t>1.</w:t>
      </w:r>
      <w:r>
        <w:rPr>
          <w:rFonts w:hint="eastAsia" w:ascii="仿宋_GB2312" w:hAnsi="宋体" w:eastAsia="仿宋_GB2312"/>
          <w:sz w:val="32"/>
          <w:szCs w:val="32"/>
          <w:lang w:val="zh-CN" w:eastAsia="zh-CN"/>
        </w:rPr>
        <w:t>资金计划。</w:t>
      </w:r>
      <w:r>
        <w:rPr>
          <w:rFonts w:hint="eastAsia" w:ascii="仿宋_GB2312" w:hAnsi="宋体" w:eastAsia="仿宋_GB2312"/>
          <w:sz w:val="32"/>
          <w:szCs w:val="32"/>
          <w:lang w:val="en-US" w:eastAsia="zh-CN"/>
        </w:rPr>
        <w:t>该</w:t>
      </w:r>
      <w:r>
        <w:rPr>
          <w:rFonts w:hint="eastAsia" w:ascii="仿宋_GB2312" w:hAnsi="宋体" w:eastAsia="仿宋_GB2312"/>
          <w:sz w:val="32"/>
          <w:szCs w:val="32"/>
          <w:lang w:val="zh-CN" w:eastAsia="zh-CN"/>
        </w:rPr>
        <w:t>项目资金来源为财政拨款，总投入为</w:t>
      </w:r>
      <w:r>
        <w:rPr>
          <w:rFonts w:hint="eastAsia" w:ascii="仿宋_GB2312" w:hAnsi="宋体" w:eastAsia="仿宋_GB2312"/>
          <w:sz w:val="32"/>
          <w:szCs w:val="32"/>
          <w:lang w:val="en-US" w:eastAsia="zh-CN"/>
        </w:rPr>
        <w:t>57万元，资金于2022年初部门预算批复到位。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2.</w:t>
      </w:r>
      <w:r>
        <w:rPr>
          <w:rFonts w:hint="eastAsia" w:ascii="仿宋_GB2312" w:hAnsi="宋体" w:eastAsia="仿宋_GB2312"/>
          <w:sz w:val="32"/>
          <w:szCs w:val="32"/>
          <w:lang w:val="zh-CN" w:eastAsia="zh-CN"/>
        </w:rPr>
        <w:t>资金到位。截止评价时点，该项目</w:t>
      </w:r>
      <w:r>
        <w:rPr>
          <w:rFonts w:hint="eastAsia" w:ascii="仿宋_GB2312" w:hAnsi="宋体" w:eastAsia="仿宋_GB2312"/>
          <w:sz w:val="32"/>
          <w:szCs w:val="32"/>
          <w:lang w:val="en-US" w:eastAsia="zh-CN"/>
        </w:rPr>
        <w:t>资金全部到位，资金到位率100%。</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宋体" w:eastAsia="仿宋_GB2312"/>
          <w:sz w:val="32"/>
          <w:szCs w:val="32"/>
          <w:lang w:val="zh-CN" w:eastAsia="zh-CN"/>
        </w:rPr>
      </w:pPr>
      <w:r>
        <w:rPr>
          <w:rFonts w:hint="eastAsia" w:ascii="仿宋_GB2312" w:hAnsi="宋体" w:eastAsia="仿宋_GB2312"/>
          <w:sz w:val="32"/>
          <w:szCs w:val="32"/>
          <w:lang w:val="en-US" w:eastAsia="zh-CN"/>
        </w:rPr>
        <w:t>3.</w:t>
      </w:r>
      <w:r>
        <w:rPr>
          <w:rFonts w:hint="eastAsia" w:ascii="仿宋_GB2312" w:hAnsi="宋体" w:eastAsia="仿宋_GB2312"/>
          <w:sz w:val="32"/>
          <w:szCs w:val="32"/>
          <w:lang w:val="zh-CN" w:eastAsia="zh-CN"/>
        </w:rPr>
        <w:t>资金使用。截止评价时点，该项目</w:t>
      </w:r>
      <w:r>
        <w:rPr>
          <w:rFonts w:hint="eastAsia" w:ascii="仿宋_GB2312" w:hAnsi="宋体" w:eastAsia="仿宋_GB2312"/>
          <w:sz w:val="32"/>
          <w:szCs w:val="32"/>
          <w:lang w:val="en-US" w:eastAsia="zh-CN"/>
        </w:rPr>
        <w:t>支付51.21万元，资金使用率89.84%。剩余部分2023年作为存量资金已全部拨付到位，</w:t>
      </w:r>
      <w:r>
        <w:rPr>
          <w:rFonts w:hint="eastAsia" w:ascii="仿宋_GB2312" w:hAnsi="宋体" w:eastAsia="仿宋_GB2312"/>
          <w:sz w:val="32"/>
          <w:szCs w:val="32"/>
          <w:lang w:val="zh-CN" w:eastAsia="zh-CN"/>
        </w:rPr>
        <w:t>资金使用</w:t>
      </w:r>
      <w:r>
        <w:rPr>
          <w:rFonts w:hint="eastAsia" w:ascii="仿宋_GB2312" w:hAnsi="宋体" w:eastAsia="仿宋_GB2312"/>
          <w:sz w:val="32"/>
          <w:szCs w:val="32"/>
          <w:lang w:val="en-US" w:eastAsia="zh-CN"/>
        </w:rPr>
        <w:t>具有</w:t>
      </w:r>
      <w:r>
        <w:rPr>
          <w:rFonts w:hint="eastAsia" w:ascii="仿宋_GB2312" w:hAnsi="宋体" w:eastAsia="仿宋_GB2312"/>
          <w:sz w:val="32"/>
          <w:szCs w:val="32"/>
          <w:lang w:val="zh-CN" w:eastAsia="zh-CN"/>
        </w:rPr>
        <w:t>安全性、规范性、有效性，</w:t>
      </w:r>
      <w:r>
        <w:rPr>
          <w:rFonts w:hint="eastAsia" w:ascii="仿宋_GB2312" w:hAnsi="宋体" w:eastAsia="仿宋_GB2312"/>
          <w:sz w:val="32"/>
          <w:szCs w:val="32"/>
          <w:lang w:val="en-US" w:eastAsia="zh-CN"/>
        </w:rPr>
        <w:t>严格按照</w:t>
      </w:r>
      <w:r>
        <w:rPr>
          <w:rFonts w:hint="eastAsia" w:ascii="仿宋_GB2312" w:hAnsi="宋体" w:eastAsia="仿宋_GB2312"/>
          <w:sz w:val="32"/>
          <w:szCs w:val="32"/>
          <w:lang w:val="zh-CN" w:eastAsia="zh-CN"/>
        </w:rPr>
        <w:t>资金支付范围、支付标准</w:t>
      </w:r>
      <w:r>
        <w:rPr>
          <w:rFonts w:hint="eastAsia" w:ascii="仿宋_GB2312" w:hAnsi="宋体" w:eastAsia="仿宋_GB2312"/>
          <w:sz w:val="32"/>
          <w:szCs w:val="32"/>
          <w:lang w:val="en-US" w:eastAsia="zh-CN"/>
        </w:rPr>
        <w:t>进行支付，</w:t>
      </w:r>
      <w:r>
        <w:rPr>
          <w:rFonts w:hint="eastAsia" w:ascii="仿宋_GB2312" w:hAnsi="宋体" w:eastAsia="仿宋_GB2312"/>
          <w:sz w:val="32"/>
          <w:szCs w:val="32"/>
          <w:lang w:val="zh-CN" w:eastAsia="zh-CN"/>
        </w:rPr>
        <w:t>支付进度、支付依据合规合法、与预算相符。</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outlineLvl w:val="2"/>
        <w:rPr>
          <w:rFonts w:hint="default" w:ascii="Times New Roman" w:hAnsi="Times New Roman" w:eastAsia="楷体_GB2312" w:cs="Times New Roman"/>
          <w:b/>
          <w:sz w:val="32"/>
          <w:szCs w:val="32"/>
          <w:lang w:val="zh-CN"/>
        </w:rPr>
      </w:pPr>
      <w:bookmarkStart w:id="164" w:name="_Toc31046"/>
      <w:r>
        <w:rPr>
          <w:rFonts w:hint="default" w:ascii="Times New Roman" w:hAnsi="Times New Roman" w:eastAsia="楷体_GB2312" w:cs="Times New Roman"/>
          <w:b/>
          <w:sz w:val="32"/>
          <w:szCs w:val="32"/>
          <w:lang w:val="zh-CN"/>
        </w:rPr>
        <w:t>（</w:t>
      </w:r>
      <w:r>
        <w:rPr>
          <w:rFonts w:hint="eastAsia" w:eastAsia="楷体_GB2312" w:cs="Times New Roman"/>
          <w:b/>
          <w:sz w:val="32"/>
          <w:szCs w:val="32"/>
          <w:lang w:val="zh-CN"/>
        </w:rPr>
        <w:t>三</w:t>
      </w:r>
      <w:r>
        <w:rPr>
          <w:rFonts w:hint="default" w:ascii="Times New Roman" w:hAnsi="Times New Roman" w:eastAsia="楷体_GB2312" w:cs="Times New Roman"/>
          <w:b/>
          <w:sz w:val="32"/>
          <w:szCs w:val="32"/>
          <w:lang w:val="zh-CN"/>
        </w:rPr>
        <w:t>）项目财务管理情况</w:t>
      </w:r>
      <w:bookmarkEnd w:id="164"/>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eastAsia="仿宋_GB2312" w:cs="Times New Roman"/>
          <w:sz w:val="32"/>
          <w:szCs w:val="32"/>
          <w:lang w:val="en-US" w:eastAsia="zh-CN"/>
        </w:rPr>
      </w:pPr>
      <w:r>
        <w:rPr>
          <w:rFonts w:hint="eastAsia" w:ascii="仿宋_GB2312" w:hAnsi="Calibri" w:eastAsia="仿宋_GB2312" w:cs="仿宋"/>
          <w:color w:val="auto"/>
          <w:kern w:val="0"/>
          <w:sz w:val="32"/>
          <w:szCs w:val="32"/>
          <w:highlight w:val="none"/>
          <w:lang w:val="en-US" w:eastAsia="zh-CN" w:bidi="ar-SA"/>
        </w:rPr>
        <w:t>磨滩镇基层活动和公共服务运行项目资金采取财政直接支付形式，由各村组织申报材料，形成项目专项资金申请报告报送财务部门，由财政所根据项目进度，严格按照项目资金管理办法对资金进行计划申请、划拨至所提供的第三方指定账户，及时、规范对收支进行账务处理和会计核算。对项目资金坚持专款专用、量入为出的原则，并建立好项目专项资金使用台账，加强项目专项资金的财务管理及使用监督管理。</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outlineLvl w:val="1"/>
        <w:rPr>
          <w:rFonts w:hint="default" w:ascii="黑体" w:hAnsi="黑体" w:eastAsia="黑体" w:cs="黑体"/>
          <w:color w:val="auto"/>
          <w:kern w:val="0"/>
          <w:sz w:val="32"/>
          <w:szCs w:val="32"/>
          <w:highlight w:val="none"/>
          <w:lang w:val="zh-CN" w:eastAsia="zh-CN" w:bidi="ar-SA"/>
        </w:rPr>
      </w:pPr>
      <w:bookmarkStart w:id="165" w:name="_Toc7872"/>
      <w:bookmarkStart w:id="166" w:name="_Toc397"/>
      <w:r>
        <w:rPr>
          <w:rFonts w:hint="default" w:ascii="黑体" w:hAnsi="黑体" w:eastAsia="黑体" w:cs="黑体"/>
          <w:color w:val="auto"/>
          <w:kern w:val="0"/>
          <w:sz w:val="32"/>
          <w:szCs w:val="32"/>
          <w:highlight w:val="none"/>
          <w:lang w:val="en-US" w:eastAsia="zh-CN" w:bidi="ar-SA"/>
        </w:rPr>
        <w:t>三、项目</w:t>
      </w:r>
      <w:r>
        <w:rPr>
          <w:rFonts w:hint="eastAsia" w:ascii="黑体" w:hAnsi="黑体" w:eastAsia="黑体" w:cs="黑体"/>
          <w:color w:val="auto"/>
          <w:kern w:val="0"/>
          <w:sz w:val="32"/>
          <w:szCs w:val="32"/>
          <w:highlight w:val="none"/>
          <w:lang w:val="en-US" w:eastAsia="zh-CN" w:bidi="ar-SA"/>
        </w:rPr>
        <w:t>实施及管理情况</w:t>
      </w:r>
      <w:bookmarkEnd w:id="165"/>
      <w:r>
        <w:rPr>
          <w:rFonts w:hint="default" w:ascii="黑体" w:hAnsi="黑体" w:eastAsia="黑体" w:cs="黑体"/>
          <w:color w:val="auto"/>
          <w:kern w:val="0"/>
          <w:sz w:val="32"/>
          <w:szCs w:val="32"/>
          <w:highlight w:val="none"/>
          <w:lang w:val="zh-CN" w:eastAsia="zh-CN" w:bidi="ar-SA"/>
        </w:rPr>
        <w:tab/>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楷体" w:hAnsi="楷体" w:eastAsia="楷体" w:cs="楷体"/>
          <w:b/>
          <w:color w:val="auto"/>
          <w:sz w:val="32"/>
          <w:szCs w:val="32"/>
          <w:highlight w:val="none"/>
          <w:lang w:val="en-US" w:eastAsia="zh-CN"/>
        </w:rPr>
      </w:pPr>
      <w:r>
        <w:rPr>
          <w:rFonts w:hint="eastAsia" w:ascii="楷体" w:hAnsi="楷体" w:eastAsia="楷体" w:cs="楷体"/>
          <w:b/>
          <w:color w:val="auto"/>
          <w:sz w:val="32"/>
          <w:szCs w:val="32"/>
          <w:highlight w:val="none"/>
          <w:lang w:val="zh-CN" w:eastAsia="zh-CN"/>
        </w:rPr>
        <w:t>（</w:t>
      </w:r>
      <w:r>
        <w:rPr>
          <w:rFonts w:hint="eastAsia" w:ascii="楷体" w:hAnsi="楷体" w:eastAsia="楷体" w:cs="楷体"/>
          <w:b/>
          <w:color w:val="auto"/>
          <w:sz w:val="32"/>
          <w:szCs w:val="32"/>
          <w:highlight w:val="none"/>
          <w:lang w:val="en-US" w:eastAsia="zh-CN"/>
        </w:rPr>
        <w:t>一</w:t>
      </w:r>
      <w:r>
        <w:rPr>
          <w:rFonts w:hint="eastAsia" w:ascii="楷体" w:hAnsi="楷体" w:eastAsia="楷体" w:cs="楷体"/>
          <w:b/>
          <w:color w:val="auto"/>
          <w:sz w:val="32"/>
          <w:szCs w:val="32"/>
          <w:highlight w:val="none"/>
          <w:lang w:val="zh-CN" w:eastAsia="zh-CN"/>
        </w:rPr>
        <w:t>）</w:t>
      </w:r>
      <w:r>
        <w:rPr>
          <w:rFonts w:hint="eastAsia" w:ascii="楷体" w:hAnsi="楷体" w:eastAsia="楷体" w:cs="楷体"/>
          <w:b/>
          <w:color w:val="auto"/>
          <w:sz w:val="32"/>
          <w:szCs w:val="32"/>
          <w:highlight w:val="none"/>
          <w:lang w:val="en-US" w:eastAsia="zh-CN"/>
        </w:rPr>
        <w:t>项目组织架构及实施流程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32"/>
          <w:lang w:val="zh-CN"/>
        </w:rPr>
      </w:pPr>
      <w:r>
        <w:rPr>
          <w:rFonts w:hint="eastAsia" w:ascii="仿宋_GB2312" w:hAnsi="Calibri" w:eastAsia="仿宋_GB2312" w:cs="仿宋"/>
          <w:color w:val="auto"/>
          <w:kern w:val="0"/>
          <w:sz w:val="32"/>
          <w:szCs w:val="32"/>
          <w:highlight w:val="none"/>
          <w:lang w:val="zh-CN" w:eastAsia="zh-CN" w:bidi="ar-SA"/>
        </w:rPr>
        <w:t>镇党委政府高度重视</w:t>
      </w:r>
      <w:r>
        <w:rPr>
          <w:rFonts w:hint="eastAsia" w:ascii="仿宋_GB2312" w:hAnsi="Calibri" w:eastAsia="仿宋_GB2312" w:cs="仿宋"/>
          <w:color w:val="auto"/>
          <w:kern w:val="0"/>
          <w:sz w:val="32"/>
          <w:szCs w:val="32"/>
          <w:highlight w:val="none"/>
          <w:lang w:val="en-US" w:eastAsia="zh-CN" w:bidi="ar-SA"/>
        </w:rPr>
        <w:t>基层活动和公共服务运行项目</w:t>
      </w:r>
      <w:r>
        <w:rPr>
          <w:rFonts w:hint="eastAsia" w:ascii="仿宋_GB2312" w:hAnsi="Calibri" w:eastAsia="仿宋_GB2312" w:cs="仿宋"/>
          <w:color w:val="auto"/>
          <w:kern w:val="0"/>
          <w:sz w:val="32"/>
          <w:szCs w:val="32"/>
          <w:highlight w:val="none"/>
          <w:lang w:val="zh-CN" w:eastAsia="zh-CN" w:bidi="ar-SA"/>
        </w:rPr>
        <w:t>，并成立工作领导小组。以镇党委副书记、镇长为组长，各联村（社区）领导为副组长，财政所负责人、各村（社区书记）为成员。抓牢抓实此项目的实施。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200"/>
        <w:textAlignment w:val="auto"/>
        <w:rPr>
          <w:rFonts w:hint="eastAsia" w:ascii="楷体" w:hAnsi="楷体" w:eastAsia="楷体" w:cs="楷体"/>
          <w:b/>
          <w:color w:val="auto"/>
          <w:sz w:val="32"/>
          <w:szCs w:val="32"/>
          <w:highlight w:val="none"/>
          <w:lang w:val="en-US" w:eastAsia="zh-CN"/>
        </w:rPr>
      </w:pPr>
      <w:r>
        <w:rPr>
          <w:rFonts w:hint="eastAsia" w:ascii="楷体" w:hAnsi="楷体" w:eastAsia="楷体" w:cs="楷体"/>
          <w:b/>
          <w:color w:val="auto"/>
          <w:sz w:val="32"/>
          <w:szCs w:val="32"/>
          <w:highlight w:val="none"/>
          <w:lang w:val="zh-CN" w:eastAsia="zh-CN"/>
        </w:rPr>
        <w:t>（</w:t>
      </w:r>
      <w:r>
        <w:rPr>
          <w:rFonts w:hint="eastAsia" w:ascii="楷体" w:hAnsi="楷体" w:eastAsia="楷体" w:cs="楷体"/>
          <w:b/>
          <w:color w:val="auto"/>
          <w:sz w:val="32"/>
          <w:szCs w:val="32"/>
          <w:highlight w:val="none"/>
          <w:lang w:val="en-US" w:eastAsia="zh-CN"/>
        </w:rPr>
        <w:t>二</w:t>
      </w:r>
      <w:r>
        <w:rPr>
          <w:rFonts w:hint="eastAsia" w:ascii="楷体" w:hAnsi="楷体" w:eastAsia="楷体" w:cs="楷体"/>
          <w:b/>
          <w:color w:val="auto"/>
          <w:sz w:val="32"/>
          <w:szCs w:val="32"/>
          <w:highlight w:val="none"/>
          <w:lang w:val="zh-CN" w:eastAsia="zh-CN"/>
        </w:rPr>
        <w:t>）</w:t>
      </w:r>
      <w:r>
        <w:rPr>
          <w:rFonts w:hint="eastAsia" w:ascii="楷体" w:hAnsi="楷体" w:eastAsia="楷体" w:cs="楷体"/>
          <w:b/>
          <w:color w:val="auto"/>
          <w:sz w:val="32"/>
          <w:szCs w:val="32"/>
          <w:highlight w:val="none"/>
          <w:lang w:val="en-US" w:eastAsia="zh-CN"/>
        </w:rPr>
        <w:t>项目管理情况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Calibri" w:eastAsia="仿宋_GB2312" w:cs="仿宋"/>
          <w:color w:val="auto"/>
          <w:kern w:val="0"/>
          <w:sz w:val="32"/>
          <w:szCs w:val="32"/>
          <w:highlight w:val="none"/>
          <w:lang w:val="zh-CN" w:eastAsia="zh-CN" w:bidi="ar-SA"/>
        </w:rPr>
      </w:pPr>
      <w:r>
        <w:rPr>
          <w:rFonts w:hint="eastAsia" w:ascii="仿宋_GB2312" w:hAnsi="Calibri" w:eastAsia="仿宋_GB2312" w:cs="仿宋"/>
          <w:color w:val="auto"/>
          <w:kern w:val="0"/>
          <w:sz w:val="32"/>
          <w:szCs w:val="32"/>
          <w:highlight w:val="none"/>
          <w:lang w:val="zh-CN" w:eastAsia="zh-CN" w:bidi="ar-SA"/>
        </w:rPr>
        <w:t>项目资金由镇财政所具体管理，按投资计划，制定管理制度，对项目资金按项目单独核算实行“专款专用、专人管理”，不</w:t>
      </w:r>
      <w:r>
        <w:rPr>
          <w:rFonts w:hint="eastAsia" w:ascii="仿宋_GB2312" w:hAnsi="Calibri" w:eastAsia="仿宋_GB2312" w:cs="仿宋"/>
          <w:color w:val="auto"/>
          <w:kern w:val="0"/>
          <w:sz w:val="32"/>
          <w:szCs w:val="32"/>
          <w:highlight w:val="none"/>
          <w:lang w:val="en-US" w:eastAsia="zh-CN" w:bidi="ar-SA"/>
        </w:rPr>
        <w:t>存在</w:t>
      </w:r>
      <w:r>
        <w:rPr>
          <w:rFonts w:hint="eastAsia" w:ascii="仿宋_GB2312" w:hAnsi="Calibri" w:eastAsia="仿宋_GB2312" w:cs="仿宋"/>
          <w:color w:val="auto"/>
          <w:kern w:val="0"/>
          <w:sz w:val="32"/>
          <w:szCs w:val="32"/>
          <w:highlight w:val="none"/>
          <w:lang w:val="zh-CN" w:eastAsia="zh-CN" w:bidi="ar-SA"/>
        </w:rPr>
        <w:t>挤占挪用项目资金。</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200"/>
        <w:textAlignment w:val="auto"/>
        <w:rPr>
          <w:rFonts w:hint="eastAsia" w:ascii="楷体" w:hAnsi="楷体" w:eastAsia="楷体" w:cs="楷体"/>
          <w:b/>
          <w:color w:val="auto"/>
          <w:sz w:val="32"/>
          <w:szCs w:val="32"/>
          <w:highlight w:val="none"/>
          <w:lang w:val="en-US" w:eastAsia="zh-CN"/>
        </w:rPr>
      </w:pPr>
      <w:r>
        <w:rPr>
          <w:rFonts w:hint="eastAsia" w:ascii="楷体" w:hAnsi="楷体" w:eastAsia="楷体" w:cs="楷体"/>
          <w:b/>
          <w:color w:val="auto"/>
          <w:sz w:val="32"/>
          <w:szCs w:val="32"/>
          <w:highlight w:val="none"/>
          <w:lang w:val="zh-CN" w:eastAsia="zh-CN"/>
        </w:rPr>
        <w:t>（</w:t>
      </w:r>
      <w:r>
        <w:rPr>
          <w:rFonts w:hint="eastAsia" w:ascii="楷体" w:hAnsi="楷体" w:eastAsia="楷体" w:cs="楷体"/>
          <w:b/>
          <w:color w:val="auto"/>
          <w:sz w:val="32"/>
          <w:szCs w:val="32"/>
          <w:highlight w:val="none"/>
          <w:lang w:val="en-US" w:eastAsia="zh-CN"/>
        </w:rPr>
        <w:t>三</w:t>
      </w:r>
      <w:r>
        <w:rPr>
          <w:rFonts w:hint="eastAsia" w:ascii="楷体" w:hAnsi="楷体" w:eastAsia="楷体" w:cs="楷体"/>
          <w:b/>
          <w:color w:val="auto"/>
          <w:sz w:val="32"/>
          <w:szCs w:val="32"/>
          <w:highlight w:val="none"/>
          <w:lang w:val="zh-CN" w:eastAsia="zh-CN"/>
        </w:rPr>
        <w:t>）</w:t>
      </w:r>
      <w:r>
        <w:rPr>
          <w:rFonts w:hint="eastAsia" w:ascii="楷体" w:hAnsi="楷体" w:eastAsia="楷体" w:cs="楷体"/>
          <w:b/>
          <w:color w:val="auto"/>
          <w:sz w:val="32"/>
          <w:szCs w:val="32"/>
          <w:highlight w:val="none"/>
          <w:lang w:val="en-US" w:eastAsia="zh-CN"/>
        </w:rPr>
        <w:t>项目监管情况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Calibri" w:eastAsia="仿宋_GB2312" w:cs="仿宋"/>
          <w:color w:val="auto"/>
          <w:kern w:val="0"/>
          <w:sz w:val="32"/>
          <w:szCs w:val="32"/>
          <w:highlight w:val="none"/>
          <w:lang w:val="zh-CN" w:eastAsia="zh-CN" w:bidi="ar-SA"/>
        </w:rPr>
      </w:pPr>
      <w:r>
        <w:rPr>
          <w:rFonts w:hint="eastAsia" w:ascii="仿宋_GB2312" w:hAnsi="Calibri" w:eastAsia="仿宋_GB2312" w:cs="仿宋"/>
          <w:color w:val="auto"/>
          <w:kern w:val="0"/>
          <w:sz w:val="32"/>
          <w:szCs w:val="32"/>
          <w:highlight w:val="none"/>
          <w:lang w:val="zh-CN" w:eastAsia="zh-CN" w:bidi="ar-SA"/>
        </w:rPr>
        <w:t>项目的正常实施监督检查是保障。我</w:t>
      </w:r>
      <w:r>
        <w:rPr>
          <w:rFonts w:hint="eastAsia" w:ascii="仿宋_GB2312" w:hAnsi="Calibri" w:eastAsia="仿宋_GB2312" w:cs="仿宋"/>
          <w:color w:val="auto"/>
          <w:kern w:val="0"/>
          <w:sz w:val="32"/>
          <w:szCs w:val="32"/>
          <w:highlight w:val="none"/>
          <w:lang w:val="en-US" w:eastAsia="zh-CN" w:bidi="ar-SA"/>
        </w:rPr>
        <w:t>镇</w:t>
      </w:r>
      <w:r>
        <w:rPr>
          <w:rFonts w:hint="eastAsia" w:ascii="仿宋_GB2312" w:hAnsi="Calibri" w:eastAsia="仿宋_GB2312" w:cs="仿宋"/>
          <w:color w:val="auto"/>
          <w:kern w:val="0"/>
          <w:sz w:val="32"/>
          <w:szCs w:val="32"/>
          <w:highlight w:val="none"/>
          <w:lang w:val="zh-CN" w:eastAsia="zh-CN" w:bidi="ar-SA"/>
        </w:rPr>
        <w:t>定期或不定期对项目进行现场检查和督查，确保项目建设质量。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Calibri" w:eastAsia="仿宋_GB2312" w:cs="仿宋"/>
          <w:color w:val="auto"/>
          <w:kern w:val="0"/>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1"/>
        <w:rPr>
          <w:rFonts w:hint="default" w:ascii="Times New Roman" w:hAnsi="Times New Roman" w:eastAsia="仿宋_GB2312" w:cs="Times New Roman"/>
          <w:sz w:val="32"/>
          <w:szCs w:val="32"/>
          <w:lang w:val="zh-CN"/>
        </w:rPr>
      </w:pPr>
      <w:bookmarkStart w:id="167" w:name="_Toc30642"/>
      <w:bookmarkStart w:id="168" w:name="_Toc27178"/>
      <w:r>
        <w:rPr>
          <w:rFonts w:hint="eastAsia" w:eastAsia="黑体" w:cs="Times New Roman"/>
          <w:sz w:val="32"/>
          <w:szCs w:val="32"/>
          <w:lang w:eastAsia="zh-CN"/>
        </w:rPr>
        <w:t>四</w:t>
      </w:r>
      <w:r>
        <w:rPr>
          <w:rFonts w:hint="default" w:ascii="Times New Roman" w:hAnsi="Times New Roman" w:eastAsia="黑体" w:cs="Times New Roman"/>
          <w:sz w:val="32"/>
          <w:szCs w:val="32"/>
        </w:rPr>
        <w:t>、项目绩效情况</w:t>
      </w:r>
      <w:bookmarkEnd w:id="166"/>
      <w:bookmarkEnd w:id="167"/>
      <w:bookmarkEnd w:id="168"/>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outlineLvl w:val="2"/>
        <w:rPr>
          <w:rFonts w:hint="default" w:ascii="Times New Roman" w:hAnsi="Times New Roman" w:eastAsia="楷体_GB2312" w:cs="Times New Roman"/>
          <w:b/>
          <w:sz w:val="32"/>
          <w:szCs w:val="32"/>
          <w:lang w:val="zh-CN"/>
        </w:rPr>
      </w:pPr>
      <w:bookmarkStart w:id="169" w:name="_Toc10342"/>
      <w:r>
        <w:rPr>
          <w:rFonts w:hint="default" w:ascii="Times New Roman" w:hAnsi="Times New Roman" w:eastAsia="楷体_GB2312" w:cs="Times New Roman"/>
          <w:b/>
          <w:sz w:val="32"/>
          <w:szCs w:val="32"/>
          <w:lang w:val="zh-CN"/>
        </w:rPr>
        <w:t>（一）项目完成情况</w:t>
      </w:r>
      <w:bookmarkEnd w:id="169"/>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镇党委政府将</w:t>
      </w:r>
      <w:r>
        <w:rPr>
          <w:rFonts w:hint="eastAsia" w:ascii="仿宋_GB2312" w:hAnsi="仿宋_GB2312" w:eastAsia="仿宋_GB2312" w:cs="仿宋_GB2312"/>
          <w:sz w:val="32"/>
          <w:szCs w:val="32"/>
          <w:lang w:val="zh-CN" w:eastAsia="zh-CN"/>
        </w:rPr>
        <w:t>农村公共运行服务项目</w:t>
      </w:r>
      <w:r>
        <w:rPr>
          <w:rFonts w:hint="eastAsia" w:ascii="仿宋_GB2312" w:hAnsi="仿宋_GB2312" w:eastAsia="仿宋_GB2312" w:cs="仿宋_GB2312"/>
          <w:sz w:val="32"/>
          <w:szCs w:val="32"/>
          <w:lang w:val="zh-CN"/>
        </w:rPr>
        <w:t>工作纳入村级目标管理。</w:t>
      </w:r>
      <w:r>
        <w:rPr>
          <w:rFonts w:hint="eastAsia" w:ascii="仿宋_GB2312" w:hAnsi="仿宋_GB2312" w:eastAsia="仿宋_GB2312" w:cs="仿宋_GB2312"/>
          <w:sz w:val="32"/>
          <w:szCs w:val="32"/>
          <w:lang w:val="en-US" w:eastAsia="zh-CN"/>
        </w:rPr>
        <w:t>2022年我镇农村公共运行服务项目：完成了垃圾清运432余次、走访慰问10余次、开展组织活动10余次、人饮维护、村（社区）活动阵地房屋维修，阵地设施设备维护等，项目于2022年12月31日前全部实施完工。</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outlineLvl w:val="2"/>
        <w:rPr>
          <w:rFonts w:hint="default" w:ascii="Times New Roman" w:hAnsi="Times New Roman" w:eastAsia="楷体_GB2312" w:cs="Times New Roman"/>
          <w:b/>
          <w:sz w:val="32"/>
          <w:szCs w:val="32"/>
          <w:lang w:val="zh-CN"/>
        </w:rPr>
      </w:pPr>
      <w:bookmarkStart w:id="170" w:name="_Toc23711"/>
      <w:r>
        <w:rPr>
          <w:rFonts w:hint="default" w:ascii="Times New Roman" w:hAnsi="Times New Roman" w:eastAsia="楷体_GB2312" w:cs="Times New Roman"/>
          <w:b/>
          <w:sz w:val="32"/>
          <w:szCs w:val="32"/>
          <w:lang w:val="zh-CN"/>
        </w:rPr>
        <w:t>（</w:t>
      </w:r>
      <w:r>
        <w:rPr>
          <w:rFonts w:hint="eastAsia" w:eastAsia="楷体_GB2312" w:cs="Times New Roman"/>
          <w:b/>
          <w:sz w:val="32"/>
          <w:szCs w:val="32"/>
          <w:lang w:val="en-US" w:eastAsia="zh-CN"/>
        </w:rPr>
        <w:t>二</w:t>
      </w:r>
      <w:r>
        <w:rPr>
          <w:rFonts w:hint="default" w:ascii="Times New Roman" w:hAnsi="Times New Roman" w:eastAsia="楷体_GB2312" w:cs="Times New Roman"/>
          <w:b/>
          <w:sz w:val="32"/>
          <w:szCs w:val="32"/>
          <w:lang w:val="zh-CN"/>
        </w:rPr>
        <w:t>）项目效益情况</w:t>
      </w:r>
      <w:bookmarkEnd w:id="170"/>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宋体" w:eastAsia="仿宋_GB2312"/>
          <w:sz w:val="32"/>
          <w:szCs w:val="32"/>
          <w:lang w:eastAsia="zh-CN"/>
        </w:rPr>
      </w:pPr>
      <w:r>
        <w:rPr>
          <w:rFonts w:hint="eastAsia" w:ascii="仿宋_GB2312" w:hAnsi="宋体" w:eastAsia="仿宋_GB2312"/>
          <w:sz w:val="32"/>
          <w:szCs w:val="32"/>
        </w:rPr>
        <w:t>为切实做好这项工作，省农村综合改革领导小组办公室特制定了《四川省农村公共服务运行维护机制建设工作手册》，结合</w:t>
      </w:r>
      <w:r>
        <w:rPr>
          <w:rFonts w:hint="eastAsia" w:ascii="仿宋_GB2312" w:hAnsi="宋体" w:eastAsia="仿宋_GB2312"/>
          <w:sz w:val="32"/>
          <w:szCs w:val="32"/>
          <w:lang w:eastAsia="zh-CN"/>
        </w:rPr>
        <w:t>我镇</w:t>
      </w:r>
      <w:r>
        <w:rPr>
          <w:rFonts w:hint="eastAsia" w:ascii="仿宋_GB2312" w:hAnsi="宋体" w:eastAsia="仿宋_GB2312"/>
          <w:sz w:val="32"/>
          <w:szCs w:val="32"/>
        </w:rPr>
        <w:t>的实际</w:t>
      </w:r>
      <w:r>
        <w:rPr>
          <w:rFonts w:hint="eastAsia" w:ascii="仿宋_GB2312" w:hAnsi="宋体" w:eastAsia="仿宋_GB2312"/>
          <w:sz w:val="32"/>
          <w:szCs w:val="32"/>
          <w:lang w:eastAsia="zh-CN"/>
        </w:rPr>
        <w:t>实施情况，将改善村（社区）办公场所、公共基础设施、环境卫生条件、提高群众的农技知识、提升群众的生活质量和幸福感、获得群众对政府的满意度和对党的感恩之心。</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outlineLvl w:val="1"/>
        <w:rPr>
          <w:rFonts w:hint="default" w:ascii="Times New Roman" w:hAnsi="Times New Roman" w:eastAsia="黑体" w:cs="Times New Roman"/>
          <w:sz w:val="32"/>
          <w:szCs w:val="32"/>
        </w:rPr>
      </w:pPr>
      <w:bookmarkStart w:id="171" w:name="_Toc10654"/>
      <w:bookmarkStart w:id="172" w:name="_Toc16937"/>
      <w:bookmarkStart w:id="173" w:name="_Toc22256"/>
      <w:r>
        <w:rPr>
          <w:rFonts w:hint="default" w:ascii="Times New Roman" w:hAnsi="Times New Roman" w:eastAsia="黑体" w:cs="Times New Roman"/>
          <w:sz w:val="32"/>
          <w:szCs w:val="32"/>
        </w:rPr>
        <w:t>四、</w:t>
      </w:r>
      <w:r>
        <w:rPr>
          <w:rFonts w:hint="eastAsia" w:eastAsia="黑体" w:cs="Times New Roman"/>
          <w:sz w:val="32"/>
          <w:szCs w:val="32"/>
          <w:lang w:eastAsia="zh-CN"/>
        </w:rPr>
        <w:t>自评结论及</w:t>
      </w:r>
      <w:r>
        <w:rPr>
          <w:rFonts w:hint="default" w:ascii="Times New Roman" w:hAnsi="Times New Roman" w:eastAsia="黑体" w:cs="Times New Roman"/>
          <w:sz w:val="32"/>
          <w:szCs w:val="32"/>
        </w:rPr>
        <w:t>建议</w:t>
      </w:r>
      <w:bookmarkEnd w:id="171"/>
      <w:bookmarkEnd w:id="172"/>
      <w:bookmarkEnd w:id="173"/>
    </w:p>
    <w:p>
      <w:pPr>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jc w:val="left"/>
        <w:textAlignment w:val="auto"/>
        <w:outlineLvl w:val="2"/>
        <w:rPr>
          <w:rFonts w:hint="eastAsia" w:ascii="Times New Roman" w:hAnsi="Times New Roman" w:eastAsia="楷体_GB2312" w:cs="Times New Roman"/>
          <w:b/>
          <w:sz w:val="32"/>
          <w:szCs w:val="32"/>
          <w:lang w:val="zh-CN" w:eastAsia="zh-CN"/>
        </w:rPr>
      </w:pPr>
      <w:bookmarkStart w:id="174" w:name="_Toc19290"/>
      <w:r>
        <w:rPr>
          <w:rFonts w:hint="eastAsia" w:ascii="Times New Roman" w:hAnsi="Times New Roman" w:eastAsia="楷体_GB2312" w:cs="Times New Roman"/>
          <w:b/>
          <w:sz w:val="32"/>
          <w:szCs w:val="32"/>
          <w:lang w:val="zh-CN" w:eastAsia="zh-CN"/>
        </w:rPr>
        <w:t>（一）评价结论</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outlineLvl w:val="2"/>
        <w:rPr>
          <w:rFonts w:hint="eastAsia" w:eastAsia="仿宋_GB2312" w:cs="Times New Roman"/>
          <w:sz w:val="32"/>
          <w:szCs w:val="32"/>
          <w:lang w:val="zh-CN" w:eastAsia="zh-CN"/>
        </w:rPr>
      </w:pPr>
      <w:r>
        <w:rPr>
          <w:rFonts w:hint="eastAsia" w:ascii="仿宋_GB2312" w:hAnsi="Calibri" w:eastAsia="仿宋_GB2312" w:cs="仿宋"/>
          <w:color w:val="auto"/>
          <w:kern w:val="0"/>
          <w:sz w:val="32"/>
          <w:szCs w:val="32"/>
          <w:highlight w:val="none"/>
          <w:lang w:val="en-US" w:eastAsia="zh-CN" w:bidi="ar-SA"/>
        </w:rPr>
        <w:t>开展</w:t>
      </w:r>
      <w:r>
        <w:rPr>
          <w:rFonts w:hint="eastAsia" w:ascii="仿宋_GB2312" w:hAnsi="Calibri" w:eastAsia="仿宋_GB2312" w:cs="仿宋"/>
          <w:color w:val="auto"/>
          <w:kern w:val="0"/>
          <w:sz w:val="32"/>
          <w:szCs w:val="32"/>
          <w:highlight w:val="none"/>
          <w:lang w:val="zh-CN" w:eastAsia="zh-CN" w:bidi="ar-SA"/>
        </w:rPr>
        <w:t>基层组织活动和农村公共运行维护机制建设工作，是贯彻落实统筹城乡发展战略的重要举措，是完善乡村治理机制的重要抓手，是加强基层民主政治建设的重要平台，是解决农村公共服务差异化需求的重要手段。我镇</w:t>
      </w:r>
      <w:r>
        <w:rPr>
          <w:rFonts w:hint="eastAsia" w:ascii="仿宋_GB2312" w:hAnsi="Calibri" w:eastAsia="仿宋_GB2312" w:cs="仿宋"/>
          <w:color w:val="auto"/>
          <w:kern w:val="0"/>
          <w:sz w:val="32"/>
          <w:szCs w:val="32"/>
          <w:highlight w:val="none"/>
          <w:lang w:val="en-US" w:eastAsia="zh-CN" w:bidi="ar-SA"/>
        </w:rPr>
        <w:t>2022年基层活动和公共服务运行项目</w:t>
      </w:r>
      <w:r>
        <w:rPr>
          <w:rFonts w:hint="eastAsia" w:ascii="仿宋_GB2312" w:hAnsi="Calibri" w:eastAsia="仿宋_GB2312" w:cs="仿宋"/>
          <w:color w:val="auto"/>
          <w:kern w:val="0"/>
          <w:sz w:val="32"/>
          <w:szCs w:val="32"/>
          <w:highlight w:val="none"/>
          <w:lang w:val="zh-CN" w:eastAsia="zh-CN" w:bidi="ar-SA"/>
        </w:rPr>
        <w:t>保障了我镇</w:t>
      </w:r>
      <w:r>
        <w:rPr>
          <w:rFonts w:hint="eastAsia" w:ascii="仿宋_GB2312" w:hAnsi="Calibri" w:eastAsia="仿宋_GB2312" w:cs="仿宋"/>
          <w:color w:val="auto"/>
          <w:kern w:val="0"/>
          <w:sz w:val="32"/>
          <w:szCs w:val="32"/>
          <w:highlight w:val="none"/>
          <w:lang w:val="en-US" w:eastAsia="zh-CN" w:bidi="ar-SA"/>
        </w:rPr>
        <w:t>各村</w:t>
      </w:r>
      <w:r>
        <w:rPr>
          <w:rFonts w:hint="eastAsia" w:ascii="仿宋_GB2312" w:hAnsi="Calibri" w:eastAsia="仿宋_GB2312" w:cs="仿宋"/>
          <w:color w:val="auto"/>
          <w:kern w:val="0"/>
          <w:sz w:val="32"/>
          <w:szCs w:val="32"/>
          <w:highlight w:val="none"/>
          <w:lang w:val="zh-CN" w:eastAsia="zh-CN" w:bidi="ar-SA"/>
        </w:rPr>
        <w:t>完成各项基本工作任务，</w:t>
      </w:r>
      <w:r>
        <w:rPr>
          <w:rFonts w:hint="eastAsia" w:ascii="仿宋_GB2312" w:hAnsi="Calibri" w:eastAsia="仿宋_GB2312" w:cs="仿宋"/>
          <w:color w:val="auto"/>
          <w:kern w:val="0"/>
          <w:sz w:val="32"/>
          <w:szCs w:val="32"/>
          <w:highlight w:val="none"/>
          <w:lang w:val="en-US" w:eastAsia="zh-CN" w:bidi="ar-SA"/>
        </w:rPr>
        <w:t>按照《广元市昭化区人民政府办公室关于印发&lt;广元市昭化区财政支出事后绩效评价管理办法&gt;的通知》(昭府办函〔2022〕37号)绩效评价指标体系开展绩效自评</w:t>
      </w:r>
      <w:r>
        <w:rPr>
          <w:rFonts w:hint="eastAsia" w:ascii="仿宋_GB2312" w:hAnsi="Calibri" w:eastAsia="仿宋_GB2312" w:cs="仿宋"/>
          <w:color w:val="auto"/>
          <w:kern w:val="0"/>
          <w:sz w:val="32"/>
          <w:szCs w:val="32"/>
          <w:highlight w:val="none"/>
          <w:lang w:val="zh-CN" w:eastAsia="zh-CN" w:bidi="ar-SA"/>
        </w:rPr>
        <w:t>，自评得分为</w:t>
      </w:r>
      <w:r>
        <w:rPr>
          <w:rFonts w:hint="eastAsia" w:ascii="仿宋_GB2312" w:hAnsi="Calibri" w:eastAsia="仿宋_GB2312" w:cs="仿宋"/>
          <w:color w:val="auto"/>
          <w:kern w:val="0"/>
          <w:sz w:val="32"/>
          <w:szCs w:val="32"/>
          <w:highlight w:val="none"/>
          <w:lang w:val="en-US" w:eastAsia="zh-CN" w:bidi="ar-SA"/>
        </w:rPr>
        <w:t>98分。</w:t>
      </w:r>
      <w:bookmarkEnd w:id="174"/>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outlineLvl w:val="2"/>
        <w:rPr>
          <w:rFonts w:hint="eastAsia" w:ascii="Times New Roman" w:hAnsi="Times New Roman" w:eastAsia="楷体_GB2312" w:cs="Times New Roman"/>
          <w:b/>
          <w:sz w:val="32"/>
          <w:szCs w:val="32"/>
          <w:lang w:val="zh-CN"/>
        </w:rPr>
      </w:pPr>
      <w:bookmarkStart w:id="175" w:name="_Toc265"/>
      <w:r>
        <w:rPr>
          <w:rFonts w:hint="eastAsia" w:ascii="Times New Roman" w:hAnsi="Times New Roman" w:eastAsia="楷体_GB2312" w:cs="Times New Roman"/>
          <w:b/>
          <w:sz w:val="32"/>
          <w:szCs w:val="32"/>
          <w:lang w:val="zh-CN"/>
        </w:rPr>
        <w:t>（二）存在的问题</w:t>
      </w:r>
      <w:bookmarkEnd w:id="175"/>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eastAsia="仿宋_GB2312" w:cs="Times New Roman"/>
          <w:sz w:val="32"/>
          <w:szCs w:val="32"/>
          <w:lang w:val="zh-CN" w:eastAsia="zh-CN"/>
        </w:rPr>
      </w:pPr>
      <w:r>
        <w:rPr>
          <w:rFonts w:hint="eastAsia" w:ascii="Times New Roman" w:hAnsi="Times New Roman" w:eastAsia="仿宋_GB2312" w:cs="仿宋_GB2312"/>
          <w:sz w:val="32"/>
          <w:szCs w:val="32"/>
          <w:lang w:val="zh-CN" w:eastAsia="zh-CN"/>
        </w:rPr>
        <w:t>各村（社区）在维护运行过程中存在维护进度缓慢、资金不够等问题，建议在今后的农村公共服务运行维护项目中加强整体规划，融入天气、地理等因素，合理安排、精心规划。</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outlineLvl w:val="2"/>
        <w:rPr>
          <w:rFonts w:hint="eastAsia" w:ascii="Times New Roman" w:hAnsi="Times New Roman" w:eastAsia="楷体_GB2312" w:cs="Times New Roman"/>
          <w:b/>
          <w:sz w:val="32"/>
          <w:szCs w:val="32"/>
          <w:lang w:val="zh-CN"/>
        </w:rPr>
      </w:pPr>
      <w:bookmarkStart w:id="176" w:name="_Toc12332"/>
      <w:r>
        <w:rPr>
          <w:rFonts w:hint="eastAsia" w:ascii="Times New Roman" w:hAnsi="Times New Roman" w:eastAsia="楷体_GB2312" w:cs="Times New Roman"/>
          <w:b/>
          <w:sz w:val="32"/>
          <w:szCs w:val="32"/>
          <w:lang w:val="zh-CN"/>
        </w:rPr>
        <w:t>（三）相关建议</w:t>
      </w:r>
      <w:bookmarkEnd w:id="176"/>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eastAsia="仿宋_GB2312" w:cs="Times New Roman"/>
          <w:sz w:val="32"/>
          <w:szCs w:val="32"/>
          <w:lang w:val="zh-CN" w:eastAsia="zh-CN"/>
        </w:rPr>
      </w:pPr>
      <w:r>
        <w:rPr>
          <w:rFonts w:hint="eastAsia" w:eastAsia="仿宋_GB2312" w:cs="Times New Roman"/>
          <w:sz w:val="32"/>
          <w:szCs w:val="32"/>
          <w:lang w:val="zh-CN" w:eastAsia="zh-CN"/>
        </w:rPr>
        <w:t>1</w:t>
      </w:r>
      <w:r>
        <w:rPr>
          <w:rFonts w:hint="eastAsia" w:eastAsia="仿宋_GB2312" w:cs="Times New Roman"/>
          <w:sz w:val="32"/>
          <w:szCs w:val="32"/>
          <w:lang w:val="en-US" w:eastAsia="zh-CN"/>
        </w:rPr>
        <w:t>.</w:t>
      </w:r>
      <w:r>
        <w:rPr>
          <w:rFonts w:hint="eastAsia" w:eastAsia="仿宋_GB2312" w:cs="Times New Roman"/>
          <w:sz w:val="32"/>
          <w:szCs w:val="32"/>
          <w:lang w:val="zh-CN" w:eastAsia="zh-CN"/>
        </w:rPr>
        <w:t>加强资金管理，在公共服务运行维护资金的使用范围上严格把关，按规定进行公开透明；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eastAsia="仿宋_GB2312" w:cs="Times New Roman"/>
          <w:sz w:val="32"/>
          <w:szCs w:val="32"/>
          <w:lang w:val="zh-CN" w:eastAsia="zh-CN"/>
        </w:rPr>
      </w:pPr>
      <w:r>
        <w:rPr>
          <w:rFonts w:hint="eastAsia" w:eastAsia="仿宋_GB2312" w:cs="Times New Roman"/>
          <w:sz w:val="32"/>
          <w:szCs w:val="32"/>
          <w:lang w:val="zh-CN" w:eastAsia="zh-CN"/>
        </w:rPr>
        <w:t>2</w:t>
      </w:r>
      <w:r>
        <w:rPr>
          <w:rFonts w:hint="eastAsia" w:eastAsia="仿宋_GB2312" w:cs="Times New Roman"/>
          <w:sz w:val="32"/>
          <w:szCs w:val="32"/>
          <w:lang w:val="en-US" w:eastAsia="zh-CN"/>
        </w:rPr>
        <w:t>.</w:t>
      </w:r>
      <w:r>
        <w:rPr>
          <w:rFonts w:hint="eastAsia" w:eastAsia="仿宋_GB2312" w:cs="Times New Roman"/>
          <w:sz w:val="32"/>
          <w:szCs w:val="32"/>
          <w:lang w:val="zh-CN" w:eastAsia="zh-CN"/>
        </w:rPr>
        <w:t>该项目是国家一项长久的惠民政策。加强该项目资金实施的事前、事中、事后监督，提高项目资金使用精准，加强项目资金的财务核算管理。</w:t>
      </w:r>
    </w:p>
    <w:p>
      <w:pPr>
        <w:spacing w:line="580" w:lineRule="exact"/>
        <w:rPr>
          <w:rStyle w:val="30"/>
          <w:rFonts w:ascii="黑体" w:hAnsi="黑体" w:eastAsia="黑体"/>
          <w:b w:val="0"/>
          <w:color w:val="auto"/>
          <w:highlight w:val="none"/>
        </w:rPr>
      </w:pPr>
    </w:p>
    <w:p>
      <w:r>
        <w:rPr>
          <w:rStyle w:val="30"/>
          <w:rFonts w:ascii="黑体" w:hAnsi="黑体" w:eastAsia="黑体"/>
          <w:b w:val="0"/>
          <w:color w:val="auto"/>
          <w:highlight w:val="none"/>
        </w:rPr>
        <w:br w:type="page"/>
      </w:r>
    </w:p>
    <w:p>
      <w:pPr>
        <w:spacing w:before="103" w:line="219" w:lineRule="auto"/>
        <w:jc w:val="center"/>
        <w:outlineLvl w:val="1"/>
        <w:rPr>
          <w:rFonts w:ascii="宋体" w:hAnsi="宋体" w:eastAsia="宋体" w:cs="宋体"/>
          <w:sz w:val="34"/>
          <w:szCs w:val="34"/>
        </w:rPr>
      </w:pPr>
      <w:bookmarkStart w:id="177" w:name="_Toc30559"/>
      <w:bookmarkStart w:id="178" w:name="_Toc9327"/>
      <w:bookmarkStart w:id="179" w:name="_Toc9829"/>
      <w:r>
        <w:rPr>
          <w:rFonts w:hint="eastAsia" w:ascii="方正小标宋简体" w:hAnsi="方正小标宋简体" w:eastAsia="方正小标宋简体" w:cs="方正小标宋简体"/>
          <w:b/>
          <w:bCs/>
          <w:spacing w:val="-20"/>
          <w:sz w:val="44"/>
          <w:szCs w:val="44"/>
        </w:rPr>
        <w:t>广元市昭化区财政项目(政策)支出绩效自评表</w:t>
      </w:r>
      <w:bookmarkEnd w:id="177"/>
      <w:bookmarkEnd w:id="178"/>
      <w:bookmarkEnd w:id="179"/>
    </w:p>
    <w:p>
      <w:pPr>
        <w:spacing w:line="134" w:lineRule="exact"/>
      </w:pPr>
    </w:p>
    <w:p>
      <w:pPr>
        <w:pStyle w:val="2"/>
        <w:jc w:val="center"/>
        <w:rPr>
          <w:rFonts w:hint="eastAsia" w:eastAsia="宋体"/>
          <w:lang w:eastAsia="zh-CN"/>
        </w:rPr>
      </w:pPr>
      <w:r>
        <w:rPr>
          <w:rFonts w:hint="eastAsia"/>
          <w:lang w:eastAsia="zh-CN"/>
        </w:rPr>
        <w:t>（</w:t>
      </w:r>
      <w:r>
        <w:rPr>
          <w:rFonts w:hint="eastAsia" w:ascii="宋体" w:hAnsi="宋体" w:eastAsia="宋体" w:cs="宋体"/>
          <w:spacing w:val="32"/>
          <w:sz w:val="22"/>
          <w:szCs w:val="22"/>
          <w:lang w:val="en-US" w:eastAsia="zh-CN"/>
        </w:rPr>
        <w:t>2022</w:t>
      </w:r>
      <w:r>
        <w:rPr>
          <w:rFonts w:ascii="宋体" w:hAnsi="宋体" w:eastAsia="宋体" w:cs="宋体"/>
          <w:spacing w:val="-14"/>
          <w:sz w:val="22"/>
          <w:szCs w:val="22"/>
        </w:rPr>
        <w:t>年度</w:t>
      </w:r>
      <w:r>
        <w:rPr>
          <w:rFonts w:hint="eastAsia"/>
          <w:lang w:eastAsia="zh-CN"/>
        </w:rPr>
        <w:t>）</w:t>
      </w:r>
    </w:p>
    <w:tbl>
      <w:tblPr>
        <w:tblStyle w:val="39"/>
        <w:tblW w:w="918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4"/>
        <w:gridCol w:w="759"/>
        <w:gridCol w:w="1009"/>
        <w:gridCol w:w="784"/>
        <w:gridCol w:w="1530"/>
        <w:gridCol w:w="1020"/>
        <w:gridCol w:w="885"/>
        <w:gridCol w:w="24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1463" w:type="dxa"/>
            <w:gridSpan w:val="2"/>
            <w:vAlign w:val="top"/>
          </w:tcPr>
          <w:p>
            <w:pPr>
              <w:spacing w:before="82" w:line="220" w:lineRule="auto"/>
              <w:ind w:left="75"/>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项目(政策)名称</w:t>
            </w:r>
          </w:p>
        </w:tc>
        <w:tc>
          <w:tcPr>
            <w:tcW w:w="7718" w:type="dxa"/>
            <w:gridSpan w:val="6"/>
            <w:vAlign w:val="top"/>
          </w:tcPr>
          <w:p>
            <w:pPr>
              <w:jc w:val="both"/>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202</w:t>
            </w:r>
            <w:r>
              <w:rPr>
                <w:rFonts w:hint="eastAsia" w:ascii="仿宋_GB2312" w:hAnsi="仿宋_GB2312" w:eastAsia="仿宋_GB2312" w:cs="仿宋_GB2312"/>
                <w:spacing w:val="-2"/>
                <w:sz w:val="21"/>
                <w:szCs w:val="21"/>
                <w:lang w:val="en-US" w:eastAsia="zh-CN"/>
              </w:rPr>
              <w:t>2</w:t>
            </w:r>
            <w:r>
              <w:rPr>
                <w:rFonts w:hint="eastAsia" w:ascii="仿宋_GB2312" w:hAnsi="仿宋_GB2312" w:eastAsia="仿宋_GB2312" w:cs="仿宋_GB2312"/>
                <w:spacing w:val="-2"/>
                <w:sz w:val="21"/>
                <w:szCs w:val="21"/>
              </w:rPr>
              <w:t>年基层组织活动和公共服务运行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1463" w:type="dxa"/>
            <w:gridSpan w:val="2"/>
            <w:vAlign w:val="top"/>
          </w:tcPr>
          <w:p>
            <w:pPr>
              <w:spacing w:before="78" w:line="219" w:lineRule="auto"/>
              <w:ind w:left="404"/>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主管部门</w:t>
            </w:r>
          </w:p>
        </w:tc>
        <w:tc>
          <w:tcPr>
            <w:tcW w:w="4343" w:type="dxa"/>
            <w:gridSpan w:val="4"/>
            <w:vAlign w:val="top"/>
          </w:tcPr>
          <w:p>
            <w:pPr>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磨滩镇</w:t>
            </w:r>
          </w:p>
        </w:tc>
        <w:tc>
          <w:tcPr>
            <w:tcW w:w="885" w:type="dxa"/>
            <w:vAlign w:val="top"/>
          </w:tcPr>
          <w:p>
            <w:pPr>
              <w:spacing w:before="78" w:line="219" w:lineRule="auto"/>
              <w:jc w:val="center"/>
              <w:rPr>
                <w:rFonts w:hint="eastAsia" w:ascii="仿宋_GB2312" w:hAnsi="仿宋_GB2312" w:eastAsia="仿宋_GB2312" w:cs="仿宋_GB2312"/>
                <w:spacing w:val="4"/>
                <w:sz w:val="21"/>
                <w:szCs w:val="21"/>
              </w:rPr>
            </w:pPr>
            <w:r>
              <w:rPr>
                <w:rFonts w:hint="eastAsia" w:ascii="仿宋_GB2312" w:hAnsi="仿宋_GB2312" w:eastAsia="仿宋_GB2312" w:cs="仿宋_GB2312"/>
                <w:spacing w:val="4"/>
                <w:sz w:val="21"/>
                <w:szCs w:val="21"/>
              </w:rPr>
              <w:t>实施单位</w:t>
            </w:r>
          </w:p>
        </w:tc>
        <w:tc>
          <w:tcPr>
            <w:tcW w:w="2490" w:type="dxa"/>
            <w:vAlign w:val="top"/>
          </w:tcPr>
          <w:p>
            <w:pPr>
              <w:spacing w:before="78" w:line="219" w:lineRule="auto"/>
              <w:jc w:val="center"/>
              <w:rPr>
                <w:rFonts w:hint="eastAsia" w:ascii="仿宋_GB2312" w:hAnsi="仿宋_GB2312" w:eastAsia="仿宋_GB2312" w:cs="仿宋_GB2312"/>
                <w:spacing w:val="4"/>
                <w:sz w:val="21"/>
                <w:szCs w:val="21"/>
                <w:lang w:eastAsia="zh-CN"/>
              </w:rPr>
            </w:pPr>
            <w:r>
              <w:rPr>
                <w:rFonts w:hint="eastAsia" w:ascii="仿宋_GB2312" w:hAnsi="仿宋_GB2312" w:eastAsia="仿宋_GB2312" w:cs="仿宋_GB2312"/>
                <w:spacing w:val="4"/>
                <w:sz w:val="21"/>
                <w:szCs w:val="21"/>
                <w:lang w:eastAsia="zh-CN"/>
              </w:rPr>
              <w:t>磨滩镇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1463" w:type="dxa"/>
            <w:gridSpan w:val="2"/>
            <w:vMerge w:val="restart"/>
            <w:tcBorders>
              <w:bottom w:val="nil"/>
            </w:tcBorders>
            <w:vAlign w:val="top"/>
          </w:tcPr>
          <w:p>
            <w:pPr>
              <w:spacing w:line="279" w:lineRule="auto"/>
              <w:rPr>
                <w:rFonts w:hint="eastAsia" w:ascii="仿宋_GB2312" w:hAnsi="仿宋_GB2312" w:eastAsia="仿宋_GB2312" w:cs="仿宋_GB2312"/>
                <w:sz w:val="21"/>
                <w:szCs w:val="21"/>
              </w:rPr>
            </w:pPr>
          </w:p>
          <w:p>
            <w:pPr>
              <w:spacing w:line="279" w:lineRule="auto"/>
              <w:rPr>
                <w:rFonts w:hint="eastAsia" w:ascii="仿宋_GB2312" w:hAnsi="仿宋_GB2312" w:eastAsia="仿宋_GB2312" w:cs="仿宋_GB2312"/>
                <w:sz w:val="21"/>
                <w:szCs w:val="21"/>
              </w:rPr>
            </w:pPr>
          </w:p>
          <w:p>
            <w:pPr>
              <w:spacing w:line="279" w:lineRule="auto"/>
              <w:rPr>
                <w:rFonts w:hint="eastAsia" w:ascii="仿宋_GB2312" w:hAnsi="仿宋_GB2312" w:eastAsia="仿宋_GB2312" w:cs="仿宋_GB2312"/>
                <w:sz w:val="21"/>
                <w:szCs w:val="21"/>
              </w:rPr>
            </w:pPr>
          </w:p>
          <w:p>
            <w:pPr>
              <w:spacing w:line="279" w:lineRule="auto"/>
              <w:rPr>
                <w:rFonts w:hint="eastAsia" w:ascii="仿宋_GB2312" w:hAnsi="仿宋_GB2312" w:eastAsia="仿宋_GB2312" w:cs="仿宋_GB2312"/>
                <w:sz w:val="21"/>
                <w:szCs w:val="21"/>
              </w:rPr>
            </w:pPr>
          </w:p>
          <w:p>
            <w:pPr>
              <w:keepNext w:val="0"/>
              <w:keepLines w:val="0"/>
              <w:pageBreakBefore w:val="0"/>
              <w:widowControl w:val="0"/>
              <w:kinsoku/>
              <w:wordWrap/>
              <w:overflowPunct/>
              <w:topLinePunct w:val="0"/>
              <w:autoSpaceDE/>
              <w:autoSpaceDN/>
              <w:bidi w:val="0"/>
              <w:adjustRightInd/>
              <w:snapToGrid/>
              <w:spacing w:before="55" w:line="560" w:lineRule="exact"/>
              <w:ind w:left="0" w:right="0" w:firstLine="0"/>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项目(政策)资金</w:t>
            </w:r>
            <w:r>
              <w:rPr>
                <w:rFonts w:hint="eastAsia" w:ascii="仿宋_GB2312" w:hAnsi="仿宋_GB2312" w:eastAsia="仿宋_GB2312" w:cs="仿宋_GB2312"/>
                <w:spacing w:val="9"/>
                <w:sz w:val="21"/>
                <w:szCs w:val="21"/>
              </w:rPr>
              <w:t>(万元)</w:t>
            </w:r>
          </w:p>
        </w:tc>
        <w:tc>
          <w:tcPr>
            <w:tcW w:w="1793" w:type="dxa"/>
            <w:gridSpan w:val="2"/>
            <w:vAlign w:val="top"/>
          </w:tcPr>
          <w:p>
            <w:pPr>
              <w:rPr>
                <w:rFonts w:hint="eastAsia" w:ascii="仿宋_GB2312" w:hAnsi="仿宋_GB2312" w:eastAsia="仿宋_GB2312" w:cs="仿宋_GB2312"/>
                <w:sz w:val="21"/>
                <w:szCs w:val="21"/>
              </w:rPr>
            </w:pPr>
          </w:p>
        </w:tc>
        <w:tc>
          <w:tcPr>
            <w:tcW w:w="1530" w:type="dxa"/>
            <w:vAlign w:val="top"/>
          </w:tcPr>
          <w:p>
            <w:pPr>
              <w:spacing w:before="77"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年初预算数</w:t>
            </w:r>
          </w:p>
        </w:tc>
        <w:tc>
          <w:tcPr>
            <w:tcW w:w="1020" w:type="dxa"/>
            <w:vAlign w:val="top"/>
          </w:tcPr>
          <w:p>
            <w:pPr>
              <w:spacing w:before="98"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全年预算数</w:t>
            </w:r>
          </w:p>
        </w:tc>
        <w:tc>
          <w:tcPr>
            <w:tcW w:w="885" w:type="dxa"/>
            <w:vAlign w:val="top"/>
          </w:tcPr>
          <w:p>
            <w:pPr>
              <w:spacing w:before="77"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全年执行数</w:t>
            </w:r>
          </w:p>
        </w:tc>
        <w:tc>
          <w:tcPr>
            <w:tcW w:w="2490" w:type="dxa"/>
            <w:vAlign w:val="top"/>
          </w:tcPr>
          <w:p>
            <w:pPr>
              <w:spacing w:before="77"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执行率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1463" w:type="dxa"/>
            <w:gridSpan w:val="2"/>
            <w:vMerge w:val="continue"/>
            <w:tcBorders>
              <w:top w:val="nil"/>
              <w:bottom w:val="nil"/>
            </w:tcBorders>
            <w:vAlign w:val="top"/>
          </w:tcPr>
          <w:p>
            <w:pPr>
              <w:rPr>
                <w:rFonts w:hint="eastAsia" w:ascii="仿宋_GB2312" w:hAnsi="仿宋_GB2312" w:eastAsia="仿宋_GB2312" w:cs="仿宋_GB2312"/>
                <w:sz w:val="21"/>
                <w:szCs w:val="21"/>
              </w:rPr>
            </w:pPr>
          </w:p>
        </w:tc>
        <w:tc>
          <w:tcPr>
            <w:tcW w:w="1793" w:type="dxa"/>
            <w:gridSpan w:val="2"/>
            <w:vAlign w:val="top"/>
          </w:tcPr>
          <w:p>
            <w:pPr>
              <w:spacing w:before="79" w:line="219" w:lineRule="auto"/>
              <w:ind w:left="151"/>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年度资金总额</w:t>
            </w:r>
          </w:p>
        </w:tc>
        <w:tc>
          <w:tcPr>
            <w:tcW w:w="1530" w:type="dxa"/>
            <w:vAlign w:val="top"/>
          </w:tcPr>
          <w:p>
            <w:pPr>
              <w:spacing w:before="77" w:line="219" w:lineRule="auto"/>
              <w:jc w:val="center"/>
              <w:rPr>
                <w:rFonts w:hint="eastAsia" w:ascii="仿宋_GB2312" w:hAnsi="仿宋_GB2312" w:eastAsia="仿宋_GB2312" w:cs="仿宋_GB2312"/>
                <w:spacing w:val="-2"/>
                <w:sz w:val="21"/>
                <w:szCs w:val="21"/>
                <w:lang w:val="en-US" w:eastAsia="zh-CN"/>
              </w:rPr>
            </w:pPr>
            <w:r>
              <w:rPr>
                <w:rFonts w:hint="eastAsia" w:ascii="仿宋_GB2312" w:hAnsi="仿宋_GB2312" w:eastAsia="仿宋_GB2312" w:cs="仿宋_GB2312"/>
                <w:spacing w:val="-2"/>
                <w:sz w:val="21"/>
                <w:szCs w:val="21"/>
                <w:lang w:val="en-US" w:eastAsia="zh-CN"/>
              </w:rPr>
              <w:t>57</w:t>
            </w:r>
          </w:p>
        </w:tc>
        <w:tc>
          <w:tcPr>
            <w:tcW w:w="1020" w:type="dxa"/>
            <w:vAlign w:val="top"/>
          </w:tcPr>
          <w:p>
            <w:pPr>
              <w:spacing w:before="77" w:line="219" w:lineRule="auto"/>
              <w:jc w:val="center"/>
              <w:rPr>
                <w:rFonts w:hint="eastAsia" w:ascii="仿宋_GB2312" w:hAnsi="仿宋_GB2312" w:eastAsia="仿宋_GB2312" w:cs="仿宋_GB2312"/>
                <w:spacing w:val="-2"/>
                <w:sz w:val="21"/>
                <w:szCs w:val="21"/>
                <w:lang w:val="en-US" w:eastAsia="zh-CN"/>
              </w:rPr>
            </w:pPr>
            <w:r>
              <w:rPr>
                <w:rFonts w:hint="eastAsia" w:ascii="仿宋_GB2312" w:hAnsi="仿宋_GB2312" w:eastAsia="仿宋_GB2312" w:cs="仿宋_GB2312"/>
                <w:spacing w:val="-2"/>
                <w:sz w:val="21"/>
                <w:szCs w:val="21"/>
                <w:lang w:val="en-US" w:eastAsia="zh-CN"/>
              </w:rPr>
              <w:t>57</w:t>
            </w:r>
          </w:p>
        </w:tc>
        <w:tc>
          <w:tcPr>
            <w:tcW w:w="885" w:type="dxa"/>
            <w:vAlign w:val="top"/>
          </w:tcPr>
          <w:p>
            <w:pPr>
              <w:spacing w:before="77" w:line="219" w:lineRule="auto"/>
              <w:jc w:val="center"/>
              <w:rPr>
                <w:rFonts w:hint="eastAsia" w:ascii="仿宋_GB2312" w:hAnsi="仿宋_GB2312" w:eastAsia="仿宋_GB2312" w:cs="仿宋_GB2312"/>
                <w:spacing w:val="-2"/>
                <w:sz w:val="21"/>
                <w:szCs w:val="21"/>
                <w:lang w:val="en-US" w:eastAsia="zh-CN"/>
              </w:rPr>
            </w:pPr>
            <w:r>
              <w:rPr>
                <w:rFonts w:hint="eastAsia" w:ascii="仿宋_GB2312" w:hAnsi="仿宋_GB2312" w:eastAsia="仿宋_GB2312" w:cs="仿宋_GB2312"/>
                <w:spacing w:val="-2"/>
                <w:sz w:val="21"/>
                <w:szCs w:val="21"/>
                <w:lang w:val="en-US" w:eastAsia="zh-CN"/>
              </w:rPr>
              <w:t>51.21</w:t>
            </w:r>
          </w:p>
        </w:tc>
        <w:tc>
          <w:tcPr>
            <w:tcW w:w="2490" w:type="dxa"/>
            <w:vAlign w:val="top"/>
          </w:tcPr>
          <w:p>
            <w:pPr>
              <w:spacing w:before="77" w:line="219" w:lineRule="auto"/>
              <w:jc w:val="center"/>
              <w:rPr>
                <w:rFonts w:hint="eastAsia" w:ascii="仿宋_GB2312" w:hAnsi="仿宋_GB2312" w:eastAsia="仿宋_GB2312" w:cs="仿宋_GB2312"/>
                <w:spacing w:val="-2"/>
                <w:sz w:val="21"/>
                <w:szCs w:val="21"/>
                <w:lang w:val="en-US" w:eastAsia="zh-CN"/>
              </w:rPr>
            </w:pPr>
            <w:r>
              <w:rPr>
                <w:rFonts w:hint="eastAsia" w:ascii="仿宋_GB2312" w:hAnsi="仿宋_GB2312" w:eastAsia="仿宋_GB2312" w:cs="仿宋_GB2312"/>
                <w:spacing w:val="-2"/>
                <w:sz w:val="21"/>
                <w:szCs w:val="21"/>
                <w:lang w:val="en-US" w:eastAsia="zh-CN"/>
              </w:rPr>
              <w:t>89.84%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1463" w:type="dxa"/>
            <w:gridSpan w:val="2"/>
            <w:vMerge w:val="continue"/>
            <w:tcBorders>
              <w:top w:val="nil"/>
              <w:bottom w:val="nil"/>
            </w:tcBorders>
            <w:vAlign w:val="top"/>
          </w:tcPr>
          <w:p>
            <w:pPr>
              <w:rPr>
                <w:rFonts w:hint="eastAsia" w:ascii="仿宋_GB2312" w:hAnsi="仿宋_GB2312" w:eastAsia="仿宋_GB2312" w:cs="仿宋_GB2312"/>
                <w:sz w:val="21"/>
                <w:szCs w:val="21"/>
              </w:rPr>
            </w:pPr>
          </w:p>
        </w:tc>
        <w:tc>
          <w:tcPr>
            <w:tcW w:w="1793" w:type="dxa"/>
            <w:gridSpan w:val="2"/>
            <w:vAlign w:val="top"/>
          </w:tcPr>
          <w:p>
            <w:pPr>
              <w:spacing w:before="109" w:line="219" w:lineRule="auto"/>
              <w:ind w:left="151"/>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(一)财政拨款小计</w:t>
            </w:r>
          </w:p>
        </w:tc>
        <w:tc>
          <w:tcPr>
            <w:tcW w:w="1530" w:type="dxa"/>
            <w:vAlign w:val="top"/>
          </w:tcPr>
          <w:p>
            <w:pPr>
              <w:spacing w:before="77" w:line="219" w:lineRule="auto"/>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pacing w:val="-2"/>
                <w:sz w:val="21"/>
                <w:szCs w:val="21"/>
                <w:lang w:val="en-US" w:eastAsia="zh-CN"/>
              </w:rPr>
              <w:t>57</w:t>
            </w:r>
          </w:p>
        </w:tc>
        <w:tc>
          <w:tcPr>
            <w:tcW w:w="1020" w:type="dxa"/>
            <w:vAlign w:val="top"/>
          </w:tcPr>
          <w:p>
            <w:pPr>
              <w:spacing w:before="77" w:line="219" w:lineRule="auto"/>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pacing w:val="-2"/>
                <w:sz w:val="21"/>
                <w:szCs w:val="21"/>
                <w:lang w:val="en-US" w:eastAsia="zh-CN"/>
              </w:rPr>
              <w:t>57</w:t>
            </w:r>
          </w:p>
        </w:tc>
        <w:tc>
          <w:tcPr>
            <w:tcW w:w="885" w:type="dxa"/>
            <w:vAlign w:val="top"/>
          </w:tcPr>
          <w:p>
            <w:pPr>
              <w:spacing w:before="77" w:line="219" w:lineRule="auto"/>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pacing w:val="-2"/>
                <w:sz w:val="21"/>
                <w:szCs w:val="21"/>
                <w:lang w:val="en-US" w:eastAsia="zh-CN"/>
              </w:rPr>
              <w:t>51.21</w:t>
            </w:r>
          </w:p>
        </w:tc>
        <w:tc>
          <w:tcPr>
            <w:tcW w:w="2490" w:type="dxa"/>
            <w:vAlign w:val="top"/>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lang w:val="en-US" w:eastAsia="zh-CN"/>
              </w:rPr>
              <w:t>89.84%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1463" w:type="dxa"/>
            <w:gridSpan w:val="2"/>
            <w:vMerge w:val="continue"/>
            <w:tcBorders>
              <w:top w:val="nil"/>
              <w:bottom w:val="nil"/>
            </w:tcBorders>
            <w:vAlign w:val="top"/>
          </w:tcPr>
          <w:p>
            <w:pPr>
              <w:rPr>
                <w:rFonts w:hint="eastAsia" w:ascii="仿宋_GB2312" w:hAnsi="仿宋_GB2312" w:eastAsia="仿宋_GB2312" w:cs="仿宋_GB2312"/>
                <w:sz w:val="21"/>
                <w:szCs w:val="21"/>
              </w:rPr>
            </w:pPr>
          </w:p>
        </w:tc>
        <w:tc>
          <w:tcPr>
            <w:tcW w:w="1793" w:type="dxa"/>
            <w:gridSpan w:val="2"/>
            <w:vAlign w:val="top"/>
          </w:tcPr>
          <w:p>
            <w:pPr>
              <w:spacing w:before="80" w:line="219" w:lineRule="auto"/>
              <w:ind w:left="151"/>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1.一般公共预算</w:t>
            </w:r>
          </w:p>
        </w:tc>
        <w:tc>
          <w:tcPr>
            <w:tcW w:w="1530" w:type="dxa"/>
            <w:vAlign w:val="top"/>
          </w:tcPr>
          <w:p>
            <w:pPr>
              <w:spacing w:before="77" w:line="219" w:lineRule="auto"/>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pacing w:val="-2"/>
                <w:sz w:val="21"/>
                <w:szCs w:val="21"/>
                <w:lang w:val="en-US" w:eastAsia="zh-CN"/>
              </w:rPr>
              <w:t>57</w:t>
            </w:r>
          </w:p>
        </w:tc>
        <w:tc>
          <w:tcPr>
            <w:tcW w:w="1020" w:type="dxa"/>
            <w:vAlign w:val="top"/>
          </w:tcPr>
          <w:p>
            <w:pPr>
              <w:spacing w:before="77" w:line="219" w:lineRule="auto"/>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pacing w:val="-2"/>
                <w:sz w:val="21"/>
                <w:szCs w:val="21"/>
                <w:lang w:val="en-US" w:eastAsia="zh-CN"/>
              </w:rPr>
              <w:t>57</w:t>
            </w:r>
          </w:p>
        </w:tc>
        <w:tc>
          <w:tcPr>
            <w:tcW w:w="885" w:type="dxa"/>
            <w:vAlign w:val="top"/>
          </w:tcPr>
          <w:p>
            <w:pPr>
              <w:spacing w:before="77" w:line="219" w:lineRule="auto"/>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pacing w:val="-2"/>
                <w:sz w:val="21"/>
                <w:szCs w:val="21"/>
                <w:lang w:val="en-US" w:eastAsia="zh-CN"/>
              </w:rPr>
              <w:t>51.21</w:t>
            </w:r>
          </w:p>
        </w:tc>
        <w:tc>
          <w:tcPr>
            <w:tcW w:w="2490" w:type="dxa"/>
            <w:vAlign w:val="top"/>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lang w:val="en-US" w:eastAsia="zh-CN"/>
              </w:rPr>
              <w:t>89.84%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1463" w:type="dxa"/>
            <w:gridSpan w:val="2"/>
            <w:vMerge w:val="continue"/>
            <w:tcBorders>
              <w:top w:val="nil"/>
              <w:bottom w:val="nil"/>
            </w:tcBorders>
            <w:vAlign w:val="top"/>
          </w:tcPr>
          <w:p>
            <w:pPr>
              <w:rPr>
                <w:rFonts w:hint="eastAsia" w:ascii="仿宋_GB2312" w:hAnsi="仿宋_GB2312" w:eastAsia="仿宋_GB2312" w:cs="仿宋_GB2312"/>
                <w:sz w:val="21"/>
                <w:szCs w:val="21"/>
              </w:rPr>
            </w:pPr>
          </w:p>
        </w:tc>
        <w:tc>
          <w:tcPr>
            <w:tcW w:w="1793" w:type="dxa"/>
            <w:gridSpan w:val="2"/>
            <w:vAlign w:val="top"/>
          </w:tcPr>
          <w:p>
            <w:pPr>
              <w:spacing w:before="78" w:line="219" w:lineRule="auto"/>
              <w:ind w:left="151"/>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2.政府性基金</w:t>
            </w:r>
          </w:p>
        </w:tc>
        <w:tc>
          <w:tcPr>
            <w:tcW w:w="1530" w:type="dxa"/>
            <w:vAlign w:val="top"/>
          </w:tcPr>
          <w:p>
            <w:pPr>
              <w:rPr>
                <w:rFonts w:hint="eastAsia" w:ascii="仿宋_GB2312" w:hAnsi="仿宋_GB2312" w:eastAsia="仿宋_GB2312" w:cs="仿宋_GB2312"/>
                <w:sz w:val="21"/>
                <w:szCs w:val="21"/>
              </w:rPr>
            </w:pPr>
          </w:p>
        </w:tc>
        <w:tc>
          <w:tcPr>
            <w:tcW w:w="1020" w:type="dxa"/>
            <w:vAlign w:val="top"/>
          </w:tcPr>
          <w:p>
            <w:pPr>
              <w:rPr>
                <w:rFonts w:hint="eastAsia" w:ascii="仿宋_GB2312" w:hAnsi="仿宋_GB2312" w:eastAsia="仿宋_GB2312" w:cs="仿宋_GB2312"/>
                <w:sz w:val="21"/>
                <w:szCs w:val="21"/>
              </w:rPr>
            </w:pPr>
          </w:p>
        </w:tc>
        <w:tc>
          <w:tcPr>
            <w:tcW w:w="885" w:type="dxa"/>
            <w:vAlign w:val="top"/>
          </w:tcPr>
          <w:p>
            <w:pPr>
              <w:rPr>
                <w:rFonts w:hint="eastAsia" w:ascii="仿宋_GB2312" w:hAnsi="仿宋_GB2312" w:eastAsia="仿宋_GB2312" w:cs="仿宋_GB2312"/>
                <w:sz w:val="21"/>
                <w:szCs w:val="21"/>
              </w:rPr>
            </w:pPr>
          </w:p>
        </w:tc>
        <w:tc>
          <w:tcPr>
            <w:tcW w:w="2490" w:type="dxa"/>
            <w:vAlign w:val="top"/>
          </w:tcPr>
          <w:p>
            <w:pPr>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1463" w:type="dxa"/>
            <w:gridSpan w:val="2"/>
            <w:vMerge w:val="continue"/>
            <w:tcBorders>
              <w:top w:val="nil"/>
              <w:bottom w:val="nil"/>
            </w:tcBorders>
            <w:vAlign w:val="top"/>
          </w:tcPr>
          <w:p>
            <w:pPr>
              <w:rPr>
                <w:rFonts w:hint="eastAsia" w:ascii="仿宋_GB2312" w:hAnsi="仿宋_GB2312" w:eastAsia="仿宋_GB2312" w:cs="仿宋_GB2312"/>
                <w:sz w:val="21"/>
                <w:szCs w:val="21"/>
              </w:rPr>
            </w:pPr>
          </w:p>
        </w:tc>
        <w:tc>
          <w:tcPr>
            <w:tcW w:w="1793" w:type="dxa"/>
            <w:gridSpan w:val="2"/>
            <w:vAlign w:val="top"/>
          </w:tcPr>
          <w:p>
            <w:pPr>
              <w:spacing w:before="119" w:line="219" w:lineRule="auto"/>
              <w:ind w:left="151"/>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3.国有资本经营预算</w:t>
            </w:r>
          </w:p>
        </w:tc>
        <w:tc>
          <w:tcPr>
            <w:tcW w:w="1530" w:type="dxa"/>
            <w:vAlign w:val="top"/>
          </w:tcPr>
          <w:p>
            <w:pPr>
              <w:rPr>
                <w:rFonts w:hint="eastAsia" w:ascii="仿宋_GB2312" w:hAnsi="仿宋_GB2312" w:eastAsia="仿宋_GB2312" w:cs="仿宋_GB2312"/>
                <w:sz w:val="21"/>
                <w:szCs w:val="21"/>
              </w:rPr>
            </w:pPr>
          </w:p>
        </w:tc>
        <w:tc>
          <w:tcPr>
            <w:tcW w:w="1020" w:type="dxa"/>
            <w:vAlign w:val="top"/>
          </w:tcPr>
          <w:p>
            <w:pPr>
              <w:rPr>
                <w:rFonts w:hint="eastAsia" w:ascii="仿宋_GB2312" w:hAnsi="仿宋_GB2312" w:eastAsia="仿宋_GB2312" w:cs="仿宋_GB2312"/>
                <w:sz w:val="21"/>
                <w:szCs w:val="21"/>
              </w:rPr>
            </w:pPr>
          </w:p>
        </w:tc>
        <w:tc>
          <w:tcPr>
            <w:tcW w:w="885" w:type="dxa"/>
            <w:vAlign w:val="top"/>
          </w:tcPr>
          <w:p>
            <w:pPr>
              <w:rPr>
                <w:rFonts w:hint="eastAsia" w:ascii="仿宋_GB2312" w:hAnsi="仿宋_GB2312" w:eastAsia="仿宋_GB2312" w:cs="仿宋_GB2312"/>
                <w:sz w:val="21"/>
                <w:szCs w:val="21"/>
              </w:rPr>
            </w:pPr>
          </w:p>
        </w:tc>
        <w:tc>
          <w:tcPr>
            <w:tcW w:w="2490" w:type="dxa"/>
            <w:vAlign w:val="top"/>
          </w:tcPr>
          <w:p>
            <w:pPr>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1463" w:type="dxa"/>
            <w:gridSpan w:val="2"/>
            <w:vMerge w:val="continue"/>
            <w:tcBorders>
              <w:top w:val="nil"/>
              <w:bottom w:val="nil"/>
            </w:tcBorders>
            <w:vAlign w:val="top"/>
          </w:tcPr>
          <w:p>
            <w:pPr>
              <w:rPr>
                <w:rFonts w:hint="eastAsia" w:ascii="仿宋_GB2312" w:hAnsi="仿宋_GB2312" w:eastAsia="仿宋_GB2312" w:cs="仿宋_GB2312"/>
                <w:sz w:val="21"/>
                <w:szCs w:val="21"/>
              </w:rPr>
            </w:pPr>
          </w:p>
        </w:tc>
        <w:tc>
          <w:tcPr>
            <w:tcW w:w="1793" w:type="dxa"/>
            <w:gridSpan w:val="2"/>
            <w:vAlign w:val="top"/>
          </w:tcPr>
          <w:p>
            <w:pPr>
              <w:spacing w:before="82" w:line="219" w:lineRule="auto"/>
              <w:ind w:left="151"/>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4.社保基金</w:t>
            </w:r>
          </w:p>
        </w:tc>
        <w:tc>
          <w:tcPr>
            <w:tcW w:w="1530" w:type="dxa"/>
            <w:vAlign w:val="top"/>
          </w:tcPr>
          <w:p>
            <w:pPr>
              <w:rPr>
                <w:rFonts w:hint="eastAsia" w:ascii="仿宋_GB2312" w:hAnsi="仿宋_GB2312" w:eastAsia="仿宋_GB2312" w:cs="仿宋_GB2312"/>
                <w:sz w:val="21"/>
                <w:szCs w:val="21"/>
              </w:rPr>
            </w:pPr>
          </w:p>
        </w:tc>
        <w:tc>
          <w:tcPr>
            <w:tcW w:w="1020" w:type="dxa"/>
            <w:vAlign w:val="top"/>
          </w:tcPr>
          <w:p>
            <w:pPr>
              <w:rPr>
                <w:rFonts w:hint="eastAsia" w:ascii="仿宋_GB2312" w:hAnsi="仿宋_GB2312" w:eastAsia="仿宋_GB2312" w:cs="仿宋_GB2312"/>
                <w:sz w:val="21"/>
                <w:szCs w:val="21"/>
              </w:rPr>
            </w:pPr>
          </w:p>
        </w:tc>
        <w:tc>
          <w:tcPr>
            <w:tcW w:w="885" w:type="dxa"/>
            <w:vAlign w:val="top"/>
          </w:tcPr>
          <w:p>
            <w:pPr>
              <w:rPr>
                <w:rFonts w:hint="eastAsia" w:ascii="仿宋_GB2312" w:hAnsi="仿宋_GB2312" w:eastAsia="仿宋_GB2312" w:cs="仿宋_GB2312"/>
                <w:sz w:val="21"/>
                <w:szCs w:val="21"/>
              </w:rPr>
            </w:pPr>
          </w:p>
        </w:tc>
        <w:tc>
          <w:tcPr>
            <w:tcW w:w="2490" w:type="dxa"/>
            <w:vAlign w:val="top"/>
          </w:tcPr>
          <w:p>
            <w:pPr>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1463" w:type="dxa"/>
            <w:gridSpan w:val="2"/>
            <w:vMerge w:val="continue"/>
            <w:tcBorders>
              <w:top w:val="nil"/>
            </w:tcBorders>
            <w:vAlign w:val="top"/>
          </w:tcPr>
          <w:p>
            <w:pPr>
              <w:rPr>
                <w:rFonts w:hint="eastAsia" w:ascii="仿宋_GB2312" w:hAnsi="仿宋_GB2312" w:eastAsia="仿宋_GB2312" w:cs="仿宋_GB2312"/>
                <w:sz w:val="21"/>
                <w:szCs w:val="21"/>
              </w:rPr>
            </w:pPr>
          </w:p>
        </w:tc>
        <w:tc>
          <w:tcPr>
            <w:tcW w:w="1793" w:type="dxa"/>
            <w:gridSpan w:val="2"/>
            <w:vAlign w:val="top"/>
          </w:tcPr>
          <w:p>
            <w:pPr>
              <w:spacing w:before="112" w:line="220" w:lineRule="auto"/>
              <w:ind w:left="151"/>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(二)其他资金</w:t>
            </w:r>
          </w:p>
        </w:tc>
        <w:tc>
          <w:tcPr>
            <w:tcW w:w="1530" w:type="dxa"/>
            <w:vAlign w:val="top"/>
          </w:tcPr>
          <w:p>
            <w:pPr>
              <w:rPr>
                <w:rFonts w:hint="eastAsia" w:ascii="仿宋_GB2312" w:hAnsi="仿宋_GB2312" w:eastAsia="仿宋_GB2312" w:cs="仿宋_GB2312"/>
                <w:sz w:val="21"/>
                <w:szCs w:val="21"/>
              </w:rPr>
            </w:pPr>
          </w:p>
        </w:tc>
        <w:tc>
          <w:tcPr>
            <w:tcW w:w="1020" w:type="dxa"/>
            <w:vAlign w:val="top"/>
          </w:tcPr>
          <w:p>
            <w:pPr>
              <w:rPr>
                <w:rFonts w:hint="eastAsia" w:ascii="仿宋_GB2312" w:hAnsi="仿宋_GB2312" w:eastAsia="仿宋_GB2312" w:cs="仿宋_GB2312"/>
                <w:sz w:val="21"/>
                <w:szCs w:val="21"/>
              </w:rPr>
            </w:pPr>
          </w:p>
        </w:tc>
        <w:tc>
          <w:tcPr>
            <w:tcW w:w="885" w:type="dxa"/>
            <w:vAlign w:val="top"/>
          </w:tcPr>
          <w:p>
            <w:pPr>
              <w:rPr>
                <w:rFonts w:hint="eastAsia" w:ascii="仿宋_GB2312" w:hAnsi="仿宋_GB2312" w:eastAsia="仿宋_GB2312" w:cs="仿宋_GB2312"/>
                <w:sz w:val="21"/>
                <w:szCs w:val="21"/>
              </w:rPr>
            </w:pPr>
          </w:p>
        </w:tc>
        <w:tc>
          <w:tcPr>
            <w:tcW w:w="2490" w:type="dxa"/>
            <w:vAlign w:val="top"/>
          </w:tcPr>
          <w:p>
            <w:pPr>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704" w:type="dxa"/>
            <w:vMerge w:val="restart"/>
            <w:tcBorders>
              <w:bottom w:val="nil"/>
            </w:tcBorders>
            <w:vAlign w:val="top"/>
          </w:tcPr>
          <w:p>
            <w:pPr>
              <w:spacing w:line="385" w:lineRule="auto"/>
              <w:rPr>
                <w:rFonts w:hint="eastAsia" w:ascii="仿宋_GB2312" w:hAnsi="仿宋_GB2312" w:eastAsia="仿宋_GB2312" w:cs="仿宋_GB2312"/>
                <w:sz w:val="21"/>
                <w:szCs w:val="21"/>
              </w:rPr>
            </w:pPr>
          </w:p>
          <w:p>
            <w:pPr>
              <w:spacing w:before="55" w:line="219" w:lineRule="auto"/>
              <w:ind w:left="194" w:right="2" w:hanging="139"/>
              <w:rPr>
                <w:rFonts w:hint="eastAsia" w:ascii="仿宋_GB2312" w:hAnsi="仿宋_GB2312" w:eastAsia="仿宋_GB2312" w:cs="仿宋_GB2312"/>
                <w:sz w:val="21"/>
                <w:szCs w:val="21"/>
              </w:rPr>
            </w:pPr>
            <w:r>
              <w:rPr>
                <w:rFonts w:hint="eastAsia" w:ascii="仿宋_GB2312" w:hAnsi="仿宋_GB2312" w:eastAsia="仿宋_GB2312" w:cs="仿宋_GB2312"/>
                <w:spacing w:val="-11"/>
                <w:sz w:val="21"/>
                <w:szCs w:val="21"/>
              </w:rPr>
              <w:t>年度总体</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6"/>
                <w:sz w:val="21"/>
                <w:szCs w:val="21"/>
              </w:rPr>
              <w:t>目标</w:t>
            </w:r>
          </w:p>
        </w:tc>
        <w:tc>
          <w:tcPr>
            <w:tcW w:w="5987" w:type="dxa"/>
            <w:gridSpan w:val="6"/>
            <w:vAlign w:val="top"/>
          </w:tcPr>
          <w:p>
            <w:pPr>
              <w:spacing w:before="183" w:line="22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预期目标</w:t>
            </w:r>
          </w:p>
        </w:tc>
        <w:tc>
          <w:tcPr>
            <w:tcW w:w="2490" w:type="dxa"/>
            <w:vAlign w:val="top"/>
          </w:tcPr>
          <w:p>
            <w:pPr>
              <w:spacing w:before="183" w:line="220" w:lineRule="auto"/>
              <w:jc w:val="center"/>
              <w:rPr>
                <w:rFonts w:hint="eastAsia" w:ascii="仿宋_GB2312" w:hAnsi="仿宋_GB2312" w:eastAsia="仿宋_GB2312" w:cs="仿宋_GB2312"/>
                <w:spacing w:val="-2"/>
                <w:sz w:val="21"/>
                <w:szCs w:val="21"/>
                <w:lang w:val="en-US" w:eastAsia="zh-CN"/>
              </w:rPr>
            </w:pPr>
            <w:r>
              <w:rPr>
                <w:rFonts w:hint="eastAsia" w:ascii="仿宋_GB2312" w:hAnsi="仿宋_GB2312" w:eastAsia="仿宋_GB2312" w:cs="仿宋_GB2312"/>
                <w:spacing w:val="-2"/>
                <w:sz w:val="21"/>
                <w:szCs w:val="21"/>
                <w:lang w:val="en-US" w:eastAsia="zh-CN"/>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704" w:type="dxa"/>
            <w:vMerge w:val="continue"/>
            <w:tcBorders>
              <w:top w:val="nil"/>
              <w:bottom w:val="single" w:color="auto" w:sz="4" w:space="0"/>
            </w:tcBorders>
            <w:vAlign w:val="top"/>
          </w:tcPr>
          <w:p>
            <w:pPr>
              <w:rPr>
                <w:rFonts w:hint="eastAsia" w:ascii="仿宋_GB2312" w:hAnsi="仿宋_GB2312" w:eastAsia="仿宋_GB2312" w:cs="仿宋_GB2312"/>
                <w:sz w:val="21"/>
                <w:szCs w:val="21"/>
              </w:rPr>
            </w:pPr>
          </w:p>
        </w:tc>
        <w:tc>
          <w:tcPr>
            <w:tcW w:w="5987" w:type="dxa"/>
            <w:gridSpan w:val="6"/>
            <w:tcBorders>
              <w:bottom w:val="single" w:color="auto" w:sz="4" w:space="0"/>
            </w:tcBorders>
            <w:vAlign w:val="top"/>
          </w:tcPr>
          <w:p>
            <w:pP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加强基层组织建设，提高公共运行服务保障水平和社会治理能力，按照《广元市昭化区基层活动和公共服务运行经费使用管理办法》，开展组织活动全镇全年不少于10次，党员干部培训全镇全年不少于10次，走访慰问全镇每年不少于10次，全年清运垃圾次数432次，完成8个村1个社区组织活动场所维护、基础设施维护，维持8个村1个社区日常办公运转以及“村能办”便民服务平台建设。</w:t>
            </w:r>
          </w:p>
        </w:tc>
        <w:tc>
          <w:tcPr>
            <w:tcW w:w="2490" w:type="dxa"/>
            <w:vAlign w:val="top"/>
          </w:tcPr>
          <w:p>
            <w:pPr>
              <w:spacing w:before="183" w:line="220" w:lineRule="auto"/>
              <w:rPr>
                <w:rFonts w:hint="eastAsia" w:ascii="仿宋_GB2312" w:hAnsi="仿宋_GB2312" w:eastAsia="仿宋_GB2312" w:cs="仿宋_GB2312"/>
                <w:spacing w:val="-2"/>
                <w:sz w:val="21"/>
                <w:szCs w:val="21"/>
              </w:rPr>
            </w:pPr>
            <w:r>
              <w:rPr>
                <w:rFonts w:hint="eastAsia" w:ascii="仿宋_GB2312" w:hAnsi="仿宋_GB2312" w:eastAsia="仿宋_GB2312" w:cs="仿宋_GB2312"/>
                <w:spacing w:val="-2"/>
                <w:sz w:val="21"/>
                <w:szCs w:val="21"/>
              </w:rPr>
              <w:t>加强基层组织建设，提高公共运行服务保障水平和社会治理能力，按照《广元市昭化区基层活动和公共服务运行经费使用管理办法》，开展组织活动全镇全年不少于10次，党员干部培训全镇全年不少于10次，走访慰问全镇每年不少于10次，全年清运垃圾次数432次，完成8个村1个社区组织活动场所维护、基础设施维护，维持8个村1个社区日常办公运转以及“村能办”便民服务平台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704" w:type="dxa"/>
            <w:vMerge w:val="restart"/>
            <w:tcBorders>
              <w:top w:val="single" w:color="auto" w:sz="4" w:space="0"/>
              <w:left w:val="single" w:color="auto" w:sz="4" w:space="0"/>
              <w:bottom w:val="single" w:color="auto" w:sz="4" w:space="0"/>
              <w:right w:val="single" w:color="auto" w:sz="4" w:space="0"/>
            </w:tcBorders>
            <w:vAlign w:val="top"/>
          </w:tcPr>
          <w:p>
            <w:pPr>
              <w:spacing w:line="253" w:lineRule="auto"/>
              <w:jc w:val="center"/>
              <w:rPr>
                <w:rFonts w:hint="eastAsia" w:ascii="仿宋_GB2312" w:hAnsi="仿宋_GB2312" w:eastAsia="仿宋_GB2312" w:cs="仿宋_GB2312"/>
                <w:sz w:val="21"/>
                <w:szCs w:val="21"/>
              </w:rPr>
            </w:pPr>
          </w:p>
          <w:p>
            <w:pPr>
              <w:spacing w:line="253" w:lineRule="auto"/>
              <w:jc w:val="center"/>
              <w:rPr>
                <w:rFonts w:hint="eastAsia" w:ascii="仿宋_GB2312" w:hAnsi="仿宋_GB2312" w:eastAsia="仿宋_GB2312" w:cs="仿宋_GB2312"/>
                <w:sz w:val="21"/>
                <w:szCs w:val="21"/>
              </w:rPr>
            </w:pPr>
          </w:p>
          <w:p>
            <w:pPr>
              <w:spacing w:line="253" w:lineRule="auto"/>
              <w:jc w:val="center"/>
              <w:rPr>
                <w:rFonts w:hint="eastAsia" w:ascii="仿宋_GB2312" w:hAnsi="仿宋_GB2312" w:eastAsia="仿宋_GB2312" w:cs="仿宋_GB2312"/>
                <w:sz w:val="21"/>
                <w:szCs w:val="21"/>
              </w:rPr>
            </w:pPr>
          </w:p>
          <w:p>
            <w:pPr>
              <w:spacing w:line="254" w:lineRule="auto"/>
              <w:jc w:val="center"/>
              <w:rPr>
                <w:rFonts w:hint="eastAsia" w:ascii="仿宋_GB2312" w:hAnsi="仿宋_GB2312" w:eastAsia="仿宋_GB2312" w:cs="仿宋_GB2312"/>
                <w:sz w:val="21"/>
                <w:szCs w:val="21"/>
              </w:rPr>
            </w:pPr>
          </w:p>
          <w:p>
            <w:pPr>
              <w:spacing w:line="254" w:lineRule="auto"/>
              <w:jc w:val="center"/>
              <w:rPr>
                <w:rFonts w:hint="eastAsia" w:ascii="仿宋_GB2312" w:hAnsi="仿宋_GB2312" w:eastAsia="仿宋_GB2312" w:cs="仿宋_GB2312"/>
                <w:sz w:val="21"/>
                <w:szCs w:val="21"/>
              </w:rPr>
            </w:pPr>
          </w:p>
          <w:p>
            <w:pPr>
              <w:spacing w:line="254" w:lineRule="auto"/>
              <w:jc w:val="center"/>
              <w:rPr>
                <w:rFonts w:hint="eastAsia" w:ascii="仿宋_GB2312" w:hAnsi="仿宋_GB2312" w:eastAsia="仿宋_GB2312" w:cs="仿宋_GB2312"/>
                <w:sz w:val="21"/>
                <w:szCs w:val="21"/>
              </w:rPr>
            </w:pPr>
          </w:p>
          <w:p>
            <w:pPr>
              <w:spacing w:line="254" w:lineRule="auto"/>
              <w:jc w:val="center"/>
              <w:rPr>
                <w:rFonts w:hint="eastAsia" w:ascii="仿宋_GB2312" w:hAnsi="仿宋_GB2312" w:eastAsia="仿宋_GB2312" w:cs="仿宋_GB2312"/>
                <w:sz w:val="21"/>
                <w:szCs w:val="21"/>
              </w:rPr>
            </w:pPr>
          </w:p>
          <w:p>
            <w:pPr>
              <w:spacing w:line="254" w:lineRule="auto"/>
              <w:jc w:val="center"/>
              <w:rPr>
                <w:rFonts w:hint="eastAsia" w:ascii="仿宋_GB2312" w:hAnsi="仿宋_GB2312" w:eastAsia="仿宋_GB2312" w:cs="仿宋_GB2312"/>
                <w:sz w:val="21"/>
                <w:szCs w:val="21"/>
              </w:rPr>
            </w:pPr>
          </w:p>
          <w:p>
            <w:pPr>
              <w:spacing w:line="254" w:lineRule="auto"/>
              <w:jc w:val="center"/>
              <w:rPr>
                <w:rFonts w:hint="eastAsia" w:ascii="仿宋_GB2312" w:hAnsi="仿宋_GB2312" w:eastAsia="仿宋_GB2312" w:cs="仿宋_GB2312"/>
                <w:sz w:val="21"/>
                <w:szCs w:val="21"/>
              </w:rPr>
            </w:pPr>
          </w:p>
          <w:p>
            <w:pPr>
              <w:spacing w:line="254" w:lineRule="auto"/>
              <w:jc w:val="center"/>
              <w:rPr>
                <w:rFonts w:hint="eastAsia" w:ascii="仿宋_GB2312" w:hAnsi="仿宋_GB2312" w:eastAsia="仿宋_GB2312" w:cs="仿宋_GB2312"/>
                <w:sz w:val="21"/>
                <w:szCs w:val="21"/>
              </w:rPr>
            </w:pPr>
          </w:p>
          <w:p>
            <w:pPr>
              <w:spacing w:line="254" w:lineRule="auto"/>
              <w:jc w:val="center"/>
              <w:rPr>
                <w:rFonts w:hint="eastAsia" w:ascii="仿宋_GB2312" w:hAnsi="仿宋_GB2312" w:eastAsia="仿宋_GB2312" w:cs="仿宋_GB2312"/>
                <w:sz w:val="21"/>
                <w:szCs w:val="21"/>
              </w:rPr>
            </w:pPr>
          </w:p>
          <w:p>
            <w:pPr>
              <w:spacing w:line="254" w:lineRule="auto"/>
              <w:jc w:val="center"/>
              <w:rPr>
                <w:rFonts w:hint="eastAsia" w:ascii="仿宋_GB2312" w:hAnsi="仿宋_GB2312" w:eastAsia="仿宋_GB2312" w:cs="仿宋_GB2312"/>
                <w:sz w:val="21"/>
                <w:szCs w:val="21"/>
              </w:rPr>
            </w:pPr>
          </w:p>
          <w:p>
            <w:pPr>
              <w:spacing w:line="254" w:lineRule="auto"/>
              <w:jc w:val="center"/>
              <w:rPr>
                <w:rFonts w:hint="eastAsia" w:ascii="仿宋_GB2312" w:hAnsi="仿宋_GB2312" w:eastAsia="仿宋_GB2312" w:cs="仿宋_GB2312"/>
                <w:sz w:val="21"/>
                <w:szCs w:val="21"/>
              </w:rPr>
            </w:pPr>
          </w:p>
          <w:p>
            <w:pPr>
              <w:spacing w:before="56" w:line="220" w:lineRule="auto"/>
              <w:ind w:left="55"/>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11"/>
                <w:sz w:val="21"/>
                <w:szCs w:val="21"/>
              </w:rPr>
              <w:t>绩效指标</w:t>
            </w:r>
          </w:p>
        </w:tc>
        <w:tc>
          <w:tcPr>
            <w:tcW w:w="759" w:type="dxa"/>
            <w:tcBorders>
              <w:top w:val="single" w:color="auto" w:sz="4" w:space="0"/>
              <w:left w:val="single" w:color="auto" w:sz="4" w:space="0"/>
              <w:bottom w:val="single" w:color="auto" w:sz="4" w:space="0"/>
              <w:right w:val="single" w:color="auto" w:sz="4" w:space="0"/>
            </w:tcBorders>
            <w:vAlign w:val="top"/>
          </w:tcPr>
          <w:p>
            <w:pPr>
              <w:spacing w:before="155" w:line="220" w:lineRule="auto"/>
              <w:ind w:left="40"/>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一级指标</w:t>
            </w:r>
          </w:p>
        </w:tc>
        <w:tc>
          <w:tcPr>
            <w:tcW w:w="1009" w:type="dxa"/>
            <w:tcBorders>
              <w:top w:val="single" w:color="auto" w:sz="4" w:space="0"/>
              <w:left w:val="single" w:color="auto" w:sz="4" w:space="0"/>
              <w:bottom w:val="single" w:color="auto" w:sz="4" w:space="0"/>
              <w:right w:val="single" w:color="auto" w:sz="4" w:space="0"/>
            </w:tcBorders>
            <w:vAlign w:val="top"/>
          </w:tcPr>
          <w:p>
            <w:pPr>
              <w:spacing w:before="155" w:line="22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二级指标</w:t>
            </w:r>
          </w:p>
        </w:tc>
        <w:tc>
          <w:tcPr>
            <w:tcW w:w="2314" w:type="dxa"/>
            <w:gridSpan w:val="2"/>
            <w:tcBorders>
              <w:top w:val="single" w:color="auto" w:sz="4" w:space="0"/>
              <w:left w:val="single" w:color="auto" w:sz="4" w:space="0"/>
              <w:bottom w:val="single" w:color="auto" w:sz="4" w:space="0"/>
              <w:right w:val="single" w:color="auto" w:sz="4" w:space="0"/>
            </w:tcBorders>
            <w:vAlign w:val="top"/>
          </w:tcPr>
          <w:p>
            <w:pPr>
              <w:spacing w:before="155" w:line="22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三级指标</w:t>
            </w:r>
          </w:p>
        </w:tc>
        <w:tc>
          <w:tcPr>
            <w:tcW w:w="1020" w:type="dxa"/>
            <w:tcBorders>
              <w:top w:val="single" w:color="auto" w:sz="4" w:space="0"/>
              <w:left w:val="single" w:color="auto" w:sz="4" w:space="0"/>
              <w:bottom w:val="single" w:color="auto" w:sz="4" w:space="0"/>
              <w:right w:val="single" w:color="auto" w:sz="4" w:space="0"/>
            </w:tcBorders>
            <w:vAlign w:val="top"/>
          </w:tcPr>
          <w:p>
            <w:pPr>
              <w:spacing w:before="155"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年度指标值</w:t>
            </w:r>
          </w:p>
        </w:tc>
        <w:tc>
          <w:tcPr>
            <w:tcW w:w="885" w:type="dxa"/>
            <w:tcBorders>
              <w:top w:val="single" w:color="auto" w:sz="4" w:space="0"/>
              <w:left w:val="single" w:color="auto" w:sz="4" w:space="0"/>
              <w:bottom w:val="single" w:color="auto" w:sz="4" w:space="0"/>
              <w:right w:val="single" w:color="auto" w:sz="4" w:space="0"/>
            </w:tcBorders>
            <w:vAlign w:val="top"/>
          </w:tcPr>
          <w:p>
            <w:pPr>
              <w:spacing w:before="155"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实际完成值</w:t>
            </w:r>
          </w:p>
        </w:tc>
        <w:tc>
          <w:tcPr>
            <w:tcW w:w="2490" w:type="dxa"/>
            <w:tcBorders>
              <w:left w:val="single" w:color="auto" w:sz="4" w:space="0"/>
            </w:tcBorders>
            <w:vAlign w:val="top"/>
          </w:tcPr>
          <w:p>
            <w:pPr>
              <w:spacing w:before="75" w:line="227"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偏差原因分析及</w:t>
            </w:r>
            <w:r>
              <w:rPr>
                <w:rFonts w:hint="eastAsia" w:ascii="仿宋_GB2312" w:hAnsi="仿宋_GB2312" w:eastAsia="仿宋_GB2312" w:cs="仿宋_GB2312"/>
                <w:spacing w:val="11"/>
                <w:sz w:val="21"/>
                <w:szCs w:val="21"/>
              </w:rPr>
              <w:t>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704" w:type="dxa"/>
            <w:vMerge w:val="continue"/>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sz w:val="21"/>
                <w:szCs w:val="21"/>
              </w:rPr>
            </w:pPr>
          </w:p>
        </w:tc>
        <w:tc>
          <w:tcPr>
            <w:tcW w:w="759" w:type="dxa"/>
            <w:vMerge w:val="restart"/>
            <w:tcBorders>
              <w:top w:val="single" w:color="auto" w:sz="4" w:space="0"/>
              <w:left w:val="single" w:color="auto" w:sz="4" w:space="0"/>
              <w:bottom w:val="single" w:color="auto" w:sz="4" w:space="0"/>
              <w:right w:val="single" w:color="auto" w:sz="4" w:space="0"/>
            </w:tcBorders>
            <w:vAlign w:val="center"/>
          </w:tcPr>
          <w:p>
            <w:pPr>
              <w:spacing w:line="286" w:lineRule="auto"/>
              <w:jc w:val="center"/>
              <w:rPr>
                <w:rFonts w:hint="eastAsia" w:ascii="仿宋_GB2312" w:hAnsi="仿宋_GB2312" w:eastAsia="仿宋_GB2312" w:cs="仿宋_GB2312"/>
                <w:sz w:val="21"/>
                <w:szCs w:val="21"/>
              </w:rPr>
            </w:pPr>
          </w:p>
          <w:p>
            <w:pPr>
              <w:spacing w:line="286" w:lineRule="auto"/>
              <w:jc w:val="center"/>
              <w:rPr>
                <w:rFonts w:hint="eastAsia" w:ascii="仿宋_GB2312" w:hAnsi="仿宋_GB2312" w:eastAsia="仿宋_GB2312" w:cs="仿宋_GB2312"/>
                <w:sz w:val="21"/>
                <w:szCs w:val="21"/>
              </w:rPr>
            </w:pPr>
          </w:p>
          <w:p>
            <w:pPr>
              <w:spacing w:line="286" w:lineRule="auto"/>
              <w:jc w:val="center"/>
              <w:rPr>
                <w:rFonts w:hint="eastAsia" w:ascii="仿宋_GB2312" w:hAnsi="仿宋_GB2312" w:eastAsia="仿宋_GB2312" w:cs="仿宋_GB2312"/>
                <w:sz w:val="21"/>
                <w:szCs w:val="21"/>
              </w:rPr>
            </w:pPr>
          </w:p>
          <w:p>
            <w:pPr>
              <w:spacing w:line="286" w:lineRule="auto"/>
              <w:jc w:val="center"/>
              <w:rPr>
                <w:rFonts w:hint="eastAsia" w:ascii="仿宋_GB2312" w:hAnsi="仿宋_GB2312" w:eastAsia="仿宋_GB2312" w:cs="仿宋_GB2312"/>
                <w:sz w:val="21"/>
                <w:szCs w:val="21"/>
              </w:rPr>
            </w:pPr>
          </w:p>
          <w:p>
            <w:pPr>
              <w:spacing w:line="287" w:lineRule="auto"/>
              <w:jc w:val="center"/>
              <w:rPr>
                <w:rFonts w:hint="eastAsia" w:ascii="仿宋_GB2312" w:hAnsi="仿宋_GB2312" w:eastAsia="仿宋_GB2312" w:cs="仿宋_GB2312"/>
                <w:sz w:val="21"/>
                <w:szCs w:val="21"/>
              </w:rPr>
            </w:pPr>
          </w:p>
          <w:p>
            <w:pPr>
              <w:spacing w:before="56" w:line="219" w:lineRule="auto"/>
              <w:ind w:left="40"/>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产出指标</w:t>
            </w:r>
          </w:p>
        </w:tc>
        <w:tc>
          <w:tcPr>
            <w:tcW w:w="1009" w:type="dxa"/>
            <w:tcBorders>
              <w:top w:val="single" w:color="auto" w:sz="4" w:space="0"/>
              <w:left w:val="single" w:color="auto" w:sz="4" w:space="0"/>
              <w:bottom w:val="single" w:color="auto" w:sz="4" w:space="0"/>
              <w:right w:val="single" w:color="auto" w:sz="4" w:space="0"/>
            </w:tcBorders>
            <w:vAlign w:val="center"/>
          </w:tcPr>
          <w:p>
            <w:pPr>
              <w:spacing w:line="249" w:lineRule="auto"/>
              <w:jc w:val="center"/>
              <w:rPr>
                <w:rFonts w:hint="eastAsia" w:ascii="仿宋_GB2312" w:hAnsi="仿宋_GB2312" w:eastAsia="仿宋_GB2312" w:cs="仿宋_GB2312"/>
                <w:sz w:val="21"/>
                <w:szCs w:val="21"/>
              </w:rPr>
            </w:pPr>
          </w:p>
          <w:p>
            <w:pPr>
              <w:spacing w:before="55"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数量指标</w:t>
            </w:r>
          </w:p>
        </w:tc>
        <w:tc>
          <w:tcPr>
            <w:tcW w:w="2314" w:type="dxa"/>
            <w:gridSpan w:val="2"/>
            <w:tcBorders>
              <w:top w:val="single" w:color="auto" w:sz="4" w:space="0"/>
              <w:left w:val="single" w:color="auto" w:sz="4" w:space="0"/>
              <w:bottom w:val="single" w:color="auto" w:sz="4" w:space="0"/>
              <w:right w:val="single" w:color="auto" w:sz="4" w:space="0"/>
            </w:tcBorders>
            <w:vAlign w:val="center"/>
          </w:tcPr>
          <w:p>
            <w:pPr>
              <w:spacing w:before="36" w:line="220" w:lineRule="auto"/>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走访慰问次数</w:t>
            </w:r>
          </w:p>
        </w:tc>
        <w:tc>
          <w:tcPr>
            <w:tcW w:w="1020" w:type="dxa"/>
            <w:tcBorders>
              <w:top w:val="single" w:color="auto" w:sz="4" w:space="0"/>
              <w:left w:val="single" w:color="auto" w:sz="4" w:space="0"/>
              <w:bottom w:val="single" w:color="auto" w:sz="4" w:space="0"/>
              <w:right w:val="single" w:color="auto" w:sz="4" w:space="0"/>
            </w:tcBorders>
            <w:vAlign w:val="center"/>
          </w:tcPr>
          <w:p>
            <w:pPr>
              <w:spacing w:before="36" w:line="220" w:lineRule="auto"/>
              <w:ind w:left="202"/>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≥10次</w:t>
            </w:r>
          </w:p>
        </w:tc>
        <w:tc>
          <w:tcPr>
            <w:tcW w:w="885" w:type="dxa"/>
            <w:tcBorders>
              <w:top w:val="single" w:color="auto" w:sz="4" w:space="0"/>
              <w:left w:val="single" w:color="auto" w:sz="4" w:space="0"/>
              <w:bottom w:val="single" w:color="auto" w:sz="4" w:space="0"/>
              <w:right w:val="single" w:color="auto" w:sz="4" w:space="0"/>
            </w:tcBorders>
            <w:vAlign w:val="center"/>
          </w:tcPr>
          <w:p>
            <w:pPr>
              <w:spacing w:before="36" w:line="220" w:lineRule="auto"/>
              <w:ind w:left="202"/>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12次</w:t>
            </w:r>
          </w:p>
        </w:tc>
        <w:tc>
          <w:tcPr>
            <w:tcW w:w="2490" w:type="dxa"/>
            <w:tcBorders>
              <w:left w:val="single" w:color="auto" w:sz="4" w:space="0"/>
            </w:tcBorders>
            <w:vAlign w:val="center"/>
          </w:tcPr>
          <w:p>
            <w:pPr>
              <w:jc w:val="center"/>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704" w:type="dxa"/>
            <w:vMerge w:val="continue"/>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sz w:val="21"/>
                <w:szCs w:val="21"/>
              </w:rPr>
            </w:pPr>
          </w:p>
        </w:tc>
        <w:tc>
          <w:tcPr>
            <w:tcW w:w="75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p>
        </w:tc>
        <w:tc>
          <w:tcPr>
            <w:tcW w:w="10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55" w:line="220" w:lineRule="auto"/>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质量指标</w:t>
            </w:r>
          </w:p>
        </w:tc>
        <w:tc>
          <w:tcPr>
            <w:tcW w:w="231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6" w:line="210" w:lineRule="auto"/>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村容村貌、基础设施配备率</w:t>
            </w:r>
          </w:p>
        </w:tc>
        <w:tc>
          <w:tcPr>
            <w:tcW w:w="10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36" w:line="220" w:lineRule="auto"/>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优良中低差</w:t>
            </w:r>
          </w:p>
        </w:tc>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36" w:line="220" w:lineRule="auto"/>
              <w:ind w:left="202"/>
              <w:jc w:val="center"/>
              <w:textAlignment w:val="baseline"/>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优</w:t>
            </w:r>
          </w:p>
        </w:tc>
        <w:tc>
          <w:tcPr>
            <w:tcW w:w="2490" w:type="dxa"/>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jc w:val="center"/>
              <w:textAlignment w:val="baseline"/>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704" w:type="dxa"/>
            <w:vMerge w:val="continue"/>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sz w:val="21"/>
                <w:szCs w:val="21"/>
              </w:rPr>
            </w:pPr>
          </w:p>
        </w:tc>
        <w:tc>
          <w:tcPr>
            <w:tcW w:w="75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p>
        </w:tc>
        <w:tc>
          <w:tcPr>
            <w:tcW w:w="1009" w:type="dxa"/>
            <w:tcBorders>
              <w:top w:val="single" w:color="auto" w:sz="4" w:space="0"/>
              <w:left w:val="single" w:color="auto" w:sz="4" w:space="0"/>
              <w:bottom w:val="single" w:color="auto" w:sz="4" w:space="0"/>
              <w:right w:val="single" w:color="auto" w:sz="4" w:space="0"/>
            </w:tcBorders>
            <w:vAlign w:val="center"/>
          </w:tcPr>
          <w:p>
            <w:pPr>
              <w:spacing w:line="259" w:lineRule="auto"/>
              <w:jc w:val="center"/>
              <w:rPr>
                <w:rFonts w:hint="eastAsia" w:ascii="仿宋_GB2312" w:hAnsi="仿宋_GB2312" w:eastAsia="仿宋_GB2312" w:cs="仿宋_GB2312"/>
                <w:sz w:val="21"/>
                <w:szCs w:val="21"/>
              </w:rPr>
            </w:pPr>
          </w:p>
          <w:p>
            <w:pPr>
              <w:spacing w:before="55" w:line="22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时效指标</w:t>
            </w:r>
          </w:p>
        </w:tc>
        <w:tc>
          <w:tcPr>
            <w:tcW w:w="2314" w:type="dxa"/>
            <w:gridSpan w:val="2"/>
            <w:tcBorders>
              <w:top w:val="single" w:color="auto" w:sz="4" w:space="0"/>
              <w:left w:val="single" w:color="auto" w:sz="4" w:space="0"/>
              <w:bottom w:val="single" w:color="auto" w:sz="4" w:space="0"/>
              <w:right w:val="single" w:color="auto" w:sz="4" w:space="0"/>
            </w:tcBorders>
            <w:vAlign w:val="center"/>
          </w:tcPr>
          <w:p>
            <w:pPr>
              <w:spacing w:before="56" w:line="21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2022年1月</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12月期间内按质完成</w:t>
            </w:r>
          </w:p>
        </w:tc>
        <w:tc>
          <w:tcPr>
            <w:tcW w:w="1020" w:type="dxa"/>
            <w:tcBorders>
              <w:top w:val="single" w:color="auto" w:sz="4" w:space="0"/>
              <w:left w:val="single" w:color="auto" w:sz="4" w:space="0"/>
              <w:bottom w:val="single" w:color="auto" w:sz="4" w:space="0"/>
              <w:right w:val="single" w:color="auto" w:sz="4" w:space="0"/>
            </w:tcBorders>
            <w:vAlign w:val="center"/>
          </w:tcPr>
          <w:p>
            <w:pPr>
              <w:spacing w:before="36" w:line="220" w:lineRule="auto"/>
              <w:ind w:left="202"/>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1年</w:t>
            </w:r>
          </w:p>
        </w:tc>
        <w:tc>
          <w:tcPr>
            <w:tcW w:w="885" w:type="dxa"/>
            <w:tcBorders>
              <w:top w:val="single" w:color="auto" w:sz="4" w:space="0"/>
              <w:left w:val="single" w:color="auto" w:sz="4" w:space="0"/>
              <w:bottom w:val="single" w:color="auto" w:sz="4" w:space="0"/>
              <w:right w:val="single" w:color="auto" w:sz="4" w:space="0"/>
            </w:tcBorders>
            <w:vAlign w:val="center"/>
          </w:tcPr>
          <w:p>
            <w:pPr>
              <w:spacing w:before="36" w:line="220" w:lineRule="auto"/>
              <w:ind w:left="202"/>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1年</w:t>
            </w:r>
          </w:p>
        </w:tc>
        <w:tc>
          <w:tcPr>
            <w:tcW w:w="2490" w:type="dxa"/>
            <w:tcBorders>
              <w:left w:val="single" w:color="auto" w:sz="4" w:space="0"/>
            </w:tcBorders>
            <w:vAlign w:val="center"/>
          </w:tcPr>
          <w:p>
            <w:pPr>
              <w:jc w:val="center"/>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704" w:type="dxa"/>
            <w:vMerge w:val="continue"/>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sz w:val="21"/>
                <w:szCs w:val="21"/>
              </w:rPr>
            </w:pPr>
          </w:p>
        </w:tc>
        <w:tc>
          <w:tcPr>
            <w:tcW w:w="75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p>
        </w:tc>
        <w:tc>
          <w:tcPr>
            <w:tcW w:w="1009" w:type="dxa"/>
            <w:tcBorders>
              <w:top w:val="single" w:color="auto" w:sz="4" w:space="0"/>
              <w:left w:val="single" w:color="auto" w:sz="4" w:space="0"/>
              <w:bottom w:val="single" w:color="auto" w:sz="4" w:space="0"/>
              <w:right w:val="single" w:color="auto" w:sz="4" w:space="0"/>
            </w:tcBorders>
            <w:vAlign w:val="center"/>
          </w:tcPr>
          <w:p>
            <w:pPr>
              <w:spacing w:line="258" w:lineRule="auto"/>
              <w:jc w:val="center"/>
              <w:rPr>
                <w:rFonts w:hint="eastAsia" w:ascii="仿宋_GB2312" w:hAnsi="仿宋_GB2312" w:eastAsia="仿宋_GB2312" w:cs="仿宋_GB2312"/>
                <w:sz w:val="21"/>
                <w:szCs w:val="21"/>
              </w:rPr>
            </w:pPr>
          </w:p>
          <w:p>
            <w:pPr>
              <w:spacing w:before="55"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成本指标</w:t>
            </w:r>
          </w:p>
        </w:tc>
        <w:tc>
          <w:tcPr>
            <w:tcW w:w="231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21"/>
                <w:szCs w:val="21"/>
                <w:u w:val="none"/>
              </w:rPr>
            </w:pPr>
            <w:r>
              <w:rPr>
                <w:rFonts w:hint="eastAsia" w:ascii="仿宋_GB2312" w:hAnsi="仿宋_GB2312" w:eastAsia="仿宋_GB2312" w:cs="仿宋_GB2312"/>
                <w:i w:val="0"/>
                <w:iCs w:val="0"/>
                <w:snapToGrid w:val="0"/>
                <w:color w:val="000000"/>
                <w:kern w:val="0"/>
                <w:sz w:val="21"/>
                <w:szCs w:val="21"/>
                <w:u w:val="none"/>
                <w:lang w:val="en-US" w:eastAsia="zh-CN" w:bidi="ar"/>
              </w:rPr>
              <w:t>2022年度基层组织活动和公共服务运行经费控制额</w:t>
            </w:r>
          </w:p>
        </w:tc>
        <w:tc>
          <w:tcPr>
            <w:tcW w:w="1020" w:type="dxa"/>
            <w:tcBorders>
              <w:top w:val="single" w:color="auto" w:sz="4" w:space="0"/>
              <w:left w:val="single" w:color="auto" w:sz="4" w:space="0"/>
              <w:bottom w:val="single" w:color="auto" w:sz="4" w:space="0"/>
              <w:right w:val="single" w:color="auto" w:sz="4" w:space="0"/>
            </w:tcBorders>
            <w:vAlign w:val="center"/>
          </w:tcPr>
          <w:p>
            <w:pPr>
              <w:spacing w:before="36" w:line="220" w:lineRule="auto"/>
              <w:ind w:left="202"/>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10万元</w:t>
            </w:r>
          </w:p>
        </w:tc>
        <w:tc>
          <w:tcPr>
            <w:tcW w:w="885" w:type="dxa"/>
            <w:tcBorders>
              <w:top w:val="single" w:color="auto" w:sz="4" w:space="0"/>
              <w:left w:val="single" w:color="auto" w:sz="4" w:space="0"/>
              <w:bottom w:val="single" w:color="auto" w:sz="4" w:space="0"/>
              <w:right w:val="single" w:color="auto" w:sz="4" w:space="0"/>
            </w:tcBorders>
            <w:vAlign w:val="center"/>
          </w:tcPr>
          <w:p>
            <w:pPr>
              <w:spacing w:before="36" w:line="220" w:lineRule="auto"/>
              <w:ind w:left="202"/>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10万元</w:t>
            </w:r>
          </w:p>
        </w:tc>
        <w:tc>
          <w:tcPr>
            <w:tcW w:w="2490" w:type="dxa"/>
            <w:tcBorders>
              <w:left w:val="single" w:color="auto" w:sz="4" w:space="0"/>
            </w:tcBorders>
            <w:vAlign w:val="center"/>
          </w:tcPr>
          <w:p>
            <w:pPr>
              <w:jc w:val="center"/>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704" w:type="dxa"/>
            <w:vMerge w:val="continue"/>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sz w:val="21"/>
                <w:szCs w:val="21"/>
              </w:rPr>
            </w:pPr>
          </w:p>
        </w:tc>
        <w:tc>
          <w:tcPr>
            <w:tcW w:w="75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p>
        </w:tc>
        <w:tc>
          <w:tcPr>
            <w:tcW w:w="1009" w:type="dxa"/>
            <w:tcBorders>
              <w:top w:val="single" w:color="auto" w:sz="4" w:space="0"/>
              <w:left w:val="single" w:color="auto" w:sz="4" w:space="0"/>
              <w:bottom w:val="single" w:color="auto" w:sz="4" w:space="0"/>
              <w:right w:val="single" w:color="auto" w:sz="4" w:space="0"/>
            </w:tcBorders>
            <w:vAlign w:val="center"/>
          </w:tcPr>
          <w:p>
            <w:pPr>
              <w:spacing w:before="55" w:line="219" w:lineRule="auto"/>
              <w:jc w:val="center"/>
              <w:rPr>
                <w:rFonts w:hint="eastAsia" w:ascii="仿宋_GB2312" w:hAnsi="仿宋_GB2312" w:eastAsia="仿宋_GB2312" w:cs="仿宋_GB2312"/>
                <w:spacing w:val="-2"/>
                <w:sz w:val="21"/>
                <w:szCs w:val="21"/>
                <w:lang w:eastAsia="zh-CN"/>
              </w:rPr>
            </w:pPr>
            <w:r>
              <w:rPr>
                <w:rFonts w:hint="eastAsia" w:ascii="仿宋_GB2312" w:hAnsi="仿宋_GB2312" w:eastAsia="仿宋_GB2312" w:cs="仿宋_GB2312"/>
                <w:spacing w:val="-2"/>
                <w:sz w:val="21"/>
                <w:szCs w:val="21"/>
                <w:lang w:eastAsia="zh-CN"/>
              </w:rPr>
              <w:t>数量指标</w:t>
            </w:r>
          </w:p>
        </w:tc>
        <w:tc>
          <w:tcPr>
            <w:tcW w:w="231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21"/>
                <w:szCs w:val="21"/>
                <w:u w:val="none"/>
                <w:lang w:val="en-US" w:eastAsia="zh-CN" w:bidi="ar"/>
              </w:rPr>
            </w:pPr>
            <w:r>
              <w:rPr>
                <w:rFonts w:hint="eastAsia" w:ascii="仿宋_GB2312" w:hAnsi="仿宋_GB2312" w:eastAsia="仿宋_GB2312" w:cs="仿宋_GB2312"/>
                <w:i w:val="0"/>
                <w:iCs w:val="0"/>
                <w:snapToGrid w:val="0"/>
                <w:color w:val="000000"/>
                <w:kern w:val="0"/>
                <w:sz w:val="21"/>
                <w:szCs w:val="21"/>
                <w:u w:val="none"/>
                <w:lang w:val="en-US" w:eastAsia="zh-CN" w:bidi="ar"/>
              </w:rPr>
              <w:t>全年垃圾清运次数</w:t>
            </w:r>
          </w:p>
        </w:tc>
        <w:tc>
          <w:tcPr>
            <w:tcW w:w="1020" w:type="dxa"/>
            <w:tcBorders>
              <w:top w:val="single" w:color="auto" w:sz="4" w:space="0"/>
              <w:left w:val="single" w:color="auto" w:sz="4" w:space="0"/>
              <w:bottom w:val="single" w:color="auto" w:sz="4" w:space="0"/>
              <w:right w:val="single" w:color="auto" w:sz="4" w:space="0"/>
            </w:tcBorders>
            <w:vAlign w:val="center"/>
          </w:tcPr>
          <w:p>
            <w:pPr>
              <w:spacing w:before="36" w:line="220" w:lineRule="auto"/>
              <w:ind w:left="202"/>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≥432次</w:t>
            </w:r>
          </w:p>
        </w:tc>
        <w:tc>
          <w:tcPr>
            <w:tcW w:w="885" w:type="dxa"/>
            <w:tcBorders>
              <w:top w:val="single" w:color="auto" w:sz="4" w:space="0"/>
              <w:left w:val="single" w:color="auto" w:sz="4" w:space="0"/>
              <w:bottom w:val="single" w:color="auto" w:sz="4" w:space="0"/>
              <w:right w:val="single" w:color="auto" w:sz="4" w:space="0"/>
            </w:tcBorders>
            <w:vAlign w:val="center"/>
          </w:tcPr>
          <w:p>
            <w:pPr>
              <w:spacing w:before="36" w:line="220" w:lineRule="auto"/>
              <w:ind w:left="202"/>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432次</w:t>
            </w:r>
          </w:p>
        </w:tc>
        <w:tc>
          <w:tcPr>
            <w:tcW w:w="2490" w:type="dxa"/>
            <w:tcBorders>
              <w:left w:val="single" w:color="auto" w:sz="4" w:space="0"/>
            </w:tcBorders>
            <w:vAlign w:val="center"/>
          </w:tcPr>
          <w:p>
            <w:pPr>
              <w:jc w:val="center"/>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704" w:type="dxa"/>
            <w:vMerge w:val="continue"/>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sz w:val="21"/>
                <w:szCs w:val="21"/>
              </w:rPr>
            </w:pPr>
          </w:p>
        </w:tc>
        <w:tc>
          <w:tcPr>
            <w:tcW w:w="75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p>
        </w:tc>
        <w:tc>
          <w:tcPr>
            <w:tcW w:w="1009" w:type="dxa"/>
            <w:tcBorders>
              <w:top w:val="single" w:color="auto" w:sz="4" w:space="0"/>
              <w:left w:val="single" w:color="auto" w:sz="4" w:space="0"/>
              <w:bottom w:val="single" w:color="auto" w:sz="4" w:space="0"/>
              <w:right w:val="single" w:color="auto" w:sz="4" w:space="0"/>
            </w:tcBorders>
            <w:vAlign w:val="center"/>
          </w:tcPr>
          <w:p>
            <w:pPr>
              <w:spacing w:before="55" w:line="219" w:lineRule="auto"/>
              <w:jc w:val="center"/>
              <w:rPr>
                <w:rFonts w:hint="eastAsia" w:ascii="仿宋_GB2312" w:hAnsi="仿宋_GB2312" w:eastAsia="仿宋_GB2312" w:cs="仿宋_GB2312"/>
                <w:spacing w:val="-2"/>
                <w:sz w:val="21"/>
                <w:szCs w:val="21"/>
                <w:lang w:eastAsia="zh-CN"/>
              </w:rPr>
            </w:pPr>
            <w:r>
              <w:rPr>
                <w:rFonts w:hint="eastAsia" w:ascii="仿宋_GB2312" w:hAnsi="仿宋_GB2312" w:eastAsia="仿宋_GB2312" w:cs="仿宋_GB2312"/>
                <w:spacing w:val="-2"/>
                <w:sz w:val="21"/>
                <w:szCs w:val="21"/>
                <w:lang w:eastAsia="zh-CN"/>
              </w:rPr>
              <w:t>数量指标</w:t>
            </w:r>
          </w:p>
        </w:tc>
        <w:tc>
          <w:tcPr>
            <w:tcW w:w="231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21"/>
                <w:szCs w:val="21"/>
                <w:u w:val="none"/>
                <w:lang w:val="en-US" w:eastAsia="zh-CN" w:bidi="ar"/>
              </w:rPr>
            </w:pPr>
            <w:r>
              <w:rPr>
                <w:rFonts w:hint="eastAsia" w:ascii="仿宋_GB2312" w:hAnsi="仿宋_GB2312" w:eastAsia="仿宋_GB2312" w:cs="仿宋_GB2312"/>
                <w:i w:val="0"/>
                <w:iCs w:val="0"/>
                <w:snapToGrid w:val="0"/>
                <w:color w:val="000000"/>
                <w:kern w:val="0"/>
                <w:sz w:val="21"/>
                <w:szCs w:val="21"/>
                <w:u w:val="none"/>
                <w:lang w:val="en-US" w:eastAsia="zh-CN" w:bidi="ar"/>
              </w:rPr>
              <w:t>基础设施维护场所个数</w:t>
            </w:r>
          </w:p>
        </w:tc>
        <w:tc>
          <w:tcPr>
            <w:tcW w:w="1020" w:type="dxa"/>
            <w:tcBorders>
              <w:top w:val="single" w:color="auto" w:sz="4" w:space="0"/>
              <w:left w:val="single" w:color="auto" w:sz="4" w:space="0"/>
              <w:bottom w:val="single" w:color="auto" w:sz="4" w:space="0"/>
              <w:right w:val="single" w:color="auto" w:sz="4" w:space="0"/>
            </w:tcBorders>
            <w:vAlign w:val="center"/>
          </w:tcPr>
          <w:p>
            <w:pPr>
              <w:spacing w:before="36" w:line="220" w:lineRule="auto"/>
              <w:ind w:left="202"/>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9个</w:t>
            </w:r>
          </w:p>
        </w:tc>
        <w:tc>
          <w:tcPr>
            <w:tcW w:w="885" w:type="dxa"/>
            <w:tcBorders>
              <w:top w:val="single" w:color="auto" w:sz="4" w:space="0"/>
              <w:left w:val="single" w:color="auto" w:sz="4" w:space="0"/>
              <w:bottom w:val="single" w:color="auto" w:sz="4" w:space="0"/>
              <w:right w:val="single" w:color="auto" w:sz="4" w:space="0"/>
            </w:tcBorders>
            <w:vAlign w:val="center"/>
          </w:tcPr>
          <w:p>
            <w:pPr>
              <w:spacing w:before="36" w:line="220" w:lineRule="auto"/>
              <w:ind w:left="202"/>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9个</w:t>
            </w:r>
          </w:p>
        </w:tc>
        <w:tc>
          <w:tcPr>
            <w:tcW w:w="2490" w:type="dxa"/>
            <w:tcBorders>
              <w:left w:val="single" w:color="auto" w:sz="4" w:space="0"/>
            </w:tcBorders>
            <w:vAlign w:val="center"/>
          </w:tcPr>
          <w:p>
            <w:pPr>
              <w:jc w:val="center"/>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704" w:type="dxa"/>
            <w:vMerge w:val="continue"/>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sz w:val="21"/>
                <w:szCs w:val="21"/>
              </w:rPr>
            </w:pPr>
          </w:p>
        </w:tc>
        <w:tc>
          <w:tcPr>
            <w:tcW w:w="75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p>
        </w:tc>
        <w:tc>
          <w:tcPr>
            <w:tcW w:w="1009" w:type="dxa"/>
            <w:tcBorders>
              <w:top w:val="single" w:color="auto" w:sz="4" w:space="0"/>
              <w:left w:val="single" w:color="auto" w:sz="4" w:space="0"/>
              <w:bottom w:val="single" w:color="auto" w:sz="4" w:space="0"/>
              <w:right w:val="single" w:color="auto" w:sz="4" w:space="0"/>
            </w:tcBorders>
            <w:vAlign w:val="center"/>
          </w:tcPr>
          <w:p>
            <w:pPr>
              <w:spacing w:before="55" w:line="219" w:lineRule="auto"/>
              <w:jc w:val="center"/>
              <w:rPr>
                <w:rFonts w:hint="eastAsia" w:ascii="仿宋_GB2312" w:hAnsi="仿宋_GB2312" w:eastAsia="仿宋_GB2312" w:cs="仿宋_GB2312"/>
                <w:spacing w:val="-2"/>
                <w:sz w:val="21"/>
                <w:szCs w:val="21"/>
                <w:lang w:eastAsia="zh-CN"/>
              </w:rPr>
            </w:pPr>
            <w:r>
              <w:rPr>
                <w:rFonts w:hint="eastAsia" w:ascii="仿宋_GB2312" w:hAnsi="仿宋_GB2312" w:eastAsia="仿宋_GB2312" w:cs="仿宋_GB2312"/>
                <w:spacing w:val="-2"/>
                <w:sz w:val="21"/>
                <w:szCs w:val="21"/>
                <w:lang w:eastAsia="zh-CN"/>
              </w:rPr>
              <w:t>数量指标</w:t>
            </w:r>
          </w:p>
        </w:tc>
        <w:tc>
          <w:tcPr>
            <w:tcW w:w="231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21"/>
                <w:szCs w:val="21"/>
                <w:u w:val="none"/>
                <w:lang w:val="en-US" w:eastAsia="zh-CN" w:bidi="ar"/>
              </w:rPr>
            </w:pPr>
            <w:r>
              <w:rPr>
                <w:rFonts w:hint="eastAsia" w:ascii="仿宋_GB2312" w:hAnsi="仿宋_GB2312" w:eastAsia="仿宋_GB2312" w:cs="仿宋_GB2312"/>
                <w:i w:val="0"/>
                <w:iCs w:val="0"/>
                <w:snapToGrid w:val="0"/>
                <w:color w:val="000000"/>
                <w:kern w:val="0"/>
                <w:sz w:val="21"/>
                <w:szCs w:val="21"/>
                <w:u w:val="none"/>
                <w:lang w:val="en-US" w:eastAsia="zh-CN" w:bidi="ar"/>
              </w:rPr>
              <w:t>党员干部培训次数</w:t>
            </w:r>
          </w:p>
        </w:tc>
        <w:tc>
          <w:tcPr>
            <w:tcW w:w="1020" w:type="dxa"/>
            <w:tcBorders>
              <w:top w:val="single" w:color="auto" w:sz="4" w:space="0"/>
              <w:left w:val="single" w:color="auto" w:sz="4" w:space="0"/>
              <w:bottom w:val="single" w:color="auto" w:sz="4" w:space="0"/>
              <w:right w:val="single" w:color="auto" w:sz="4" w:space="0"/>
            </w:tcBorders>
            <w:vAlign w:val="center"/>
          </w:tcPr>
          <w:p>
            <w:pPr>
              <w:spacing w:before="36" w:line="220" w:lineRule="auto"/>
              <w:ind w:left="202"/>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≥10次</w:t>
            </w:r>
          </w:p>
        </w:tc>
        <w:tc>
          <w:tcPr>
            <w:tcW w:w="885" w:type="dxa"/>
            <w:tcBorders>
              <w:top w:val="single" w:color="auto" w:sz="4" w:space="0"/>
              <w:left w:val="single" w:color="auto" w:sz="4" w:space="0"/>
              <w:bottom w:val="single" w:color="auto" w:sz="4" w:space="0"/>
              <w:right w:val="single" w:color="auto" w:sz="4" w:space="0"/>
            </w:tcBorders>
            <w:vAlign w:val="center"/>
          </w:tcPr>
          <w:p>
            <w:pPr>
              <w:spacing w:before="36" w:line="220" w:lineRule="auto"/>
              <w:ind w:left="202"/>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10次</w:t>
            </w:r>
          </w:p>
        </w:tc>
        <w:tc>
          <w:tcPr>
            <w:tcW w:w="2490" w:type="dxa"/>
            <w:tcBorders>
              <w:left w:val="single" w:color="auto" w:sz="4" w:space="0"/>
            </w:tcBorders>
            <w:vAlign w:val="center"/>
          </w:tcPr>
          <w:p>
            <w:pPr>
              <w:jc w:val="center"/>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704" w:type="dxa"/>
            <w:vMerge w:val="continue"/>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sz w:val="21"/>
                <w:szCs w:val="21"/>
              </w:rPr>
            </w:pPr>
          </w:p>
        </w:tc>
        <w:tc>
          <w:tcPr>
            <w:tcW w:w="75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效益指标</w:t>
            </w:r>
          </w:p>
        </w:tc>
        <w:tc>
          <w:tcPr>
            <w:tcW w:w="1009" w:type="dxa"/>
            <w:tcBorders>
              <w:top w:val="single" w:color="auto" w:sz="4" w:space="0"/>
              <w:left w:val="single" w:color="auto" w:sz="4" w:space="0"/>
              <w:bottom w:val="single" w:color="auto" w:sz="4" w:space="0"/>
              <w:right w:val="single" w:color="auto" w:sz="4" w:space="0"/>
            </w:tcBorders>
            <w:vAlign w:val="center"/>
          </w:tcPr>
          <w:p>
            <w:pPr>
              <w:spacing w:before="86" w:line="213" w:lineRule="auto"/>
              <w:ind w:right="164"/>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生态效益</w:t>
            </w:r>
            <w:r>
              <w:rPr>
                <w:rFonts w:hint="eastAsia" w:ascii="仿宋_GB2312" w:hAnsi="仿宋_GB2312" w:eastAsia="仿宋_GB2312" w:cs="仿宋_GB2312"/>
                <w:spacing w:val="-2"/>
                <w:sz w:val="21"/>
                <w:szCs w:val="21"/>
                <w:lang w:val="en-US" w:eastAsia="zh-CN"/>
              </w:rPr>
              <w:t xml:space="preserve"> </w:t>
            </w:r>
            <w:r>
              <w:rPr>
                <w:rFonts w:hint="eastAsia" w:ascii="仿宋_GB2312" w:hAnsi="仿宋_GB2312" w:eastAsia="仿宋_GB2312" w:cs="仿宋_GB2312"/>
                <w:spacing w:val="-3"/>
                <w:sz w:val="21"/>
                <w:szCs w:val="21"/>
              </w:rPr>
              <w:t>指标</w:t>
            </w:r>
          </w:p>
        </w:tc>
        <w:tc>
          <w:tcPr>
            <w:tcW w:w="2314" w:type="dxa"/>
            <w:gridSpan w:val="2"/>
            <w:tcBorders>
              <w:top w:val="single" w:color="auto" w:sz="4" w:space="0"/>
              <w:left w:val="single" w:color="auto" w:sz="4" w:space="0"/>
              <w:bottom w:val="single" w:color="auto" w:sz="4" w:space="0"/>
              <w:right w:val="single" w:color="auto" w:sz="4" w:space="0"/>
            </w:tcBorders>
            <w:vAlign w:val="center"/>
          </w:tcPr>
          <w:p>
            <w:pPr>
              <w:spacing w:before="56" w:line="21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环境卫生清洁度：全镇</w:t>
            </w:r>
            <w:r>
              <w:rPr>
                <w:rFonts w:hint="eastAsia" w:ascii="仿宋_GB2312" w:hAnsi="仿宋_GB2312" w:eastAsia="仿宋_GB2312" w:cs="仿宋_GB2312"/>
                <w:sz w:val="21"/>
                <w:szCs w:val="21"/>
                <w:lang w:val="en-US" w:eastAsia="zh-CN"/>
              </w:rPr>
              <w:t>8</w:t>
            </w:r>
            <w:r>
              <w:rPr>
                <w:rFonts w:hint="eastAsia" w:ascii="仿宋_GB2312" w:hAnsi="仿宋_GB2312" w:eastAsia="仿宋_GB2312" w:cs="仿宋_GB2312"/>
                <w:sz w:val="21"/>
                <w:szCs w:val="21"/>
              </w:rPr>
              <w:t>个村</w:t>
            </w: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rPr>
              <w:t>个社区环境卫生，无“脏、乱、差”现象，村容村貌良好</w:t>
            </w:r>
          </w:p>
        </w:tc>
        <w:tc>
          <w:tcPr>
            <w:tcW w:w="1020" w:type="dxa"/>
            <w:tcBorders>
              <w:top w:val="single" w:color="auto" w:sz="4" w:space="0"/>
              <w:left w:val="single" w:color="auto" w:sz="4" w:space="0"/>
              <w:bottom w:val="single" w:color="auto" w:sz="4" w:space="0"/>
              <w:right w:val="single" w:color="auto" w:sz="4" w:space="0"/>
            </w:tcBorders>
            <w:vAlign w:val="center"/>
          </w:tcPr>
          <w:p>
            <w:pPr>
              <w:spacing w:before="36" w:line="220" w:lineRule="auto"/>
              <w:ind w:left="202"/>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优</w:t>
            </w:r>
          </w:p>
        </w:tc>
        <w:tc>
          <w:tcPr>
            <w:tcW w:w="885" w:type="dxa"/>
            <w:tcBorders>
              <w:top w:val="single" w:color="auto" w:sz="4" w:space="0"/>
              <w:left w:val="single" w:color="auto" w:sz="4" w:space="0"/>
              <w:bottom w:val="single" w:color="auto" w:sz="4" w:space="0"/>
              <w:right w:val="single" w:color="auto" w:sz="4" w:space="0"/>
            </w:tcBorders>
            <w:vAlign w:val="center"/>
          </w:tcPr>
          <w:p>
            <w:pPr>
              <w:spacing w:before="36" w:line="220" w:lineRule="auto"/>
              <w:ind w:left="202"/>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优</w:t>
            </w:r>
          </w:p>
        </w:tc>
        <w:tc>
          <w:tcPr>
            <w:tcW w:w="2490" w:type="dxa"/>
            <w:tcBorders>
              <w:left w:val="single" w:color="auto" w:sz="4" w:space="0"/>
            </w:tcBorders>
            <w:vAlign w:val="center"/>
          </w:tcPr>
          <w:p>
            <w:pPr>
              <w:jc w:val="center"/>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704" w:type="dxa"/>
            <w:vMerge w:val="continue"/>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sz w:val="21"/>
                <w:szCs w:val="21"/>
              </w:rPr>
            </w:pPr>
          </w:p>
        </w:tc>
        <w:tc>
          <w:tcPr>
            <w:tcW w:w="75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p>
        </w:tc>
        <w:tc>
          <w:tcPr>
            <w:tcW w:w="1009" w:type="dxa"/>
            <w:tcBorders>
              <w:top w:val="single" w:color="auto" w:sz="4" w:space="0"/>
              <w:left w:val="single" w:color="auto" w:sz="4" w:space="0"/>
              <w:bottom w:val="single" w:color="auto" w:sz="4" w:space="0"/>
              <w:right w:val="single" w:color="auto" w:sz="4" w:space="0"/>
            </w:tcBorders>
            <w:vAlign w:val="center"/>
          </w:tcPr>
          <w:p>
            <w:pPr>
              <w:spacing w:before="224" w:line="214" w:lineRule="auto"/>
              <w:ind w:right="103"/>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社会效益指标</w:t>
            </w:r>
          </w:p>
        </w:tc>
        <w:tc>
          <w:tcPr>
            <w:tcW w:w="231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21"/>
                <w:szCs w:val="21"/>
                <w:u w:val="none"/>
              </w:rPr>
            </w:pPr>
            <w:r>
              <w:rPr>
                <w:rFonts w:hint="eastAsia" w:ascii="仿宋_GB2312" w:hAnsi="仿宋_GB2312" w:eastAsia="仿宋_GB2312" w:cs="仿宋_GB2312"/>
                <w:i w:val="0"/>
                <w:iCs w:val="0"/>
                <w:snapToGrid w:val="0"/>
                <w:color w:val="000000"/>
                <w:kern w:val="0"/>
                <w:sz w:val="21"/>
                <w:szCs w:val="21"/>
                <w:u w:val="none"/>
                <w:lang w:val="en-US" w:eastAsia="zh-CN" w:bidi="ar"/>
              </w:rPr>
              <w:t>提升群众服务水平率</w:t>
            </w:r>
          </w:p>
        </w:tc>
        <w:tc>
          <w:tcPr>
            <w:tcW w:w="1020" w:type="dxa"/>
            <w:tcBorders>
              <w:top w:val="single" w:color="auto" w:sz="4" w:space="0"/>
              <w:left w:val="single" w:color="auto" w:sz="4" w:space="0"/>
              <w:bottom w:val="single" w:color="auto" w:sz="4" w:space="0"/>
              <w:right w:val="single" w:color="auto" w:sz="4" w:space="0"/>
            </w:tcBorders>
            <w:vAlign w:val="center"/>
          </w:tcPr>
          <w:p>
            <w:pPr>
              <w:spacing w:before="36" w:line="220" w:lineRule="auto"/>
              <w:ind w:left="202"/>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≥90%</w:t>
            </w:r>
          </w:p>
        </w:tc>
        <w:tc>
          <w:tcPr>
            <w:tcW w:w="885" w:type="dxa"/>
            <w:tcBorders>
              <w:top w:val="single" w:color="auto" w:sz="4" w:space="0"/>
              <w:left w:val="single" w:color="auto" w:sz="4" w:space="0"/>
              <w:bottom w:val="single" w:color="auto" w:sz="4" w:space="0"/>
              <w:right w:val="single" w:color="auto" w:sz="4" w:space="0"/>
            </w:tcBorders>
            <w:vAlign w:val="center"/>
          </w:tcPr>
          <w:p>
            <w:pPr>
              <w:spacing w:before="36" w:line="220" w:lineRule="auto"/>
              <w:ind w:left="202"/>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95%</w:t>
            </w:r>
          </w:p>
        </w:tc>
        <w:tc>
          <w:tcPr>
            <w:tcW w:w="2490" w:type="dxa"/>
            <w:tcBorders>
              <w:left w:val="single" w:color="auto" w:sz="4" w:space="0"/>
            </w:tcBorders>
            <w:vAlign w:val="center"/>
          </w:tcPr>
          <w:p>
            <w:pPr>
              <w:jc w:val="center"/>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704" w:type="dxa"/>
            <w:vMerge w:val="continue"/>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sz w:val="21"/>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spacing w:before="146" w:line="219" w:lineRule="auto"/>
              <w:ind w:left="191" w:right="124" w:hanging="70"/>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满意度</w:t>
            </w:r>
            <w:r>
              <w:rPr>
                <w:rFonts w:hint="eastAsia" w:ascii="仿宋_GB2312" w:hAnsi="仿宋_GB2312" w:eastAsia="仿宋_GB2312" w:cs="仿宋_GB2312"/>
                <w:spacing w:val="1"/>
                <w:sz w:val="21"/>
                <w:szCs w:val="21"/>
              </w:rPr>
              <w:t xml:space="preserve"> </w:t>
            </w:r>
            <w:r>
              <w:rPr>
                <w:rFonts w:hint="eastAsia" w:ascii="仿宋_GB2312" w:hAnsi="仿宋_GB2312" w:eastAsia="仿宋_GB2312" w:cs="仿宋_GB2312"/>
                <w:spacing w:val="-3"/>
                <w:sz w:val="21"/>
                <w:szCs w:val="21"/>
              </w:rPr>
              <w:t>指标</w:t>
            </w:r>
          </w:p>
        </w:tc>
        <w:tc>
          <w:tcPr>
            <w:tcW w:w="1009" w:type="dxa"/>
            <w:tcBorders>
              <w:top w:val="single" w:color="auto" w:sz="4" w:space="0"/>
              <w:left w:val="single" w:color="auto" w:sz="4" w:space="0"/>
              <w:bottom w:val="single" w:color="auto" w:sz="4" w:space="0"/>
              <w:right w:val="single" w:color="auto" w:sz="4" w:space="0"/>
            </w:tcBorders>
            <w:vAlign w:val="center"/>
          </w:tcPr>
          <w:p>
            <w:pPr>
              <w:spacing w:before="155" w:line="214" w:lineRule="auto"/>
              <w:ind w:left="181" w:right="123" w:hanging="150"/>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服务对象满</w:t>
            </w:r>
            <w:r>
              <w:rPr>
                <w:rFonts w:hint="eastAsia" w:ascii="仿宋_GB2312" w:hAnsi="仿宋_GB2312" w:eastAsia="仿宋_GB2312" w:cs="仿宋_GB2312"/>
                <w:spacing w:val="2"/>
                <w:sz w:val="21"/>
                <w:szCs w:val="21"/>
              </w:rPr>
              <w:t xml:space="preserve"> </w:t>
            </w:r>
            <w:r>
              <w:rPr>
                <w:rFonts w:hint="eastAsia" w:ascii="仿宋_GB2312" w:hAnsi="仿宋_GB2312" w:eastAsia="仿宋_GB2312" w:cs="仿宋_GB2312"/>
                <w:spacing w:val="-3"/>
                <w:sz w:val="21"/>
                <w:szCs w:val="21"/>
              </w:rPr>
              <w:t>意度指标</w:t>
            </w:r>
          </w:p>
        </w:tc>
        <w:tc>
          <w:tcPr>
            <w:tcW w:w="2314" w:type="dxa"/>
            <w:gridSpan w:val="2"/>
            <w:tcBorders>
              <w:top w:val="single" w:color="auto" w:sz="4" w:space="0"/>
              <w:left w:val="single" w:color="auto" w:sz="4" w:space="0"/>
              <w:bottom w:val="single" w:color="auto" w:sz="4" w:space="0"/>
              <w:right w:val="single" w:color="auto" w:sz="4" w:space="0"/>
            </w:tcBorders>
            <w:vAlign w:val="center"/>
          </w:tcPr>
          <w:p>
            <w:pPr>
              <w:spacing w:before="67" w:line="209" w:lineRule="auto"/>
              <w:ind w:left="23"/>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8"/>
                <w:sz w:val="21"/>
                <w:szCs w:val="21"/>
              </w:rPr>
              <w:t>社会满意度：群众幸福指数提高，满意度达95%以上</w:t>
            </w:r>
          </w:p>
        </w:tc>
        <w:tc>
          <w:tcPr>
            <w:tcW w:w="1020" w:type="dxa"/>
            <w:tcBorders>
              <w:top w:val="single" w:color="auto" w:sz="4" w:space="0"/>
              <w:left w:val="single" w:color="auto" w:sz="4" w:space="0"/>
              <w:bottom w:val="single" w:color="auto" w:sz="4" w:space="0"/>
              <w:right w:val="single" w:color="auto" w:sz="4" w:space="0"/>
            </w:tcBorders>
            <w:vAlign w:val="center"/>
          </w:tcPr>
          <w:p>
            <w:pPr>
              <w:spacing w:before="36" w:line="220" w:lineRule="auto"/>
              <w:ind w:left="202"/>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95%</w:t>
            </w:r>
          </w:p>
        </w:tc>
        <w:tc>
          <w:tcPr>
            <w:tcW w:w="885" w:type="dxa"/>
            <w:tcBorders>
              <w:top w:val="single" w:color="auto" w:sz="4" w:space="0"/>
              <w:left w:val="single" w:color="auto" w:sz="4" w:space="0"/>
              <w:bottom w:val="single" w:color="auto" w:sz="4" w:space="0"/>
              <w:right w:val="single" w:color="auto" w:sz="4" w:space="0"/>
            </w:tcBorders>
            <w:vAlign w:val="center"/>
          </w:tcPr>
          <w:p>
            <w:pPr>
              <w:spacing w:before="36" w:line="220" w:lineRule="auto"/>
              <w:ind w:left="202"/>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95%</w:t>
            </w:r>
          </w:p>
        </w:tc>
        <w:tc>
          <w:tcPr>
            <w:tcW w:w="2490" w:type="dxa"/>
            <w:tcBorders>
              <w:left w:val="single" w:color="auto" w:sz="4" w:space="0"/>
            </w:tcBorders>
            <w:vAlign w:val="center"/>
          </w:tcPr>
          <w:p>
            <w:pPr>
              <w:jc w:val="center"/>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6691" w:type="dxa"/>
            <w:gridSpan w:val="7"/>
            <w:tcBorders>
              <w:top w:val="single" w:color="auto" w:sz="4" w:space="0"/>
              <w:left w:val="single" w:color="auto" w:sz="4" w:space="0"/>
              <w:bottom w:val="single" w:color="auto" w:sz="4" w:space="0"/>
              <w:right w:val="single" w:color="auto" w:sz="4" w:space="0"/>
            </w:tcBorders>
            <w:vAlign w:val="top"/>
          </w:tcPr>
          <w:p>
            <w:pPr>
              <w:spacing w:before="36" w:line="220" w:lineRule="auto"/>
              <w:ind w:left="202"/>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总分</w:t>
            </w:r>
          </w:p>
        </w:tc>
        <w:tc>
          <w:tcPr>
            <w:tcW w:w="2490" w:type="dxa"/>
            <w:tcBorders>
              <w:left w:val="single" w:color="auto" w:sz="4" w:space="0"/>
            </w:tcBorders>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98</w:t>
            </w:r>
          </w:p>
        </w:tc>
      </w:tr>
    </w:tbl>
    <w:p>
      <w:pPr>
        <w:jc w:val="both"/>
        <w:rPr>
          <w:rFonts w:hint="eastAsia" w:ascii="仿宋_GB2312" w:hAnsi="仿宋_GB2312" w:eastAsia="仿宋_GB2312" w:cs="仿宋_GB2312"/>
          <w:sz w:val="21"/>
          <w:szCs w:val="21"/>
        </w:rPr>
      </w:pPr>
    </w:p>
    <w:p>
      <w:pPr>
        <w:widowControl/>
        <w:jc w:val="left"/>
        <w:rPr>
          <w:rStyle w:val="30"/>
          <w:rFonts w:ascii="黑体" w:hAnsi="黑体" w:eastAsia="黑体"/>
          <w:b w:val="0"/>
          <w:color w:val="auto"/>
          <w:highlight w:val="none"/>
        </w:rPr>
      </w:pPr>
    </w:p>
    <w:p>
      <w:pPr>
        <w:widowControl/>
        <w:jc w:val="left"/>
        <w:rPr>
          <w:rStyle w:val="30"/>
          <w:rFonts w:ascii="黑体" w:hAnsi="黑体" w:eastAsia="黑体"/>
          <w:b w:val="0"/>
          <w:color w:val="auto"/>
          <w:highlight w:val="none"/>
        </w:rPr>
      </w:pPr>
    </w:p>
    <w:p>
      <w:pPr>
        <w:rPr>
          <w:rStyle w:val="30"/>
          <w:rFonts w:ascii="黑体" w:hAnsi="黑体" w:eastAsia="黑体"/>
          <w:b w:val="0"/>
          <w:color w:val="auto"/>
          <w:highlight w:val="none"/>
        </w:rPr>
      </w:pPr>
      <w:r>
        <w:rPr>
          <w:rStyle w:val="30"/>
          <w:rFonts w:ascii="黑体" w:hAnsi="黑体" w:eastAsia="黑体"/>
          <w:b w:val="0"/>
          <w:color w:val="auto"/>
          <w:highlight w:val="none"/>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黑体" w:eastAsia="方正小标宋简体" w:cs="黑体"/>
          <w:b w:val="0"/>
          <w:bCs w:val="0"/>
          <w:sz w:val="44"/>
          <w:szCs w:val="44"/>
        </w:rPr>
      </w:pPr>
      <w:r>
        <w:rPr>
          <w:rFonts w:hint="eastAsia" w:ascii="方正小标宋简体" w:hAnsi="黑体" w:eastAsia="方正小标宋简体" w:cs="黑体"/>
          <w:b w:val="0"/>
          <w:bCs w:val="0"/>
          <w:sz w:val="44"/>
          <w:szCs w:val="44"/>
        </w:rPr>
        <w:t>关于2022年烤烟产业发展资金支出的绩效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黑体" w:eastAsia="方正小标宋简体" w:cs="黑体"/>
          <w:b w:val="0"/>
          <w:bCs w:val="0"/>
          <w:sz w:val="44"/>
          <w:szCs w:val="44"/>
        </w:rPr>
      </w:pPr>
      <w:r>
        <w:rPr>
          <w:rFonts w:hint="eastAsia" w:ascii="方正小标宋简体" w:hAnsi="黑体" w:eastAsia="方正小标宋简体" w:cs="黑体"/>
          <w:b w:val="0"/>
          <w:bCs w:val="0"/>
          <w:sz w:val="44"/>
          <w:szCs w:val="44"/>
        </w:rPr>
        <w:t>自评报告</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outlineLvl w:val="1"/>
        <w:rPr>
          <w:rFonts w:hint="eastAsia" w:ascii="Times New Roman" w:hAnsi="Times New Roman"/>
          <w:lang w:val="zh-CN"/>
        </w:rPr>
      </w:pPr>
      <w:bookmarkStart w:id="180" w:name="_Toc5693"/>
      <w:bookmarkStart w:id="181" w:name="_Toc20701"/>
      <w:bookmarkStart w:id="182" w:name="_Toc7234"/>
      <w:r>
        <w:rPr>
          <w:rFonts w:hint="eastAsia" w:ascii="Times New Roman" w:hAnsi="Times New Roman" w:eastAsia="黑体" w:cs="黑体"/>
          <w:sz w:val="32"/>
          <w:szCs w:val="32"/>
          <w:lang w:val="zh-CN"/>
        </w:rPr>
        <w:t>一、项目概况</w:t>
      </w:r>
      <w:bookmarkEnd w:id="180"/>
      <w:bookmarkEnd w:id="181"/>
      <w:bookmarkEnd w:id="182"/>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Chars="200" w:firstLine="321" w:firstLineChars="100"/>
        <w:textAlignment w:val="auto"/>
        <w:outlineLvl w:val="2"/>
        <w:rPr>
          <w:rFonts w:hint="eastAsia" w:ascii="Times New Roman" w:hAnsi="Times New Roman" w:eastAsia="楷体_GB2312" w:cs="楷体_GB2312"/>
          <w:b/>
          <w:bCs w:val="0"/>
          <w:sz w:val="32"/>
          <w:szCs w:val="32"/>
          <w:lang w:val="zh-CN" w:eastAsia="zh-CN"/>
        </w:rPr>
      </w:pPr>
      <w:bookmarkStart w:id="183" w:name="_Toc18109"/>
      <w:r>
        <w:rPr>
          <w:rFonts w:hint="eastAsia" w:ascii="Times New Roman" w:hAnsi="Times New Roman" w:eastAsia="楷体_GB2312" w:cs="楷体_GB2312"/>
          <w:b/>
          <w:bCs w:val="0"/>
          <w:sz w:val="32"/>
          <w:szCs w:val="32"/>
          <w:lang w:val="zh-CN" w:eastAsia="zh-CN"/>
        </w:rPr>
        <w:t>（一）项目基本情况</w:t>
      </w:r>
      <w:bookmarkEnd w:id="183"/>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b w:val="0"/>
          <w:i w:val="0"/>
          <w:caps w:val="0"/>
          <w:spacing w:val="0"/>
          <w:w w:val="100"/>
          <w:sz w:val="32"/>
          <w:szCs w:val="32"/>
          <w:lang w:val="en-US" w:eastAsia="zh-CN"/>
        </w:rPr>
      </w:pPr>
      <w:r>
        <w:rPr>
          <w:rFonts w:hint="eastAsia" w:ascii="仿宋" w:hAnsi="仿宋" w:eastAsia="仿宋"/>
          <w:b w:val="0"/>
          <w:i w:val="0"/>
          <w:caps w:val="0"/>
          <w:spacing w:val="0"/>
          <w:w w:val="100"/>
          <w:sz w:val="32"/>
          <w:szCs w:val="32"/>
          <w:lang w:val="en-US" w:eastAsia="zh-CN"/>
        </w:rPr>
        <w:t>磨滩镇2022年烟叶产业发展资金</w:t>
      </w:r>
      <w:r>
        <w:rPr>
          <w:rFonts w:hint="default" w:ascii="仿宋" w:hAnsi="仿宋" w:eastAsia="仿宋"/>
          <w:b w:val="0"/>
          <w:i w:val="0"/>
          <w:caps w:val="0"/>
          <w:spacing w:val="0"/>
          <w:w w:val="100"/>
          <w:sz w:val="32"/>
          <w:szCs w:val="32"/>
          <w:lang w:val="en-US" w:eastAsia="zh-CN"/>
        </w:rPr>
        <w:t>项目</w:t>
      </w:r>
      <w:r>
        <w:rPr>
          <w:rFonts w:hint="eastAsia" w:ascii="仿宋" w:hAnsi="仿宋" w:eastAsia="仿宋"/>
          <w:b w:val="0"/>
          <w:i w:val="0"/>
          <w:caps w:val="0"/>
          <w:spacing w:val="0"/>
          <w:w w:val="100"/>
          <w:sz w:val="32"/>
          <w:szCs w:val="32"/>
          <w:lang w:val="en-US" w:eastAsia="zh-CN"/>
        </w:rPr>
        <w:t>为2022年预算指标，金额61.18万元，主要用于完成61.18万元烟叶税收目标任务，加强烤烟产业发展，开展烤烟种植技术培训不低于1次，种植烤烟面积1750亩，烟地整理600亩，提高烟农收入，返还烟农发展经费24.47万元，该项目符合资金管理办法等相关规定。</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firstLine="643" w:firstLineChars="200"/>
        <w:textAlignment w:val="auto"/>
        <w:outlineLvl w:val="2"/>
        <w:rPr>
          <w:rFonts w:hint="eastAsia" w:ascii="Times New Roman" w:hAnsi="Times New Roman" w:eastAsia="楷体_GB2312" w:cs="楷体_GB2312"/>
          <w:b/>
          <w:bCs w:val="0"/>
          <w:sz w:val="32"/>
          <w:szCs w:val="32"/>
          <w:lang w:val="zh-CN"/>
        </w:rPr>
      </w:pPr>
      <w:bookmarkStart w:id="184" w:name="_Toc8709"/>
      <w:r>
        <w:rPr>
          <w:rFonts w:hint="eastAsia" w:ascii="Times New Roman" w:hAnsi="Times New Roman" w:eastAsia="楷体_GB2312" w:cs="楷体_GB2312"/>
          <w:b/>
          <w:bCs w:val="0"/>
          <w:kern w:val="2"/>
          <w:sz w:val="32"/>
          <w:szCs w:val="32"/>
          <w:lang w:val="zh-CN" w:eastAsia="zh-CN" w:bidi="ar-SA"/>
        </w:rPr>
        <w:t>（</w:t>
      </w:r>
      <w:r>
        <w:rPr>
          <w:rFonts w:hint="eastAsia" w:eastAsia="楷体_GB2312" w:cs="楷体_GB2312"/>
          <w:b/>
          <w:bCs w:val="0"/>
          <w:kern w:val="2"/>
          <w:sz w:val="32"/>
          <w:szCs w:val="32"/>
          <w:lang w:val="zh-CN" w:eastAsia="zh-CN" w:bidi="ar-SA"/>
        </w:rPr>
        <w:t>二</w:t>
      </w:r>
      <w:r>
        <w:rPr>
          <w:rFonts w:hint="eastAsia" w:ascii="Times New Roman" w:hAnsi="Times New Roman" w:eastAsia="楷体_GB2312" w:cs="楷体_GB2312"/>
          <w:b/>
          <w:bCs w:val="0"/>
          <w:kern w:val="2"/>
          <w:sz w:val="32"/>
          <w:szCs w:val="32"/>
          <w:lang w:val="zh-CN" w:eastAsia="zh-CN" w:bidi="ar-SA"/>
        </w:rPr>
        <w:t>）</w:t>
      </w:r>
      <w:r>
        <w:rPr>
          <w:rFonts w:hint="eastAsia" w:ascii="Times New Roman" w:hAnsi="Times New Roman" w:eastAsia="楷体_GB2312" w:cs="楷体_GB2312"/>
          <w:b/>
          <w:bCs w:val="0"/>
          <w:sz w:val="32"/>
          <w:szCs w:val="32"/>
          <w:lang w:val="zh-CN"/>
        </w:rPr>
        <w:t>项目绩效目标</w:t>
      </w:r>
      <w:bookmarkEnd w:id="184"/>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b w:val="0"/>
          <w:i w:val="0"/>
          <w:caps w:val="0"/>
          <w:spacing w:val="0"/>
          <w:w w:val="100"/>
          <w:sz w:val="32"/>
          <w:szCs w:val="32"/>
          <w:lang w:val="zh-CN" w:eastAsia="zh-CN"/>
        </w:rPr>
      </w:pPr>
      <w:r>
        <w:rPr>
          <w:rFonts w:hint="eastAsia" w:ascii="仿宋" w:hAnsi="仿宋" w:eastAsia="仿宋"/>
          <w:b w:val="0"/>
          <w:i w:val="0"/>
          <w:caps w:val="0"/>
          <w:spacing w:val="0"/>
          <w:w w:val="100"/>
          <w:sz w:val="32"/>
          <w:szCs w:val="32"/>
          <w:lang w:val="en-US" w:eastAsia="zh-CN"/>
        </w:rPr>
        <w:t>目前完成烟叶税收目标任务，种植烤烟1240亩，开展烤烟种植技术培训2次，烟地整理521亩，维修烤房11间，烤房治漏29间，烟路整治2.71千米，全市烤烟现场会1次，申报返还烟农发展经费29.45万元。项目已完成总额的100%。</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Chars="200" w:firstLine="321" w:firstLineChars="100"/>
        <w:textAlignment w:val="auto"/>
        <w:outlineLvl w:val="2"/>
        <w:rPr>
          <w:rFonts w:hint="eastAsia" w:ascii="Times New Roman" w:hAnsi="Times New Roman" w:eastAsia="楷体_GB2312" w:cs="楷体_GB2312"/>
          <w:b/>
          <w:bCs w:val="0"/>
          <w:sz w:val="32"/>
          <w:szCs w:val="32"/>
          <w:lang w:val="zh-CN" w:eastAsia="zh-CN"/>
        </w:rPr>
      </w:pPr>
      <w:bookmarkStart w:id="185" w:name="_Toc17207"/>
      <w:bookmarkStart w:id="186" w:name="_Toc21278"/>
      <w:r>
        <w:rPr>
          <w:rFonts w:hint="eastAsia" w:ascii="Times New Roman" w:hAnsi="Times New Roman" w:eastAsia="楷体_GB2312" w:cs="楷体_GB2312"/>
          <w:b/>
          <w:bCs w:val="0"/>
          <w:sz w:val="32"/>
          <w:szCs w:val="32"/>
          <w:lang w:val="zh-CN" w:eastAsia="zh-CN"/>
        </w:rPr>
        <w:t>（</w:t>
      </w:r>
      <w:r>
        <w:rPr>
          <w:rFonts w:hint="eastAsia" w:ascii="Times New Roman" w:hAnsi="Times New Roman" w:eastAsia="楷体_GB2312" w:cs="楷体_GB2312"/>
          <w:b/>
          <w:bCs w:val="0"/>
          <w:sz w:val="32"/>
          <w:szCs w:val="32"/>
          <w:lang w:val="en-US" w:eastAsia="zh-CN"/>
        </w:rPr>
        <w:t>三</w:t>
      </w:r>
      <w:r>
        <w:rPr>
          <w:rFonts w:hint="eastAsia" w:ascii="Times New Roman" w:hAnsi="Times New Roman" w:eastAsia="楷体_GB2312" w:cs="楷体_GB2312"/>
          <w:b/>
          <w:bCs w:val="0"/>
          <w:sz w:val="32"/>
          <w:szCs w:val="32"/>
          <w:lang w:val="zh-CN" w:eastAsia="zh-CN"/>
        </w:rPr>
        <w:t>）自评步骤及方法</w:t>
      </w:r>
      <w:bookmarkEnd w:id="185"/>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b w:val="0"/>
          <w:i w:val="0"/>
          <w:caps w:val="0"/>
          <w:spacing w:val="0"/>
          <w:w w:val="100"/>
          <w:sz w:val="32"/>
          <w:szCs w:val="32"/>
          <w:lang w:val="en-US" w:eastAsia="zh-CN"/>
        </w:rPr>
      </w:pPr>
      <w:r>
        <w:rPr>
          <w:rFonts w:hint="eastAsia" w:ascii="仿宋" w:hAnsi="仿宋" w:eastAsia="仿宋"/>
          <w:b w:val="0"/>
          <w:i w:val="0"/>
          <w:caps w:val="0"/>
          <w:spacing w:val="0"/>
          <w:w w:val="100"/>
          <w:sz w:val="32"/>
          <w:szCs w:val="32"/>
          <w:lang w:val="en-US" w:eastAsia="zh-CN"/>
        </w:rPr>
        <w:t>该项目采取自评与他评相结合方式，成立项目自评小组，结合评价内容，做到有计划，有安排，扎实开展本次自评工作。按照上级下达的项目支出绩效评价指标体系，自评小组针对申报内容、实施情况、资金兑现、财务管理、社会效益等作出自我评价，认真听取村、社区居民建议意见，做好自评工作。</w:t>
      </w:r>
      <w:r>
        <w:rPr>
          <w:rFonts w:hint="eastAsia" w:ascii="仿宋" w:hAnsi="仿宋" w:eastAsia="仿宋"/>
          <w:b w:val="0"/>
          <w:i w:val="0"/>
          <w:caps w:val="0"/>
          <w:spacing w:val="0"/>
          <w:w w:val="100"/>
          <w:sz w:val="32"/>
          <w:szCs w:val="32"/>
          <w:lang w:val="zh-CN" w:eastAsia="zh-CN"/>
        </w:rPr>
        <w:t>并对照年初预算的绩效目标使用《广元市昭化区财政项目（政策）支出绩效自评表》进行打分，出具评价结果并提交绩效</w:t>
      </w:r>
      <w:r>
        <w:rPr>
          <w:rFonts w:hint="eastAsia" w:ascii="仿宋" w:hAnsi="仿宋" w:eastAsia="仿宋"/>
          <w:b w:val="0"/>
          <w:i w:val="0"/>
          <w:caps w:val="0"/>
          <w:spacing w:val="0"/>
          <w:w w:val="100"/>
          <w:sz w:val="32"/>
          <w:szCs w:val="32"/>
          <w:lang w:val="en-US" w:eastAsia="zh-CN"/>
        </w:rPr>
        <w:t>自评</w:t>
      </w:r>
      <w:r>
        <w:rPr>
          <w:rFonts w:hint="eastAsia" w:ascii="仿宋" w:hAnsi="仿宋" w:eastAsia="仿宋"/>
          <w:b w:val="0"/>
          <w:i w:val="0"/>
          <w:caps w:val="0"/>
          <w:spacing w:val="0"/>
          <w:w w:val="100"/>
          <w:sz w:val="32"/>
          <w:szCs w:val="32"/>
          <w:lang w:val="zh-CN" w:eastAsia="zh-CN"/>
        </w:rPr>
        <w:t>报告等程序进行。</w:t>
      </w:r>
    </w:p>
    <w:bookmarkEnd w:id="186"/>
    <w:p>
      <w:pPr>
        <w:keepNext w:val="0"/>
        <w:keepLines w:val="0"/>
        <w:pageBreakBefore w:val="0"/>
        <w:numPr>
          <w:ilvl w:val="0"/>
          <w:numId w:val="0"/>
        </w:numPr>
        <w:wordWrap/>
        <w:overflowPunct/>
        <w:topLinePunct w:val="0"/>
        <w:bidi w:val="0"/>
        <w:adjustRightInd w:val="0"/>
        <w:snapToGrid w:val="0"/>
        <w:spacing w:line="576" w:lineRule="exact"/>
        <w:ind w:firstLine="640" w:firstLineChars="200"/>
        <w:outlineLvl w:val="1"/>
        <w:rPr>
          <w:rFonts w:hint="eastAsia" w:ascii="黑体" w:hAnsi="黑体" w:eastAsia="黑体" w:cs="黑体"/>
          <w:color w:val="auto"/>
          <w:kern w:val="0"/>
          <w:sz w:val="32"/>
          <w:szCs w:val="32"/>
          <w:highlight w:val="none"/>
          <w:lang w:val="en-US" w:eastAsia="zh-CN" w:bidi="ar-SA"/>
        </w:rPr>
      </w:pPr>
      <w:bookmarkStart w:id="187" w:name="_Toc15600"/>
      <w:r>
        <w:rPr>
          <w:rFonts w:hint="eastAsia" w:ascii="黑体" w:hAnsi="黑体" w:eastAsia="黑体" w:cs="黑体"/>
          <w:color w:val="auto"/>
          <w:kern w:val="0"/>
          <w:sz w:val="32"/>
          <w:szCs w:val="32"/>
          <w:highlight w:val="none"/>
          <w:lang w:val="en-US" w:eastAsia="zh-CN" w:bidi="ar-SA"/>
        </w:rPr>
        <w:t>二、项目资金申报及使用情况</w:t>
      </w:r>
      <w:bookmarkEnd w:id="187"/>
    </w:p>
    <w:p>
      <w:pPr>
        <w:pageBreakBefore w:val="0"/>
        <w:kinsoku/>
        <w:wordWrap/>
        <w:overflowPunct/>
        <w:topLinePunct w:val="0"/>
        <w:autoSpaceDE w:val="0"/>
        <w:autoSpaceDN w:val="0"/>
        <w:bidi w:val="0"/>
        <w:adjustRightInd w:val="0"/>
        <w:spacing w:line="576" w:lineRule="exact"/>
        <w:ind w:firstLine="643" w:firstLineChars="200"/>
        <w:jc w:val="left"/>
        <w:textAlignment w:val="auto"/>
        <w:outlineLvl w:val="2"/>
        <w:rPr>
          <w:rFonts w:hint="eastAsia" w:ascii="仿宋" w:hAnsi="仿宋" w:eastAsia="仿宋" w:cs="Times New Roman"/>
          <w:b/>
          <w:color w:val="auto"/>
          <w:sz w:val="32"/>
          <w:szCs w:val="32"/>
          <w:highlight w:val="none"/>
          <w:lang w:val="zh-CN" w:eastAsia="zh-CN"/>
        </w:rPr>
      </w:pPr>
      <w:bookmarkStart w:id="188" w:name="_Toc5256"/>
      <w:bookmarkStart w:id="189" w:name="_Toc23339"/>
      <w:r>
        <w:rPr>
          <w:rFonts w:hint="eastAsia" w:ascii="仿宋" w:hAnsi="仿宋" w:eastAsia="仿宋" w:cs="Times New Roman"/>
          <w:b/>
          <w:color w:val="auto"/>
          <w:sz w:val="32"/>
          <w:szCs w:val="32"/>
          <w:highlight w:val="none"/>
          <w:lang w:val="zh-CN" w:eastAsia="zh-CN"/>
        </w:rPr>
        <w:t>（一）项目资金申报及批复情况</w:t>
      </w:r>
      <w:bookmarkEnd w:id="188"/>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zh-CN" w:eastAsia="zh-CN" w:bidi="ar-SA"/>
        </w:rPr>
      </w:pPr>
      <w:r>
        <w:rPr>
          <w:rFonts w:hint="eastAsia" w:ascii="仿宋" w:hAnsi="仿宋" w:eastAsia="仿宋"/>
          <w:b w:val="0"/>
          <w:i w:val="0"/>
          <w:caps w:val="0"/>
          <w:spacing w:val="0"/>
          <w:w w:val="100"/>
          <w:sz w:val="32"/>
          <w:szCs w:val="32"/>
          <w:lang w:val="en-US" w:eastAsia="zh-CN"/>
        </w:rPr>
        <w:t>2022年烟叶发展资金</w:t>
      </w:r>
      <w:r>
        <w:rPr>
          <w:rFonts w:hint="eastAsia" w:ascii="仿宋" w:hAnsi="仿宋" w:eastAsia="仿宋"/>
          <w:b w:val="0"/>
          <w:i w:val="0"/>
          <w:caps w:val="0"/>
          <w:spacing w:val="0"/>
          <w:w w:val="100"/>
          <w:sz w:val="32"/>
          <w:szCs w:val="32"/>
          <w:lang w:val="zh-CN" w:eastAsia="zh-CN"/>
        </w:rPr>
        <w:t>项目预算</w:t>
      </w:r>
      <w:r>
        <w:rPr>
          <w:rFonts w:hint="eastAsia" w:ascii="仿宋" w:hAnsi="仿宋" w:eastAsia="仿宋"/>
          <w:b w:val="0"/>
          <w:i w:val="0"/>
          <w:caps w:val="0"/>
          <w:spacing w:val="0"/>
          <w:w w:val="100"/>
          <w:sz w:val="32"/>
          <w:szCs w:val="32"/>
          <w:lang w:val="en-US" w:eastAsia="zh-CN"/>
        </w:rPr>
        <w:t>61.18</w:t>
      </w:r>
      <w:r>
        <w:rPr>
          <w:rFonts w:hint="eastAsia" w:ascii="仿宋" w:hAnsi="仿宋" w:eastAsia="仿宋"/>
          <w:b w:val="0"/>
          <w:i w:val="0"/>
          <w:caps w:val="0"/>
          <w:spacing w:val="0"/>
          <w:w w:val="100"/>
          <w:sz w:val="32"/>
          <w:szCs w:val="32"/>
          <w:lang w:val="zh-CN" w:eastAsia="zh-CN"/>
        </w:rPr>
        <w:t>万元，区财政批复预算</w:t>
      </w:r>
      <w:r>
        <w:rPr>
          <w:rFonts w:hint="eastAsia" w:ascii="仿宋" w:hAnsi="仿宋" w:eastAsia="仿宋"/>
          <w:b w:val="0"/>
          <w:i w:val="0"/>
          <w:caps w:val="0"/>
          <w:spacing w:val="0"/>
          <w:w w:val="100"/>
          <w:sz w:val="32"/>
          <w:szCs w:val="32"/>
          <w:lang w:val="en-US" w:eastAsia="zh-CN"/>
        </w:rPr>
        <w:t>61.18</w:t>
      </w:r>
      <w:r>
        <w:rPr>
          <w:rFonts w:hint="eastAsia" w:ascii="仿宋" w:hAnsi="仿宋" w:eastAsia="仿宋"/>
          <w:b w:val="0"/>
          <w:i w:val="0"/>
          <w:caps w:val="0"/>
          <w:spacing w:val="0"/>
          <w:w w:val="100"/>
          <w:sz w:val="32"/>
          <w:szCs w:val="32"/>
          <w:lang w:val="zh-CN" w:eastAsia="zh-CN"/>
        </w:rPr>
        <w:t>万元，下达资金</w:t>
      </w:r>
      <w:r>
        <w:rPr>
          <w:rFonts w:hint="eastAsia" w:ascii="仿宋" w:hAnsi="仿宋" w:eastAsia="仿宋"/>
          <w:b w:val="0"/>
          <w:i w:val="0"/>
          <w:caps w:val="0"/>
          <w:spacing w:val="0"/>
          <w:w w:val="100"/>
          <w:sz w:val="32"/>
          <w:szCs w:val="32"/>
          <w:lang w:val="en-US" w:eastAsia="zh-CN"/>
        </w:rPr>
        <w:t>61.18万元，资金到位率100%。支付依据符合相关规定，项目资金支付与预算申请相符合。</w:t>
      </w:r>
    </w:p>
    <w:p>
      <w:pPr>
        <w:pageBreakBefore w:val="0"/>
        <w:kinsoku/>
        <w:wordWrap/>
        <w:overflowPunct/>
        <w:topLinePunct w:val="0"/>
        <w:autoSpaceDE w:val="0"/>
        <w:autoSpaceDN w:val="0"/>
        <w:bidi w:val="0"/>
        <w:adjustRightInd w:val="0"/>
        <w:spacing w:line="576" w:lineRule="exact"/>
        <w:ind w:firstLine="643" w:firstLineChars="200"/>
        <w:jc w:val="left"/>
        <w:textAlignment w:val="auto"/>
        <w:outlineLvl w:val="2"/>
        <w:rPr>
          <w:rFonts w:hint="default" w:ascii="仿宋" w:hAnsi="仿宋" w:eastAsia="仿宋" w:cs="Times New Roman"/>
          <w:b/>
          <w:color w:val="auto"/>
          <w:sz w:val="32"/>
          <w:szCs w:val="32"/>
          <w:highlight w:val="none"/>
          <w:lang w:val="zh-CN" w:eastAsia="zh-CN"/>
        </w:rPr>
      </w:pPr>
      <w:bookmarkStart w:id="190" w:name="_Toc26986"/>
      <w:r>
        <w:rPr>
          <w:rFonts w:hint="default"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二</w:t>
      </w:r>
      <w:r>
        <w:rPr>
          <w:rFonts w:hint="default"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项目计划、到位及使用</w:t>
      </w:r>
      <w:r>
        <w:rPr>
          <w:rFonts w:hint="default" w:ascii="仿宋" w:hAnsi="仿宋" w:eastAsia="仿宋" w:cs="Times New Roman"/>
          <w:b/>
          <w:color w:val="auto"/>
          <w:sz w:val="32"/>
          <w:szCs w:val="32"/>
          <w:highlight w:val="none"/>
          <w:lang w:val="zh-CN" w:eastAsia="zh-CN"/>
        </w:rPr>
        <w:t>情况</w:t>
      </w:r>
      <w:bookmarkEnd w:id="190"/>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 w:hAnsi="仿宋" w:eastAsia="仿宋"/>
          <w:b w:val="0"/>
          <w:i w:val="0"/>
          <w:caps w:val="0"/>
          <w:spacing w:val="0"/>
          <w:w w:val="100"/>
          <w:sz w:val="32"/>
          <w:szCs w:val="32"/>
          <w:lang w:val="zh-CN" w:eastAsia="zh-CN"/>
        </w:rPr>
      </w:pPr>
      <w:r>
        <w:rPr>
          <w:rFonts w:hint="eastAsia" w:ascii="仿宋" w:hAnsi="仿宋" w:eastAsia="仿宋"/>
          <w:b w:val="0"/>
          <w:i w:val="0"/>
          <w:caps w:val="0"/>
          <w:spacing w:val="0"/>
          <w:w w:val="100"/>
          <w:sz w:val="32"/>
          <w:szCs w:val="32"/>
          <w:lang w:val="en-US" w:eastAsia="zh-CN"/>
        </w:rPr>
        <w:t>1.</w:t>
      </w:r>
      <w:r>
        <w:rPr>
          <w:rFonts w:hint="eastAsia" w:ascii="仿宋" w:hAnsi="仿宋" w:eastAsia="仿宋"/>
          <w:b w:val="0"/>
          <w:i w:val="0"/>
          <w:caps w:val="0"/>
          <w:spacing w:val="0"/>
          <w:w w:val="100"/>
          <w:sz w:val="32"/>
          <w:szCs w:val="32"/>
          <w:lang w:val="zh-CN" w:eastAsia="zh-CN"/>
        </w:rPr>
        <w:t>资金计划。</w:t>
      </w:r>
      <w:r>
        <w:rPr>
          <w:rFonts w:hint="eastAsia" w:ascii="仿宋" w:hAnsi="仿宋" w:eastAsia="仿宋"/>
          <w:b w:val="0"/>
          <w:i w:val="0"/>
          <w:caps w:val="0"/>
          <w:spacing w:val="0"/>
          <w:w w:val="100"/>
          <w:sz w:val="32"/>
          <w:szCs w:val="32"/>
          <w:lang w:val="en-US" w:eastAsia="zh-CN"/>
        </w:rPr>
        <w:t>该</w:t>
      </w:r>
      <w:r>
        <w:rPr>
          <w:rFonts w:hint="eastAsia" w:ascii="仿宋" w:hAnsi="仿宋" w:eastAsia="仿宋"/>
          <w:b w:val="0"/>
          <w:i w:val="0"/>
          <w:caps w:val="0"/>
          <w:spacing w:val="0"/>
          <w:w w:val="100"/>
          <w:sz w:val="32"/>
          <w:szCs w:val="32"/>
          <w:lang w:val="zh-CN" w:eastAsia="zh-CN"/>
        </w:rPr>
        <w:t>项目资金来源为财政拨款，总投入为</w:t>
      </w:r>
      <w:r>
        <w:rPr>
          <w:rFonts w:hint="eastAsia" w:ascii="仿宋" w:hAnsi="仿宋" w:eastAsia="仿宋"/>
          <w:b w:val="0"/>
          <w:i w:val="0"/>
          <w:caps w:val="0"/>
          <w:spacing w:val="0"/>
          <w:w w:val="100"/>
          <w:sz w:val="32"/>
          <w:szCs w:val="32"/>
          <w:lang w:val="en-US" w:eastAsia="zh-CN"/>
        </w:rPr>
        <w:t>61.18万元，资金于2022年初部门预算批复到位。</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 w:hAnsi="仿宋" w:eastAsia="仿宋"/>
          <w:b w:val="0"/>
          <w:i w:val="0"/>
          <w:caps w:val="0"/>
          <w:spacing w:val="0"/>
          <w:w w:val="100"/>
          <w:sz w:val="32"/>
          <w:szCs w:val="32"/>
          <w:lang w:val="en-US" w:eastAsia="zh-CN"/>
        </w:rPr>
      </w:pPr>
      <w:r>
        <w:rPr>
          <w:rFonts w:hint="eastAsia" w:ascii="仿宋" w:hAnsi="仿宋" w:eastAsia="仿宋"/>
          <w:b w:val="0"/>
          <w:i w:val="0"/>
          <w:caps w:val="0"/>
          <w:spacing w:val="0"/>
          <w:w w:val="100"/>
          <w:sz w:val="32"/>
          <w:szCs w:val="32"/>
          <w:lang w:val="en-US" w:eastAsia="zh-CN"/>
        </w:rPr>
        <w:t>2.</w:t>
      </w:r>
      <w:r>
        <w:rPr>
          <w:rFonts w:hint="eastAsia" w:ascii="仿宋" w:hAnsi="仿宋" w:eastAsia="仿宋"/>
          <w:b w:val="0"/>
          <w:i w:val="0"/>
          <w:caps w:val="0"/>
          <w:spacing w:val="0"/>
          <w:w w:val="100"/>
          <w:sz w:val="32"/>
          <w:szCs w:val="32"/>
          <w:lang w:val="zh-CN" w:eastAsia="zh-CN"/>
        </w:rPr>
        <w:t>资金到位。截止评价时点，该项目</w:t>
      </w:r>
      <w:r>
        <w:rPr>
          <w:rFonts w:hint="eastAsia" w:ascii="仿宋" w:hAnsi="仿宋" w:eastAsia="仿宋"/>
          <w:b w:val="0"/>
          <w:i w:val="0"/>
          <w:caps w:val="0"/>
          <w:spacing w:val="0"/>
          <w:w w:val="100"/>
          <w:sz w:val="32"/>
          <w:szCs w:val="32"/>
          <w:lang w:val="en-US" w:eastAsia="zh-CN"/>
        </w:rPr>
        <w:t>资金全部到位，资金到位率100%。</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 w:hAnsi="仿宋" w:eastAsia="仿宋"/>
          <w:b w:val="0"/>
          <w:i w:val="0"/>
          <w:caps w:val="0"/>
          <w:spacing w:val="0"/>
          <w:w w:val="100"/>
          <w:sz w:val="32"/>
          <w:szCs w:val="32"/>
          <w:lang w:val="zh-CN" w:eastAsia="zh-CN"/>
        </w:rPr>
      </w:pPr>
      <w:r>
        <w:rPr>
          <w:rFonts w:hint="eastAsia" w:ascii="仿宋" w:hAnsi="仿宋" w:eastAsia="仿宋"/>
          <w:b w:val="0"/>
          <w:i w:val="0"/>
          <w:caps w:val="0"/>
          <w:spacing w:val="0"/>
          <w:w w:val="100"/>
          <w:sz w:val="32"/>
          <w:szCs w:val="32"/>
          <w:lang w:val="en-US" w:eastAsia="zh-CN"/>
        </w:rPr>
        <w:t>3.</w:t>
      </w:r>
      <w:r>
        <w:rPr>
          <w:rFonts w:hint="eastAsia" w:ascii="仿宋" w:hAnsi="仿宋" w:eastAsia="仿宋"/>
          <w:b w:val="0"/>
          <w:i w:val="0"/>
          <w:caps w:val="0"/>
          <w:spacing w:val="0"/>
          <w:w w:val="100"/>
          <w:sz w:val="32"/>
          <w:szCs w:val="32"/>
          <w:lang w:val="zh-CN" w:eastAsia="zh-CN"/>
        </w:rPr>
        <w:t>资金使用。截止评价时点，</w:t>
      </w:r>
      <w:r>
        <w:rPr>
          <w:rFonts w:hint="eastAsia" w:ascii="仿宋" w:hAnsi="仿宋" w:eastAsia="仿宋"/>
          <w:b w:val="0"/>
          <w:i w:val="0"/>
          <w:caps w:val="0"/>
          <w:spacing w:val="0"/>
          <w:w w:val="100"/>
          <w:sz w:val="32"/>
          <w:szCs w:val="32"/>
          <w:lang w:val="en-US" w:eastAsia="zh-CN"/>
        </w:rPr>
        <w:t>已申请支付10.55万元（为解决2021年度绩效分成资金），剩余50.63万元由于项目特殊性，2023年作为存量资金已全部拨付到位，资金使用率17.24%。</w:t>
      </w:r>
      <w:r>
        <w:rPr>
          <w:rFonts w:hint="eastAsia" w:ascii="仿宋" w:hAnsi="仿宋" w:eastAsia="仿宋"/>
          <w:b w:val="0"/>
          <w:i w:val="0"/>
          <w:caps w:val="0"/>
          <w:spacing w:val="0"/>
          <w:w w:val="100"/>
          <w:sz w:val="32"/>
          <w:szCs w:val="32"/>
          <w:lang w:val="zh-CN" w:eastAsia="zh-CN"/>
        </w:rPr>
        <w:t>资金使用</w:t>
      </w:r>
      <w:r>
        <w:rPr>
          <w:rFonts w:hint="eastAsia" w:ascii="仿宋" w:hAnsi="仿宋" w:eastAsia="仿宋"/>
          <w:b w:val="0"/>
          <w:i w:val="0"/>
          <w:caps w:val="0"/>
          <w:spacing w:val="0"/>
          <w:w w:val="100"/>
          <w:sz w:val="32"/>
          <w:szCs w:val="32"/>
          <w:lang w:val="en-US" w:eastAsia="zh-CN"/>
        </w:rPr>
        <w:t>具有</w:t>
      </w:r>
      <w:r>
        <w:rPr>
          <w:rFonts w:hint="eastAsia" w:ascii="仿宋" w:hAnsi="仿宋" w:eastAsia="仿宋"/>
          <w:b w:val="0"/>
          <w:i w:val="0"/>
          <w:caps w:val="0"/>
          <w:spacing w:val="0"/>
          <w:w w:val="100"/>
          <w:sz w:val="32"/>
          <w:szCs w:val="32"/>
          <w:lang w:val="zh-CN" w:eastAsia="zh-CN"/>
        </w:rPr>
        <w:t>安全性、规范性、有效性，</w:t>
      </w:r>
      <w:r>
        <w:rPr>
          <w:rFonts w:hint="eastAsia" w:ascii="仿宋" w:hAnsi="仿宋" w:eastAsia="仿宋"/>
          <w:b w:val="0"/>
          <w:i w:val="0"/>
          <w:caps w:val="0"/>
          <w:spacing w:val="0"/>
          <w:w w:val="100"/>
          <w:sz w:val="32"/>
          <w:szCs w:val="32"/>
          <w:lang w:val="en-US" w:eastAsia="zh-CN"/>
        </w:rPr>
        <w:t>严格按照</w:t>
      </w:r>
      <w:r>
        <w:rPr>
          <w:rFonts w:hint="eastAsia" w:ascii="仿宋" w:hAnsi="仿宋" w:eastAsia="仿宋"/>
          <w:b w:val="0"/>
          <w:i w:val="0"/>
          <w:caps w:val="0"/>
          <w:spacing w:val="0"/>
          <w:w w:val="100"/>
          <w:sz w:val="32"/>
          <w:szCs w:val="32"/>
          <w:lang w:val="zh-CN" w:eastAsia="zh-CN"/>
        </w:rPr>
        <w:t>资金支付范围、支付标准</w:t>
      </w:r>
      <w:r>
        <w:rPr>
          <w:rFonts w:hint="eastAsia" w:ascii="仿宋" w:hAnsi="仿宋" w:eastAsia="仿宋"/>
          <w:b w:val="0"/>
          <w:i w:val="0"/>
          <w:caps w:val="0"/>
          <w:spacing w:val="0"/>
          <w:w w:val="100"/>
          <w:sz w:val="32"/>
          <w:szCs w:val="32"/>
          <w:lang w:val="en-US" w:eastAsia="zh-CN"/>
        </w:rPr>
        <w:t>进行支付，</w:t>
      </w:r>
      <w:r>
        <w:rPr>
          <w:rFonts w:hint="eastAsia" w:ascii="仿宋" w:hAnsi="仿宋" w:eastAsia="仿宋"/>
          <w:b w:val="0"/>
          <w:i w:val="0"/>
          <w:caps w:val="0"/>
          <w:spacing w:val="0"/>
          <w:w w:val="100"/>
          <w:sz w:val="32"/>
          <w:szCs w:val="32"/>
          <w:lang w:val="zh-CN" w:eastAsia="zh-CN"/>
        </w:rPr>
        <w:t>支付进度、支付依据合规合法、与预算相符。</w:t>
      </w:r>
    </w:p>
    <w:p>
      <w:pPr>
        <w:pageBreakBefore w:val="0"/>
        <w:kinsoku/>
        <w:wordWrap/>
        <w:overflowPunct/>
        <w:topLinePunct w:val="0"/>
        <w:autoSpaceDE w:val="0"/>
        <w:autoSpaceDN w:val="0"/>
        <w:bidi w:val="0"/>
        <w:adjustRightInd w:val="0"/>
        <w:spacing w:line="576" w:lineRule="exact"/>
        <w:ind w:firstLine="643" w:firstLineChars="200"/>
        <w:jc w:val="left"/>
        <w:textAlignment w:val="auto"/>
        <w:outlineLvl w:val="2"/>
        <w:rPr>
          <w:rFonts w:hint="eastAsia" w:ascii="仿宋" w:hAnsi="仿宋" w:eastAsia="仿宋" w:cs="Times New Roman"/>
          <w:b/>
          <w:color w:val="auto"/>
          <w:sz w:val="32"/>
          <w:szCs w:val="32"/>
          <w:highlight w:val="none"/>
          <w:lang w:val="en-US" w:eastAsia="zh-CN"/>
        </w:rPr>
      </w:pPr>
      <w:bookmarkStart w:id="191" w:name="_Toc6645"/>
      <w:r>
        <w:rPr>
          <w:rFonts w:hint="default"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三</w:t>
      </w:r>
      <w:r>
        <w:rPr>
          <w:rFonts w:hint="default" w:ascii="仿宋" w:hAnsi="仿宋" w:eastAsia="仿宋" w:cs="Times New Roman"/>
          <w:b/>
          <w:color w:val="auto"/>
          <w:sz w:val="32"/>
          <w:szCs w:val="32"/>
          <w:highlight w:val="none"/>
          <w:lang w:val="zh-CN" w:eastAsia="zh-CN"/>
        </w:rPr>
        <w:t>）项目财务管理情况</w:t>
      </w:r>
      <w:bookmarkEnd w:id="191"/>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 w:hAnsi="仿宋" w:eastAsia="仿宋"/>
          <w:b w:val="0"/>
          <w:i w:val="0"/>
          <w:caps w:val="0"/>
          <w:spacing w:val="0"/>
          <w:w w:val="100"/>
          <w:sz w:val="32"/>
          <w:szCs w:val="32"/>
          <w:lang w:val="en-US" w:eastAsia="zh-CN"/>
        </w:rPr>
        <w:t>2022年磨滩镇烟叶发展资金按摩</w:t>
      </w:r>
      <w:r>
        <w:rPr>
          <w:rFonts w:hint="eastAsia" w:ascii="仿宋" w:hAnsi="仿宋" w:eastAsia="仿宋"/>
          <w:b w:val="0"/>
          <w:i w:val="0"/>
          <w:caps w:val="0"/>
          <w:spacing w:val="0"/>
          <w:w w:val="100"/>
          <w:sz w:val="32"/>
          <w:szCs w:val="32"/>
          <w:lang w:val="zh-CN" w:eastAsia="zh-CN"/>
        </w:rPr>
        <w:t>滩</w:t>
      </w:r>
      <w:r>
        <w:rPr>
          <w:rFonts w:hint="default" w:ascii="仿宋" w:hAnsi="仿宋" w:eastAsia="仿宋"/>
          <w:b w:val="0"/>
          <w:i w:val="0"/>
          <w:caps w:val="0"/>
          <w:spacing w:val="0"/>
          <w:w w:val="100"/>
          <w:sz w:val="32"/>
          <w:szCs w:val="32"/>
          <w:lang w:val="zh-CN" w:eastAsia="zh-CN"/>
        </w:rPr>
        <w:t>镇财务管理制度规定执行，</w:t>
      </w:r>
      <w:r>
        <w:rPr>
          <w:rFonts w:hint="eastAsia" w:ascii="仿宋" w:hAnsi="仿宋" w:eastAsia="仿宋"/>
          <w:b w:val="0"/>
          <w:i w:val="0"/>
          <w:caps w:val="0"/>
          <w:spacing w:val="0"/>
          <w:w w:val="100"/>
          <w:sz w:val="32"/>
          <w:szCs w:val="32"/>
          <w:lang w:val="en-US" w:eastAsia="zh-CN"/>
        </w:rPr>
        <w:t>采取财政直接支付方式，由镇组织申报材料，形成项目专项资金申请报告报送财务部门，由财政所根据项目进度，严格按照项目资金管理办法对资金进行计划申请、划拨至所提供的第三方指定账户，及时、规范对收支进行账务处理和会计核算。对项目资金坚持专款专用、量入为出的原则，并建立好项目专项资金使用台账，加强项目专项资金的财务管理及使用监督管理。</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outlineLvl w:val="1"/>
        <w:rPr>
          <w:rFonts w:hint="default" w:ascii="黑体" w:hAnsi="黑体" w:eastAsia="黑体" w:cs="黑体"/>
          <w:color w:val="auto"/>
          <w:kern w:val="0"/>
          <w:sz w:val="32"/>
          <w:szCs w:val="32"/>
          <w:highlight w:val="none"/>
          <w:lang w:val="en-US" w:eastAsia="zh-CN" w:bidi="ar-SA"/>
        </w:rPr>
      </w:pPr>
      <w:bookmarkStart w:id="192" w:name="_Toc29748"/>
      <w:r>
        <w:rPr>
          <w:rFonts w:hint="eastAsia" w:ascii="黑体" w:hAnsi="黑体" w:eastAsia="黑体" w:cs="黑体"/>
          <w:color w:val="auto"/>
          <w:kern w:val="0"/>
          <w:sz w:val="32"/>
          <w:szCs w:val="32"/>
          <w:highlight w:val="none"/>
          <w:lang w:val="en-US" w:eastAsia="zh-CN" w:bidi="ar-SA"/>
        </w:rPr>
        <w:t>三</w:t>
      </w:r>
      <w:r>
        <w:rPr>
          <w:rFonts w:hint="default" w:ascii="黑体" w:hAnsi="黑体" w:eastAsia="黑体" w:cs="黑体"/>
          <w:color w:val="auto"/>
          <w:kern w:val="0"/>
          <w:sz w:val="32"/>
          <w:szCs w:val="32"/>
          <w:highlight w:val="none"/>
          <w:lang w:val="en-US" w:eastAsia="zh-CN" w:bidi="ar-SA"/>
        </w:rPr>
        <w:t>、项目实施及管理情况</w:t>
      </w:r>
      <w:bookmarkEnd w:id="192"/>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 w:hAnsi="仿宋" w:eastAsia="仿宋" w:cs="Times New Roman"/>
          <w:b/>
          <w:color w:val="auto"/>
          <w:sz w:val="32"/>
          <w:szCs w:val="32"/>
          <w:highlight w:val="none"/>
          <w:lang w:val="zh-CN" w:eastAsia="zh-CN"/>
        </w:rPr>
      </w:pPr>
      <w:r>
        <w:rPr>
          <w:rFonts w:hint="eastAsia" w:ascii="楷体" w:hAnsi="楷体" w:eastAsia="楷体" w:cs="楷体"/>
          <w:b/>
          <w:color w:val="auto"/>
          <w:sz w:val="32"/>
          <w:szCs w:val="32"/>
          <w:highlight w:val="none"/>
          <w:lang w:val="zh-CN" w:eastAsia="zh-CN"/>
        </w:rPr>
        <w:t>（一）项目组织架构及实施流程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zh-CN" w:eastAsia="zh-CN" w:bidi="ar-SA"/>
        </w:rPr>
      </w:pPr>
      <w:r>
        <w:rPr>
          <w:rFonts w:hint="eastAsia" w:ascii="仿宋_GB2312" w:hAnsi="Calibri" w:eastAsia="仿宋_GB2312" w:cs="仿宋"/>
          <w:color w:val="auto"/>
          <w:kern w:val="0"/>
          <w:sz w:val="32"/>
          <w:szCs w:val="32"/>
          <w:highlight w:val="none"/>
          <w:lang w:val="zh-CN" w:eastAsia="zh-CN" w:bidi="ar-SA"/>
        </w:rPr>
        <w:t>镇党委政府高度重视</w:t>
      </w:r>
      <w:r>
        <w:rPr>
          <w:rFonts w:hint="eastAsia" w:ascii="仿宋_GB2312" w:hAnsi="Calibri" w:eastAsia="仿宋_GB2312" w:cs="仿宋"/>
          <w:color w:val="auto"/>
          <w:kern w:val="0"/>
          <w:sz w:val="32"/>
          <w:szCs w:val="32"/>
          <w:highlight w:val="none"/>
          <w:lang w:val="en-US" w:eastAsia="zh-CN" w:bidi="ar-SA"/>
        </w:rPr>
        <w:t>该项目</w:t>
      </w:r>
      <w:r>
        <w:rPr>
          <w:rFonts w:hint="eastAsia" w:ascii="仿宋_GB2312" w:hAnsi="Calibri" w:eastAsia="仿宋_GB2312" w:cs="仿宋"/>
          <w:color w:val="auto"/>
          <w:kern w:val="0"/>
          <w:sz w:val="32"/>
          <w:szCs w:val="32"/>
          <w:highlight w:val="none"/>
          <w:lang w:val="zh-CN" w:eastAsia="zh-CN" w:bidi="ar-SA"/>
        </w:rPr>
        <w:t>，并成立工作领导小组。以镇党委副书记、镇长为组长，各联村（社区）领导为副组长，财政所负责人、各村（社区书记）为成员。抓牢抓实此项目的实施。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楷体" w:hAnsi="楷体" w:eastAsia="楷体" w:cs="楷体"/>
          <w:b/>
          <w:color w:val="auto"/>
          <w:sz w:val="32"/>
          <w:szCs w:val="32"/>
          <w:highlight w:val="none"/>
          <w:lang w:val="zh-CN" w:eastAsia="zh-CN"/>
        </w:rPr>
      </w:pPr>
      <w:r>
        <w:rPr>
          <w:rFonts w:hint="eastAsia" w:ascii="楷体" w:hAnsi="楷体" w:eastAsia="楷体" w:cs="楷体"/>
          <w:b/>
          <w:color w:val="auto"/>
          <w:sz w:val="32"/>
          <w:szCs w:val="32"/>
          <w:highlight w:val="none"/>
          <w:lang w:val="zh-CN" w:eastAsia="zh-CN"/>
        </w:rPr>
        <w:t>（</w:t>
      </w:r>
      <w:r>
        <w:rPr>
          <w:rFonts w:hint="eastAsia" w:ascii="楷体" w:hAnsi="楷体" w:eastAsia="楷体" w:cs="楷体"/>
          <w:b/>
          <w:color w:val="auto"/>
          <w:sz w:val="32"/>
          <w:szCs w:val="32"/>
          <w:highlight w:val="none"/>
          <w:lang w:val="en-US" w:eastAsia="zh-CN"/>
        </w:rPr>
        <w:t>二</w:t>
      </w:r>
      <w:r>
        <w:rPr>
          <w:rFonts w:hint="eastAsia" w:ascii="楷体" w:hAnsi="楷体" w:eastAsia="楷体" w:cs="楷体"/>
          <w:b/>
          <w:color w:val="auto"/>
          <w:sz w:val="32"/>
          <w:szCs w:val="32"/>
          <w:highlight w:val="none"/>
          <w:lang w:val="zh-CN" w:eastAsia="zh-CN"/>
        </w:rPr>
        <w:t>）项目管理情况</w:t>
      </w:r>
    </w:p>
    <w:p>
      <w:pPr>
        <w:keepNext w:val="0"/>
        <w:keepLines w:val="0"/>
        <w:pageBreakBefore w:val="0"/>
        <w:numPr>
          <w:ilvl w:val="0"/>
          <w:numId w:val="0"/>
        </w:numPr>
        <w:kinsoku/>
        <w:wordWrap/>
        <w:overflowPunct/>
        <w:topLinePunct w:val="0"/>
        <w:autoSpaceDE/>
        <w:bidi w:val="0"/>
        <w:adjustRightInd/>
        <w:spacing w:line="576" w:lineRule="exact"/>
        <w:ind w:leftChars="200"/>
        <w:jc w:val="both"/>
        <w:textAlignment w:val="auto"/>
        <w:rPr>
          <w:rFonts w:hint="eastAsia" w:ascii="仿宋_GB2312" w:hAnsi="Calibri" w:eastAsia="仿宋_GB2312" w:cs="仿宋"/>
          <w:color w:val="auto"/>
          <w:kern w:val="0"/>
          <w:sz w:val="32"/>
          <w:szCs w:val="32"/>
          <w:highlight w:val="none"/>
          <w:lang w:val="zh-CN" w:eastAsia="zh-CN" w:bidi="ar-SA"/>
        </w:rPr>
      </w:pPr>
      <w:r>
        <w:rPr>
          <w:rFonts w:hint="eastAsia" w:ascii="仿宋_GB2312" w:hAnsi="Calibri" w:eastAsia="仿宋_GB2312" w:cs="仿宋"/>
          <w:color w:val="auto"/>
          <w:kern w:val="0"/>
          <w:sz w:val="32"/>
          <w:szCs w:val="32"/>
          <w:highlight w:val="none"/>
          <w:lang w:val="zh-CN" w:eastAsia="zh-CN" w:bidi="ar-SA"/>
        </w:rPr>
        <w:t>项目资金由镇财政所具体管理，按投资计划，制定管理制度，对项目资金按项目单独核算实行“专款专用、专人管理”，不</w:t>
      </w:r>
      <w:r>
        <w:rPr>
          <w:rFonts w:hint="eastAsia" w:ascii="仿宋_GB2312" w:hAnsi="Calibri" w:eastAsia="仿宋_GB2312" w:cs="仿宋"/>
          <w:color w:val="auto"/>
          <w:kern w:val="0"/>
          <w:sz w:val="32"/>
          <w:szCs w:val="32"/>
          <w:highlight w:val="none"/>
          <w:lang w:val="en-US" w:eastAsia="zh-CN" w:bidi="ar-SA"/>
        </w:rPr>
        <w:t>存在</w:t>
      </w:r>
      <w:r>
        <w:rPr>
          <w:rFonts w:hint="eastAsia" w:ascii="仿宋_GB2312" w:hAnsi="Calibri" w:eastAsia="仿宋_GB2312" w:cs="仿宋"/>
          <w:color w:val="auto"/>
          <w:kern w:val="0"/>
          <w:sz w:val="32"/>
          <w:szCs w:val="32"/>
          <w:highlight w:val="none"/>
          <w:lang w:val="zh-CN" w:eastAsia="zh-CN" w:bidi="ar-SA"/>
        </w:rPr>
        <w:t>挤占挪用项目资金。</w:t>
      </w:r>
    </w:p>
    <w:p>
      <w:pPr>
        <w:keepNext w:val="0"/>
        <w:keepLines w:val="0"/>
        <w:pageBreakBefore w:val="0"/>
        <w:widowControl w:val="0"/>
        <w:numPr>
          <w:ilvl w:val="0"/>
          <w:numId w:val="6"/>
        </w:numPr>
        <w:kinsoku/>
        <w:wordWrap/>
        <w:overflowPunct/>
        <w:topLinePunct w:val="0"/>
        <w:autoSpaceDE/>
        <w:autoSpaceDN/>
        <w:bidi w:val="0"/>
        <w:adjustRightInd w:val="0"/>
        <w:snapToGrid w:val="0"/>
        <w:spacing w:line="576" w:lineRule="exact"/>
        <w:ind w:left="0" w:leftChars="0" w:firstLine="643" w:firstLineChars="200"/>
        <w:textAlignment w:val="auto"/>
        <w:rPr>
          <w:rFonts w:hint="eastAsia" w:ascii="楷体" w:hAnsi="楷体" w:eastAsia="楷体" w:cs="楷体"/>
          <w:b/>
          <w:color w:val="auto"/>
          <w:sz w:val="32"/>
          <w:szCs w:val="32"/>
          <w:highlight w:val="none"/>
          <w:lang w:val="en-US" w:eastAsia="zh-CN"/>
        </w:rPr>
      </w:pPr>
      <w:r>
        <w:rPr>
          <w:rFonts w:hint="eastAsia" w:ascii="楷体" w:hAnsi="楷体" w:eastAsia="楷体" w:cs="楷体"/>
          <w:b/>
          <w:color w:val="auto"/>
          <w:sz w:val="32"/>
          <w:szCs w:val="32"/>
          <w:highlight w:val="none"/>
          <w:lang w:val="en-US" w:eastAsia="zh-CN"/>
        </w:rPr>
        <w:t>项目监管情况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Chars="200"/>
        <w:textAlignment w:val="auto"/>
        <w:rPr>
          <w:rFonts w:hint="default" w:ascii="仿宋_GB2312" w:hAnsi="Calibri" w:eastAsia="仿宋_GB2312" w:cs="仿宋"/>
          <w:color w:val="auto"/>
          <w:kern w:val="0"/>
          <w:sz w:val="32"/>
          <w:szCs w:val="32"/>
          <w:highlight w:val="none"/>
          <w:lang w:val="zh-CN" w:eastAsia="zh-CN" w:bidi="ar-SA"/>
        </w:rPr>
      </w:pPr>
      <w:r>
        <w:rPr>
          <w:rFonts w:hint="eastAsia" w:ascii="仿宋_GB2312" w:hAnsi="Calibri" w:eastAsia="仿宋_GB2312" w:cs="仿宋"/>
          <w:color w:val="auto"/>
          <w:kern w:val="0"/>
          <w:sz w:val="32"/>
          <w:szCs w:val="32"/>
          <w:highlight w:val="none"/>
          <w:lang w:val="zh-CN" w:eastAsia="zh-CN" w:bidi="ar-SA"/>
        </w:rPr>
        <w:t>项目的正常实施监督检查是保障。我</w:t>
      </w:r>
      <w:r>
        <w:rPr>
          <w:rFonts w:hint="eastAsia" w:ascii="仿宋_GB2312" w:hAnsi="Calibri" w:eastAsia="仿宋_GB2312" w:cs="仿宋"/>
          <w:color w:val="auto"/>
          <w:kern w:val="0"/>
          <w:sz w:val="32"/>
          <w:szCs w:val="32"/>
          <w:highlight w:val="none"/>
          <w:lang w:val="en-US" w:eastAsia="zh-CN" w:bidi="ar-SA"/>
        </w:rPr>
        <w:t>镇</w:t>
      </w:r>
      <w:r>
        <w:rPr>
          <w:rFonts w:hint="eastAsia" w:ascii="仿宋_GB2312" w:hAnsi="Calibri" w:eastAsia="仿宋_GB2312" w:cs="仿宋"/>
          <w:color w:val="auto"/>
          <w:kern w:val="0"/>
          <w:sz w:val="32"/>
          <w:szCs w:val="32"/>
          <w:highlight w:val="none"/>
          <w:lang w:val="zh-CN" w:eastAsia="zh-CN" w:bidi="ar-SA"/>
        </w:rPr>
        <w:t>定期或不定期对项目进行现场检查和督查，确保项目建设质量。</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outlineLvl w:val="1"/>
        <w:rPr>
          <w:rFonts w:hint="eastAsia" w:ascii="黑体" w:hAnsi="黑体" w:eastAsia="黑体" w:cs="黑体"/>
          <w:color w:val="auto"/>
          <w:kern w:val="0"/>
          <w:sz w:val="32"/>
          <w:szCs w:val="32"/>
          <w:highlight w:val="none"/>
          <w:lang w:val="zh-CN" w:eastAsia="zh-CN" w:bidi="ar-SA"/>
        </w:rPr>
      </w:pPr>
      <w:bookmarkStart w:id="193" w:name="_Toc23511"/>
      <w:bookmarkStart w:id="194" w:name="_Toc30083"/>
      <w:r>
        <w:rPr>
          <w:rFonts w:hint="eastAsia" w:ascii="黑体" w:hAnsi="黑体" w:eastAsia="黑体" w:cs="黑体"/>
          <w:color w:val="auto"/>
          <w:kern w:val="0"/>
          <w:sz w:val="32"/>
          <w:szCs w:val="32"/>
          <w:highlight w:val="none"/>
          <w:lang w:val="zh-CN" w:eastAsia="zh-CN" w:bidi="ar-SA"/>
        </w:rPr>
        <w:t>四、项目绩效情况</w:t>
      </w:r>
      <w:bookmarkEnd w:id="189"/>
      <w:bookmarkEnd w:id="193"/>
      <w:bookmarkEnd w:id="194"/>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eastAsia" w:ascii="楷体" w:hAnsi="楷体" w:eastAsia="楷体" w:cs="楷体"/>
          <w:b/>
          <w:color w:val="auto"/>
          <w:sz w:val="32"/>
          <w:szCs w:val="32"/>
          <w:highlight w:val="none"/>
          <w:lang w:val="zh-CN" w:eastAsia="zh-CN"/>
        </w:rPr>
      </w:pPr>
      <w:bookmarkStart w:id="195" w:name="_Toc1633"/>
      <w:r>
        <w:rPr>
          <w:rFonts w:hint="eastAsia" w:ascii="楷体" w:hAnsi="楷体" w:eastAsia="楷体" w:cs="楷体"/>
          <w:b/>
          <w:color w:val="auto"/>
          <w:sz w:val="32"/>
          <w:szCs w:val="32"/>
          <w:highlight w:val="none"/>
          <w:lang w:val="zh-CN" w:eastAsia="zh-CN"/>
        </w:rPr>
        <w:t>（一）项目完成情况</w:t>
      </w:r>
      <w:bookmarkEnd w:id="195"/>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2022年度，我镇种植烤烟1240亩，开展烤烟种植技术培训2次，烟地整理521亩，维修烤房11间，烤房治漏29间，烟路整治2.71千米，全市烤烟现场会1次，申报返还烟农发展经费29.45万元，烟叶税完成率为102.13%。</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eastAsia" w:ascii="楷体" w:hAnsi="楷体" w:eastAsia="楷体" w:cs="楷体"/>
          <w:b/>
          <w:color w:val="auto"/>
          <w:sz w:val="32"/>
          <w:szCs w:val="32"/>
          <w:highlight w:val="none"/>
          <w:lang w:val="zh-CN" w:eastAsia="zh-CN"/>
        </w:rPr>
      </w:pPr>
      <w:bookmarkStart w:id="196" w:name="_Toc1686"/>
      <w:r>
        <w:rPr>
          <w:rFonts w:hint="eastAsia" w:ascii="楷体" w:hAnsi="楷体" w:eastAsia="楷体" w:cs="楷体"/>
          <w:b/>
          <w:color w:val="auto"/>
          <w:sz w:val="32"/>
          <w:szCs w:val="32"/>
          <w:highlight w:val="none"/>
          <w:lang w:val="zh-CN" w:eastAsia="zh-CN"/>
        </w:rPr>
        <w:t>（二）项目效益情况</w:t>
      </w:r>
      <w:bookmarkEnd w:id="196"/>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Calibri" w:eastAsia="仿宋_GB2312" w:cs="仿宋"/>
          <w:color w:val="auto"/>
          <w:kern w:val="0"/>
          <w:sz w:val="32"/>
          <w:szCs w:val="32"/>
          <w:highlight w:val="none"/>
          <w:lang w:val="zh-CN" w:eastAsia="zh-CN" w:bidi="ar-SA"/>
        </w:rPr>
      </w:pPr>
      <w:r>
        <w:rPr>
          <w:rFonts w:hint="eastAsia" w:ascii="仿宋_GB2312" w:hAnsi="Calibri" w:eastAsia="仿宋_GB2312" w:cs="仿宋"/>
          <w:color w:val="auto"/>
          <w:kern w:val="0"/>
          <w:sz w:val="32"/>
          <w:szCs w:val="32"/>
          <w:highlight w:val="none"/>
          <w:lang w:val="zh-CN" w:eastAsia="zh-CN" w:bidi="ar-SA"/>
        </w:rPr>
        <w:t>2022年烟农整体收益增加，实际超额完成税收，提升了烟叶产出质量，群众收益提高。通过技术培训，着力培育一支品行好、懂技术、善管理和有一定经济实力的稳定职业烟农队伍，大力推广烟叶种植规模化、精细化。正常使用的烟路、烤房及配套的烟水、电力等烟基设施，为职业烟农规模种植烟叶奠定了坚实的物质基础确保我镇烟草产业减人不减面积烟农得实惠，烟叶发展可持续。</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outlineLvl w:val="1"/>
        <w:rPr>
          <w:rFonts w:hint="eastAsia" w:ascii="黑体" w:hAnsi="黑体" w:eastAsia="黑体" w:cs="黑体"/>
          <w:color w:val="auto"/>
          <w:kern w:val="0"/>
          <w:sz w:val="32"/>
          <w:szCs w:val="32"/>
          <w:highlight w:val="none"/>
          <w:lang w:val="zh-CN" w:eastAsia="zh-CN" w:bidi="ar-SA"/>
        </w:rPr>
      </w:pPr>
      <w:bookmarkStart w:id="197" w:name="_Toc26181"/>
      <w:bookmarkStart w:id="198" w:name="_Toc31832"/>
      <w:bookmarkStart w:id="199" w:name="_Toc23030"/>
      <w:r>
        <w:rPr>
          <w:rFonts w:hint="eastAsia" w:ascii="黑体" w:hAnsi="黑体" w:eastAsia="黑体" w:cs="黑体"/>
          <w:color w:val="auto"/>
          <w:kern w:val="0"/>
          <w:sz w:val="32"/>
          <w:szCs w:val="32"/>
          <w:highlight w:val="none"/>
          <w:lang w:val="en-US" w:eastAsia="zh-CN" w:bidi="ar-SA"/>
        </w:rPr>
        <w:t>五</w:t>
      </w:r>
      <w:r>
        <w:rPr>
          <w:rFonts w:hint="eastAsia" w:ascii="黑体" w:hAnsi="黑体" w:eastAsia="黑体" w:cs="黑体"/>
          <w:color w:val="auto"/>
          <w:kern w:val="0"/>
          <w:sz w:val="32"/>
          <w:szCs w:val="32"/>
          <w:highlight w:val="none"/>
          <w:lang w:val="zh-CN" w:eastAsia="zh-CN" w:bidi="ar-SA"/>
        </w:rPr>
        <w:t>、自评结论及建议</w:t>
      </w:r>
      <w:bookmarkEnd w:id="197"/>
      <w:bookmarkEnd w:id="198"/>
      <w:bookmarkEnd w:id="199"/>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eastAsia" w:ascii="楷体" w:hAnsi="楷体" w:eastAsia="楷体" w:cs="楷体"/>
          <w:b/>
          <w:color w:val="auto"/>
          <w:sz w:val="32"/>
          <w:szCs w:val="32"/>
          <w:highlight w:val="none"/>
          <w:lang w:val="zh-CN" w:eastAsia="zh-CN"/>
        </w:rPr>
      </w:pPr>
      <w:bookmarkStart w:id="200" w:name="_Toc24203"/>
      <w:r>
        <w:rPr>
          <w:rFonts w:hint="eastAsia" w:ascii="楷体" w:hAnsi="楷体" w:eastAsia="楷体" w:cs="楷体"/>
          <w:b/>
          <w:color w:val="auto"/>
          <w:sz w:val="32"/>
          <w:szCs w:val="32"/>
          <w:highlight w:val="none"/>
          <w:lang w:val="zh-CN" w:eastAsia="zh-CN"/>
        </w:rPr>
        <w:t>（一）评价结论</w:t>
      </w:r>
      <w:bookmarkEnd w:id="200"/>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zh-CN" w:eastAsia="zh-CN" w:bidi="ar-SA"/>
        </w:rPr>
      </w:pPr>
      <w:r>
        <w:rPr>
          <w:rFonts w:hint="default" w:ascii="仿宋_GB2312" w:hAnsi="Calibri" w:eastAsia="仿宋_GB2312" w:cs="仿宋"/>
          <w:color w:val="auto"/>
          <w:kern w:val="0"/>
          <w:sz w:val="32"/>
          <w:szCs w:val="32"/>
          <w:highlight w:val="none"/>
          <w:lang w:val="zh-CN" w:eastAsia="zh-CN" w:bidi="ar-SA"/>
        </w:rPr>
        <w:t>20</w:t>
      </w:r>
      <w:r>
        <w:rPr>
          <w:rFonts w:hint="eastAsia" w:ascii="仿宋_GB2312" w:hAnsi="Calibri" w:eastAsia="仿宋_GB2312" w:cs="仿宋"/>
          <w:color w:val="auto"/>
          <w:kern w:val="0"/>
          <w:sz w:val="32"/>
          <w:szCs w:val="32"/>
          <w:highlight w:val="none"/>
          <w:lang w:val="en-US" w:eastAsia="zh-CN" w:bidi="ar-SA"/>
        </w:rPr>
        <w:t>22</w:t>
      </w:r>
      <w:r>
        <w:rPr>
          <w:rFonts w:hint="default" w:ascii="仿宋_GB2312" w:hAnsi="Calibri" w:eastAsia="仿宋_GB2312" w:cs="仿宋"/>
          <w:color w:val="auto"/>
          <w:kern w:val="0"/>
          <w:sz w:val="32"/>
          <w:szCs w:val="32"/>
          <w:highlight w:val="none"/>
          <w:lang w:val="zh-CN" w:eastAsia="zh-CN" w:bidi="ar-SA"/>
        </w:rPr>
        <w:t>年度烟叶专项资金能按照相关规定进行使用和管理，程序较为规范，取得了</w:t>
      </w:r>
      <w:r>
        <w:rPr>
          <w:rFonts w:hint="eastAsia" w:ascii="仿宋_GB2312" w:hAnsi="Calibri" w:eastAsia="仿宋_GB2312" w:cs="仿宋"/>
          <w:color w:val="auto"/>
          <w:kern w:val="0"/>
          <w:sz w:val="32"/>
          <w:szCs w:val="32"/>
          <w:highlight w:val="none"/>
          <w:lang w:val="zh-CN" w:eastAsia="zh-CN" w:bidi="ar-SA"/>
        </w:rPr>
        <w:t>良好的</w:t>
      </w:r>
      <w:r>
        <w:rPr>
          <w:rFonts w:hint="default" w:ascii="仿宋_GB2312" w:hAnsi="Calibri" w:eastAsia="仿宋_GB2312" w:cs="仿宋"/>
          <w:color w:val="auto"/>
          <w:kern w:val="0"/>
          <w:sz w:val="32"/>
          <w:szCs w:val="32"/>
          <w:highlight w:val="none"/>
          <w:lang w:val="zh-CN" w:eastAsia="zh-CN" w:bidi="ar-SA"/>
        </w:rPr>
        <w:t>经济收益和社会效益。</w:t>
      </w:r>
      <w:r>
        <w:rPr>
          <w:rFonts w:hint="eastAsia" w:ascii="仿宋_GB2312" w:hAnsi="Calibri" w:eastAsia="仿宋_GB2312" w:cs="仿宋"/>
          <w:color w:val="auto"/>
          <w:kern w:val="0"/>
          <w:sz w:val="32"/>
          <w:szCs w:val="32"/>
          <w:highlight w:val="none"/>
          <w:lang w:val="zh-CN" w:eastAsia="zh-CN" w:bidi="ar-SA"/>
        </w:rPr>
        <w:t>根据项目决策、管理和绩效方面分析，我镇</w:t>
      </w:r>
      <w:r>
        <w:rPr>
          <w:rFonts w:hint="eastAsia" w:ascii="仿宋_GB2312" w:hAnsi="Calibri" w:eastAsia="仿宋_GB2312" w:cs="仿宋"/>
          <w:color w:val="auto"/>
          <w:kern w:val="0"/>
          <w:sz w:val="32"/>
          <w:szCs w:val="32"/>
          <w:highlight w:val="none"/>
          <w:lang w:val="en-US" w:eastAsia="zh-CN" w:bidi="ar-SA"/>
        </w:rPr>
        <w:t>烟叶发展资金</w:t>
      </w:r>
      <w:r>
        <w:rPr>
          <w:rFonts w:hint="eastAsia" w:ascii="仿宋_GB2312" w:hAnsi="Calibri" w:eastAsia="仿宋_GB2312" w:cs="仿宋"/>
          <w:color w:val="auto"/>
          <w:kern w:val="0"/>
          <w:sz w:val="32"/>
          <w:szCs w:val="32"/>
          <w:highlight w:val="none"/>
          <w:lang w:val="zh-CN" w:eastAsia="zh-CN" w:bidi="ar-SA"/>
        </w:rPr>
        <w:t>在202</w:t>
      </w:r>
      <w:r>
        <w:rPr>
          <w:rFonts w:hint="eastAsia" w:ascii="仿宋_GB2312" w:hAnsi="Calibri" w:eastAsia="仿宋_GB2312" w:cs="仿宋"/>
          <w:color w:val="auto"/>
          <w:kern w:val="0"/>
          <w:sz w:val="32"/>
          <w:szCs w:val="32"/>
          <w:highlight w:val="none"/>
          <w:lang w:val="en-US" w:eastAsia="zh-CN" w:bidi="ar-SA"/>
        </w:rPr>
        <w:t>2</w:t>
      </w:r>
      <w:r>
        <w:rPr>
          <w:rFonts w:hint="eastAsia" w:ascii="仿宋_GB2312" w:hAnsi="Calibri" w:eastAsia="仿宋_GB2312" w:cs="仿宋"/>
          <w:color w:val="auto"/>
          <w:kern w:val="0"/>
          <w:sz w:val="32"/>
          <w:szCs w:val="32"/>
          <w:highlight w:val="none"/>
          <w:lang w:val="zh-CN" w:eastAsia="zh-CN" w:bidi="ar-SA"/>
        </w:rPr>
        <w:t>年期间保障了我镇</w:t>
      </w:r>
      <w:r>
        <w:rPr>
          <w:rFonts w:hint="eastAsia" w:ascii="仿宋_GB2312" w:hAnsi="Calibri" w:eastAsia="仿宋_GB2312" w:cs="仿宋"/>
          <w:color w:val="auto"/>
          <w:kern w:val="0"/>
          <w:sz w:val="32"/>
          <w:szCs w:val="32"/>
          <w:highlight w:val="none"/>
          <w:lang w:val="en-US" w:eastAsia="zh-CN" w:bidi="ar-SA"/>
        </w:rPr>
        <w:t>完成了烟叶发展任务</w:t>
      </w:r>
      <w:r>
        <w:rPr>
          <w:rFonts w:hint="eastAsia" w:ascii="仿宋_GB2312" w:hAnsi="Calibri" w:eastAsia="仿宋_GB2312" w:cs="仿宋"/>
          <w:color w:val="auto"/>
          <w:kern w:val="0"/>
          <w:sz w:val="32"/>
          <w:szCs w:val="32"/>
          <w:highlight w:val="none"/>
          <w:lang w:val="zh-CN" w:eastAsia="zh-CN" w:bidi="ar-SA"/>
        </w:rPr>
        <w:t>。</w:t>
      </w:r>
      <w:r>
        <w:rPr>
          <w:rFonts w:hint="eastAsia" w:ascii="仿宋_GB2312" w:hAnsi="Calibri" w:eastAsia="仿宋_GB2312" w:cs="仿宋"/>
          <w:color w:val="auto"/>
          <w:kern w:val="0"/>
          <w:sz w:val="32"/>
          <w:szCs w:val="32"/>
          <w:highlight w:val="none"/>
          <w:lang w:val="en-US" w:eastAsia="zh-CN" w:bidi="ar-SA"/>
        </w:rPr>
        <w:t>我单位按照《广元市昭化区人民政府办公室关于印发&lt;广元市昭化区财政支出事后绩效评价管理办法&gt;的通知》（昭府办函〔2022〕37号）绩效评价指标体系开展绩效评价</w:t>
      </w:r>
      <w:r>
        <w:rPr>
          <w:rFonts w:hint="eastAsia" w:ascii="仿宋_GB2312" w:hAnsi="Calibri" w:eastAsia="仿宋_GB2312" w:cs="仿宋"/>
          <w:color w:val="auto"/>
          <w:kern w:val="0"/>
          <w:sz w:val="32"/>
          <w:szCs w:val="32"/>
          <w:highlight w:val="none"/>
          <w:lang w:val="zh-CN" w:eastAsia="zh-CN" w:bidi="ar-SA"/>
        </w:rPr>
        <w:t>，自评得分为</w:t>
      </w:r>
      <w:r>
        <w:rPr>
          <w:rFonts w:hint="eastAsia" w:ascii="仿宋_GB2312" w:hAnsi="Calibri" w:eastAsia="仿宋_GB2312" w:cs="仿宋"/>
          <w:color w:val="auto"/>
          <w:kern w:val="0"/>
          <w:sz w:val="32"/>
          <w:szCs w:val="32"/>
          <w:highlight w:val="none"/>
          <w:lang w:val="en-US" w:eastAsia="zh-CN" w:bidi="ar-SA"/>
        </w:rPr>
        <w:t>97.5分。</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eastAsia" w:ascii="楷体" w:hAnsi="楷体" w:eastAsia="楷体" w:cs="楷体"/>
          <w:b/>
          <w:color w:val="auto"/>
          <w:sz w:val="32"/>
          <w:szCs w:val="32"/>
          <w:highlight w:val="none"/>
          <w:lang w:val="zh-CN" w:eastAsia="zh-CN"/>
        </w:rPr>
      </w:pPr>
      <w:bookmarkStart w:id="201" w:name="_Toc9377"/>
      <w:r>
        <w:rPr>
          <w:rFonts w:hint="eastAsia" w:ascii="楷体" w:hAnsi="楷体" w:eastAsia="楷体" w:cs="楷体"/>
          <w:b/>
          <w:color w:val="auto"/>
          <w:sz w:val="32"/>
          <w:szCs w:val="32"/>
          <w:highlight w:val="none"/>
          <w:lang w:val="zh-CN" w:eastAsia="zh-CN"/>
        </w:rPr>
        <w:t>（二）存在的问题</w:t>
      </w:r>
      <w:bookmarkEnd w:id="201"/>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zh-CN" w:eastAsia="zh-CN" w:bidi="ar-SA"/>
        </w:rPr>
      </w:pPr>
      <w:r>
        <w:rPr>
          <w:rFonts w:hint="eastAsia" w:ascii="仿宋_GB2312" w:hAnsi="Calibri" w:eastAsia="仿宋_GB2312" w:cs="仿宋"/>
          <w:color w:val="auto"/>
          <w:kern w:val="0"/>
          <w:sz w:val="32"/>
          <w:szCs w:val="32"/>
          <w:highlight w:val="none"/>
          <w:lang w:val="zh-CN" w:eastAsia="zh-CN" w:bidi="ar-SA"/>
        </w:rPr>
        <w:t>一是项目预算编制还需细化；二是资金申报不及时。</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eastAsia" w:ascii="楷体" w:hAnsi="楷体" w:eastAsia="楷体" w:cs="楷体"/>
          <w:b/>
          <w:color w:val="auto"/>
          <w:sz w:val="32"/>
          <w:szCs w:val="32"/>
          <w:highlight w:val="none"/>
          <w:lang w:val="zh-CN" w:eastAsia="zh-CN"/>
        </w:rPr>
      </w:pPr>
      <w:bookmarkStart w:id="202" w:name="_Toc9997"/>
      <w:r>
        <w:rPr>
          <w:rFonts w:hint="eastAsia" w:ascii="楷体" w:hAnsi="楷体" w:eastAsia="楷体" w:cs="楷体"/>
          <w:b/>
          <w:color w:val="auto"/>
          <w:sz w:val="32"/>
          <w:szCs w:val="32"/>
          <w:highlight w:val="none"/>
          <w:lang w:val="zh-CN" w:eastAsia="zh-CN"/>
        </w:rPr>
        <w:t>（三）相关建议</w:t>
      </w:r>
      <w:bookmarkEnd w:id="202"/>
    </w:p>
    <w:p>
      <w:pPr>
        <w:pStyle w:val="6"/>
        <w:keepNext w:val="0"/>
        <w:keepLines w:val="0"/>
        <w:pageBreakBefore w:val="0"/>
        <w:wordWrap/>
        <w:overflowPunct/>
        <w:topLinePunct w:val="0"/>
        <w:bidi w:val="0"/>
        <w:snapToGrid w:val="0"/>
        <w:spacing w:line="576" w:lineRule="exact"/>
        <w:ind w:firstLine="640" w:firstLineChars="200"/>
        <w:rPr>
          <w:rFonts w:hint="eastAsia" w:ascii="仿宋" w:hAnsi="仿宋" w:eastAsia="仿宋" w:cs="Arial"/>
          <w:b w:val="0"/>
          <w:i w:val="0"/>
          <w:caps w:val="0"/>
          <w:snapToGrid w:val="0"/>
          <w:color w:val="000000"/>
          <w:spacing w:val="0"/>
          <w:w w:val="100"/>
          <w:kern w:val="0"/>
          <w:sz w:val="32"/>
          <w:szCs w:val="32"/>
          <w:lang w:val="zh-CN" w:eastAsia="zh-CN"/>
        </w:rPr>
      </w:pPr>
      <w:r>
        <w:rPr>
          <w:rFonts w:hint="eastAsia" w:ascii="仿宋_GB2312" w:hAnsi="Calibri" w:eastAsia="仿宋_GB2312" w:cs="仿宋"/>
          <w:color w:val="auto"/>
          <w:kern w:val="0"/>
          <w:sz w:val="32"/>
          <w:szCs w:val="32"/>
          <w:highlight w:val="none"/>
          <w:lang w:val="zh-CN" w:eastAsia="zh-CN" w:bidi="ar-SA"/>
        </w:rPr>
        <w:t>一是细化项目预算编制工作，进一步提高预算编制的科学性、合理性、严谨性和可控性；二是根据项目任务完成情况积极申报资金计划，尽可能实现资金兑付与项目完成同步。</w:t>
      </w:r>
    </w:p>
    <w:p>
      <w:r>
        <w:rPr>
          <w:rStyle w:val="30"/>
          <w:rFonts w:ascii="黑体" w:hAnsi="黑体" w:eastAsia="黑体"/>
          <w:b w:val="0"/>
          <w:color w:val="auto"/>
          <w:highlight w:val="none"/>
        </w:rPr>
        <w:br w:type="page"/>
      </w:r>
    </w:p>
    <w:p>
      <w:pPr>
        <w:spacing w:before="103" w:line="219" w:lineRule="auto"/>
        <w:jc w:val="center"/>
        <w:outlineLvl w:val="1"/>
        <w:rPr>
          <w:rFonts w:hint="eastAsia" w:ascii="方正小标宋简体" w:hAnsi="方正小标宋简体" w:eastAsia="方正小标宋简体" w:cs="方正小标宋简体"/>
          <w:spacing w:val="-20"/>
          <w:sz w:val="44"/>
          <w:szCs w:val="44"/>
        </w:rPr>
      </w:pPr>
      <w:bookmarkStart w:id="203" w:name="_Toc32534"/>
      <w:bookmarkStart w:id="204" w:name="_Toc11304"/>
      <w:bookmarkStart w:id="205" w:name="_Toc28977"/>
      <w:bookmarkStart w:id="206" w:name="_Toc25842"/>
      <w:r>
        <w:rPr>
          <w:rFonts w:hint="eastAsia" w:ascii="方正小标宋简体" w:hAnsi="方正小标宋简体" w:eastAsia="方正小标宋简体" w:cs="方正小标宋简体"/>
          <w:b/>
          <w:bCs/>
          <w:spacing w:val="-20"/>
          <w:sz w:val="44"/>
          <w:szCs w:val="44"/>
        </w:rPr>
        <w:t>广元市昭化区财政项目(政策)支出绩效自评表</w:t>
      </w:r>
      <w:bookmarkEnd w:id="203"/>
      <w:bookmarkEnd w:id="204"/>
      <w:bookmarkEnd w:id="205"/>
      <w:bookmarkEnd w:id="206"/>
    </w:p>
    <w:p>
      <w:pPr>
        <w:spacing w:before="86" w:line="219" w:lineRule="auto"/>
        <w:ind w:left="3894"/>
        <w:rPr>
          <w:rFonts w:hint="eastAsia" w:ascii="宋体" w:hAnsi="宋体" w:eastAsia="宋体" w:cs="宋体"/>
          <w:sz w:val="22"/>
          <w:szCs w:val="22"/>
          <w:lang w:eastAsia="zh-CN"/>
        </w:rPr>
      </w:pP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pacing w:val="32"/>
          <w:sz w:val="21"/>
          <w:szCs w:val="21"/>
          <w:lang w:val="en-US" w:eastAsia="zh-CN"/>
        </w:rPr>
        <w:t>2022</w:t>
      </w:r>
      <w:r>
        <w:rPr>
          <w:rFonts w:hint="eastAsia" w:ascii="仿宋_GB2312" w:hAnsi="仿宋_GB2312" w:eastAsia="仿宋_GB2312" w:cs="仿宋_GB2312"/>
          <w:spacing w:val="-14"/>
          <w:sz w:val="21"/>
          <w:szCs w:val="21"/>
        </w:rPr>
        <w:t>年度</w:t>
      </w:r>
      <w:r>
        <w:rPr>
          <w:rFonts w:hint="eastAsia" w:ascii="仿宋_GB2312" w:hAnsi="仿宋_GB2312" w:eastAsia="仿宋_GB2312" w:cs="仿宋_GB2312"/>
          <w:sz w:val="21"/>
          <w:szCs w:val="21"/>
          <w:lang w:eastAsia="zh-CN"/>
        </w:rPr>
        <w:t>）</w:t>
      </w:r>
    </w:p>
    <w:p>
      <w:pPr>
        <w:spacing w:line="134" w:lineRule="exact"/>
      </w:pPr>
    </w:p>
    <w:tbl>
      <w:tblPr>
        <w:tblStyle w:val="39"/>
        <w:tblW w:w="909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7"/>
        <w:gridCol w:w="752"/>
        <w:gridCol w:w="999"/>
        <w:gridCol w:w="778"/>
        <w:gridCol w:w="1308"/>
        <w:gridCol w:w="1145"/>
        <w:gridCol w:w="951"/>
        <w:gridCol w:w="24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1449" w:type="dxa"/>
            <w:gridSpan w:val="2"/>
            <w:vAlign w:val="top"/>
          </w:tcPr>
          <w:p>
            <w:pPr>
              <w:spacing w:before="82" w:line="220" w:lineRule="auto"/>
              <w:ind w:left="75"/>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项目(政策)名称</w:t>
            </w:r>
          </w:p>
        </w:tc>
        <w:tc>
          <w:tcPr>
            <w:tcW w:w="7650" w:type="dxa"/>
            <w:gridSpan w:val="6"/>
            <w:vAlign w:val="top"/>
          </w:tcPr>
          <w:p>
            <w:pPr>
              <w:jc w:val="both"/>
              <w:rPr>
                <w:rFonts w:hint="eastAsia" w:ascii="仿宋_GB2312" w:hAnsi="仿宋_GB2312" w:eastAsia="仿宋_GB2312" w:cs="仿宋_GB2312"/>
                <w:sz w:val="21"/>
                <w:szCs w:val="21"/>
              </w:rPr>
            </w:pPr>
            <w:r>
              <w:rPr>
                <w:rFonts w:hint="eastAsia"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t>烤烟发展经费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449" w:type="dxa"/>
            <w:gridSpan w:val="2"/>
            <w:vAlign w:val="top"/>
          </w:tcPr>
          <w:p>
            <w:pPr>
              <w:spacing w:before="78" w:line="219" w:lineRule="auto"/>
              <w:ind w:left="404"/>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主管部门</w:t>
            </w:r>
          </w:p>
        </w:tc>
        <w:tc>
          <w:tcPr>
            <w:tcW w:w="4230" w:type="dxa"/>
            <w:gridSpan w:val="4"/>
            <w:vAlign w:val="top"/>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t>广元市昭化区人民政府</w:t>
            </w:r>
          </w:p>
        </w:tc>
        <w:tc>
          <w:tcPr>
            <w:tcW w:w="951" w:type="dxa"/>
            <w:vAlign w:val="top"/>
          </w:tcPr>
          <w:p>
            <w:pPr>
              <w:spacing w:before="78" w:line="219" w:lineRule="auto"/>
              <w:jc w:val="center"/>
              <w:rPr>
                <w:rFonts w:hint="eastAsia" w:ascii="仿宋_GB2312" w:hAnsi="仿宋_GB2312" w:eastAsia="仿宋_GB2312" w:cs="仿宋_GB2312"/>
                <w:spacing w:val="4"/>
                <w:sz w:val="21"/>
                <w:szCs w:val="21"/>
              </w:rPr>
            </w:pPr>
            <w:r>
              <w:rPr>
                <w:rFonts w:hint="eastAsia" w:ascii="仿宋_GB2312" w:hAnsi="仿宋_GB2312" w:eastAsia="仿宋_GB2312" w:cs="仿宋_GB2312"/>
                <w:spacing w:val="4"/>
                <w:sz w:val="21"/>
                <w:szCs w:val="21"/>
              </w:rPr>
              <w:t>实施单位</w:t>
            </w:r>
          </w:p>
        </w:tc>
        <w:tc>
          <w:tcPr>
            <w:tcW w:w="2469" w:type="dxa"/>
            <w:vAlign w:val="top"/>
          </w:tcPr>
          <w:p>
            <w:pPr>
              <w:spacing w:before="78" w:line="219" w:lineRule="auto"/>
              <w:jc w:val="center"/>
              <w:rPr>
                <w:rFonts w:hint="eastAsia" w:ascii="仿宋_GB2312" w:hAnsi="仿宋_GB2312" w:eastAsia="仿宋_GB2312" w:cs="仿宋_GB2312"/>
                <w:spacing w:val="4"/>
                <w:sz w:val="21"/>
                <w:szCs w:val="21"/>
                <w:lang w:eastAsia="zh-CN"/>
              </w:rPr>
            </w:pPr>
            <w:r>
              <w:rPr>
                <w:rFonts w:hint="eastAsia" w:ascii="仿宋_GB2312" w:hAnsi="仿宋_GB2312" w:eastAsia="仿宋_GB2312" w:cs="仿宋_GB2312"/>
                <w:spacing w:val="4"/>
                <w:sz w:val="21"/>
                <w:szCs w:val="21"/>
                <w:lang w:eastAsia="zh-CN"/>
              </w:rPr>
              <w:t>磨滩镇人民政府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1449" w:type="dxa"/>
            <w:gridSpan w:val="2"/>
            <w:vMerge w:val="restart"/>
            <w:tcBorders>
              <w:bottom w:val="nil"/>
            </w:tcBorders>
            <w:vAlign w:val="top"/>
          </w:tcPr>
          <w:p>
            <w:pPr>
              <w:spacing w:line="279" w:lineRule="auto"/>
              <w:rPr>
                <w:rFonts w:hint="eastAsia" w:ascii="仿宋_GB2312" w:hAnsi="仿宋_GB2312" w:eastAsia="仿宋_GB2312" w:cs="仿宋_GB2312"/>
                <w:sz w:val="21"/>
                <w:szCs w:val="21"/>
              </w:rPr>
            </w:pPr>
          </w:p>
          <w:p>
            <w:pPr>
              <w:spacing w:line="279" w:lineRule="auto"/>
              <w:rPr>
                <w:rFonts w:hint="eastAsia" w:ascii="仿宋_GB2312" w:hAnsi="仿宋_GB2312" w:eastAsia="仿宋_GB2312" w:cs="仿宋_GB2312"/>
                <w:sz w:val="21"/>
                <w:szCs w:val="21"/>
              </w:rPr>
            </w:pPr>
          </w:p>
          <w:p>
            <w:pPr>
              <w:spacing w:line="279" w:lineRule="auto"/>
              <w:rPr>
                <w:rFonts w:hint="eastAsia" w:ascii="仿宋_GB2312" w:hAnsi="仿宋_GB2312" w:eastAsia="仿宋_GB2312" w:cs="仿宋_GB2312"/>
                <w:sz w:val="21"/>
                <w:szCs w:val="21"/>
              </w:rPr>
            </w:pPr>
          </w:p>
          <w:p>
            <w:pPr>
              <w:spacing w:line="279" w:lineRule="auto"/>
              <w:rPr>
                <w:rFonts w:hint="eastAsia" w:ascii="仿宋_GB2312" w:hAnsi="仿宋_GB2312" w:eastAsia="仿宋_GB2312" w:cs="仿宋_GB2312"/>
                <w:sz w:val="21"/>
                <w:szCs w:val="21"/>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0"/>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项目(政策)资金</w:t>
            </w:r>
            <w:r>
              <w:rPr>
                <w:rFonts w:hint="eastAsia" w:ascii="仿宋_GB2312" w:hAnsi="仿宋_GB2312" w:eastAsia="仿宋_GB2312" w:cs="仿宋_GB2312"/>
                <w:spacing w:val="9"/>
                <w:sz w:val="21"/>
                <w:szCs w:val="21"/>
              </w:rPr>
              <w:t>(万元)</w:t>
            </w:r>
          </w:p>
        </w:tc>
        <w:tc>
          <w:tcPr>
            <w:tcW w:w="1777" w:type="dxa"/>
            <w:gridSpan w:val="2"/>
            <w:vAlign w:val="top"/>
          </w:tcPr>
          <w:p>
            <w:pPr>
              <w:rPr>
                <w:rFonts w:hint="eastAsia" w:ascii="仿宋_GB2312" w:hAnsi="仿宋_GB2312" w:eastAsia="仿宋_GB2312" w:cs="仿宋_GB2312"/>
                <w:sz w:val="21"/>
                <w:szCs w:val="21"/>
              </w:rPr>
            </w:pPr>
          </w:p>
        </w:tc>
        <w:tc>
          <w:tcPr>
            <w:tcW w:w="1308" w:type="dxa"/>
            <w:vAlign w:val="top"/>
          </w:tcPr>
          <w:p>
            <w:pPr>
              <w:spacing w:before="77"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年初预算数</w:t>
            </w:r>
          </w:p>
        </w:tc>
        <w:tc>
          <w:tcPr>
            <w:tcW w:w="1145" w:type="dxa"/>
            <w:vAlign w:val="top"/>
          </w:tcPr>
          <w:p>
            <w:pPr>
              <w:spacing w:before="98"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全年预算数</w:t>
            </w:r>
          </w:p>
        </w:tc>
        <w:tc>
          <w:tcPr>
            <w:tcW w:w="951" w:type="dxa"/>
            <w:vAlign w:val="top"/>
          </w:tcPr>
          <w:p>
            <w:pPr>
              <w:spacing w:before="77"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全年执行数</w:t>
            </w:r>
          </w:p>
        </w:tc>
        <w:tc>
          <w:tcPr>
            <w:tcW w:w="2469" w:type="dxa"/>
            <w:vAlign w:val="top"/>
          </w:tcPr>
          <w:p>
            <w:pPr>
              <w:spacing w:before="77"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执行率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449" w:type="dxa"/>
            <w:gridSpan w:val="2"/>
            <w:vMerge w:val="continue"/>
            <w:tcBorders>
              <w:top w:val="nil"/>
              <w:bottom w:val="nil"/>
            </w:tcBorders>
            <w:vAlign w:val="top"/>
          </w:tcPr>
          <w:p>
            <w:pPr>
              <w:rPr>
                <w:rFonts w:hint="eastAsia" w:ascii="仿宋_GB2312" w:hAnsi="仿宋_GB2312" w:eastAsia="仿宋_GB2312" w:cs="仿宋_GB2312"/>
                <w:sz w:val="21"/>
                <w:szCs w:val="21"/>
              </w:rPr>
            </w:pPr>
          </w:p>
        </w:tc>
        <w:tc>
          <w:tcPr>
            <w:tcW w:w="1777" w:type="dxa"/>
            <w:gridSpan w:val="2"/>
            <w:vAlign w:val="top"/>
          </w:tcPr>
          <w:p>
            <w:pPr>
              <w:spacing w:before="79" w:line="219" w:lineRule="auto"/>
              <w:ind w:left="151"/>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年度资金总额</w:t>
            </w:r>
          </w:p>
        </w:tc>
        <w:tc>
          <w:tcPr>
            <w:tcW w:w="1308" w:type="dxa"/>
            <w:vAlign w:val="top"/>
          </w:tcPr>
          <w:p>
            <w:pPr>
              <w:spacing w:before="77" w:line="219" w:lineRule="auto"/>
              <w:jc w:val="center"/>
              <w:rPr>
                <w:rFonts w:hint="eastAsia" w:ascii="仿宋_GB2312" w:hAnsi="仿宋_GB2312" w:eastAsia="仿宋_GB2312" w:cs="仿宋_GB2312"/>
                <w:spacing w:val="-2"/>
                <w:sz w:val="21"/>
                <w:szCs w:val="21"/>
                <w:lang w:val="en-US" w:eastAsia="zh-CN"/>
              </w:rPr>
            </w:pPr>
            <w:r>
              <w:rPr>
                <w:rFonts w:hint="eastAsia" w:ascii="仿宋_GB2312" w:hAnsi="仿宋_GB2312" w:eastAsia="仿宋_GB2312" w:cs="仿宋_GB2312"/>
                <w:spacing w:val="-2"/>
                <w:sz w:val="21"/>
                <w:szCs w:val="21"/>
                <w:lang w:val="en-US" w:eastAsia="zh-CN"/>
              </w:rPr>
              <w:t>61.18</w:t>
            </w:r>
          </w:p>
        </w:tc>
        <w:tc>
          <w:tcPr>
            <w:tcW w:w="1145" w:type="dxa"/>
            <w:vAlign w:val="top"/>
          </w:tcPr>
          <w:p>
            <w:pPr>
              <w:spacing w:before="77" w:line="219" w:lineRule="auto"/>
              <w:jc w:val="center"/>
              <w:rPr>
                <w:rFonts w:hint="eastAsia" w:ascii="仿宋_GB2312" w:hAnsi="仿宋_GB2312" w:eastAsia="仿宋_GB2312" w:cs="仿宋_GB2312"/>
                <w:spacing w:val="-2"/>
                <w:sz w:val="21"/>
                <w:szCs w:val="21"/>
                <w:lang w:val="en-US" w:eastAsia="zh-CN"/>
              </w:rPr>
            </w:pPr>
            <w:r>
              <w:rPr>
                <w:rFonts w:hint="eastAsia" w:ascii="仿宋_GB2312" w:hAnsi="仿宋_GB2312" w:eastAsia="仿宋_GB2312" w:cs="仿宋_GB2312"/>
                <w:spacing w:val="-2"/>
                <w:sz w:val="21"/>
                <w:szCs w:val="21"/>
                <w:lang w:val="en-US" w:eastAsia="zh-CN"/>
              </w:rPr>
              <w:t>61.18</w:t>
            </w:r>
          </w:p>
        </w:tc>
        <w:tc>
          <w:tcPr>
            <w:tcW w:w="951" w:type="dxa"/>
            <w:vAlign w:val="top"/>
          </w:tcPr>
          <w:p>
            <w:pPr>
              <w:spacing w:before="77" w:line="219" w:lineRule="auto"/>
              <w:jc w:val="center"/>
              <w:rPr>
                <w:rFonts w:hint="eastAsia" w:ascii="仿宋_GB2312" w:hAnsi="仿宋_GB2312" w:eastAsia="仿宋_GB2312" w:cs="仿宋_GB2312"/>
                <w:spacing w:val="-2"/>
                <w:sz w:val="21"/>
                <w:szCs w:val="21"/>
                <w:lang w:val="en-US" w:eastAsia="zh-CN"/>
              </w:rPr>
            </w:pPr>
            <w:r>
              <w:rPr>
                <w:rFonts w:hint="eastAsia" w:ascii="仿宋_GB2312" w:hAnsi="仿宋_GB2312" w:eastAsia="仿宋_GB2312" w:cs="仿宋_GB2312"/>
                <w:spacing w:val="-2"/>
                <w:sz w:val="21"/>
                <w:szCs w:val="21"/>
                <w:lang w:val="en-US" w:eastAsia="zh-CN"/>
              </w:rPr>
              <w:t>10.55</w:t>
            </w:r>
          </w:p>
        </w:tc>
        <w:tc>
          <w:tcPr>
            <w:tcW w:w="2469" w:type="dxa"/>
            <w:vAlign w:val="top"/>
          </w:tcPr>
          <w:p>
            <w:pPr>
              <w:spacing w:before="77" w:line="219" w:lineRule="auto"/>
              <w:jc w:val="center"/>
              <w:rPr>
                <w:rFonts w:hint="eastAsia" w:ascii="仿宋_GB2312" w:hAnsi="仿宋_GB2312" w:eastAsia="仿宋_GB2312" w:cs="仿宋_GB2312"/>
                <w:spacing w:val="-2"/>
                <w:sz w:val="21"/>
                <w:szCs w:val="21"/>
                <w:lang w:val="en-US" w:eastAsia="zh-CN"/>
              </w:rPr>
            </w:pPr>
            <w:r>
              <w:rPr>
                <w:rFonts w:hint="eastAsia" w:ascii="仿宋_GB2312" w:hAnsi="仿宋_GB2312" w:eastAsia="仿宋_GB2312" w:cs="仿宋_GB2312"/>
                <w:spacing w:val="-2"/>
                <w:sz w:val="21"/>
                <w:szCs w:val="21"/>
                <w:lang w:val="en-US" w:eastAsia="zh-CN"/>
              </w:rPr>
              <w:t>17.24%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1449" w:type="dxa"/>
            <w:gridSpan w:val="2"/>
            <w:vMerge w:val="continue"/>
            <w:tcBorders>
              <w:top w:val="nil"/>
              <w:bottom w:val="nil"/>
            </w:tcBorders>
            <w:vAlign w:val="top"/>
          </w:tcPr>
          <w:p>
            <w:pPr>
              <w:rPr>
                <w:rFonts w:hint="eastAsia" w:ascii="仿宋_GB2312" w:hAnsi="仿宋_GB2312" w:eastAsia="仿宋_GB2312" w:cs="仿宋_GB2312"/>
                <w:sz w:val="21"/>
                <w:szCs w:val="21"/>
              </w:rPr>
            </w:pPr>
          </w:p>
        </w:tc>
        <w:tc>
          <w:tcPr>
            <w:tcW w:w="1777" w:type="dxa"/>
            <w:gridSpan w:val="2"/>
            <w:vAlign w:val="top"/>
          </w:tcPr>
          <w:p>
            <w:pPr>
              <w:spacing w:before="109" w:line="219" w:lineRule="auto"/>
              <w:ind w:left="151"/>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(一)财政拨款小计</w:t>
            </w:r>
          </w:p>
        </w:tc>
        <w:tc>
          <w:tcPr>
            <w:tcW w:w="1308" w:type="dxa"/>
            <w:vAlign w:val="top"/>
          </w:tcPr>
          <w:p>
            <w:pPr>
              <w:spacing w:before="77" w:line="219" w:lineRule="auto"/>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pacing w:val="-2"/>
                <w:sz w:val="21"/>
                <w:szCs w:val="21"/>
                <w:lang w:val="en-US" w:eastAsia="zh-CN"/>
              </w:rPr>
              <w:t>61.18</w:t>
            </w:r>
          </w:p>
        </w:tc>
        <w:tc>
          <w:tcPr>
            <w:tcW w:w="1145" w:type="dxa"/>
            <w:vAlign w:val="top"/>
          </w:tcPr>
          <w:p>
            <w:pPr>
              <w:spacing w:before="77" w:line="219" w:lineRule="auto"/>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pacing w:val="-2"/>
                <w:sz w:val="21"/>
                <w:szCs w:val="21"/>
                <w:lang w:val="en-US" w:eastAsia="zh-CN"/>
              </w:rPr>
              <w:t>61.18</w:t>
            </w:r>
          </w:p>
        </w:tc>
        <w:tc>
          <w:tcPr>
            <w:tcW w:w="951" w:type="dxa"/>
            <w:vAlign w:val="top"/>
          </w:tcPr>
          <w:p>
            <w:pPr>
              <w:spacing w:before="77" w:line="219" w:lineRule="auto"/>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pacing w:val="-2"/>
                <w:sz w:val="21"/>
                <w:szCs w:val="21"/>
                <w:lang w:val="en-US" w:eastAsia="zh-CN"/>
              </w:rPr>
              <w:t>10.55</w:t>
            </w:r>
          </w:p>
        </w:tc>
        <w:tc>
          <w:tcPr>
            <w:tcW w:w="2469" w:type="dxa"/>
            <w:vAlign w:val="top"/>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lang w:val="en-US" w:eastAsia="zh-CN"/>
              </w:rPr>
              <w:t>17.24%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449" w:type="dxa"/>
            <w:gridSpan w:val="2"/>
            <w:vMerge w:val="continue"/>
            <w:tcBorders>
              <w:top w:val="nil"/>
              <w:bottom w:val="nil"/>
            </w:tcBorders>
            <w:vAlign w:val="top"/>
          </w:tcPr>
          <w:p>
            <w:pPr>
              <w:rPr>
                <w:rFonts w:hint="eastAsia" w:ascii="仿宋_GB2312" w:hAnsi="仿宋_GB2312" w:eastAsia="仿宋_GB2312" w:cs="仿宋_GB2312"/>
                <w:sz w:val="21"/>
                <w:szCs w:val="21"/>
              </w:rPr>
            </w:pPr>
          </w:p>
        </w:tc>
        <w:tc>
          <w:tcPr>
            <w:tcW w:w="1777" w:type="dxa"/>
            <w:gridSpan w:val="2"/>
            <w:vAlign w:val="top"/>
          </w:tcPr>
          <w:p>
            <w:pPr>
              <w:spacing w:before="80" w:line="219" w:lineRule="auto"/>
              <w:ind w:left="151"/>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1.一般公共预算</w:t>
            </w:r>
          </w:p>
        </w:tc>
        <w:tc>
          <w:tcPr>
            <w:tcW w:w="1308" w:type="dxa"/>
            <w:vAlign w:val="top"/>
          </w:tcPr>
          <w:p>
            <w:pPr>
              <w:spacing w:before="77" w:line="219" w:lineRule="auto"/>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pacing w:val="-2"/>
                <w:sz w:val="21"/>
                <w:szCs w:val="21"/>
                <w:lang w:val="en-US" w:eastAsia="zh-CN"/>
              </w:rPr>
              <w:t>61.18</w:t>
            </w:r>
          </w:p>
        </w:tc>
        <w:tc>
          <w:tcPr>
            <w:tcW w:w="1145" w:type="dxa"/>
            <w:vAlign w:val="top"/>
          </w:tcPr>
          <w:p>
            <w:pPr>
              <w:spacing w:before="77" w:line="219" w:lineRule="auto"/>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pacing w:val="-2"/>
                <w:sz w:val="21"/>
                <w:szCs w:val="21"/>
                <w:lang w:val="en-US" w:eastAsia="zh-CN"/>
              </w:rPr>
              <w:t>61.18</w:t>
            </w:r>
          </w:p>
        </w:tc>
        <w:tc>
          <w:tcPr>
            <w:tcW w:w="951" w:type="dxa"/>
            <w:vAlign w:val="top"/>
          </w:tcPr>
          <w:p>
            <w:pPr>
              <w:spacing w:before="77" w:line="219" w:lineRule="auto"/>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pacing w:val="-2"/>
                <w:sz w:val="21"/>
                <w:szCs w:val="21"/>
                <w:lang w:val="en-US" w:eastAsia="zh-CN"/>
              </w:rPr>
              <w:t>10.55</w:t>
            </w:r>
          </w:p>
        </w:tc>
        <w:tc>
          <w:tcPr>
            <w:tcW w:w="2469" w:type="dxa"/>
            <w:vAlign w:val="top"/>
          </w:tcPr>
          <w:p>
            <w:pPr>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pacing w:val="-2"/>
                <w:sz w:val="21"/>
                <w:szCs w:val="21"/>
                <w:lang w:val="en-US" w:eastAsia="zh-CN"/>
              </w:rPr>
              <w:t>17.24%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1449" w:type="dxa"/>
            <w:gridSpan w:val="2"/>
            <w:vMerge w:val="continue"/>
            <w:tcBorders>
              <w:top w:val="nil"/>
              <w:bottom w:val="nil"/>
            </w:tcBorders>
            <w:vAlign w:val="top"/>
          </w:tcPr>
          <w:p>
            <w:pPr>
              <w:rPr>
                <w:rFonts w:hint="eastAsia" w:ascii="仿宋_GB2312" w:hAnsi="仿宋_GB2312" w:eastAsia="仿宋_GB2312" w:cs="仿宋_GB2312"/>
                <w:sz w:val="21"/>
                <w:szCs w:val="21"/>
              </w:rPr>
            </w:pPr>
          </w:p>
        </w:tc>
        <w:tc>
          <w:tcPr>
            <w:tcW w:w="1777" w:type="dxa"/>
            <w:gridSpan w:val="2"/>
            <w:vAlign w:val="top"/>
          </w:tcPr>
          <w:p>
            <w:pPr>
              <w:spacing w:before="78" w:line="219" w:lineRule="auto"/>
              <w:ind w:left="151"/>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2.政府性基金</w:t>
            </w:r>
          </w:p>
        </w:tc>
        <w:tc>
          <w:tcPr>
            <w:tcW w:w="1308" w:type="dxa"/>
            <w:vAlign w:val="top"/>
          </w:tcPr>
          <w:p>
            <w:pPr>
              <w:rPr>
                <w:rFonts w:hint="eastAsia" w:ascii="仿宋_GB2312" w:hAnsi="仿宋_GB2312" w:eastAsia="仿宋_GB2312" w:cs="仿宋_GB2312"/>
                <w:sz w:val="21"/>
                <w:szCs w:val="21"/>
              </w:rPr>
            </w:pPr>
          </w:p>
        </w:tc>
        <w:tc>
          <w:tcPr>
            <w:tcW w:w="1145" w:type="dxa"/>
            <w:vAlign w:val="top"/>
          </w:tcPr>
          <w:p>
            <w:pPr>
              <w:rPr>
                <w:rFonts w:hint="eastAsia" w:ascii="仿宋_GB2312" w:hAnsi="仿宋_GB2312" w:eastAsia="仿宋_GB2312" w:cs="仿宋_GB2312"/>
                <w:sz w:val="21"/>
                <w:szCs w:val="21"/>
              </w:rPr>
            </w:pPr>
          </w:p>
        </w:tc>
        <w:tc>
          <w:tcPr>
            <w:tcW w:w="951" w:type="dxa"/>
            <w:vAlign w:val="top"/>
          </w:tcPr>
          <w:p>
            <w:pPr>
              <w:rPr>
                <w:rFonts w:hint="eastAsia" w:ascii="仿宋_GB2312" w:hAnsi="仿宋_GB2312" w:eastAsia="仿宋_GB2312" w:cs="仿宋_GB2312"/>
                <w:sz w:val="21"/>
                <w:szCs w:val="21"/>
              </w:rPr>
            </w:pPr>
          </w:p>
        </w:tc>
        <w:tc>
          <w:tcPr>
            <w:tcW w:w="2469" w:type="dxa"/>
            <w:vAlign w:val="top"/>
          </w:tcPr>
          <w:p>
            <w:pPr>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1449" w:type="dxa"/>
            <w:gridSpan w:val="2"/>
            <w:vMerge w:val="continue"/>
            <w:tcBorders>
              <w:top w:val="nil"/>
              <w:bottom w:val="nil"/>
            </w:tcBorders>
            <w:vAlign w:val="top"/>
          </w:tcPr>
          <w:p>
            <w:pPr>
              <w:rPr>
                <w:rFonts w:hint="eastAsia" w:ascii="仿宋_GB2312" w:hAnsi="仿宋_GB2312" w:eastAsia="仿宋_GB2312" w:cs="仿宋_GB2312"/>
                <w:sz w:val="21"/>
                <w:szCs w:val="21"/>
              </w:rPr>
            </w:pPr>
          </w:p>
        </w:tc>
        <w:tc>
          <w:tcPr>
            <w:tcW w:w="1777" w:type="dxa"/>
            <w:gridSpan w:val="2"/>
            <w:vAlign w:val="top"/>
          </w:tcPr>
          <w:p>
            <w:pPr>
              <w:spacing w:before="119" w:line="219" w:lineRule="auto"/>
              <w:ind w:left="151"/>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3.国有资本经营预算</w:t>
            </w:r>
          </w:p>
        </w:tc>
        <w:tc>
          <w:tcPr>
            <w:tcW w:w="1308" w:type="dxa"/>
            <w:vAlign w:val="top"/>
          </w:tcPr>
          <w:p>
            <w:pPr>
              <w:rPr>
                <w:rFonts w:hint="eastAsia" w:ascii="仿宋_GB2312" w:hAnsi="仿宋_GB2312" w:eastAsia="仿宋_GB2312" w:cs="仿宋_GB2312"/>
                <w:sz w:val="21"/>
                <w:szCs w:val="21"/>
              </w:rPr>
            </w:pPr>
          </w:p>
        </w:tc>
        <w:tc>
          <w:tcPr>
            <w:tcW w:w="1145" w:type="dxa"/>
            <w:vAlign w:val="top"/>
          </w:tcPr>
          <w:p>
            <w:pPr>
              <w:rPr>
                <w:rFonts w:hint="eastAsia" w:ascii="仿宋_GB2312" w:hAnsi="仿宋_GB2312" w:eastAsia="仿宋_GB2312" w:cs="仿宋_GB2312"/>
                <w:sz w:val="21"/>
                <w:szCs w:val="21"/>
              </w:rPr>
            </w:pPr>
          </w:p>
        </w:tc>
        <w:tc>
          <w:tcPr>
            <w:tcW w:w="951" w:type="dxa"/>
            <w:vAlign w:val="top"/>
          </w:tcPr>
          <w:p>
            <w:pPr>
              <w:rPr>
                <w:rFonts w:hint="eastAsia" w:ascii="仿宋_GB2312" w:hAnsi="仿宋_GB2312" w:eastAsia="仿宋_GB2312" w:cs="仿宋_GB2312"/>
                <w:sz w:val="21"/>
                <w:szCs w:val="21"/>
              </w:rPr>
            </w:pPr>
          </w:p>
        </w:tc>
        <w:tc>
          <w:tcPr>
            <w:tcW w:w="2469" w:type="dxa"/>
            <w:vAlign w:val="top"/>
          </w:tcPr>
          <w:p>
            <w:pPr>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449" w:type="dxa"/>
            <w:gridSpan w:val="2"/>
            <w:vMerge w:val="continue"/>
            <w:tcBorders>
              <w:top w:val="nil"/>
              <w:bottom w:val="nil"/>
            </w:tcBorders>
            <w:vAlign w:val="top"/>
          </w:tcPr>
          <w:p>
            <w:pPr>
              <w:rPr>
                <w:rFonts w:hint="eastAsia" w:ascii="仿宋_GB2312" w:hAnsi="仿宋_GB2312" w:eastAsia="仿宋_GB2312" w:cs="仿宋_GB2312"/>
                <w:sz w:val="21"/>
                <w:szCs w:val="21"/>
              </w:rPr>
            </w:pPr>
          </w:p>
        </w:tc>
        <w:tc>
          <w:tcPr>
            <w:tcW w:w="1777" w:type="dxa"/>
            <w:gridSpan w:val="2"/>
            <w:vAlign w:val="top"/>
          </w:tcPr>
          <w:p>
            <w:pPr>
              <w:spacing w:before="82" w:line="219" w:lineRule="auto"/>
              <w:ind w:left="151"/>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4.社保基金</w:t>
            </w:r>
          </w:p>
        </w:tc>
        <w:tc>
          <w:tcPr>
            <w:tcW w:w="1308" w:type="dxa"/>
            <w:vAlign w:val="top"/>
          </w:tcPr>
          <w:p>
            <w:pPr>
              <w:rPr>
                <w:rFonts w:hint="eastAsia" w:ascii="仿宋_GB2312" w:hAnsi="仿宋_GB2312" w:eastAsia="仿宋_GB2312" w:cs="仿宋_GB2312"/>
                <w:sz w:val="21"/>
                <w:szCs w:val="21"/>
              </w:rPr>
            </w:pPr>
          </w:p>
        </w:tc>
        <w:tc>
          <w:tcPr>
            <w:tcW w:w="1145" w:type="dxa"/>
            <w:vAlign w:val="top"/>
          </w:tcPr>
          <w:p>
            <w:pPr>
              <w:rPr>
                <w:rFonts w:hint="eastAsia" w:ascii="仿宋_GB2312" w:hAnsi="仿宋_GB2312" w:eastAsia="仿宋_GB2312" w:cs="仿宋_GB2312"/>
                <w:sz w:val="21"/>
                <w:szCs w:val="21"/>
              </w:rPr>
            </w:pPr>
          </w:p>
        </w:tc>
        <w:tc>
          <w:tcPr>
            <w:tcW w:w="951" w:type="dxa"/>
            <w:vAlign w:val="top"/>
          </w:tcPr>
          <w:p>
            <w:pPr>
              <w:rPr>
                <w:rFonts w:hint="eastAsia" w:ascii="仿宋_GB2312" w:hAnsi="仿宋_GB2312" w:eastAsia="仿宋_GB2312" w:cs="仿宋_GB2312"/>
                <w:sz w:val="21"/>
                <w:szCs w:val="21"/>
              </w:rPr>
            </w:pPr>
          </w:p>
        </w:tc>
        <w:tc>
          <w:tcPr>
            <w:tcW w:w="2469" w:type="dxa"/>
            <w:vAlign w:val="top"/>
          </w:tcPr>
          <w:p>
            <w:pPr>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1449" w:type="dxa"/>
            <w:gridSpan w:val="2"/>
            <w:vMerge w:val="continue"/>
            <w:tcBorders>
              <w:top w:val="nil"/>
            </w:tcBorders>
            <w:vAlign w:val="top"/>
          </w:tcPr>
          <w:p>
            <w:pPr>
              <w:rPr>
                <w:rFonts w:hint="eastAsia" w:ascii="仿宋_GB2312" w:hAnsi="仿宋_GB2312" w:eastAsia="仿宋_GB2312" w:cs="仿宋_GB2312"/>
                <w:sz w:val="21"/>
                <w:szCs w:val="21"/>
              </w:rPr>
            </w:pPr>
          </w:p>
        </w:tc>
        <w:tc>
          <w:tcPr>
            <w:tcW w:w="1777" w:type="dxa"/>
            <w:gridSpan w:val="2"/>
            <w:vAlign w:val="top"/>
          </w:tcPr>
          <w:p>
            <w:pPr>
              <w:spacing w:before="112" w:line="220" w:lineRule="auto"/>
              <w:ind w:left="151"/>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(二)其他资金</w:t>
            </w:r>
          </w:p>
        </w:tc>
        <w:tc>
          <w:tcPr>
            <w:tcW w:w="1308" w:type="dxa"/>
            <w:vAlign w:val="top"/>
          </w:tcPr>
          <w:p>
            <w:pPr>
              <w:rPr>
                <w:rFonts w:hint="eastAsia" w:ascii="仿宋_GB2312" w:hAnsi="仿宋_GB2312" w:eastAsia="仿宋_GB2312" w:cs="仿宋_GB2312"/>
                <w:sz w:val="21"/>
                <w:szCs w:val="21"/>
              </w:rPr>
            </w:pPr>
          </w:p>
        </w:tc>
        <w:tc>
          <w:tcPr>
            <w:tcW w:w="1145" w:type="dxa"/>
            <w:vAlign w:val="top"/>
          </w:tcPr>
          <w:p>
            <w:pPr>
              <w:rPr>
                <w:rFonts w:hint="eastAsia" w:ascii="仿宋_GB2312" w:hAnsi="仿宋_GB2312" w:eastAsia="仿宋_GB2312" w:cs="仿宋_GB2312"/>
                <w:sz w:val="21"/>
                <w:szCs w:val="21"/>
              </w:rPr>
            </w:pPr>
          </w:p>
        </w:tc>
        <w:tc>
          <w:tcPr>
            <w:tcW w:w="951" w:type="dxa"/>
            <w:vAlign w:val="top"/>
          </w:tcPr>
          <w:p>
            <w:pPr>
              <w:rPr>
                <w:rFonts w:hint="eastAsia" w:ascii="仿宋_GB2312" w:hAnsi="仿宋_GB2312" w:eastAsia="仿宋_GB2312" w:cs="仿宋_GB2312"/>
                <w:sz w:val="21"/>
                <w:szCs w:val="21"/>
              </w:rPr>
            </w:pPr>
          </w:p>
        </w:tc>
        <w:tc>
          <w:tcPr>
            <w:tcW w:w="2469" w:type="dxa"/>
            <w:vAlign w:val="top"/>
          </w:tcPr>
          <w:p>
            <w:pPr>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697" w:type="dxa"/>
            <w:vMerge w:val="restart"/>
            <w:tcBorders>
              <w:bottom w:val="nil"/>
            </w:tcBorders>
            <w:vAlign w:val="top"/>
          </w:tcPr>
          <w:p>
            <w:pPr>
              <w:spacing w:line="385" w:lineRule="auto"/>
              <w:rPr>
                <w:rFonts w:hint="eastAsia" w:ascii="仿宋_GB2312" w:hAnsi="仿宋_GB2312" w:eastAsia="仿宋_GB2312" w:cs="仿宋_GB2312"/>
                <w:sz w:val="21"/>
                <w:szCs w:val="21"/>
              </w:rPr>
            </w:pPr>
          </w:p>
          <w:p>
            <w:pPr>
              <w:spacing w:before="55" w:line="219" w:lineRule="auto"/>
              <w:ind w:left="194" w:right="2" w:hanging="139"/>
              <w:rPr>
                <w:rFonts w:hint="eastAsia" w:ascii="仿宋_GB2312" w:hAnsi="仿宋_GB2312" w:eastAsia="仿宋_GB2312" w:cs="仿宋_GB2312"/>
                <w:sz w:val="21"/>
                <w:szCs w:val="21"/>
              </w:rPr>
            </w:pPr>
            <w:r>
              <w:rPr>
                <w:rFonts w:hint="eastAsia" w:ascii="仿宋_GB2312" w:hAnsi="仿宋_GB2312" w:eastAsia="仿宋_GB2312" w:cs="仿宋_GB2312"/>
                <w:spacing w:val="-11"/>
                <w:sz w:val="21"/>
                <w:szCs w:val="21"/>
              </w:rPr>
              <w:t>年度总体</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6"/>
                <w:sz w:val="21"/>
                <w:szCs w:val="21"/>
              </w:rPr>
              <w:t>目标</w:t>
            </w:r>
          </w:p>
        </w:tc>
        <w:tc>
          <w:tcPr>
            <w:tcW w:w="5933" w:type="dxa"/>
            <w:gridSpan w:val="6"/>
            <w:vAlign w:val="top"/>
          </w:tcPr>
          <w:p>
            <w:pPr>
              <w:spacing w:before="183" w:line="22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预期目标</w:t>
            </w:r>
          </w:p>
        </w:tc>
        <w:tc>
          <w:tcPr>
            <w:tcW w:w="2469" w:type="dxa"/>
            <w:vAlign w:val="top"/>
          </w:tcPr>
          <w:p>
            <w:pPr>
              <w:spacing w:before="183" w:line="220" w:lineRule="auto"/>
              <w:jc w:val="center"/>
              <w:rPr>
                <w:rFonts w:hint="eastAsia" w:ascii="仿宋_GB2312" w:hAnsi="仿宋_GB2312" w:eastAsia="仿宋_GB2312" w:cs="仿宋_GB2312"/>
                <w:spacing w:val="-2"/>
                <w:sz w:val="21"/>
                <w:szCs w:val="21"/>
                <w:lang w:val="en-US" w:eastAsia="zh-CN"/>
              </w:rPr>
            </w:pPr>
            <w:r>
              <w:rPr>
                <w:rFonts w:hint="eastAsia" w:ascii="仿宋_GB2312" w:hAnsi="仿宋_GB2312" w:eastAsia="仿宋_GB2312" w:cs="仿宋_GB2312"/>
                <w:spacing w:val="-2"/>
                <w:sz w:val="21"/>
                <w:szCs w:val="21"/>
                <w:lang w:val="en-US" w:eastAsia="zh-CN"/>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774" w:hRule="atLeast"/>
        </w:trPr>
        <w:tc>
          <w:tcPr>
            <w:tcW w:w="697" w:type="dxa"/>
            <w:vMerge w:val="continue"/>
            <w:tcBorders>
              <w:top w:val="nil"/>
            </w:tcBorders>
            <w:vAlign w:val="top"/>
          </w:tcPr>
          <w:p>
            <w:pPr>
              <w:rPr>
                <w:rFonts w:hint="eastAsia" w:ascii="仿宋_GB2312" w:hAnsi="仿宋_GB2312" w:eastAsia="仿宋_GB2312" w:cs="仿宋_GB2312"/>
                <w:sz w:val="21"/>
                <w:szCs w:val="21"/>
              </w:rPr>
            </w:pPr>
          </w:p>
        </w:tc>
        <w:tc>
          <w:tcPr>
            <w:tcW w:w="5933" w:type="dxa"/>
            <w:gridSpan w:val="6"/>
            <w:vAlign w:val="center"/>
          </w:tcPr>
          <w:p>
            <w:pPr>
              <w:jc w:val="both"/>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lang w:val="zh-CN" w:eastAsia="zh-CN"/>
              </w:rPr>
              <w:t>加强烟叶产业发展，提高烟农收入，计划种植烤烟1750亩，实现税收61.18万元，实现烤烟返税24.47万元，全年集中开展技术培训1次，烟地整理600亩。年底烟叶税收目标和烟叶种植目标任务完成100%，对生态环境不造成任何污染，全年烟农效益增收率为15%，群众满意度达到95%。</w:t>
            </w:r>
          </w:p>
        </w:tc>
        <w:tc>
          <w:tcPr>
            <w:tcW w:w="2469" w:type="dxa"/>
            <w:vAlign w:val="center"/>
          </w:tcPr>
          <w:p>
            <w:pPr>
              <w:spacing w:before="183" w:line="220" w:lineRule="auto"/>
              <w:jc w:val="both"/>
              <w:rPr>
                <w:rFonts w:hint="eastAsia" w:ascii="仿宋_GB2312" w:hAnsi="仿宋_GB2312" w:eastAsia="仿宋_GB2312" w:cs="仿宋_GB2312"/>
                <w:spacing w:val="-2"/>
                <w:sz w:val="21"/>
                <w:szCs w:val="21"/>
              </w:rPr>
            </w:pPr>
            <w:r>
              <w:rPr>
                <w:rFonts w:hint="eastAsia" w:ascii="仿宋_GB2312" w:hAnsi="仿宋_GB2312" w:eastAsia="仿宋_GB2312" w:cs="仿宋_GB2312"/>
                <w:spacing w:val="-2"/>
                <w:sz w:val="21"/>
                <w:szCs w:val="21"/>
                <w:lang w:val="en-US" w:eastAsia="zh-CN"/>
              </w:rPr>
              <w:t>完成烟叶税收目标任务，种植烤烟1240亩，开展烤烟种植技术培训2次，烟地整理521亩，维修烤房11间，烤房治漏29间，烟路整治2.71千米，全市烤烟现场会1次，申报返还烟农发展经费29.45万元。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trPr>
        <w:tc>
          <w:tcPr>
            <w:tcW w:w="697" w:type="dxa"/>
            <w:vMerge w:val="restart"/>
            <w:vAlign w:val="top"/>
          </w:tcPr>
          <w:p>
            <w:pPr>
              <w:spacing w:line="253" w:lineRule="auto"/>
              <w:jc w:val="center"/>
              <w:rPr>
                <w:rFonts w:hint="eastAsia" w:ascii="仿宋_GB2312" w:hAnsi="仿宋_GB2312" w:eastAsia="仿宋_GB2312" w:cs="仿宋_GB2312"/>
                <w:sz w:val="21"/>
                <w:szCs w:val="21"/>
              </w:rPr>
            </w:pPr>
          </w:p>
          <w:p>
            <w:pPr>
              <w:spacing w:line="253" w:lineRule="auto"/>
              <w:jc w:val="center"/>
              <w:rPr>
                <w:rFonts w:hint="eastAsia" w:ascii="仿宋_GB2312" w:hAnsi="仿宋_GB2312" w:eastAsia="仿宋_GB2312" w:cs="仿宋_GB2312"/>
                <w:sz w:val="21"/>
                <w:szCs w:val="21"/>
              </w:rPr>
            </w:pPr>
          </w:p>
          <w:p>
            <w:pPr>
              <w:spacing w:line="253" w:lineRule="auto"/>
              <w:jc w:val="center"/>
              <w:rPr>
                <w:rFonts w:hint="eastAsia" w:ascii="仿宋_GB2312" w:hAnsi="仿宋_GB2312" w:eastAsia="仿宋_GB2312" w:cs="仿宋_GB2312"/>
                <w:sz w:val="21"/>
                <w:szCs w:val="21"/>
              </w:rPr>
            </w:pPr>
          </w:p>
          <w:p>
            <w:pPr>
              <w:spacing w:line="254" w:lineRule="auto"/>
              <w:jc w:val="center"/>
              <w:rPr>
                <w:rFonts w:hint="eastAsia" w:ascii="仿宋_GB2312" w:hAnsi="仿宋_GB2312" w:eastAsia="仿宋_GB2312" w:cs="仿宋_GB2312"/>
                <w:sz w:val="21"/>
                <w:szCs w:val="21"/>
              </w:rPr>
            </w:pPr>
          </w:p>
          <w:p>
            <w:pPr>
              <w:spacing w:line="254" w:lineRule="auto"/>
              <w:jc w:val="center"/>
              <w:rPr>
                <w:rFonts w:hint="eastAsia" w:ascii="仿宋_GB2312" w:hAnsi="仿宋_GB2312" w:eastAsia="仿宋_GB2312" w:cs="仿宋_GB2312"/>
                <w:sz w:val="21"/>
                <w:szCs w:val="21"/>
              </w:rPr>
            </w:pPr>
          </w:p>
          <w:p>
            <w:pPr>
              <w:spacing w:line="254" w:lineRule="auto"/>
              <w:jc w:val="center"/>
              <w:rPr>
                <w:rFonts w:hint="eastAsia" w:ascii="仿宋_GB2312" w:hAnsi="仿宋_GB2312" w:eastAsia="仿宋_GB2312" w:cs="仿宋_GB2312"/>
                <w:sz w:val="21"/>
                <w:szCs w:val="21"/>
              </w:rPr>
            </w:pPr>
          </w:p>
          <w:p>
            <w:pPr>
              <w:spacing w:line="254" w:lineRule="auto"/>
              <w:jc w:val="center"/>
              <w:rPr>
                <w:rFonts w:hint="eastAsia" w:ascii="仿宋_GB2312" w:hAnsi="仿宋_GB2312" w:eastAsia="仿宋_GB2312" w:cs="仿宋_GB2312"/>
                <w:sz w:val="21"/>
                <w:szCs w:val="21"/>
              </w:rPr>
            </w:pPr>
          </w:p>
          <w:p>
            <w:pPr>
              <w:spacing w:line="254" w:lineRule="auto"/>
              <w:jc w:val="center"/>
              <w:rPr>
                <w:rFonts w:hint="eastAsia" w:ascii="仿宋_GB2312" w:hAnsi="仿宋_GB2312" w:eastAsia="仿宋_GB2312" w:cs="仿宋_GB2312"/>
                <w:sz w:val="21"/>
                <w:szCs w:val="21"/>
              </w:rPr>
            </w:pPr>
          </w:p>
          <w:p>
            <w:pPr>
              <w:spacing w:line="254" w:lineRule="auto"/>
              <w:jc w:val="center"/>
              <w:rPr>
                <w:rFonts w:hint="eastAsia" w:ascii="仿宋_GB2312" w:hAnsi="仿宋_GB2312" w:eastAsia="仿宋_GB2312" w:cs="仿宋_GB2312"/>
                <w:sz w:val="21"/>
                <w:szCs w:val="21"/>
              </w:rPr>
            </w:pPr>
          </w:p>
          <w:p>
            <w:pPr>
              <w:spacing w:line="254" w:lineRule="auto"/>
              <w:jc w:val="center"/>
              <w:rPr>
                <w:rFonts w:hint="eastAsia" w:ascii="仿宋_GB2312" w:hAnsi="仿宋_GB2312" w:eastAsia="仿宋_GB2312" w:cs="仿宋_GB2312"/>
                <w:sz w:val="21"/>
                <w:szCs w:val="21"/>
              </w:rPr>
            </w:pPr>
          </w:p>
          <w:p>
            <w:pPr>
              <w:spacing w:line="254" w:lineRule="auto"/>
              <w:jc w:val="center"/>
              <w:rPr>
                <w:rFonts w:hint="eastAsia" w:ascii="仿宋_GB2312" w:hAnsi="仿宋_GB2312" w:eastAsia="仿宋_GB2312" w:cs="仿宋_GB2312"/>
                <w:sz w:val="21"/>
                <w:szCs w:val="21"/>
              </w:rPr>
            </w:pPr>
          </w:p>
          <w:p>
            <w:pPr>
              <w:spacing w:line="254" w:lineRule="auto"/>
              <w:jc w:val="center"/>
              <w:rPr>
                <w:rFonts w:hint="eastAsia" w:ascii="仿宋_GB2312" w:hAnsi="仿宋_GB2312" w:eastAsia="仿宋_GB2312" w:cs="仿宋_GB2312"/>
                <w:sz w:val="21"/>
                <w:szCs w:val="21"/>
              </w:rPr>
            </w:pPr>
          </w:p>
          <w:p>
            <w:pPr>
              <w:spacing w:line="254" w:lineRule="auto"/>
              <w:jc w:val="center"/>
              <w:rPr>
                <w:rFonts w:hint="eastAsia" w:ascii="仿宋_GB2312" w:hAnsi="仿宋_GB2312" w:eastAsia="仿宋_GB2312" w:cs="仿宋_GB2312"/>
                <w:sz w:val="21"/>
                <w:szCs w:val="21"/>
              </w:rPr>
            </w:pPr>
          </w:p>
          <w:p>
            <w:pPr>
              <w:spacing w:before="56" w:line="220" w:lineRule="auto"/>
              <w:ind w:left="55"/>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11"/>
                <w:sz w:val="21"/>
                <w:szCs w:val="21"/>
              </w:rPr>
              <w:t>绩效指标</w:t>
            </w:r>
          </w:p>
        </w:tc>
        <w:tc>
          <w:tcPr>
            <w:tcW w:w="752" w:type="dxa"/>
            <w:tcBorders>
              <w:bottom w:val="single" w:color="auto" w:sz="4" w:space="0"/>
            </w:tcBorders>
            <w:vAlign w:val="top"/>
          </w:tcPr>
          <w:p>
            <w:pPr>
              <w:spacing w:before="155" w:line="220" w:lineRule="auto"/>
              <w:ind w:left="40"/>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一级指标</w:t>
            </w:r>
          </w:p>
        </w:tc>
        <w:tc>
          <w:tcPr>
            <w:tcW w:w="999" w:type="dxa"/>
            <w:vAlign w:val="top"/>
          </w:tcPr>
          <w:p>
            <w:pPr>
              <w:spacing w:before="155" w:line="22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二级指标</w:t>
            </w:r>
          </w:p>
        </w:tc>
        <w:tc>
          <w:tcPr>
            <w:tcW w:w="2086" w:type="dxa"/>
            <w:gridSpan w:val="2"/>
            <w:vAlign w:val="top"/>
          </w:tcPr>
          <w:p>
            <w:pPr>
              <w:spacing w:before="155" w:line="22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三级指标</w:t>
            </w:r>
          </w:p>
        </w:tc>
        <w:tc>
          <w:tcPr>
            <w:tcW w:w="1145" w:type="dxa"/>
            <w:vAlign w:val="top"/>
          </w:tcPr>
          <w:p>
            <w:pPr>
              <w:spacing w:before="155"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年度指标值</w:t>
            </w:r>
          </w:p>
        </w:tc>
        <w:tc>
          <w:tcPr>
            <w:tcW w:w="951" w:type="dxa"/>
            <w:vAlign w:val="top"/>
          </w:tcPr>
          <w:p>
            <w:pPr>
              <w:spacing w:before="155"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实际完成值</w:t>
            </w:r>
          </w:p>
        </w:tc>
        <w:tc>
          <w:tcPr>
            <w:tcW w:w="2469" w:type="dxa"/>
            <w:vAlign w:val="top"/>
          </w:tcPr>
          <w:p>
            <w:pPr>
              <w:spacing w:before="75" w:line="227"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偏差原因分析及</w:t>
            </w:r>
            <w:r>
              <w:rPr>
                <w:rFonts w:hint="eastAsia" w:ascii="仿宋_GB2312" w:hAnsi="仿宋_GB2312" w:eastAsia="仿宋_GB2312" w:cs="仿宋_GB2312"/>
                <w:spacing w:val="11"/>
                <w:sz w:val="21"/>
                <w:szCs w:val="21"/>
              </w:rPr>
              <w:t>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trPr>
        <w:tc>
          <w:tcPr>
            <w:tcW w:w="697" w:type="dxa"/>
            <w:vMerge w:val="continue"/>
            <w:vAlign w:val="center"/>
          </w:tcPr>
          <w:p>
            <w:pPr>
              <w:jc w:val="center"/>
              <w:rPr>
                <w:rFonts w:hint="eastAsia" w:ascii="仿宋_GB2312" w:hAnsi="仿宋_GB2312" w:eastAsia="仿宋_GB2312" w:cs="仿宋_GB2312"/>
                <w:sz w:val="21"/>
                <w:szCs w:val="21"/>
              </w:rPr>
            </w:pPr>
          </w:p>
        </w:tc>
        <w:tc>
          <w:tcPr>
            <w:tcW w:w="752" w:type="dxa"/>
            <w:vMerge w:val="restart"/>
            <w:tcBorders>
              <w:top w:val="single" w:color="auto" w:sz="4" w:space="0"/>
              <w:left w:val="single" w:color="auto" w:sz="4" w:space="0"/>
              <w:bottom w:val="single" w:color="auto" w:sz="4" w:space="0"/>
              <w:right w:val="single" w:color="auto" w:sz="4" w:space="0"/>
            </w:tcBorders>
            <w:vAlign w:val="center"/>
          </w:tcPr>
          <w:p>
            <w:pPr>
              <w:spacing w:line="286" w:lineRule="auto"/>
              <w:jc w:val="center"/>
              <w:rPr>
                <w:rFonts w:hint="eastAsia" w:ascii="仿宋_GB2312" w:hAnsi="仿宋_GB2312" w:eastAsia="仿宋_GB2312" w:cs="仿宋_GB2312"/>
                <w:sz w:val="21"/>
                <w:szCs w:val="21"/>
              </w:rPr>
            </w:pPr>
          </w:p>
          <w:p>
            <w:pPr>
              <w:spacing w:line="286" w:lineRule="auto"/>
              <w:jc w:val="center"/>
              <w:rPr>
                <w:rFonts w:hint="eastAsia" w:ascii="仿宋_GB2312" w:hAnsi="仿宋_GB2312" w:eastAsia="仿宋_GB2312" w:cs="仿宋_GB2312"/>
                <w:sz w:val="21"/>
                <w:szCs w:val="21"/>
              </w:rPr>
            </w:pPr>
          </w:p>
          <w:p>
            <w:pPr>
              <w:spacing w:line="286" w:lineRule="auto"/>
              <w:jc w:val="center"/>
              <w:rPr>
                <w:rFonts w:hint="eastAsia" w:ascii="仿宋_GB2312" w:hAnsi="仿宋_GB2312" w:eastAsia="仿宋_GB2312" w:cs="仿宋_GB2312"/>
                <w:sz w:val="21"/>
                <w:szCs w:val="21"/>
              </w:rPr>
            </w:pPr>
          </w:p>
          <w:p>
            <w:pPr>
              <w:spacing w:line="286" w:lineRule="auto"/>
              <w:jc w:val="center"/>
              <w:rPr>
                <w:rFonts w:hint="eastAsia" w:ascii="仿宋_GB2312" w:hAnsi="仿宋_GB2312" w:eastAsia="仿宋_GB2312" w:cs="仿宋_GB2312"/>
                <w:sz w:val="21"/>
                <w:szCs w:val="21"/>
              </w:rPr>
            </w:pPr>
          </w:p>
          <w:p>
            <w:pPr>
              <w:spacing w:line="287" w:lineRule="auto"/>
              <w:jc w:val="center"/>
              <w:rPr>
                <w:rFonts w:hint="eastAsia" w:ascii="仿宋_GB2312" w:hAnsi="仿宋_GB2312" w:eastAsia="仿宋_GB2312" w:cs="仿宋_GB2312"/>
                <w:sz w:val="21"/>
                <w:szCs w:val="21"/>
              </w:rPr>
            </w:pPr>
          </w:p>
          <w:p>
            <w:pPr>
              <w:spacing w:before="56" w:line="219" w:lineRule="auto"/>
              <w:ind w:left="40"/>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产出指标</w:t>
            </w:r>
          </w:p>
        </w:tc>
        <w:tc>
          <w:tcPr>
            <w:tcW w:w="999" w:type="dxa"/>
            <w:tcBorders>
              <w:left w:val="single" w:color="auto" w:sz="4" w:space="0"/>
              <w:bottom w:val="nil"/>
            </w:tcBorders>
            <w:vAlign w:val="center"/>
          </w:tcPr>
          <w:p>
            <w:pPr>
              <w:spacing w:before="67" w:line="209" w:lineRule="auto"/>
              <w:ind w:left="23" w:leftChars="0"/>
              <w:jc w:val="center"/>
              <w:rPr>
                <w:rFonts w:hint="eastAsia" w:ascii="仿宋_GB2312" w:hAnsi="仿宋_GB2312" w:eastAsia="仿宋_GB2312" w:cs="仿宋_GB2312"/>
                <w:snapToGrid w:val="0"/>
                <w:color w:val="000000"/>
                <w:kern w:val="0"/>
                <w:sz w:val="21"/>
                <w:szCs w:val="21"/>
                <w:lang w:eastAsia="zh-CN"/>
              </w:rPr>
            </w:pPr>
            <w:r>
              <w:rPr>
                <w:rFonts w:hint="eastAsia" w:ascii="仿宋_GB2312" w:hAnsi="仿宋_GB2312" w:eastAsia="仿宋_GB2312" w:cs="仿宋_GB2312"/>
                <w:sz w:val="21"/>
                <w:szCs w:val="21"/>
                <w:lang w:val="en-US" w:eastAsia="zh-CN"/>
              </w:rPr>
              <w:t>数量指标</w:t>
            </w:r>
          </w:p>
        </w:tc>
        <w:tc>
          <w:tcPr>
            <w:tcW w:w="2086" w:type="dxa"/>
            <w:gridSpan w:val="2"/>
            <w:vAlign w:val="center"/>
          </w:tcPr>
          <w:p>
            <w:pPr>
              <w:spacing w:before="67" w:line="209" w:lineRule="auto"/>
              <w:ind w:left="23" w:leftChars="0"/>
              <w:jc w:val="center"/>
              <w:rPr>
                <w:rFonts w:hint="eastAsia" w:ascii="仿宋_GB2312" w:hAnsi="仿宋_GB2312" w:eastAsia="仿宋_GB2312" w:cs="仿宋_GB2312"/>
                <w:snapToGrid w:val="0"/>
                <w:color w:val="000000"/>
                <w:kern w:val="0"/>
                <w:sz w:val="21"/>
                <w:szCs w:val="21"/>
                <w:lang w:eastAsia="zh-CN"/>
              </w:rPr>
            </w:pPr>
            <w:r>
              <w:rPr>
                <w:rFonts w:hint="eastAsia" w:ascii="仿宋_GB2312" w:hAnsi="仿宋_GB2312" w:eastAsia="仿宋_GB2312" w:cs="仿宋_GB2312"/>
                <w:sz w:val="21"/>
                <w:szCs w:val="21"/>
                <w:lang w:val="en-US" w:eastAsia="zh-CN"/>
              </w:rPr>
              <w:t>全年对烟农烤烟技术集中培训次数</w:t>
            </w:r>
          </w:p>
        </w:tc>
        <w:tc>
          <w:tcPr>
            <w:tcW w:w="1145" w:type="dxa"/>
            <w:vAlign w:val="center"/>
          </w:tcPr>
          <w:p>
            <w:pPr>
              <w:spacing w:before="67" w:line="209" w:lineRule="auto"/>
              <w:ind w:left="23" w:leftChars="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1次</w:t>
            </w:r>
          </w:p>
        </w:tc>
        <w:tc>
          <w:tcPr>
            <w:tcW w:w="951" w:type="dxa"/>
            <w:vAlign w:val="center"/>
          </w:tcPr>
          <w:p>
            <w:pPr>
              <w:spacing w:before="67" w:line="209" w:lineRule="auto"/>
              <w:ind w:left="23" w:leftChars="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2次</w:t>
            </w:r>
          </w:p>
        </w:tc>
        <w:tc>
          <w:tcPr>
            <w:tcW w:w="2469" w:type="dxa"/>
            <w:vAlign w:val="top"/>
          </w:tcPr>
          <w:p>
            <w:pPr>
              <w:jc w:val="center"/>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697" w:type="dxa"/>
            <w:vMerge w:val="continue"/>
            <w:vAlign w:val="center"/>
          </w:tcPr>
          <w:p>
            <w:pPr>
              <w:jc w:val="center"/>
              <w:rPr>
                <w:rFonts w:hint="eastAsia" w:ascii="仿宋_GB2312" w:hAnsi="仿宋_GB2312" w:eastAsia="仿宋_GB2312" w:cs="仿宋_GB2312"/>
                <w:sz w:val="21"/>
                <w:szCs w:val="21"/>
              </w:rPr>
            </w:pPr>
          </w:p>
        </w:tc>
        <w:tc>
          <w:tcPr>
            <w:tcW w:w="7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p>
        </w:tc>
        <w:tc>
          <w:tcPr>
            <w:tcW w:w="999" w:type="dxa"/>
            <w:tcBorders>
              <w:left w:val="single" w:color="auto" w:sz="4" w:space="0"/>
            </w:tcBorders>
            <w:vAlign w:val="center"/>
          </w:tcPr>
          <w:p>
            <w:pPr>
              <w:spacing w:before="67" w:line="209" w:lineRule="auto"/>
              <w:ind w:left="23" w:leftChars="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数量指标</w:t>
            </w:r>
          </w:p>
        </w:tc>
        <w:tc>
          <w:tcPr>
            <w:tcW w:w="2086" w:type="dxa"/>
            <w:gridSpan w:val="2"/>
            <w:vAlign w:val="center"/>
          </w:tcPr>
          <w:p>
            <w:pPr>
              <w:spacing w:before="67" w:line="209" w:lineRule="auto"/>
              <w:ind w:left="23" w:leftChars="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种植烤烟面积</w:t>
            </w:r>
          </w:p>
        </w:tc>
        <w:tc>
          <w:tcPr>
            <w:tcW w:w="1145" w:type="dxa"/>
            <w:vAlign w:val="center"/>
          </w:tcPr>
          <w:p>
            <w:pPr>
              <w:spacing w:before="67" w:line="209" w:lineRule="auto"/>
              <w:ind w:left="23" w:leftChars="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1750亩</w:t>
            </w:r>
          </w:p>
        </w:tc>
        <w:tc>
          <w:tcPr>
            <w:tcW w:w="951" w:type="dxa"/>
            <w:vAlign w:val="center"/>
          </w:tcPr>
          <w:p>
            <w:pPr>
              <w:spacing w:before="67" w:line="209" w:lineRule="auto"/>
              <w:ind w:left="23" w:leftChars="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1240亩</w:t>
            </w:r>
          </w:p>
        </w:tc>
        <w:tc>
          <w:tcPr>
            <w:tcW w:w="2469" w:type="dxa"/>
            <w:vAlign w:val="center"/>
          </w:tcPr>
          <w:p>
            <w:pPr>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干旱，种植户减少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697" w:type="dxa"/>
            <w:vMerge w:val="continue"/>
            <w:vAlign w:val="center"/>
          </w:tcPr>
          <w:p>
            <w:pPr>
              <w:jc w:val="center"/>
              <w:rPr>
                <w:rFonts w:hint="eastAsia" w:ascii="仿宋_GB2312" w:hAnsi="仿宋_GB2312" w:eastAsia="仿宋_GB2312" w:cs="仿宋_GB2312"/>
                <w:sz w:val="21"/>
                <w:szCs w:val="21"/>
              </w:rPr>
            </w:pPr>
          </w:p>
        </w:tc>
        <w:tc>
          <w:tcPr>
            <w:tcW w:w="7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p>
        </w:tc>
        <w:tc>
          <w:tcPr>
            <w:tcW w:w="999" w:type="dxa"/>
            <w:tcBorders>
              <w:left w:val="single" w:color="auto" w:sz="4" w:space="0"/>
            </w:tcBorders>
            <w:vAlign w:val="center"/>
          </w:tcPr>
          <w:p>
            <w:pPr>
              <w:spacing w:before="67" w:line="209" w:lineRule="auto"/>
              <w:ind w:left="23" w:leftChars="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数量指标</w:t>
            </w:r>
          </w:p>
        </w:tc>
        <w:tc>
          <w:tcPr>
            <w:tcW w:w="2086" w:type="dxa"/>
            <w:gridSpan w:val="2"/>
            <w:vAlign w:val="center"/>
          </w:tcPr>
          <w:p>
            <w:pPr>
              <w:spacing w:before="67" w:line="209" w:lineRule="auto"/>
              <w:ind w:left="23" w:leftChars="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烟地整理面积</w:t>
            </w:r>
          </w:p>
        </w:tc>
        <w:tc>
          <w:tcPr>
            <w:tcW w:w="1145" w:type="dxa"/>
            <w:vAlign w:val="center"/>
          </w:tcPr>
          <w:p>
            <w:pPr>
              <w:spacing w:before="67" w:line="209" w:lineRule="auto"/>
              <w:ind w:left="23" w:leftChars="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600亩</w:t>
            </w:r>
          </w:p>
        </w:tc>
        <w:tc>
          <w:tcPr>
            <w:tcW w:w="951" w:type="dxa"/>
            <w:vAlign w:val="center"/>
          </w:tcPr>
          <w:p>
            <w:pPr>
              <w:spacing w:before="67" w:line="209" w:lineRule="auto"/>
              <w:ind w:left="23" w:leftChars="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521亩</w:t>
            </w:r>
          </w:p>
        </w:tc>
        <w:tc>
          <w:tcPr>
            <w:tcW w:w="2469" w:type="dxa"/>
            <w:vAlign w:val="center"/>
          </w:tcPr>
          <w:p>
            <w:pPr>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烤烟种植面积减少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trPr>
        <w:tc>
          <w:tcPr>
            <w:tcW w:w="697" w:type="dxa"/>
            <w:vMerge w:val="continue"/>
            <w:vAlign w:val="center"/>
          </w:tcPr>
          <w:p>
            <w:pPr>
              <w:jc w:val="center"/>
              <w:rPr>
                <w:rFonts w:hint="eastAsia" w:ascii="仿宋_GB2312" w:hAnsi="仿宋_GB2312" w:eastAsia="仿宋_GB2312" w:cs="仿宋_GB2312"/>
                <w:sz w:val="21"/>
                <w:szCs w:val="21"/>
              </w:rPr>
            </w:pPr>
          </w:p>
        </w:tc>
        <w:tc>
          <w:tcPr>
            <w:tcW w:w="7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p>
        </w:tc>
        <w:tc>
          <w:tcPr>
            <w:tcW w:w="999" w:type="dxa"/>
            <w:tcBorders>
              <w:left w:val="single" w:color="auto" w:sz="4" w:space="0"/>
            </w:tcBorders>
            <w:vAlign w:val="center"/>
          </w:tcPr>
          <w:p>
            <w:pPr>
              <w:spacing w:before="67" w:line="209" w:lineRule="auto"/>
              <w:ind w:left="23" w:leftChars="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时效指标</w:t>
            </w:r>
          </w:p>
        </w:tc>
        <w:tc>
          <w:tcPr>
            <w:tcW w:w="2086" w:type="dxa"/>
            <w:gridSpan w:val="2"/>
            <w:vAlign w:val="center"/>
          </w:tcPr>
          <w:p>
            <w:pPr>
              <w:spacing w:before="67" w:line="209" w:lineRule="auto"/>
              <w:ind w:left="23" w:leftChars="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项目实施时限</w:t>
            </w:r>
          </w:p>
        </w:tc>
        <w:tc>
          <w:tcPr>
            <w:tcW w:w="1145" w:type="dxa"/>
            <w:vAlign w:val="center"/>
          </w:tcPr>
          <w:p>
            <w:pPr>
              <w:spacing w:before="67" w:line="209" w:lineRule="auto"/>
              <w:ind w:left="23" w:leftChars="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1年</w:t>
            </w:r>
          </w:p>
        </w:tc>
        <w:tc>
          <w:tcPr>
            <w:tcW w:w="951" w:type="dxa"/>
            <w:vAlign w:val="center"/>
          </w:tcPr>
          <w:p>
            <w:pPr>
              <w:spacing w:before="67" w:line="209" w:lineRule="auto"/>
              <w:ind w:left="23" w:leftChars="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1年</w:t>
            </w:r>
          </w:p>
        </w:tc>
        <w:tc>
          <w:tcPr>
            <w:tcW w:w="2469" w:type="dxa"/>
            <w:vAlign w:val="top"/>
          </w:tcPr>
          <w:p>
            <w:pPr>
              <w:jc w:val="center"/>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697" w:type="dxa"/>
            <w:vMerge w:val="continue"/>
            <w:vAlign w:val="center"/>
          </w:tcPr>
          <w:p>
            <w:pPr>
              <w:jc w:val="center"/>
              <w:rPr>
                <w:rFonts w:hint="eastAsia" w:ascii="仿宋_GB2312" w:hAnsi="仿宋_GB2312" w:eastAsia="仿宋_GB2312" w:cs="仿宋_GB2312"/>
                <w:sz w:val="21"/>
                <w:szCs w:val="21"/>
              </w:rPr>
            </w:pPr>
          </w:p>
        </w:tc>
        <w:tc>
          <w:tcPr>
            <w:tcW w:w="7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p>
        </w:tc>
        <w:tc>
          <w:tcPr>
            <w:tcW w:w="999" w:type="dxa"/>
            <w:tcBorders>
              <w:left w:val="single" w:color="auto" w:sz="4" w:space="0"/>
              <w:bottom w:val="nil"/>
            </w:tcBorders>
            <w:vAlign w:val="center"/>
          </w:tcPr>
          <w:p>
            <w:pPr>
              <w:spacing w:before="67" w:line="209" w:lineRule="auto"/>
              <w:ind w:left="23" w:leftChars="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质量指标</w:t>
            </w:r>
          </w:p>
        </w:tc>
        <w:tc>
          <w:tcPr>
            <w:tcW w:w="2086" w:type="dxa"/>
            <w:gridSpan w:val="2"/>
            <w:vAlign w:val="center"/>
          </w:tcPr>
          <w:p>
            <w:pPr>
              <w:spacing w:before="67" w:line="209" w:lineRule="auto"/>
              <w:ind w:left="23" w:leftChars="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烟叶税收目标任务完成率</w:t>
            </w:r>
          </w:p>
        </w:tc>
        <w:tc>
          <w:tcPr>
            <w:tcW w:w="1145" w:type="dxa"/>
            <w:vAlign w:val="center"/>
          </w:tcPr>
          <w:p>
            <w:pPr>
              <w:spacing w:before="67" w:line="209" w:lineRule="auto"/>
              <w:ind w:left="23" w:leftChars="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100%</w:t>
            </w:r>
          </w:p>
        </w:tc>
        <w:tc>
          <w:tcPr>
            <w:tcW w:w="951" w:type="dxa"/>
            <w:vAlign w:val="center"/>
          </w:tcPr>
          <w:p>
            <w:pPr>
              <w:spacing w:before="67" w:line="209" w:lineRule="auto"/>
              <w:ind w:left="23" w:leftChars="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102.13%</w:t>
            </w:r>
          </w:p>
        </w:tc>
        <w:tc>
          <w:tcPr>
            <w:tcW w:w="2469" w:type="dxa"/>
            <w:vAlign w:val="top"/>
          </w:tcPr>
          <w:p>
            <w:pPr>
              <w:jc w:val="center"/>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697" w:type="dxa"/>
            <w:vMerge w:val="continue"/>
            <w:vAlign w:val="center"/>
          </w:tcPr>
          <w:p>
            <w:pPr>
              <w:jc w:val="center"/>
              <w:rPr>
                <w:rFonts w:hint="eastAsia" w:ascii="仿宋_GB2312" w:hAnsi="仿宋_GB2312" w:eastAsia="仿宋_GB2312" w:cs="仿宋_GB2312"/>
                <w:sz w:val="21"/>
                <w:szCs w:val="21"/>
              </w:rPr>
            </w:pPr>
          </w:p>
        </w:tc>
        <w:tc>
          <w:tcPr>
            <w:tcW w:w="752" w:type="dxa"/>
            <w:vMerge w:val="restart"/>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效益指标</w:t>
            </w:r>
          </w:p>
        </w:tc>
        <w:tc>
          <w:tcPr>
            <w:tcW w:w="999" w:type="dxa"/>
            <w:tcBorders>
              <w:left w:val="single" w:color="auto" w:sz="4" w:space="0"/>
              <w:bottom w:val="nil"/>
            </w:tcBorders>
            <w:vAlign w:val="center"/>
          </w:tcPr>
          <w:p>
            <w:pPr>
              <w:spacing w:before="67" w:line="209" w:lineRule="auto"/>
              <w:ind w:left="23" w:leftChars="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社会效益指标</w:t>
            </w:r>
          </w:p>
        </w:tc>
        <w:tc>
          <w:tcPr>
            <w:tcW w:w="2086" w:type="dxa"/>
            <w:gridSpan w:val="2"/>
            <w:vAlign w:val="center"/>
          </w:tcPr>
          <w:p>
            <w:pPr>
              <w:spacing w:before="67" w:line="209" w:lineRule="auto"/>
              <w:ind w:left="23" w:leftChars="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全年烟农返税</w:t>
            </w:r>
          </w:p>
        </w:tc>
        <w:tc>
          <w:tcPr>
            <w:tcW w:w="1145" w:type="dxa"/>
            <w:vAlign w:val="center"/>
          </w:tcPr>
          <w:p>
            <w:pPr>
              <w:spacing w:before="67" w:line="209" w:lineRule="auto"/>
              <w:ind w:left="23" w:leftChars="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24.47万元%</w:t>
            </w:r>
          </w:p>
        </w:tc>
        <w:tc>
          <w:tcPr>
            <w:tcW w:w="951" w:type="dxa"/>
            <w:vAlign w:val="center"/>
          </w:tcPr>
          <w:p>
            <w:pPr>
              <w:spacing w:before="67" w:line="209" w:lineRule="auto"/>
              <w:ind w:left="23" w:leftChars="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29.45万元</w:t>
            </w:r>
          </w:p>
        </w:tc>
        <w:tc>
          <w:tcPr>
            <w:tcW w:w="2469" w:type="dxa"/>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2022年度烤烟受灾严重，提高补贴比例，待申报计划，未支付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697" w:type="dxa"/>
            <w:vMerge w:val="continue"/>
            <w:vAlign w:val="center"/>
          </w:tcPr>
          <w:p>
            <w:pPr>
              <w:jc w:val="center"/>
              <w:rPr>
                <w:rFonts w:hint="eastAsia" w:ascii="仿宋_GB2312" w:hAnsi="仿宋_GB2312" w:eastAsia="仿宋_GB2312" w:cs="仿宋_GB2312"/>
                <w:sz w:val="21"/>
                <w:szCs w:val="21"/>
              </w:rPr>
            </w:pPr>
          </w:p>
        </w:tc>
        <w:tc>
          <w:tcPr>
            <w:tcW w:w="752"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pacing w:val="-2"/>
                <w:sz w:val="21"/>
                <w:szCs w:val="21"/>
                <w:lang w:eastAsia="zh-CN"/>
              </w:rPr>
            </w:pPr>
          </w:p>
        </w:tc>
        <w:tc>
          <w:tcPr>
            <w:tcW w:w="999" w:type="dxa"/>
            <w:tcBorders>
              <w:left w:val="single" w:color="auto" w:sz="4" w:space="0"/>
              <w:bottom w:val="nil"/>
            </w:tcBorders>
            <w:vAlign w:val="center"/>
          </w:tcPr>
          <w:p>
            <w:pPr>
              <w:spacing w:before="67" w:line="209" w:lineRule="auto"/>
              <w:ind w:left="23" w:leftChars="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生态效益指标</w:t>
            </w:r>
          </w:p>
        </w:tc>
        <w:tc>
          <w:tcPr>
            <w:tcW w:w="2086" w:type="dxa"/>
            <w:gridSpan w:val="2"/>
            <w:vAlign w:val="center"/>
          </w:tcPr>
          <w:p>
            <w:pPr>
              <w:spacing w:before="67" w:line="209" w:lineRule="auto"/>
              <w:ind w:left="23" w:leftChars="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生态环保影响</w:t>
            </w:r>
          </w:p>
        </w:tc>
        <w:tc>
          <w:tcPr>
            <w:tcW w:w="1145" w:type="dxa"/>
            <w:vAlign w:val="center"/>
          </w:tcPr>
          <w:p>
            <w:pPr>
              <w:spacing w:before="67" w:line="209" w:lineRule="auto"/>
              <w:ind w:left="23" w:leftChars="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优</w:t>
            </w:r>
          </w:p>
        </w:tc>
        <w:tc>
          <w:tcPr>
            <w:tcW w:w="951" w:type="dxa"/>
            <w:vAlign w:val="center"/>
          </w:tcPr>
          <w:p>
            <w:pPr>
              <w:spacing w:before="67" w:line="209" w:lineRule="auto"/>
              <w:ind w:left="23" w:leftChars="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优</w:t>
            </w:r>
          </w:p>
        </w:tc>
        <w:tc>
          <w:tcPr>
            <w:tcW w:w="2469" w:type="dxa"/>
            <w:vAlign w:val="center"/>
          </w:tcPr>
          <w:p>
            <w:pPr>
              <w:jc w:val="center"/>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697" w:type="dxa"/>
            <w:vMerge w:val="continue"/>
            <w:vAlign w:val="center"/>
          </w:tcPr>
          <w:p>
            <w:pPr>
              <w:jc w:val="center"/>
              <w:rPr>
                <w:rFonts w:hint="eastAsia" w:ascii="仿宋_GB2312" w:hAnsi="仿宋_GB2312" w:eastAsia="仿宋_GB2312" w:cs="仿宋_GB2312"/>
                <w:sz w:val="21"/>
                <w:szCs w:val="21"/>
              </w:rPr>
            </w:pPr>
          </w:p>
        </w:tc>
        <w:tc>
          <w:tcPr>
            <w:tcW w:w="752" w:type="dxa"/>
            <w:tcBorders>
              <w:top w:val="single" w:color="auto" w:sz="4" w:space="0"/>
              <w:bottom w:val="nil"/>
            </w:tcBorders>
            <w:vAlign w:val="center"/>
          </w:tcPr>
          <w:p>
            <w:pPr>
              <w:spacing w:before="146" w:line="219" w:lineRule="auto"/>
              <w:ind w:left="191" w:right="124" w:hanging="70"/>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满意度</w:t>
            </w:r>
            <w:r>
              <w:rPr>
                <w:rFonts w:hint="eastAsia" w:ascii="仿宋_GB2312" w:hAnsi="仿宋_GB2312" w:eastAsia="仿宋_GB2312" w:cs="仿宋_GB2312"/>
                <w:spacing w:val="1"/>
                <w:sz w:val="21"/>
                <w:szCs w:val="21"/>
              </w:rPr>
              <w:t xml:space="preserve"> </w:t>
            </w:r>
            <w:r>
              <w:rPr>
                <w:rFonts w:hint="eastAsia" w:ascii="仿宋_GB2312" w:hAnsi="仿宋_GB2312" w:eastAsia="仿宋_GB2312" w:cs="仿宋_GB2312"/>
                <w:spacing w:val="-3"/>
                <w:sz w:val="21"/>
                <w:szCs w:val="21"/>
              </w:rPr>
              <w:t>指标</w:t>
            </w:r>
          </w:p>
        </w:tc>
        <w:tc>
          <w:tcPr>
            <w:tcW w:w="999" w:type="dxa"/>
            <w:tcBorders>
              <w:bottom w:val="nil"/>
            </w:tcBorders>
            <w:vAlign w:val="center"/>
          </w:tcPr>
          <w:p>
            <w:pPr>
              <w:spacing w:before="67" w:line="209" w:lineRule="auto"/>
              <w:ind w:left="23" w:leftChars="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服务对象满 意度指标</w:t>
            </w:r>
          </w:p>
        </w:tc>
        <w:tc>
          <w:tcPr>
            <w:tcW w:w="2086" w:type="dxa"/>
            <w:gridSpan w:val="2"/>
            <w:vAlign w:val="center"/>
          </w:tcPr>
          <w:p>
            <w:pPr>
              <w:spacing w:before="67" w:line="209" w:lineRule="auto"/>
              <w:ind w:left="23" w:leftChars="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辖内群众满意度</w:t>
            </w:r>
          </w:p>
        </w:tc>
        <w:tc>
          <w:tcPr>
            <w:tcW w:w="1145" w:type="dxa"/>
            <w:vAlign w:val="center"/>
          </w:tcPr>
          <w:p>
            <w:pPr>
              <w:spacing w:before="67" w:line="209" w:lineRule="auto"/>
              <w:ind w:left="23" w:leftChars="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≥95%</w:t>
            </w:r>
          </w:p>
        </w:tc>
        <w:tc>
          <w:tcPr>
            <w:tcW w:w="951" w:type="dxa"/>
            <w:vAlign w:val="center"/>
          </w:tcPr>
          <w:p>
            <w:pPr>
              <w:spacing w:before="67" w:line="209" w:lineRule="auto"/>
              <w:ind w:left="23" w:leftChars="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95%</w:t>
            </w:r>
          </w:p>
        </w:tc>
        <w:tc>
          <w:tcPr>
            <w:tcW w:w="2469" w:type="dxa"/>
            <w:vAlign w:val="top"/>
          </w:tcPr>
          <w:p>
            <w:pPr>
              <w:jc w:val="center"/>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trPr>
        <w:tc>
          <w:tcPr>
            <w:tcW w:w="697" w:type="dxa"/>
            <w:vMerge w:val="continue"/>
            <w:vAlign w:val="center"/>
          </w:tcPr>
          <w:p>
            <w:pPr>
              <w:spacing w:before="48" w:line="220" w:lineRule="auto"/>
              <w:ind w:left="3664"/>
              <w:jc w:val="center"/>
              <w:rPr>
                <w:rFonts w:hint="eastAsia" w:ascii="仿宋_GB2312" w:hAnsi="仿宋_GB2312" w:eastAsia="仿宋_GB2312" w:cs="仿宋_GB2312"/>
                <w:sz w:val="21"/>
                <w:szCs w:val="21"/>
              </w:rPr>
            </w:pPr>
          </w:p>
        </w:tc>
        <w:tc>
          <w:tcPr>
            <w:tcW w:w="752" w:type="dxa"/>
            <w:vAlign w:val="center"/>
          </w:tcPr>
          <w:p>
            <w:pPr>
              <w:spacing w:before="146" w:line="219" w:lineRule="auto"/>
              <w:ind w:left="191" w:leftChars="0" w:right="124" w:rightChars="0" w:hanging="70" w:firstLineChars="0"/>
              <w:jc w:val="center"/>
              <w:rPr>
                <w:rFonts w:hint="eastAsia" w:ascii="仿宋_GB2312" w:hAnsi="仿宋_GB2312" w:eastAsia="仿宋_GB2312" w:cs="仿宋_GB2312"/>
                <w:snapToGrid w:val="0"/>
                <w:color w:val="000000"/>
                <w:kern w:val="0"/>
                <w:sz w:val="21"/>
                <w:szCs w:val="21"/>
                <w:lang w:eastAsia="zh-CN"/>
              </w:rPr>
            </w:pPr>
            <w:r>
              <w:rPr>
                <w:rFonts w:hint="eastAsia" w:ascii="仿宋_GB2312" w:hAnsi="仿宋_GB2312" w:eastAsia="仿宋_GB2312" w:cs="仿宋_GB2312"/>
                <w:spacing w:val="-3"/>
                <w:sz w:val="21"/>
                <w:szCs w:val="21"/>
                <w:lang w:eastAsia="zh-CN"/>
              </w:rPr>
              <w:t>成本指标</w:t>
            </w:r>
          </w:p>
        </w:tc>
        <w:tc>
          <w:tcPr>
            <w:tcW w:w="999" w:type="dxa"/>
            <w:vAlign w:val="center"/>
          </w:tcPr>
          <w:p>
            <w:pPr>
              <w:spacing w:before="67" w:line="209" w:lineRule="auto"/>
              <w:ind w:left="23" w:leftChars="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经济成本指标</w:t>
            </w:r>
          </w:p>
        </w:tc>
        <w:tc>
          <w:tcPr>
            <w:tcW w:w="2086" w:type="dxa"/>
            <w:gridSpan w:val="2"/>
            <w:vAlign w:val="center"/>
          </w:tcPr>
          <w:p>
            <w:pPr>
              <w:spacing w:before="67" w:line="209" w:lineRule="auto"/>
              <w:ind w:left="23" w:leftChars="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全年投入额</w:t>
            </w:r>
          </w:p>
        </w:tc>
        <w:tc>
          <w:tcPr>
            <w:tcW w:w="1145" w:type="dxa"/>
            <w:vAlign w:val="center"/>
          </w:tcPr>
          <w:p>
            <w:pPr>
              <w:spacing w:before="67" w:line="209" w:lineRule="auto"/>
              <w:ind w:left="23" w:leftChars="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61.18万元</w:t>
            </w:r>
          </w:p>
        </w:tc>
        <w:tc>
          <w:tcPr>
            <w:tcW w:w="951" w:type="dxa"/>
            <w:vAlign w:val="center"/>
          </w:tcPr>
          <w:p>
            <w:pPr>
              <w:spacing w:before="67" w:line="209" w:lineRule="auto"/>
              <w:ind w:left="23" w:leftChars="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10.55万元</w:t>
            </w:r>
          </w:p>
        </w:tc>
        <w:tc>
          <w:tcPr>
            <w:tcW w:w="2469" w:type="dxa"/>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项目特殊性，剩余部分将于2023年度支付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9" w:hRule="atLeast"/>
        </w:trPr>
        <w:tc>
          <w:tcPr>
            <w:tcW w:w="6630" w:type="dxa"/>
            <w:gridSpan w:val="7"/>
            <w:vAlign w:val="center"/>
          </w:tcPr>
          <w:p>
            <w:pPr>
              <w:spacing w:before="67" w:line="209" w:lineRule="auto"/>
              <w:ind w:left="23" w:leftChars="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总分</w:t>
            </w:r>
          </w:p>
        </w:tc>
        <w:tc>
          <w:tcPr>
            <w:tcW w:w="2469" w:type="dxa"/>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97.5</w:t>
            </w:r>
          </w:p>
        </w:tc>
      </w:tr>
    </w:tbl>
    <w:p>
      <w:pPr>
        <w:widowControl/>
        <w:jc w:val="left"/>
        <w:rPr>
          <w:rStyle w:val="30"/>
          <w:rFonts w:ascii="黑体" w:hAnsi="黑体" w:eastAsia="黑体"/>
          <w:b w:val="0"/>
          <w:color w:val="auto"/>
          <w:highlight w:val="none"/>
        </w:rPr>
      </w:pPr>
      <w:r>
        <w:rPr>
          <w:rStyle w:val="30"/>
          <w:rFonts w:ascii="黑体" w:hAnsi="黑体" w:eastAsia="黑体"/>
          <w:b w:val="0"/>
          <w:color w:val="auto"/>
          <w:highlight w:val="none"/>
        </w:rPr>
        <w:br w:type="page"/>
      </w:r>
    </w:p>
    <w:p>
      <w:pPr>
        <w:spacing w:line="576" w:lineRule="exact"/>
        <w:jc w:val="center"/>
        <w:rPr>
          <w:rFonts w:hint="eastAsia" w:ascii="方正小标宋简体" w:hAnsi="方正小标宋简体" w:eastAsia="方正小标宋简体" w:cs="方正小标宋简体"/>
          <w:color w:val="000000" w:themeColor="text1"/>
          <w:spacing w:val="11"/>
          <w:sz w:val="44"/>
          <w:szCs w:val="44"/>
          <w:lang w:val="zh-CN"/>
          <w14:textFill>
            <w14:solidFill>
              <w14:schemeClr w14:val="tx1"/>
            </w14:solidFill>
          </w14:textFill>
        </w:rPr>
      </w:pPr>
      <w:r>
        <w:rPr>
          <w:rFonts w:hint="eastAsia" w:ascii="方正小标宋简体" w:hAnsi="方正小标宋简体" w:eastAsia="方正小标宋简体" w:cs="方正小标宋简体"/>
          <w:sz w:val="44"/>
          <w:szCs w:val="44"/>
          <w:lang w:val="zh-CN"/>
        </w:rPr>
        <w:t>关于2022年中央纪检监察转移支付资金财政项目支出绩效自评报告</w:t>
      </w:r>
    </w:p>
    <w:p>
      <w:pPr>
        <w:spacing w:line="576" w:lineRule="exact"/>
        <w:ind w:firstLine="640" w:firstLineChars="200"/>
        <w:rPr>
          <w:rFonts w:eastAsia="仿宋_GB2312" w:cs="仿宋_GB2312"/>
          <w:color w:val="000000" w:themeColor="text1"/>
          <w:sz w:val="32"/>
          <w:szCs w:val="32"/>
          <w:lang w:val="zh-CN"/>
          <w14:textFill>
            <w14:solidFill>
              <w14:schemeClr w14:val="tx1"/>
            </w14:solidFill>
          </w14:textFill>
        </w:rPr>
      </w:pPr>
    </w:p>
    <w:p>
      <w:pPr>
        <w:spacing w:line="536" w:lineRule="exact"/>
        <w:ind w:firstLine="640" w:firstLineChars="200"/>
        <w:outlineLvl w:val="1"/>
        <w:rPr>
          <w:rFonts w:eastAsia="黑体" w:cs="黑体"/>
          <w:color w:val="000000" w:themeColor="text1"/>
          <w:sz w:val="32"/>
          <w:szCs w:val="32"/>
          <w:lang w:val="zh-CN"/>
          <w14:textFill>
            <w14:solidFill>
              <w14:schemeClr w14:val="tx1"/>
            </w14:solidFill>
          </w14:textFill>
        </w:rPr>
      </w:pPr>
      <w:bookmarkStart w:id="207" w:name="_Toc28730"/>
      <w:r>
        <w:rPr>
          <w:rFonts w:hint="eastAsia" w:eastAsia="黑体" w:cs="黑体"/>
          <w:color w:val="000000" w:themeColor="text1"/>
          <w:sz w:val="32"/>
          <w:szCs w:val="32"/>
          <w:lang w:val="zh-CN"/>
          <w14:textFill>
            <w14:solidFill>
              <w14:schemeClr w14:val="tx1"/>
            </w14:solidFill>
          </w14:textFill>
        </w:rPr>
        <w:t>一、项目概况</w:t>
      </w:r>
      <w:bookmarkEnd w:id="207"/>
    </w:p>
    <w:p>
      <w:pPr>
        <w:spacing w:line="536" w:lineRule="exact"/>
        <w:ind w:firstLine="643" w:firstLineChars="200"/>
        <w:outlineLvl w:val="2"/>
        <w:rPr>
          <w:rFonts w:hint="eastAsia" w:eastAsia="楷体_GB2312" w:cs="楷体_GB2312"/>
          <w:color w:val="000000" w:themeColor="text1"/>
          <w:sz w:val="32"/>
          <w:szCs w:val="32"/>
          <w:lang w:val="zh-CN"/>
          <w14:textFill>
            <w14:solidFill>
              <w14:schemeClr w14:val="tx1"/>
            </w14:solidFill>
          </w14:textFill>
        </w:rPr>
      </w:pPr>
      <w:bookmarkStart w:id="208" w:name="_Toc9647"/>
      <w:r>
        <w:rPr>
          <w:rFonts w:hint="eastAsia" w:ascii="楷体" w:hAnsi="楷体" w:eastAsia="楷体" w:cs="楷体"/>
          <w:b/>
          <w:bCs/>
          <w:color w:val="000000" w:themeColor="text1"/>
          <w:sz w:val="32"/>
          <w:szCs w:val="32"/>
          <w:lang w:val="zh-CN"/>
          <w14:textFill>
            <w14:solidFill>
              <w14:schemeClr w14:val="tx1"/>
            </w14:solidFill>
          </w14:textFill>
        </w:rPr>
        <w:t>(一)项目资金申报及批复情况</w:t>
      </w:r>
      <w:bookmarkEnd w:id="20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该项目申报资金性质为一般公共预算，总申报金额为4.6万元。上级实际批复和安排预算资金为4.6万元。</w:t>
      </w:r>
      <w:r>
        <w:rPr>
          <w:rFonts w:hint="eastAsia" w:eastAsia="楷体_GB2312" w:cs="楷体_GB2312"/>
          <w:color w:val="000000" w:themeColor="text1"/>
          <w:sz w:val="32"/>
          <w:szCs w:val="32"/>
          <w:lang w:val="zh-CN"/>
          <w14:textFill>
            <w14:solidFill>
              <w14:schemeClr w14:val="tx1"/>
            </w14:solidFill>
          </w14:textFill>
        </w:rPr>
        <w:t xml:space="preserve"> </w:t>
      </w:r>
    </w:p>
    <w:p>
      <w:pPr>
        <w:spacing w:line="536" w:lineRule="exact"/>
        <w:ind w:firstLine="643" w:firstLineChars="200"/>
        <w:outlineLvl w:val="2"/>
        <w:rPr>
          <w:rFonts w:hint="eastAsia" w:ascii="楷体" w:hAnsi="楷体" w:eastAsia="楷体" w:cs="楷体"/>
          <w:b/>
          <w:bCs/>
          <w:color w:val="000000" w:themeColor="text1"/>
          <w:sz w:val="32"/>
          <w:szCs w:val="32"/>
          <w:lang w:val="zh-CN"/>
          <w14:textFill>
            <w14:solidFill>
              <w14:schemeClr w14:val="tx1"/>
            </w14:solidFill>
          </w14:textFill>
        </w:rPr>
      </w:pPr>
      <w:bookmarkStart w:id="209" w:name="_Toc19670"/>
      <w:r>
        <w:rPr>
          <w:rFonts w:hint="eastAsia" w:ascii="楷体" w:hAnsi="楷体" w:eastAsia="楷体" w:cs="楷体"/>
          <w:b/>
          <w:bCs/>
          <w:color w:val="000000" w:themeColor="text1"/>
          <w:sz w:val="32"/>
          <w:szCs w:val="32"/>
          <w:lang w:val="zh-CN"/>
          <w14:textFill>
            <w14:solidFill>
              <w14:schemeClr w14:val="tx1"/>
            </w14:solidFill>
          </w14:textFill>
        </w:rPr>
        <w:t>(二)项目绩效目标</w:t>
      </w:r>
      <w:bookmarkEnd w:id="20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项目年初申报绩效目标为：</w:t>
      </w:r>
      <w:r>
        <w:rPr>
          <w:rFonts w:hint="eastAsia" w:ascii="仿宋_GB2312" w:hAnsi="仿宋_GB2312" w:eastAsia="仿宋_GB2312" w:cs="仿宋_GB2312"/>
          <w:sz w:val="32"/>
          <w:szCs w:val="32"/>
          <w:lang w:val="zh-CN"/>
        </w:rPr>
        <w:t>用于强化监督执纪问责和监督调查处置职能，围绕现代化建设大局发挥监督保障作用，以便更好的服务民生大众。</w:t>
      </w:r>
    </w:p>
    <w:p>
      <w:pPr>
        <w:spacing w:line="536" w:lineRule="exact"/>
        <w:ind w:firstLine="643" w:firstLineChars="200"/>
        <w:outlineLvl w:val="2"/>
        <w:rPr>
          <w:rFonts w:hint="eastAsia" w:ascii="楷体" w:hAnsi="楷体" w:eastAsia="楷体" w:cs="楷体"/>
          <w:b/>
          <w:bCs/>
          <w:color w:val="000000" w:themeColor="text1"/>
          <w:sz w:val="32"/>
          <w:szCs w:val="32"/>
          <w:lang w:val="zh-CN"/>
          <w14:textFill>
            <w14:solidFill>
              <w14:schemeClr w14:val="tx1"/>
            </w14:solidFill>
          </w14:textFill>
        </w:rPr>
      </w:pPr>
      <w:bookmarkStart w:id="210" w:name="_Toc9024"/>
      <w:r>
        <w:rPr>
          <w:rFonts w:hint="eastAsia" w:ascii="楷体" w:hAnsi="楷体" w:eastAsia="楷体" w:cs="楷体"/>
          <w:b/>
          <w:bCs/>
          <w:color w:val="000000" w:themeColor="text1"/>
          <w:sz w:val="32"/>
          <w:szCs w:val="32"/>
          <w:lang w:val="zh-CN"/>
          <w14:textFill>
            <w14:solidFill>
              <w14:schemeClr w14:val="tx1"/>
            </w14:solidFill>
          </w14:textFill>
        </w:rPr>
        <w:t>(三)项目资金申报相符性</w:t>
      </w:r>
      <w:bookmarkEnd w:id="21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纪检监察转移支付资金严格按照年初项目经费申报要求执行，项目经费申报符合当年本单位工作需要，并达到预期目标。申报内容与实际相符、申报目标合理可行。</w:t>
      </w:r>
    </w:p>
    <w:p>
      <w:pPr>
        <w:spacing w:line="536" w:lineRule="exact"/>
        <w:ind w:firstLine="643" w:firstLineChars="200"/>
        <w:outlineLvl w:val="2"/>
        <w:rPr>
          <w:rFonts w:hint="eastAsia" w:ascii="楷体" w:hAnsi="楷体" w:eastAsia="楷体" w:cs="楷体"/>
          <w:b/>
          <w:bCs/>
          <w:color w:val="000000" w:themeColor="text1"/>
          <w:sz w:val="32"/>
          <w:szCs w:val="32"/>
          <w:lang w:val="zh-CN"/>
          <w14:textFill>
            <w14:solidFill>
              <w14:schemeClr w14:val="tx1"/>
            </w14:solidFill>
          </w14:textFill>
        </w:rPr>
      </w:pPr>
      <w:bookmarkStart w:id="211" w:name="_Toc5397"/>
      <w:r>
        <w:rPr>
          <w:rFonts w:hint="eastAsia" w:ascii="楷体" w:hAnsi="楷体" w:eastAsia="楷体" w:cs="楷体"/>
          <w:b/>
          <w:bCs/>
          <w:color w:val="000000" w:themeColor="text1"/>
          <w:sz w:val="32"/>
          <w:szCs w:val="32"/>
          <w:lang w:val="zh-CN"/>
          <w14:textFill>
            <w14:solidFill>
              <w14:schemeClr w14:val="tx1"/>
            </w14:solidFill>
          </w14:textFill>
        </w:rPr>
        <w:t>(四)自评步骤及方法</w:t>
      </w:r>
      <w:bookmarkEnd w:id="21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制定方案、资料收集、审核评价资料及撰写报告等几个阶段，认真、准确填写自评数据表，形成详实的自评报告，并在2023年4月20日之前按时完成自评工作，对所报送自评材料的真实性、完整性、一致性、规范性负责。</w:t>
      </w:r>
    </w:p>
    <w:p>
      <w:pPr>
        <w:spacing w:line="536" w:lineRule="exact"/>
        <w:ind w:firstLine="640" w:firstLineChars="200"/>
        <w:outlineLvl w:val="1"/>
        <w:rPr>
          <w:rFonts w:hint="eastAsia" w:eastAsia="黑体" w:cs="黑体"/>
          <w:color w:val="000000" w:themeColor="text1"/>
          <w:sz w:val="32"/>
          <w:szCs w:val="32"/>
          <w:lang w:val="zh-CN"/>
          <w14:textFill>
            <w14:solidFill>
              <w14:schemeClr w14:val="tx1"/>
            </w14:solidFill>
          </w14:textFill>
        </w:rPr>
      </w:pPr>
      <w:bookmarkStart w:id="212" w:name="_Toc5703"/>
      <w:r>
        <w:rPr>
          <w:rFonts w:hint="eastAsia" w:eastAsia="黑体" w:cs="黑体"/>
          <w:color w:val="000000" w:themeColor="text1"/>
          <w:sz w:val="32"/>
          <w:szCs w:val="32"/>
          <w:lang w:val="zh-CN"/>
          <w14:textFill>
            <w14:solidFill>
              <w14:schemeClr w14:val="tx1"/>
            </w14:solidFill>
          </w14:textFill>
        </w:rPr>
        <w:t>二、项目实施及管理情况</w:t>
      </w:r>
      <w:bookmarkEnd w:id="212"/>
    </w:p>
    <w:p>
      <w:pPr>
        <w:spacing w:line="536" w:lineRule="exact"/>
        <w:ind w:firstLine="643" w:firstLineChars="200"/>
        <w:outlineLvl w:val="2"/>
        <w:rPr>
          <w:rFonts w:hint="eastAsia" w:ascii="楷体" w:hAnsi="楷体" w:eastAsia="楷体" w:cs="楷体"/>
          <w:b/>
          <w:bCs/>
          <w:color w:val="000000" w:themeColor="text1"/>
          <w:sz w:val="32"/>
          <w:szCs w:val="32"/>
          <w:lang w:val="zh-CN"/>
          <w14:textFill>
            <w14:solidFill>
              <w14:schemeClr w14:val="tx1"/>
            </w14:solidFill>
          </w14:textFill>
        </w:rPr>
      </w:pPr>
      <w:bookmarkStart w:id="213" w:name="_Toc11470"/>
      <w:r>
        <w:rPr>
          <w:rFonts w:hint="eastAsia" w:ascii="楷体" w:hAnsi="楷体" w:eastAsia="楷体" w:cs="楷体"/>
          <w:b/>
          <w:bCs/>
          <w:color w:val="000000" w:themeColor="text1"/>
          <w:sz w:val="32"/>
          <w:szCs w:val="32"/>
          <w:lang w:val="zh-CN"/>
          <w14:textFill>
            <w14:solidFill>
              <w14:schemeClr w14:val="tx1"/>
            </w14:solidFill>
          </w14:textFill>
        </w:rPr>
        <w:t>(一)资金计划、到位及使用情况</w:t>
      </w:r>
      <w:bookmarkEnd w:id="21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1.资金计划及到位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各项目资金来源均为财政资金。资金到位及时，资金到位率100%、到位及时性90%。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2.资金使用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2022年中央纪检监察转移支付资金预算支出4.6万元，实际支出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lang w:val="zh-CN" w:eastAsia="zh-CN"/>
        </w:rPr>
        <w:t>将于</w:t>
      </w:r>
      <w:r>
        <w:rPr>
          <w:rFonts w:hint="eastAsia" w:ascii="仿宋_GB2312" w:hAnsi="仿宋_GB2312" w:eastAsia="仿宋_GB2312" w:cs="仿宋_GB2312"/>
          <w:sz w:val="32"/>
          <w:szCs w:val="32"/>
          <w:lang w:val="en-US" w:eastAsia="zh-CN"/>
        </w:rPr>
        <w:t>2023年度支付，</w:t>
      </w:r>
      <w:r>
        <w:rPr>
          <w:rFonts w:hint="eastAsia" w:ascii="仿宋_GB2312" w:hAnsi="仿宋_GB2312" w:eastAsia="仿宋_GB2312" w:cs="仿宋_GB2312"/>
          <w:sz w:val="32"/>
          <w:szCs w:val="32"/>
          <w:lang w:val="zh-CN"/>
        </w:rPr>
        <w:t>主要用于</w:t>
      </w:r>
      <w:r>
        <w:rPr>
          <w:rFonts w:hint="eastAsia" w:ascii="仿宋_GB2312" w:hAnsi="仿宋_GB2312" w:eastAsia="仿宋_GB2312" w:cs="仿宋_GB2312"/>
          <w:sz w:val="32"/>
          <w:szCs w:val="32"/>
          <w:lang w:val="zh-CN" w:eastAsia="zh-CN"/>
        </w:rPr>
        <w:t>磨滩</w:t>
      </w:r>
      <w:r>
        <w:rPr>
          <w:rFonts w:hint="eastAsia" w:ascii="仿宋_GB2312" w:hAnsi="仿宋_GB2312" w:eastAsia="仿宋_GB2312" w:cs="仿宋_GB2312"/>
          <w:sz w:val="32"/>
          <w:szCs w:val="32"/>
          <w:lang w:val="zh-CN"/>
        </w:rPr>
        <w:t>镇纪委谈话室的建设。</w:t>
      </w:r>
    </w:p>
    <w:p>
      <w:pPr>
        <w:spacing w:line="536" w:lineRule="exact"/>
        <w:ind w:firstLine="643" w:firstLineChars="200"/>
        <w:outlineLvl w:val="2"/>
        <w:rPr>
          <w:rFonts w:hint="eastAsia" w:ascii="楷体" w:hAnsi="楷体" w:eastAsia="楷体" w:cs="楷体"/>
          <w:b/>
          <w:bCs/>
          <w:color w:val="000000" w:themeColor="text1"/>
          <w:sz w:val="32"/>
          <w:szCs w:val="32"/>
          <w:lang w:val="zh-CN"/>
          <w14:textFill>
            <w14:solidFill>
              <w14:schemeClr w14:val="tx1"/>
            </w14:solidFill>
          </w14:textFill>
        </w:rPr>
      </w:pPr>
      <w:bookmarkStart w:id="214" w:name="_Toc89"/>
      <w:r>
        <w:rPr>
          <w:rFonts w:hint="eastAsia" w:ascii="楷体" w:hAnsi="楷体" w:eastAsia="楷体" w:cs="楷体"/>
          <w:b/>
          <w:bCs/>
          <w:color w:val="000000" w:themeColor="text1"/>
          <w:sz w:val="32"/>
          <w:szCs w:val="32"/>
          <w:lang w:val="zh-CN"/>
          <w14:textFill>
            <w14:solidFill>
              <w14:schemeClr w14:val="tx1"/>
            </w14:solidFill>
          </w14:textFill>
        </w:rPr>
        <w:t>(二)项目财务管理情况</w:t>
      </w:r>
      <w:bookmarkEnd w:id="21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我镇有健全的财务制度，资金拨付严格按照财务管理制度进行管理，保证专款专用，资金发放复查由财务人员按照财务制度进行资金的审核、支付和核算，所有支出均按政策执行，在具体支付时，具备了资金发票等相关材料，手续完善，不存在虚假会计凭证的情况，会计严格执行财务管理制度，财务处理及时，核算规范。</w:t>
      </w:r>
    </w:p>
    <w:p>
      <w:pPr>
        <w:spacing w:line="536" w:lineRule="exact"/>
        <w:ind w:firstLine="643" w:firstLineChars="200"/>
        <w:outlineLvl w:val="2"/>
        <w:rPr>
          <w:rFonts w:hint="eastAsia" w:ascii="楷体" w:hAnsi="楷体" w:eastAsia="楷体" w:cs="楷体"/>
          <w:b/>
          <w:bCs/>
          <w:color w:val="000000" w:themeColor="text1"/>
          <w:sz w:val="32"/>
          <w:szCs w:val="32"/>
          <w:lang w:val="zh-CN"/>
          <w14:textFill>
            <w14:solidFill>
              <w14:schemeClr w14:val="tx1"/>
            </w14:solidFill>
          </w14:textFill>
        </w:rPr>
      </w:pPr>
      <w:bookmarkStart w:id="215" w:name="_Toc20487"/>
      <w:r>
        <w:rPr>
          <w:rFonts w:hint="eastAsia" w:ascii="楷体" w:hAnsi="楷体" w:eastAsia="楷体" w:cs="楷体"/>
          <w:b/>
          <w:bCs/>
          <w:color w:val="000000" w:themeColor="text1"/>
          <w:sz w:val="32"/>
          <w:szCs w:val="32"/>
          <w:lang w:val="zh-CN"/>
          <w14:textFill>
            <w14:solidFill>
              <w14:schemeClr w14:val="tx1"/>
            </w14:solidFill>
          </w14:textFill>
        </w:rPr>
        <w:t>(三)项目组织实施及管理情况</w:t>
      </w:r>
      <w:bookmarkEnd w:id="21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该资金主要用于</w:t>
      </w:r>
      <w:r>
        <w:rPr>
          <w:rFonts w:hint="eastAsia" w:ascii="仿宋_GB2312" w:hAnsi="仿宋_GB2312" w:eastAsia="仿宋_GB2312" w:cs="仿宋_GB2312"/>
          <w:sz w:val="32"/>
          <w:szCs w:val="32"/>
          <w:lang w:val="zh-CN" w:eastAsia="zh-CN"/>
        </w:rPr>
        <w:t>磨滩</w:t>
      </w:r>
      <w:r>
        <w:rPr>
          <w:rFonts w:hint="eastAsia" w:ascii="仿宋_GB2312" w:hAnsi="仿宋_GB2312" w:eastAsia="仿宋_GB2312" w:cs="仿宋_GB2312"/>
          <w:sz w:val="32"/>
          <w:szCs w:val="32"/>
          <w:lang w:val="zh-CN"/>
        </w:rPr>
        <w:t>镇纪检谈话室建设，为全镇查处违反纪政纪案提供硬件设施及相关服务，为合理规范使用项目资金，提高资金使用效率，确保资金安全，我镇严格执行相关法律法规及项目管理制度，严格按照项目资金管理办法实施，资金拨付程序合规，符合资金批复用途。</w:t>
      </w:r>
    </w:p>
    <w:p>
      <w:pPr>
        <w:spacing w:line="536" w:lineRule="exact"/>
        <w:ind w:firstLine="640" w:firstLineChars="200"/>
        <w:outlineLvl w:val="1"/>
        <w:rPr>
          <w:rFonts w:hint="eastAsia" w:eastAsia="黑体" w:cs="黑体"/>
          <w:color w:val="000000" w:themeColor="text1"/>
          <w:sz w:val="32"/>
          <w:szCs w:val="32"/>
          <w:lang w:val="zh-CN"/>
          <w14:textFill>
            <w14:solidFill>
              <w14:schemeClr w14:val="tx1"/>
            </w14:solidFill>
          </w14:textFill>
        </w:rPr>
      </w:pPr>
      <w:bookmarkStart w:id="216" w:name="_Toc4861"/>
      <w:r>
        <w:rPr>
          <w:rFonts w:hint="eastAsia" w:eastAsia="黑体" w:cs="黑体"/>
          <w:color w:val="000000" w:themeColor="text1"/>
          <w:sz w:val="32"/>
          <w:szCs w:val="32"/>
          <w:lang w:val="zh-CN"/>
          <w14:textFill>
            <w14:solidFill>
              <w14:schemeClr w14:val="tx1"/>
            </w14:solidFill>
          </w14:textFill>
        </w:rPr>
        <w:t>三、项目绩效情况</w:t>
      </w:r>
      <w:bookmarkEnd w:id="216"/>
    </w:p>
    <w:p>
      <w:pPr>
        <w:spacing w:line="536" w:lineRule="exact"/>
        <w:ind w:firstLine="643" w:firstLineChars="200"/>
        <w:outlineLvl w:val="2"/>
        <w:rPr>
          <w:rFonts w:hint="eastAsia" w:ascii="楷体" w:hAnsi="楷体" w:eastAsia="楷体" w:cs="楷体"/>
          <w:b/>
          <w:bCs/>
          <w:color w:val="000000" w:themeColor="text1"/>
          <w:sz w:val="32"/>
          <w:szCs w:val="32"/>
          <w:lang w:val="zh-CN"/>
          <w14:textFill>
            <w14:solidFill>
              <w14:schemeClr w14:val="tx1"/>
            </w14:solidFill>
          </w14:textFill>
        </w:rPr>
      </w:pPr>
      <w:bookmarkStart w:id="217" w:name="_Toc16711"/>
      <w:r>
        <w:rPr>
          <w:rFonts w:hint="eastAsia" w:ascii="楷体" w:hAnsi="楷体" w:eastAsia="楷体" w:cs="楷体"/>
          <w:b/>
          <w:bCs/>
          <w:color w:val="000000" w:themeColor="text1"/>
          <w:sz w:val="32"/>
          <w:szCs w:val="32"/>
          <w:lang w:val="zh-CN"/>
          <w14:textFill>
            <w14:solidFill>
              <w14:schemeClr w14:val="tx1"/>
            </w14:solidFill>
          </w14:textFill>
        </w:rPr>
        <w:t>(一)项目完成情况</w:t>
      </w:r>
      <w:bookmarkEnd w:id="21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完成改造纪委谈话室一间，有效提升乡镇案件查办质效，营造良好的政治生态环境，群众及相关干部满意度达98%，项目时效为2022年1月1日-12月31日。</w:t>
      </w:r>
    </w:p>
    <w:p>
      <w:pPr>
        <w:spacing w:line="536" w:lineRule="exact"/>
        <w:ind w:firstLine="643" w:firstLineChars="200"/>
        <w:outlineLvl w:val="2"/>
        <w:rPr>
          <w:rFonts w:eastAsia="仿宋_GB2312" w:cs="仿宋_GB2312"/>
          <w:color w:val="000000" w:themeColor="text1"/>
          <w:sz w:val="32"/>
          <w:szCs w:val="32"/>
          <w:lang w:val="zh-CN"/>
          <w14:textFill>
            <w14:solidFill>
              <w14:schemeClr w14:val="tx1"/>
            </w14:solidFill>
          </w14:textFill>
        </w:rPr>
      </w:pPr>
      <w:bookmarkStart w:id="218" w:name="_Toc26967"/>
      <w:r>
        <w:rPr>
          <w:rFonts w:hint="eastAsia" w:ascii="楷体" w:hAnsi="楷体" w:eastAsia="楷体" w:cs="楷体"/>
          <w:b/>
          <w:bCs/>
          <w:color w:val="000000" w:themeColor="text1"/>
          <w:sz w:val="32"/>
          <w:szCs w:val="32"/>
          <w:lang w:val="zh-CN"/>
          <w14:textFill>
            <w14:solidFill>
              <w14:schemeClr w14:val="tx1"/>
            </w14:solidFill>
          </w14:textFill>
        </w:rPr>
        <w:t>(二)项目效益情况</w:t>
      </w:r>
      <w:bookmarkEnd w:id="21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本单位2022年中央纪检监察转移支付资金4.6万元，数量指标完成100%；为经济发展提供了坚强的政治保障，营造了风清气正的良好政治生态，推动纪检监察工作高质量发展。</w:t>
      </w:r>
    </w:p>
    <w:p>
      <w:pPr>
        <w:spacing w:line="536" w:lineRule="exact"/>
        <w:ind w:firstLine="640" w:firstLineChars="200"/>
        <w:outlineLvl w:val="1"/>
        <w:rPr>
          <w:rFonts w:eastAsia="黑体" w:cs="黑体"/>
          <w:color w:val="000000" w:themeColor="text1"/>
          <w:sz w:val="32"/>
          <w:szCs w:val="32"/>
          <w:lang w:val="zh-CN"/>
          <w14:textFill>
            <w14:solidFill>
              <w14:schemeClr w14:val="tx1"/>
            </w14:solidFill>
          </w14:textFill>
        </w:rPr>
      </w:pPr>
      <w:bookmarkStart w:id="219" w:name="_Toc20239"/>
      <w:r>
        <w:rPr>
          <w:rFonts w:hint="eastAsia" w:eastAsia="黑体" w:cs="黑体"/>
          <w:color w:val="000000" w:themeColor="text1"/>
          <w:sz w:val="32"/>
          <w:szCs w:val="32"/>
          <w:lang w:val="zh-CN"/>
          <w14:textFill>
            <w14:solidFill>
              <w14:schemeClr w14:val="tx1"/>
            </w14:solidFill>
          </w14:textFill>
        </w:rPr>
        <w:t>四、自评结论及建议</w:t>
      </w:r>
      <w:bookmarkEnd w:id="219"/>
    </w:p>
    <w:p>
      <w:pPr>
        <w:spacing w:line="536" w:lineRule="exact"/>
        <w:ind w:firstLine="643" w:firstLineChars="200"/>
        <w:outlineLvl w:val="2"/>
        <w:rPr>
          <w:rFonts w:eastAsia="仿宋_GB2312" w:cs="仿宋_GB2312"/>
          <w:color w:val="000000" w:themeColor="text1"/>
          <w:sz w:val="32"/>
          <w:szCs w:val="32"/>
          <w:lang w:val="zh-CN"/>
          <w14:textFill>
            <w14:solidFill>
              <w14:schemeClr w14:val="tx1"/>
            </w14:solidFill>
          </w14:textFill>
        </w:rPr>
      </w:pPr>
      <w:bookmarkStart w:id="220" w:name="_Toc24612"/>
      <w:r>
        <w:rPr>
          <w:rFonts w:hint="eastAsia" w:ascii="楷体" w:hAnsi="楷体" w:eastAsia="楷体" w:cs="楷体"/>
          <w:b/>
          <w:bCs/>
          <w:color w:val="000000" w:themeColor="text1"/>
          <w:sz w:val="32"/>
          <w:szCs w:val="32"/>
          <w:lang w:val="zh-CN"/>
          <w14:textFill>
            <w14:solidFill>
              <w14:schemeClr w14:val="tx1"/>
            </w14:solidFill>
          </w14:textFill>
        </w:rPr>
        <w:t>(一)评价结论</w:t>
      </w:r>
      <w:bookmarkEnd w:id="22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我镇项目设立经过严格评估论证，属于部门职责相符，属于公共财政支持范围，符合地方事权支出责任划分原则，与相关部门同类项目或部门内部无相关项目重复。项目规划符合省委、区委、省政府、区政府重大决策部署，项目绩效目标合理、明确，与项目年度目标一致。总体评价98.5分。</w:t>
      </w:r>
    </w:p>
    <w:p>
      <w:pPr>
        <w:spacing w:line="536" w:lineRule="exact"/>
        <w:ind w:firstLine="643" w:firstLineChars="200"/>
        <w:outlineLvl w:val="2"/>
        <w:rPr>
          <w:rFonts w:hint="eastAsia" w:ascii="楷体" w:hAnsi="楷体" w:eastAsia="楷体" w:cs="楷体"/>
          <w:b/>
          <w:bCs/>
          <w:color w:val="000000" w:themeColor="text1"/>
          <w:sz w:val="32"/>
          <w:szCs w:val="32"/>
          <w:lang w:val="zh-CN"/>
          <w14:textFill>
            <w14:solidFill>
              <w14:schemeClr w14:val="tx1"/>
            </w14:solidFill>
          </w14:textFill>
        </w:rPr>
      </w:pPr>
      <w:bookmarkStart w:id="221" w:name="_Toc4700"/>
      <w:r>
        <w:rPr>
          <w:rFonts w:hint="eastAsia" w:ascii="楷体" w:hAnsi="楷体" w:eastAsia="楷体" w:cs="楷体"/>
          <w:b/>
          <w:bCs/>
          <w:color w:val="000000" w:themeColor="text1"/>
          <w:sz w:val="32"/>
          <w:szCs w:val="32"/>
          <w:lang w:val="zh-CN"/>
          <w14:textFill>
            <w14:solidFill>
              <w14:schemeClr w14:val="tx1"/>
            </w14:solidFill>
          </w14:textFill>
        </w:rPr>
        <w:t>(二)存在的问题</w:t>
      </w:r>
      <w:bookmarkEnd w:id="22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无</w:t>
      </w:r>
    </w:p>
    <w:p>
      <w:pPr>
        <w:spacing w:line="536" w:lineRule="exact"/>
        <w:ind w:firstLine="643" w:firstLineChars="200"/>
        <w:outlineLvl w:val="2"/>
        <w:rPr>
          <w:rFonts w:eastAsia="仿宋_GB2312" w:cs="仿宋_GB2312"/>
          <w:color w:val="000000" w:themeColor="text1"/>
          <w:sz w:val="32"/>
          <w:szCs w:val="32"/>
          <w:lang w:val="zh-CN"/>
          <w14:textFill>
            <w14:solidFill>
              <w14:schemeClr w14:val="tx1"/>
            </w14:solidFill>
          </w14:textFill>
        </w:rPr>
      </w:pPr>
      <w:bookmarkStart w:id="222" w:name="_Toc1724"/>
      <w:r>
        <w:rPr>
          <w:rFonts w:hint="eastAsia" w:ascii="楷体" w:hAnsi="楷体" w:eastAsia="楷体" w:cs="楷体"/>
          <w:b/>
          <w:bCs/>
          <w:color w:val="000000" w:themeColor="text1"/>
          <w:sz w:val="32"/>
          <w:szCs w:val="32"/>
          <w:lang w:val="zh-CN"/>
          <w14:textFill>
            <w14:solidFill>
              <w14:schemeClr w14:val="tx1"/>
            </w14:solidFill>
          </w14:textFill>
        </w:rPr>
        <w:t>(三)相关建议</w:t>
      </w:r>
      <w:bookmarkEnd w:id="22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强化转移支付资金的使用和管理，按时对转移支付资金的绩效目标自评报告进行公开，广泛接受社会监督。</w:t>
      </w:r>
    </w:p>
    <w:p>
      <w:pPr>
        <w:rPr>
          <w:rFonts w:hint="eastAsia"/>
        </w:rPr>
      </w:pPr>
      <w:r>
        <w:rPr>
          <w:rFonts w:hint="eastAsia"/>
        </w:rPr>
        <w:br w:type="page"/>
      </w:r>
    </w:p>
    <w:p>
      <w:pPr>
        <w:spacing w:before="103" w:line="219" w:lineRule="auto"/>
        <w:jc w:val="center"/>
        <w:rPr>
          <w:rFonts w:ascii="宋体" w:hAnsi="宋体" w:cs="宋体"/>
          <w:sz w:val="34"/>
          <w:szCs w:val="34"/>
        </w:rPr>
      </w:pPr>
      <w:r>
        <w:rPr>
          <w:rFonts w:hint="eastAsia" w:ascii="方正小标宋简体" w:hAnsi="方正小标宋简体" w:eastAsia="方正小标宋简体" w:cs="方正小标宋简体"/>
          <w:spacing w:val="-28"/>
          <w:sz w:val="44"/>
          <w:szCs w:val="44"/>
        </w:rPr>
        <w:t>广元市昭化区财政项目(政策)支出绩效自评表</w:t>
      </w:r>
    </w:p>
    <w:p>
      <w:pPr>
        <w:spacing w:before="86" w:line="219" w:lineRule="auto"/>
        <w:ind w:left="3894"/>
        <w:rPr>
          <w:rFonts w:ascii="宋体" w:hAnsi="宋体" w:cs="宋体"/>
          <w:sz w:val="22"/>
          <w:szCs w:val="22"/>
        </w:rPr>
      </w:pPr>
      <w:r>
        <w:rPr>
          <w:rFonts w:ascii="宋体" w:hAnsi="宋体" w:cs="宋体"/>
          <w:spacing w:val="-14"/>
          <w:sz w:val="22"/>
          <w:szCs w:val="22"/>
        </w:rPr>
        <w:t>(</w:t>
      </w:r>
      <w:r>
        <w:rPr>
          <w:rFonts w:hint="eastAsia" w:ascii="宋体" w:hAnsi="宋体" w:cs="宋体"/>
          <w:spacing w:val="32"/>
          <w:sz w:val="22"/>
          <w:szCs w:val="22"/>
        </w:rPr>
        <w:t>2022</w:t>
      </w:r>
      <w:r>
        <w:rPr>
          <w:rFonts w:ascii="宋体" w:hAnsi="宋体" w:cs="宋体"/>
          <w:spacing w:val="-14"/>
          <w:sz w:val="22"/>
          <w:szCs w:val="22"/>
        </w:rPr>
        <w:t>年度)</w:t>
      </w:r>
    </w:p>
    <w:p>
      <w:pPr>
        <w:spacing w:line="134" w:lineRule="exact"/>
      </w:pPr>
    </w:p>
    <w:tbl>
      <w:tblPr>
        <w:tblStyle w:val="39"/>
        <w:tblW w:w="909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7"/>
        <w:gridCol w:w="752"/>
        <w:gridCol w:w="999"/>
        <w:gridCol w:w="778"/>
        <w:gridCol w:w="1308"/>
        <w:gridCol w:w="1145"/>
        <w:gridCol w:w="951"/>
        <w:gridCol w:w="24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1449" w:type="dxa"/>
            <w:gridSpan w:val="2"/>
          </w:tcPr>
          <w:p>
            <w:pPr>
              <w:spacing w:before="82" w:line="220" w:lineRule="auto"/>
              <w:ind w:left="75"/>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项目(政策)名称</w:t>
            </w:r>
          </w:p>
        </w:tc>
        <w:tc>
          <w:tcPr>
            <w:tcW w:w="7650" w:type="dxa"/>
            <w:gridSpan w:val="6"/>
          </w:tcPr>
          <w:p>
            <w:pPr>
              <w:rPr>
                <w:rFonts w:hint="eastAsia" w:ascii="仿宋_GB2312" w:hAnsi="仿宋_GB2312" w:eastAsia="仿宋_GB2312" w:cs="仿宋_GB2312"/>
                <w:sz w:val="21"/>
                <w:szCs w:val="21"/>
              </w:rPr>
            </w:pPr>
            <w:r>
              <w:rPr>
                <w:rFonts w:hint="eastAsia" w:ascii="仿宋_GB2312" w:hAnsi="仿宋_GB2312" w:eastAsia="仿宋_GB2312" w:cs="仿宋_GB2312"/>
                <w:color w:val="000000" w:themeColor="text1"/>
                <w:sz w:val="21"/>
                <w:szCs w:val="21"/>
                <w14:textFill>
                  <w14:solidFill>
                    <w14:schemeClr w14:val="tx1"/>
                  </w14:solidFill>
                </w14:textFill>
              </w:rPr>
              <w:t>2022年中央纪检监察转移支付资金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449" w:type="dxa"/>
            <w:gridSpan w:val="2"/>
          </w:tcPr>
          <w:p>
            <w:pPr>
              <w:spacing w:before="78" w:line="219" w:lineRule="auto"/>
              <w:ind w:left="404"/>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主管部门</w:t>
            </w:r>
          </w:p>
        </w:tc>
        <w:tc>
          <w:tcPr>
            <w:tcW w:w="4230" w:type="dxa"/>
            <w:gridSpan w:val="4"/>
          </w:tcPr>
          <w:p>
            <w:pPr>
              <w:rPr>
                <w:rFonts w:hint="eastAsia" w:ascii="仿宋_GB2312" w:hAnsi="仿宋_GB2312" w:eastAsia="仿宋_GB2312" w:cs="仿宋_GB2312"/>
                <w:sz w:val="21"/>
                <w:szCs w:val="21"/>
              </w:rPr>
            </w:pPr>
            <w:r>
              <w:rPr>
                <w:rFonts w:hint="eastAsia" w:ascii="仿宋_GB2312" w:hAnsi="仿宋_GB2312" w:eastAsia="仿宋_GB2312" w:cs="仿宋_GB2312"/>
                <w:color w:val="000000" w:themeColor="text1"/>
                <w:sz w:val="21"/>
                <w:szCs w:val="21"/>
                <w14:textFill>
                  <w14:solidFill>
                    <w14:schemeClr w14:val="tx1"/>
                  </w14:solidFill>
                </w14:textFill>
              </w:rPr>
              <w:t>广元市昭化区纪委监委</w:t>
            </w:r>
          </w:p>
        </w:tc>
        <w:tc>
          <w:tcPr>
            <w:tcW w:w="951" w:type="dxa"/>
          </w:tcPr>
          <w:p>
            <w:pPr>
              <w:spacing w:before="78" w:line="219" w:lineRule="auto"/>
              <w:jc w:val="center"/>
              <w:rPr>
                <w:rFonts w:hint="eastAsia" w:ascii="仿宋_GB2312" w:hAnsi="仿宋_GB2312" w:eastAsia="仿宋_GB2312" w:cs="仿宋_GB2312"/>
                <w:spacing w:val="4"/>
                <w:sz w:val="21"/>
                <w:szCs w:val="21"/>
              </w:rPr>
            </w:pPr>
            <w:r>
              <w:rPr>
                <w:rFonts w:hint="eastAsia" w:ascii="仿宋_GB2312" w:hAnsi="仿宋_GB2312" w:eastAsia="仿宋_GB2312" w:cs="仿宋_GB2312"/>
                <w:spacing w:val="4"/>
                <w:sz w:val="21"/>
                <w:szCs w:val="21"/>
              </w:rPr>
              <w:t>实施单位</w:t>
            </w:r>
          </w:p>
        </w:tc>
        <w:tc>
          <w:tcPr>
            <w:tcW w:w="2469" w:type="dxa"/>
          </w:tcPr>
          <w:p>
            <w:pPr>
              <w:spacing w:before="78" w:line="219" w:lineRule="auto"/>
              <w:jc w:val="center"/>
              <w:rPr>
                <w:rFonts w:hint="eastAsia" w:ascii="仿宋_GB2312" w:hAnsi="仿宋_GB2312" w:eastAsia="仿宋_GB2312" w:cs="仿宋_GB2312"/>
                <w:spacing w:val="4"/>
                <w:sz w:val="21"/>
                <w:szCs w:val="21"/>
              </w:rPr>
            </w:pPr>
            <w:r>
              <w:rPr>
                <w:rFonts w:hint="eastAsia" w:ascii="仿宋_GB2312" w:hAnsi="仿宋_GB2312" w:eastAsia="仿宋_GB2312" w:cs="仿宋_GB2312"/>
                <w:spacing w:val="4"/>
                <w:sz w:val="21"/>
                <w:szCs w:val="21"/>
                <w:lang w:eastAsia="zh-CN"/>
              </w:rPr>
              <w:t>磨滩</w:t>
            </w:r>
            <w:r>
              <w:rPr>
                <w:rFonts w:hint="eastAsia" w:ascii="仿宋_GB2312" w:hAnsi="仿宋_GB2312" w:eastAsia="仿宋_GB2312" w:cs="仿宋_GB2312"/>
                <w:spacing w:val="4"/>
                <w:sz w:val="21"/>
                <w:szCs w:val="21"/>
              </w:rPr>
              <w:t>镇人民政府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8" w:hRule="atLeast"/>
        </w:trPr>
        <w:tc>
          <w:tcPr>
            <w:tcW w:w="1449" w:type="dxa"/>
            <w:gridSpan w:val="2"/>
            <w:vMerge w:val="restart"/>
            <w:tcBorders>
              <w:bottom w:val="nil"/>
            </w:tcBorders>
          </w:tcPr>
          <w:p>
            <w:pPr>
              <w:spacing w:line="279" w:lineRule="auto"/>
              <w:rPr>
                <w:rFonts w:hint="eastAsia" w:ascii="仿宋_GB2312" w:hAnsi="仿宋_GB2312" w:eastAsia="仿宋_GB2312" w:cs="仿宋_GB2312"/>
                <w:sz w:val="21"/>
                <w:szCs w:val="21"/>
              </w:rPr>
            </w:pPr>
          </w:p>
          <w:p>
            <w:pPr>
              <w:spacing w:line="279" w:lineRule="auto"/>
              <w:rPr>
                <w:rFonts w:hint="eastAsia" w:ascii="仿宋_GB2312" w:hAnsi="仿宋_GB2312" w:eastAsia="仿宋_GB2312" w:cs="仿宋_GB2312"/>
                <w:sz w:val="21"/>
                <w:szCs w:val="21"/>
              </w:rPr>
            </w:pPr>
          </w:p>
          <w:p>
            <w:pPr>
              <w:spacing w:line="279" w:lineRule="auto"/>
              <w:rPr>
                <w:rFonts w:hint="eastAsia" w:ascii="仿宋_GB2312" w:hAnsi="仿宋_GB2312" w:eastAsia="仿宋_GB2312" w:cs="仿宋_GB2312"/>
                <w:sz w:val="21"/>
                <w:szCs w:val="21"/>
              </w:rPr>
            </w:pPr>
          </w:p>
          <w:p>
            <w:pPr>
              <w:spacing w:line="279" w:lineRule="auto"/>
              <w:rPr>
                <w:rFonts w:hint="eastAsia" w:ascii="仿宋_GB2312" w:hAnsi="仿宋_GB2312" w:eastAsia="仿宋_GB2312" w:cs="仿宋_GB2312"/>
                <w:sz w:val="21"/>
                <w:szCs w:val="21"/>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0"/>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项目(政策)资金</w:t>
            </w:r>
            <w:r>
              <w:rPr>
                <w:rFonts w:hint="eastAsia" w:ascii="仿宋_GB2312" w:hAnsi="仿宋_GB2312" w:eastAsia="仿宋_GB2312" w:cs="仿宋_GB2312"/>
                <w:spacing w:val="9"/>
                <w:sz w:val="21"/>
                <w:szCs w:val="21"/>
              </w:rPr>
              <w:t>(万元)</w:t>
            </w:r>
          </w:p>
        </w:tc>
        <w:tc>
          <w:tcPr>
            <w:tcW w:w="1777" w:type="dxa"/>
            <w:gridSpan w:val="2"/>
          </w:tcPr>
          <w:p>
            <w:pPr>
              <w:rPr>
                <w:rFonts w:hint="eastAsia" w:ascii="仿宋_GB2312" w:hAnsi="仿宋_GB2312" w:eastAsia="仿宋_GB2312" w:cs="仿宋_GB2312"/>
                <w:sz w:val="21"/>
                <w:szCs w:val="21"/>
              </w:rPr>
            </w:pPr>
          </w:p>
        </w:tc>
        <w:tc>
          <w:tcPr>
            <w:tcW w:w="1308" w:type="dxa"/>
          </w:tcPr>
          <w:p>
            <w:pPr>
              <w:spacing w:before="77"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年初预算数</w:t>
            </w:r>
          </w:p>
        </w:tc>
        <w:tc>
          <w:tcPr>
            <w:tcW w:w="1145" w:type="dxa"/>
          </w:tcPr>
          <w:p>
            <w:pPr>
              <w:spacing w:before="98"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全年预算数</w:t>
            </w:r>
          </w:p>
        </w:tc>
        <w:tc>
          <w:tcPr>
            <w:tcW w:w="951" w:type="dxa"/>
          </w:tcPr>
          <w:p>
            <w:pPr>
              <w:spacing w:before="77"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全年执行数</w:t>
            </w:r>
          </w:p>
        </w:tc>
        <w:tc>
          <w:tcPr>
            <w:tcW w:w="2469" w:type="dxa"/>
          </w:tcPr>
          <w:p>
            <w:pPr>
              <w:spacing w:before="77"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执行率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449" w:type="dxa"/>
            <w:gridSpan w:val="2"/>
            <w:vMerge w:val="continue"/>
            <w:tcBorders>
              <w:top w:val="nil"/>
              <w:bottom w:val="nil"/>
            </w:tcBorders>
          </w:tcPr>
          <w:p>
            <w:pPr>
              <w:rPr>
                <w:rFonts w:hint="eastAsia" w:ascii="仿宋_GB2312" w:hAnsi="仿宋_GB2312" w:eastAsia="仿宋_GB2312" w:cs="仿宋_GB2312"/>
                <w:sz w:val="21"/>
                <w:szCs w:val="21"/>
              </w:rPr>
            </w:pPr>
          </w:p>
        </w:tc>
        <w:tc>
          <w:tcPr>
            <w:tcW w:w="1777" w:type="dxa"/>
            <w:gridSpan w:val="2"/>
          </w:tcPr>
          <w:p>
            <w:pPr>
              <w:spacing w:before="79" w:line="219" w:lineRule="auto"/>
              <w:ind w:left="151"/>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年度资金总额</w:t>
            </w:r>
          </w:p>
        </w:tc>
        <w:tc>
          <w:tcPr>
            <w:tcW w:w="1308" w:type="dxa"/>
          </w:tcPr>
          <w:p>
            <w:pPr>
              <w:spacing w:before="77" w:line="219" w:lineRule="auto"/>
              <w:jc w:val="center"/>
              <w:rPr>
                <w:rFonts w:hint="eastAsia" w:ascii="仿宋_GB2312" w:hAnsi="仿宋_GB2312" w:eastAsia="仿宋_GB2312" w:cs="仿宋_GB2312"/>
                <w:spacing w:val="-2"/>
                <w:sz w:val="21"/>
                <w:szCs w:val="21"/>
              </w:rPr>
            </w:pPr>
            <w:r>
              <w:rPr>
                <w:rFonts w:hint="eastAsia" w:ascii="仿宋_GB2312" w:hAnsi="仿宋_GB2312" w:eastAsia="仿宋_GB2312" w:cs="仿宋_GB2312"/>
                <w:spacing w:val="-2"/>
                <w:sz w:val="21"/>
                <w:szCs w:val="21"/>
              </w:rPr>
              <w:t>4.6</w:t>
            </w:r>
          </w:p>
        </w:tc>
        <w:tc>
          <w:tcPr>
            <w:tcW w:w="1145" w:type="dxa"/>
          </w:tcPr>
          <w:p>
            <w:pPr>
              <w:spacing w:before="77" w:line="219" w:lineRule="auto"/>
              <w:jc w:val="center"/>
              <w:rPr>
                <w:rFonts w:hint="eastAsia" w:ascii="仿宋_GB2312" w:hAnsi="仿宋_GB2312" w:eastAsia="仿宋_GB2312" w:cs="仿宋_GB2312"/>
                <w:spacing w:val="-2"/>
                <w:sz w:val="21"/>
                <w:szCs w:val="21"/>
              </w:rPr>
            </w:pPr>
            <w:r>
              <w:rPr>
                <w:rFonts w:hint="eastAsia" w:ascii="仿宋_GB2312" w:hAnsi="仿宋_GB2312" w:eastAsia="仿宋_GB2312" w:cs="仿宋_GB2312"/>
                <w:spacing w:val="-2"/>
                <w:sz w:val="21"/>
                <w:szCs w:val="21"/>
              </w:rPr>
              <w:t>4.6</w:t>
            </w:r>
          </w:p>
        </w:tc>
        <w:tc>
          <w:tcPr>
            <w:tcW w:w="951" w:type="dxa"/>
          </w:tcPr>
          <w:p>
            <w:pPr>
              <w:spacing w:before="77" w:line="219" w:lineRule="auto"/>
              <w:jc w:val="center"/>
              <w:rPr>
                <w:rFonts w:hint="eastAsia" w:ascii="仿宋_GB2312" w:hAnsi="仿宋_GB2312" w:eastAsia="仿宋_GB2312" w:cs="仿宋_GB2312"/>
                <w:spacing w:val="-2"/>
                <w:sz w:val="21"/>
                <w:szCs w:val="21"/>
                <w:lang w:eastAsia="zh-CN"/>
              </w:rPr>
            </w:pPr>
            <w:r>
              <w:rPr>
                <w:rFonts w:hint="eastAsia" w:ascii="仿宋_GB2312" w:hAnsi="仿宋_GB2312" w:eastAsia="仿宋_GB2312" w:cs="仿宋_GB2312"/>
                <w:spacing w:val="-2"/>
                <w:sz w:val="21"/>
                <w:szCs w:val="21"/>
                <w:lang w:val="en-US" w:eastAsia="zh-CN"/>
              </w:rPr>
              <w:t>0</w:t>
            </w:r>
          </w:p>
        </w:tc>
        <w:tc>
          <w:tcPr>
            <w:tcW w:w="2469" w:type="dxa"/>
            <w:vAlign w:val="center"/>
          </w:tcPr>
          <w:p>
            <w:pPr>
              <w:spacing w:before="77" w:line="219" w:lineRule="auto"/>
              <w:jc w:val="center"/>
              <w:rPr>
                <w:rFonts w:hint="eastAsia" w:ascii="仿宋_GB2312" w:hAnsi="仿宋_GB2312" w:eastAsia="仿宋_GB2312" w:cs="仿宋_GB2312"/>
                <w:spacing w:val="-2"/>
                <w:sz w:val="21"/>
                <w:szCs w:val="21"/>
                <w:lang w:val="en-US" w:eastAsia="zh-CN"/>
              </w:rPr>
            </w:pPr>
            <w:r>
              <w:rPr>
                <w:rFonts w:hint="eastAsia" w:ascii="仿宋_GB2312" w:hAnsi="仿宋_GB2312" w:eastAsia="仿宋_GB2312" w:cs="仿宋_GB2312"/>
                <w:spacing w:val="-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1449" w:type="dxa"/>
            <w:gridSpan w:val="2"/>
            <w:vMerge w:val="continue"/>
            <w:tcBorders>
              <w:top w:val="nil"/>
              <w:bottom w:val="nil"/>
            </w:tcBorders>
          </w:tcPr>
          <w:p>
            <w:pPr>
              <w:rPr>
                <w:rFonts w:hint="eastAsia" w:ascii="仿宋_GB2312" w:hAnsi="仿宋_GB2312" w:eastAsia="仿宋_GB2312" w:cs="仿宋_GB2312"/>
                <w:sz w:val="21"/>
                <w:szCs w:val="21"/>
              </w:rPr>
            </w:pPr>
          </w:p>
        </w:tc>
        <w:tc>
          <w:tcPr>
            <w:tcW w:w="1777" w:type="dxa"/>
            <w:gridSpan w:val="2"/>
          </w:tcPr>
          <w:p>
            <w:pPr>
              <w:spacing w:before="109" w:line="219" w:lineRule="auto"/>
              <w:ind w:left="151"/>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(一)财政拨款小计</w:t>
            </w:r>
          </w:p>
        </w:tc>
        <w:tc>
          <w:tcPr>
            <w:tcW w:w="1308" w:type="dxa"/>
          </w:tcPr>
          <w:p>
            <w:pPr>
              <w:spacing w:before="77"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4.6</w:t>
            </w:r>
          </w:p>
        </w:tc>
        <w:tc>
          <w:tcPr>
            <w:tcW w:w="1145" w:type="dxa"/>
          </w:tcPr>
          <w:p>
            <w:pPr>
              <w:spacing w:before="77"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4.6</w:t>
            </w:r>
          </w:p>
        </w:tc>
        <w:tc>
          <w:tcPr>
            <w:tcW w:w="951" w:type="dxa"/>
          </w:tcPr>
          <w:p>
            <w:pPr>
              <w:spacing w:before="77" w:line="219" w:lineRule="auto"/>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val="en-US" w:eastAsia="zh-CN"/>
              </w:rPr>
              <w:t>0</w:t>
            </w:r>
          </w:p>
        </w:tc>
        <w:tc>
          <w:tcPr>
            <w:tcW w:w="246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449" w:type="dxa"/>
            <w:gridSpan w:val="2"/>
            <w:vMerge w:val="continue"/>
            <w:tcBorders>
              <w:top w:val="nil"/>
              <w:bottom w:val="nil"/>
            </w:tcBorders>
          </w:tcPr>
          <w:p>
            <w:pPr>
              <w:rPr>
                <w:rFonts w:hint="eastAsia" w:ascii="仿宋_GB2312" w:hAnsi="仿宋_GB2312" w:eastAsia="仿宋_GB2312" w:cs="仿宋_GB2312"/>
                <w:sz w:val="21"/>
                <w:szCs w:val="21"/>
              </w:rPr>
            </w:pPr>
          </w:p>
        </w:tc>
        <w:tc>
          <w:tcPr>
            <w:tcW w:w="1777" w:type="dxa"/>
            <w:gridSpan w:val="2"/>
          </w:tcPr>
          <w:p>
            <w:pPr>
              <w:spacing w:before="80" w:line="219" w:lineRule="auto"/>
              <w:ind w:left="151"/>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1.一般公共预算</w:t>
            </w:r>
          </w:p>
        </w:tc>
        <w:tc>
          <w:tcPr>
            <w:tcW w:w="1308" w:type="dxa"/>
          </w:tcPr>
          <w:p>
            <w:pPr>
              <w:spacing w:before="77"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4.6</w:t>
            </w:r>
          </w:p>
        </w:tc>
        <w:tc>
          <w:tcPr>
            <w:tcW w:w="1145" w:type="dxa"/>
          </w:tcPr>
          <w:p>
            <w:pPr>
              <w:spacing w:before="77"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4.6</w:t>
            </w:r>
          </w:p>
        </w:tc>
        <w:tc>
          <w:tcPr>
            <w:tcW w:w="951" w:type="dxa"/>
          </w:tcPr>
          <w:p>
            <w:pPr>
              <w:spacing w:before="77" w:line="219" w:lineRule="auto"/>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val="en-US" w:eastAsia="zh-CN"/>
              </w:rPr>
              <w:t>0</w:t>
            </w:r>
          </w:p>
        </w:tc>
        <w:tc>
          <w:tcPr>
            <w:tcW w:w="246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1449" w:type="dxa"/>
            <w:gridSpan w:val="2"/>
            <w:vMerge w:val="continue"/>
            <w:tcBorders>
              <w:top w:val="nil"/>
              <w:bottom w:val="nil"/>
            </w:tcBorders>
          </w:tcPr>
          <w:p>
            <w:pPr>
              <w:rPr>
                <w:rFonts w:hint="eastAsia" w:ascii="仿宋_GB2312" w:hAnsi="仿宋_GB2312" w:eastAsia="仿宋_GB2312" w:cs="仿宋_GB2312"/>
                <w:sz w:val="21"/>
                <w:szCs w:val="21"/>
              </w:rPr>
            </w:pPr>
          </w:p>
        </w:tc>
        <w:tc>
          <w:tcPr>
            <w:tcW w:w="1777" w:type="dxa"/>
            <w:gridSpan w:val="2"/>
          </w:tcPr>
          <w:p>
            <w:pPr>
              <w:spacing w:before="78" w:line="219" w:lineRule="auto"/>
              <w:ind w:left="151"/>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2.政府性基金</w:t>
            </w:r>
          </w:p>
        </w:tc>
        <w:tc>
          <w:tcPr>
            <w:tcW w:w="1308" w:type="dxa"/>
          </w:tcPr>
          <w:p>
            <w:pPr>
              <w:rPr>
                <w:rFonts w:hint="eastAsia" w:ascii="仿宋_GB2312" w:hAnsi="仿宋_GB2312" w:eastAsia="仿宋_GB2312" w:cs="仿宋_GB2312"/>
                <w:sz w:val="21"/>
                <w:szCs w:val="21"/>
              </w:rPr>
            </w:pPr>
          </w:p>
        </w:tc>
        <w:tc>
          <w:tcPr>
            <w:tcW w:w="1145" w:type="dxa"/>
          </w:tcPr>
          <w:p>
            <w:pPr>
              <w:rPr>
                <w:rFonts w:hint="eastAsia" w:ascii="仿宋_GB2312" w:hAnsi="仿宋_GB2312" w:eastAsia="仿宋_GB2312" w:cs="仿宋_GB2312"/>
                <w:sz w:val="21"/>
                <w:szCs w:val="21"/>
              </w:rPr>
            </w:pPr>
          </w:p>
        </w:tc>
        <w:tc>
          <w:tcPr>
            <w:tcW w:w="951" w:type="dxa"/>
          </w:tcPr>
          <w:p>
            <w:pPr>
              <w:rPr>
                <w:rFonts w:hint="eastAsia" w:ascii="仿宋_GB2312" w:hAnsi="仿宋_GB2312" w:eastAsia="仿宋_GB2312" w:cs="仿宋_GB2312"/>
                <w:sz w:val="21"/>
                <w:szCs w:val="21"/>
              </w:rPr>
            </w:pPr>
          </w:p>
        </w:tc>
        <w:tc>
          <w:tcPr>
            <w:tcW w:w="2469" w:type="dxa"/>
          </w:tcPr>
          <w:p>
            <w:pPr>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1449" w:type="dxa"/>
            <w:gridSpan w:val="2"/>
            <w:vMerge w:val="continue"/>
            <w:tcBorders>
              <w:top w:val="nil"/>
              <w:bottom w:val="nil"/>
            </w:tcBorders>
          </w:tcPr>
          <w:p>
            <w:pPr>
              <w:rPr>
                <w:rFonts w:hint="eastAsia" w:ascii="仿宋_GB2312" w:hAnsi="仿宋_GB2312" w:eastAsia="仿宋_GB2312" w:cs="仿宋_GB2312"/>
                <w:sz w:val="21"/>
                <w:szCs w:val="21"/>
              </w:rPr>
            </w:pPr>
          </w:p>
        </w:tc>
        <w:tc>
          <w:tcPr>
            <w:tcW w:w="1777" w:type="dxa"/>
            <w:gridSpan w:val="2"/>
          </w:tcPr>
          <w:p>
            <w:pPr>
              <w:spacing w:before="119" w:line="219" w:lineRule="auto"/>
              <w:ind w:left="151"/>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3.国有资本经营预算</w:t>
            </w:r>
          </w:p>
        </w:tc>
        <w:tc>
          <w:tcPr>
            <w:tcW w:w="1308" w:type="dxa"/>
          </w:tcPr>
          <w:p>
            <w:pPr>
              <w:rPr>
                <w:rFonts w:hint="eastAsia" w:ascii="仿宋_GB2312" w:hAnsi="仿宋_GB2312" w:eastAsia="仿宋_GB2312" w:cs="仿宋_GB2312"/>
                <w:sz w:val="21"/>
                <w:szCs w:val="21"/>
              </w:rPr>
            </w:pPr>
          </w:p>
        </w:tc>
        <w:tc>
          <w:tcPr>
            <w:tcW w:w="1145" w:type="dxa"/>
          </w:tcPr>
          <w:p>
            <w:pPr>
              <w:rPr>
                <w:rFonts w:hint="eastAsia" w:ascii="仿宋_GB2312" w:hAnsi="仿宋_GB2312" w:eastAsia="仿宋_GB2312" w:cs="仿宋_GB2312"/>
                <w:sz w:val="21"/>
                <w:szCs w:val="21"/>
              </w:rPr>
            </w:pPr>
          </w:p>
        </w:tc>
        <w:tc>
          <w:tcPr>
            <w:tcW w:w="951" w:type="dxa"/>
          </w:tcPr>
          <w:p>
            <w:pPr>
              <w:rPr>
                <w:rFonts w:hint="eastAsia" w:ascii="仿宋_GB2312" w:hAnsi="仿宋_GB2312" w:eastAsia="仿宋_GB2312" w:cs="仿宋_GB2312"/>
                <w:sz w:val="21"/>
                <w:szCs w:val="21"/>
              </w:rPr>
            </w:pPr>
          </w:p>
        </w:tc>
        <w:tc>
          <w:tcPr>
            <w:tcW w:w="2469" w:type="dxa"/>
          </w:tcPr>
          <w:p>
            <w:pPr>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449" w:type="dxa"/>
            <w:gridSpan w:val="2"/>
            <w:vMerge w:val="continue"/>
            <w:tcBorders>
              <w:top w:val="nil"/>
              <w:bottom w:val="nil"/>
            </w:tcBorders>
          </w:tcPr>
          <w:p>
            <w:pPr>
              <w:rPr>
                <w:rFonts w:hint="eastAsia" w:ascii="仿宋_GB2312" w:hAnsi="仿宋_GB2312" w:eastAsia="仿宋_GB2312" w:cs="仿宋_GB2312"/>
                <w:sz w:val="21"/>
                <w:szCs w:val="21"/>
              </w:rPr>
            </w:pPr>
          </w:p>
        </w:tc>
        <w:tc>
          <w:tcPr>
            <w:tcW w:w="1777" w:type="dxa"/>
            <w:gridSpan w:val="2"/>
          </w:tcPr>
          <w:p>
            <w:pPr>
              <w:spacing w:before="82" w:line="219" w:lineRule="auto"/>
              <w:ind w:left="151"/>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4.社保基金</w:t>
            </w:r>
          </w:p>
        </w:tc>
        <w:tc>
          <w:tcPr>
            <w:tcW w:w="1308" w:type="dxa"/>
          </w:tcPr>
          <w:p>
            <w:pPr>
              <w:rPr>
                <w:rFonts w:hint="eastAsia" w:ascii="仿宋_GB2312" w:hAnsi="仿宋_GB2312" w:eastAsia="仿宋_GB2312" w:cs="仿宋_GB2312"/>
                <w:sz w:val="21"/>
                <w:szCs w:val="21"/>
              </w:rPr>
            </w:pPr>
          </w:p>
        </w:tc>
        <w:tc>
          <w:tcPr>
            <w:tcW w:w="1145" w:type="dxa"/>
          </w:tcPr>
          <w:p>
            <w:pPr>
              <w:rPr>
                <w:rFonts w:hint="eastAsia" w:ascii="仿宋_GB2312" w:hAnsi="仿宋_GB2312" w:eastAsia="仿宋_GB2312" w:cs="仿宋_GB2312"/>
                <w:sz w:val="21"/>
                <w:szCs w:val="21"/>
              </w:rPr>
            </w:pPr>
          </w:p>
        </w:tc>
        <w:tc>
          <w:tcPr>
            <w:tcW w:w="951" w:type="dxa"/>
          </w:tcPr>
          <w:p>
            <w:pPr>
              <w:rPr>
                <w:rFonts w:hint="eastAsia" w:ascii="仿宋_GB2312" w:hAnsi="仿宋_GB2312" w:eastAsia="仿宋_GB2312" w:cs="仿宋_GB2312"/>
                <w:sz w:val="21"/>
                <w:szCs w:val="21"/>
              </w:rPr>
            </w:pPr>
          </w:p>
        </w:tc>
        <w:tc>
          <w:tcPr>
            <w:tcW w:w="2469" w:type="dxa"/>
          </w:tcPr>
          <w:p>
            <w:pPr>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1449" w:type="dxa"/>
            <w:gridSpan w:val="2"/>
            <w:vMerge w:val="continue"/>
            <w:tcBorders>
              <w:top w:val="nil"/>
            </w:tcBorders>
          </w:tcPr>
          <w:p>
            <w:pPr>
              <w:rPr>
                <w:rFonts w:hint="eastAsia" w:ascii="仿宋_GB2312" w:hAnsi="仿宋_GB2312" w:eastAsia="仿宋_GB2312" w:cs="仿宋_GB2312"/>
                <w:sz w:val="21"/>
                <w:szCs w:val="21"/>
              </w:rPr>
            </w:pPr>
          </w:p>
        </w:tc>
        <w:tc>
          <w:tcPr>
            <w:tcW w:w="1777" w:type="dxa"/>
            <w:gridSpan w:val="2"/>
          </w:tcPr>
          <w:p>
            <w:pPr>
              <w:spacing w:before="112" w:line="220" w:lineRule="auto"/>
              <w:ind w:left="151"/>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(二)其他资金</w:t>
            </w:r>
          </w:p>
        </w:tc>
        <w:tc>
          <w:tcPr>
            <w:tcW w:w="1308" w:type="dxa"/>
          </w:tcPr>
          <w:p>
            <w:pPr>
              <w:rPr>
                <w:rFonts w:hint="eastAsia" w:ascii="仿宋_GB2312" w:hAnsi="仿宋_GB2312" w:eastAsia="仿宋_GB2312" w:cs="仿宋_GB2312"/>
                <w:sz w:val="21"/>
                <w:szCs w:val="21"/>
              </w:rPr>
            </w:pPr>
          </w:p>
        </w:tc>
        <w:tc>
          <w:tcPr>
            <w:tcW w:w="1145" w:type="dxa"/>
          </w:tcPr>
          <w:p>
            <w:pPr>
              <w:rPr>
                <w:rFonts w:hint="eastAsia" w:ascii="仿宋_GB2312" w:hAnsi="仿宋_GB2312" w:eastAsia="仿宋_GB2312" w:cs="仿宋_GB2312"/>
                <w:sz w:val="21"/>
                <w:szCs w:val="21"/>
              </w:rPr>
            </w:pPr>
          </w:p>
        </w:tc>
        <w:tc>
          <w:tcPr>
            <w:tcW w:w="951" w:type="dxa"/>
          </w:tcPr>
          <w:p>
            <w:pPr>
              <w:rPr>
                <w:rFonts w:hint="eastAsia" w:ascii="仿宋_GB2312" w:hAnsi="仿宋_GB2312" w:eastAsia="仿宋_GB2312" w:cs="仿宋_GB2312"/>
                <w:sz w:val="21"/>
                <w:szCs w:val="21"/>
              </w:rPr>
            </w:pPr>
          </w:p>
        </w:tc>
        <w:tc>
          <w:tcPr>
            <w:tcW w:w="2469" w:type="dxa"/>
          </w:tcPr>
          <w:p>
            <w:pPr>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697" w:type="dxa"/>
            <w:vMerge w:val="restart"/>
            <w:tcBorders>
              <w:bottom w:val="nil"/>
            </w:tcBorders>
          </w:tcPr>
          <w:p>
            <w:pPr>
              <w:spacing w:line="385" w:lineRule="auto"/>
              <w:rPr>
                <w:rFonts w:hint="eastAsia" w:ascii="仿宋_GB2312" w:hAnsi="仿宋_GB2312" w:eastAsia="仿宋_GB2312" w:cs="仿宋_GB2312"/>
                <w:sz w:val="21"/>
                <w:szCs w:val="21"/>
              </w:rPr>
            </w:pPr>
          </w:p>
          <w:p>
            <w:pPr>
              <w:spacing w:before="55" w:line="219" w:lineRule="auto"/>
              <w:ind w:left="194" w:right="2" w:hanging="139"/>
              <w:rPr>
                <w:rFonts w:hint="eastAsia" w:ascii="仿宋_GB2312" w:hAnsi="仿宋_GB2312" w:eastAsia="仿宋_GB2312" w:cs="仿宋_GB2312"/>
                <w:sz w:val="21"/>
                <w:szCs w:val="21"/>
              </w:rPr>
            </w:pPr>
            <w:r>
              <w:rPr>
                <w:rFonts w:hint="eastAsia" w:ascii="仿宋_GB2312" w:hAnsi="仿宋_GB2312" w:eastAsia="仿宋_GB2312" w:cs="仿宋_GB2312"/>
                <w:spacing w:val="-11"/>
                <w:sz w:val="21"/>
                <w:szCs w:val="21"/>
              </w:rPr>
              <w:t>年度总体</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6"/>
                <w:sz w:val="21"/>
                <w:szCs w:val="21"/>
              </w:rPr>
              <w:t>目标</w:t>
            </w:r>
          </w:p>
        </w:tc>
        <w:tc>
          <w:tcPr>
            <w:tcW w:w="5933" w:type="dxa"/>
            <w:gridSpan w:val="6"/>
          </w:tcPr>
          <w:p>
            <w:pPr>
              <w:spacing w:before="183" w:line="22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预期目标</w:t>
            </w:r>
          </w:p>
        </w:tc>
        <w:tc>
          <w:tcPr>
            <w:tcW w:w="2469" w:type="dxa"/>
          </w:tcPr>
          <w:p>
            <w:pPr>
              <w:spacing w:before="183" w:line="220" w:lineRule="auto"/>
              <w:jc w:val="center"/>
              <w:rPr>
                <w:rFonts w:hint="eastAsia" w:ascii="仿宋_GB2312" w:hAnsi="仿宋_GB2312" w:eastAsia="仿宋_GB2312" w:cs="仿宋_GB2312"/>
                <w:spacing w:val="-2"/>
                <w:sz w:val="21"/>
                <w:szCs w:val="21"/>
              </w:rPr>
            </w:pPr>
            <w:r>
              <w:rPr>
                <w:rFonts w:hint="eastAsia" w:ascii="仿宋_GB2312" w:hAnsi="仿宋_GB2312" w:eastAsia="仿宋_GB2312" w:cs="仿宋_GB2312"/>
                <w:spacing w:val="-2"/>
                <w:sz w:val="21"/>
                <w:szCs w:val="21"/>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4" w:hRule="atLeast"/>
        </w:trPr>
        <w:tc>
          <w:tcPr>
            <w:tcW w:w="697" w:type="dxa"/>
            <w:vMerge w:val="continue"/>
            <w:tcBorders>
              <w:top w:val="nil"/>
            </w:tcBorders>
          </w:tcPr>
          <w:p>
            <w:pPr>
              <w:rPr>
                <w:rFonts w:hint="eastAsia" w:ascii="仿宋_GB2312" w:hAnsi="仿宋_GB2312" w:eastAsia="仿宋_GB2312" w:cs="仿宋_GB2312"/>
                <w:sz w:val="21"/>
                <w:szCs w:val="21"/>
              </w:rPr>
            </w:pPr>
          </w:p>
        </w:tc>
        <w:tc>
          <w:tcPr>
            <w:tcW w:w="5933" w:type="dxa"/>
            <w:gridSpan w:val="6"/>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lang w:val="zh-CN"/>
              </w:rPr>
              <w:t xml:space="preserve">    中央纪检监察转移支付资金，主要用于强化监督执纪问责和监督调查处置职能，围绕现代化建设大局发挥监督保障作用，以便更好的服务民生大众。</w:t>
            </w:r>
          </w:p>
        </w:tc>
        <w:tc>
          <w:tcPr>
            <w:tcW w:w="2469" w:type="dxa"/>
            <w:vAlign w:val="center"/>
          </w:tcPr>
          <w:p>
            <w:pPr>
              <w:rPr>
                <w:rFonts w:hint="eastAsia" w:ascii="仿宋_GB2312" w:hAnsi="仿宋_GB2312" w:eastAsia="仿宋_GB2312" w:cs="仿宋_GB2312"/>
                <w:spacing w:val="-2"/>
                <w:sz w:val="21"/>
                <w:szCs w:val="21"/>
              </w:rPr>
            </w:pPr>
            <w:r>
              <w:rPr>
                <w:rFonts w:hint="eastAsia" w:ascii="仿宋_GB2312" w:hAnsi="仿宋_GB2312" w:eastAsia="仿宋_GB2312" w:cs="仿宋_GB2312"/>
                <w:spacing w:val="-2"/>
                <w:sz w:val="21"/>
                <w:szCs w:val="21"/>
                <w:lang w:val="zh-CN"/>
              </w:rPr>
              <w:t xml:space="preserve">   中央纪检监察转移支付资金，主要用于强化监督执纪问责和监督调查处置职能，围绕现代化建设大局发挥监督保障作用，以便更好的服务民生大众。</w:t>
            </w:r>
          </w:p>
          <w:p>
            <w:pPr>
              <w:spacing w:before="183" w:line="220" w:lineRule="auto"/>
              <w:rPr>
                <w:rFonts w:hint="eastAsia" w:ascii="仿宋_GB2312" w:hAnsi="仿宋_GB2312" w:eastAsia="仿宋_GB2312" w:cs="仿宋_GB2312"/>
                <w:spacing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trPr>
        <w:tc>
          <w:tcPr>
            <w:tcW w:w="697" w:type="dxa"/>
            <w:vMerge w:val="restart"/>
          </w:tcPr>
          <w:p>
            <w:pPr>
              <w:spacing w:line="253" w:lineRule="auto"/>
              <w:jc w:val="center"/>
              <w:rPr>
                <w:rFonts w:hint="eastAsia" w:ascii="仿宋_GB2312" w:hAnsi="仿宋_GB2312" w:eastAsia="仿宋_GB2312" w:cs="仿宋_GB2312"/>
                <w:sz w:val="21"/>
                <w:szCs w:val="21"/>
              </w:rPr>
            </w:pPr>
          </w:p>
          <w:p>
            <w:pPr>
              <w:spacing w:line="253" w:lineRule="auto"/>
              <w:jc w:val="center"/>
              <w:rPr>
                <w:rFonts w:hint="eastAsia" w:ascii="仿宋_GB2312" w:hAnsi="仿宋_GB2312" w:eastAsia="仿宋_GB2312" w:cs="仿宋_GB2312"/>
                <w:sz w:val="21"/>
                <w:szCs w:val="21"/>
              </w:rPr>
            </w:pPr>
          </w:p>
          <w:p>
            <w:pPr>
              <w:spacing w:line="253" w:lineRule="auto"/>
              <w:jc w:val="center"/>
              <w:rPr>
                <w:rFonts w:hint="eastAsia" w:ascii="仿宋_GB2312" w:hAnsi="仿宋_GB2312" w:eastAsia="仿宋_GB2312" w:cs="仿宋_GB2312"/>
                <w:sz w:val="21"/>
                <w:szCs w:val="21"/>
              </w:rPr>
            </w:pPr>
          </w:p>
          <w:p>
            <w:pPr>
              <w:spacing w:line="254" w:lineRule="auto"/>
              <w:jc w:val="center"/>
              <w:rPr>
                <w:rFonts w:hint="eastAsia" w:ascii="仿宋_GB2312" w:hAnsi="仿宋_GB2312" w:eastAsia="仿宋_GB2312" w:cs="仿宋_GB2312"/>
                <w:sz w:val="21"/>
                <w:szCs w:val="21"/>
              </w:rPr>
            </w:pPr>
          </w:p>
          <w:p>
            <w:pPr>
              <w:spacing w:line="254" w:lineRule="auto"/>
              <w:jc w:val="center"/>
              <w:rPr>
                <w:rFonts w:hint="eastAsia" w:ascii="仿宋_GB2312" w:hAnsi="仿宋_GB2312" w:eastAsia="仿宋_GB2312" w:cs="仿宋_GB2312"/>
                <w:sz w:val="21"/>
                <w:szCs w:val="21"/>
              </w:rPr>
            </w:pPr>
          </w:p>
          <w:p>
            <w:pPr>
              <w:spacing w:line="254" w:lineRule="auto"/>
              <w:jc w:val="center"/>
              <w:rPr>
                <w:rFonts w:hint="eastAsia" w:ascii="仿宋_GB2312" w:hAnsi="仿宋_GB2312" w:eastAsia="仿宋_GB2312" w:cs="仿宋_GB2312"/>
                <w:sz w:val="21"/>
                <w:szCs w:val="21"/>
              </w:rPr>
            </w:pPr>
          </w:p>
          <w:p>
            <w:pPr>
              <w:spacing w:line="254" w:lineRule="auto"/>
              <w:jc w:val="center"/>
              <w:rPr>
                <w:rFonts w:hint="eastAsia" w:ascii="仿宋_GB2312" w:hAnsi="仿宋_GB2312" w:eastAsia="仿宋_GB2312" w:cs="仿宋_GB2312"/>
                <w:sz w:val="21"/>
                <w:szCs w:val="21"/>
              </w:rPr>
            </w:pPr>
          </w:p>
          <w:p>
            <w:pPr>
              <w:spacing w:line="254" w:lineRule="auto"/>
              <w:jc w:val="center"/>
              <w:rPr>
                <w:rFonts w:hint="eastAsia" w:ascii="仿宋_GB2312" w:hAnsi="仿宋_GB2312" w:eastAsia="仿宋_GB2312" w:cs="仿宋_GB2312"/>
                <w:sz w:val="21"/>
                <w:szCs w:val="21"/>
              </w:rPr>
            </w:pPr>
          </w:p>
          <w:p>
            <w:pPr>
              <w:spacing w:line="254" w:lineRule="auto"/>
              <w:jc w:val="center"/>
              <w:rPr>
                <w:rFonts w:hint="eastAsia" w:ascii="仿宋_GB2312" w:hAnsi="仿宋_GB2312" w:eastAsia="仿宋_GB2312" w:cs="仿宋_GB2312"/>
                <w:sz w:val="21"/>
                <w:szCs w:val="21"/>
              </w:rPr>
            </w:pPr>
          </w:p>
          <w:p>
            <w:pPr>
              <w:spacing w:line="254" w:lineRule="auto"/>
              <w:jc w:val="center"/>
              <w:rPr>
                <w:rFonts w:hint="eastAsia" w:ascii="仿宋_GB2312" w:hAnsi="仿宋_GB2312" w:eastAsia="仿宋_GB2312" w:cs="仿宋_GB2312"/>
                <w:sz w:val="21"/>
                <w:szCs w:val="21"/>
              </w:rPr>
            </w:pPr>
          </w:p>
          <w:p>
            <w:pPr>
              <w:spacing w:line="254" w:lineRule="auto"/>
              <w:jc w:val="center"/>
              <w:rPr>
                <w:rFonts w:hint="eastAsia" w:ascii="仿宋_GB2312" w:hAnsi="仿宋_GB2312" w:eastAsia="仿宋_GB2312" w:cs="仿宋_GB2312"/>
                <w:sz w:val="21"/>
                <w:szCs w:val="21"/>
              </w:rPr>
            </w:pPr>
          </w:p>
          <w:p>
            <w:pPr>
              <w:spacing w:line="254" w:lineRule="auto"/>
              <w:jc w:val="center"/>
              <w:rPr>
                <w:rFonts w:hint="eastAsia" w:ascii="仿宋_GB2312" w:hAnsi="仿宋_GB2312" w:eastAsia="仿宋_GB2312" w:cs="仿宋_GB2312"/>
                <w:sz w:val="21"/>
                <w:szCs w:val="21"/>
              </w:rPr>
            </w:pPr>
          </w:p>
          <w:p>
            <w:pPr>
              <w:spacing w:line="254" w:lineRule="auto"/>
              <w:jc w:val="center"/>
              <w:rPr>
                <w:rFonts w:hint="eastAsia" w:ascii="仿宋_GB2312" w:hAnsi="仿宋_GB2312" w:eastAsia="仿宋_GB2312" w:cs="仿宋_GB2312"/>
                <w:sz w:val="21"/>
                <w:szCs w:val="21"/>
              </w:rPr>
            </w:pPr>
          </w:p>
          <w:p>
            <w:pPr>
              <w:spacing w:before="56" w:line="220" w:lineRule="auto"/>
              <w:ind w:left="55"/>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11"/>
                <w:sz w:val="21"/>
                <w:szCs w:val="21"/>
              </w:rPr>
              <w:t>绩效指标</w:t>
            </w:r>
          </w:p>
        </w:tc>
        <w:tc>
          <w:tcPr>
            <w:tcW w:w="752" w:type="dxa"/>
            <w:tcBorders>
              <w:bottom w:val="single" w:color="auto" w:sz="4" w:space="0"/>
            </w:tcBorders>
          </w:tcPr>
          <w:p>
            <w:pPr>
              <w:spacing w:before="155" w:line="220" w:lineRule="auto"/>
              <w:ind w:left="40"/>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一级指标</w:t>
            </w:r>
          </w:p>
        </w:tc>
        <w:tc>
          <w:tcPr>
            <w:tcW w:w="999" w:type="dxa"/>
          </w:tcPr>
          <w:p>
            <w:pPr>
              <w:spacing w:before="155" w:line="22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二级指标</w:t>
            </w:r>
          </w:p>
        </w:tc>
        <w:tc>
          <w:tcPr>
            <w:tcW w:w="2086" w:type="dxa"/>
            <w:gridSpan w:val="2"/>
          </w:tcPr>
          <w:p>
            <w:pPr>
              <w:spacing w:before="155" w:line="22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三级指标</w:t>
            </w:r>
          </w:p>
        </w:tc>
        <w:tc>
          <w:tcPr>
            <w:tcW w:w="1145" w:type="dxa"/>
          </w:tcPr>
          <w:p>
            <w:pPr>
              <w:spacing w:before="155"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年度指标值</w:t>
            </w:r>
          </w:p>
        </w:tc>
        <w:tc>
          <w:tcPr>
            <w:tcW w:w="951" w:type="dxa"/>
          </w:tcPr>
          <w:p>
            <w:pPr>
              <w:spacing w:before="155"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实际完成值</w:t>
            </w:r>
          </w:p>
        </w:tc>
        <w:tc>
          <w:tcPr>
            <w:tcW w:w="2469" w:type="dxa"/>
          </w:tcPr>
          <w:p>
            <w:pPr>
              <w:spacing w:before="75" w:line="227"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偏差原因分析及</w:t>
            </w:r>
            <w:r>
              <w:rPr>
                <w:rFonts w:hint="eastAsia" w:ascii="仿宋_GB2312" w:hAnsi="仿宋_GB2312" w:eastAsia="仿宋_GB2312" w:cs="仿宋_GB2312"/>
                <w:spacing w:val="11"/>
                <w:sz w:val="21"/>
                <w:szCs w:val="21"/>
              </w:rPr>
              <w:t>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97" w:type="dxa"/>
            <w:vMerge w:val="continue"/>
            <w:vAlign w:val="center"/>
          </w:tcPr>
          <w:p>
            <w:pPr>
              <w:jc w:val="center"/>
              <w:rPr>
                <w:rFonts w:hint="eastAsia" w:ascii="仿宋_GB2312" w:hAnsi="仿宋_GB2312" w:eastAsia="仿宋_GB2312" w:cs="仿宋_GB2312"/>
                <w:sz w:val="21"/>
                <w:szCs w:val="21"/>
              </w:rPr>
            </w:pPr>
          </w:p>
        </w:tc>
        <w:tc>
          <w:tcPr>
            <w:tcW w:w="752" w:type="dxa"/>
            <w:vMerge w:val="restart"/>
            <w:tcBorders>
              <w:top w:val="single" w:color="auto" w:sz="4" w:space="0"/>
              <w:left w:val="single" w:color="auto" w:sz="4" w:space="0"/>
              <w:bottom w:val="single" w:color="auto" w:sz="4" w:space="0"/>
              <w:right w:val="single" w:color="auto" w:sz="4" w:space="0"/>
            </w:tcBorders>
            <w:vAlign w:val="center"/>
          </w:tcPr>
          <w:p>
            <w:pPr>
              <w:spacing w:line="286" w:lineRule="auto"/>
              <w:jc w:val="center"/>
              <w:rPr>
                <w:rFonts w:hint="eastAsia" w:ascii="仿宋_GB2312" w:hAnsi="仿宋_GB2312" w:eastAsia="仿宋_GB2312" w:cs="仿宋_GB2312"/>
                <w:sz w:val="21"/>
                <w:szCs w:val="21"/>
              </w:rPr>
            </w:pPr>
          </w:p>
          <w:p>
            <w:pPr>
              <w:spacing w:line="286" w:lineRule="auto"/>
              <w:jc w:val="center"/>
              <w:rPr>
                <w:rFonts w:hint="eastAsia" w:ascii="仿宋_GB2312" w:hAnsi="仿宋_GB2312" w:eastAsia="仿宋_GB2312" w:cs="仿宋_GB2312"/>
                <w:sz w:val="21"/>
                <w:szCs w:val="21"/>
              </w:rPr>
            </w:pPr>
          </w:p>
          <w:p>
            <w:pPr>
              <w:spacing w:line="286" w:lineRule="auto"/>
              <w:jc w:val="center"/>
              <w:rPr>
                <w:rFonts w:hint="eastAsia" w:ascii="仿宋_GB2312" w:hAnsi="仿宋_GB2312" w:eastAsia="仿宋_GB2312" w:cs="仿宋_GB2312"/>
                <w:sz w:val="21"/>
                <w:szCs w:val="21"/>
              </w:rPr>
            </w:pPr>
          </w:p>
          <w:p>
            <w:pPr>
              <w:spacing w:line="286" w:lineRule="auto"/>
              <w:jc w:val="center"/>
              <w:rPr>
                <w:rFonts w:hint="eastAsia" w:ascii="仿宋_GB2312" w:hAnsi="仿宋_GB2312" w:eastAsia="仿宋_GB2312" w:cs="仿宋_GB2312"/>
                <w:sz w:val="21"/>
                <w:szCs w:val="21"/>
              </w:rPr>
            </w:pPr>
          </w:p>
          <w:p>
            <w:pPr>
              <w:spacing w:line="287" w:lineRule="auto"/>
              <w:jc w:val="center"/>
              <w:rPr>
                <w:rFonts w:hint="eastAsia" w:ascii="仿宋_GB2312" w:hAnsi="仿宋_GB2312" w:eastAsia="仿宋_GB2312" w:cs="仿宋_GB2312"/>
                <w:sz w:val="21"/>
                <w:szCs w:val="21"/>
              </w:rPr>
            </w:pPr>
          </w:p>
          <w:p>
            <w:pPr>
              <w:spacing w:before="56" w:line="219" w:lineRule="auto"/>
              <w:ind w:left="40"/>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产出指标</w:t>
            </w:r>
          </w:p>
        </w:tc>
        <w:tc>
          <w:tcPr>
            <w:tcW w:w="999" w:type="dxa"/>
            <w:tcBorders>
              <w:left w:val="single" w:color="auto" w:sz="4" w:space="0"/>
              <w:bottom w:val="nil"/>
            </w:tcBorders>
            <w:vAlign w:val="center"/>
          </w:tcPr>
          <w:p>
            <w:pPr>
              <w:spacing w:before="67" w:line="209" w:lineRule="auto"/>
              <w:ind w:left="2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086" w:type="dxa"/>
            <w:gridSpan w:val="2"/>
            <w:vAlign w:val="center"/>
          </w:tcPr>
          <w:p>
            <w:pPr>
              <w:spacing w:before="67" w:line="209" w:lineRule="auto"/>
              <w:ind w:left="2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项目使用年限</w:t>
            </w:r>
          </w:p>
        </w:tc>
        <w:tc>
          <w:tcPr>
            <w:tcW w:w="1145" w:type="dxa"/>
            <w:vAlign w:val="center"/>
          </w:tcPr>
          <w:p>
            <w:pPr>
              <w:spacing w:before="67" w:line="209" w:lineRule="auto"/>
              <w:ind w:left="2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1年</w:t>
            </w:r>
          </w:p>
        </w:tc>
        <w:tc>
          <w:tcPr>
            <w:tcW w:w="951" w:type="dxa"/>
            <w:vAlign w:val="center"/>
          </w:tcPr>
          <w:p>
            <w:pPr>
              <w:spacing w:before="67" w:line="209" w:lineRule="auto"/>
              <w:ind w:left="2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1年</w:t>
            </w:r>
          </w:p>
        </w:tc>
        <w:tc>
          <w:tcPr>
            <w:tcW w:w="2469" w:type="dxa"/>
          </w:tcPr>
          <w:p>
            <w:pPr>
              <w:jc w:val="center"/>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97" w:type="dxa"/>
            <w:vMerge w:val="continue"/>
            <w:vAlign w:val="center"/>
          </w:tcPr>
          <w:p>
            <w:pPr>
              <w:jc w:val="center"/>
              <w:rPr>
                <w:rFonts w:hint="eastAsia" w:ascii="仿宋_GB2312" w:hAnsi="仿宋_GB2312" w:eastAsia="仿宋_GB2312" w:cs="仿宋_GB2312"/>
                <w:sz w:val="21"/>
                <w:szCs w:val="21"/>
              </w:rPr>
            </w:pPr>
          </w:p>
        </w:tc>
        <w:tc>
          <w:tcPr>
            <w:tcW w:w="7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p>
        </w:tc>
        <w:tc>
          <w:tcPr>
            <w:tcW w:w="999" w:type="dxa"/>
            <w:tcBorders>
              <w:left w:val="single" w:color="auto" w:sz="4" w:space="0"/>
            </w:tcBorders>
            <w:vAlign w:val="center"/>
          </w:tcPr>
          <w:p>
            <w:pPr>
              <w:spacing w:before="67" w:line="209" w:lineRule="auto"/>
              <w:ind w:left="2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086" w:type="dxa"/>
            <w:gridSpan w:val="2"/>
            <w:vAlign w:val="center"/>
          </w:tcPr>
          <w:p>
            <w:pPr>
              <w:spacing w:before="67" w:line="209" w:lineRule="auto"/>
              <w:ind w:left="2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提升乡镇案件查办质效</w:t>
            </w:r>
          </w:p>
        </w:tc>
        <w:tc>
          <w:tcPr>
            <w:tcW w:w="1145" w:type="dxa"/>
            <w:vAlign w:val="center"/>
          </w:tcPr>
          <w:p>
            <w:pPr>
              <w:spacing w:before="67" w:line="209" w:lineRule="auto"/>
              <w:ind w:left="2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定性</w:t>
            </w:r>
          </w:p>
        </w:tc>
        <w:tc>
          <w:tcPr>
            <w:tcW w:w="951" w:type="dxa"/>
            <w:vAlign w:val="center"/>
          </w:tcPr>
          <w:p>
            <w:pPr>
              <w:spacing w:before="67" w:line="209" w:lineRule="auto"/>
              <w:ind w:left="2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有效</w:t>
            </w:r>
          </w:p>
        </w:tc>
        <w:tc>
          <w:tcPr>
            <w:tcW w:w="2469" w:type="dxa"/>
          </w:tcPr>
          <w:p>
            <w:pPr>
              <w:jc w:val="center"/>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97" w:type="dxa"/>
            <w:vMerge w:val="continue"/>
            <w:vAlign w:val="center"/>
          </w:tcPr>
          <w:p>
            <w:pPr>
              <w:jc w:val="center"/>
              <w:rPr>
                <w:rFonts w:hint="eastAsia" w:ascii="仿宋_GB2312" w:hAnsi="仿宋_GB2312" w:eastAsia="仿宋_GB2312" w:cs="仿宋_GB2312"/>
                <w:sz w:val="21"/>
                <w:szCs w:val="21"/>
              </w:rPr>
            </w:pPr>
          </w:p>
        </w:tc>
        <w:tc>
          <w:tcPr>
            <w:tcW w:w="7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p>
        </w:tc>
        <w:tc>
          <w:tcPr>
            <w:tcW w:w="999" w:type="dxa"/>
            <w:tcBorders>
              <w:left w:val="single" w:color="auto" w:sz="4" w:space="0"/>
              <w:bottom w:val="nil"/>
            </w:tcBorders>
            <w:vAlign w:val="center"/>
          </w:tcPr>
          <w:p>
            <w:pPr>
              <w:spacing w:before="67" w:line="209" w:lineRule="auto"/>
              <w:ind w:left="2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086" w:type="dxa"/>
            <w:gridSpan w:val="2"/>
            <w:vAlign w:val="center"/>
          </w:tcPr>
          <w:p>
            <w:pPr>
              <w:spacing w:before="67" w:line="209" w:lineRule="auto"/>
              <w:ind w:left="2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质量达标情况</w:t>
            </w:r>
          </w:p>
        </w:tc>
        <w:tc>
          <w:tcPr>
            <w:tcW w:w="1145" w:type="dxa"/>
            <w:vAlign w:val="center"/>
          </w:tcPr>
          <w:p>
            <w:pPr>
              <w:spacing w:before="67" w:line="209" w:lineRule="auto"/>
              <w:ind w:left="2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951" w:type="dxa"/>
            <w:vAlign w:val="center"/>
          </w:tcPr>
          <w:p>
            <w:pPr>
              <w:spacing w:before="67" w:line="209" w:lineRule="auto"/>
              <w:ind w:left="2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469" w:type="dxa"/>
          </w:tcPr>
          <w:p>
            <w:pPr>
              <w:jc w:val="center"/>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trPr>
        <w:tc>
          <w:tcPr>
            <w:tcW w:w="697" w:type="dxa"/>
            <w:vMerge w:val="continue"/>
            <w:vAlign w:val="center"/>
          </w:tcPr>
          <w:p>
            <w:pPr>
              <w:jc w:val="center"/>
              <w:rPr>
                <w:rFonts w:hint="eastAsia" w:ascii="仿宋_GB2312" w:hAnsi="仿宋_GB2312" w:eastAsia="仿宋_GB2312" w:cs="仿宋_GB2312"/>
                <w:sz w:val="21"/>
                <w:szCs w:val="21"/>
              </w:rPr>
            </w:pPr>
          </w:p>
        </w:tc>
        <w:tc>
          <w:tcPr>
            <w:tcW w:w="7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p>
        </w:tc>
        <w:tc>
          <w:tcPr>
            <w:tcW w:w="999" w:type="dxa"/>
            <w:tcBorders>
              <w:left w:val="single" w:color="auto" w:sz="4" w:space="0"/>
              <w:bottom w:val="nil"/>
            </w:tcBorders>
            <w:vAlign w:val="center"/>
          </w:tcPr>
          <w:p>
            <w:pPr>
              <w:spacing w:before="67" w:line="209" w:lineRule="auto"/>
              <w:ind w:left="2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086" w:type="dxa"/>
            <w:gridSpan w:val="2"/>
            <w:vAlign w:val="center"/>
          </w:tcPr>
          <w:p>
            <w:pPr>
              <w:spacing w:before="67" w:line="209" w:lineRule="auto"/>
              <w:ind w:left="2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纪委谈话室数量</w:t>
            </w:r>
          </w:p>
        </w:tc>
        <w:tc>
          <w:tcPr>
            <w:tcW w:w="1145" w:type="dxa"/>
            <w:vAlign w:val="center"/>
          </w:tcPr>
          <w:p>
            <w:pPr>
              <w:spacing w:before="67" w:line="209" w:lineRule="auto"/>
              <w:ind w:left="2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=1间</w:t>
            </w:r>
          </w:p>
        </w:tc>
        <w:tc>
          <w:tcPr>
            <w:tcW w:w="951" w:type="dxa"/>
            <w:vAlign w:val="center"/>
          </w:tcPr>
          <w:p>
            <w:pPr>
              <w:spacing w:before="67" w:line="209" w:lineRule="auto"/>
              <w:ind w:left="23"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1间</w:t>
            </w:r>
          </w:p>
        </w:tc>
        <w:tc>
          <w:tcPr>
            <w:tcW w:w="2469" w:type="dxa"/>
          </w:tcPr>
          <w:p>
            <w:pPr>
              <w:jc w:val="center"/>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97" w:type="dxa"/>
            <w:vMerge w:val="continue"/>
            <w:vAlign w:val="center"/>
          </w:tcPr>
          <w:p>
            <w:pPr>
              <w:jc w:val="center"/>
              <w:rPr>
                <w:rFonts w:hint="eastAsia" w:ascii="仿宋_GB2312" w:hAnsi="仿宋_GB2312" w:eastAsia="仿宋_GB2312" w:cs="仿宋_GB2312"/>
                <w:sz w:val="21"/>
                <w:szCs w:val="21"/>
              </w:rPr>
            </w:pPr>
          </w:p>
        </w:tc>
        <w:tc>
          <w:tcPr>
            <w:tcW w:w="7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p>
        </w:tc>
        <w:tc>
          <w:tcPr>
            <w:tcW w:w="999" w:type="dxa"/>
            <w:tcBorders>
              <w:left w:val="single" w:color="auto" w:sz="4" w:space="0"/>
              <w:bottom w:val="nil"/>
            </w:tcBorders>
            <w:vAlign w:val="center"/>
          </w:tcPr>
          <w:p>
            <w:pPr>
              <w:spacing w:before="67" w:line="209" w:lineRule="auto"/>
              <w:ind w:left="2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086" w:type="dxa"/>
            <w:gridSpan w:val="2"/>
            <w:vAlign w:val="center"/>
          </w:tcPr>
          <w:p>
            <w:pPr>
              <w:spacing w:before="67" w:line="209" w:lineRule="auto"/>
              <w:ind w:left="2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房屋装修（含水电灯安装、墙体粉刷、软包等）</w:t>
            </w:r>
          </w:p>
        </w:tc>
        <w:tc>
          <w:tcPr>
            <w:tcW w:w="1145" w:type="dxa"/>
            <w:vAlign w:val="center"/>
          </w:tcPr>
          <w:p>
            <w:pPr>
              <w:spacing w:before="67" w:line="209" w:lineRule="auto"/>
              <w:ind w:left="2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30</w:t>
            </w:r>
            <w:r>
              <w:rPr>
                <w:rFonts w:hint="eastAsia" w:ascii="仿宋_GB2312" w:hAnsi="仿宋_GB2312" w:eastAsia="仿宋_GB2312" w:cs="仿宋_GB2312"/>
                <w:sz w:val="21"/>
                <w:szCs w:val="21"/>
              </w:rPr>
              <w:t>平方米</w:t>
            </w:r>
          </w:p>
        </w:tc>
        <w:tc>
          <w:tcPr>
            <w:tcW w:w="951" w:type="dxa"/>
            <w:vAlign w:val="center"/>
          </w:tcPr>
          <w:p>
            <w:pPr>
              <w:spacing w:before="67" w:line="209" w:lineRule="auto"/>
              <w:ind w:left="2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30</w:t>
            </w:r>
            <w:r>
              <w:rPr>
                <w:rFonts w:hint="eastAsia" w:ascii="仿宋_GB2312" w:hAnsi="仿宋_GB2312" w:eastAsia="仿宋_GB2312" w:cs="仿宋_GB2312"/>
                <w:sz w:val="21"/>
                <w:szCs w:val="21"/>
              </w:rPr>
              <w:t>平方米</w:t>
            </w:r>
          </w:p>
        </w:tc>
        <w:tc>
          <w:tcPr>
            <w:tcW w:w="2469" w:type="dxa"/>
          </w:tcPr>
          <w:p>
            <w:pPr>
              <w:jc w:val="center"/>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97" w:type="dxa"/>
            <w:vMerge w:val="continue"/>
            <w:vAlign w:val="center"/>
          </w:tcPr>
          <w:p>
            <w:pPr>
              <w:jc w:val="center"/>
              <w:rPr>
                <w:rFonts w:hint="eastAsia" w:ascii="仿宋_GB2312" w:hAnsi="仿宋_GB2312" w:eastAsia="仿宋_GB2312" w:cs="仿宋_GB2312"/>
                <w:sz w:val="21"/>
                <w:szCs w:val="21"/>
              </w:rPr>
            </w:pPr>
          </w:p>
        </w:tc>
        <w:tc>
          <w:tcPr>
            <w:tcW w:w="752" w:type="dxa"/>
            <w:vMerge w:val="restart"/>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效益指标</w:t>
            </w:r>
          </w:p>
        </w:tc>
        <w:tc>
          <w:tcPr>
            <w:tcW w:w="999" w:type="dxa"/>
            <w:tcBorders>
              <w:left w:val="single" w:color="auto" w:sz="4" w:space="0"/>
              <w:bottom w:val="nil"/>
            </w:tcBorders>
            <w:vAlign w:val="center"/>
          </w:tcPr>
          <w:p>
            <w:pPr>
              <w:spacing w:before="67" w:line="209" w:lineRule="auto"/>
              <w:ind w:left="2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经济效益指标</w:t>
            </w:r>
          </w:p>
        </w:tc>
        <w:tc>
          <w:tcPr>
            <w:tcW w:w="2086" w:type="dxa"/>
            <w:gridSpan w:val="2"/>
            <w:vAlign w:val="center"/>
          </w:tcPr>
          <w:p>
            <w:pPr>
              <w:spacing w:before="67" w:line="209" w:lineRule="auto"/>
              <w:ind w:left="2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财政资金预算内执行</w:t>
            </w:r>
          </w:p>
        </w:tc>
        <w:tc>
          <w:tcPr>
            <w:tcW w:w="1145" w:type="dxa"/>
            <w:vAlign w:val="center"/>
          </w:tcPr>
          <w:p>
            <w:pPr>
              <w:spacing w:before="67" w:line="209" w:lineRule="auto"/>
              <w:ind w:left="2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≤4.6万元</w:t>
            </w:r>
          </w:p>
        </w:tc>
        <w:tc>
          <w:tcPr>
            <w:tcW w:w="951" w:type="dxa"/>
            <w:vAlign w:val="center"/>
          </w:tcPr>
          <w:p>
            <w:pPr>
              <w:spacing w:before="67" w:line="209" w:lineRule="auto"/>
              <w:ind w:left="2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r>
              <w:rPr>
                <w:rFonts w:hint="eastAsia" w:ascii="仿宋_GB2312" w:hAnsi="仿宋_GB2312" w:eastAsia="仿宋_GB2312" w:cs="仿宋_GB2312"/>
                <w:sz w:val="21"/>
                <w:szCs w:val="21"/>
              </w:rPr>
              <w:t>万元</w:t>
            </w:r>
          </w:p>
        </w:tc>
        <w:tc>
          <w:tcPr>
            <w:tcW w:w="2469" w:type="dxa"/>
          </w:tcPr>
          <w:p>
            <w:pPr>
              <w:jc w:val="center"/>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97" w:type="dxa"/>
            <w:vMerge w:val="continue"/>
            <w:vAlign w:val="center"/>
          </w:tcPr>
          <w:p>
            <w:pPr>
              <w:jc w:val="center"/>
              <w:rPr>
                <w:rFonts w:hint="eastAsia" w:ascii="仿宋_GB2312" w:hAnsi="仿宋_GB2312" w:eastAsia="仿宋_GB2312" w:cs="仿宋_GB2312"/>
                <w:sz w:val="21"/>
                <w:szCs w:val="21"/>
              </w:rPr>
            </w:pPr>
          </w:p>
        </w:tc>
        <w:tc>
          <w:tcPr>
            <w:tcW w:w="752"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p>
        </w:tc>
        <w:tc>
          <w:tcPr>
            <w:tcW w:w="999" w:type="dxa"/>
            <w:tcBorders>
              <w:left w:val="single" w:color="auto" w:sz="4" w:space="0"/>
              <w:bottom w:val="nil"/>
            </w:tcBorders>
            <w:vAlign w:val="center"/>
          </w:tcPr>
          <w:p>
            <w:pPr>
              <w:spacing w:before="67" w:line="209" w:lineRule="auto"/>
              <w:ind w:left="2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086" w:type="dxa"/>
            <w:gridSpan w:val="2"/>
            <w:vAlign w:val="center"/>
          </w:tcPr>
          <w:p>
            <w:pPr>
              <w:spacing w:before="67" w:line="209" w:lineRule="auto"/>
              <w:ind w:left="2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营造良好的政治生态环境</w:t>
            </w:r>
          </w:p>
        </w:tc>
        <w:tc>
          <w:tcPr>
            <w:tcW w:w="1145" w:type="dxa"/>
            <w:vAlign w:val="center"/>
          </w:tcPr>
          <w:p>
            <w:pPr>
              <w:spacing w:before="67" w:line="209" w:lineRule="auto"/>
              <w:ind w:left="2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定性</w:t>
            </w:r>
          </w:p>
        </w:tc>
        <w:tc>
          <w:tcPr>
            <w:tcW w:w="951" w:type="dxa"/>
            <w:vAlign w:val="center"/>
          </w:tcPr>
          <w:p>
            <w:pPr>
              <w:spacing w:before="67" w:line="209" w:lineRule="auto"/>
              <w:ind w:left="23"/>
              <w:jc w:val="center"/>
              <w:rPr>
                <w:rFonts w:hint="eastAsia" w:ascii="仿宋_GB2312" w:hAnsi="仿宋_GB2312" w:eastAsia="仿宋_GB2312" w:cs="仿宋_GB2312"/>
                <w:sz w:val="21"/>
                <w:szCs w:val="21"/>
              </w:rPr>
            </w:pPr>
            <w:r>
              <w:rPr>
                <w:rFonts w:hint="eastAsia" w:ascii="仿宋_GB2312" w:hAnsi="仿宋_GB2312" w:eastAsia="仿宋_GB2312" w:cs="仿宋_GB2312"/>
                <w:snapToGrid w:val="0"/>
                <w:color w:val="000000"/>
                <w:kern w:val="0"/>
                <w:sz w:val="21"/>
                <w:szCs w:val="21"/>
              </w:rPr>
              <w:t>优</w:t>
            </w:r>
          </w:p>
        </w:tc>
        <w:tc>
          <w:tcPr>
            <w:tcW w:w="2469" w:type="dxa"/>
          </w:tcPr>
          <w:p>
            <w:pPr>
              <w:jc w:val="center"/>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97" w:type="dxa"/>
            <w:vMerge w:val="continue"/>
            <w:vAlign w:val="center"/>
          </w:tcPr>
          <w:p>
            <w:pPr>
              <w:jc w:val="center"/>
              <w:rPr>
                <w:rFonts w:hint="eastAsia" w:ascii="仿宋_GB2312" w:hAnsi="仿宋_GB2312" w:eastAsia="仿宋_GB2312" w:cs="仿宋_GB2312"/>
                <w:sz w:val="21"/>
                <w:szCs w:val="21"/>
              </w:rPr>
            </w:pPr>
          </w:p>
        </w:tc>
        <w:tc>
          <w:tcPr>
            <w:tcW w:w="752" w:type="dxa"/>
            <w:tcBorders>
              <w:top w:val="single" w:color="auto" w:sz="4" w:space="0"/>
              <w:bottom w:val="nil"/>
            </w:tcBorders>
            <w:vAlign w:val="center"/>
          </w:tcPr>
          <w:p>
            <w:pPr>
              <w:spacing w:before="146" w:line="219" w:lineRule="auto"/>
              <w:ind w:left="191" w:right="124" w:hanging="70"/>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满意度</w:t>
            </w:r>
            <w:r>
              <w:rPr>
                <w:rFonts w:hint="eastAsia" w:ascii="仿宋_GB2312" w:hAnsi="仿宋_GB2312" w:eastAsia="仿宋_GB2312" w:cs="仿宋_GB2312"/>
                <w:spacing w:val="1"/>
                <w:sz w:val="21"/>
                <w:szCs w:val="21"/>
              </w:rPr>
              <w:t xml:space="preserve"> </w:t>
            </w:r>
            <w:r>
              <w:rPr>
                <w:rFonts w:hint="eastAsia" w:ascii="仿宋_GB2312" w:hAnsi="仿宋_GB2312" w:eastAsia="仿宋_GB2312" w:cs="仿宋_GB2312"/>
                <w:spacing w:val="-3"/>
                <w:sz w:val="21"/>
                <w:szCs w:val="21"/>
              </w:rPr>
              <w:t>指标</w:t>
            </w:r>
          </w:p>
        </w:tc>
        <w:tc>
          <w:tcPr>
            <w:tcW w:w="999" w:type="dxa"/>
            <w:tcBorders>
              <w:bottom w:val="nil"/>
            </w:tcBorders>
            <w:vAlign w:val="center"/>
          </w:tcPr>
          <w:p>
            <w:pPr>
              <w:spacing w:before="67" w:line="209" w:lineRule="auto"/>
              <w:ind w:left="2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086" w:type="dxa"/>
            <w:gridSpan w:val="2"/>
            <w:vAlign w:val="center"/>
          </w:tcPr>
          <w:p>
            <w:pPr>
              <w:spacing w:before="67" w:line="209" w:lineRule="auto"/>
              <w:ind w:left="2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群众及相关干部满意度</w:t>
            </w:r>
          </w:p>
        </w:tc>
        <w:tc>
          <w:tcPr>
            <w:tcW w:w="1145" w:type="dxa"/>
            <w:vAlign w:val="center"/>
          </w:tcPr>
          <w:p>
            <w:pPr>
              <w:spacing w:before="67" w:line="209" w:lineRule="auto"/>
              <w:ind w:left="2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≥98%</w:t>
            </w:r>
          </w:p>
        </w:tc>
        <w:tc>
          <w:tcPr>
            <w:tcW w:w="951" w:type="dxa"/>
            <w:vAlign w:val="center"/>
          </w:tcPr>
          <w:p>
            <w:pPr>
              <w:spacing w:before="67" w:line="209" w:lineRule="auto"/>
              <w:ind w:left="2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99%</w:t>
            </w:r>
          </w:p>
        </w:tc>
        <w:tc>
          <w:tcPr>
            <w:tcW w:w="2469" w:type="dxa"/>
          </w:tcPr>
          <w:p>
            <w:pPr>
              <w:jc w:val="center"/>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6630" w:type="dxa"/>
            <w:gridSpan w:val="7"/>
            <w:vAlign w:val="center"/>
          </w:tcPr>
          <w:p>
            <w:pPr>
              <w:spacing w:before="48" w:line="220" w:lineRule="auto"/>
              <w:ind w:left="3664"/>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总分</w:t>
            </w:r>
          </w:p>
        </w:tc>
        <w:tc>
          <w:tcPr>
            <w:tcW w:w="246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98.5</w:t>
            </w:r>
          </w:p>
        </w:tc>
      </w:tr>
    </w:tbl>
    <w:p>
      <w:pPr>
        <w:rPr>
          <w:rStyle w:val="30"/>
          <w:rFonts w:ascii="黑体" w:hAnsi="黑体" w:eastAsia="黑体"/>
          <w:b w:val="0"/>
          <w:color w:val="auto"/>
          <w:highlight w:val="none"/>
        </w:rPr>
      </w:pPr>
      <w:r>
        <w:rPr>
          <w:rStyle w:val="30"/>
          <w:rFonts w:ascii="黑体" w:hAnsi="黑体" w:eastAsia="黑体"/>
          <w:b w:val="0"/>
          <w:color w:val="auto"/>
          <w:highlight w:val="none"/>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关于2022年抗旱应急财政补助资金支出的绩效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自评报告</w:t>
      </w:r>
    </w:p>
    <w:p>
      <w:pPr>
        <w:spacing w:line="576" w:lineRule="exact"/>
        <w:ind w:firstLine="560" w:firstLineChars="200"/>
        <w:jc w:val="left"/>
        <w:rPr>
          <w:rFonts w:ascii="仿宋_GB2312" w:hAnsi="楷体_GB2312" w:eastAsia="仿宋_GB2312" w:cs="楷体_GB2312"/>
          <w:spacing w:val="-20"/>
          <w:sz w:val="32"/>
          <w:szCs w:val="32"/>
        </w:rPr>
      </w:pPr>
    </w:p>
    <w:p>
      <w:pPr>
        <w:spacing w:line="576" w:lineRule="exact"/>
        <w:ind w:firstLine="640" w:firstLineChars="200"/>
        <w:outlineLvl w:val="1"/>
        <w:rPr>
          <w:rFonts w:ascii="黑体" w:hAnsi="黑体" w:eastAsia="黑体" w:cs="黑体"/>
          <w:sz w:val="32"/>
          <w:szCs w:val="32"/>
        </w:rPr>
      </w:pPr>
      <w:bookmarkStart w:id="223" w:name="_Toc5685"/>
      <w:r>
        <w:rPr>
          <w:rFonts w:hint="eastAsia" w:ascii="黑体" w:hAnsi="黑体" w:eastAsia="黑体" w:cs="黑体"/>
          <w:sz w:val="32"/>
          <w:szCs w:val="32"/>
        </w:rPr>
        <w:t>一、项目概况</w:t>
      </w:r>
      <w:bookmarkEnd w:id="223"/>
    </w:p>
    <w:p>
      <w:pPr>
        <w:spacing w:line="536" w:lineRule="exact"/>
        <w:ind w:firstLine="643" w:firstLineChars="200"/>
        <w:outlineLvl w:val="2"/>
        <w:rPr>
          <w:rFonts w:hint="eastAsia" w:ascii="楷体" w:hAnsi="楷体" w:eastAsia="楷体" w:cs="楷体"/>
          <w:b/>
          <w:bCs/>
          <w:color w:val="000000" w:themeColor="text1"/>
          <w:sz w:val="32"/>
          <w:szCs w:val="32"/>
          <w:lang w:val="zh-CN"/>
          <w14:textFill>
            <w14:solidFill>
              <w14:schemeClr w14:val="tx1"/>
            </w14:solidFill>
          </w14:textFill>
        </w:rPr>
      </w:pPr>
      <w:bookmarkStart w:id="224" w:name="_Toc14575"/>
      <w:r>
        <w:rPr>
          <w:rFonts w:hint="eastAsia" w:ascii="楷体" w:hAnsi="楷体" w:eastAsia="楷体" w:cs="楷体"/>
          <w:b/>
          <w:bCs/>
          <w:color w:val="000000" w:themeColor="text1"/>
          <w:sz w:val="32"/>
          <w:szCs w:val="32"/>
          <w:lang w:val="zh-CN"/>
          <w14:textFill>
            <w14:solidFill>
              <w14:schemeClr w14:val="tx1"/>
            </w14:solidFill>
          </w14:textFill>
        </w:rPr>
        <w:t>（一）项目资金申报及批复情况</w:t>
      </w:r>
      <w:bookmarkEnd w:id="22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该项目申报资金性质为一般公共预算，总申报金额为</w:t>
      </w:r>
      <w:r>
        <w:rPr>
          <w:rFonts w:hint="eastAsia" w:eastAsia="仿宋_GB2312"/>
          <w:sz w:val="32"/>
          <w:szCs w:val="32"/>
          <w:lang w:val="en-US" w:eastAsia="zh-CN"/>
        </w:rPr>
        <w:t>8</w:t>
      </w:r>
      <w:r>
        <w:rPr>
          <w:rFonts w:hint="eastAsia" w:ascii="仿宋_GB2312" w:hAnsi="仿宋_GB2312" w:eastAsia="仿宋_GB2312" w:cs="仿宋_GB2312"/>
          <w:sz w:val="32"/>
          <w:szCs w:val="32"/>
        </w:rPr>
        <w:t>万元，申报项目涉及全镇</w:t>
      </w:r>
      <w:r>
        <w:rPr>
          <w:rFonts w:hint="eastAsia" w:eastAsia="仿宋_GB2312"/>
          <w:sz w:val="32"/>
          <w:szCs w:val="32"/>
          <w:lang w:val="en-US" w:eastAsia="zh-CN"/>
        </w:rPr>
        <w:t>8</w:t>
      </w:r>
      <w:r>
        <w:rPr>
          <w:rFonts w:hint="eastAsia" w:ascii="仿宋_GB2312" w:hAnsi="仿宋_GB2312" w:eastAsia="仿宋_GB2312" w:cs="仿宋_GB2312"/>
          <w:sz w:val="32"/>
          <w:szCs w:val="32"/>
        </w:rPr>
        <w:t>村。上级实际批复和安排预算资金为</w:t>
      </w:r>
      <w:r>
        <w:rPr>
          <w:rFonts w:hint="eastAsia" w:eastAsia="仿宋_GB2312"/>
          <w:sz w:val="32"/>
          <w:szCs w:val="32"/>
          <w:lang w:val="en-US" w:eastAsia="zh-CN"/>
        </w:rPr>
        <w:t>8</w:t>
      </w:r>
      <w:r>
        <w:rPr>
          <w:rFonts w:hint="eastAsia" w:ascii="仿宋_GB2312" w:hAnsi="仿宋_GB2312" w:eastAsia="仿宋_GB2312" w:cs="仿宋_GB2312"/>
          <w:sz w:val="32"/>
          <w:szCs w:val="32"/>
        </w:rPr>
        <w:t>万元。</w:t>
      </w:r>
    </w:p>
    <w:p>
      <w:pPr>
        <w:spacing w:line="536" w:lineRule="exact"/>
        <w:ind w:firstLine="643" w:firstLineChars="200"/>
        <w:outlineLvl w:val="2"/>
        <w:rPr>
          <w:rFonts w:hint="eastAsia" w:ascii="楷体" w:hAnsi="楷体" w:eastAsia="楷体" w:cs="楷体"/>
          <w:b/>
          <w:bCs/>
          <w:color w:val="000000" w:themeColor="text1"/>
          <w:sz w:val="32"/>
          <w:szCs w:val="32"/>
          <w:lang w:val="zh-CN"/>
          <w14:textFill>
            <w14:solidFill>
              <w14:schemeClr w14:val="tx1"/>
            </w14:solidFill>
          </w14:textFill>
        </w:rPr>
      </w:pPr>
      <w:bookmarkStart w:id="225" w:name="_Toc22658"/>
      <w:r>
        <w:rPr>
          <w:rFonts w:hint="eastAsia" w:ascii="楷体" w:hAnsi="楷体" w:eastAsia="楷体" w:cs="楷体"/>
          <w:b/>
          <w:bCs/>
          <w:color w:val="000000" w:themeColor="text1"/>
          <w:sz w:val="32"/>
          <w:szCs w:val="32"/>
          <w:lang w:val="zh-CN"/>
          <w14:textFill>
            <w14:solidFill>
              <w14:schemeClr w14:val="tx1"/>
            </w14:solidFill>
          </w14:textFill>
        </w:rPr>
        <w:t>（二）项目绩效目标</w:t>
      </w:r>
      <w:bookmarkEnd w:id="22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项目申报绩效目标为：</w:t>
      </w:r>
      <w:r>
        <w:rPr>
          <w:rFonts w:hint="eastAsia" w:ascii="仿宋_GB2312" w:hAnsi="仿宋_GB2312" w:eastAsia="仿宋_GB2312" w:cs="仿宋_GB2312"/>
          <w:sz w:val="32"/>
          <w:szCs w:val="32"/>
          <w:lang w:val="zh-CN"/>
        </w:rPr>
        <w:t>用于送水燃油、抽水电价的补助及人饮及渠系维护，解决受灾人畜饮水困难问题，确保受灾群众生活生产秩序正常，增强群众抗旱意识和自救能力，使受灾群众对解决生活饮水、抗旱满意度达98%</w:t>
      </w:r>
      <w:r>
        <w:rPr>
          <w:rFonts w:hint="eastAsia" w:ascii="仿宋_GB2312" w:hAnsi="仿宋_GB2312" w:eastAsia="仿宋_GB2312" w:cs="仿宋_GB2312"/>
          <w:sz w:val="32"/>
          <w:szCs w:val="32"/>
        </w:rPr>
        <w:t>。</w:t>
      </w:r>
    </w:p>
    <w:p>
      <w:pPr>
        <w:spacing w:line="536" w:lineRule="exact"/>
        <w:ind w:firstLine="643" w:firstLineChars="200"/>
        <w:outlineLvl w:val="2"/>
        <w:rPr>
          <w:rFonts w:hint="eastAsia" w:ascii="楷体" w:hAnsi="楷体" w:eastAsia="楷体" w:cs="楷体"/>
          <w:b/>
          <w:bCs/>
          <w:color w:val="000000" w:themeColor="text1"/>
          <w:sz w:val="32"/>
          <w:szCs w:val="32"/>
          <w:lang w:val="zh-CN"/>
          <w14:textFill>
            <w14:solidFill>
              <w14:schemeClr w14:val="tx1"/>
            </w14:solidFill>
          </w14:textFill>
        </w:rPr>
      </w:pPr>
      <w:bookmarkStart w:id="226" w:name="_Toc12534"/>
      <w:r>
        <w:rPr>
          <w:rFonts w:hint="eastAsia" w:ascii="楷体" w:hAnsi="楷体" w:eastAsia="楷体" w:cs="楷体"/>
          <w:b/>
          <w:bCs/>
          <w:color w:val="000000" w:themeColor="text1"/>
          <w:sz w:val="32"/>
          <w:szCs w:val="32"/>
          <w:lang w:val="zh-CN"/>
          <w14:textFill>
            <w14:solidFill>
              <w14:schemeClr w14:val="tx1"/>
            </w14:solidFill>
          </w14:textFill>
        </w:rPr>
        <w:t>（三）项目资金申报相符性</w:t>
      </w:r>
      <w:bookmarkEnd w:id="22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该项目申报内容是结合我镇多年实施该项目的实际情况编报，</w:t>
      </w:r>
      <w:r>
        <w:rPr>
          <w:rFonts w:hint="eastAsia" w:ascii="仿宋_GB2312" w:hAnsi="仿宋_GB2312" w:eastAsia="仿宋_GB2312" w:cs="仿宋_GB2312"/>
          <w:sz w:val="32"/>
          <w:szCs w:val="32"/>
          <w:lang w:val="zh-CN"/>
        </w:rPr>
        <w:t>申报目标合理，实施项目均与项目绩效实施范围、申报相符，</w:t>
      </w:r>
      <w:r>
        <w:rPr>
          <w:rFonts w:hint="eastAsia" w:ascii="仿宋_GB2312" w:hAnsi="仿宋_GB2312" w:eastAsia="仿宋_GB2312" w:cs="仿宋_GB2312"/>
          <w:sz w:val="32"/>
          <w:szCs w:val="32"/>
        </w:rPr>
        <w:t>申报目标合理可行。</w:t>
      </w:r>
    </w:p>
    <w:p>
      <w:pPr>
        <w:spacing w:line="536" w:lineRule="exact"/>
        <w:ind w:firstLine="643" w:firstLineChars="200"/>
        <w:outlineLvl w:val="2"/>
        <w:rPr>
          <w:rFonts w:hint="eastAsia" w:ascii="楷体" w:hAnsi="楷体" w:eastAsia="楷体" w:cs="楷体"/>
          <w:b/>
          <w:bCs/>
          <w:color w:val="000000" w:themeColor="text1"/>
          <w:sz w:val="32"/>
          <w:szCs w:val="32"/>
          <w:lang w:val="zh-CN"/>
          <w14:textFill>
            <w14:solidFill>
              <w14:schemeClr w14:val="tx1"/>
            </w14:solidFill>
          </w14:textFill>
        </w:rPr>
      </w:pPr>
      <w:bookmarkStart w:id="227" w:name="_Toc22210"/>
      <w:r>
        <w:rPr>
          <w:rFonts w:hint="eastAsia" w:ascii="楷体" w:hAnsi="楷体" w:eastAsia="楷体" w:cs="楷体"/>
          <w:b/>
          <w:bCs/>
          <w:color w:val="000000" w:themeColor="text1"/>
          <w:sz w:val="32"/>
          <w:szCs w:val="32"/>
          <w:lang w:val="zh-CN"/>
          <w14:textFill>
            <w14:solidFill>
              <w14:schemeClr w14:val="tx1"/>
            </w14:solidFill>
          </w14:textFill>
        </w:rPr>
        <w:t>（四）自评步骤及方法</w:t>
      </w:r>
      <w:bookmarkEnd w:id="227"/>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按区财政部门绩效管理相关规定，认真开展项目绩效评价工作，</w:t>
      </w:r>
      <w:r>
        <w:rPr>
          <w:rFonts w:hint="eastAsia" w:ascii="仿宋_GB2312" w:hAnsi="仿宋_GB2312" w:eastAsia="仿宋_GB2312" w:cs="仿宋_GB2312"/>
          <w:sz w:val="32"/>
          <w:szCs w:val="32"/>
        </w:rPr>
        <w:t>本项目采取自评与他评相结合方式，成立项目自评小组，结合评价内容，做到有计划，有安排，扎实开展本次自评工作。按照上级下达的项目支出绩效评价指标体系，自评小组针对申报内容、实施情况、资金兑现、财务管理、社会效益等</w:t>
      </w:r>
      <w:r>
        <w:rPr>
          <w:rFonts w:hint="eastAsia" w:ascii="仿宋_GB2312" w:hAnsi="仿宋_GB2312" w:eastAsia="仿宋_GB2312" w:cs="仿宋_GB2312"/>
          <w:sz w:val="32"/>
          <w:szCs w:val="32"/>
          <w:lang w:eastAsia="zh-CN"/>
        </w:rPr>
        <w:t>作出</w:t>
      </w:r>
      <w:r>
        <w:rPr>
          <w:rFonts w:hint="eastAsia" w:ascii="仿宋_GB2312" w:hAnsi="仿宋_GB2312" w:eastAsia="仿宋_GB2312" w:cs="仿宋_GB2312"/>
          <w:sz w:val="32"/>
          <w:szCs w:val="32"/>
        </w:rPr>
        <w:t>自我评价，认真听取村、社区群众建议意见，做好自评工作</w:t>
      </w:r>
      <w:r>
        <w:rPr>
          <w:rFonts w:hint="eastAsia" w:ascii="仿宋_GB2312" w:hAnsi="仿宋_GB2312" w:eastAsia="仿宋_GB2312" w:cs="仿宋_GB2312"/>
          <w:sz w:val="32"/>
          <w:szCs w:val="32"/>
          <w:lang w:val="zh-CN"/>
        </w:rPr>
        <w:t>。</w:t>
      </w:r>
    </w:p>
    <w:p>
      <w:pPr>
        <w:spacing w:line="576" w:lineRule="exact"/>
        <w:ind w:firstLine="640" w:firstLineChars="200"/>
        <w:outlineLvl w:val="1"/>
        <w:rPr>
          <w:rFonts w:hint="eastAsia" w:ascii="黑体" w:hAnsi="黑体" w:eastAsia="黑体" w:cs="黑体"/>
          <w:sz w:val="32"/>
          <w:szCs w:val="32"/>
        </w:rPr>
      </w:pPr>
      <w:bookmarkStart w:id="228" w:name="_Toc6614"/>
      <w:r>
        <w:rPr>
          <w:rFonts w:hint="eastAsia" w:ascii="黑体" w:hAnsi="黑体" w:eastAsia="黑体" w:cs="黑体"/>
          <w:sz w:val="32"/>
          <w:szCs w:val="32"/>
        </w:rPr>
        <w:t>二、项目实施及管理情况</w:t>
      </w:r>
      <w:bookmarkEnd w:id="228"/>
    </w:p>
    <w:p>
      <w:pPr>
        <w:spacing w:line="536" w:lineRule="exact"/>
        <w:ind w:firstLine="643" w:firstLineChars="200"/>
        <w:outlineLvl w:val="2"/>
        <w:rPr>
          <w:rFonts w:hint="eastAsia" w:ascii="楷体" w:hAnsi="楷体" w:eastAsia="楷体" w:cs="楷体"/>
          <w:b/>
          <w:bCs/>
          <w:color w:val="000000" w:themeColor="text1"/>
          <w:sz w:val="32"/>
          <w:szCs w:val="32"/>
          <w:lang w:val="zh-CN"/>
          <w14:textFill>
            <w14:solidFill>
              <w14:schemeClr w14:val="tx1"/>
            </w14:solidFill>
          </w14:textFill>
        </w:rPr>
      </w:pPr>
      <w:bookmarkStart w:id="229" w:name="_Toc11616"/>
      <w:r>
        <w:rPr>
          <w:rFonts w:hint="eastAsia" w:ascii="楷体" w:hAnsi="楷体" w:eastAsia="楷体" w:cs="楷体"/>
          <w:b/>
          <w:bCs/>
          <w:color w:val="000000" w:themeColor="text1"/>
          <w:sz w:val="32"/>
          <w:szCs w:val="32"/>
          <w:lang w:val="zh-CN"/>
          <w14:textFill>
            <w14:solidFill>
              <w14:schemeClr w14:val="tx1"/>
            </w14:solidFill>
          </w14:textFill>
        </w:rPr>
        <w:t>（一）资金计划、到位及使用情况</w:t>
      </w:r>
      <w:bookmarkEnd w:id="229"/>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资金预算及时到位。该项目资金预算</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万元，实际到位资金</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万元。由村申报、镇审核，报区财政部门审批直接拨付到各村。</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资金使用。该项目实际应支出</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实际支付</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万元，均按规定支付抗旱资金。</w:t>
      </w:r>
    </w:p>
    <w:p>
      <w:pPr>
        <w:spacing w:line="536" w:lineRule="exact"/>
        <w:ind w:firstLine="643" w:firstLineChars="200"/>
        <w:outlineLvl w:val="2"/>
        <w:rPr>
          <w:rFonts w:hint="eastAsia" w:ascii="楷体" w:hAnsi="楷体" w:eastAsia="楷体" w:cs="楷体"/>
          <w:b/>
          <w:bCs/>
          <w:color w:val="000000" w:themeColor="text1"/>
          <w:sz w:val="32"/>
          <w:szCs w:val="32"/>
          <w:lang w:val="zh-CN"/>
          <w14:textFill>
            <w14:solidFill>
              <w14:schemeClr w14:val="tx1"/>
            </w14:solidFill>
          </w14:textFill>
        </w:rPr>
      </w:pPr>
      <w:bookmarkStart w:id="230" w:name="_Toc11745"/>
      <w:r>
        <w:rPr>
          <w:rFonts w:hint="eastAsia" w:ascii="楷体" w:hAnsi="楷体" w:eastAsia="楷体" w:cs="楷体"/>
          <w:b/>
          <w:bCs/>
          <w:color w:val="000000" w:themeColor="text1"/>
          <w:sz w:val="32"/>
          <w:szCs w:val="32"/>
          <w:lang w:val="zh-CN"/>
          <w14:textFill>
            <w14:solidFill>
              <w14:schemeClr w14:val="tx1"/>
            </w14:solidFill>
          </w14:textFill>
        </w:rPr>
        <w:t>（二）项目财务管理情况</w:t>
      </w:r>
      <w:bookmarkEnd w:id="230"/>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该项资金实务中严格按照财经制度进行结算支付，财务制度健全、管理规范。一是严控资金使用范围。各村均做到了资金“专款专用”，对不符合项目绩效设施范围的项目，坚决不予使用该项资金报销；二是严格管理报销流程，</w:t>
      </w:r>
      <w:r>
        <w:rPr>
          <w:rFonts w:hint="eastAsia" w:ascii="仿宋_GB2312" w:hAnsi="仿宋_GB2312" w:eastAsia="仿宋_GB2312" w:cs="仿宋_GB2312"/>
          <w:sz w:val="32"/>
          <w:szCs w:val="32"/>
        </w:rPr>
        <w:t>由镇相关部门完善相关报账资料，并经财务负责人、分管领导以及镇长签字后，上报区财政相关股室审核和领导审批后，直接打卡到各村。</w:t>
      </w:r>
    </w:p>
    <w:p>
      <w:pPr>
        <w:spacing w:line="536" w:lineRule="exact"/>
        <w:ind w:firstLine="643" w:firstLineChars="200"/>
        <w:outlineLvl w:val="2"/>
        <w:rPr>
          <w:rFonts w:hint="eastAsia" w:ascii="楷体" w:hAnsi="楷体" w:eastAsia="楷体" w:cs="楷体"/>
          <w:b/>
          <w:bCs/>
          <w:color w:val="000000" w:themeColor="text1"/>
          <w:sz w:val="32"/>
          <w:szCs w:val="32"/>
          <w:lang w:val="zh-CN"/>
          <w14:textFill>
            <w14:solidFill>
              <w14:schemeClr w14:val="tx1"/>
            </w14:solidFill>
          </w14:textFill>
        </w:rPr>
      </w:pPr>
      <w:bookmarkStart w:id="231" w:name="_Toc18096"/>
      <w:r>
        <w:rPr>
          <w:rFonts w:hint="eastAsia" w:ascii="楷体" w:hAnsi="楷体" w:eastAsia="楷体" w:cs="楷体"/>
          <w:b/>
          <w:bCs/>
          <w:color w:val="000000" w:themeColor="text1"/>
          <w:sz w:val="32"/>
          <w:szCs w:val="32"/>
          <w:lang w:val="zh-CN"/>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三</w:t>
      </w:r>
      <w:r>
        <w:rPr>
          <w:rFonts w:hint="eastAsia" w:ascii="楷体" w:hAnsi="楷体" w:eastAsia="楷体" w:cs="楷体"/>
          <w:b/>
          <w:bCs/>
          <w:color w:val="000000" w:themeColor="text1"/>
          <w:sz w:val="32"/>
          <w:szCs w:val="32"/>
          <w:lang w:val="zh-CN"/>
          <w14:textFill>
            <w14:solidFill>
              <w14:schemeClr w14:val="tx1"/>
            </w14:solidFill>
          </w14:textFill>
        </w:rPr>
        <w:t>）项目组织实施及管理情况</w:t>
      </w:r>
      <w:bookmarkEnd w:id="231"/>
    </w:p>
    <w:p>
      <w:pPr>
        <w:spacing w:line="576"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财政批复抗旱资金项目，主要包括送水燃油、抽水电价的补助及人饮及渠系维护，解决受灾人畜饮水困难。按照年初预算安排，认真论证项目实施的可行性和效益性，并在项目实施过程中认真完善项目建设中的相关手续办理和基础资料的收集整理、组织呈报等，加强与相关部门之间工作的及时沟通协调，确保项目顺利开展。在项目实施中，工作职责明确，许多情况都能跟踪跟进，有效地推进项目建设进度和保证项目质量。资金开支的范围、标准及支付进度完全按照预算要求进行，项目实施村按镇批准方案。</w:t>
      </w:r>
    </w:p>
    <w:p>
      <w:pPr>
        <w:spacing w:line="576" w:lineRule="exact"/>
        <w:ind w:firstLine="640" w:firstLineChars="200"/>
        <w:outlineLvl w:val="1"/>
        <w:rPr>
          <w:rFonts w:hint="eastAsia" w:ascii="黑体" w:hAnsi="黑体" w:eastAsia="黑体" w:cs="黑体"/>
          <w:sz w:val="32"/>
          <w:szCs w:val="32"/>
        </w:rPr>
      </w:pPr>
      <w:bookmarkStart w:id="232" w:name="_Toc2619"/>
      <w:r>
        <w:rPr>
          <w:rFonts w:hint="eastAsia" w:ascii="黑体" w:hAnsi="黑体" w:eastAsia="黑体" w:cs="黑体"/>
          <w:sz w:val="32"/>
          <w:szCs w:val="32"/>
          <w:lang w:val="en-US" w:eastAsia="zh-CN"/>
        </w:rPr>
        <w:t>三、</w:t>
      </w:r>
      <w:r>
        <w:rPr>
          <w:rFonts w:hint="eastAsia" w:ascii="黑体" w:hAnsi="黑体" w:eastAsia="黑体" w:cs="黑体"/>
          <w:sz w:val="32"/>
          <w:szCs w:val="32"/>
        </w:rPr>
        <w:t>项目绩效情况</w:t>
      </w:r>
      <w:bookmarkEnd w:id="232"/>
    </w:p>
    <w:p>
      <w:pPr>
        <w:spacing w:line="536" w:lineRule="exact"/>
        <w:ind w:firstLine="643" w:firstLineChars="200"/>
        <w:outlineLvl w:val="2"/>
        <w:rPr>
          <w:rFonts w:hint="eastAsia" w:ascii="楷体" w:hAnsi="楷体" w:eastAsia="楷体" w:cs="楷体"/>
          <w:b/>
          <w:bCs/>
          <w:color w:val="000000" w:themeColor="text1"/>
          <w:sz w:val="32"/>
          <w:szCs w:val="32"/>
          <w:lang w:val="zh-CN"/>
          <w14:textFill>
            <w14:solidFill>
              <w14:schemeClr w14:val="tx1"/>
            </w14:solidFill>
          </w14:textFill>
        </w:rPr>
      </w:pPr>
      <w:bookmarkStart w:id="233" w:name="_Toc16097"/>
      <w:r>
        <w:rPr>
          <w:rFonts w:hint="eastAsia" w:ascii="楷体" w:hAnsi="楷体" w:eastAsia="楷体" w:cs="楷体"/>
          <w:b/>
          <w:bCs/>
          <w:color w:val="000000" w:themeColor="text1"/>
          <w:sz w:val="32"/>
          <w:szCs w:val="32"/>
          <w:lang w:val="zh-CN"/>
          <w14:textFill>
            <w14:solidFill>
              <w14:schemeClr w14:val="tx1"/>
            </w14:solidFill>
          </w14:textFill>
        </w:rPr>
        <w:t>（一）目标完成情况</w:t>
      </w:r>
      <w:bookmarkEnd w:id="233"/>
    </w:p>
    <w:p>
      <w:pPr>
        <w:pStyle w:val="16"/>
        <w:widowControl/>
        <w:spacing w:beforeAutospacing="0" w:afterAutospacing="0" w:line="576" w:lineRule="exact"/>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保障临时饮水困难人员约200人，修复渠系耗材及租赁抽水设施质量合格率达100%，抗旱资金兑付及时率100%，受灾群众人饮及生活困难解决率99%，有效维护受灾群众生活生产秩序正常，提高群众抗旱意识和自救能力受灾群众对解决生活饮水、抗旱满意度达98%。</w:t>
      </w:r>
    </w:p>
    <w:p>
      <w:pPr>
        <w:spacing w:line="536" w:lineRule="exact"/>
        <w:ind w:firstLine="643" w:firstLineChars="200"/>
        <w:outlineLvl w:val="2"/>
        <w:rPr>
          <w:rFonts w:hint="eastAsia" w:ascii="楷体" w:hAnsi="楷体" w:eastAsia="楷体" w:cs="楷体"/>
          <w:b/>
          <w:bCs/>
          <w:color w:val="000000" w:themeColor="text1"/>
          <w:sz w:val="32"/>
          <w:szCs w:val="32"/>
          <w:lang w:val="zh-CN"/>
          <w14:textFill>
            <w14:solidFill>
              <w14:schemeClr w14:val="tx1"/>
            </w14:solidFill>
          </w14:textFill>
        </w:rPr>
      </w:pPr>
      <w:bookmarkStart w:id="234" w:name="_Toc26510"/>
      <w:r>
        <w:rPr>
          <w:rFonts w:hint="eastAsia" w:ascii="楷体" w:hAnsi="楷体" w:eastAsia="楷体" w:cs="楷体"/>
          <w:b/>
          <w:bCs/>
          <w:color w:val="000000" w:themeColor="text1"/>
          <w:sz w:val="32"/>
          <w:szCs w:val="32"/>
          <w:lang w:val="zh-CN"/>
          <w14:textFill>
            <w14:solidFill>
              <w14:schemeClr w14:val="tx1"/>
            </w14:solidFill>
          </w14:textFill>
        </w:rPr>
        <w:t>（二）项目效益情况</w:t>
      </w:r>
      <w:bookmarkEnd w:id="234"/>
    </w:p>
    <w:p>
      <w:pPr>
        <w:pStyle w:val="16"/>
        <w:widowControl/>
        <w:spacing w:beforeAutospacing="0" w:afterAutospacing="0" w:line="576" w:lineRule="exact"/>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确保安全，最大限度地减轻干旱灾害的影响和损失，保障人民生命财产的安全和社会的稳定。</w:t>
      </w:r>
    </w:p>
    <w:p>
      <w:pPr>
        <w:adjustRightInd w:val="0"/>
        <w:snapToGrid w:val="0"/>
        <w:spacing w:line="576" w:lineRule="exact"/>
        <w:ind w:firstLine="640" w:firstLineChars="200"/>
        <w:outlineLvl w:val="1"/>
        <w:rPr>
          <w:rFonts w:ascii="黑体" w:hAnsi="黑体" w:eastAsia="黑体" w:cs="黑体"/>
          <w:sz w:val="32"/>
          <w:szCs w:val="32"/>
        </w:rPr>
      </w:pPr>
      <w:bookmarkStart w:id="235" w:name="_Toc3168"/>
      <w:r>
        <w:rPr>
          <w:rFonts w:hint="eastAsia" w:ascii="黑体" w:hAnsi="黑体" w:eastAsia="黑体" w:cs="黑体"/>
          <w:sz w:val="32"/>
          <w:szCs w:val="32"/>
        </w:rPr>
        <w:t>四、评价结论及问题建议</w:t>
      </w:r>
      <w:bookmarkEnd w:id="235"/>
    </w:p>
    <w:p>
      <w:pPr>
        <w:spacing w:line="536" w:lineRule="exact"/>
        <w:ind w:firstLine="643" w:firstLineChars="200"/>
        <w:outlineLvl w:val="2"/>
        <w:rPr>
          <w:rFonts w:hint="eastAsia" w:ascii="楷体" w:hAnsi="楷体" w:eastAsia="楷体" w:cs="楷体"/>
          <w:b/>
          <w:bCs/>
          <w:color w:val="000000" w:themeColor="text1"/>
          <w:sz w:val="32"/>
          <w:szCs w:val="32"/>
          <w:lang w:val="zh-CN"/>
          <w14:textFill>
            <w14:solidFill>
              <w14:schemeClr w14:val="tx1"/>
            </w14:solidFill>
          </w14:textFill>
        </w:rPr>
      </w:pPr>
      <w:bookmarkStart w:id="236" w:name="_Toc10574"/>
      <w:r>
        <w:rPr>
          <w:rFonts w:hint="eastAsia" w:ascii="楷体" w:hAnsi="楷体" w:eastAsia="楷体" w:cs="楷体"/>
          <w:b/>
          <w:bCs/>
          <w:color w:val="000000" w:themeColor="text1"/>
          <w:sz w:val="32"/>
          <w:szCs w:val="32"/>
          <w:lang w:val="zh-CN"/>
          <w14:textFill>
            <w14:solidFill>
              <w14:schemeClr w14:val="tx1"/>
            </w14:solidFill>
          </w14:textFill>
        </w:rPr>
        <w:t>（一）评价结论</w:t>
      </w:r>
      <w:bookmarkEnd w:id="236"/>
    </w:p>
    <w:p>
      <w:pPr>
        <w:adjustRightInd w:val="0"/>
        <w:snapToGrid w:val="0"/>
        <w:spacing w:line="576"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kern w:val="2"/>
          <w:sz w:val="32"/>
          <w:szCs w:val="32"/>
          <w:lang w:val="en-US" w:eastAsia="zh-CN" w:bidi="ar-SA"/>
        </w:rPr>
        <w:t>综合评价情况及评价结论：该项目以维护受灾群众生活生产秩序，增强群众抗旱意识和自救能力为出发点；以完善基础设施为保障点；真正使财政资金实现令人民满意和取得最大绩效。我镇按照《广元市昭化区财政支出事后绩效评价管理办法》（昭府办函〔2022〕37号）开展绩效评价，自评得分为98.5分。</w:t>
      </w:r>
    </w:p>
    <w:p>
      <w:pPr>
        <w:spacing w:line="536" w:lineRule="exact"/>
        <w:ind w:firstLine="643" w:firstLineChars="200"/>
        <w:outlineLvl w:val="2"/>
        <w:rPr>
          <w:rFonts w:hint="eastAsia" w:ascii="楷体" w:hAnsi="楷体" w:eastAsia="楷体" w:cs="楷体"/>
          <w:b/>
          <w:bCs/>
          <w:color w:val="000000" w:themeColor="text1"/>
          <w:sz w:val="32"/>
          <w:szCs w:val="32"/>
          <w:lang w:val="zh-CN"/>
          <w14:textFill>
            <w14:solidFill>
              <w14:schemeClr w14:val="tx1"/>
            </w14:solidFill>
          </w14:textFill>
        </w:rPr>
      </w:pPr>
      <w:bookmarkStart w:id="237" w:name="_Toc14471"/>
      <w:r>
        <w:rPr>
          <w:rFonts w:hint="eastAsia" w:ascii="楷体" w:hAnsi="楷体" w:eastAsia="楷体" w:cs="楷体"/>
          <w:b/>
          <w:bCs/>
          <w:color w:val="000000" w:themeColor="text1"/>
          <w:sz w:val="32"/>
          <w:szCs w:val="32"/>
          <w:lang w:val="zh-CN"/>
          <w14:textFill>
            <w14:solidFill>
              <w14:schemeClr w14:val="tx1"/>
            </w14:solidFill>
          </w14:textFill>
        </w:rPr>
        <w:t>（二）存在的问题</w:t>
      </w:r>
      <w:bookmarkEnd w:id="237"/>
    </w:p>
    <w:p>
      <w:pPr>
        <w:adjustRightInd w:val="0"/>
        <w:snapToGrid w:val="0"/>
        <w:spacing w:line="576"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各村抗旱预案未细化，底数不清。受灾群众覆盖面还有待不断扩充；部分群众未得到有效救助。</w:t>
      </w:r>
    </w:p>
    <w:p>
      <w:pPr>
        <w:spacing w:line="536" w:lineRule="exact"/>
        <w:ind w:firstLine="643" w:firstLineChars="200"/>
        <w:outlineLvl w:val="2"/>
        <w:rPr>
          <w:rFonts w:hint="eastAsia" w:ascii="楷体" w:hAnsi="楷体" w:eastAsia="楷体" w:cs="楷体"/>
          <w:b/>
          <w:bCs/>
          <w:color w:val="000000" w:themeColor="text1"/>
          <w:sz w:val="32"/>
          <w:szCs w:val="32"/>
          <w:lang w:val="zh-CN"/>
          <w14:textFill>
            <w14:solidFill>
              <w14:schemeClr w14:val="tx1"/>
            </w14:solidFill>
          </w14:textFill>
        </w:rPr>
      </w:pPr>
      <w:bookmarkStart w:id="238" w:name="_Toc67"/>
      <w:r>
        <w:rPr>
          <w:rFonts w:hint="eastAsia" w:ascii="楷体" w:hAnsi="楷体" w:eastAsia="楷体" w:cs="楷体"/>
          <w:b/>
          <w:bCs/>
          <w:color w:val="000000" w:themeColor="text1"/>
          <w:sz w:val="32"/>
          <w:szCs w:val="32"/>
          <w:lang w:val="zh-CN"/>
          <w14:textFill>
            <w14:solidFill>
              <w14:schemeClr w14:val="tx1"/>
            </w14:solidFill>
          </w14:textFill>
        </w:rPr>
        <w:t>（三）相关措施建议</w:t>
      </w:r>
      <w:bookmarkEnd w:id="238"/>
    </w:p>
    <w:p>
      <w:pPr>
        <w:adjustRightInd w:val="0"/>
        <w:snapToGrid w:val="0"/>
        <w:spacing w:line="576"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完善应急调水预案，做好水源调度，合理利用雨洪资源，提高水资源利用效率；动员农民群众消除等靠思想，自觉投入抗旱工作中去。</w:t>
      </w:r>
    </w:p>
    <w:p>
      <w:pPr>
        <w:rPr>
          <w:rFonts w:hint="eastAsia"/>
        </w:rPr>
      </w:pPr>
      <w:r>
        <w:rPr>
          <w:rFonts w:hint="eastAsia"/>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spacing w:val="0"/>
          <w:sz w:val="44"/>
          <w:szCs w:val="44"/>
        </w:rPr>
        <w:t>广元市昭化区财政项目(政策)支出绩效自评表</w:t>
      </w:r>
    </w:p>
    <w:p>
      <w:pPr>
        <w:spacing w:before="86" w:line="219" w:lineRule="auto"/>
        <w:ind w:left="3894"/>
        <w:rPr>
          <w:rFonts w:hint="eastAsia" w:ascii="宋体" w:hAnsi="宋体" w:eastAsia="宋体" w:cs="宋体"/>
          <w:sz w:val="22"/>
          <w:szCs w:val="22"/>
          <w:lang w:eastAsia="zh-CN"/>
        </w:rPr>
      </w:pPr>
      <w:r>
        <w:rPr>
          <w:rFonts w:hint="eastAsia" w:ascii="宋体" w:hAnsi="宋体" w:cs="宋体"/>
          <w:sz w:val="22"/>
          <w:szCs w:val="22"/>
          <w:lang w:eastAsia="zh-CN"/>
        </w:rPr>
        <w:t>（</w:t>
      </w:r>
      <w:r>
        <w:rPr>
          <w:rFonts w:hint="eastAsia" w:ascii="宋体" w:hAnsi="宋体" w:cs="宋体"/>
          <w:spacing w:val="32"/>
          <w:sz w:val="22"/>
          <w:szCs w:val="22"/>
        </w:rPr>
        <w:t>2022</w:t>
      </w:r>
      <w:r>
        <w:rPr>
          <w:rFonts w:ascii="宋体" w:hAnsi="宋体" w:cs="宋体"/>
          <w:spacing w:val="-14"/>
          <w:sz w:val="22"/>
          <w:szCs w:val="22"/>
        </w:rPr>
        <w:t>年度</w:t>
      </w:r>
      <w:r>
        <w:rPr>
          <w:rFonts w:hint="eastAsia" w:ascii="宋体" w:hAnsi="宋体" w:cs="宋体"/>
          <w:sz w:val="22"/>
          <w:szCs w:val="22"/>
          <w:lang w:eastAsia="zh-CN"/>
        </w:rPr>
        <w:t>）</w:t>
      </w:r>
    </w:p>
    <w:p>
      <w:pPr>
        <w:spacing w:line="134" w:lineRule="exact"/>
      </w:pPr>
    </w:p>
    <w:tbl>
      <w:tblPr>
        <w:tblStyle w:val="39"/>
        <w:tblW w:w="909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7"/>
        <w:gridCol w:w="752"/>
        <w:gridCol w:w="999"/>
        <w:gridCol w:w="778"/>
        <w:gridCol w:w="1308"/>
        <w:gridCol w:w="1145"/>
        <w:gridCol w:w="951"/>
        <w:gridCol w:w="24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1449" w:type="dxa"/>
            <w:gridSpan w:val="2"/>
          </w:tcPr>
          <w:p>
            <w:pPr>
              <w:spacing w:before="82" w:line="220" w:lineRule="auto"/>
              <w:ind w:left="75"/>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项目(政策)名称</w:t>
            </w:r>
          </w:p>
        </w:tc>
        <w:tc>
          <w:tcPr>
            <w:tcW w:w="7650" w:type="dxa"/>
            <w:gridSpan w:val="6"/>
          </w:tcPr>
          <w:p>
            <w:pPr>
              <w:rPr>
                <w:rFonts w:hint="eastAsia" w:ascii="仿宋_GB2312" w:hAnsi="仿宋_GB2312" w:eastAsia="仿宋_GB2312" w:cs="仿宋_GB2312"/>
                <w:sz w:val="21"/>
                <w:szCs w:val="21"/>
              </w:rPr>
            </w:pPr>
            <w:r>
              <w:rPr>
                <w:rFonts w:hint="eastAsia" w:ascii="仿宋_GB2312" w:hAnsi="仿宋_GB2312" w:eastAsia="仿宋_GB2312" w:cs="仿宋_GB2312"/>
                <w:color w:val="000000" w:themeColor="text1"/>
                <w:sz w:val="21"/>
                <w:szCs w:val="21"/>
                <w14:textFill>
                  <w14:solidFill>
                    <w14:schemeClr w14:val="tx1"/>
                  </w14:solidFill>
                </w14:textFill>
              </w:rPr>
              <w:t>抗旱应急财政补助资金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449" w:type="dxa"/>
            <w:gridSpan w:val="2"/>
          </w:tcPr>
          <w:p>
            <w:pPr>
              <w:spacing w:before="78" w:line="219" w:lineRule="auto"/>
              <w:ind w:left="404"/>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主管部门</w:t>
            </w:r>
          </w:p>
        </w:tc>
        <w:tc>
          <w:tcPr>
            <w:tcW w:w="4230" w:type="dxa"/>
            <w:gridSpan w:val="4"/>
          </w:tcPr>
          <w:p>
            <w:pPr>
              <w:rPr>
                <w:rFonts w:hint="eastAsia" w:ascii="仿宋_GB2312" w:hAnsi="仿宋_GB2312" w:eastAsia="仿宋_GB2312" w:cs="仿宋_GB2312"/>
                <w:sz w:val="21"/>
                <w:szCs w:val="21"/>
              </w:rPr>
            </w:pPr>
            <w:r>
              <w:rPr>
                <w:rFonts w:hint="eastAsia" w:ascii="仿宋_GB2312" w:hAnsi="仿宋_GB2312" w:eastAsia="仿宋_GB2312" w:cs="仿宋_GB2312"/>
                <w:color w:val="000000" w:themeColor="text1"/>
                <w:sz w:val="21"/>
                <w:szCs w:val="21"/>
                <w14:textFill>
                  <w14:solidFill>
                    <w14:schemeClr w14:val="tx1"/>
                  </w14:solidFill>
                </w14:textFill>
              </w:rPr>
              <w:t>广元市昭化区人民政府</w:t>
            </w:r>
          </w:p>
        </w:tc>
        <w:tc>
          <w:tcPr>
            <w:tcW w:w="951" w:type="dxa"/>
          </w:tcPr>
          <w:p>
            <w:pPr>
              <w:spacing w:before="78" w:line="219" w:lineRule="auto"/>
              <w:jc w:val="center"/>
              <w:rPr>
                <w:rFonts w:hint="eastAsia" w:ascii="仿宋_GB2312" w:hAnsi="仿宋_GB2312" w:eastAsia="仿宋_GB2312" w:cs="仿宋_GB2312"/>
                <w:spacing w:val="4"/>
                <w:sz w:val="21"/>
                <w:szCs w:val="21"/>
              </w:rPr>
            </w:pPr>
            <w:r>
              <w:rPr>
                <w:rFonts w:hint="eastAsia" w:ascii="仿宋_GB2312" w:hAnsi="仿宋_GB2312" w:eastAsia="仿宋_GB2312" w:cs="仿宋_GB2312"/>
                <w:spacing w:val="4"/>
                <w:sz w:val="21"/>
                <w:szCs w:val="21"/>
              </w:rPr>
              <w:t>实施单位</w:t>
            </w:r>
          </w:p>
        </w:tc>
        <w:tc>
          <w:tcPr>
            <w:tcW w:w="2469" w:type="dxa"/>
          </w:tcPr>
          <w:p>
            <w:pPr>
              <w:spacing w:before="78" w:line="219" w:lineRule="auto"/>
              <w:jc w:val="center"/>
              <w:rPr>
                <w:rFonts w:hint="eastAsia" w:ascii="仿宋_GB2312" w:hAnsi="仿宋_GB2312" w:eastAsia="仿宋_GB2312" w:cs="仿宋_GB2312"/>
                <w:spacing w:val="4"/>
                <w:sz w:val="21"/>
                <w:szCs w:val="21"/>
              </w:rPr>
            </w:pPr>
            <w:r>
              <w:rPr>
                <w:rFonts w:hint="eastAsia" w:ascii="仿宋_GB2312" w:hAnsi="仿宋_GB2312" w:eastAsia="仿宋_GB2312" w:cs="仿宋_GB2312"/>
                <w:spacing w:val="4"/>
                <w:sz w:val="21"/>
                <w:szCs w:val="21"/>
                <w:lang w:eastAsia="zh-CN"/>
              </w:rPr>
              <w:t>磨滩</w:t>
            </w:r>
            <w:r>
              <w:rPr>
                <w:rFonts w:hint="eastAsia" w:ascii="仿宋_GB2312" w:hAnsi="仿宋_GB2312" w:eastAsia="仿宋_GB2312" w:cs="仿宋_GB2312"/>
                <w:spacing w:val="4"/>
                <w:sz w:val="21"/>
                <w:szCs w:val="21"/>
              </w:rPr>
              <w:t>镇人民政府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8" w:hRule="atLeast"/>
        </w:trPr>
        <w:tc>
          <w:tcPr>
            <w:tcW w:w="1449" w:type="dxa"/>
            <w:gridSpan w:val="2"/>
            <w:vMerge w:val="restart"/>
            <w:tcBorders>
              <w:bottom w:val="nil"/>
            </w:tcBorders>
          </w:tcPr>
          <w:p>
            <w:pPr>
              <w:spacing w:line="279" w:lineRule="auto"/>
              <w:rPr>
                <w:rFonts w:hint="eastAsia" w:ascii="仿宋_GB2312" w:hAnsi="仿宋_GB2312" w:eastAsia="仿宋_GB2312" w:cs="仿宋_GB2312"/>
                <w:sz w:val="21"/>
                <w:szCs w:val="21"/>
              </w:rPr>
            </w:pPr>
          </w:p>
          <w:p>
            <w:pPr>
              <w:spacing w:line="279" w:lineRule="auto"/>
              <w:rPr>
                <w:rFonts w:hint="eastAsia" w:ascii="仿宋_GB2312" w:hAnsi="仿宋_GB2312" w:eastAsia="仿宋_GB2312" w:cs="仿宋_GB2312"/>
                <w:sz w:val="21"/>
                <w:szCs w:val="21"/>
              </w:rPr>
            </w:pPr>
          </w:p>
          <w:p>
            <w:pPr>
              <w:spacing w:line="279" w:lineRule="auto"/>
              <w:rPr>
                <w:rFonts w:hint="eastAsia" w:ascii="仿宋_GB2312" w:hAnsi="仿宋_GB2312" w:eastAsia="仿宋_GB2312" w:cs="仿宋_GB2312"/>
                <w:sz w:val="21"/>
                <w:szCs w:val="21"/>
              </w:rPr>
            </w:pPr>
          </w:p>
          <w:p>
            <w:pPr>
              <w:spacing w:line="279" w:lineRule="auto"/>
              <w:rPr>
                <w:rFonts w:hint="eastAsia" w:ascii="仿宋_GB2312" w:hAnsi="仿宋_GB2312" w:eastAsia="仿宋_GB2312" w:cs="仿宋_GB2312"/>
                <w:sz w:val="21"/>
                <w:szCs w:val="21"/>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0"/>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项目(政策)资金</w:t>
            </w:r>
            <w:r>
              <w:rPr>
                <w:rFonts w:hint="eastAsia" w:ascii="仿宋_GB2312" w:hAnsi="仿宋_GB2312" w:eastAsia="仿宋_GB2312" w:cs="仿宋_GB2312"/>
                <w:spacing w:val="9"/>
                <w:sz w:val="21"/>
                <w:szCs w:val="21"/>
              </w:rPr>
              <w:t>(万元)</w:t>
            </w:r>
          </w:p>
        </w:tc>
        <w:tc>
          <w:tcPr>
            <w:tcW w:w="1777" w:type="dxa"/>
            <w:gridSpan w:val="2"/>
          </w:tcPr>
          <w:p>
            <w:pPr>
              <w:rPr>
                <w:rFonts w:hint="eastAsia" w:ascii="仿宋_GB2312" w:hAnsi="仿宋_GB2312" w:eastAsia="仿宋_GB2312" w:cs="仿宋_GB2312"/>
                <w:sz w:val="21"/>
                <w:szCs w:val="21"/>
              </w:rPr>
            </w:pPr>
          </w:p>
        </w:tc>
        <w:tc>
          <w:tcPr>
            <w:tcW w:w="1308" w:type="dxa"/>
          </w:tcPr>
          <w:p>
            <w:pPr>
              <w:spacing w:before="77"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年初预算数</w:t>
            </w:r>
          </w:p>
        </w:tc>
        <w:tc>
          <w:tcPr>
            <w:tcW w:w="1145" w:type="dxa"/>
          </w:tcPr>
          <w:p>
            <w:pPr>
              <w:spacing w:before="98"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全年预算数</w:t>
            </w:r>
          </w:p>
        </w:tc>
        <w:tc>
          <w:tcPr>
            <w:tcW w:w="951" w:type="dxa"/>
          </w:tcPr>
          <w:p>
            <w:pPr>
              <w:spacing w:before="77"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全年执行数</w:t>
            </w:r>
          </w:p>
        </w:tc>
        <w:tc>
          <w:tcPr>
            <w:tcW w:w="2469" w:type="dxa"/>
          </w:tcPr>
          <w:p>
            <w:pPr>
              <w:spacing w:before="77"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执行率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449" w:type="dxa"/>
            <w:gridSpan w:val="2"/>
            <w:vMerge w:val="continue"/>
            <w:tcBorders>
              <w:top w:val="nil"/>
              <w:bottom w:val="nil"/>
            </w:tcBorders>
          </w:tcPr>
          <w:p>
            <w:pPr>
              <w:rPr>
                <w:rFonts w:hint="eastAsia" w:ascii="仿宋_GB2312" w:hAnsi="仿宋_GB2312" w:eastAsia="仿宋_GB2312" w:cs="仿宋_GB2312"/>
                <w:sz w:val="21"/>
                <w:szCs w:val="21"/>
              </w:rPr>
            </w:pPr>
          </w:p>
        </w:tc>
        <w:tc>
          <w:tcPr>
            <w:tcW w:w="1777" w:type="dxa"/>
            <w:gridSpan w:val="2"/>
          </w:tcPr>
          <w:p>
            <w:pPr>
              <w:spacing w:before="79" w:line="219" w:lineRule="auto"/>
              <w:ind w:left="151"/>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年度资金总额</w:t>
            </w:r>
          </w:p>
        </w:tc>
        <w:tc>
          <w:tcPr>
            <w:tcW w:w="1308" w:type="dxa"/>
          </w:tcPr>
          <w:p>
            <w:pPr>
              <w:spacing w:before="77" w:line="219" w:lineRule="auto"/>
              <w:jc w:val="center"/>
              <w:rPr>
                <w:rFonts w:hint="eastAsia" w:ascii="仿宋_GB2312" w:hAnsi="仿宋_GB2312" w:eastAsia="仿宋_GB2312" w:cs="仿宋_GB2312"/>
                <w:spacing w:val="-2"/>
                <w:sz w:val="21"/>
                <w:szCs w:val="21"/>
                <w:lang w:eastAsia="zh-CN"/>
              </w:rPr>
            </w:pPr>
            <w:r>
              <w:rPr>
                <w:rFonts w:hint="eastAsia" w:ascii="仿宋_GB2312" w:hAnsi="仿宋_GB2312" w:eastAsia="仿宋_GB2312" w:cs="仿宋_GB2312"/>
                <w:spacing w:val="-2"/>
                <w:sz w:val="21"/>
                <w:szCs w:val="21"/>
                <w:lang w:val="en-US" w:eastAsia="zh-CN"/>
              </w:rPr>
              <w:t>8</w:t>
            </w:r>
          </w:p>
        </w:tc>
        <w:tc>
          <w:tcPr>
            <w:tcW w:w="1145" w:type="dxa"/>
          </w:tcPr>
          <w:p>
            <w:pPr>
              <w:spacing w:before="77" w:line="219" w:lineRule="auto"/>
              <w:jc w:val="center"/>
              <w:rPr>
                <w:rFonts w:hint="eastAsia" w:ascii="仿宋_GB2312" w:hAnsi="仿宋_GB2312" w:eastAsia="仿宋_GB2312" w:cs="仿宋_GB2312"/>
                <w:spacing w:val="-2"/>
                <w:sz w:val="21"/>
                <w:szCs w:val="21"/>
                <w:lang w:eastAsia="zh-CN"/>
              </w:rPr>
            </w:pPr>
            <w:r>
              <w:rPr>
                <w:rFonts w:hint="eastAsia" w:ascii="仿宋_GB2312" w:hAnsi="仿宋_GB2312" w:eastAsia="仿宋_GB2312" w:cs="仿宋_GB2312"/>
                <w:spacing w:val="-2"/>
                <w:sz w:val="21"/>
                <w:szCs w:val="21"/>
                <w:lang w:val="en-US" w:eastAsia="zh-CN"/>
              </w:rPr>
              <w:t>8</w:t>
            </w:r>
          </w:p>
        </w:tc>
        <w:tc>
          <w:tcPr>
            <w:tcW w:w="951" w:type="dxa"/>
          </w:tcPr>
          <w:p>
            <w:pPr>
              <w:spacing w:before="77" w:line="219" w:lineRule="auto"/>
              <w:jc w:val="center"/>
              <w:rPr>
                <w:rFonts w:hint="eastAsia" w:ascii="仿宋_GB2312" w:hAnsi="仿宋_GB2312" w:eastAsia="仿宋_GB2312" w:cs="仿宋_GB2312"/>
                <w:spacing w:val="-2"/>
                <w:sz w:val="21"/>
                <w:szCs w:val="21"/>
                <w:lang w:eastAsia="zh-CN"/>
              </w:rPr>
            </w:pPr>
            <w:r>
              <w:rPr>
                <w:rFonts w:hint="eastAsia" w:ascii="仿宋_GB2312" w:hAnsi="仿宋_GB2312" w:eastAsia="仿宋_GB2312" w:cs="仿宋_GB2312"/>
                <w:spacing w:val="-2"/>
                <w:sz w:val="21"/>
                <w:szCs w:val="21"/>
                <w:lang w:val="en-US" w:eastAsia="zh-CN"/>
              </w:rPr>
              <w:t>8</w:t>
            </w:r>
          </w:p>
        </w:tc>
        <w:tc>
          <w:tcPr>
            <w:tcW w:w="2469" w:type="dxa"/>
            <w:vAlign w:val="center"/>
          </w:tcPr>
          <w:p>
            <w:pPr>
              <w:spacing w:before="77" w:line="219" w:lineRule="auto"/>
              <w:jc w:val="center"/>
              <w:rPr>
                <w:rFonts w:hint="eastAsia" w:ascii="仿宋_GB2312" w:hAnsi="仿宋_GB2312" w:eastAsia="仿宋_GB2312" w:cs="仿宋_GB2312"/>
                <w:spacing w:val="-2"/>
                <w:sz w:val="21"/>
                <w:szCs w:val="21"/>
              </w:rPr>
            </w:pPr>
            <w:r>
              <w:rPr>
                <w:rFonts w:hint="eastAsia" w:ascii="仿宋_GB2312" w:hAnsi="仿宋_GB2312" w:eastAsia="仿宋_GB2312" w:cs="仿宋_GB2312"/>
                <w:spacing w:val="-2"/>
                <w:sz w:val="21"/>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1449" w:type="dxa"/>
            <w:gridSpan w:val="2"/>
            <w:vMerge w:val="continue"/>
            <w:tcBorders>
              <w:top w:val="nil"/>
              <w:bottom w:val="nil"/>
            </w:tcBorders>
          </w:tcPr>
          <w:p>
            <w:pPr>
              <w:rPr>
                <w:rFonts w:hint="eastAsia" w:ascii="仿宋_GB2312" w:hAnsi="仿宋_GB2312" w:eastAsia="仿宋_GB2312" w:cs="仿宋_GB2312"/>
                <w:sz w:val="21"/>
                <w:szCs w:val="21"/>
              </w:rPr>
            </w:pPr>
          </w:p>
        </w:tc>
        <w:tc>
          <w:tcPr>
            <w:tcW w:w="1777" w:type="dxa"/>
            <w:gridSpan w:val="2"/>
          </w:tcPr>
          <w:p>
            <w:pPr>
              <w:spacing w:before="109" w:line="219" w:lineRule="auto"/>
              <w:ind w:left="151"/>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(一)财政拨款小计</w:t>
            </w:r>
          </w:p>
        </w:tc>
        <w:tc>
          <w:tcPr>
            <w:tcW w:w="1308" w:type="dxa"/>
          </w:tcPr>
          <w:p>
            <w:pPr>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val="en-US" w:eastAsia="zh-CN"/>
              </w:rPr>
              <w:t>8</w:t>
            </w:r>
          </w:p>
        </w:tc>
        <w:tc>
          <w:tcPr>
            <w:tcW w:w="1145" w:type="dxa"/>
          </w:tcPr>
          <w:p>
            <w:pPr>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val="en-US" w:eastAsia="zh-CN"/>
              </w:rPr>
              <w:t>8</w:t>
            </w:r>
          </w:p>
        </w:tc>
        <w:tc>
          <w:tcPr>
            <w:tcW w:w="951" w:type="dxa"/>
          </w:tcPr>
          <w:p>
            <w:pPr>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val="en-US" w:eastAsia="zh-CN"/>
              </w:rPr>
              <w:t>8</w:t>
            </w:r>
          </w:p>
        </w:tc>
        <w:tc>
          <w:tcPr>
            <w:tcW w:w="246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449" w:type="dxa"/>
            <w:gridSpan w:val="2"/>
            <w:vMerge w:val="continue"/>
            <w:tcBorders>
              <w:top w:val="nil"/>
              <w:bottom w:val="nil"/>
            </w:tcBorders>
          </w:tcPr>
          <w:p>
            <w:pPr>
              <w:rPr>
                <w:rFonts w:hint="eastAsia" w:ascii="仿宋_GB2312" w:hAnsi="仿宋_GB2312" w:eastAsia="仿宋_GB2312" w:cs="仿宋_GB2312"/>
                <w:sz w:val="21"/>
                <w:szCs w:val="21"/>
              </w:rPr>
            </w:pPr>
          </w:p>
        </w:tc>
        <w:tc>
          <w:tcPr>
            <w:tcW w:w="1777" w:type="dxa"/>
            <w:gridSpan w:val="2"/>
          </w:tcPr>
          <w:p>
            <w:pPr>
              <w:spacing w:before="80" w:line="219" w:lineRule="auto"/>
              <w:ind w:left="151"/>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1.一般公共预算</w:t>
            </w:r>
          </w:p>
        </w:tc>
        <w:tc>
          <w:tcPr>
            <w:tcW w:w="1308" w:type="dxa"/>
          </w:tcPr>
          <w:p>
            <w:pPr>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val="en-US" w:eastAsia="zh-CN"/>
              </w:rPr>
              <w:t>8</w:t>
            </w:r>
          </w:p>
        </w:tc>
        <w:tc>
          <w:tcPr>
            <w:tcW w:w="1145" w:type="dxa"/>
          </w:tcPr>
          <w:p>
            <w:pPr>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val="en-US" w:eastAsia="zh-CN"/>
              </w:rPr>
              <w:t>8</w:t>
            </w:r>
          </w:p>
        </w:tc>
        <w:tc>
          <w:tcPr>
            <w:tcW w:w="951" w:type="dxa"/>
          </w:tcPr>
          <w:p>
            <w:pPr>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val="en-US" w:eastAsia="zh-CN"/>
              </w:rPr>
              <w:t>8</w:t>
            </w:r>
          </w:p>
        </w:tc>
        <w:tc>
          <w:tcPr>
            <w:tcW w:w="246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1449" w:type="dxa"/>
            <w:gridSpan w:val="2"/>
            <w:vMerge w:val="continue"/>
            <w:tcBorders>
              <w:top w:val="nil"/>
              <w:bottom w:val="nil"/>
            </w:tcBorders>
          </w:tcPr>
          <w:p>
            <w:pPr>
              <w:rPr>
                <w:rFonts w:hint="eastAsia" w:ascii="仿宋_GB2312" w:hAnsi="仿宋_GB2312" w:eastAsia="仿宋_GB2312" w:cs="仿宋_GB2312"/>
                <w:sz w:val="21"/>
                <w:szCs w:val="21"/>
              </w:rPr>
            </w:pPr>
          </w:p>
        </w:tc>
        <w:tc>
          <w:tcPr>
            <w:tcW w:w="1777" w:type="dxa"/>
            <w:gridSpan w:val="2"/>
          </w:tcPr>
          <w:p>
            <w:pPr>
              <w:spacing w:before="78" w:line="219" w:lineRule="auto"/>
              <w:ind w:left="151"/>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2.政府性基金</w:t>
            </w:r>
          </w:p>
        </w:tc>
        <w:tc>
          <w:tcPr>
            <w:tcW w:w="1308" w:type="dxa"/>
          </w:tcPr>
          <w:p>
            <w:pPr>
              <w:rPr>
                <w:rFonts w:hint="eastAsia" w:ascii="仿宋_GB2312" w:hAnsi="仿宋_GB2312" w:eastAsia="仿宋_GB2312" w:cs="仿宋_GB2312"/>
                <w:sz w:val="21"/>
                <w:szCs w:val="21"/>
              </w:rPr>
            </w:pPr>
          </w:p>
        </w:tc>
        <w:tc>
          <w:tcPr>
            <w:tcW w:w="1145" w:type="dxa"/>
          </w:tcPr>
          <w:p>
            <w:pPr>
              <w:rPr>
                <w:rFonts w:hint="eastAsia" w:ascii="仿宋_GB2312" w:hAnsi="仿宋_GB2312" w:eastAsia="仿宋_GB2312" w:cs="仿宋_GB2312"/>
                <w:sz w:val="21"/>
                <w:szCs w:val="21"/>
              </w:rPr>
            </w:pPr>
          </w:p>
        </w:tc>
        <w:tc>
          <w:tcPr>
            <w:tcW w:w="951" w:type="dxa"/>
          </w:tcPr>
          <w:p>
            <w:pPr>
              <w:rPr>
                <w:rFonts w:hint="eastAsia" w:ascii="仿宋_GB2312" w:hAnsi="仿宋_GB2312" w:eastAsia="仿宋_GB2312" w:cs="仿宋_GB2312"/>
                <w:sz w:val="21"/>
                <w:szCs w:val="21"/>
              </w:rPr>
            </w:pPr>
          </w:p>
        </w:tc>
        <w:tc>
          <w:tcPr>
            <w:tcW w:w="2469" w:type="dxa"/>
          </w:tcPr>
          <w:p>
            <w:pPr>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1449" w:type="dxa"/>
            <w:gridSpan w:val="2"/>
            <w:vMerge w:val="continue"/>
            <w:tcBorders>
              <w:top w:val="nil"/>
              <w:bottom w:val="nil"/>
            </w:tcBorders>
          </w:tcPr>
          <w:p>
            <w:pPr>
              <w:rPr>
                <w:rFonts w:hint="eastAsia" w:ascii="仿宋_GB2312" w:hAnsi="仿宋_GB2312" w:eastAsia="仿宋_GB2312" w:cs="仿宋_GB2312"/>
                <w:sz w:val="21"/>
                <w:szCs w:val="21"/>
              </w:rPr>
            </w:pPr>
          </w:p>
        </w:tc>
        <w:tc>
          <w:tcPr>
            <w:tcW w:w="1777" w:type="dxa"/>
            <w:gridSpan w:val="2"/>
          </w:tcPr>
          <w:p>
            <w:pPr>
              <w:spacing w:before="119" w:line="219" w:lineRule="auto"/>
              <w:ind w:left="151"/>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3.国有资本经营预算</w:t>
            </w:r>
          </w:p>
        </w:tc>
        <w:tc>
          <w:tcPr>
            <w:tcW w:w="1308" w:type="dxa"/>
          </w:tcPr>
          <w:p>
            <w:pPr>
              <w:rPr>
                <w:rFonts w:hint="eastAsia" w:ascii="仿宋_GB2312" w:hAnsi="仿宋_GB2312" w:eastAsia="仿宋_GB2312" w:cs="仿宋_GB2312"/>
                <w:sz w:val="21"/>
                <w:szCs w:val="21"/>
              </w:rPr>
            </w:pPr>
          </w:p>
        </w:tc>
        <w:tc>
          <w:tcPr>
            <w:tcW w:w="1145" w:type="dxa"/>
          </w:tcPr>
          <w:p>
            <w:pPr>
              <w:rPr>
                <w:rFonts w:hint="eastAsia" w:ascii="仿宋_GB2312" w:hAnsi="仿宋_GB2312" w:eastAsia="仿宋_GB2312" w:cs="仿宋_GB2312"/>
                <w:sz w:val="21"/>
                <w:szCs w:val="21"/>
              </w:rPr>
            </w:pPr>
          </w:p>
        </w:tc>
        <w:tc>
          <w:tcPr>
            <w:tcW w:w="951" w:type="dxa"/>
          </w:tcPr>
          <w:p>
            <w:pPr>
              <w:rPr>
                <w:rFonts w:hint="eastAsia" w:ascii="仿宋_GB2312" w:hAnsi="仿宋_GB2312" w:eastAsia="仿宋_GB2312" w:cs="仿宋_GB2312"/>
                <w:sz w:val="21"/>
                <w:szCs w:val="21"/>
              </w:rPr>
            </w:pPr>
          </w:p>
        </w:tc>
        <w:tc>
          <w:tcPr>
            <w:tcW w:w="2469" w:type="dxa"/>
          </w:tcPr>
          <w:p>
            <w:pPr>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449" w:type="dxa"/>
            <w:gridSpan w:val="2"/>
            <w:vMerge w:val="continue"/>
            <w:tcBorders>
              <w:top w:val="nil"/>
              <w:bottom w:val="nil"/>
            </w:tcBorders>
          </w:tcPr>
          <w:p>
            <w:pPr>
              <w:rPr>
                <w:rFonts w:hint="eastAsia" w:ascii="仿宋_GB2312" w:hAnsi="仿宋_GB2312" w:eastAsia="仿宋_GB2312" w:cs="仿宋_GB2312"/>
                <w:sz w:val="21"/>
                <w:szCs w:val="21"/>
              </w:rPr>
            </w:pPr>
          </w:p>
        </w:tc>
        <w:tc>
          <w:tcPr>
            <w:tcW w:w="1777" w:type="dxa"/>
            <w:gridSpan w:val="2"/>
          </w:tcPr>
          <w:p>
            <w:pPr>
              <w:spacing w:before="82" w:line="219" w:lineRule="auto"/>
              <w:ind w:left="151"/>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4.社保基金</w:t>
            </w:r>
          </w:p>
        </w:tc>
        <w:tc>
          <w:tcPr>
            <w:tcW w:w="1308" w:type="dxa"/>
          </w:tcPr>
          <w:p>
            <w:pPr>
              <w:rPr>
                <w:rFonts w:hint="eastAsia" w:ascii="仿宋_GB2312" w:hAnsi="仿宋_GB2312" w:eastAsia="仿宋_GB2312" w:cs="仿宋_GB2312"/>
                <w:sz w:val="21"/>
                <w:szCs w:val="21"/>
              </w:rPr>
            </w:pPr>
          </w:p>
        </w:tc>
        <w:tc>
          <w:tcPr>
            <w:tcW w:w="1145" w:type="dxa"/>
          </w:tcPr>
          <w:p>
            <w:pPr>
              <w:rPr>
                <w:rFonts w:hint="eastAsia" w:ascii="仿宋_GB2312" w:hAnsi="仿宋_GB2312" w:eastAsia="仿宋_GB2312" w:cs="仿宋_GB2312"/>
                <w:sz w:val="21"/>
                <w:szCs w:val="21"/>
              </w:rPr>
            </w:pPr>
          </w:p>
        </w:tc>
        <w:tc>
          <w:tcPr>
            <w:tcW w:w="951" w:type="dxa"/>
          </w:tcPr>
          <w:p>
            <w:pPr>
              <w:rPr>
                <w:rFonts w:hint="eastAsia" w:ascii="仿宋_GB2312" w:hAnsi="仿宋_GB2312" w:eastAsia="仿宋_GB2312" w:cs="仿宋_GB2312"/>
                <w:sz w:val="21"/>
                <w:szCs w:val="21"/>
              </w:rPr>
            </w:pPr>
          </w:p>
        </w:tc>
        <w:tc>
          <w:tcPr>
            <w:tcW w:w="2469" w:type="dxa"/>
          </w:tcPr>
          <w:p>
            <w:pPr>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1449" w:type="dxa"/>
            <w:gridSpan w:val="2"/>
            <w:vMerge w:val="continue"/>
            <w:tcBorders>
              <w:top w:val="nil"/>
            </w:tcBorders>
          </w:tcPr>
          <w:p>
            <w:pPr>
              <w:rPr>
                <w:rFonts w:hint="eastAsia" w:ascii="仿宋_GB2312" w:hAnsi="仿宋_GB2312" w:eastAsia="仿宋_GB2312" w:cs="仿宋_GB2312"/>
                <w:sz w:val="21"/>
                <w:szCs w:val="21"/>
              </w:rPr>
            </w:pPr>
          </w:p>
        </w:tc>
        <w:tc>
          <w:tcPr>
            <w:tcW w:w="1777" w:type="dxa"/>
            <w:gridSpan w:val="2"/>
          </w:tcPr>
          <w:p>
            <w:pPr>
              <w:spacing w:before="112" w:line="220" w:lineRule="auto"/>
              <w:ind w:left="151"/>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(二)其他资金</w:t>
            </w:r>
          </w:p>
        </w:tc>
        <w:tc>
          <w:tcPr>
            <w:tcW w:w="1308" w:type="dxa"/>
          </w:tcPr>
          <w:p>
            <w:pPr>
              <w:rPr>
                <w:rFonts w:hint="eastAsia" w:ascii="仿宋_GB2312" w:hAnsi="仿宋_GB2312" w:eastAsia="仿宋_GB2312" w:cs="仿宋_GB2312"/>
                <w:sz w:val="21"/>
                <w:szCs w:val="21"/>
              </w:rPr>
            </w:pPr>
          </w:p>
        </w:tc>
        <w:tc>
          <w:tcPr>
            <w:tcW w:w="1145" w:type="dxa"/>
          </w:tcPr>
          <w:p>
            <w:pPr>
              <w:rPr>
                <w:rFonts w:hint="eastAsia" w:ascii="仿宋_GB2312" w:hAnsi="仿宋_GB2312" w:eastAsia="仿宋_GB2312" w:cs="仿宋_GB2312"/>
                <w:sz w:val="21"/>
                <w:szCs w:val="21"/>
              </w:rPr>
            </w:pPr>
          </w:p>
        </w:tc>
        <w:tc>
          <w:tcPr>
            <w:tcW w:w="951" w:type="dxa"/>
          </w:tcPr>
          <w:p>
            <w:pPr>
              <w:rPr>
                <w:rFonts w:hint="eastAsia" w:ascii="仿宋_GB2312" w:hAnsi="仿宋_GB2312" w:eastAsia="仿宋_GB2312" w:cs="仿宋_GB2312"/>
                <w:sz w:val="21"/>
                <w:szCs w:val="21"/>
              </w:rPr>
            </w:pPr>
          </w:p>
        </w:tc>
        <w:tc>
          <w:tcPr>
            <w:tcW w:w="2469" w:type="dxa"/>
          </w:tcPr>
          <w:p>
            <w:pPr>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697" w:type="dxa"/>
            <w:vMerge w:val="restart"/>
            <w:tcBorders>
              <w:bottom w:val="nil"/>
            </w:tcBorders>
          </w:tcPr>
          <w:p>
            <w:pPr>
              <w:spacing w:line="385" w:lineRule="auto"/>
              <w:rPr>
                <w:rFonts w:hint="eastAsia" w:ascii="仿宋_GB2312" w:hAnsi="仿宋_GB2312" w:eastAsia="仿宋_GB2312" w:cs="仿宋_GB2312"/>
                <w:sz w:val="21"/>
                <w:szCs w:val="21"/>
              </w:rPr>
            </w:pPr>
          </w:p>
          <w:p>
            <w:pPr>
              <w:spacing w:before="55" w:line="219" w:lineRule="auto"/>
              <w:ind w:left="194" w:right="2" w:hanging="139"/>
              <w:rPr>
                <w:rFonts w:hint="eastAsia" w:ascii="仿宋_GB2312" w:hAnsi="仿宋_GB2312" w:eastAsia="仿宋_GB2312" w:cs="仿宋_GB2312"/>
                <w:sz w:val="21"/>
                <w:szCs w:val="21"/>
              </w:rPr>
            </w:pPr>
            <w:r>
              <w:rPr>
                <w:rFonts w:hint="eastAsia" w:ascii="仿宋_GB2312" w:hAnsi="仿宋_GB2312" w:eastAsia="仿宋_GB2312" w:cs="仿宋_GB2312"/>
                <w:spacing w:val="-11"/>
                <w:sz w:val="21"/>
                <w:szCs w:val="21"/>
              </w:rPr>
              <w:t>年度总体</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6"/>
                <w:sz w:val="21"/>
                <w:szCs w:val="21"/>
              </w:rPr>
              <w:t>目标</w:t>
            </w:r>
          </w:p>
        </w:tc>
        <w:tc>
          <w:tcPr>
            <w:tcW w:w="5933" w:type="dxa"/>
            <w:gridSpan w:val="6"/>
          </w:tcPr>
          <w:p>
            <w:pPr>
              <w:spacing w:before="183" w:line="22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预期目标</w:t>
            </w:r>
          </w:p>
        </w:tc>
        <w:tc>
          <w:tcPr>
            <w:tcW w:w="2469" w:type="dxa"/>
          </w:tcPr>
          <w:p>
            <w:pPr>
              <w:spacing w:before="183" w:line="220" w:lineRule="auto"/>
              <w:jc w:val="center"/>
              <w:rPr>
                <w:rFonts w:hint="eastAsia" w:ascii="仿宋_GB2312" w:hAnsi="仿宋_GB2312" w:eastAsia="仿宋_GB2312" w:cs="仿宋_GB2312"/>
                <w:spacing w:val="-2"/>
                <w:sz w:val="21"/>
                <w:szCs w:val="21"/>
              </w:rPr>
            </w:pPr>
            <w:r>
              <w:rPr>
                <w:rFonts w:hint="eastAsia" w:ascii="仿宋_GB2312" w:hAnsi="仿宋_GB2312" w:eastAsia="仿宋_GB2312" w:cs="仿宋_GB2312"/>
                <w:spacing w:val="-2"/>
                <w:sz w:val="21"/>
                <w:szCs w:val="21"/>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774" w:hRule="atLeast"/>
        </w:trPr>
        <w:tc>
          <w:tcPr>
            <w:tcW w:w="697" w:type="dxa"/>
            <w:vMerge w:val="continue"/>
            <w:tcBorders>
              <w:top w:val="nil"/>
            </w:tcBorders>
          </w:tcPr>
          <w:p>
            <w:pPr>
              <w:rPr>
                <w:rFonts w:hint="eastAsia" w:ascii="仿宋_GB2312" w:hAnsi="仿宋_GB2312" w:eastAsia="仿宋_GB2312" w:cs="仿宋_GB2312"/>
                <w:sz w:val="21"/>
                <w:szCs w:val="21"/>
              </w:rPr>
            </w:pPr>
          </w:p>
        </w:tc>
        <w:tc>
          <w:tcPr>
            <w:tcW w:w="5933" w:type="dxa"/>
            <w:gridSpan w:val="6"/>
            <w:vAlign w:val="center"/>
          </w:tcPr>
          <w:p>
            <w:pPr>
              <w:rPr>
                <w:rFonts w:hint="eastAsia" w:ascii="仿宋_GB2312" w:hAnsi="仿宋_GB2312" w:eastAsia="仿宋_GB2312" w:cs="仿宋_GB2312"/>
                <w:spacing w:val="-2"/>
                <w:sz w:val="21"/>
                <w:szCs w:val="21"/>
              </w:rPr>
            </w:pPr>
            <w:r>
              <w:rPr>
                <w:rFonts w:hint="eastAsia" w:ascii="仿宋_GB2312" w:hAnsi="仿宋_GB2312" w:eastAsia="仿宋_GB2312" w:cs="仿宋_GB2312"/>
                <w:spacing w:val="-2"/>
                <w:sz w:val="21"/>
                <w:szCs w:val="21"/>
                <w:lang w:val="zh-CN"/>
              </w:rPr>
              <w:t xml:space="preserve">    用于送水燃油、抽水电价的补助及人饮及渠系维护，解决受灾人畜饮水困难问题，确保受灾群众生活生产秩序正常，增强群众抗旱意识和自救能力，使受灾群众对解决生活饮水、抗旱满意度达98%。</w:t>
            </w:r>
          </w:p>
          <w:p>
            <w:pPr>
              <w:rPr>
                <w:rFonts w:hint="eastAsia" w:ascii="仿宋_GB2312" w:hAnsi="仿宋_GB2312" w:eastAsia="仿宋_GB2312" w:cs="仿宋_GB2312"/>
                <w:sz w:val="21"/>
                <w:szCs w:val="21"/>
              </w:rPr>
            </w:pPr>
          </w:p>
        </w:tc>
        <w:tc>
          <w:tcPr>
            <w:tcW w:w="2469" w:type="dxa"/>
            <w:vAlign w:val="center"/>
          </w:tcPr>
          <w:p>
            <w:pPr>
              <w:rPr>
                <w:rFonts w:hint="eastAsia" w:ascii="仿宋_GB2312" w:hAnsi="仿宋_GB2312" w:eastAsia="仿宋_GB2312" w:cs="仿宋_GB2312"/>
                <w:spacing w:val="-2"/>
                <w:sz w:val="21"/>
                <w:szCs w:val="21"/>
              </w:rPr>
            </w:pPr>
            <w:r>
              <w:rPr>
                <w:rFonts w:hint="eastAsia" w:ascii="仿宋_GB2312" w:hAnsi="仿宋_GB2312" w:eastAsia="仿宋_GB2312" w:cs="仿宋_GB2312"/>
                <w:spacing w:val="-2"/>
                <w:sz w:val="21"/>
                <w:szCs w:val="21"/>
                <w:lang w:val="zh-CN"/>
              </w:rPr>
              <w:t xml:space="preserve">     用于送水燃油、抽水电价的补助及人饮及渠系维护，解决受灾人畜饮水困难问题，确保受灾群众生活生产秩序正常，增强群众抗旱意识和自救能力，使受灾群众对解决生活饮水、抗旱满意度达98%。</w:t>
            </w:r>
          </w:p>
          <w:p>
            <w:pPr>
              <w:spacing w:before="183" w:line="220" w:lineRule="auto"/>
              <w:rPr>
                <w:rFonts w:hint="eastAsia" w:ascii="仿宋_GB2312" w:hAnsi="仿宋_GB2312" w:eastAsia="仿宋_GB2312" w:cs="仿宋_GB2312"/>
                <w:spacing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1" w:hRule="atLeast"/>
        </w:trPr>
        <w:tc>
          <w:tcPr>
            <w:tcW w:w="697" w:type="dxa"/>
            <w:vMerge w:val="restart"/>
          </w:tcPr>
          <w:p>
            <w:pPr>
              <w:spacing w:line="253" w:lineRule="auto"/>
              <w:jc w:val="center"/>
              <w:rPr>
                <w:rFonts w:hint="eastAsia" w:ascii="仿宋_GB2312" w:hAnsi="仿宋_GB2312" w:eastAsia="仿宋_GB2312" w:cs="仿宋_GB2312"/>
                <w:sz w:val="21"/>
                <w:szCs w:val="21"/>
              </w:rPr>
            </w:pPr>
          </w:p>
          <w:p>
            <w:pPr>
              <w:spacing w:line="253" w:lineRule="auto"/>
              <w:jc w:val="center"/>
              <w:rPr>
                <w:rFonts w:hint="eastAsia" w:ascii="仿宋_GB2312" w:hAnsi="仿宋_GB2312" w:eastAsia="仿宋_GB2312" w:cs="仿宋_GB2312"/>
                <w:sz w:val="21"/>
                <w:szCs w:val="21"/>
              </w:rPr>
            </w:pPr>
          </w:p>
          <w:p>
            <w:pPr>
              <w:spacing w:line="253" w:lineRule="auto"/>
              <w:jc w:val="center"/>
              <w:rPr>
                <w:rFonts w:hint="eastAsia" w:ascii="仿宋_GB2312" w:hAnsi="仿宋_GB2312" w:eastAsia="仿宋_GB2312" w:cs="仿宋_GB2312"/>
                <w:sz w:val="21"/>
                <w:szCs w:val="21"/>
              </w:rPr>
            </w:pPr>
          </w:p>
          <w:p>
            <w:pPr>
              <w:spacing w:line="254" w:lineRule="auto"/>
              <w:jc w:val="center"/>
              <w:rPr>
                <w:rFonts w:hint="eastAsia" w:ascii="仿宋_GB2312" w:hAnsi="仿宋_GB2312" w:eastAsia="仿宋_GB2312" w:cs="仿宋_GB2312"/>
                <w:sz w:val="21"/>
                <w:szCs w:val="21"/>
              </w:rPr>
            </w:pPr>
          </w:p>
          <w:p>
            <w:pPr>
              <w:spacing w:line="254" w:lineRule="auto"/>
              <w:jc w:val="center"/>
              <w:rPr>
                <w:rFonts w:hint="eastAsia" w:ascii="仿宋_GB2312" w:hAnsi="仿宋_GB2312" w:eastAsia="仿宋_GB2312" w:cs="仿宋_GB2312"/>
                <w:sz w:val="21"/>
                <w:szCs w:val="21"/>
              </w:rPr>
            </w:pPr>
          </w:p>
          <w:p>
            <w:pPr>
              <w:spacing w:line="254" w:lineRule="auto"/>
              <w:jc w:val="center"/>
              <w:rPr>
                <w:rFonts w:hint="eastAsia" w:ascii="仿宋_GB2312" w:hAnsi="仿宋_GB2312" w:eastAsia="仿宋_GB2312" w:cs="仿宋_GB2312"/>
                <w:sz w:val="21"/>
                <w:szCs w:val="21"/>
              </w:rPr>
            </w:pPr>
          </w:p>
          <w:p>
            <w:pPr>
              <w:spacing w:line="254" w:lineRule="auto"/>
              <w:jc w:val="center"/>
              <w:rPr>
                <w:rFonts w:hint="eastAsia" w:ascii="仿宋_GB2312" w:hAnsi="仿宋_GB2312" w:eastAsia="仿宋_GB2312" w:cs="仿宋_GB2312"/>
                <w:sz w:val="21"/>
                <w:szCs w:val="21"/>
              </w:rPr>
            </w:pPr>
          </w:p>
          <w:p>
            <w:pPr>
              <w:spacing w:line="254" w:lineRule="auto"/>
              <w:jc w:val="center"/>
              <w:rPr>
                <w:rFonts w:hint="eastAsia" w:ascii="仿宋_GB2312" w:hAnsi="仿宋_GB2312" w:eastAsia="仿宋_GB2312" w:cs="仿宋_GB2312"/>
                <w:sz w:val="21"/>
                <w:szCs w:val="21"/>
              </w:rPr>
            </w:pPr>
          </w:p>
          <w:p>
            <w:pPr>
              <w:spacing w:line="254" w:lineRule="auto"/>
              <w:jc w:val="center"/>
              <w:rPr>
                <w:rFonts w:hint="eastAsia" w:ascii="仿宋_GB2312" w:hAnsi="仿宋_GB2312" w:eastAsia="仿宋_GB2312" w:cs="仿宋_GB2312"/>
                <w:sz w:val="21"/>
                <w:szCs w:val="21"/>
              </w:rPr>
            </w:pPr>
          </w:p>
          <w:p>
            <w:pPr>
              <w:spacing w:line="254" w:lineRule="auto"/>
              <w:jc w:val="center"/>
              <w:rPr>
                <w:rFonts w:hint="eastAsia" w:ascii="仿宋_GB2312" w:hAnsi="仿宋_GB2312" w:eastAsia="仿宋_GB2312" w:cs="仿宋_GB2312"/>
                <w:sz w:val="21"/>
                <w:szCs w:val="21"/>
              </w:rPr>
            </w:pPr>
          </w:p>
          <w:p>
            <w:pPr>
              <w:spacing w:line="254" w:lineRule="auto"/>
              <w:jc w:val="center"/>
              <w:rPr>
                <w:rFonts w:hint="eastAsia" w:ascii="仿宋_GB2312" w:hAnsi="仿宋_GB2312" w:eastAsia="仿宋_GB2312" w:cs="仿宋_GB2312"/>
                <w:sz w:val="21"/>
                <w:szCs w:val="21"/>
              </w:rPr>
            </w:pPr>
          </w:p>
          <w:p>
            <w:pPr>
              <w:spacing w:line="254" w:lineRule="auto"/>
              <w:jc w:val="center"/>
              <w:rPr>
                <w:rFonts w:hint="eastAsia" w:ascii="仿宋_GB2312" w:hAnsi="仿宋_GB2312" w:eastAsia="仿宋_GB2312" w:cs="仿宋_GB2312"/>
                <w:sz w:val="21"/>
                <w:szCs w:val="21"/>
              </w:rPr>
            </w:pPr>
          </w:p>
          <w:p>
            <w:pPr>
              <w:spacing w:line="254" w:lineRule="auto"/>
              <w:jc w:val="center"/>
              <w:rPr>
                <w:rFonts w:hint="eastAsia" w:ascii="仿宋_GB2312" w:hAnsi="仿宋_GB2312" w:eastAsia="仿宋_GB2312" w:cs="仿宋_GB2312"/>
                <w:sz w:val="21"/>
                <w:szCs w:val="21"/>
              </w:rPr>
            </w:pPr>
          </w:p>
          <w:p>
            <w:pPr>
              <w:spacing w:before="56" w:line="220" w:lineRule="auto"/>
              <w:ind w:left="55"/>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11"/>
                <w:sz w:val="21"/>
                <w:szCs w:val="21"/>
              </w:rPr>
              <w:t>绩效指标</w:t>
            </w:r>
          </w:p>
        </w:tc>
        <w:tc>
          <w:tcPr>
            <w:tcW w:w="752" w:type="dxa"/>
            <w:tcBorders>
              <w:bottom w:val="single" w:color="auto" w:sz="4" w:space="0"/>
              <w:right w:val="single" w:color="auto" w:sz="4" w:space="0"/>
            </w:tcBorders>
          </w:tcPr>
          <w:p>
            <w:pPr>
              <w:spacing w:before="155" w:line="220" w:lineRule="auto"/>
              <w:ind w:left="40"/>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一级指标</w:t>
            </w:r>
          </w:p>
        </w:tc>
        <w:tc>
          <w:tcPr>
            <w:tcW w:w="999" w:type="dxa"/>
            <w:tcBorders>
              <w:top w:val="single" w:color="auto" w:sz="4" w:space="0"/>
              <w:left w:val="single" w:color="auto" w:sz="4" w:space="0"/>
              <w:bottom w:val="single" w:color="auto" w:sz="4" w:space="0"/>
              <w:right w:val="single" w:color="auto" w:sz="4" w:space="0"/>
            </w:tcBorders>
          </w:tcPr>
          <w:p>
            <w:pPr>
              <w:spacing w:before="155" w:line="22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二级指标</w:t>
            </w:r>
          </w:p>
        </w:tc>
        <w:tc>
          <w:tcPr>
            <w:tcW w:w="2086" w:type="dxa"/>
            <w:gridSpan w:val="2"/>
            <w:tcBorders>
              <w:left w:val="single" w:color="auto" w:sz="4" w:space="0"/>
            </w:tcBorders>
          </w:tcPr>
          <w:p>
            <w:pPr>
              <w:spacing w:before="155" w:line="22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三级指标</w:t>
            </w:r>
          </w:p>
        </w:tc>
        <w:tc>
          <w:tcPr>
            <w:tcW w:w="1145" w:type="dxa"/>
          </w:tcPr>
          <w:p>
            <w:pPr>
              <w:spacing w:before="155"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年度指标值</w:t>
            </w:r>
          </w:p>
        </w:tc>
        <w:tc>
          <w:tcPr>
            <w:tcW w:w="951" w:type="dxa"/>
          </w:tcPr>
          <w:p>
            <w:pPr>
              <w:spacing w:before="155"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实际完成值</w:t>
            </w:r>
          </w:p>
        </w:tc>
        <w:tc>
          <w:tcPr>
            <w:tcW w:w="2469" w:type="dxa"/>
          </w:tcPr>
          <w:p>
            <w:pPr>
              <w:spacing w:before="75" w:line="227"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偏差原因分析及</w:t>
            </w:r>
            <w:r>
              <w:rPr>
                <w:rFonts w:hint="eastAsia" w:ascii="仿宋_GB2312" w:hAnsi="仿宋_GB2312" w:eastAsia="仿宋_GB2312" w:cs="仿宋_GB2312"/>
                <w:spacing w:val="11"/>
                <w:sz w:val="21"/>
                <w:szCs w:val="21"/>
              </w:rPr>
              <w:t>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97" w:type="dxa"/>
            <w:vMerge w:val="continue"/>
            <w:vAlign w:val="center"/>
          </w:tcPr>
          <w:p>
            <w:pPr>
              <w:jc w:val="center"/>
              <w:rPr>
                <w:rFonts w:hint="eastAsia" w:ascii="仿宋_GB2312" w:hAnsi="仿宋_GB2312" w:eastAsia="仿宋_GB2312" w:cs="仿宋_GB2312"/>
                <w:sz w:val="21"/>
                <w:szCs w:val="21"/>
              </w:rPr>
            </w:pPr>
          </w:p>
        </w:tc>
        <w:tc>
          <w:tcPr>
            <w:tcW w:w="752" w:type="dxa"/>
            <w:vMerge w:val="restart"/>
            <w:tcBorders>
              <w:top w:val="single" w:color="auto" w:sz="4" w:space="0"/>
              <w:left w:val="single" w:color="auto" w:sz="4" w:space="0"/>
              <w:bottom w:val="single" w:color="auto" w:sz="4" w:space="0"/>
              <w:right w:val="single" w:color="auto" w:sz="4" w:space="0"/>
            </w:tcBorders>
            <w:vAlign w:val="center"/>
          </w:tcPr>
          <w:p>
            <w:pPr>
              <w:spacing w:line="286" w:lineRule="auto"/>
              <w:jc w:val="center"/>
              <w:rPr>
                <w:rFonts w:hint="eastAsia" w:ascii="仿宋_GB2312" w:hAnsi="仿宋_GB2312" w:eastAsia="仿宋_GB2312" w:cs="仿宋_GB2312"/>
                <w:sz w:val="21"/>
                <w:szCs w:val="21"/>
              </w:rPr>
            </w:pPr>
          </w:p>
          <w:p>
            <w:pPr>
              <w:spacing w:line="286" w:lineRule="auto"/>
              <w:jc w:val="center"/>
              <w:rPr>
                <w:rFonts w:hint="eastAsia" w:ascii="仿宋_GB2312" w:hAnsi="仿宋_GB2312" w:eastAsia="仿宋_GB2312" w:cs="仿宋_GB2312"/>
                <w:sz w:val="21"/>
                <w:szCs w:val="21"/>
              </w:rPr>
            </w:pPr>
          </w:p>
          <w:p>
            <w:pPr>
              <w:spacing w:line="286" w:lineRule="auto"/>
              <w:jc w:val="center"/>
              <w:rPr>
                <w:rFonts w:hint="eastAsia" w:ascii="仿宋_GB2312" w:hAnsi="仿宋_GB2312" w:eastAsia="仿宋_GB2312" w:cs="仿宋_GB2312"/>
                <w:sz w:val="21"/>
                <w:szCs w:val="21"/>
              </w:rPr>
            </w:pPr>
          </w:p>
          <w:p>
            <w:pPr>
              <w:spacing w:line="286" w:lineRule="auto"/>
              <w:jc w:val="center"/>
              <w:rPr>
                <w:rFonts w:hint="eastAsia" w:ascii="仿宋_GB2312" w:hAnsi="仿宋_GB2312" w:eastAsia="仿宋_GB2312" w:cs="仿宋_GB2312"/>
                <w:sz w:val="21"/>
                <w:szCs w:val="21"/>
              </w:rPr>
            </w:pPr>
          </w:p>
          <w:p>
            <w:pPr>
              <w:spacing w:line="287" w:lineRule="auto"/>
              <w:jc w:val="center"/>
              <w:rPr>
                <w:rFonts w:hint="eastAsia" w:ascii="仿宋_GB2312" w:hAnsi="仿宋_GB2312" w:eastAsia="仿宋_GB2312" w:cs="仿宋_GB2312"/>
                <w:sz w:val="21"/>
                <w:szCs w:val="21"/>
              </w:rPr>
            </w:pPr>
          </w:p>
          <w:p>
            <w:pPr>
              <w:spacing w:before="56" w:line="219" w:lineRule="auto"/>
              <w:ind w:left="40"/>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产出指标</w:t>
            </w:r>
          </w:p>
        </w:tc>
        <w:tc>
          <w:tcPr>
            <w:tcW w:w="999" w:type="dxa"/>
            <w:tcBorders>
              <w:top w:val="single" w:color="auto" w:sz="4" w:space="0"/>
              <w:left w:val="single" w:color="auto" w:sz="4" w:space="0"/>
              <w:bottom w:val="single" w:color="auto" w:sz="4" w:space="0"/>
              <w:right w:val="single" w:color="auto" w:sz="4" w:space="0"/>
            </w:tcBorders>
            <w:vAlign w:val="center"/>
          </w:tcPr>
          <w:p>
            <w:pPr>
              <w:spacing w:before="67" w:line="209" w:lineRule="auto"/>
              <w:ind w:left="2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086" w:type="dxa"/>
            <w:gridSpan w:val="2"/>
            <w:tcBorders>
              <w:left w:val="single" w:color="auto" w:sz="4" w:space="0"/>
            </w:tcBorders>
            <w:vAlign w:val="center"/>
          </w:tcPr>
          <w:p>
            <w:pPr>
              <w:spacing w:before="67" w:line="209" w:lineRule="auto"/>
              <w:ind w:left="2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抗旱资金兑付及时率</w:t>
            </w:r>
          </w:p>
        </w:tc>
        <w:tc>
          <w:tcPr>
            <w:tcW w:w="1145" w:type="dxa"/>
            <w:vAlign w:val="center"/>
          </w:tcPr>
          <w:p>
            <w:pPr>
              <w:spacing w:before="67" w:line="209" w:lineRule="auto"/>
              <w:ind w:left="2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951" w:type="dxa"/>
            <w:vAlign w:val="center"/>
          </w:tcPr>
          <w:p>
            <w:pPr>
              <w:spacing w:before="67" w:line="209" w:lineRule="auto"/>
              <w:ind w:left="2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98%</w:t>
            </w:r>
          </w:p>
        </w:tc>
        <w:tc>
          <w:tcPr>
            <w:tcW w:w="2469" w:type="dxa"/>
          </w:tcPr>
          <w:p>
            <w:pPr>
              <w:jc w:val="center"/>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97" w:type="dxa"/>
            <w:vMerge w:val="continue"/>
            <w:vAlign w:val="center"/>
          </w:tcPr>
          <w:p>
            <w:pPr>
              <w:jc w:val="center"/>
              <w:rPr>
                <w:rFonts w:hint="eastAsia" w:ascii="仿宋_GB2312" w:hAnsi="仿宋_GB2312" w:eastAsia="仿宋_GB2312" w:cs="仿宋_GB2312"/>
                <w:sz w:val="21"/>
                <w:szCs w:val="21"/>
              </w:rPr>
            </w:pPr>
          </w:p>
        </w:tc>
        <w:tc>
          <w:tcPr>
            <w:tcW w:w="7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p>
        </w:tc>
        <w:tc>
          <w:tcPr>
            <w:tcW w:w="999" w:type="dxa"/>
            <w:tcBorders>
              <w:top w:val="single" w:color="auto" w:sz="4" w:space="0"/>
              <w:left w:val="single" w:color="auto" w:sz="4" w:space="0"/>
            </w:tcBorders>
            <w:vAlign w:val="center"/>
          </w:tcPr>
          <w:p>
            <w:pPr>
              <w:spacing w:before="67" w:line="209" w:lineRule="auto"/>
              <w:ind w:left="2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086" w:type="dxa"/>
            <w:gridSpan w:val="2"/>
            <w:vAlign w:val="center"/>
          </w:tcPr>
          <w:p>
            <w:pPr>
              <w:spacing w:before="67" w:line="209" w:lineRule="auto"/>
              <w:ind w:left="2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修复渠系耗材及租赁抽水设施质量合格率</w:t>
            </w:r>
          </w:p>
        </w:tc>
        <w:tc>
          <w:tcPr>
            <w:tcW w:w="1145" w:type="dxa"/>
            <w:vAlign w:val="center"/>
          </w:tcPr>
          <w:p>
            <w:pPr>
              <w:spacing w:before="67" w:line="209" w:lineRule="auto"/>
              <w:ind w:left="2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951" w:type="dxa"/>
            <w:vAlign w:val="center"/>
          </w:tcPr>
          <w:p>
            <w:pPr>
              <w:spacing w:before="67" w:line="209" w:lineRule="auto"/>
              <w:ind w:left="2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469" w:type="dxa"/>
          </w:tcPr>
          <w:p>
            <w:pPr>
              <w:jc w:val="center"/>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trPr>
        <w:tc>
          <w:tcPr>
            <w:tcW w:w="697" w:type="dxa"/>
            <w:vMerge w:val="continue"/>
            <w:vAlign w:val="center"/>
          </w:tcPr>
          <w:p>
            <w:pPr>
              <w:jc w:val="center"/>
              <w:rPr>
                <w:rFonts w:hint="eastAsia" w:ascii="仿宋_GB2312" w:hAnsi="仿宋_GB2312" w:eastAsia="仿宋_GB2312" w:cs="仿宋_GB2312"/>
                <w:sz w:val="21"/>
                <w:szCs w:val="21"/>
              </w:rPr>
            </w:pPr>
          </w:p>
        </w:tc>
        <w:tc>
          <w:tcPr>
            <w:tcW w:w="7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p>
        </w:tc>
        <w:tc>
          <w:tcPr>
            <w:tcW w:w="999" w:type="dxa"/>
            <w:tcBorders>
              <w:left w:val="single" w:color="auto" w:sz="4" w:space="0"/>
              <w:bottom w:val="single" w:color="auto" w:sz="4" w:space="0"/>
            </w:tcBorders>
            <w:vAlign w:val="center"/>
          </w:tcPr>
          <w:p>
            <w:pPr>
              <w:spacing w:before="67" w:line="209" w:lineRule="auto"/>
              <w:ind w:left="2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086" w:type="dxa"/>
            <w:gridSpan w:val="2"/>
            <w:vAlign w:val="center"/>
          </w:tcPr>
          <w:p>
            <w:pPr>
              <w:spacing w:before="67" w:line="209" w:lineRule="auto"/>
              <w:ind w:left="2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保障临时饮水困难人员</w:t>
            </w:r>
          </w:p>
        </w:tc>
        <w:tc>
          <w:tcPr>
            <w:tcW w:w="1145" w:type="dxa"/>
            <w:vAlign w:val="center"/>
          </w:tcPr>
          <w:p>
            <w:pPr>
              <w:spacing w:before="67" w:line="209" w:lineRule="auto"/>
              <w:ind w:left="2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100</w:t>
            </w:r>
            <w:r>
              <w:rPr>
                <w:rFonts w:hint="eastAsia" w:ascii="仿宋_GB2312" w:hAnsi="仿宋_GB2312" w:eastAsia="仿宋_GB2312" w:cs="仿宋_GB2312"/>
                <w:sz w:val="21"/>
                <w:szCs w:val="21"/>
              </w:rPr>
              <w:t>人</w:t>
            </w:r>
          </w:p>
        </w:tc>
        <w:tc>
          <w:tcPr>
            <w:tcW w:w="951" w:type="dxa"/>
            <w:vAlign w:val="center"/>
          </w:tcPr>
          <w:p>
            <w:pPr>
              <w:spacing w:before="67" w:line="209" w:lineRule="auto"/>
              <w:ind w:left="23"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200</w:t>
            </w:r>
            <w:r>
              <w:rPr>
                <w:rFonts w:hint="eastAsia" w:ascii="仿宋_GB2312" w:hAnsi="仿宋_GB2312" w:eastAsia="仿宋_GB2312" w:cs="仿宋_GB2312"/>
                <w:sz w:val="21"/>
                <w:szCs w:val="21"/>
              </w:rPr>
              <w:t>人</w:t>
            </w:r>
          </w:p>
        </w:tc>
        <w:tc>
          <w:tcPr>
            <w:tcW w:w="2469" w:type="dxa"/>
          </w:tcPr>
          <w:p>
            <w:pPr>
              <w:jc w:val="center"/>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97" w:type="dxa"/>
            <w:vMerge w:val="continue"/>
            <w:vAlign w:val="center"/>
          </w:tcPr>
          <w:p>
            <w:pPr>
              <w:jc w:val="center"/>
              <w:rPr>
                <w:rFonts w:hint="eastAsia" w:ascii="仿宋_GB2312" w:hAnsi="仿宋_GB2312" w:eastAsia="仿宋_GB2312" w:cs="仿宋_GB2312"/>
                <w:sz w:val="21"/>
                <w:szCs w:val="21"/>
              </w:rPr>
            </w:pPr>
          </w:p>
        </w:tc>
        <w:tc>
          <w:tcPr>
            <w:tcW w:w="752" w:type="dxa"/>
            <w:vMerge w:val="restart"/>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效益指标</w:t>
            </w:r>
          </w:p>
        </w:tc>
        <w:tc>
          <w:tcPr>
            <w:tcW w:w="999" w:type="dxa"/>
            <w:tcBorders>
              <w:top w:val="single" w:color="auto" w:sz="4" w:space="0"/>
              <w:left w:val="single" w:color="auto" w:sz="4" w:space="0"/>
              <w:bottom w:val="single" w:color="auto" w:sz="4" w:space="0"/>
              <w:right w:val="single" w:color="auto" w:sz="4" w:space="0"/>
            </w:tcBorders>
            <w:vAlign w:val="center"/>
          </w:tcPr>
          <w:p>
            <w:pPr>
              <w:spacing w:before="67" w:line="209" w:lineRule="auto"/>
              <w:ind w:left="2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可持续影响指标</w:t>
            </w:r>
          </w:p>
        </w:tc>
        <w:tc>
          <w:tcPr>
            <w:tcW w:w="2086" w:type="dxa"/>
            <w:gridSpan w:val="2"/>
            <w:tcBorders>
              <w:left w:val="single" w:color="auto" w:sz="4" w:space="0"/>
            </w:tcBorders>
            <w:vAlign w:val="center"/>
          </w:tcPr>
          <w:p>
            <w:pPr>
              <w:spacing w:before="67" w:line="209" w:lineRule="auto"/>
              <w:ind w:left="2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确保受灾群众生活生产秩序正常，</w:t>
            </w:r>
            <w:r>
              <w:rPr>
                <w:rFonts w:hint="eastAsia" w:ascii="仿宋_GB2312" w:hAnsi="仿宋_GB2312" w:eastAsia="仿宋_GB2312" w:cs="仿宋_GB2312"/>
                <w:sz w:val="21"/>
                <w:szCs w:val="21"/>
                <w:lang w:eastAsia="zh-CN"/>
              </w:rPr>
              <w:t>增强</w:t>
            </w:r>
            <w:r>
              <w:rPr>
                <w:rFonts w:hint="eastAsia" w:ascii="仿宋_GB2312" w:hAnsi="仿宋_GB2312" w:eastAsia="仿宋_GB2312" w:cs="仿宋_GB2312"/>
                <w:sz w:val="21"/>
                <w:szCs w:val="21"/>
              </w:rPr>
              <w:t>群众抗旱意识和自救能力</w:t>
            </w:r>
          </w:p>
        </w:tc>
        <w:tc>
          <w:tcPr>
            <w:tcW w:w="1145" w:type="dxa"/>
            <w:vAlign w:val="center"/>
          </w:tcPr>
          <w:p>
            <w:pPr>
              <w:spacing w:before="67" w:line="209" w:lineRule="auto"/>
              <w:ind w:left="2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定性</w:t>
            </w:r>
          </w:p>
        </w:tc>
        <w:tc>
          <w:tcPr>
            <w:tcW w:w="951" w:type="dxa"/>
            <w:vAlign w:val="center"/>
          </w:tcPr>
          <w:p>
            <w:pPr>
              <w:spacing w:before="67" w:line="209" w:lineRule="auto"/>
              <w:ind w:left="2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有效</w:t>
            </w:r>
          </w:p>
        </w:tc>
        <w:tc>
          <w:tcPr>
            <w:tcW w:w="2469" w:type="dxa"/>
          </w:tcPr>
          <w:p>
            <w:pPr>
              <w:jc w:val="center"/>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97" w:type="dxa"/>
            <w:vMerge w:val="continue"/>
            <w:vAlign w:val="center"/>
          </w:tcPr>
          <w:p>
            <w:pPr>
              <w:jc w:val="center"/>
              <w:rPr>
                <w:rFonts w:hint="eastAsia" w:ascii="仿宋_GB2312" w:hAnsi="仿宋_GB2312" w:eastAsia="仿宋_GB2312" w:cs="仿宋_GB2312"/>
                <w:sz w:val="21"/>
                <w:szCs w:val="21"/>
              </w:rPr>
            </w:pPr>
          </w:p>
        </w:tc>
        <w:tc>
          <w:tcPr>
            <w:tcW w:w="752"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spacing w:before="67" w:line="209" w:lineRule="auto"/>
              <w:ind w:left="2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086" w:type="dxa"/>
            <w:gridSpan w:val="2"/>
            <w:tcBorders>
              <w:left w:val="single" w:color="auto" w:sz="4" w:space="0"/>
            </w:tcBorders>
            <w:vAlign w:val="center"/>
          </w:tcPr>
          <w:p>
            <w:pPr>
              <w:spacing w:before="67" w:line="209" w:lineRule="auto"/>
              <w:ind w:left="2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受灾群众人饮及生活困难解决率</w:t>
            </w:r>
          </w:p>
        </w:tc>
        <w:tc>
          <w:tcPr>
            <w:tcW w:w="1145" w:type="dxa"/>
            <w:vAlign w:val="center"/>
          </w:tcPr>
          <w:p>
            <w:pPr>
              <w:spacing w:before="67" w:line="209" w:lineRule="auto"/>
              <w:ind w:left="2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951" w:type="dxa"/>
            <w:vAlign w:val="center"/>
          </w:tcPr>
          <w:p>
            <w:pPr>
              <w:spacing w:before="67" w:line="209" w:lineRule="auto"/>
              <w:ind w:left="2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99%</w:t>
            </w:r>
          </w:p>
        </w:tc>
        <w:tc>
          <w:tcPr>
            <w:tcW w:w="2469" w:type="dxa"/>
          </w:tcPr>
          <w:p>
            <w:pPr>
              <w:jc w:val="center"/>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trPr>
        <w:tc>
          <w:tcPr>
            <w:tcW w:w="697" w:type="dxa"/>
            <w:vMerge w:val="continue"/>
            <w:vAlign w:val="center"/>
          </w:tcPr>
          <w:p>
            <w:pPr>
              <w:jc w:val="center"/>
              <w:rPr>
                <w:rFonts w:hint="eastAsia" w:ascii="仿宋_GB2312" w:hAnsi="仿宋_GB2312" w:eastAsia="仿宋_GB2312" w:cs="仿宋_GB2312"/>
                <w:sz w:val="21"/>
                <w:szCs w:val="21"/>
              </w:rPr>
            </w:pPr>
          </w:p>
        </w:tc>
        <w:tc>
          <w:tcPr>
            <w:tcW w:w="752" w:type="dxa"/>
            <w:tcBorders>
              <w:top w:val="single" w:color="auto" w:sz="4" w:space="0"/>
              <w:bottom w:val="nil"/>
            </w:tcBorders>
            <w:vAlign w:val="center"/>
          </w:tcPr>
          <w:p>
            <w:pPr>
              <w:spacing w:before="146" w:line="219" w:lineRule="auto"/>
              <w:ind w:left="191" w:right="124" w:hanging="70"/>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满意度</w:t>
            </w:r>
            <w:r>
              <w:rPr>
                <w:rFonts w:hint="eastAsia" w:ascii="仿宋_GB2312" w:hAnsi="仿宋_GB2312" w:eastAsia="仿宋_GB2312" w:cs="仿宋_GB2312"/>
                <w:spacing w:val="1"/>
                <w:sz w:val="21"/>
                <w:szCs w:val="21"/>
              </w:rPr>
              <w:t xml:space="preserve"> </w:t>
            </w:r>
            <w:r>
              <w:rPr>
                <w:rFonts w:hint="eastAsia" w:ascii="仿宋_GB2312" w:hAnsi="仿宋_GB2312" w:eastAsia="仿宋_GB2312" w:cs="仿宋_GB2312"/>
                <w:spacing w:val="-3"/>
                <w:sz w:val="21"/>
                <w:szCs w:val="21"/>
              </w:rPr>
              <w:t>指标</w:t>
            </w:r>
          </w:p>
        </w:tc>
        <w:tc>
          <w:tcPr>
            <w:tcW w:w="999" w:type="dxa"/>
            <w:tcBorders>
              <w:top w:val="single" w:color="auto" w:sz="4" w:space="0"/>
              <w:bottom w:val="nil"/>
            </w:tcBorders>
            <w:vAlign w:val="center"/>
          </w:tcPr>
          <w:p>
            <w:pPr>
              <w:spacing w:before="67" w:line="209" w:lineRule="auto"/>
              <w:ind w:left="2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帮扶对象满意度指标</w:t>
            </w:r>
          </w:p>
        </w:tc>
        <w:tc>
          <w:tcPr>
            <w:tcW w:w="2086" w:type="dxa"/>
            <w:gridSpan w:val="2"/>
            <w:vAlign w:val="center"/>
          </w:tcPr>
          <w:p>
            <w:pPr>
              <w:spacing w:before="67" w:line="209" w:lineRule="auto"/>
              <w:ind w:left="2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受灾群众对解决生活饮水、抗旱满意度</w:t>
            </w:r>
          </w:p>
        </w:tc>
        <w:tc>
          <w:tcPr>
            <w:tcW w:w="1145" w:type="dxa"/>
            <w:vAlign w:val="center"/>
          </w:tcPr>
          <w:p>
            <w:pPr>
              <w:spacing w:before="67" w:line="209" w:lineRule="auto"/>
              <w:ind w:left="2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≥98%</w:t>
            </w:r>
          </w:p>
        </w:tc>
        <w:tc>
          <w:tcPr>
            <w:tcW w:w="951" w:type="dxa"/>
            <w:vAlign w:val="center"/>
          </w:tcPr>
          <w:p>
            <w:pPr>
              <w:spacing w:before="67" w:line="209" w:lineRule="auto"/>
              <w:ind w:left="2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99%</w:t>
            </w:r>
          </w:p>
        </w:tc>
        <w:tc>
          <w:tcPr>
            <w:tcW w:w="2469" w:type="dxa"/>
          </w:tcPr>
          <w:p>
            <w:pPr>
              <w:jc w:val="center"/>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6630" w:type="dxa"/>
            <w:gridSpan w:val="7"/>
            <w:vAlign w:val="center"/>
          </w:tcPr>
          <w:p>
            <w:pPr>
              <w:spacing w:before="48" w:line="220" w:lineRule="auto"/>
              <w:ind w:left="3664"/>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总分</w:t>
            </w:r>
          </w:p>
        </w:tc>
        <w:tc>
          <w:tcPr>
            <w:tcW w:w="246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98.5</w:t>
            </w:r>
          </w:p>
        </w:tc>
      </w:tr>
    </w:tbl>
    <w:p>
      <w:r>
        <w:br w:type="page"/>
      </w:r>
    </w:p>
    <w:p>
      <w:pPr>
        <w:pageBreakBefore w:val="0"/>
        <w:kinsoku/>
        <w:wordWrap/>
        <w:overflowPunct/>
        <w:topLinePunct w:val="0"/>
        <w:bidi w:val="0"/>
        <w:spacing w:line="576" w:lineRule="exact"/>
        <w:jc w:val="center"/>
        <w:textAlignment w:val="auto"/>
        <w:outlineLvl w:val="1"/>
        <w:rPr>
          <w:rStyle w:val="30"/>
          <w:rFonts w:hint="eastAsia" w:ascii="方正小标宋简体" w:hAnsi="方正小标宋简体" w:eastAsia="方正小标宋简体" w:cs="方正小标宋简体"/>
          <w:b w:val="0"/>
          <w:bCs/>
          <w:color w:val="auto"/>
          <w:spacing w:val="-20"/>
          <w:sz w:val="44"/>
          <w:szCs w:val="44"/>
          <w:highlight w:val="none"/>
          <w:lang w:val="en-US" w:eastAsia="zh-CN"/>
        </w:rPr>
      </w:pPr>
      <w:bookmarkStart w:id="239" w:name="_Toc24975"/>
      <w:bookmarkStart w:id="240" w:name="_Toc4747"/>
      <w:r>
        <w:rPr>
          <w:rStyle w:val="30"/>
          <w:rFonts w:hint="eastAsia" w:ascii="方正小标宋简体" w:hAnsi="方正小标宋简体" w:eastAsia="方正小标宋简体" w:cs="方正小标宋简体"/>
          <w:b w:val="0"/>
          <w:bCs/>
          <w:color w:val="auto"/>
          <w:spacing w:val="1"/>
          <w:w w:val="85"/>
          <w:kern w:val="0"/>
          <w:sz w:val="44"/>
          <w:szCs w:val="44"/>
          <w:highlight w:val="none"/>
          <w:fitText w:val="8580" w:id="577530115"/>
          <w:lang w:val="en-US" w:eastAsia="zh-CN"/>
        </w:rPr>
        <w:t>关于2022年驻村工作队工作经费项目绩效自评报</w:t>
      </w:r>
      <w:r>
        <w:rPr>
          <w:rStyle w:val="30"/>
          <w:rFonts w:hint="eastAsia" w:ascii="方正小标宋简体" w:hAnsi="方正小标宋简体" w:eastAsia="方正小标宋简体" w:cs="方正小标宋简体"/>
          <w:b w:val="0"/>
          <w:bCs/>
          <w:color w:val="auto"/>
          <w:spacing w:val="21"/>
          <w:w w:val="85"/>
          <w:kern w:val="0"/>
          <w:sz w:val="44"/>
          <w:szCs w:val="44"/>
          <w:highlight w:val="none"/>
          <w:fitText w:val="8580" w:id="577530115"/>
          <w:lang w:val="en-US" w:eastAsia="zh-CN"/>
        </w:rPr>
        <w:t>告</w:t>
      </w:r>
      <w:bookmarkEnd w:id="239"/>
      <w:bookmarkEnd w:id="240"/>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outlineLvl w:val="1"/>
        <w:rPr>
          <w:rFonts w:hint="eastAsia" w:ascii="黑体" w:hAnsi="黑体" w:eastAsia="黑体" w:cs="黑体"/>
          <w:color w:val="auto"/>
          <w:kern w:val="0"/>
          <w:sz w:val="32"/>
          <w:szCs w:val="32"/>
          <w:highlight w:val="none"/>
          <w:lang w:val="en-US" w:eastAsia="zh-CN" w:bidi="ar-SA"/>
        </w:rPr>
      </w:pPr>
      <w:bookmarkStart w:id="241" w:name="_Toc558"/>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1"/>
        <w:rPr>
          <w:rFonts w:hint="default" w:ascii="黑体" w:hAnsi="黑体" w:eastAsia="黑体" w:cs="黑体"/>
          <w:color w:val="auto"/>
          <w:kern w:val="0"/>
          <w:sz w:val="32"/>
          <w:szCs w:val="32"/>
          <w:highlight w:val="none"/>
          <w:lang w:val="zh-CN" w:eastAsia="zh-CN" w:bidi="ar-SA"/>
        </w:rPr>
      </w:pPr>
      <w:r>
        <w:rPr>
          <w:rFonts w:hint="eastAsia" w:ascii="黑体" w:hAnsi="黑体" w:eastAsia="黑体" w:cs="黑体"/>
          <w:color w:val="auto"/>
          <w:kern w:val="0"/>
          <w:sz w:val="32"/>
          <w:szCs w:val="32"/>
          <w:highlight w:val="none"/>
          <w:lang w:val="en-US" w:eastAsia="zh-CN" w:bidi="ar-SA"/>
        </w:rPr>
        <w:t>一、</w:t>
      </w:r>
      <w:r>
        <w:rPr>
          <w:rFonts w:hint="default" w:ascii="黑体" w:hAnsi="黑体" w:eastAsia="黑体" w:cs="黑体"/>
          <w:color w:val="auto"/>
          <w:kern w:val="0"/>
          <w:sz w:val="32"/>
          <w:szCs w:val="32"/>
          <w:highlight w:val="none"/>
          <w:lang w:val="zh-CN" w:eastAsia="zh-CN" w:bidi="ar-SA"/>
        </w:rPr>
        <w:t>项目概况</w:t>
      </w:r>
      <w:bookmarkEnd w:id="241"/>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楷体" w:hAnsi="楷体" w:eastAsia="楷体" w:cs="楷体"/>
          <w:b/>
          <w:color w:val="auto"/>
          <w:sz w:val="32"/>
          <w:szCs w:val="32"/>
          <w:highlight w:val="none"/>
          <w:lang w:val="zh-CN" w:eastAsia="zh-CN"/>
        </w:rPr>
      </w:pPr>
      <w:r>
        <w:rPr>
          <w:rFonts w:hint="eastAsia" w:ascii="楷体" w:hAnsi="楷体" w:eastAsia="楷体" w:cs="楷体"/>
          <w:b/>
          <w:color w:val="auto"/>
          <w:sz w:val="32"/>
          <w:szCs w:val="32"/>
          <w:highlight w:val="none"/>
          <w:lang w:val="zh-CN" w:eastAsia="zh-CN"/>
        </w:rPr>
        <w:t>（</w:t>
      </w:r>
      <w:r>
        <w:rPr>
          <w:rFonts w:hint="eastAsia" w:ascii="楷体" w:hAnsi="楷体" w:eastAsia="楷体" w:cs="楷体"/>
          <w:b/>
          <w:color w:val="auto"/>
          <w:sz w:val="32"/>
          <w:szCs w:val="32"/>
          <w:highlight w:val="none"/>
          <w:lang w:val="en-US" w:eastAsia="zh-CN"/>
        </w:rPr>
        <w:t>一</w:t>
      </w:r>
      <w:r>
        <w:rPr>
          <w:rFonts w:hint="eastAsia" w:ascii="楷体" w:hAnsi="楷体" w:eastAsia="楷体" w:cs="楷体"/>
          <w:b/>
          <w:color w:val="auto"/>
          <w:sz w:val="32"/>
          <w:szCs w:val="32"/>
          <w:highlight w:val="none"/>
          <w:lang w:val="zh-CN" w:eastAsia="zh-CN"/>
        </w:rPr>
        <w:t>）项目</w:t>
      </w:r>
      <w:r>
        <w:rPr>
          <w:rFonts w:hint="eastAsia" w:ascii="楷体" w:hAnsi="楷体" w:eastAsia="楷体" w:cs="楷体"/>
          <w:b/>
          <w:color w:val="auto"/>
          <w:sz w:val="32"/>
          <w:szCs w:val="32"/>
          <w:highlight w:val="none"/>
          <w:lang w:val="en-US" w:eastAsia="zh-CN"/>
        </w:rPr>
        <w:t>基本情况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zh-CN" w:eastAsia="zh-CN" w:bidi="ar-SA"/>
        </w:rPr>
      </w:pPr>
      <w:r>
        <w:rPr>
          <w:rFonts w:hint="eastAsia" w:ascii="仿宋_GB2312" w:hAnsi="Calibri" w:eastAsia="仿宋_GB2312" w:cs="仿宋"/>
          <w:color w:val="auto"/>
          <w:kern w:val="0"/>
          <w:sz w:val="32"/>
          <w:szCs w:val="32"/>
          <w:highlight w:val="none"/>
          <w:lang w:val="zh-CN" w:eastAsia="zh-CN" w:bidi="ar-SA"/>
        </w:rPr>
        <w:t>加强驻村第一书记和工作队员管理，巩固拓展脱贫攻坚成果。为了乡村振兴工作有序开展，防止返贫动态监测，从各级党政机关、人民团体、事业单位等，选派</w:t>
      </w:r>
      <w:r>
        <w:rPr>
          <w:rFonts w:hint="eastAsia" w:ascii="仿宋_GB2312" w:hAnsi="Calibri" w:eastAsia="仿宋_GB2312" w:cs="仿宋"/>
          <w:color w:val="auto"/>
          <w:kern w:val="0"/>
          <w:sz w:val="32"/>
          <w:szCs w:val="32"/>
          <w:highlight w:val="none"/>
          <w:lang w:val="en-US" w:eastAsia="zh-CN" w:bidi="ar-SA"/>
        </w:rPr>
        <w:t>4个工作队共计13人</w:t>
      </w:r>
      <w:r>
        <w:rPr>
          <w:rFonts w:hint="eastAsia" w:ascii="仿宋_GB2312" w:hAnsi="Calibri" w:eastAsia="仿宋_GB2312" w:cs="仿宋"/>
          <w:color w:val="auto"/>
          <w:kern w:val="0"/>
          <w:sz w:val="32"/>
          <w:szCs w:val="32"/>
          <w:highlight w:val="none"/>
          <w:lang w:val="zh-CN" w:eastAsia="zh-CN" w:bidi="ar-SA"/>
        </w:rPr>
        <w:t>担任驻村第一书记和工作队员。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楷体" w:hAnsi="楷体" w:eastAsia="楷体" w:cs="楷体"/>
          <w:b/>
          <w:color w:val="auto"/>
          <w:sz w:val="32"/>
          <w:szCs w:val="32"/>
          <w:highlight w:val="none"/>
          <w:lang w:val="zh-CN" w:eastAsia="zh-CN"/>
        </w:rPr>
      </w:pPr>
      <w:r>
        <w:rPr>
          <w:rFonts w:hint="default" w:ascii="楷体" w:hAnsi="楷体" w:eastAsia="楷体" w:cs="楷体"/>
          <w:b/>
          <w:color w:val="auto"/>
          <w:sz w:val="32"/>
          <w:szCs w:val="32"/>
          <w:highlight w:val="none"/>
          <w:lang w:val="zh-CN" w:eastAsia="zh-CN"/>
        </w:rPr>
        <w:t>（</w:t>
      </w:r>
      <w:r>
        <w:rPr>
          <w:rFonts w:hint="eastAsia" w:ascii="楷体" w:hAnsi="楷体" w:eastAsia="楷体" w:cs="楷体"/>
          <w:b/>
          <w:color w:val="auto"/>
          <w:sz w:val="32"/>
          <w:szCs w:val="32"/>
          <w:highlight w:val="none"/>
          <w:lang w:val="en-US" w:eastAsia="zh-CN"/>
        </w:rPr>
        <w:t>二</w:t>
      </w:r>
      <w:r>
        <w:rPr>
          <w:rFonts w:hint="default" w:ascii="楷体" w:hAnsi="楷体" w:eastAsia="楷体" w:cs="楷体"/>
          <w:b/>
          <w:color w:val="auto"/>
          <w:sz w:val="32"/>
          <w:szCs w:val="32"/>
          <w:highlight w:val="none"/>
          <w:lang w:val="zh-CN" w:eastAsia="zh-CN"/>
        </w:rPr>
        <w:t>）项目绩效目标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驻村工作队工作经费4个工作队13人，每人5000元，总资金6.5万元，由上级公共财政补助安排，属于一次性项目，主要用于第一书记和工作队经费，日常工作运转以及报销驻村期间因公产生的差旅费等。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楷体" w:hAnsi="楷体" w:eastAsia="楷体" w:cs="楷体"/>
          <w:b/>
          <w:color w:val="auto"/>
          <w:sz w:val="32"/>
          <w:szCs w:val="32"/>
          <w:highlight w:val="none"/>
          <w:lang w:val="zh-CN" w:eastAsia="zh-CN"/>
        </w:rPr>
      </w:pPr>
      <w:bookmarkStart w:id="242" w:name="_Toc22274"/>
      <w:r>
        <w:rPr>
          <w:rFonts w:hint="eastAsia" w:ascii="楷体" w:hAnsi="楷体" w:eastAsia="楷体" w:cs="楷体"/>
          <w:b/>
          <w:color w:val="auto"/>
          <w:sz w:val="32"/>
          <w:szCs w:val="32"/>
          <w:highlight w:val="none"/>
          <w:lang w:val="zh-CN" w:eastAsia="zh-CN"/>
        </w:rPr>
        <w:t>（</w:t>
      </w:r>
      <w:r>
        <w:rPr>
          <w:rFonts w:hint="eastAsia" w:ascii="楷体" w:hAnsi="楷体" w:eastAsia="楷体" w:cs="楷体"/>
          <w:b/>
          <w:color w:val="auto"/>
          <w:sz w:val="32"/>
          <w:szCs w:val="32"/>
          <w:highlight w:val="none"/>
          <w:lang w:val="en-US" w:eastAsia="zh-CN"/>
        </w:rPr>
        <w:t>三</w:t>
      </w:r>
      <w:r>
        <w:rPr>
          <w:rFonts w:hint="eastAsia" w:ascii="楷体" w:hAnsi="楷体" w:eastAsia="楷体" w:cs="楷体"/>
          <w:b/>
          <w:color w:val="auto"/>
          <w:sz w:val="32"/>
          <w:szCs w:val="32"/>
          <w:highlight w:val="none"/>
          <w:lang w:val="zh-CN" w:eastAsia="zh-CN"/>
        </w:rPr>
        <w:t>）自评步骤及方法</w:t>
      </w:r>
      <w:bookmarkEnd w:id="242"/>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该项目采取自评与他评相结合方式，成立项目自评小组，结合评价内容，做到有计划，有安排，扎实开展本次自评工作。按照上级下达的项目支出绩效评价指标体系，自评小组针对申报内容、实施情况、资金兑现、财务管理、社会效益等作出自我评价，认真听取村、社区居民建议意见，做好自评工作。</w:t>
      </w:r>
      <w:r>
        <w:rPr>
          <w:rFonts w:hint="eastAsia" w:ascii="仿宋_GB2312" w:hAnsi="Calibri" w:eastAsia="仿宋_GB2312" w:cs="仿宋"/>
          <w:color w:val="auto"/>
          <w:kern w:val="0"/>
          <w:sz w:val="32"/>
          <w:szCs w:val="32"/>
          <w:highlight w:val="none"/>
          <w:lang w:val="zh-CN" w:eastAsia="zh-CN" w:bidi="ar-SA"/>
        </w:rPr>
        <w:t>并对照年初预算的绩效目标使用《广元市昭化区财政项目（政策）支出绩效自评表》进行打分，出具评价结果并提交绩效</w:t>
      </w:r>
      <w:r>
        <w:rPr>
          <w:rFonts w:hint="eastAsia" w:ascii="仿宋_GB2312" w:hAnsi="Calibri" w:eastAsia="仿宋_GB2312" w:cs="仿宋"/>
          <w:color w:val="auto"/>
          <w:kern w:val="0"/>
          <w:sz w:val="32"/>
          <w:szCs w:val="32"/>
          <w:highlight w:val="none"/>
          <w:lang w:val="en-US" w:eastAsia="zh-CN" w:bidi="ar-SA"/>
        </w:rPr>
        <w:t>自评</w:t>
      </w:r>
      <w:r>
        <w:rPr>
          <w:rFonts w:hint="eastAsia" w:ascii="仿宋_GB2312" w:hAnsi="Calibri" w:eastAsia="仿宋_GB2312" w:cs="仿宋"/>
          <w:color w:val="auto"/>
          <w:kern w:val="0"/>
          <w:sz w:val="32"/>
          <w:szCs w:val="32"/>
          <w:highlight w:val="none"/>
          <w:lang w:val="zh-CN" w:eastAsia="zh-CN" w:bidi="ar-SA"/>
        </w:rPr>
        <w:t>报告等程序进行。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1"/>
        <w:rPr>
          <w:rFonts w:hint="default" w:ascii="黑体" w:hAnsi="黑体" w:eastAsia="黑体" w:cs="黑体"/>
          <w:color w:val="auto"/>
          <w:kern w:val="0"/>
          <w:sz w:val="32"/>
          <w:szCs w:val="32"/>
          <w:highlight w:val="none"/>
          <w:lang w:val="en-US" w:eastAsia="zh-CN" w:bidi="ar-SA"/>
        </w:rPr>
      </w:pPr>
      <w:bookmarkStart w:id="243" w:name="_Toc26562"/>
      <w:r>
        <w:rPr>
          <w:rFonts w:hint="default" w:ascii="黑体" w:hAnsi="黑体" w:eastAsia="黑体" w:cs="黑体"/>
          <w:color w:val="auto"/>
          <w:kern w:val="0"/>
          <w:sz w:val="32"/>
          <w:szCs w:val="32"/>
          <w:highlight w:val="none"/>
          <w:lang w:val="en-US" w:eastAsia="zh-CN" w:bidi="ar-SA"/>
        </w:rPr>
        <w:t>二、项目</w:t>
      </w:r>
      <w:r>
        <w:rPr>
          <w:rFonts w:hint="eastAsia" w:ascii="黑体" w:hAnsi="黑体" w:eastAsia="黑体" w:cs="黑体"/>
          <w:color w:val="auto"/>
          <w:kern w:val="0"/>
          <w:sz w:val="32"/>
          <w:szCs w:val="32"/>
          <w:highlight w:val="none"/>
          <w:lang w:val="en-US" w:eastAsia="zh-CN" w:bidi="ar-SA"/>
        </w:rPr>
        <w:t>资金申报及使用情况</w:t>
      </w:r>
      <w:bookmarkEnd w:id="243"/>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楷体" w:hAnsi="楷体" w:eastAsia="楷体" w:cs="楷体"/>
          <w:b/>
          <w:color w:val="auto"/>
          <w:sz w:val="32"/>
          <w:szCs w:val="32"/>
          <w:highlight w:val="none"/>
          <w:lang w:val="zh-CN" w:eastAsia="zh-CN"/>
        </w:rPr>
      </w:pPr>
      <w:bookmarkStart w:id="244" w:name="_Toc22651"/>
      <w:r>
        <w:rPr>
          <w:rFonts w:hint="eastAsia" w:ascii="楷体" w:hAnsi="楷体" w:eastAsia="楷体" w:cs="楷体"/>
          <w:b/>
          <w:color w:val="auto"/>
          <w:sz w:val="32"/>
          <w:szCs w:val="32"/>
          <w:highlight w:val="none"/>
          <w:lang w:val="zh-CN" w:eastAsia="zh-CN"/>
        </w:rPr>
        <w:t>（一）项目资金申报及批复情况</w:t>
      </w:r>
      <w:bookmarkEnd w:id="244"/>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zh-CN" w:eastAsia="zh-CN" w:bidi="ar-SA"/>
        </w:rPr>
      </w:pPr>
      <w:r>
        <w:rPr>
          <w:rFonts w:hint="eastAsia" w:ascii="仿宋_GB2312" w:hAnsi="Calibri" w:eastAsia="仿宋_GB2312" w:cs="仿宋"/>
          <w:color w:val="auto"/>
          <w:kern w:val="0"/>
          <w:sz w:val="32"/>
          <w:szCs w:val="32"/>
          <w:highlight w:val="none"/>
          <w:lang w:val="en-US" w:eastAsia="zh-CN" w:bidi="ar-SA"/>
        </w:rPr>
        <w:t>关于下达2022年驻村工作队工作经费</w:t>
      </w:r>
      <w:r>
        <w:rPr>
          <w:rFonts w:hint="eastAsia" w:ascii="仿宋_GB2312" w:hAnsi="Calibri" w:eastAsia="仿宋_GB2312" w:cs="仿宋"/>
          <w:color w:val="auto"/>
          <w:kern w:val="0"/>
          <w:sz w:val="32"/>
          <w:szCs w:val="32"/>
          <w:highlight w:val="none"/>
          <w:lang w:val="zh-CN" w:eastAsia="zh-CN" w:bidi="ar-SA"/>
        </w:rPr>
        <w:t>项目预算</w:t>
      </w:r>
      <w:r>
        <w:rPr>
          <w:rFonts w:hint="eastAsia" w:ascii="仿宋_GB2312" w:hAnsi="Calibri" w:eastAsia="仿宋_GB2312" w:cs="仿宋"/>
          <w:color w:val="auto"/>
          <w:kern w:val="0"/>
          <w:sz w:val="32"/>
          <w:szCs w:val="32"/>
          <w:highlight w:val="none"/>
          <w:lang w:val="en-US" w:eastAsia="zh-CN" w:bidi="ar-SA"/>
        </w:rPr>
        <w:t>6.5</w:t>
      </w:r>
      <w:r>
        <w:rPr>
          <w:rFonts w:hint="eastAsia" w:ascii="仿宋_GB2312" w:hAnsi="Calibri" w:eastAsia="仿宋_GB2312" w:cs="仿宋"/>
          <w:color w:val="auto"/>
          <w:kern w:val="0"/>
          <w:sz w:val="32"/>
          <w:szCs w:val="32"/>
          <w:highlight w:val="none"/>
          <w:lang w:val="zh-CN" w:eastAsia="zh-CN" w:bidi="ar-SA"/>
        </w:rPr>
        <w:t>万元，区财政批复预算</w:t>
      </w:r>
      <w:r>
        <w:rPr>
          <w:rFonts w:hint="eastAsia" w:ascii="仿宋_GB2312" w:hAnsi="Calibri" w:eastAsia="仿宋_GB2312" w:cs="仿宋"/>
          <w:color w:val="auto"/>
          <w:kern w:val="0"/>
          <w:sz w:val="32"/>
          <w:szCs w:val="32"/>
          <w:highlight w:val="none"/>
          <w:lang w:val="en-US" w:eastAsia="zh-CN" w:bidi="ar-SA"/>
        </w:rPr>
        <w:t>6.5</w:t>
      </w:r>
      <w:r>
        <w:rPr>
          <w:rFonts w:hint="eastAsia" w:ascii="仿宋_GB2312" w:hAnsi="Calibri" w:eastAsia="仿宋_GB2312" w:cs="仿宋"/>
          <w:color w:val="auto"/>
          <w:kern w:val="0"/>
          <w:sz w:val="32"/>
          <w:szCs w:val="32"/>
          <w:highlight w:val="none"/>
          <w:lang w:val="zh-CN" w:eastAsia="zh-CN" w:bidi="ar-SA"/>
        </w:rPr>
        <w:t>万元，下达资金</w:t>
      </w:r>
      <w:r>
        <w:rPr>
          <w:rFonts w:hint="eastAsia" w:ascii="仿宋_GB2312" w:hAnsi="Calibri" w:eastAsia="仿宋_GB2312" w:cs="仿宋"/>
          <w:color w:val="auto"/>
          <w:kern w:val="0"/>
          <w:sz w:val="32"/>
          <w:szCs w:val="32"/>
          <w:highlight w:val="none"/>
          <w:lang w:val="en-US" w:eastAsia="zh-CN" w:bidi="ar-SA"/>
        </w:rPr>
        <w:t>6.5万元，资金到位率100%。支付依据符合相关规定，项目资金支付与预算申请相符合。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楷体" w:hAnsi="楷体" w:eastAsia="楷体" w:cs="楷体"/>
          <w:b/>
          <w:color w:val="auto"/>
          <w:sz w:val="32"/>
          <w:szCs w:val="32"/>
          <w:highlight w:val="none"/>
          <w:lang w:val="zh-CN" w:eastAsia="zh-CN"/>
        </w:rPr>
      </w:pPr>
      <w:bookmarkStart w:id="245" w:name="_Toc27473"/>
      <w:r>
        <w:rPr>
          <w:rFonts w:hint="default" w:ascii="楷体" w:hAnsi="楷体" w:eastAsia="楷体" w:cs="楷体"/>
          <w:b/>
          <w:color w:val="auto"/>
          <w:sz w:val="32"/>
          <w:szCs w:val="32"/>
          <w:highlight w:val="none"/>
          <w:lang w:val="zh-CN" w:eastAsia="zh-CN"/>
        </w:rPr>
        <w:t>（</w:t>
      </w:r>
      <w:r>
        <w:rPr>
          <w:rFonts w:hint="eastAsia" w:ascii="楷体" w:hAnsi="楷体" w:eastAsia="楷体" w:cs="楷体"/>
          <w:b/>
          <w:color w:val="auto"/>
          <w:sz w:val="32"/>
          <w:szCs w:val="32"/>
          <w:highlight w:val="none"/>
          <w:lang w:val="en-US" w:eastAsia="zh-CN"/>
        </w:rPr>
        <w:t>二</w:t>
      </w:r>
      <w:r>
        <w:rPr>
          <w:rFonts w:hint="default" w:ascii="楷体" w:hAnsi="楷体" w:eastAsia="楷体" w:cs="楷体"/>
          <w:b/>
          <w:color w:val="auto"/>
          <w:sz w:val="32"/>
          <w:szCs w:val="32"/>
          <w:highlight w:val="none"/>
          <w:lang w:val="zh-CN" w:eastAsia="zh-CN"/>
        </w:rPr>
        <w:t>）</w:t>
      </w:r>
      <w:r>
        <w:rPr>
          <w:rFonts w:hint="eastAsia" w:ascii="楷体" w:hAnsi="楷体" w:eastAsia="楷体" w:cs="楷体"/>
          <w:b/>
          <w:color w:val="auto"/>
          <w:sz w:val="32"/>
          <w:szCs w:val="32"/>
          <w:highlight w:val="none"/>
          <w:lang w:val="en-US" w:eastAsia="zh-CN"/>
        </w:rPr>
        <w:t>项目计划、到位及使用</w:t>
      </w:r>
      <w:r>
        <w:rPr>
          <w:rFonts w:hint="default" w:ascii="楷体" w:hAnsi="楷体" w:eastAsia="楷体" w:cs="楷体"/>
          <w:b/>
          <w:color w:val="auto"/>
          <w:sz w:val="32"/>
          <w:szCs w:val="32"/>
          <w:highlight w:val="none"/>
          <w:lang w:val="zh-CN" w:eastAsia="zh-CN"/>
        </w:rPr>
        <w:t>情况</w:t>
      </w:r>
      <w:bookmarkEnd w:id="245"/>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zh-CN" w:eastAsia="zh-CN" w:bidi="ar-SA"/>
        </w:rPr>
      </w:pPr>
      <w:r>
        <w:rPr>
          <w:rFonts w:hint="eastAsia" w:ascii="仿宋_GB2312" w:hAnsi="Calibri" w:eastAsia="仿宋_GB2312" w:cs="仿宋"/>
          <w:color w:val="auto"/>
          <w:kern w:val="0"/>
          <w:sz w:val="32"/>
          <w:szCs w:val="32"/>
          <w:highlight w:val="none"/>
          <w:lang w:val="en-US" w:eastAsia="zh-CN" w:bidi="ar-SA"/>
        </w:rPr>
        <w:t>1.</w:t>
      </w:r>
      <w:r>
        <w:rPr>
          <w:rFonts w:hint="eastAsia" w:ascii="仿宋_GB2312" w:hAnsi="Calibri" w:eastAsia="仿宋_GB2312" w:cs="仿宋"/>
          <w:color w:val="auto"/>
          <w:kern w:val="0"/>
          <w:sz w:val="32"/>
          <w:szCs w:val="32"/>
          <w:highlight w:val="none"/>
          <w:lang w:val="zh-CN" w:eastAsia="zh-CN" w:bidi="ar-SA"/>
        </w:rPr>
        <w:t>资金计划。</w:t>
      </w:r>
      <w:r>
        <w:rPr>
          <w:rFonts w:hint="eastAsia" w:ascii="仿宋_GB2312" w:hAnsi="Calibri" w:eastAsia="仿宋_GB2312" w:cs="仿宋"/>
          <w:color w:val="auto"/>
          <w:kern w:val="0"/>
          <w:sz w:val="32"/>
          <w:szCs w:val="32"/>
          <w:highlight w:val="none"/>
          <w:lang w:val="en-US" w:eastAsia="zh-CN" w:bidi="ar-SA"/>
        </w:rPr>
        <w:t>该</w:t>
      </w:r>
      <w:r>
        <w:rPr>
          <w:rFonts w:hint="eastAsia" w:ascii="仿宋_GB2312" w:hAnsi="Calibri" w:eastAsia="仿宋_GB2312" w:cs="仿宋"/>
          <w:color w:val="auto"/>
          <w:kern w:val="0"/>
          <w:sz w:val="32"/>
          <w:szCs w:val="32"/>
          <w:highlight w:val="none"/>
          <w:lang w:val="zh-CN" w:eastAsia="zh-CN" w:bidi="ar-SA"/>
        </w:rPr>
        <w:t>项目资金来源为财政拨款，总投入为</w:t>
      </w:r>
      <w:r>
        <w:rPr>
          <w:rFonts w:hint="eastAsia" w:ascii="仿宋_GB2312" w:hAnsi="Calibri" w:eastAsia="仿宋_GB2312" w:cs="仿宋"/>
          <w:color w:val="auto"/>
          <w:kern w:val="0"/>
          <w:sz w:val="32"/>
          <w:szCs w:val="32"/>
          <w:highlight w:val="none"/>
          <w:lang w:val="en-US" w:eastAsia="zh-CN" w:bidi="ar-SA"/>
        </w:rPr>
        <w:t>6.5万元，资金于2022年全部到位。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2.</w:t>
      </w:r>
      <w:r>
        <w:rPr>
          <w:rFonts w:hint="eastAsia" w:ascii="仿宋_GB2312" w:hAnsi="Calibri" w:eastAsia="仿宋_GB2312" w:cs="仿宋"/>
          <w:color w:val="auto"/>
          <w:kern w:val="0"/>
          <w:sz w:val="32"/>
          <w:szCs w:val="32"/>
          <w:highlight w:val="none"/>
          <w:lang w:val="zh-CN" w:eastAsia="zh-CN" w:bidi="ar-SA"/>
        </w:rPr>
        <w:t>资金到位。截止评价时点，该项目</w:t>
      </w:r>
      <w:r>
        <w:rPr>
          <w:rFonts w:hint="eastAsia" w:ascii="仿宋_GB2312" w:hAnsi="Calibri" w:eastAsia="仿宋_GB2312" w:cs="仿宋"/>
          <w:color w:val="auto"/>
          <w:kern w:val="0"/>
          <w:sz w:val="32"/>
          <w:szCs w:val="32"/>
          <w:highlight w:val="none"/>
          <w:lang w:val="en-US" w:eastAsia="zh-CN" w:bidi="ar-SA"/>
        </w:rPr>
        <w:t>资金全部到位，资金到位率100%。</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zh-CN" w:eastAsia="zh-CN" w:bidi="ar-SA"/>
        </w:rPr>
      </w:pPr>
      <w:r>
        <w:rPr>
          <w:rFonts w:hint="eastAsia" w:ascii="仿宋_GB2312" w:hAnsi="Calibri" w:eastAsia="仿宋_GB2312" w:cs="仿宋"/>
          <w:color w:val="auto"/>
          <w:kern w:val="0"/>
          <w:sz w:val="32"/>
          <w:szCs w:val="32"/>
          <w:highlight w:val="none"/>
          <w:lang w:val="en-US" w:eastAsia="zh-CN" w:bidi="ar-SA"/>
        </w:rPr>
        <w:t>3.</w:t>
      </w:r>
      <w:r>
        <w:rPr>
          <w:rFonts w:hint="eastAsia" w:ascii="仿宋_GB2312" w:hAnsi="Calibri" w:eastAsia="仿宋_GB2312" w:cs="仿宋"/>
          <w:color w:val="auto"/>
          <w:kern w:val="0"/>
          <w:sz w:val="32"/>
          <w:szCs w:val="32"/>
          <w:highlight w:val="none"/>
          <w:lang w:val="zh-CN" w:eastAsia="zh-CN" w:bidi="ar-SA"/>
        </w:rPr>
        <w:t>资金使用。截止评价时点，该项目</w:t>
      </w:r>
      <w:r>
        <w:rPr>
          <w:rFonts w:hint="eastAsia" w:ascii="仿宋_GB2312" w:hAnsi="Calibri" w:eastAsia="仿宋_GB2312" w:cs="仿宋"/>
          <w:color w:val="auto"/>
          <w:kern w:val="0"/>
          <w:sz w:val="32"/>
          <w:szCs w:val="32"/>
          <w:highlight w:val="none"/>
          <w:lang w:val="en-US" w:eastAsia="zh-CN" w:bidi="ar-SA"/>
        </w:rPr>
        <w:t>已支付，资金使用率100%。</w:t>
      </w:r>
      <w:r>
        <w:rPr>
          <w:rFonts w:hint="eastAsia" w:ascii="仿宋_GB2312" w:hAnsi="Calibri" w:eastAsia="仿宋_GB2312" w:cs="仿宋"/>
          <w:color w:val="auto"/>
          <w:kern w:val="0"/>
          <w:sz w:val="32"/>
          <w:szCs w:val="32"/>
          <w:highlight w:val="none"/>
          <w:lang w:val="zh-CN" w:eastAsia="zh-CN" w:bidi="ar-SA"/>
        </w:rPr>
        <w:t>资金使用</w:t>
      </w:r>
      <w:r>
        <w:rPr>
          <w:rFonts w:hint="eastAsia" w:ascii="仿宋_GB2312" w:hAnsi="Calibri" w:eastAsia="仿宋_GB2312" w:cs="仿宋"/>
          <w:color w:val="auto"/>
          <w:kern w:val="0"/>
          <w:sz w:val="32"/>
          <w:szCs w:val="32"/>
          <w:highlight w:val="none"/>
          <w:lang w:val="en-US" w:eastAsia="zh-CN" w:bidi="ar-SA"/>
        </w:rPr>
        <w:t>具有</w:t>
      </w:r>
      <w:r>
        <w:rPr>
          <w:rFonts w:hint="eastAsia" w:ascii="仿宋_GB2312" w:hAnsi="Calibri" w:eastAsia="仿宋_GB2312" w:cs="仿宋"/>
          <w:color w:val="auto"/>
          <w:kern w:val="0"/>
          <w:sz w:val="32"/>
          <w:szCs w:val="32"/>
          <w:highlight w:val="none"/>
          <w:lang w:val="zh-CN" w:eastAsia="zh-CN" w:bidi="ar-SA"/>
        </w:rPr>
        <w:t>安全性、规范性、有效性，</w:t>
      </w:r>
      <w:r>
        <w:rPr>
          <w:rFonts w:hint="eastAsia" w:ascii="仿宋_GB2312" w:hAnsi="Calibri" w:eastAsia="仿宋_GB2312" w:cs="仿宋"/>
          <w:color w:val="auto"/>
          <w:kern w:val="0"/>
          <w:sz w:val="32"/>
          <w:szCs w:val="32"/>
          <w:highlight w:val="none"/>
          <w:lang w:val="en-US" w:eastAsia="zh-CN" w:bidi="ar-SA"/>
        </w:rPr>
        <w:t>严格按照</w:t>
      </w:r>
      <w:r>
        <w:rPr>
          <w:rFonts w:hint="eastAsia" w:ascii="仿宋_GB2312" w:hAnsi="Calibri" w:eastAsia="仿宋_GB2312" w:cs="仿宋"/>
          <w:color w:val="auto"/>
          <w:kern w:val="0"/>
          <w:sz w:val="32"/>
          <w:szCs w:val="32"/>
          <w:highlight w:val="none"/>
          <w:lang w:val="zh-CN" w:eastAsia="zh-CN" w:bidi="ar-SA"/>
        </w:rPr>
        <w:t>资金支付范围、支付标准</w:t>
      </w:r>
      <w:r>
        <w:rPr>
          <w:rFonts w:hint="eastAsia" w:ascii="仿宋_GB2312" w:hAnsi="Calibri" w:eastAsia="仿宋_GB2312" w:cs="仿宋"/>
          <w:color w:val="auto"/>
          <w:kern w:val="0"/>
          <w:sz w:val="32"/>
          <w:szCs w:val="32"/>
          <w:highlight w:val="none"/>
          <w:lang w:val="en-US" w:eastAsia="zh-CN" w:bidi="ar-SA"/>
        </w:rPr>
        <w:t>进行支付，</w:t>
      </w:r>
      <w:r>
        <w:rPr>
          <w:rFonts w:hint="eastAsia" w:ascii="仿宋_GB2312" w:hAnsi="Calibri" w:eastAsia="仿宋_GB2312" w:cs="仿宋"/>
          <w:color w:val="auto"/>
          <w:kern w:val="0"/>
          <w:sz w:val="32"/>
          <w:szCs w:val="32"/>
          <w:highlight w:val="none"/>
          <w:lang w:val="zh-CN" w:eastAsia="zh-CN" w:bidi="ar-SA"/>
        </w:rPr>
        <w:t>支付进度、支付依据合规合法、与预算相符。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楷体" w:hAnsi="楷体" w:eastAsia="楷体" w:cs="楷体"/>
          <w:b/>
          <w:color w:val="auto"/>
          <w:sz w:val="32"/>
          <w:szCs w:val="32"/>
          <w:highlight w:val="none"/>
          <w:lang w:val="zh-CN" w:eastAsia="zh-CN"/>
        </w:rPr>
      </w:pPr>
      <w:bookmarkStart w:id="246" w:name="_Toc23041"/>
      <w:r>
        <w:rPr>
          <w:rFonts w:hint="default" w:ascii="楷体" w:hAnsi="楷体" w:eastAsia="楷体" w:cs="楷体"/>
          <w:b/>
          <w:color w:val="auto"/>
          <w:sz w:val="32"/>
          <w:szCs w:val="32"/>
          <w:highlight w:val="none"/>
          <w:lang w:val="zh-CN" w:eastAsia="zh-CN"/>
        </w:rPr>
        <w:t>（</w:t>
      </w:r>
      <w:r>
        <w:rPr>
          <w:rFonts w:hint="eastAsia" w:ascii="楷体" w:hAnsi="楷体" w:eastAsia="楷体" w:cs="楷体"/>
          <w:b/>
          <w:color w:val="auto"/>
          <w:sz w:val="32"/>
          <w:szCs w:val="32"/>
          <w:highlight w:val="none"/>
          <w:lang w:val="en-US" w:eastAsia="zh-CN"/>
        </w:rPr>
        <w:t>三</w:t>
      </w:r>
      <w:r>
        <w:rPr>
          <w:rFonts w:hint="default" w:ascii="楷体" w:hAnsi="楷体" w:eastAsia="楷体" w:cs="楷体"/>
          <w:b/>
          <w:color w:val="auto"/>
          <w:sz w:val="32"/>
          <w:szCs w:val="32"/>
          <w:highlight w:val="none"/>
          <w:lang w:val="zh-CN" w:eastAsia="zh-CN"/>
        </w:rPr>
        <w:t>）项目财务管理情况</w:t>
      </w:r>
      <w:bookmarkEnd w:id="246"/>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关于下达2022年驻村工作队工作经费项目资金采取财政直接支付方式，由镇相关部门组织申报材料，形成项目专项资金申请报告报送财务部门，由财政所根据项目进度，严格按照项目资金管理办法对资金进行计划申请、划拨至所提供的个人指定账户，及时、规范对收支进行账务处理和会计核算。对项目资金坚持专款专用、量入为出的原则，并建立好项目专项资金使用台账，加强项目专项资金的财务管理及使用监督管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1"/>
        <w:rPr>
          <w:rFonts w:hint="default" w:ascii="黑体" w:hAnsi="黑体" w:eastAsia="黑体" w:cs="黑体"/>
          <w:color w:val="auto"/>
          <w:kern w:val="0"/>
          <w:sz w:val="32"/>
          <w:szCs w:val="32"/>
          <w:highlight w:val="none"/>
          <w:lang w:val="zh-CN" w:eastAsia="zh-CN" w:bidi="ar-SA"/>
        </w:rPr>
      </w:pPr>
      <w:bookmarkStart w:id="247" w:name="_Toc21966"/>
      <w:r>
        <w:rPr>
          <w:rFonts w:hint="default" w:ascii="黑体" w:hAnsi="黑体" w:eastAsia="黑体" w:cs="黑体"/>
          <w:color w:val="auto"/>
          <w:kern w:val="0"/>
          <w:sz w:val="32"/>
          <w:szCs w:val="32"/>
          <w:highlight w:val="none"/>
          <w:lang w:val="en-US" w:eastAsia="zh-CN" w:bidi="ar-SA"/>
        </w:rPr>
        <w:t>三、项目</w:t>
      </w:r>
      <w:r>
        <w:rPr>
          <w:rFonts w:hint="eastAsia" w:ascii="黑体" w:hAnsi="黑体" w:eastAsia="黑体" w:cs="黑体"/>
          <w:color w:val="auto"/>
          <w:kern w:val="0"/>
          <w:sz w:val="32"/>
          <w:szCs w:val="32"/>
          <w:highlight w:val="none"/>
          <w:lang w:val="en-US" w:eastAsia="zh-CN" w:bidi="ar-SA"/>
        </w:rPr>
        <w:t>实施及管理情况</w:t>
      </w:r>
      <w:bookmarkEnd w:id="247"/>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楷体" w:hAnsi="楷体" w:eastAsia="楷体" w:cs="楷体"/>
          <w:b/>
          <w:color w:val="auto"/>
          <w:sz w:val="32"/>
          <w:szCs w:val="32"/>
          <w:highlight w:val="none"/>
          <w:lang w:val="en-US" w:eastAsia="zh-CN"/>
        </w:rPr>
      </w:pPr>
      <w:r>
        <w:rPr>
          <w:rFonts w:hint="eastAsia" w:ascii="楷体" w:hAnsi="楷体" w:eastAsia="楷体" w:cs="楷体"/>
          <w:b/>
          <w:color w:val="auto"/>
          <w:sz w:val="32"/>
          <w:szCs w:val="32"/>
          <w:highlight w:val="none"/>
          <w:lang w:val="zh-CN" w:eastAsia="zh-CN"/>
        </w:rPr>
        <w:t>（</w:t>
      </w:r>
      <w:r>
        <w:rPr>
          <w:rFonts w:hint="eastAsia" w:ascii="楷体" w:hAnsi="楷体" w:eastAsia="楷体" w:cs="楷体"/>
          <w:b/>
          <w:color w:val="auto"/>
          <w:sz w:val="32"/>
          <w:szCs w:val="32"/>
          <w:highlight w:val="none"/>
          <w:lang w:val="en-US" w:eastAsia="zh-CN"/>
        </w:rPr>
        <w:t>一</w:t>
      </w:r>
      <w:r>
        <w:rPr>
          <w:rFonts w:hint="eastAsia" w:ascii="楷体" w:hAnsi="楷体" w:eastAsia="楷体" w:cs="楷体"/>
          <w:b/>
          <w:color w:val="auto"/>
          <w:sz w:val="32"/>
          <w:szCs w:val="32"/>
          <w:highlight w:val="none"/>
          <w:lang w:val="zh-CN" w:eastAsia="zh-CN"/>
        </w:rPr>
        <w:t>）</w:t>
      </w:r>
      <w:r>
        <w:rPr>
          <w:rFonts w:hint="eastAsia" w:ascii="楷体" w:hAnsi="楷体" w:eastAsia="楷体" w:cs="楷体"/>
          <w:b/>
          <w:color w:val="auto"/>
          <w:sz w:val="32"/>
          <w:szCs w:val="32"/>
          <w:highlight w:val="none"/>
          <w:lang w:val="en-US" w:eastAsia="zh-CN"/>
        </w:rPr>
        <w:t>项目组织架构及实施流程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32"/>
          <w:highlight w:val="none"/>
          <w:lang w:val="zh-CN"/>
        </w:rPr>
      </w:pPr>
      <w:r>
        <w:rPr>
          <w:rFonts w:hint="eastAsia" w:ascii="仿宋_GB2312" w:hAnsi="仿宋_GB2312" w:eastAsia="仿宋_GB2312" w:cs="仿宋_GB2312"/>
          <w:b w:val="0"/>
          <w:bCs/>
          <w:sz w:val="32"/>
          <w:szCs w:val="32"/>
          <w:highlight w:val="none"/>
          <w:lang w:val="zh-CN"/>
        </w:rPr>
        <w:t>磨滩镇高度重视</w:t>
      </w:r>
      <w:r>
        <w:rPr>
          <w:rFonts w:hint="eastAsia" w:ascii="仿宋_GB2312" w:hAnsi="仿宋_GB2312" w:eastAsia="仿宋_GB2312" w:cs="仿宋_GB2312"/>
          <w:b w:val="0"/>
          <w:bCs/>
          <w:sz w:val="32"/>
          <w:szCs w:val="32"/>
          <w:highlight w:val="none"/>
          <w:lang w:val="en-US" w:eastAsia="zh-CN"/>
        </w:rPr>
        <w:t>关于</w:t>
      </w:r>
      <w:r>
        <w:rPr>
          <w:rFonts w:hint="eastAsia" w:ascii="仿宋_GB2312" w:hAnsi="Calibri" w:eastAsia="仿宋_GB2312" w:cs="仿宋"/>
          <w:color w:val="auto"/>
          <w:kern w:val="0"/>
          <w:sz w:val="32"/>
          <w:szCs w:val="32"/>
          <w:highlight w:val="none"/>
          <w:lang w:val="en-US" w:eastAsia="zh-CN" w:bidi="ar-SA"/>
        </w:rPr>
        <w:t>下达驻村工作队工作经费</w:t>
      </w:r>
      <w:r>
        <w:rPr>
          <w:rFonts w:hint="eastAsia" w:ascii="仿宋_GB2312" w:hAnsi="仿宋_GB2312" w:eastAsia="仿宋_GB2312" w:cs="仿宋_GB2312"/>
          <w:b w:val="0"/>
          <w:bCs/>
          <w:sz w:val="32"/>
          <w:szCs w:val="32"/>
          <w:highlight w:val="none"/>
        </w:rPr>
        <w:t>项目</w:t>
      </w:r>
      <w:r>
        <w:rPr>
          <w:rFonts w:hint="eastAsia" w:ascii="仿宋_GB2312" w:hAnsi="仿宋_GB2312" w:eastAsia="仿宋_GB2312" w:cs="仿宋_GB2312"/>
          <w:b w:val="0"/>
          <w:bCs/>
          <w:sz w:val="32"/>
          <w:szCs w:val="32"/>
          <w:highlight w:val="none"/>
          <w:lang w:val="zh-CN"/>
        </w:rPr>
        <w:t>，并成立工作领导小组。以镇党委副书记、镇长为组长，</w:t>
      </w:r>
      <w:r>
        <w:rPr>
          <w:rFonts w:hint="eastAsia" w:ascii="仿宋_GB2312" w:hAnsi="仿宋_GB2312" w:eastAsia="仿宋_GB2312" w:cs="仿宋_GB2312"/>
          <w:b w:val="0"/>
          <w:bCs/>
          <w:sz w:val="32"/>
          <w:szCs w:val="32"/>
          <w:highlight w:val="none"/>
          <w:lang w:val="en-US" w:eastAsia="zh-CN"/>
        </w:rPr>
        <w:t>党委副书记</w:t>
      </w:r>
      <w:r>
        <w:rPr>
          <w:rFonts w:hint="eastAsia" w:ascii="仿宋_GB2312" w:hAnsi="仿宋_GB2312" w:eastAsia="仿宋_GB2312" w:cs="仿宋_GB2312"/>
          <w:b w:val="0"/>
          <w:bCs/>
          <w:sz w:val="32"/>
          <w:szCs w:val="32"/>
          <w:highlight w:val="none"/>
          <w:lang w:val="zh-CN"/>
        </w:rPr>
        <w:t>为副组长，</w:t>
      </w:r>
      <w:r>
        <w:rPr>
          <w:rFonts w:hint="eastAsia" w:ascii="仿宋_GB2312" w:hAnsi="仿宋_GB2312" w:eastAsia="仿宋_GB2312" w:cs="仿宋_GB2312"/>
          <w:b w:val="0"/>
          <w:bCs/>
          <w:sz w:val="32"/>
          <w:szCs w:val="32"/>
          <w:highlight w:val="none"/>
          <w:lang w:val="en-US" w:eastAsia="zh-CN"/>
        </w:rPr>
        <w:t>相关站所负责人</w:t>
      </w:r>
      <w:r>
        <w:rPr>
          <w:rFonts w:hint="eastAsia" w:ascii="仿宋_GB2312" w:hAnsi="仿宋_GB2312" w:eastAsia="仿宋_GB2312" w:cs="仿宋_GB2312"/>
          <w:b w:val="0"/>
          <w:bCs/>
          <w:sz w:val="32"/>
          <w:szCs w:val="32"/>
          <w:highlight w:val="none"/>
          <w:lang w:val="zh-CN"/>
        </w:rPr>
        <w:t>为成员。抓</w:t>
      </w:r>
      <w:r>
        <w:rPr>
          <w:rFonts w:hint="eastAsia" w:ascii="Times New Roman" w:hAnsi="Times New Roman" w:eastAsia="仿宋_GB2312" w:cs="仿宋_GB2312"/>
          <w:sz w:val="32"/>
          <w:szCs w:val="32"/>
          <w:highlight w:val="none"/>
          <w:lang w:val="zh-CN"/>
        </w:rPr>
        <w:t>牢抓实此项目的实施。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楷体" w:hAnsi="楷体" w:eastAsia="楷体" w:cs="楷体"/>
          <w:b/>
          <w:color w:val="auto"/>
          <w:sz w:val="32"/>
          <w:szCs w:val="32"/>
          <w:highlight w:val="none"/>
          <w:lang w:val="en-US" w:eastAsia="zh-CN"/>
        </w:rPr>
      </w:pPr>
      <w:r>
        <w:rPr>
          <w:rFonts w:hint="eastAsia" w:ascii="楷体" w:hAnsi="楷体" w:eastAsia="楷体" w:cs="楷体"/>
          <w:b/>
          <w:color w:val="auto"/>
          <w:sz w:val="32"/>
          <w:szCs w:val="32"/>
          <w:highlight w:val="none"/>
          <w:lang w:val="zh-CN" w:eastAsia="zh-CN"/>
        </w:rPr>
        <w:t>（</w:t>
      </w:r>
      <w:r>
        <w:rPr>
          <w:rFonts w:hint="eastAsia" w:ascii="楷体" w:hAnsi="楷体" w:eastAsia="楷体" w:cs="楷体"/>
          <w:b/>
          <w:color w:val="auto"/>
          <w:sz w:val="32"/>
          <w:szCs w:val="32"/>
          <w:highlight w:val="none"/>
          <w:lang w:val="en-US" w:eastAsia="zh-CN"/>
        </w:rPr>
        <w:t>二</w:t>
      </w:r>
      <w:r>
        <w:rPr>
          <w:rFonts w:hint="eastAsia" w:ascii="楷体" w:hAnsi="楷体" w:eastAsia="楷体" w:cs="楷体"/>
          <w:b/>
          <w:color w:val="auto"/>
          <w:sz w:val="32"/>
          <w:szCs w:val="32"/>
          <w:highlight w:val="none"/>
          <w:lang w:val="zh-CN" w:eastAsia="zh-CN"/>
        </w:rPr>
        <w:t>）</w:t>
      </w:r>
      <w:r>
        <w:rPr>
          <w:rFonts w:hint="eastAsia" w:ascii="楷体" w:hAnsi="楷体" w:eastAsia="楷体" w:cs="楷体"/>
          <w:b/>
          <w:color w:val="auto"/>
          <w:sz w:val="32"/>
          <w:szCs w:val="32"/>
          <w:highlight w:val="none"/>
          <w:lang w:val="en-US" w:eastAsia="zh-CN"/>
        </w:rPr>
        <w:t>项目管理情况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sz w:val="32"/>
          <w:szCs w:val="32"/>
          <w:highlight w:val="none"/>
          <w:lang w:val="zh-CN"/>
        </w:rPr>
      </w:pPr>
      <w:r>
        <w:rPr>
          <w:rFonts w:hint="eastAsia" w:ascii="仿宋_GB2312" w:hAnsi="仿宋_GB2312" w:eastAsia="仿宋_GB2312" w:cs="仿宋_GB2312"/>
          <w:b w:val="0"/>
          <w:bCs/>
          <w:sz w:val="32"/>
          <w:szCs w:val="32"/>
          <w:highlight w:val="none"/>
          <w:lang w:val="zh-CN"/>
        </w:rPr>
        <w:t>项目资金由镇财政所具体管理，按投资计划，制定管理制度，对项目资金按项目单独核算实行“专款专用、专人管理”，不</w:t>
      </w:r>
      <w:r>
        <w:rPr>
          <w:rFonts w:hint="eastAsia" w:ascii="仿宋_GB2312" w:hAnsi="仿宋_GB2312" w:eastAsia="仿宋_GB2312" w:cs="仿宋_GB2312"/>
          <w:b w:val="0"/>
          <w:bCs/>
          <w:sz w:val="32"/>
          <w:szCs w:val="32"/>
          <w:highlight w:val="none"/>
          <w:lang w:val="en-US" w:eastAsia="zh-CN"/>
        </w:rPr>
        <w:t>存在</w:t>
      </w:r>
      <w:r>
        <w:rPr>
          <w:rFonts w:hint="eastAsia" w:ascii="仿宋_GB2312" w:hAnsi="仿宋_GB2312" w:eastAsia="仿宋_GB2312" w:cs="仿宋_GB2312"/>
          <w:b w:val="0"/>
          <w:bCs/>
          <w:sz w:val="32"/>
          <w:szCs w:val="32"/>
          <w:highlight w:val="none"/>
          <w:lang w:val="zh-CN"/>
        </w:rPr>
        <w:t>挤占挪用项目资金。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楷体" w:hAnsi="楷体" w:eastAsia="楷体" w:cs="楷体"/>
          <w:b/>
          <w:color w:val="auto"/>
          <w:sz w:val="32"/>
          <w:szCs w:val="32"/>
          <w:highlight w:val="none"/>
          <w:lang w:val="en-US" w:eastAsia="zh-CN"/>
        </w:rPr>
      </w:pPr>
      <w:r>
        <w:rPr>
          <w:rFonts w:hint="eastAsia" w:ascii="楷体" w:hAnsi="楷体" w:eastAsia="楷体" w:cs="楷体"/>
          <w:b/>
          <w:color w:val="auto"/>
          <w:sz w:val="32"/>
          <w:szCs w:val="32"/>
          <w:highlight w:val="none"/>
          <w:lang w:val="zh-CN" w:eastAsia="zh-CN"/>
        </w:rPr>
        <w:t>（</w:t>
      </w:r>
      <w:r>
        <w:rPr>
          <w:rFonts w:hint="eastAsia" w:ascii="楷体" w:hAnsi="楷体" w:eastAsia="楷体" w:cs="楷体"/>
          <w:b/>
          <w:color w:val="auto"/>
          <w:sz w:val="32"/>
          <w:szCs w:val="32"/>
          <w:highlight w:val="none"/>
          <w:lang w:val="en-US" w:eastAsia="zh-CN"/>
        </w:rPr>
        <w:t>三</w:t>
      </w:r>
      <w:r>
        <w:rPr>
          <w:rFonts w:hint="eastAsia" w:ascii="楷体" w:hAnsi="楷体" w:eastAsia="楷体" w:cs="楷体"/>
          <w:b/>
          <w:color w:val="auto"/>
          <w:sz w:val="32"/>
          <w:szCs w:val="32"/>
          <w:highlight w:val="none"/>
          <w:lang w:val="zh-CN" w:eastAsia="zh-CN"/>
        </w:rPr>
        <w:t>）</w:t>
      </w:r>
      <w:r>
        <w:rPr>
          <w:rFonts w:hint="eastAsia" w:ascii="楷体" w:hAnsi="楷体" w:eastAsia="楷体" w:cs="楷体"/>
          <w:b/>
          <w:color w:val="auto"/>
          <w:sz w:val="32"/>
          <w:szCs w:val="32"/>
          <w:highlight w:val="none"/>
          <w:lang w:val="en-US" w:eastAsia="zh-CN"/>
        </w:rPr>
        <w:t>项目监管情况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zh-CN"/>
        </w:rPr>
        <w:t>项目的正常实施监督检查是保障。我</w:t>
      </w:r>
      <w:r>
        <w:rPr>
          <w:rFonts w:hint="eastAsia" w:ascii="仿宋_GB2312" w:hAnsi="仿宋_GB2312" w:eastAsia="仿宋_GB2312" w:cs="仿宋_GB2312"/>
          <w:b w:val="0"/>
          <w:bCs/>
          <w:sz w:val="32"/>
          <w:szCs w:val="32"/>
          <w:highlight w:val="none"/>
          <w:lang w:val="en-US" w:eastAsia="zh-CN"/>
        </w:rPr>
        <w:t>镇</w:t>
      </w:r>
      <w:r>
        <w:rPr>
          <w:rFonts w:hint="eastAsia" w:ascii="仿宋_GB2312" w:hAnsi="仿宋_GB2312" w:eastAsia="仿宋_GB2312" w:cs="仿宋_GB2312"/>
          <w:b w:val="0"/>
          <w:bCs/>
          <w:sz w:val="32"/>
          <w:szCs w:val="32"/>
          <w:highlight w:val="none"/>
          <w:lang w:val="zh-CN"/>
        </w:rPr>
        <w:t>定期或不定期对项目进行现场检查和督查，确保项目建设质量。</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outlineLvl w:val="1"/>
        <w:rPr>
          <w:rFonts w:hint="default" w:ascii="黑体" w:hAnsi="黑体" w:eastAsia="黑体" w:cs="黑体"/>
          <w:color w:val="auto"/>
          <w:kern w:val="0"/>
          <w:sz w:val="32"/>
          <w:szCs w:val="32"/>
          <w:highlight w:val="none"/>
          <w:lang w:val="zh-CN" w:eastAsia="zh-CN" w:bidi="ar-SA"/>
        </w:rPr>
      </w:pPr>
      <w:bookmarkStart w:id="248" w:name="_Toc4731"/>
      <w:r>
        <w:rPr>
          <w:rFonts w:hint="eastAsia" w:ascii="黑体" w:hAnsi="黑体" w:eastAsia="黑体" w:cs="黑体"/>
          <w:color w:val="auto"/>
          <w:kern w:val="0"/>
          <w:sz w:val="32"/>
          <w:szCs w:val="32"/>
          <w:highlight w:val="none"/>
          <w:lang w:val="en-US" w:eastAsia="zh-CN" w:bidi="ar-SA"/>
        </w:rPr>
        <w:t>四</w:t>
      </w:r>
      <w:r>
        <w:rPr>
          <w:rFonts w:hint="default" w:ascii="黑体" w:hAnsi="黑体" w:eastAsia="黑体" w:cs="黑体"/>
          <w:color w:val="auto"/>
          <w:kern w:val="0"/>
          <w:sz w:val="32"/>
          <w:szCs w:val="32"/>
          <w:highlight w:val="none"/>
          <w:lang w:val="en-US" w:eastAsia="zh-CN" w:bidi="ar-SA"/>
        </w:rPr>
        <w:t>、项目绩效情况</w:t>
      </w:r>
      <w:bookmarkEnd w:id="248"/>
      <w:r>
        <w:rPr>
          <w:rFonts w:hint="default" w:ascii="黑体" w:hAnsi="黑体" w:eastAsia="黑体" w:cs="黑体"/>
          <w:color w:val="auto"/>
          <w:kern w:val="0"/>
          <w:sz w:val="32"/>
          <w:szCs w:val="32"/>
          <w:highlight w:val="none"/>
          <w:lang w:val="zh-CN" w:eastAsia="zh-CN" w:bidi="ar-SA"/>
        </w:rPr>
        <w:tab/>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楷体" w:hAnsi="楷体" w:eastAsia="楷体" w:cs="楷体"/>
          <w:b/>
          <w:color w:val="auto"/>
          <w:sz w:val="32"/>
          <w:szCs w:val="32"/>
          <w:highlight w:val="none"/>
          <w:lang w:val="zh-CN" w:eastAsia="zh-CN"/>
        </w:rPr>
      </w:pPr>
      <w:bookmarkStart w:id="249" w:name="_Toc29989"/>
      <w:r>
        <w:rPr>
          <w:rFonts w:hint="default" w:ascii="楷体" w:hAnsi="楷体" w:eastAsia="楷体" w:cs="楷体"/>
          <w:b/>
          <w:color w:val="auto"/>
          <w:sz w:val="32"/>
          <w:szCs w:val="32"/>
          <w:highlight w:val="none"/>
          <w:lang w:val="zh-CN" w:eastAsia="zh-CN"/>
        </w:rPr>
        <w:t>（一）项目完成情况</w:t>
      </w:r>
      <w:bookmarkEnd w:id="249"/>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zh-CN" w:eastAsia="zh-CN" w:bidi="ar-SA"/>
        </w:rPr>
      </w:pPr>
      <w:r>
        <w:rPr>
          <w:rFonts w:hint="eastAsia" w:ascii="仿宋_GB2312" w:hAnsi="Calibri" w:eastAsia="仿宋_GB2312" w:cs="仿宋"/>
          <w:color w:val="auto"/>
          <w:kern w:val="0"/>
          <w:sz w:val="32"/>
          <w:szCs w:val="32"/>
          <w:highlight w:val="none"/>
          <w:lang w:val="zh-CN" w:eastAsia="zh-CN" w:bidi="ar-SA"/>
        </w:rPr>
        <w:t>磨滩镇</w:t>
      </w:r>
      <w:r>
        <w:rPr>
          <w:rFonts w:hint="eastAsia" w:ascii="仿宋_GB2312" w:hAnsi="Calibri" w:eastAsia="仿宋_GB2312" w:cs="仿宋"/>
          <w:color w:val="auto"/>
          <w:kern w:val="0"/>
          <w:sz w:val="32"/>
          <w:szCs w:val="32"/>
          <w:highlight w:val="none"/>
          <w:lang w:val="en-US" w:eastAsia="zh-CN" w:bidi="ar-SA"/>
        </w:rPr>
        <w:t>高度重视关于下达2022年驻村工作队工作经费</w:t>
      </w:r>
      <w:r>
        <w:rPr>
          <w:rFonts w:hint="eastAsia" w:ascii="仿宋_GB2312" w:hAnsi="Calibri" w:eastAsia="仿宋_GB2312" w:cs="仿宋"/>
          <w:color w:val="auto"/>
          <w:kern w:val="0"/>
          <w:sz w:val="32"/>
          <w:szCs w:val="32"/>
          <w:highlight w:val="none"/>
          <w:lang w:val="zh-CN" w:eastAsia="zh-CN" w:bidi="ar-SA"/>
        </w:rPr>
        <w:t>项目，</w:t>
      </w:r>
      <w:r>
        <w:rPr>
          <w:rFonts w:hint="eastAsia" w:ascii="仿宋_GB2312" w:hAnsi="Calibri" w:eastAsia="仿宋_GB2312" w:cs="仿宋"/>
          <w:color w:val="auto"/>
          <w:kern w:val="0"/>
          <w:sz w:val="32"/>
          <w:szCs w:val="32"/>
          <w:highlight w:val="none"/>
          <w:lang w:val="en-US" w:eastAsia="zh-CN" w:bidi="ar-SA"/>
        </w:rPr>
        <w:t>按照质量标准、经济成本指标、社会效益指标、帮扶对象满意度指标，完成了驻村工作队成员13人的考察调研、驻村日常工作运转及报销驻村期间因公产生的差旅费等。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楷体" w:hAnsi="楷体" w:eastAsia="楷体" w:cs="楷体"/>
          <w:b/>
          <w:color w:val="auto"/>
          <w:sz w:val="32"/>
          <w:szCs w:val="32"/>
          <w:highlight w:val="none"/>
          <w:lang w:val="zh-CN" w:eastAsia="zh-CN"/>
        </w:rPr>
      </w:pPr>
      <w:bookmarkStart w:id="250" w:name="_Toc18504"/>
      <w:r>
        <w:rPr>
          <w:rFonts w:hint="default" w:ascii="楷体" w:hAnsi="楷体" w:eastAsia="楷体" w:cs="楷体"/>
          <w:b/>
          <w:color w:val="auto"/>
          <w:sz w:val="32"/>
          <w:szCs w:val="32"/>
          <w:highlight w:val="none"/>
          <w:lang w:val="zh-CN" w:eastAsia="zh-CN"/>
        </w:rPr>
        <w:t>（二）项目效益情况</w:t>
      </w:r>
      <w:bookmarkEnd w:id="250"/>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zh-CN" w:eastAsia="zh-CN" w:bidi="ar-SA"/>
        </w:rPr>
        <w:t>磨滩镇</w:t>
      </w:r>
      <w:r>
        <w:rPr>
          <w:rFonts w:hint="eastAsia" w:ascii="仿宋_GB2312" w:hAnsi="Calibri" w:eastAsia="仿宋_GB2312" w:cs="仿宋"/>
          <w:color w:val="auto"/>
          <w:kern w:val="0"/>
          <w:sz w:val="32"/>
          <w:szCs w:val="32"/>
          <w:highlight w:val="none"/>
          <w:lang w:val="en-US" w:eastAsia="zh-CN" w:bidi="ar-SA"/>
        </w:rPr>
        <w:t>高度重视关于下达2022年驻村工作队作经费</w:t>
      </w:r>
      <w:r>
        <w:rPr>
          <w:rFonts w:hint="eastAsia" w:ascii="仿宋_GB2312" w:hAnsi="Calibri" w:eastAsia="仿宋_GB2312" w:cs="仿宋"/>
          <w:color w:val="auto"/>
          <w:kern w:val="0"/>
          <w:sz w:val="32"/>
          <w:szCs w:val="32"/>
          <w:highlight w:val="none"/>
          <w:lang w:val="zh-CN" w:eastAsia="zh-CN" w:bidi="ar-SA"/>
        </w:rPr>
        <w:t>项目，</w:t>
      </w:r>
      <w:r>
        <w:rPr>
          <w:rFonts w:hint="eastAsia" w:ascii="仿宋_GB2312" w:hAnsi="Calibri" w:eastAsia="仿宋_GB2312" w:cs="仿宋"/>
          <w:color w:val="auto"/>
          <w:kern w:val="0"/>
          <w:sz w:val="32"/>
          <w:szCs w:val="32"/>
          <w:highlight w:val="none"/>
          <w:lang w:val="en-US" w:eastAsia="zh-CN" w:bidi="ar-SA"/>
        </w:rPr>
        <w:t>按照质量标准、经济成本指标、社会效益指标、帮扶对象满意度指标，完成了4个村驻村工作队成员13人的考察调研、驻村日常工作运转及报销驻村期间因公产生的差旅费等；完成了4个村的帮扶，帮扶对象满意度达95%。</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outlineLvl w:val="1"/>
        <w:rPr>
          <w:rFonts w:hint="default" w:ascii="黑体" w:hAnsi="黑体" w:eastAsia="黑体" w:cs="黑体"/>
          <w:color w:val="auto"/>
          <w:kern w:val="0"/>
          <w:sz w:val="32"/>
          <w:szCs w:val="32"/>
          <w:highlight w:val="none"/>
          <w:lang w:val="en-US" w:eastAsia="zh-CN" w:bidi="ar-SA"/>
        </w:rPr>
      </w:pPr>
      <w:bookmarkStart w:id="251" w:name="_Toc19948"/>
      <w:r>
        <w:rPr>
          <w:rFonts w:hint="eastAsia" w:ascii="黑体" w:hAnsi="黑体" w:eastAsia="黑体" w:cs="黑体"/>
          <w:color w:val="auto"/>
          <w:kern w:val="0"/>
          <w:sz w:val="32"/>
          <w:szCs w:val="32"/>
          <w:highlight w:val="none"/>
          <w:lang w:val="en-US" w:eastAsia="zh-CN" w:bidi="ar-SA"/>
        </w:rPr>
        <w:t>五</w:t>
      </w:r>
      <w:r>
        <w:rPr>
          <w:rFonts w:hint="default" w:ascii="黑体" w:hAnsi="黑体" w:eastAsia="黑体" w:cs="黑体"/>
          <w:color w:val="auto"/>
          <w:kern w:val="0"/>
          <w:sz w:val="32"/>
          <w:szCs w:val="32"/>
          <w:highlight w:val="none"/>
          <w:lang w:val="en-US" w:eastAsia="zh-CN" w:bidi="ar-SA"/>
        </w:rPr>
        <w:t>、</w:t>
      </w:r>
      <w:r>
        <w:rPr>
          <w:rFonts w:hint="eastAsia" w:ascii="黑体" w:hAnsi="黑体" w:eastAsia="黑体" w:cs="黑体"/>
          <w:color w:val="auto"/>
          <w:kern w:val="0"/>
          <w:sz w:val="32"/>
          <w:szCs w:val="32"/>
          <w:highlight w:val="none"/>
          <w:lang w:val="en-US" w:eastAsia="zh-CN" w:bidi="ar-SA"/>
        </w:rPr>
        <w:t>自评结论及</w:t>
      </w:r>
      <w:r>
        <w:rPr>
          <w:rFonts w:hint="default" w:ascii="黑体" w:hAnsi="黑体" w:eastAsia="黑体" w:cs="黑体"/>
          <w:color w:val="auto"/>
          <w:kern w:val="0"/>
          <w:sz w:val="32"/>
          <w:szCs w:val="32"/>
          <w:highlight w:val="none"/>
          <w:lang w:val="en-US" w:eastAsia="zh-CN" w:bidi="ar-SA"/>
        </w:rPr>
        <w:t>建议</w:t>
      </w:r>
      <w:bookmarkEnd w:id="251"/>
    </w:p>
    <w:p>
      <w:pPr>
        <w:keepNext w:val="0"/>
        <w:keepLines w:val="0"/>
        <w:pageBreakBefore w:val="0"/>
        <w:kinsoku/>
        <w:wordWrap/>
        <w:overflowPunct/>
        <w:topLinePunct w:val="0"/>
        <w:autoSpaceDE/>
        <w:bidi w:val="0"/>
        <w:adjustRightInd/>
        <w:spacing w:line="576" w:lineRule="exact"/>
        <w:ind w:left="0" w:leftChars="0" w:firstLine="643" w:firstLineChars="200"/>
        <w:jc w:val="both"/>
        <w:textAlignment w:val="auto"/>
        <w:rPr>
          <w:rFonts w:hint="eastAsia" w:ascii="楷体" w:hAnsi="楷体" w:eastAsia="楷体" w:cs="楷体"/>
          <w:b/>
          <w:color w:val="auto"/>
          <w:sz w:val="32"/>
          <w:szCs w:val="32"/>
          <w:highlight w:val="none"/>
          <w:lang w:val="zh-CN" w:eastAsia="zh-CN"/>
        </w:rPr>
      </w:pPr>
      <w:r>
        <w:rPr>
          <w:rFonts w:hint="eastAsia" w:ascii="楷体" w:hAnsi="楷体" w:eastAsia="楷体" w:cs="楷体"/>
          <w:b/>
          <w:color w:val="auto"/>
          <w:sz w:val="32"/>
          <w:szCs w:val="32"/>
          <w:highlight w:val="none"/>
          <w:lang w:val="zh-CN" w:eastAsia="zh-CN"/>
        </w:rPr>
        <w:t>（一）评价结论</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zh-CN" w:eastAsia="zh-CN" w:bidi="ar-SA"/>
        </w:rPr>
        <w:t>根据项目决策、管理和绩效方面分析，我镇</w:t>
      </w:r>
      <w:r>
        <w:rPr>
          <w:rFonts w:hint="eastAsia" w:ascii="仿宋_GB2312" w:hAnsi="Calibri" w:eastAsia="仿宋_GB2312" w:cs="仿宋"/>
          <w:color w:val="auto"/>
          <w:kern w:val="0"/>
          <w:sz w:val="32"/>
          <w:szCs w:val="32"/>
          <w:highlight w:val="none"/>
          <w:lang w:val="en-US" w:eastAsia="zh-CN" w:bidi="ar-SA"/>
        </w:rPr>
        <w:t>2022年关于下达2022年驻村工作队工作经费</w:t>
      </w:r>
      <w:r>
        <w:rPr>
          <w:rFonts w:hint="eastAsia" w:ascii="仿宋_GB2312" w:hAnsi="Calibri" w:eastAsia="仿宋_GB2312" w:cs="仿宋"/>
          <w:color w:val="auto"/>
          <w:kern w:val="0"/>
          <w:sz w:val="32"/>
          <w:szCs w:val="32"/>
          <w:highlight w:val="none"/>
          <w:lang w:val="zh-CN" w:eastAsia="zh-CN" w:bidi="ar-SA"/>
        </w:rPr>
        <w:t>项目保障了驻村工作队工作正常运转</w:t>
      </w:r>
      <w:r>
        <w:rPr>
          <w:rFonts w:hint="eastAsia" w:ascii="仿宋_GB2312" w:hAnsi="Calibri" w:eastAsia="仿宋_GB2312" w:cs="仿宋"/>
          <w:color w:val="auto"/>
          <w:kern w:val="0"/>
          <w:sz w:val="32"/>
          <w:szCs w:val="32"/>
          <w:highlight w:val="none"/>
          <w:lang w:val="en-US" w:eastAsia="zh-CN" w:bidi="ar-SA"/>
        </w:rPr>
        <w:t>，我按照《广元市昭化区人民政府办公室关于印发&lt;广元市昭化区财政支出事后绩效评价管理办法&gt;的通知》(昭府办函〔2022〕37号)绩效评价指标体系开展绩效评价</w:t>
      </w:r>
      <w:r>
        <w:rPr>
          <w:rFonts w:hint="eastAsia" w:ascii="仿宋_GB2312" w:hAnsi="Calibri" w:eastAsia="仿宋_GB2312" w:cs="仿宋"/>
          <w:color w:val="auto"/>
          <w:kern w:val="0"/>
          <w:sz w:val="32"/>
          <w:szCs w:val="32"/>
          <w:highlight w:val="none"/>
          <w:lang w:val="zh-CN" w:eastAsia="zh-CN" w:bidi="ar-SA"/>
        </w:rPr>
        <w:t>，自评得分为</w:t>
      </w:r>
      <w:r>
        <w:rPr>
          <w:rFonts w:hint="eastAsia" w:ascii="仿宋_GB2312" w:hAnsi="Calibri" w:eastAsia="仿宋_GB2312" w:cs="仿宋"/>
          <w:color w:val="auto"/>
          <w:kern w:val="0"/>
          <w:sz w:val="32"/>
          <w:szCs w:val="32"/>
          <w:highlight w:val="none"/>
          <w:lang w:val="en-US" w:eastAsia="zh-CN" w:bidi="ar-SA"/>
        </w:rPr>
        <w:t>100分。</w:t>
      </w:r>
    </w:p>
    <w:p>
      <w:pPr>
        <w:keepNext w:val="0"/>
        <w:keepLines w:val="0"/>
        <w:pageBreakBefore w:val="0"/>
        <w:kinsoku/>
        <w:wordWrap/>
        <w:overflowPunct/>
        <w:topLinePunct w:val="0"/>
        <w:autoSpaceDE/>
        <w:bidi w:val="0"/>
        <w:adjustRightInd/>
        <w:spacing w:line="576" w:lineRule="exact"/>
        <w:ind w:left="0" w:leftChars="0" w:firstLine="643" w:firstLineChars="200"/>
        <w:jc w:val="both"/>
        <w:textAlignment w:val="auto"/>
        <w:rPr>
          <w:rFonts w:hint="eastAsia" w:ascii="楷体" w:hAnsi="楷体" w:eastAsia="楷体" w:cs="楷体"/>
          <w:b/>
          <w:color w:val="auto"/>
          <w:sz w:val="32"/>
          <w:szCs w:val="32"/>
          <w:highlight w:val="none"/>
          <w:lang w:val="zh-CN" w:eastAsia="zh-CN"/>
        </w:rPr>
      </w:pPr>
      <w:bookmarkStart w:id="252" w:name="_Toc11916"/>
      <w:r>
        <w:rPr>
          <w:rFonts w:hint="eastAsia" w:ascii="楷体" w:hAnsi="楷体" w:eastAsia="楷体" w:cs="楷体"/>
          <w:b/>
          <w:color w:val="auto"/>
          <w:sz w:val="32"/>
          <w:szCs w:val="32"/>
          <w:highlight w:val="none"/>
          <w:lang w:val="zh-CN" w:eastAsia="zh-CN"/>
        </w:rPr>
        <w:t>（二）存在的问题</w:t>
      </w:r>
      <w:bookmarkEnd w:id="252"/>
    </w:p>
    <w:p>
      <w:pPr>
        <w:pStyle w:val="2"/>
        <w:ind w:left="1058" w:leftChars="504" w:firstLine="0" w:firstLineChars="0"/>
        <w:rPr>
          <w:rFonts w:hint="default"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zh-CN" w:eastAsia="zh-CN" w:bidi="ar-SA"/>
        </w:rPr>
        <w:t>无。</w:t>
      </w:r>
    </w:p>
    <w:p>
      <w:pPr>
        <w:keepNext w:val="0"/>
        <w:keepLines w:val="0"/>
        <w:pageBreakBefore w:val="0"/>
        <w:numPr>
          <w:ilvl w:val="0"/>
          <w:numId w:val="6"/>
        </w:numPr>
        <w:kinsoku/>
        <w:wordWrap/>
        <w:overflowPunct/>
        <w:topLinePunct w:val="0"/>
        <w:autoSpaceDE/>
        <w:bidi w:val="0"/>
        <w:adjustRightInd/>
        <w:spacing w:line="576" w:lineRule="exact"/>
        <w:ind w:left="0" w:leftChars="0" w:firstLine="643" w:firstLineChars="200"/>
        <w:jc w:val="both"/>
        <w:textAlignment w:val="auto"/>
        <w:rPr>
          <w:rFonts w:hint="eastAsia" w:ascii="楷体" w:hAnsi="楷体" w:eastAsia="楷体" w:cs="楷体"/>
          <w:b/>
          <w:color w:val="auto"/>
          <w:sz w:val="32"/>
          <w:szCs w:val="32"/>
          <w:highlight w:val="none"/>
          <w:lang w:val="zh-CN" w:eastAsia="zh-CN"/>
        </w:rPr>
      </w:pPr>
      <w:r>
        <w:rPr>
          <w:rFonts w:hint="eastAsia" w:ascii="楷体" w:hAnsi="楷体" w:eastAsia="楷体" w:cs="楷体"/>
          <w:b/>
          <w:color w:val="auto"/>
          <w:sz w:val="32"/>
          <w:szCs w:val="32"/>
          <w:highlight w:val="none"/>
          <w:lang w:val="zh-CN" w:eastAsia="zh-CN"/>
        </w:rPr>
        <w:t>相关建议</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zh-CN" w:eastAsia="zh-CN" w:bidi="ar-SA"/>
        </w:rPr>
      </w:pPr>
      <w:r>
        <w:rPr>
          <w:rFonts w:hint="eastAsia" w:ascii="仿宋_GB2312" w:hAnsi="Calibri" w:eastAsia="仿宋_GB2312" w:cs="仿宋"/>
          <w:color w:val="auto"/>
          <w:kern w:val="0"/>
          <w:sz w:val="32"/>
          <w:szCs w:val="32"/>
          <w:highlight w:val="none"/>
          <w:lang w:val="zh-CN" w:eastAsia="zh-CN" w:bidi="ar-SA"/>
        </w:rPr>
        <w:t>加强该项目资金实施的事前、事中、事后监督，提高项目资金使用精准，加强项目资金的财务核算管理，</w:t>
      </w:r>
      <w:r>
        <w:rPr>
          <w:rFonts w:hint="eastAsia" w:ascii="仿宋_GB2312" w:hAnsi="Calibri" w:eastAsia="仿宋_GB2312" w:cs="仿宋"/>
          <w:color w:val="auto"/>
          <w:kern w:val="0"/>
          <w:sz w:val="32"/>
          <w:szCs w:val="32"/>
          <w:highlight w:val="none"/>
          <w:lang w:val="en-US" w:eastAsia="zh-CN" w:bidi="ar-SA"/>
        </w:rPr>
        <w:t>及时报送审核项目资料</w:t>
      </w:r>
      <w:r>
        <w:rPr>
          <w:rFonts w:hint="eastAsia" w:ascii="仿宋_GB2312" w:hAnsi="Calibri" w:eastAsia="仿宋_GB2312" w:cs="仿宋"/>
          <w:color w:val="auto"/>
          <w:kern w:val="0"/>
          <w:sz w:val="32"/>
          <w:szCs w:val="32"/>
          <w:highlight w:val="none"/>
          <w:lang w:val="zh-CN" w:eastAsia="zh-CN" w:bidi="ar-SA"/>
        </w:rPr>
        <w:t>。</w:t>
      </w:r>
    </w:p>
    <w:p>
      <w:pPr>
        <w:pStyle w:val="2"/>
        <w:rPr>
          <w:rFonts w:hint="eastAsia"/>
          <w:lang w:val="zh-CN" w:eastAsia="zh-CN"/>
        </w:rPr>
      </w:pPr>
    </w:p>
    <w:p>
      <w:pPr>
        <w:keepNext w:val="0"/>
        <w:keepLines w:val="0"/>
        <w:widowControl/>
        <w:suppressLineNumbers w:val="0"/>
        <w:jc w:val="center"/>
        <w:textAlignment w:val="center"/>
        <w:rPr>
          <w:rFonts w:hint="default" w:ascii="方正小标宋简体" w:hAnsi="方正小标宋简体" w:eastAsia="方正小标宋简体" w:cs="方正小标宋简体"/>
          <w:i w:val="0"/>
          <w:iCs w:val="0"/>
          <w:color w:val="000000"/>
          <w:kern w:val="0"/>
          <w:sz w:val="32"/>
          <w:szCs w:val="32"/>
          <w:u w:val="none"/>
          <w:lang w:val="en-US" w:eastAsia="zh-CN" w:bidi="ar"/>
        </w:rPr>
      </w:pPr>
      <w:r>
        <w:rPr>
          <w:rFonts w:hint="default" w:ascii="方正小标宋简体" w:hAnsi="方正小标宋简体" w:eastAsia="方正小标宋简体" w:cs="方正小标宋简体"/>
          <w:i w:val="0"/>
          <w:iCs w:val="0"/>
          <w:color w:val="000000"/>
          <w:kern w:val="0"/>
          <w:sz w:val="32"/>
          <w:szCs w:val="32"/>
          <w:u w:val="none"/>
          <w:lang w:val="en-US" w:eastAsia="zh-CN" w:bidi="ar"/>
        </w:rPr>
        <w:br w:type="page"/>
      </w:r>
    </w:p>
    <w:tbl>
      <w:tblPr>
        <w:tblStyle w:val="17"/>
        <w:tblW w:w="958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72"/>
        <w:gridCol w:w="818"/>
        <w:gridCol w:w="1003"/>
        <w:gridCol w:w="724"/>
        <w:gridCol w:w="1113"/>
        <w:gridCol w:w="2232"/>
        <w:gridCol w:w="1472"/>
        <w:gridCol w:w="12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9580" w:type="dxa"/>
            <w:gridSpan w:val="8"/>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ascii="方正小标宋简体" w:hAnsi="方正小标宋简体" w:eastAsia="方正小标宋简体" w:cs="方正小标宋简体"/>
                <w:i w:val="0"/>
                <w:iCs w:val="0"/>
                <w:color w:val="000000"/>
                <w:sz w:val="40"/>
                <w:szCs w:val="40"/>
                <w:u w:val="none"/>
              </w:rPr>
            </w:pPr>
            <w:r>
              <w:rPr>
                <w:rFonts w:hint="default" w:ascii="方正小标宋简体" w:hAnsi="方正小标宋简体" w:eastAsia="方正小标宋简体" w:cs="方正小标宋简体"/>
                <w:i w:val="0"/>
                <w:iCs w:val="0"/>
                <w:color w:val="000000"/>
                <w:spacing w:val="1"/>
                <w:w w:val="85"/>
                <w:kern w:val="0"/>
                <w:sz w:val="44"/>
                <w:szCs w:val="44"/>
                <w:u w:val="none"/>
                <w:fitText w:val="9680" w:id="550395941"/>
                <w:lang w:val="en-US" w:eastAsia="zh-CN" w:bidi="ar"/>
              </w:rPr>
              <w:t>广元市昭化区</w:t>
            </w:r>
            <w:r>
              <w:rPr>
                <w:rFonts w:hint="eastAsia" w:ascii="方正小标宋简体" w:hAnsi="方正小标宋简体" w:eastAsia="方正小标宋简体" w:cs="方正小标宋简体"/>
                <w:i w:val="0"/>
                <w:iCs w:val="0"/>
                <w:color w:val="000000"/>
                <w:spacing w:val="1"/>
                <w:w w:val="85"/>
                <w:kern w:val="0"/>
                <w:sz w:val="44"/>
                <w:szCs w:val="44"/>
                <w:u w:val="none"/>
                <w:fitText w:val="9680" w:id="550395941"/>
                <w:lang w:val="en-US" w:eastAsia="zh-CN" w:bidi="ar"/>
              </w:rPr>
              <w:t>2022年驻村工作队工作经费</w:t>
            </w:r>
            <w:r>
              <w:rPr>
                <w:rFonts w:hint="default" w:ascii="方正小标宋简体" w:hAnsi="方正小标宋简体" w:eastAsia="方正小标宋简体" w:cs="方正小标宋简体"/>
                <w:i w:val="0"/>
                <w:iCs w:val="0"/>
                <w:color w:val="000000"/>
                <w:spacing w:val="1"/>
                <w:w w:val="85"/>
                <w:kern w:val="0"/>
                <w:sz w:val="44"/>
                <w:szCs w:val="44"/>
                <w:u w:val="none"/>
                <w:fitText w:val="9680" w:id="550395941"/>
                <w:lang w:val="en-US" w:eastAsia="zh-CN" w:bidi="ar"/>
              </w:rPr>
              <w:t>绩效目标自评</w:t>
            </w:r>
            <w:r>
              <w:rPr>
                <w:rFonts w:hint="default" w:ascii="方正小标宋简体" w:hAnsi="方正小标宋简体" w:eastAsia="方正小标宋简体" w:cs="方正小标宋简体"/>
                <w:i w:val="0"/>
                <w:iCs w:val="0"/>
                <w:color w:val="000000"/>
                <w:spacing w:val="7"/>
                <w:w w:val="85"/>
                <w:kern w:val="0"/>
                <w:sz w:val="44"/>
                <w:szCs w:val="44"/>
                <w:u w:val="none"/>
                <w:fitText w:val="9680" w:id="550395941"/>
                <w:lang w:val="en-US" w:eastAsia="zh-CN" w:bidi="ar"/>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580" w:type="dxa"/>
            <w:gridSpan w:val="8"/>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17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项目（政策）名称</w:t>
            </w:r>
          </w:p>
        </w:tc>
        <w:tc>
          <w:tcPr>
            <w:tcW w:w="784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关于下达2022年驻村工作队工作经费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17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主管部门</w:t>
            </w:r>
          </w:p>
        </w:tc>
        <w:tc>
          <w:tcPr>
            <w:tcW w:w="50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广元市昭化区磨滩镇人民政府</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实施单位</w:t>
            </w:r>
          </w:p>
        </w:tc>
        <w:tc>
          <w:tcPr>
            <w:tcW w:w="124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磨滩镇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1739"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项目（政策）资金（万元）</w:t>
            </w:r>
          </w:p>
        </w:tc>
        <w:tc>
          <w:tcPr>
            <w:tcW w:w="2144" w:type="dxa"/>
            <w:gridSpan w:val="2"/>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23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年初预算数</w:t>
            </w:r>
          </w:p>
        </w:tc>
        <w:tc>
          <w:tcPr>
            <w:tcW w:w="166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调整后预算数</w:t>
            </w:r>
          </w:p>
        </w:tc>
        <w:tc>
          <w:tcPr>
            <w:tcW w:w="155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全年执行数</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2" w:hRule="atLeast"/>
        </w:trPr>
        <w:tc>
          <w:tcPr>
            <w:tcW w:w="1739"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2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年度资金总额</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0</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6.5</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6.5</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1739"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2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（一）财政拨款小计</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0</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6.5</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6.5</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1739"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2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1.一般公共预算</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0</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6.5</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6.5</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1739"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2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2.政府性基金</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1"/>
                <w:szCs w:val="21"/>
                <w:u w:val="none"/>
              </w:rPr>
            </w:pP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1739"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2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3.国有资本经营预算</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1"/>
                <w:szCs w:val="21"/>
                <w:u w:val="none"/>
              </w:rPr>
            </w:pP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1739"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2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4.社保基金</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1"/>
                <w:szCs w:val="21"/>
                <w:u w:val="none"/>
              </w:rPr>
            </w:pP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1739"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2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（二）其他资金</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iCs w:val="0"/>
                <w:color w:val="000000"/>
                <w:sz w:val="21"/>
                <w:szCs w:val="21"/>
                <w:u w:val="none"/>
              </w:rPr>
            </w:pP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947" w:type="dxa"/>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年度总体目标</w:t>
            </w:r>
          </w:p>
        </w:tc>
        <w:tc>
          <w:tcPr>
            <w:tcW w:w="738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预期目标</w:t>
            </w:r>
          </w:p>
        </w:tc>
        <w:tc>
          <w:tcPr>
            <w:tcW w:w="12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36" w:hRule="atLeast"/>
        </w:trPr>
        <w:tc>
          <w:tcPr>
            <w:tcW w:w="9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7385" w:type="dxa"/>
            <w:gridSpan w:val="6"/>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zh-CN" w:eastAsia="zh-CN" w:bidi="ar"/>
              </w:rPr>
              <w:t>加强驻村第一书记和工作队员管理，巩固拓展脱贫攻坚成果。为了乡村振兴工作有序开展，防止返贫动态监测，从各级党政机关、人民团体、事业单位等 ，选派</w:t>
            </w:r>
            <w:r>
              <w:rPr>
                <w:rFonts w:hint="eastAsia" w:ascii="仿宋_GB2312" w:hAnsi="仿宋_GB2312" w:eastAsia="仿宋_GB2312" w:cs="仿宋_GB2312"/>
                <w:i w:val="0"/>
                <w:iCs w:val="0"/>
                <w:color w:val="000000"/>
                <w:kern w:val="0"/>
                <w:sz w:val="21"/>
                <w:szCs w:val="21"/>
                <w:u w:val="none"/>
                <w:lang w:val="en-US" w:eastAsia="zh-CN" w:bidi="ar"/>
              </w:rPr>
              <w:t>6个工作队共计13人</w:t>
            </w:r>
            <w:r>
              <w:rPr>
                <w:rFonts w:hint="eastAsia" w:ascii="仿宋_GB2312" w:hAnsi="仿宋_GB2312" w:eastAsia="仿宋_GB2312" w:cs="仿宋_GB2312"/>
                <w:i w:val="0"/>
                <w:iCs w:val="0"/>
                <w:color w:val="000000"/>
                <w:kern w:val="0"/>
                <w:sz w:val="21"/>
                <w:szCs w:val="21"/>
                <w:u w:val="none"/>
                <w:lang w:val="zh-CN" w:eastAsia="zh-CN" w:bidi="ar"/>
              </w:rPr>
              <w:t>担任驻村第一书记和工作队员</w:t>
            </w:r>
            <w:r>
              <w:rPr>
                <w:rFonts w:hint="eastAsia" w:ascii="仿宋_GB2312" w:hAnsi="仿宋_GB2312" w:eastAsia="仿宋_GB2312" w:cs="仿宋_GB2312"/>
                <w:i w:val="0"/>
                <w:iCs w:val="0"/>
                <w:color w:val="000000"/>
                <w:kern w:val="0"/>
                <w:sz w:val="21"/>
                <w:szCs w:val="21"/>
                <w:u w:val="none"/>
                <w:lang w:val="en-US" w:eastAsia="zh-CN" w:bidi="ar"/>
              </w:rPr>
              <w:t>。</w:t>
            </w:r>
          </w:p>
        </w:tc>
        <w:tc>
          <w:tcPr>
            <w:tcW w:w="124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21"/>
                <w:szCs w:val="21"/>
                <w:highlight w:val="none"/>
                <w:lang w:val="zh-CN" w:eastAsia="zh-CN" w:bidi="ar-SA"/>
              </w:rPr>
            </w:pPr>
            <w:r>
              <w:rPr>
                <w:rFonts w:hint="eastAsia" w:ascii="仿宋_GB2312" w:hAnsi="仿宋_GB2312" w:eastAsia="仿宋_GB2312" w:cs="仿宋_GB2312"/>
                <w:color w:val="auto"/>
                <w:kern w:val="0"/>
                <w:sz w:val="21"/>
                <w:szCs w:val="21"/>
                <w:highlight w:val="none"/>
                <w:lang w:val="zh-CN" w:eastAsia="zh-CN" w:bidi="ar-SA"/>
              </w:rPr>
              <w:t>全部完成</w:t>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5" w:hRule="atLeast"/>
        </w:trPr>
        <w:tc>
          <w:tcPr>
            <w:tcW w:w="947" w:type="dxa"/>
            <w:vMerge w:val="restart"/>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绩效指标</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一级</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指标</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二级指标</w:t>
            </w:r>
          </w:p>
        </w:tc>
        <w:tc>
          <w:tcPr>
            <w:tcW w:w="23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三级指标</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指标值</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全年实际完成值</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947"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_GB2312" w:hAnsi="仿宋_GB2312" w:eastAsia="仿宋_GB2312" w:cs="仿宋_GB2312"/>
                <w:i w:val="0"/>
                <w:iCs w:val="0"/>
                <w:color w:val="000000"/>
                <w:sz w:val="21"/>
                <w:szCs w:val="21"/>
                <w:u w:val="none"/>
              </w:rPr>
            </w:pPr>
          </w:p>
        </w:tc>
        <w:tc>
          <w:tcPr>
            <w:tcW w:w="792" w:type="dxa"/>
            <w:tcBorders>
              <w:top w:val="single" w:color="000000" w:sz="4" w:space="0"/>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lang w:eastAsia="zh-CN"/>
              </w:rPr>
            </w:pPr>
            <w:r>
              <w:rPr>
                <w:rFonts w:hint="eastAsia" w:ascii="仿宋_GB2312" w:hAnsi="仿宋_GB2312" w:eastAsia="仿宋_GB2312" w:cs="仿宋_GB2312"/>
                <w:i w:val="0"/>
                <w:iCs w:val="0"/>
                <w:color w:val="000000"/>
                <w:sz w:val="21"/>
                <w:szCs w:val="21"/>
                <w:u w:val="none"/>
                <w:lang w:eastAsia="zh-CN"/>
              </w:rPr>
              <w:t>产出</w:t>
            </w:r>
          </w:p>
          <w:p>
            <w:pPr>
              <w:jc w:val="center"/>
              <w:rPr>
                <w:rFonts w:hint="eastAsia" w:ascii="仿宋_GB2312" w:hAnsi="仿宋_GB2312" w:eastAsia="仿宋_GB2312" w:cs="仿宋_GB2312"/>
                <w:i w:val="0"/>
                <w:iCs w:val="0"/>
                <w:color w:val="000000"/>
                <w:sz w:val="21"/>
                <w:szCs w:val="21"/>
                <w:u w:val="none"/>
                <w:lang w:eastAsia="zh-CN"/>
              </w:rPr>
            </w:pPr>
            <w:r>
              <w:rPr>
                <w:rFonts w:hint="eastAsia" w:ascii="仿宋_GB2312" w:hAnsi="仿宋_GB2312" w:eastAsia="仿宋_GB2312" w:cs="仿宋_GB2312"/>
                <w:i w:val="0"/>
                <w:iCs w:val="0"/>
                <w:color w:val="000000"/>
                <w:sz w:val="21"/>
                <w:szCs w:val="21"/>
                <w:u w:val="none"/>
                <w:lang w:eastAsia="zh-CN"/>
              </w:rPr>
              <w:t>指标</w:t>
            </w:r>
          </w:p>
        </w:tc>
        <w:tc>
          <w:tcPr>
            <w:tcW w:w="106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数量指标</w:t>
            </w:r>
          </w:p>
        </w:tc>
        <w:tc>
          <w:tcPr>
            <w:tcW w:w="23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驻村工作队人数</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=13人</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100%</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5" w:hRule="atLeast"/>
        </w:trPr>
        <w:tc>
          <w:tcPr>
            <w:tcW w:w="947"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_GB2312" w:hAnsi="仿宋_GB2312" w:eastAsia="仿宋_GB2312" w:cs="仿宋_GB2312"/>
                <w:i w:val="0"/>
                <w:iCs w:val="0"/>
                <w:color w:val="000000"/>
                <w:sz w:val="21"/>
                <w:szCs w:val="21"/>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效益指标</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社会效益指标</w:t>
            </w:r>
          </w:p>
        </w:tc>
        <w:tc>
          <w:tcPr>
            <w:tcW w:w="23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驻村帮扶效益</w:t>
            </w: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≥90%</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100%</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5" w:hRule="atLeast"/>
        </w:trPr>
        <w:tc>
          <w:tcPr>
            <w:tcW w:w="947"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_GB2312" w:hAnsi="仿宋_GB2312" w:eastAsia="仿宋_GB2312" w:cs="仿宋_GB2312"/>
                <w:i w:val="0"/>
                <w:iCs w:val="0"/>
                <w:color w:val="000000"/>
                <w:sz w:val="21"/>
                <w:szCs w:val="21"/>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成本指标</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经济成本指标</w:t>
            </w:r>
          </w:p>
        </w:tc>
        <w:tc>
          <w:tcPr>
            <w:tcW w:w="23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驻村工作队人均</w:t>
            </w: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=5000元/人年</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100%</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2" w:hRule="atLeast"/>
        </w:trPr>
        <w:tc>
          <w:tcPr>
            <w:tcW w:w="947"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_GB2312" w:hAnsi="仿宋_GB2312" w:eastAsia="仿宋_GB2312" w:cs="仿宋_GB2312"/>
                <w:i w:val="0"/>
                <w:iCs w:val="0"/>
                <w:color w:val="000000"/>
                <w:sz w:val="21"/>
                <w:szCs w:val="21"/>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满意度指标</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帮扶对象</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满意度指标</w:t>
            </w:r>
          </w:p>
        </w:tc>
        <w:tc>
          <w:tcPr>
            <w:tcW w:w="23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满意度</w:t>
            </w: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≥95%</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100%</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27" w:hRule="atLeast"/>
        </w:trPr>
        <w:tc>
          <w:tcPr>
            <w:tcW w:w="6777" w:type="dxa"/>
            <w:gridSpan w:val="6"/>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总分</w:t>
            </w:r>
          </w:p>
        </w:tc>
        <w:tc>
          <w:tcPr>
            <w:tcW w:w="28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100分</w:t>
            </w:r>
          </w:p>
        </w:tc>
      </w:tr>
    </w:tbl>
    <w:p>
      <w:pPr>
        <w:rPr>
          <w:rStyle w:val="30"/>
          <w:rFonts w:ascii="黑体" w:hAnsi="黑体" w:eastAsia="黑体"/>
          <w:b w:val="0"/>
          <w:color w:val="auto"/>
          <w:highlight w:val="none"/>
        </w:rPr>
      </w:pPr>
    </w:p>
    <w:p>
      <w:pPr>
        <w:pStyle w:val="8"/>
        <w:rPr>
          <w:rStyle w:val="30"/>
          <w:rFonts w:ascii="黑体" w:hAnsi="黑体" w:eastAsia="黑体"/>
          <w:b w:val="0"/>
          <w:color w:val="auto"/>
          <w:highlight w:val="none"/>
        </w:rPr>
      </w:pPr>
    </w:p>
    <w:p>
      <w:pPr>
        <w:rPr>
          <w:rStyle w:val="30"/>
          <w:rFonts w:ascii="黑体" w:hAnsi="黑体" w:eastAsia="黑体"/>
          <w:b w:val="0"/>
          <w:color w:val="auto"/>
          <w:highlight w:val="none"/>
        </w:rPr>
      </w:pPr>
    </w:p>
    <w:p>
      <w:pPr>
        <w:pStyle w:val="8"/>
        <w:rPr>
          <w:rStyle w:val="30"/>
          <w:rFonts w:ascii="黑体" w:hAnsi="黑体" w:eastAsia="黑体"/>
          <w:b w:val="0"/>
          <w:color w:val="auto"/>
          <w:highlight w:val="none"/>
        </w:rPr>
      </w:pPr>
    </w:p>
    <w:p>
      <w:pPr>
        <w:rPr>
          <w:rStyle w:val="30"/>
          <w:rFonts w:ascii="黑体" w:hAnsi="黑体" w:eastAsia="黑体"/>
          <w:b w:val="0"/>
          <w:color w:val="auto"/>
          <w:highlight w:val="none"/>
        </w:rPr>
      </w:pPr>
    </w:p>
    <w:p>
      <w:pPr>
        <w:pStyle w:val="8"/>
        <w:rPr>
          <w:rStyle w:val="30"/>
          <w:rFonts w:ascii="黑体" w:hAnsi="黑体" w:eastAsia="黑体"/>
          <w:b w:val="0"/>
          <w:color w:val="auto"/>
          <w:highlight w:val="none"/>
        </w:rPr>
      </w:pPr>
    </w:p>
    <w:p>
      <w:pPr>
        <w:rPr>
          <w:rStyle w:val="30"/>
          <w:rFonts w:ascii="黑体" w:hAnsi="黑体" w:eastAsia="黑体"/>
          <w:b w:val="0"/>
          <w:color w:val="auto"/>
          <w:highlight w:val="none"/>
        </w:rPr>
      </w:pPr>
    </w:p>
    <w:p>
      <w:pPr>
        <w:pStyle w:val="8"/>
        <w:rPr>
          <w:rStyle w:val="30"/>
          <w:rFonts w:ascii="黑体" w:hAnsi="黑体" w:eastAsia="黑体"/>
          <w:b w:val="0"/>
          <w:color w:val="auto"/>
          <w:highlight w:val="none"/>
        </w:rPr>
      </w:pPr>
    </w:p>
    <w:p>
      <w:pPr>
        <w:rPr>
          <w:rStyle w:val="30"/>
          <w:rFonts w:ascii="黑体" w:hAnsi="黑体" w:eastAsia="黑体"/>
          <w:b w:val="0"/>
          <w:color w:val="auto"/>
          <w:highlight w:val="none"/>
        </w:rPr>
      </w:pPr>
    </w:p>
    <w:p>
      <w:pPr>
        <w:pStyle w:val="8"/>
        <w:rPr>
          <w:rStyle w:val="30"/>
          <w:rFonts w:ascii="黑体" w:hAnsi="黑体" w:eastAsia="黑体"/>
          <w:b w:val="0"/>
          <w:color w:val="auto"/>
          <w:highlight w:val="none"/>
        </w:rPr>
      </w:pPr>
    </w:p>
    <w:p/>
    <w:p>
      <w:pPr>
        <w:spacing w:line="600" w:lineRule="exact"/>
        <w:jc w:val="center"/>
        <w:outlineLvl w:val="0"/>
        <w:rPr>
          <w:rFonts w:hint="eastAsia" w:ascii="黑体" w:hAnsi="黑体" w:eastAsia="黑体"/>
          <w:color w:val="auto"/>
          <w:sz w:val="44"/>
          <w:szCs w:val="44"/>
          <w:highlight w:val="none"/>
        </w:rPr>
      </w:pPr>
      <w:bookmarkStart w:id="253" w:name="_Toc11255"/>
      <w:bookmarkStart w:id="254" w:name="_Toc29627"/>
      <w:bookmarkStart w:id="255" w:name="_Toc15396618"/>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仿宋" w:hAnsi="仿宋" w:eastAsia="仿宋"/>
          <w:b w:val="0"/>
          <w:color w:val="auto"/>
          <w:highlight w:val="none"/>
        </w:rPr>
      </w:pPr>
      <w:r>
        <w:rPr>
          <w:rFonts w:hint="eastAsia" w:ascii="黑体" w:hAnsi="黑体" w:eastAsia="黑体"/>
          <w:color w:val="auto"/>
          <w:sz w:val="44"/>
          <w:szCs w:val="44"/>
          <w:highlight w:val="none"/>
        </w:rPr>
        <w:t>第</w:t>
      </w:r>
      <w:r>
        <w:rPr>
          <w:rStyle w:val="30"/>
          <w:rFonts w:hint="eastAsia" w:ascii="黑体" w:hAnsi="黑体" w:eastAsia="黑体"/>
          <w:b w:val="0"/>
          <w:color w:val="auto"/>
          <w:highlight w:val="none"/>
        </w:rPr>
        <w:t>五部分 附表</w:t>
      </w:r>
      <w:bookmarkEnd w:id="117"/>
      <w:bookmarkEnd w:id="253"/>
      <w:bookmarkEnd w:id="254"/>
      <w:bookmarkEnd w:id="255"/>
      <w:bookmarkStart w:id="256" w:name="_Toc15396619"/>
    </w:p>
    <w:p>
      <w:pPr>
        <w:pStyle w:val="4"/>
        <w:rPr>
          <w:rFonts w:ascii="仿宋" w:hAnsi="仿宋" w:eastAsia="仿宋"/>
          <w:color w:val="auto"/>
          <w:highlight w:val="none"/>
        </w:rPr>
      </w:pPr>
      <w:bookmarkStart w:id="257" w:name="_Toc25438"/>
      <w:bookmarkStart w:id="258" w:name="_Toc14850"/>
      <w:r>
        <w:rPr>
          <w:rFonts w:hint="eastAsia" w:ascii="仿宋" w:hAnsi="仿宋" w:eastAsia="仿宋"/>
          <w:b w:val="0"/>
          <w:color w:val="auto"/>
          <w:highlight w:val="none"/>
        </w:rPr>
        <w:t>一、收</w:t>
      </w:r>
      <w:r>
        <w:rPr>
          <w:rStyle w:val="31"/>
          <w:rFonts w:hint="eastAsia" w:ascii="仿宋" w:hAnsi="仿宋" w:eastAsia="仿宋"/>
          <w:b w:val="0"/>
          <w:bCs w:val="0"/>
          <w:color w:val="auto"/>
          <w:highlight w:val="none"/>
        </w:rPr>
        <w:t>入支出决算总表</w:t>
      </w:r>
      <w:bookmarkEnd w:id="256"/>
      <w:bookmarkEnd w:id="257"/>
      <w:bookmarkEnd w:id="258"/>
    </w:p>
    <w:p>
      <w:pPr>
        <w:pStyle w:val="4"/>
        <w:rPr>
          <w:rFonts w:ascii="仿宋" w:hAnsi="仿宋" w:eastAsia="仿宋"/>
          <w:color w:val="auto"/>
          <w:highlight w:val="none"/>
        </w:rPr>
      </w:pPr>
      <w:bookmarkStart w:id="259" w:name="_Toc4199"/>
      <w:bookmarkStart w:id="260" w:name="_Toc15396620"/>
      <w:bookmarkStart w:id="261" w:name="_Toc26926"/>
      <w:r>
        <w:rPr>
          <w:rFonts w:hint="eastAsia" w:ascii="仿宋" w:hAnsi="仿宋" w:eastAsia="仿宋"/>
          <w:b w:val="0"/>
          <w:color w:val="auto"/>
          <w:highlight w:val="none"/>
        </w:rPr>
        <w:t>二、收</w:t>
      </w:r>
      <w:r>
        <w:rPr>
          <w:rStyle w:val="31"/>
          <w:rFonts w:hint="eastAsia" w:ascii="仿宋" w:hAnsi="仿宋" w:eastAsia="仿宋"/>
          <w:b w:val="0"/>
          <w:bCs w:val="0"/>
          <w:color w:val="auto"/>
          <w:highlight w:val="none"/>
        </w:rPr>
        <w:t>入决算表</w:t>
      </w:r>
      <w:bookmarkEnd w:id="259"/>
      <w:bookmarkEnd w:id="260"/>
      <w:bookmarkEnd w:id="261"/>
    </w:p>
    <w:p>
      <w:pPr>
        <w:pStyle w:val="4"/>
        <w:rPr>
          <w:rFonts w:ascii="仿宋" w:hAnsi="仿宋" w:eastAsia="仿宋"/>
          <w:color w:val="auto"/>
          <w:highlight w:val="none"/>
        </w:rPr>
      </w:pPr>
      <w:bookmarkStart w:id="262" w:name="_Toc4441"/>
      <w:bookmarkStart w:id="263" w:name="_Toc17415"/>
      <w:bookmarkStart w:id="264" w:name="_Toc15396621"/>
      <w:r>
        <w:rPr>
          <w:rStyle w:val="31"/>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31"/>
          <w:rFonts w:hint="eastAsia" w:ascii="仿宋" w:hAnsi="仿宋" w:eastAsia="仿宋"/>
          <w:b w:val="0"/>
          <w:bCs w:val="0"/>
          <w:color w:val="auto"/>
          <w:highlight w:val="none"/>
        </w:rPr>
        <w:t>出决算表</w:t>
      </w:r>
      <w:bookmarkEnd w:id="262"/>
      <w:bookmarkEnd w:id="263"/>
      <w:bookmarkEnd w:id="264"/>
    </w:p>
    <w:p>
      <w:pPr>
        <w:pStyle w:val="4"/>
        <w:rPr>
          <w:rFonts w:ascii="仿宋" w:hAnsi="仿宋" w:eastAsia="仿宋"/>
          <w:b w:val="0"/>
          <w:color w:val="auto"/>
          <w:highlight w:val="none"/>
        </w:rPr>
      </w:pPr>
      <w:bookmarkStart w:id="265" w:name="_Toc12565"/>
      <w:bookmarkStart w:id="266" w:name="_Toc28498"/>
      <w:bookmarkStart w:id="267" w:name="_Toc15396622"/>
      <w:r>
        <w:rPr>
          <w:rStyle w:val="31"/>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31"/>
          <w:rFonts w:hint="eastAsia" w:ascii="仿宋" w:hAnsi="仿宋" w:eastAsia="仿宋"/>
          <w:b w:val="0"/>
          <w:bCs w:val="0"/>
          <w:color w:val="auto"/>
          <w:highlight w:val="none"/>
        </w:rPr>
        <w:t>政拨款收入支出决算总表</w:t>
      </w:r>
      <w:bookmarkEnd w:id="265"/>
      <w:bookmarkEnd w:id="266"/>
      <w:bookmarkEnd w:id="267"/>
    </w:p>
    <w:p>
      <w:pPr>
        <w:pStyle w:val="4"/>
        <w:rPr>
          <w:rStyle w:val="31"/>
          <w:rFonts w:ascii="仿宋" w:hAnsi="仿宋" w:eastAsia="仿宋"/>
          <w:b w:val="0"/>
          <w:bCs w:val="0"/>
          <w:color w:val="auto"/>
          <w:highlight w:val="none"/>
        </w:rPr>
      </w:pPr>
      <w:bookmarkStart w:id="268" w:name="_Toc30684"/>
      <w:bookmarkStart w:id="269" w:name="_Toc7513"/>
      <w:bookmarkStart w:id="270" w:name="_Toc15396623"/>
      <w:r>
        <w:rPr>
          <w:rStyle w:val="31"/>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31"/>
          <w:rFonts w:hint="eastAsia" w:ascii="仿宋" w:hAnsi="仿宋" w:eastAsia="仿宋"/>
          <w:b w:val="0"/>
          <w:bCs w:val="0"/>
          <w:color w:val="auto"/>
          <w:highlight w:val="none"/>
        </w:rPr>
        <w:t>政拨款支出决算明细表</w:t>
      </w:r>
      <w:bookmarkEnd w:id="268"/>
      <w:bookmarkEnd w:id="269"/>
      <w:bookmarkEnd w:id="270"/>
      <w:bookmarkStart w:id="271" w:name="_Toc15396624"/>
    </w:p>
    <w:p>
      <w:pPr>
        <w:pStyle w:val="4"/>
        <w:rPr>
          <w:rFonts w:ascii="仿宋" w:hAnsi="仿宋" w:eastAsia="仿宋"/>
          <w:color w:val="auto"/>
          <w:highlight w:val="none"/>
        </w:rPr>
      </w:pPr>
      <w:bookmarkStart w:id="272" w:name="_Toc7318"/>
      <w:bookmarkStart w:id="273" w:name="_Toc17706"/>
      <w:r>
        <w:rPr>
          <w:rStyle w:val="31"/>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31"/>
          <w:rFonts w:hint="eastAsia" w:ascii="仿宋" w:hAnsi="仿宋" w:eastAsia="仿宋"/>
          <w:b w:val="0"/>
          <w:bCs w:val="0"/>
          <w:color w:val="auto"/>
          <w:highlight w:val="none"/>
        </w:rPr>
        <w:t>般公共预算财政拨款支出决算表</w:t>
      </w:r>
      <w:bookmarkEnd w:id="271"/>
      <w:bookmarkEnd w:id="272"/>
      <w:bookmarkEnd w:id="273"/>
    </w:p>
    <w:p>
      <w:pPr>
        <w:pStyle w:val="4"/>
        <w:rPr>
          <w:rFonts w:ascii="仿宋" w:hAnsi="仿宋" w:eastAsia="仿宋"/>
          <w:color w:val="auto"/>
          <w:highlight w:val="none"/>
        </w:rPr>
      </w:pPr>
      <w:bookmarkStart w:id="274" w:name="_Toc8045"/>
      <w:bookmarkStart w:id="275" w:name="_Toc21995"/>
      <w:bookmarkStart w:id="276" w:name="_Toc15396625"/>
      <w:r>
        <w:rPr>
          <w:rStyle w:val="31"/>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31"/>
          <w:rFonts w:hint="eastAsia" w:ascii="仿宋" w:hAnsi="仿宋" w:eastAsia="仿宋"/>
          <w:b w:val="0"/>
          <w:bCs w:val="0"/>
          <w:color w:val="auto"/>
          <w:highlight w:val="none"/>
        </w:rPr>
        <w:t>般公共预算财政拨款支出决算明细表</w:t>
      </w:r>
      <w:bookmarkEnd w:id="274"/>
      <w:bookmarkEnd w:id="275"/>
      <w:bookmarkEnd w:id="276"/>
    </w:p>
    <w:p>
      <w:pPr>
        <w:pStyle w:val="4"/>
        <w:rPr>
          <w:rFonts w:ascii="仿宋" w:hAnsi="仿宋" w:eastAsia="仿宋"/>
          <w:color w:val="auto"/>
          <w:highlight w:val="none"/>
        </w:rPr>
      </w:pPr>
      <w:bookmarkStart w:id="277" w:name="_Toc15396626"/>
      <w:bookmarkStart w:id="278" w:name="_Toc28463"/>
      <w:bookmarkStart w:id="279" w:name="_Toc29019"/>
      <w:r>
        <w:rPr>
          <w:rStyle w:val="31"/>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31"/>
          <w:rFonts w:hint="eastAsia" w:ascii="仿宋" w:hAnsi="仿宋" w:eastAsia="仿宋"/>
          <w:b w:val="0"/>
          <w:bCs w:val="0"/>
          <w:color w:val="auto"/>
          <w:highlight w:val="none"/>
        </w:rPr>
        <w:t>般公共预算财政拨款基本支出决算表</w:t>
      </w:r>
      <w:bookmarkEnd w:id="277"/>
      <w:bookmarkEnd w:id="278"/>
      <w:bookmarkEnd w:id="279"/>
    </w:p>
    <w:p>
      <w:pPr>
        <w:pStyle w:val="4"/>
        <w:rPr>
          <w:rFonts w:ascii="仿宋" w:hAnsi="仿宋" w:eastAsia="仿宋"/>
          <w:color w:val="auto"/>
          <w:highlight w:val="none"/>
        </w:rPr>
      </w:pPr>
      <w:bookmarkStart w:id="280" w:name="_Toc20198"/>
      <w:bookmarkStart w:id="281" w:name="_Toc15396627"/>
      <w:bookmarkStart w:id="282" w:name="_Toc10565"/>
      <w:r>
        <w:rPr>
          <w:rStyle w:val="31"/>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31"/>
          <w:rFonts w:hint="eastAsia" w:ascii="仿宋" w:hAnsi="仿宋" w:eastAsia="仿宋"/>
          <w:b w:val="0"/>
          <w:bCs w:val="0"/>
          <w:color w:val="auto"/>
          <w:highlight w:val="none"/>
        </w:rPr>
        <w:t>般公共预算财政拨款项目支出决算表</w:t>
      </w:r>
      <w:bookmarkEnd w:id="280"/>
      <w:bookmarkEnd w:id="281"/>
      <w:bookmarkEnd w:id="282"/>
    </w:p>
    <w:p>
      <w:pPr>
        <w:pStyle w:val="4"/>
        <w:rPr>
          <w:rFonts w:ascii="仿宋" w:hAnsi="仿宋" w:eastAsia="仿宋"/>
          <w:color w:val="auto"/>
          <w:highlight w:val="none"/>
        </w:rPr>
      </w:pPr>
      <w:bookmarkStart w:id="283" w:name="_Toc15396628"/>
      <w:bookmarkStart w:id="284" w:name="_Toc7139"/>
      <w:bookmarkStart w:id="285" w:name="_Toc10337"/>
      <w:r>
        <w:rPr>
          <w:rStyle w:val="31"/>
          <w:rFonts w:hint="eastAsia" w:ascii="仿宋" w:hAnsi="仿宋" w:eastAsia="仿宋"/>
          <w:b w:val="0"/>
          <w:bCs w:val="0"/>
          <w:color w:val="auto"/>
          <w:highlight w:val="none"/>
        </w:rPr>
        <w:t>十、</w:t>
      </w:r>
      <w:bookmarkEnd w:id="283"/>
      <w:r>
        <w:rPr>
          <w:rFonts w:hint="eastAsia" w:ascii="仿宋" w:hAnsi="仿宋" w:eastAsia="仿宋"/>
          <w:b w:val="0"/>
          <w:color w:val="auto"/>
          <w:highlight w:val="none"/>
        </w:rPr>
        <w:t>政</w:t>
      </w:r>
      <w:r>
        <w:rPr>
          <w:rStyle w:val="31"/>
          <w:rFonts w:hint="eastAsia" w:ascii="仿宋" w:hAnsi="仿宋" w:eastAsia="仿宋"/>
          <w:b w:val="0"/>
          <w:bCs w:val="0"/>
          <w:color w:val="auto"/>
          <w:highlight w:val="none"/>
        </w:rPr>
        <w:t>府性基金预算财政拨款收入支出决算表</w:t>
      </w:r>
      <w:bookmarkEnd w:id="284"/>
      <w:bookmarkEnd w:id="285"/>
    </w:p>
    <w:p>
      <w:pPr>
        <w:pStyle w:val="4"/>
        <w:rPr>
          <w:rFonts w:ascii="仿宋" w:hAnsi="仿宋" w:eastAsia="仿宋"/>
          <w:color w:val="auto"/>
          <w:highlight w:val="none"/>
        </w:rPr>
      </w:pPr>
      <w:bookmarkStart w:id="286" w:name="_Toc15396629"/>
      <w:bookmarkStart w:id="287" w:name="_Toc26276"/>
      <w:bookmarkStart w:id="288" w:name="_Toc25731"/>
      <w:r>
        <w:rPr>
          <w:rStyle w:val="31"/>
          <w:rFonts w:hint="eastAsia" w:ascii="仿宋" w:hAnsi="仿宋" w:eastAsia="仿宋"/>
          <w:b w:val="0"/>
          <w:bCs w:val="0"/>
          <w:color w:val="auto"/>
          <w:highlight w:val="none"/>
        </w:rPr>
        <w:t>十一、</w:t>
      </w:r>
      <w:bookmarkEnd w:id="286"/>
      <w:r>
        <w:rPr>
          <w:rFonts w:hint="eastAsia" w:ascii="仿宋" w:hAnsi="仿宋" w:eastAsia="仿宋"/>
          <w:b w:val="0"/>
          <w:color w:val="auto"/>
          <w:highlight w:val="none"/>
        </w:rPr>
        <w:t>国</w:t>
      </w:r>
      <w:r>
        <w:rPr>
          <w:rStyle w:val="31"/>
          <w:rFonts w:hint="eastAsia" w:ascii="仿宋" w:hAnsi="仿宋" w:eastAsia="仿宋"/>
          <w:b w:val="0"/>
          <w:bCs w:val="0"/>
          <w:color w:val="auto"/>
          <w:highlight w:val="none"/>
        </w:rPr>
        <w:t>有资本经营预算</w:t>
      </w:r>
      <w:r>
        <w:rPr>
          <w:rStyle w:val="31"/>
          <w:rFonts w:hint="eastAsia" w:ascii="仿宋" w:hAnsi="仿宋" w:eastAsia="仿宋"/>
          <w:b w:val="0"/>
          <w:bCs w:val="0"/>
          <w:color w:val="auto"/>
          <w:highlight w:val="none"/>
          <w:lang w:eastAsia="zh-CN"/>
        </w:rPr>
        <w:t>财政拨款收入</w:t>
      </w:r>
      <w:r>
        <w:rPr>
          <w:rStyle w:val="31"/>
          <w:rFonts w:hint="eastAsia" w:ascii="仿宋" w:hAnsi="仿宋" w:eastAsia="仿宋"/>
          <w:b w:val="0"/>
          <w:bCs w:val="0"/>
          <w:color w:val="auto"/>
          <w:highlight w:val="none"/>
        </w:rPr>
        <w:t>支出决算表</w:t>
      </w:r>
      <w:bookmarkEnd w:id="287"/>
      <w:bookmarkEnd w:id="288"/>
    </w:p>
    <w:p>
      <w:pPr>
        <w:pStyle w:val="4"/>
        <w:rPr>
          <w:rFonts w:ascii="仿宋" w:hAnsi="仿宋" w:eastAsia="仿宋"/>
          <w:color w:val="auto"/>
          <w:highlight w:val="none"/>
        </w:rPr>
      </w:pPr>
      <w:bookmarkStart w:id="289" w:name="_Toc15396630"/>
      <w:bookmarkStart w:id="290" w:name="_Toc28163"/>
      <w:bookmarkStart w:id="291" w:name="_Toc6795"/>
      <w:r>
        <w:rPr>
          <w:rStyle w:val="31"/>
          <w:rFonts w:hint="eastAsia" w:ascii="仿宋" w:hAnsi="仿宋" w:eastAsia="仿宋"/>
          <w:b w:val="0"/>
          <w:bCs w:val="0"/>
          <w:color w:val="auto"/>
          <w:highlight w:val="none"/>
        </w:rPr>
        <w:t>十二、</w:t>
      </w:r>
      <w:bookmarkEnd w:id="289"/>
      <w:r>
        <w:rPr>
          <w:rStyle w:val="31"/>
          <w:rFonts w:hint="eastAsia" w:ascii="仿宋" w:hAnsi="仿宋" w:eastAsia="仿宋"/>
          <w:b w:val="0"/>
          <w:bCs w:val="0"/>
          <w:color w:val="auto"/>
          <w:highlight w:val="none"/>
          <w:lang w:eastAsia="zh-CN"/>
        </w:rPr>
        <w:t>国有资本经营预算财政拨款支出决算表</w:t>
      </w:r>
      <w:bookmarkEnd w:id="290"/>
      <w:bookmarkEnd w:id="291"/>
    </w:p>
    <w:p>
      <w:pPr>
        <w:pStyle w:val="4"/>
        <w:rPr>
          <w:rFonts w:hint="eastAsia" w:eastAsia="仿宋"/>
          <w:color w:val="auto"/>
          <w:highlight w:val="none"/>
          <w:lang w:eastAsia="zh-CN"/>
        </w:rPr>
      </w:pPr>
      <w:bookmarkStart w:id="292" w:name="_Toc15396631"/>
      <w:bookmarkStart w:id="293" w:name="_Toc29345"/>
      <w:bookmarkStart w:id="294" w:name="_Toc11434"/>
      <w:r>
        <w:rPr>
          <w:rStyle w:val="31"/>
          <w:rFonts w:hint="eastAsia" w:ascii="仿宋" w:hAnsi="仿宋" w:eastAsia="仿宋"/>
          <w:b w:val="0"/>
          <w:bCs w:val="0"/>
          <w:color w:val="auto"/>
          <w:highlight w:val="none"/>
        </w:rPr>
        <w:t>十三、</w:t>
      </w:r>
      <w:bookmarkEnd w:id="292"/>
      <w:r>
        <w:rPr>
          <w:rStyle w:val="31"/>
          <w:rFonts w:hint="eastAsia" w:ascii="仿宋" w:hAnsi="仿宋" w:eastAsia="仿宋"/>
          <w:b w:val="0"/>
          <w:bCs w:val="0"/>
          <w:color w:val="auto"/>
          <w:highlight w:val="none"/>
          <w:lang w:eastAsia="zh-CN"/>
        </w:rPr>
        <w:t>财政拨款“三公”经费支出决算表</w:t>
      </w:r>
      <w:bookmarkEnd w:id="293"/>
      <w:bookmarkEnd w:id="294"/>
    </w:p>
    <w:sectPr>
      <w:headerReference r:id="rId3" w:type="default"/>
      <w:footerReference r:id="rId4" w:type="default"/>
      <w:pgSz w:w="11906" w:h="16838"/>
      <w:pgMar w:top="2098" w:right="1474" w:bottom="1984" w:left="1587"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方正小标宋简体">
    <w:altName w:val="Arial Unicode MS"/>
    <w:panose1 w:val="02000000000000000000"/>
    <w:charset w:val="86"/>
    <w:family w:val="script"/>
    <w:pitch w:val="default"/>
    <w:sig w:usb0="00000000" w:usb1="00000000"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1"/>
          <w:jc w:val="center"/>
        </w:pPr>
        <w:r>
          <w:fldChar w:fldCharType="begin"/>
        </w:r>
        <w:r>
          <w:instrText xml:space="preserve">PAGE   \* MERGEFORMAT</w:instrText>
        </w:r>
        <w:r>
          <w:fldChar w:fldCharType="separate"/>
        </w:r>
        <w:r>
          <w:rPr>
            <w:lang w:val="zh-CN"/>
          </w:rPr>
          <w:t>8</w:t>
        </w:r>
        <w:r>
          <w:fldChar w:fldCharType="end"/>
        </w:r>
      </w:p>
    </w:sdtContent>
  </w:sdt>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FE89FA55"/>
    <w:multiLevelType w:val="singleLevel"/>
    <w:tmpl w:val="FE89FA55"/>
    <w:lvl w:ilvl="0" w:tentative="0">
      <w:start w:val="2"/>
      <w:numFmt w:val="chineseCounting"/>
      <w:suff w:val="nothing"/>
      <w:lvlText w:val="（%1）"/>
      <w:lvlJc w:val="left"/>
      <w:rPr>
        <w:rFonts w:hint="eastAsia"/>
      </w:rPr>
    </w:lvl>
  </w:abstractNum>
  <w:abstractNum w:abstractNumId="3">
    <w:nsid w:val="13C0A084"/>
    <w:multiLevelType w:val="singleLevel"/>
    <w:tmpl w:val="13C0A084"/>
    <w:lvl w:ilvl="0" w:tentative="0">
      <w:start w:val="1"/>
      <w:numFmt w:val="chineseCounting"/>
      <w:suff w:val="nothing"/>
      <w:lvlText w:val="%1、"/>
      <w:lvlJc w:val="left"/>
      <w:rPr>
        <w:rFonts w:hint="eastAsia"/>
      </w:rPr>
    </w:lvl>
  </w:abstractNum>
  <w:abstractNum w:abstractNumId="4">
    <w:nsid w:val="5A979320"/>
    <w:multiLevelType w:val="singleLevel"/>
    <w:tmpl w:val="5A979320"/>
    <w:lvl w:ilvl="0" w:tentative="0">
      <w:start w:val="2"/>
      <w:numFmt w:val="chineseCounting"/>
      <w:suff w:val="nothing"/>
      <w:lvlText w:val="（%1）"/>
      <w:lvlJc w:val="left"/>
      <w:rPr>
        <w:rFonts w:hint="eastAsia"/>
      </w:rPr>
    </w:lvl>
  </w:abstractNum>
  <w:abstractNum w:abstractNumId="5">
    <w:nsid w:val="63F481D1"/>
    <w:multiLevelType w:val="singleLevel"/>
    <w:tmpl w:val="63F481D1"/>
    <w:lvl w:ilvl="0" w:tentative="0">
      <w:start w:val="1"/>
      <w:numFmt w:val="chineseCounting"/>
      <w:suff w:val="nothing"/>
      <w:lvlText w:val="%1、"/>
      <w:lvlJc w:val="left"/>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hYTg4NGNkZWJkODFjNzcyZDRjM2M4Y2UzNjI5ZmU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23127"/>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315D60"/>
    <w:rsid w:val="015975B8"/>
    <w:rsid w:val="01D37272"/>
    <w:rsid w:val="02143E91"/>
    <w:rsid w:val="03CF3A69"/>
    <w:rsid w:val="066E0107"/>
    <w:rsid w:val="07996F6E"/>
    <w:rsid w:val="0A2032A3"/>
    <w:rsid w:val="0B3C7C36"/>
    <w:rsid w:val="0CB157F6"/>
    <w:rsid w:val="0D35493D"/>
    <w:rsid w:val="0F204686"/>
    <w:rsid w:val="0F98263C"/>
    <w:rsid w:val="101860EC"/>
    <w:rsid w:val="107C36E9"/>
    <w:rsid w:val="10C055FF"/>
    <w:rsid w:val="118107EC"/>
    <w:rsid w:val="11A32109"/>
    <w:rsid w:val="12470955"/>
    <w:rsid w:val="12F232D0"/>
    <w:rsid w:val="13D50BC4"/>
    <w:rsid w:val="1618304E"/>
    <w:rsid w:val="16BB723D"/>
    <w:rsid w:val="18D4614F"/>
    <w:rsid w:val="1BB47375"/>
    <w:rsid w:val="1BB72E76"/>
    <w:rsid w:val="1BE8440E"/>
    <w:rsid w:val="1D155CEE"/>
    <w:rsid w:val="1D2F1B6F"/>
    <w:rsid w:val="1F2127AA"/>
    <w:rsid w:val="1FD97C4B"/>
    <w:rsid w:val="1FF35744"/>
    <w:rsid w:val="20413D58"/>
    <w:rsid w:val="213D7E0C"/>
    <w:rsid w:val="23860B96"/>
    <w:rsid w:val="240371BF"/>
    <w:rsid w:val="24623EFA"/>
    <w:rsid w:val="24F36AA8"/>
    <w:rsid w:val="25284930"/>
    <w:rsid w:val="26C35BF7"/>
    <w:rsid w:val="279F12A5"/>
    <w:rsid w:val="29D55086"/>
    <w:rsid w:val="29FD04D3"/>
    <w:rsid w:val="2A04596B"/>
    <w:rsid w:val="2A3E6917"/>
    <w:rsid w:val="2A6A1AD0"/>
    <w:rsid w:val="2BA618C3"/>
    <w:rsid w:val="2C8A61B5"/>
    <w:rsid w:val="2D5333FE"/>
    <w:rsid w:val="2D5C609F"/>
    <w:rsid w:val="2DD35D80"/>
    <w:rsid w:val="2DF04E50"/>
    <w:rsid w:val="2E1446DA"/>
    <w:rsid w:val="2F040D46"/>
    <w:rsid w:val="2F2520CD"/>
    <w:rsid w:val="2FAB7DB1"/>
    <w:rsid w:val="303B5E5F"/>
    <w:rsid w:val="3146720F"/>
    <w:rsid w:val="31853836"/>
    <w:rsid w:val="319F7F4E"/>
    <w:rsid w:val="322748ED"/>
    <w:rsid w:val="32CF0C28"/>
    <w:rsid w:val="3304709D"/>
    <w:rsid w:val="36AA5135"/>
    <w:rsid w:val="37502ED2"/>
    <w:rsid w:val="376D39B2"/>
    <w:rsid w:val="37E16F03"/>
    <w:rsid w:val="38B01829"/>
    <w:rsid w:val="38D469F0"/>
    <w:rsid w:val="3B466F20"/>
    <w:rsid w:val="3B9A6EE0"/>
    <w:rsid w:val="3D98207C"/>
    <w:rsid w:val="3DDA6CB7"/>
    <w:rsid w:val="3E78745D"/>
    <w:rsid w:val="3F616F63"/>
    <w:rsid w:val="3FF8650E"/>
    <w:rsid w:val="404D4FDE"/>
    <w:rsid w:val="41E76777"/>
    <w:rsid w:val="41F21603"/>
    <w:rsid w:val="42913A7D"/>
    <w:rsid w:val="43A23DD3"/>
    <w:rsid w:val="44801C3A"/>
    <w:rsid w:val="44D43708"/>
    <w:rsid w:val="44DF7317"/>
    <w:rsid w:val="44E268DA"/>
    <w:rsid w:val="461D5DA0"/>
    <w:rsid w:val="492B4193"/>
    <w:rsid w:val="4A627F82"/>
    <w:rsid w:val="4AE66459"/>
    <w:rsid w:val="4B0E749A"/>
    <w:rsid w:val="4B4F25DA"/>
    <w:rsid w:val="4BE068DB"/>
    <w:rsid w:val="4CC26408"/>
    <w:rsid w:val="4D577224"/>
    <w:rsid w:val="4E5F516A"/>
    <w:rsid w:val="4E922C96"/>
    <w:rsid w:val="4EAB630A"/>
    <w:rsid w:val="4ECE2238"/>
    <w:rsid w:val="4FB8672C"/>
    <w:rsid w:val="53464A22"/>
    <w:rsid w:val="537E6D0A"/>
    <w:rsid w:val="55AC288F"/>
    <w:rsid w:val="55AF5F99"/>
    <w:rsid w:val="55FB7373"/>
    <w:rsid w:val="56551179"/>
    <w:rsid w:val="577956AA"/>
    <w:rsid w:val="58F67728"/>
    <w:rsid w:val="59323606"/>
    <w:rsid w:val="5A24647E"/>
    <w:rsid w:val="5AD64523"/>
    <w:rsid w:val="5AF92295"/>
    <w:rsid w:val="5B296DA0"/>
    <w:rsid w:val="5CD71FC4"/>
    <w:rsid w:val="5D3A69D3"/>
    <w:rsid w:val="5F4B4EC7"/>
    <w:rsid w:val="618E6AC4"/>
    <w:rsid w:val="62D42794"/>
    <w:rsid w:val="63B70D7D"/>
    <w:rsid w:val="661949F6"/>
    <w:rsid w:val="66C57C55"/>
    <w:rsid w:val="67940831"/>
    <w:rsid w:val="68352BB8"/>
    <w:rsid w:val="683D4A21"/>
    <w:rsid w:val="68683C5B"/>
    <w:rsid w:val="68B61ADD"/>
    <w:rsid w:val="6C4A05C8"/>
    <w:rsid w:val="6C81770F"/>
    <w:rsid w:val="6E7E3605"/>
    <w:rsid w:val="6FAC19B2"/>
    <w:rsid w:val="6FF5CC65"/>
    <w:rsid w:val="6FF70753"/>
    <w:rsid w:val="702F1655"/>
    <w:rsid w:val="70C52924"/>
    <w:rsid w:val="711D41EA"/>
    <w:rsid w:val="71471E07"/>
    <w:rsid w:val="715C0E4B"/>
    <w:rsid w:val="72734D90"/>
    <w:rsid w:val="73AD73D5"/>
    <w:rsid w:val="73B6EB34"/>
    <w:rsid w:val="73DB55DA"/>
    <w:rsid w:val="7420232B"/>
    <w:rsid w:val="744731E5"/>
    <w:rsid w:val="74684C2A"/>
    <w:rsid w:val="759C6025"/>
    <w:rsid w:val="76E3355F"/>
    <w:rsid w:val="778769C8"/>
    <w:rsid w:val="78245381"/>
    <w:rsid w:val="79EE5BA4"/>
    <w:rsid w:val="7A745707"/>
    <w:rsid w:val="7A894339"/>
    <w:rsid w:val="7DFF1847"/>
    <w:rsid w:val="7E8F4979"/>
    <w:rsid w:val="7EEF11D3"/>
    <w:rsid w:val="7FA30C79"/>
    <w:rsid w:val="7FB7269E"/>
    <w:rsid w:val="7FC96657"/>
    <w:rsid w:val="7FD53ACD"/>
    <w:rsid w:val="D8D6DB89"/>
    <w:rsid w:val="DB6F4CAB"/>
    <w:rsid w:val="DF6F9789"/>
    <w:rsid w:val="E5FFBB2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4"/>
    <w:unhideWhenUsed/>
    <w:qFormat/>
    <w:uiPriority w:val="9"/>
    <w:pPr>
      <w:keepNext/>
      <w:keepLines/>
      <w:spacing w:before="260" w:after="260" w:line="560" w:lineRule="exact"/>
      <w:ind w:firstLine="1440" w:firstLineChars="200"/>
      <w:outlineLvl w:val="2"/>
    </w:pPr>
    <w:rPr>
      <w:rFonts w:ascii="Times New Roman" w:hAnsi="Times New Roman" w:eastAsia="楷体"/>
      <w:b/>
      <w:bCs/>
      <w:sz w:val="32"/>
      <w:szCs w:val="32"/>
    </w:rPr>
  </w:style>
  <w:style w:type="character" w:default="1" w:styleId="18">
    <w:name w:val="Default Paragraph Font"/>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customStyle="1" w:styleId="2">
    <w:name w:val="table of figures1"/>
    <w:basedOn w:val="1"/>
    <w:next w:val="1"/>
    <w:qFormat/>
    <w:uiPriority w:val="99"/>
    <w:pPr>
      <w:ind w:left="200" w:leftChars="200" w:hanging="200" w:hangingChars="200"/>
    </w:pPr>
  </w:style>
  <w:style w:type="paragraph" w:styleId="6">
    <w:name w:val="Body Text"/>
    <w:basedOn w:val="1"/>
    <w:link w:val="27"/>
    <w:qFormat/>
    <w:uiPriority w:val="99"/>
    <w:pPr>
      <w:spacing w:beforeLines="30"/>
    </w:pPr>
    <w:rPr>
      <w:rFonts w:ascii="仿宋_GB2312" w:eastAsia="仿宋_GB2312"/>
      <w:kern w:val="0"/>
      <w:sz w:val="30"/>
    </w:rPr>
  </w:style>
  <w:style w:type="paragraph" w:styleId="7">
    <w:name w:val="Body Text Indent"/>
    <w:basedOn w:val="1"/>
    <w:next w:val="8"/>
    <w:qFormat/>
    <w:uiPriority w:val="0"/>
    <w:pPr>
      <w:spacing w:after="120"/>
      <w:ind w:leftChars="200"/>
    </w:pPr>
    <w:rPr>
      <w:rFonts w:ascii="仿宋_GB2312"/>
      <w:szCs w:val="32"/>
    </w:rPr>
  </w:style>
  <w:style w:type="paragraph" w:styleId="8">
    <w:name w:val="Body Text First Indent 2"/>
    <w:basedOn w:val="7"/>
    <w:next w:val="1"/>
    <w:unhideWhenUsed/>
    <w:qFormat/>
    <w:uiPriority w:val="99"/>
    <w:pPr>
      <w:ind w:firstLine="420" w:firstLineChars="200"/>
    </w:pPr>
  </w:style>
  <w:style w:type="paragraph" w:styleId="9">
    <w:name w:val="toc 3"/>
    <w:basedOn w:val="1"/>
    <w:next w:val="1"/>
    <w:unhideWhenUsed/>
    <w:qFormat/>
    <w:uiPriority w:val="39"/>
    <w:pPr>
      <w:tabs>
        <w:tab w:val="right" w:leader="dot" w:pos="8296"/>
      </w:tabs>
      <w:ind w:left="840" w:leftChars="400"/>
    </w:pPr>
  </w:style>
  <w:style w:type="paragraph" w:styleId="10">
    <w:name w:val="Balloon Text"/>
    <w:basedOn w:val="1"/>
    <w:link w:val="33"/>
    <w:semiHidden/>
    <w:unhideWhenUsed/>
    <w:qFormat/>
    <w:uiPriority w:val="99"/>
    <w:rPr>
      <w:sz w:val="18"/>
      <w:szCs w:val="18"/>
    </w:rPr>
  </w:style>
  <w:style w:type="paragraph" w:styleId="11">
    <w:name w:val="footer"/>
    <w:basedOn w:val="1"/>
    <w:link w:val="25"/>
    <w:qFormat/>
    <w:uiPriority w:val="99"/>
    <w:pPr>
      <w:tabs>
        <w:tab w:val="center" w:pos="4153"/>
        <w:tab w:val="right" w:pos="8306"/>
      </w:tabs>
      <w:snapToGrid w:val="0"/>
      <w:jc w:val="left"/>
    </w:pPr>
    <w:rPr>
      <w:rFonts w:ascii="Calibri" w:hAnsi="Calibri"/>
      <w:kern w:val="0"/>
      <w:sz w:val="18"/>
      <w:szCs w:val="18"/>
    </w:rPr>
  </w:style>
  <w:style w:type="paragraph" w:styleId="12">
    <w:name w:val="header"/>
    <w:basedOn w:val="1"/>
    <w:link w:val="23"/>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3">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4">
    <w:name w:val="table of figures"/>
    <w:basedOn w:val="1"/>
    <w:next w:val="1"/>
    <w:unhideWhenUsed/>
    <w:qFormat/>
    <w:uiPriority w:val="99"/>
    <w:pPr>
      <w:ind w:left="200" w:leftChars="200" w:hanging="200" w:hangingChars="200"/>
    </w:pPr>
  </w:style>
  <w:style w:type="paragraph" w:styleId="15">
    <w:name w:val="toc 2"/>
    <w:basedOn w:val="1"/>
    <w:next w:val="1"/>
    <w:unhideWhenUsed/>
    <w:qFormat/>
    <w:uiPriority w:val="39"/>
    <w:pPr>
      <w:tabs>
        <w:tab w:val="right" w:leader="dot" w:pos="8296"/>
      </w:tabs>
      <w:ind w:left="420" w:leftChars="200"/>
    </w:pPr>
  </w:style>
  <w:style w:type="paragraph" w:styleId="1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9">
    <w:name w:val="Strong"/>
    <w:basedOn w:val="18"/>
    <w:qFormat/>
    <w:uiPriority w:val="99"/>
    <w:rPr>
      <w:b/>
    </w:rPr>
  </w:style>
  <w:style w:type="character" w:styleId="20">
    <w:name w:val="Hyperlink"/>
    <w:basedOn w:val="18"/>
    <w:unhideWhenUsed/>
    <w:qFormat/>
    <w:uiPriority w:val="99"/>
    <w:rPr>
      <w:color w:val="0000FF" w:themeColor="hyperlink"/>
      <w:u w:val="single"/>
      <w14:textFill>
        <w14:solidFill>
          <w14:schemeClr w14:val="hlink"/>
        </w14:solidFill>
      </w14:textFill>
    </w:rPr>
  </w:style>
  <w:style w:type="paragraph" w:customStyle="1" w:styleId="21">
    <w:name w:val="标题 5（有编号）（绿盟科技）"/>
    <w:next w:val="1"/>
    <w:qFormat/>
    <w:uiPriority w:val="99"/>
    <w:pPr>
      <w:keepNext/>
      <w:keepLines/>
      <w:widowControl w:val="0"/>
      <w:spacing w:before="280" w:after="156" w:line="377" w:lineRule="auto"/>
      <w:jc w:val="left"/>
      <w:outlineLvl w:val="4"/>
    </w:pPr>
    <w:rPr>
      <w:rFonts w:ascii="Arial" w:hAnsi="Arial" w:eastAsia="黑体" w:cs="Times New Roman"/>
      <w:b/>
      <w:kern w:val="2"/>
      <w:sz w:val="24"/>
      <w:szCs w:val="28"/>
      <w:lang w:val="en-US" w:eastAsia="zh-CN" w:bidi="ar-SA"/>
    </w:rPr>
  </w:style>
  <w:style w:type="character" w:customStyle="1" w:styleId="22">
    <w:name w:val="Header Char"/>
    <w:basedOn w:val="18"/>
    <w:semiHidden/>
    <w:qFormat/>
    <w:uiPriority w:val="99"/>
    <w:rPr>
      <w:rFonts w:ascii="Times New Roman" w:hAnsi="Times New Roman"/>
      <w:sz w:val="18"/>
      <w:szCs w:val="18"/>
    </w:rPr>
  </w:style>
  <w:style w:type="character" w:customStyle="1" w:styleId="23">
    <w:name w:val="页眉 Char"/>
    <w:link w:val="12"/>
    <w:semiHidden/>
    <w:qFormat/>
    <w:locked/>
    <w:uiPriority w:val="99"/>
    <w:rPr>
      <w:sz w:val="18"/>
    </w:rPr>
  </w:style>
  <w:style w:type="character" w:customStyle="1" w:styleId="24">
    <w:name w:val="Footer Char"/>
    <w:basedOn w:val="18"/>
    <w:semiHidden/>
    <w:qFormat/>
    <w:uiPriority w:val="99"/>
    <w:rPr>
      <w:rFonts w:ascii="Times New Roman" w:hAnsi="Times New Roman"/>
      <w:sz w:val="18"/>
      <w:szCs w:val="18"/>
    </w:rPr>
  </w:style>
  <w:style w:type="character" w:customStyle="1" w:styleId="25">
    <w:name w:val="页脚 Char"/>
    <w:link w:val="11"/>
    <w:qFormat/>
    <w:locked/>
    <w:uiPriority w:val="99"/>
    <w:rPr>
      <w:sz w:val="18"/>
    </w:rPr>
  </w:style>
  <w:style w:type="character" w:customStyle="1" w:styleId="26">
    <w:name w:val="Body Text Char"/>
    <w:basedOn w:val="18"/>
    <w:semiHidden/>
    <w:qFormat/>
    <w:uiPriority w:val="99"/>
    <w:rPr>
      <w:rFonts w:ascii="Times New Roman" w:hAnsi="Times New Roman"/>
      <w:szCs w:val="24"/>
    </w:rPr>
  </w:style>
  <w:style w:type="character" w:customStyle="1" w:styleId="27">
    <w:name w:val="正文文本 Char"/>
    <w:link w:val="6"/>
    <w:qFormat/>
    <w:locked/>
    <w:uiPriority w:val="99"/>
    <w:rPr>
      <w:rFonts w:ascii="仿宋_GB2312" w:hAnsi="Times New Roman" w:eastAsia="仿宋_GB2312"/>
      <w:sz w:val="24"/>
    </w:rPr>
  </w:style>
  <w:style w:type="paragraph" w:customStyle="1" w:styleId="28">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9">
    <w:name w:val="List Paragraph"/>
    <w:basedOn w:val="1"/>
    <w:qFormat/>
    <w:uiPriority w:val="34"/>
    <w:pPr>
      <w:ind w:firstLine="420" w:firstLineChars="200"/>
    </w:pPr>
  </w:style>
  <w:style w:type="character" w:customStyle="1" w:styleId="30">
    <w:name w:val="标题 1 Char"/>
    <w:basedOn w:val="18"/>
    <w:link w:val="3"/>
    <w:qFormat/>
    <w:uiPriority w:val="9"/>
    <w:rPr>
      <w:rFonts w:ascii="Times New Roman" w:hAnsi="Times New Roman"/>
      <w:b/>
      <w:bCs/>
      <w:kern w:val="44"/>
      <w:sz w:val="44"/>
      <w:szCs w:val="44"/>
    </w:rPr>
  </w:style>
  <w:style w:type="character" w:customStyle="1" w:styleId="31">
    <w:name w:val="标题 2 Char"/>
    <w:basedOn w:val="18"/>
    <w:link w:val="4"/>
    <w:qFormat/>
    <w:uiPriority w:val="9"/>
    <w:rPr>
      <w:rFonts w:asciiTheme="majorHAnsi" w:hAnsiTheme="majorHAnsi" w:eastAsiaTheme="majorEastAsia" w:cstheme="majorBidi"/>
      <w:b/>
      <w:bCs/>
      <w:kern w:val="2"/>
      <w:sz w:val="32"/>
      <w:szCs w:val="32"/>
    </w:rPr>
  </w:style>
  <w:style w:type="paragraph" w:customStyle="1" w:styleId="32">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3">
    <w:name w:val="批注框文本 Char"/>
    <w:basedOn w:val="18"/>
    <w:link w:val="10"/>
    <w:semiHidden/>
    <w:qFormat/>
    <w:uiPriority w:val="99"/>
    <w:rPr>
      <w:rFonts w:ascii="Times New Roman" w:hAnsi="Times New Roman"/>
      <w:kern w:val="2"/>
      <w:sz w:val="18"/>
      <w:szCs w:val="18"/>
    </w:rPr>
  </w:style>
  <w:style w:type="character" w:customStyle="1" w:styleId="34">
    <w:name w:val="标题 3 Char"/>
    <w:basedOn w:val="18"/>
    <w:link w:val="5"/>
    <w:qFormat/>
    <w:uiPriority w:val="9"/>
    <w:rPr>
      <w:rFonts w:ascii="Times New Roman" w:hAnsi="Times New Roman" w:eastAsia="楷体"/>
      <w:b/>
      <w:bCs/>
      <w:kern w:val="2"/>
      <w:sz w:val="32"/>
      <w:szCs w:val="32"/>
    </w:rPr>
  </w:style>
  <w:style w:type="paragraph" w:customStyle="1" w:styleId="35">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6">
    <w:name w:val="四号正文"/>
    <w:basedOn w:val="1"/>
    <w:qFormat/>
    <w:uiPriority w:val="0"/>
    <w:pPr>
      <w:spacing w:line="360" w:lineRule="auto"/>
    </w:pPr>
    <w:rPr>
      <w:rFonts w:ascii="??" w:hAnsi="??" w:eastAsia="宋体"/>
      <w:color w:val="000000"/>
      <w:kern w:val="0"/>
      <w:sz w:val="28"/>
      <w:szCs w:val="21"/>
      <w:lang w:val="zh-CN" w:eastAsia="zh-CN"/>
    </w:rPr>
  </w:style>
  <w:style w:type="paragraph" w:customStyle="1" w:styleId="37">
    <w:name w:val="章标题"/>
    <w:basedOn w:val="1"/>
    <w:next w:val="38"/>
    <w:qFormat/>
    <w:uiPriority w:val="0"/>
    <w:pPr>
      <w:widowControl/>
      <w:spacing w:before="158" w:after="153" w:line="323" w:lineRule="atLeast"/>
      <w:ind w:right="-120"/>
      <w:jc w:val="center"/>
      <w:textAlignment w:val="baseline"/>
    </w:pPr>
    <w:rPr>
      <w:color w:val="FF0000"/>
      <w:sz w:val="18"/>
    </w:rPr>
  </w:style>
  <w:style w:type="paragraph" w:customStyle="1" w:styleId="38">
    <w:name w:val="节标题"/>
    <w:basedOn w:val="1"/>
    <w:next w:val="1"/>
    <w:qFormat/>
    <w:uiPriority w:val="0"/>
    <w:pPr>
      <w:widowControl/>
      <w:spacing w:line="289" w:lineRule="atLeast"/>
      <w:jc w:val="center"/>
      <w:textAlignment w:val="baseline"/>
    </w:pPr>
    <w:rPr>
      <w:color w:val="000000"/>
      <w:sz w:val="28"/>
    </w:rPr>
  </w:style>
  <w:style w:type="table" w:customStyle="1" w:styleId="39">
    <w:name w:val="Table Normal"/>
    <w:semiHidden/>
    <w:unhideWhenUsed/>
    <w:qFormat/>
    <w:uiPriority w:val="0"/>
    <w:tblPr>
      <w:tblCellMar>
        <w:top w:w="0" w:type="dxa"/>
        <w:left w:w="0" w:type="dxa"/>
        <w:bottom w:w="0" w:type="dxa"/>
        <w:right w:w="0" w:type="dxa"/>
      </w:tblCellMar>
    </w:tblPr>
  </w:style>
  <w:style w:type="paragraph" w:customStyle="1" w:styleId="40">
    <w:name w:val="WPSOffice手动目录 1"/>
    <w:qFormat/>
    <w:uiPriority w:val="0"/>
    <w:pPr>
      <w:ind w:leftChars="0"/>
    </w:pPr>
    <w:rPr>
      <w:rFonts w:ascii="Times New Roman" w:hAnsi="Times New Roman" w:eastAsia="宋体" w:cs="Times New Roman"/>
      <w:sz w:val="20"/>
      <w:szCs w:val="20"/>
    </w:rPr>
  </w:style>
  <w:style w:type="paragraph" w:customStyle="1" w:styleId="41">
    <w:name w:val="WPSOffice手动目录 2"/>
    <w:qFormat/>
    <w:uiPriority w:val="0"/>
    <w:pPr>
      <w:ind w:leftChars="200"/>
    </w:pPr>
    <w:rPr>
      <w:rFonts w:ascii="Times New Roman" w:hAnsi="Times New Roman" w:eastAsia="宋体" w:cs="Times New Roman"/>
      <w:sz w:val="20"/>
      <w:szCs w:val="20"/>
    </w:rPr>
  </w:style>
  <w:style w:type="character" w:customStyle="1" w:styleId="42">
    <w:name w:val="NormalCharacter"/>
    <w:qFormat/>
    <w:uiPriority w:val="0"/>
    <w:rPr>
      <w:rFonts w:ascii="Times New Roman" w:hAnsi="Times New Roman"/>
      <w:sz w:val="24"/>
      <w:szCs w:val="24"/>
      <w:lang w:val="en-US" w:eastAsia="zh-CN" w:bidi="ar-SA"/>
    </w:rPr>
  </w:style>
  <w:style w:type="paragraph" w:customStyle="1" w:styleId="43">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4.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5.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6.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_rels/chart7.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收、支决算总计变动情况表</a:t>
            </a:r>
          </a:p>
        </c:rich>
      </c:tx>
      <c:layout/>
      <c:overlay val="0"/>
      <c:spPr>
        <a:noFill/>
        <a:ln>
          <a:noFill/>
        </a:ln>
        <a:effectLst/>
      </c:spPr>
    </c:title>
    <c:autoTitleDeleted val="0"/>
    <c:plotArea>
      <c:layout>
        <c:manualLayout>
          <c:layoutTarget val="inner"/>
          <c:xMode val="edge"/>
          <c:yMode val="edge"/>
          <c:x val="0.0778303198887344"/>
          <c:y val="0.133660746003552"/>
          <c:w val="0.8938"/>
          <c:h val="0.7169"/>
        </c:manualLayout>
      </c:layout>
      <c:barChart>
        <c:barDir val="col"/>
        <c:grouping val="clustered"/>
        <c:varyColors val="0"/>
        <c:ser>
          <c:idx val="0"/>
          <c:order val="0"/>
          <c:tx>
            <c:strRef>
              <c:f>Sheet1!$B$1</c:f>
              <c:strCache>
                <c:ptCount val="1"/>
                <c:pt idx="0">
                  <c:v>收、支情况</c:v>
                </c:pt>
              </c:strCache>
            </c:strRef>
          </c:tx>
          <c:spPr>
            <a:solidFill>
              <a:schemeClr val="accent1"/>
            </a:solidFill>
            <a:ln>
              <a:noFill/>
            </a:ln>
            <a:effectLst/>
          </c:spPr>
          <c:invertIfNegative val="0"/>
          <c:dLbls>
            <c:dLbl>
              <c:idx val="0"/>
              <c:layout>
                <c:manualLayout>
                  <c:x val="-0.00375"/>
                  <c:y val="0.105"/>
                </c:manualLayout>
              </c:layout>
              <c:numFmt formatCode="General" sourceLinked="1"/>
              <c:spPr>
                <a:noFill/>
                <a:ln>
                  <a:noFill/>
                </a:ln>
                <a:effectLst>
                  <a:glow rad="139700">
                    <a:schemeClr val="accent2">
                      <a:satMod val="175000"/>
                      <a:alpha val="40000"/>
                    </a:schemeClr>
                  </a:glow>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5625"/>
                  <c:y val="0.09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a:glow rad="139700">
                  <a:schemeClr val="accent2">
                    <a:satMod val="175000"/>
                    <a:alpha val="40000"/>
                  </a:schemeClr>
                </a:glow>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2021年度</c:v>
                </c:pt>
                <c:pt idx="1">
                  <c:v>2022年度</c:v>
                </c:pt>
              </c:strCache>
            </c:strRef>
          </c:cat>
          <c:val>
            <c:numRef>
              <c:f>Sheet1!$B$2:$B$3</c:f>
              <c:numCache>
                <c:formatCode>General</c:formatCode>
                <c:ptCount val="2"/>
                <c:pt idx="0">
                  <c:v>953.64</c:v>
                </c:pt>
                <c:pt idx="1">
                  <c:v>1155.99</c:v>
                </c:pt>
              </c:numCache>
            </c:numRef>
          </c:val>
        </c:ser>
        <c:dLbls>
          <c:showLegendKey val="0"/>
          <c:showVal val="0"/>
          <c:showCatName val="0"/>
          <c:showSerName val="0"/>
          <c:showPercent val="0"/>
          <c:showBubbleSize val="0"/>
        </c:dLbls>
        <c:gapWidth val="219"/>
        <c:overlap val="-27"/>
        <c:axId val="167385170"/>
        <c:axId val="235367038"/>
      </c:barChart>
      <c:catAx>
        <c:axId val="16738517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5367038"/>
        <c:crosses val="autoZero"/>
        <c:auto val="1"/>
        <c:lblAlgn val="ctr"/>
        <c:lblOffset val="100"/>
        <c:noMultiLvlLbl val="0"/>
      </c:catAx>
      <c:valAx>
        <c:axId val="23536703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738517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收入决算结构图</a:t>
            </a:r>
          </a:p>
        </c:rich>
      </c:tx>
      <c:layout/>
      <c:overlay val="0"/>
      <c:spPr>
        <a:noFill/>
        <a:ln>
          <a:noFill/>
        </a:ln>
        <a:effectLst/>
      </c:spPr>
    </c:title>
    <c:autoTitleDeleted val="0"/>
    <c:plotArea>
      <c:layout/>
      <c:pieChart>
        <c:varyColors val="1"/>
        <c:ser>
          <c:idx val="0"/>
          <c:order val="0"/>
          <c:tx>
            <c:strRef>
              <c:f>Sheet1!$B$1</c:f>
              <c:strCache>
                <c:ptCount val="1"/>
                <c:pt idx="0">
                  <c:v>一般公共预算财政拨款收入</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一般公共预算财政拨款收入</c:v>
                </c:pt>
                <c:pt idx="1">
                  <c:v>政府性基金预算财政拨款收入</c:v>
                </c:pt>
              </c:strCache>
            </c:strRef>
          </c:cat>
          <c:val>
            <c:numRef>
              <c:f>Sheet1!$B$2:$B$3</c:f>
              <c:numCache>
                <c:formatCode>0.00%</c:formatCode>
                <c:ptCount val="2"/>
                <c:pt idx="0">
                  <c:v>0.9944</c:v>
                </c:pt>
                <c:pt idx="1">
                  <c:v>0.0056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支出决算结构图</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Sheet1!$A$2:$A$3</c:f>
              <c:strCache>
                <c:ptCount val="2"/>
                <c:pt idx="0">
                  <c:v>基本支出</c:v>
                </c:pt>
                <c:pt idx="1">
                  <c:v>项目支出</c:v>
                </c:pt>
              </c:strCache>
            </c:strRef>
          </c:cat>
          <c:val>
            <c:numRef>
              <c:f>Sheet1!$B$2:$B$3</c:f>
              <c:numCache>
                <c:formatCode>0.00%</c:formatCode>
                <c:ptCount val="2"/>
                <c:pt idx="0">
                  <c:v>0.9397</c:v>
                </c:pt>
                <c:pt idx="1">
                  <c:v>0.0603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收、支决算总计变动情况表</a:t>
            </a:r>
          </a:p>
        </c:rich>
      </c:tx>
      <c:layout/>
      <c:overlay val="0"/>
      <c:spPr>
        <a:noFill/>
        <a:ln>
          <a:noFill/>
        </a:ln>
        <a:effectLst/>
      </c:spPr>
    </c:title>
    <c:autoTitleDeleted val="0"/>
    <c:plotArea>
      <c:layout>
        <c:manualLayout>
          <c:layoutTarget val="inner"/>
          <c:xMode val="edge"/>
          <c:yMode val="edge"/>
          <c:x val="0.0778303198887344"/>
          <c:y val="0.133660746003552"/>
          <c:w val="0.8938"/>
          <c:h val="0.7169"/>
        </c:manualLayout>
      </c:layout>
      <c:barChart>
        <c:barDir val="col"/>
        <c:grouping val="clustered"/>
        <c:varyColors val="0"/>
        <c:ser>
          <c:idx val="0"/>
          <c:order val="0"/>
          <c:tx>
            <c:strRef>
              <c:f>Sheet1!$B$1</c:f>
              <c:strCache>
                <c:ptCount val="1"/>
                <c:pt idx="0">
                  <c:v>收、支情况</c:v>
                </c:pt>
              </c:strCache>
            </c:strRef>
          </c:tx>
          <c:spPr>
            <a:solidFill>
              <a:schemeClr val="accent1"/>
            </a:solidFill>
            <a:ln>
              <a:noFill/>
            </a:ln>
            <a:effectLst/>
          </c:spPr>
          <c:invertIfNegative val="0"/>
          <c:dLbls>
            <c:dLbl>
              <c:idx val="0"/>
              <c:layout>
                <c:manualLayout>
                  <c:x val="-0.00375"/>
                  <c:y val="0.105"/>
                </c:manualLayout>
              </c:layout>
              <c:numFmt formatCode="General" sourceLinked="1"/>
              <c:spPr>
                <a:noFill/>
                <a:ln>
                  <a:noFill/>
                </a:ln>
                <a:effectLst>
                  <a:glow rad="139700">
                    <a:schemeClr val="accent2">
                      <a:satMod val="175000"/>
                      <a:alpha val="40000"/>
                    </a:schemeClr>
                  </a:glow>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5625"/>
                  <c:y val="0.09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a:glow rad="139700">
                  <a:schemeClr val="accent2">
                    <a:satMod val="175000"/>
                    <a:alpha val="40000"/>
                  </a:schemeClr>
                </a:glow>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2021年度</c:v>
                </c:pt>
                <c:pt idx="1">
                  <c:v>2022年度</c:v>
                </c:pt>
              </c:strCache>
            </c:strRef>
          </c:cat>
          <c:val>
            <c:numRef>
              <c:f>Sheet1!$B$2:$B$3</c:f>
              <c:numCache>
                <c:formatCode>General</c:formatCode>
                <c:ptCount val="2"/>
                <c:pt idx="0">
                  <c:v>953.64</c:v>
                </c:pt>
                <c:pt idx="1">
                  <c:v>1155.99</c:v>
                </c:pt>
              </c:numCache>
            </c:numRef>
          </c:val>
        </c:ser>
        <c:dLbls>
          <c:showLegendKey val="0"/>
          <c:showVal val="0"/>
          <c:showCatName val="0"/>
          <c:showSerName val="0"/>
          <c:showPercent val="0"/>
          <c:showBubbleSize val="0"/>
        </c:dLbls>
        <c:gapWidth val="219"/>
        <c:overlap val="-27"/>
        <c:axId val="167385170"/>
        <c:axId val="235367038"/>
      </c:barChart>
      <c:catAx>
        <c:axId val="16738517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5367038"/>
        <c:crosses val="autoZero"/>
        <c:auto val="1"/>
        <c:lblAlgn val="ctr"/>
        <c:lblOffset val="100"/>
        <c:noMultiLvlLbl val="0"/>
      </c:catAx>
      <c:valAx>
        <c:axId val="23536703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738517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收、支决算总计变动情况表</a:t>
            </a:r>
          </a:p>
        </c:rich>
      </c:tx>
      <c:layout/>
      <c:overlay val="0"/>
      <c:spPr>
        <a:noFill/>
        <a:ln>
          <a:noFill/>
        </a:ln>
        <a:effectLst/>
      </c:spPr>
    </c:title>
    <c:autoTitleDeleted val="0"/>
    <c:plotArea>
      <c:layout>
        <c:manualLayout>
          <c:layoutTarget val="inner"/>
          <c:xMode val="edge"/>
          <c:yMode val="edge"/>
          <c:x val="0.0778303198887344"/>
          <c:y val="0.133660746003552"/>
          <c:w val="0.8938"/>
          <c:h val="0.7169"/>
        </c:manualLayout>
      </c:layout>
      <c:barChart>
        <c:barDir val="col"/>
        <c:grouping val="clustered"/>
        <c:varyColors val="0"/>
        <c:ser>
          <c:idx val="0"/>
          <c:order val="0"/>
          <c:tx>
            <c:strRef>
              <c:f>Sheet1!$B$1</c:f>
              <c:strCache>
                <c:ptCount val="1"/>
                <c:pt idx="0">
                  <c:v>一般公共预算财政拨款支出决算变动情况表</c:v>
                </c:pt>
              </c:strCache>
            </c:strRef>
          </c:tx>
          <c:spPr>
            <a:solidFill>
              <a:schemeClr val="accent1"/>
            </a:solidFill>
            <a:ln>
              <a:noFill/>
            </a:ln>
            <a:effectLst/>
          </c:spPr>
          <c:invertIfNegative val="0"/>
          <c:dLbls>
            <c:dLbl>
              <c:idx val="0"/>
              <c:layout>
                <c:manualLayout>
                  <c:x val="-0.00375"/>
                  <c:y val="0.105"/>
                </c:manualLayout>
              </c:layout>
              <c:numFmt formatCode="General" sourceLinked="1"/>
              <c:spPr>
                <a:noFill/>
                <a:ln>
                  <a:noFill/>
                </a:ln>
                <a:effectLst>
                  <a:glow rad="139700">
                    <a:schemeClr val="accent2">
                      <a:satMod val="175000"/>
                      <a:alpha val="40000"/>
                    </a:schemeClr>
                  </a:glow>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5625"/>
                  <c:y val="0.09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a:glow rad="139700">
                  <a:schemeClr val="accent2">
                    <a:satMod val="175000"/>
                    <a:alpha val="40000"/>
                  </a:schemeClr>
                </a:glow>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2021年度</c:v>
                </c:pt>
                <c:pt idx="1">
                  <c:v>2022年度</c:v>
                </c:pt>
              </c:strCache>
            </c:strRef>
          </c:cat>
          <c:val>
            <c:numRef>
              <c:f>Sheet1!$B$2:$B$3</c:f>
              <c:numCache>
                <c:formatCode>General</c:formatCode>
                <c:ptCount val="2"/>
                <c:pt idx="0">
                  <c:v>953.64</c:v>
                </c:pt>
                <c:pt idx="1">
                  <c:v>1149.49</c:v>
                </c:pt>
              </c:numCache>
            </c:numRef>
          </c:val>
        </c:ser>
        <c:dLbls>
          <c:showLegendKey val="0"/>
          <c:showVal val="0"/>
          <c:showCatName val="0"/>
          <c:showSerName val="0"/>
          <c:showPercent val="0"/>
          <c:showBubbleSize val="0"/>
        </c:dLbls>
        <c:gapWidth val="219"/>
        <c:overlap val="-27"/>
        <c:axId val="167385170"/>
        <c:axId val="235367038"/>
      </c:barChart>
      <c:catAx>
        <c:axId val="16738517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5367038"/>
        <c:crosses val="autoZero"/>
        <c:auto val="1"/>
        <c:lblAlgn val="ctr"/>
        <c:lblOffset val="100"/>
        <c:noMultiLvlLbl val="0"/>
      </c:catAx>
      <c:valAx>
        <c:axId val="23536703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738517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一般公共预算财政拨款款支出决算结构</a:t>
            </a:r>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Lbls>
            <c:dLbl>
              <c:idx val="2"/>
              <c:layout>
                <c:manualLayout>
                  <c:x val="0.0246234638260376"/>
                  <c:y val="-0.11338078815803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614655387633307"/>
                  <c:y val="-0.0065848898004940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一般公共服务支出</c:v>
                </c:pt>
                <c:pt idx="1">
                  <c:v>国防支出</c:v>
                </c:pt>
                <c:pt idx="2">
                  <c:v>公共安全支出</c:v>
                </c:pt>
                <c:pt idx="3">
                  <c:v>文化旅游体育与传媒支出</c:v>
                </c:pt>
                <c:pt idx="4">
                  <c:v>社会保障和就业支出</c:v>
                </c:pt>
                <c:pt idx="5">
                  <c:v>卫生健康支出</c:v>
                </c:pt>
                <c:pt idx="6">
                  <c:v>城乡社区支出</c:v>
                </c:pt>
                <c:pt idx="7">
                  <c:v>农林水支出</c:v>
                </c:pt>
                <c:pt idx="8">
                  <c:v>住房保障支出</c:v>
                </c:pt>
              </c:strCache>
            </c:strRef>
          </c:cat>
          <c:val>
            <c:numRef>
              <c:f>Sheet1!$B$2:$B$10</c:f>
              <c:numCache>
                <c:formatCode>0.00%</c:formatCode>
                <c:ptCount val="9"/>
                <c:pt idx="0">
                  <c:v>0.4942</c:v>
                </c:pt>
                <c:pt idx="1">
                  <c:v>0.0017</c:v>
                </c:pt>
                <c:pt idx="2">
                  <c:v>0.0033</c:v>
                </c:pt>
                <c:pt idx="3">
                  <c:v>0.0039</c:v>
                </c:pt>
                <c:pt idx="4">
                  <c:v>0.1009</c:v>
                </c:pt>
                <c:pt idx="5">
                  <c:v>0.0298</c:v>
                </c:pt>
                <c:pt idx="6">
                  <c:v>0.0074</c:v>
                </c:pt>
                <c:pt idx="7">
                  <c:v>0.3123</c:v>
                </c:pt>
                <c:pt idx="8">
                  <c:v>0.0465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“三公”经费财政拨款支出</c:v>
                </c:pt>
              </c:strCache>
            </c:strRef>
          </c:tx>
          <c:spPr>
            <a:solidFill>
              <a:schemeClr val="accent2"/>
            </a:solidFill>
            <a:ln w="38100" cap="flat" cmpd="sng" algn="ctr">
              <a:solidFill>
                <a:schemeClr val="lt1"/>
              </a:solidFill>
              <a:prstDash val="solid"/>
            </a:ln>
            <a:effectLst>
              <a:outerShdw blurRad="40000" dist="20000" dir="5400000" rotWithShape="0">
                <a:srgbClr val="000000">
                  <a:alpha val="38000"/>
                </a:srgbClr>
              </a:outerShdw>
            </a:effectLst>
            <a:sp3d>
              <a:extrusionClr>
                <a:srgbClr val="FFFFFF"/>
              </a:extrusionClr>
              <a:contourClr>
                <a:srgbClr val="FFFFFF"/>
              </a:contourClr>
            </a:sp3d>
          </c:spPr>
          <c:explosion val="0"/>
          <c:dPt>
            <c:idx val="0"/>
            <c:bubble3D val="0"/>
            <c:spPr>
              <a:solidFill>
                <a:schemeClr val="accent2"/>
              </a:solidFill>
              <a:ln w="38100" cap="flat" cmpd="sng" algn="ctr">
                <a:solidFill>
                  <a:schemeClr val="lt1"/>
                </a:solidFill>
                <a:prstDash val="solid"/>
              </a:ln>
              <a:effectLst>
                <a:outerShdw blurRad="40000" dist="20000" dir="5400000" rotWithShape="0">
                  <a:srgbClr val="000000">
                    <a:alpha val="38000"/>
                  </a:srgbClr>
                </a:outerShdw>
              </a:effectLst>
              <a:sp3d>
                <a:extrusionClr>
                  <a:srgbClr val="FFFFFF"/>
                </a:extrusionClr>
                <a:contourClr>
                  <a:srgbClr val="FFFFFF"/>
                </a:contourClr>
              </a:sp3d>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公务接待费</c:v>
                </c:pt>
              </c:strCache>
            </c:strRef>
          </c:cat>
          <c:val>
            <c:numRef>
              <c:f>Sheet1!$B$2</c:f>
              <c:numCache>
                <c:formatCode>0%</c:formatCode>
                <c:ptCount val="1"/>
                <c:pt idx="0">
                  <c:v>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67</Pages>
  <Words>25185</Words>
  <Characters>27203</Characters>
  <Lines>61</Lines>
  <Paragraphs>17</Paragraphs>
  <TotalTime>6</TotalTime>
  <ScaleCrop>false</ScaleCrop>
  <LinksUpToDate>false</LinksUpToDate>
  <CharactersWithSpaces>27356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2020-08-05T09:49:00Z</dcterms:created>
  <dc:creator>曹颖</dc:creator>
  <cp:lastModifiedBy>DELL</cp:lastModifiedBy>
  <cp:lastPrinted>2023-07-31T10:35:00Z</cp:lastPrinted>
  <dcterms:modified xsi:type="dcterms:W3CDTF">2023-09-28T11:20:41Z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1C6C92E8681E4A66BB69240E7F74BEFF_13</vt:lpwstr>
  </property>
</Properties>
</file>