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800" w:lineRule="exact"/>
        <w:jc w:val="center"/>
        <w:outlineLvl w:val="0"/>
        <w:rPr>
          <w:rFonts w:ascii="方正小标宋简体" w:hAnsi="宋体" w:eastAsia="方正小标宋简体"/>
          <w:sz w:val="72"/>
          <w:szCs w:val="72"/>
        </w:rPr>
      </w:pPr>
    </w:p>
    <w:p>
      <w:pPr>
        <w:spacing w:line="1000" w:lineRule="exact"/>
        <w:jc w:val="center"/>
        <w:outlineLvl w:val="0"/>
        <w:rPr>
          <w:rFonts w:ascii="方正小标宋简体" w:hAnsi="宋体" w:eastAsia="方正小标宋简体"/>
          <w:sz w:val="72"/>
          <w:szCs w:val="72"/>
        </w:rPr>
      </w:pPr>
      <w:bookmarkStart w:id="1" w:name="_Toc29620"/>
      <w:bookmarkStart w:id="2" w:name="_Toc15377193"/>
      <w:bookmarkStart w:id="3" w:name="_Toc15396597"/>
      <w:bookmarkStart w:id="4" w:name="_Toc15396475"/>
      <w:bookmarkStart w:id="5" w:name="_Toc15377425"/>
      <w:bookmarkStart w:id="6" w:name="_Toc15378441"/>
      <w:r>
        <w:rPr>
          <w:rFonts w:ascii="黑体" w:hAnsi="黑体" w:eastAsia="黑体"/>
          <w:color w:val="000000"/>
          <w:sz w:val="72"/>
          <w:szCs w:val="72"/>
        </w:rPr>
        <w:t>20</w:t>
      </w:r>
      <w:r>
        <w:rPr>
          <w:rFonts w:hint="eastAsia" w:ascii="黑体" w:hAnsi="黑体" w:eastAsia="黑体"/>
          <w:color w:val="000000"/>
          <w:sz w:val="72"/>
          <w:szCs w:val="72"/>
        </w:rPr>
        <w:t>21</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bookmarkEnd w:id="0"/>
    <w:p>
      <w:pPr>
        <w:adjustRightInd w:val="0"/>
        <w:snapToGrid w:val="0"/>
        <w:spacing w:line="1000" w:lineRule="exact"/>
        <w:jc w:val="center"/>
        <w:outlineLvl w:val="0"/>
        <w:rPr>
          <w:rFonts w:ascii="方正小标宋简体" w:hAnsi="宋体" w:eastAsia="方正小标宋简体"/>
          <w:color w:val="000000"/>
          <w:sz w:val="72"/>
          <w:szCs w:val="72"/>
        </w:rPr>
      </w:pPr>
      <w:bookmarkStart w:id="7" w:name="_Toc15378442"/>
      <w:bookmarkStart w:id="8" w:name="_Toc15396598"/>
      <w:bookmarkStart w:id="9" w:name="_Toc15377426"/>
      <w:bookmarkStart w:id="10" w:name="_Toc15377194"/>
      <w:bookmarkStart w:id="11" w:name="_Toc15306268"/>
      <w:bookmarkStart w:id="12" w:name="_Toc7574"/>
      <w:bookmarkStart w:id="13" w:name="_Toc15396476"/>
      <w:r>
        <w:rPr>
          <w:rFonts w:hint="eastAsia" w:ascii="方正小标宋简体" w:hAnsi="宋体" w:eastAsia="方正小标宋简体"/>
          <w:color w:val="000000"/>
          <w:sz w:val="72"/>
          <w:szCs w:val="72"/>
        </w:rPr>
        <w:t>广元市昭化区三江新区发展事务中心部门决算</w:t>
      </w:r>
      <w:bookmarkEnd w:id="7"/>
      <w:bookmarkEnd w:id="8"/>
      <w:bookmarkEnd w:id="9"/>
      <w:bookmarkEnd w:id="10"/>
      <w:bookmarkEnd w:id="11"/>
      <w:bookmarkEnd w:id="12"/>
      <w:bookmarkEnd w:id="13"/>
    </w:p>
    <w:p>
      <w:pPr>
        <w:widowControl/>
        <w:spacing w:line="576" w:lineRule="exact"/>
        <w:jc w:val="center"/>
      </w:pPr>
      <w:r>
        <w:rPr>
          <w:rFonts w:ascii="方正小标宋简体" w:hAnsi="宋体" w:eastAsia="方正小标宋简体"/>
          <w:sz w:val="36"/>
          <w:szCs w:val="36"/>
        </w:rPr>
        <w:br w:type="page"/>
      </w:r>
      <w:r>
        <w:rPr>
          <w:rFonts w:hint="eastAsia" w:ascii="方正小标宋简体" w:hAnsi="黑体" w:eastAsia="方正小标宋简体"/>
          <w:sz w:val="44"/>
          <w:szCs w:val="44"/>
        </w:rPr>
        <w:t>目　　录</w:t>
      </w:r>
      <w:r>
        <w:fldChar w:fldCharType="begin"/>
      </w:r>
      <w:r>
        <w:instrText xml:space="preserve">TOC \o "1-3" \u </w:instrText>
      </w:r>
      <w:r>
        <w:fldChar w:fldCharType="separate"/>
      </w:r>
    </w:p>
    <w:p>
      <w:pPr>
        <w:pStyle w:val="12"/>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黑体" w:hAnsi="黑体" w:eastAsia="黑体"/>
        </w:rPr>
        <w:t>第一部分 单位</w:t>
      </w:r>
      <w:r>
        <w:rPr>
          <w:rFonts w:hint="eastAsia" w:ascii="黑体" w:hAnsi="黑体" w:eastAsia="黑体"/>
          <w:bCs w:val="0"/>
        </w:rPr>
        <w:t>概况</w:t>
      </w:r>
      <w:r>
        <w:tab/>
      </w:r>
      <w:r>
        <w:fldChar w:fldCharType="begin"/>
      </w:r>
      <w:r>
        <w:instrText xml:space="preserve"> PAGEREF _Toc30574 \h </w:instrText>
      </w:r>
      <w:r>
        <w:fldChar w:fldCharType="separate"/>
      </w:r>
      <w:r>
        <w:t>1</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黑体" w:hAnsi="黑体" w:eastAsia="黑体"/>
          <w:bCs w:val="0"/>
        </w:rPr>
        <w:t>一、职能简介</w:t>
      </w:r>
      <w:r>
        <w:tab/>
      </w:r>
      <w:r>
        <w:fldChar w:fldCharType="begin"/>
      </w:r>
      <w:r>
        <w:instrText xml:space="preserve"> PAGEREF _Toc24733 \h </w:instrText>
      </w:r>
      <w:r>
        <w:fldChar w:fldCharType="separate"/>
      </w:r>
      <w:r>
        <w:t>1</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黑体" w:hAnsi="黑体" w:eastAsia="黑体"/>
        </w:rPr>
        <w:t>二、重点工作完成情况</w:t>
      </w:r>
      <w:r>
        <w:tab/>
      </w:r>
      <w:r>
        <w:fldChar w:fldCharType="begin"/>
      </w:r>
      <w:r>
        <w:instrText xml:space="preserve"> PAGEREF _Toc2394 \h </w:instrText>
      </w:r>
      <w:r>
        <w:fldChar w:fldCharType="separate"/>
      </w:r>
      <w:r>
        <w:t>1</w:t>
      </w:r>
      <w:r>
        <w:fldChar w:fldCharType="end"/>
      </w:r>
    </w:p>
    <w:p>
      <w:pPr>
        <w:pStyle w:val="12"/>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黑体" w:hAnsi="黑体" w:eastAsia="黑体"/>
        </w:rPr>
        <w:t>第二部分 2021年度</w:t>
      </w:r>
      <w:r>
        <w:rPr>
          <w:rFonts w:hint="eastAsia" w:ascii="黑体" w:hAnsi="黑体" w:eastAsia="黑体"/>
          <w:bCs/>
        </w:rPr>
        <w:t>单位决算情况说明</w:t>
      </w:r>
      <w:r>
        <w:tab/>
      </w:r>
      <w:r>
        <w:fldChar w:fldCharType="begin"/>
      </w:r>
      <w:r>
        <w:instrText xml:space="preserve"> PAGEREF _Toc18676 \h </w:instrText>
      </w:r>
      <w:r>
        <w:fldChar w:fldCharType="separate"/>
      </w:r>
      <w:r>
        <w:t>5</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_Toc26784 \h </w:instrText>
      </w:r>
      <w:r>
        <w:fldChar w:fldCharType="separate"/>
      </w:r>
      <w:r>
        <w:t>5</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_Toc2657 \h </w:instrText>
      </w:r>
      <w:r>
        <w:fldChar w:fldCharType="separate"/>
      </w:r>
      <w:r>
        <w:t>5</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_Toc17635 \h </w:instrText>
      </w:r>
      <w:r>
        <w:fldChar w:fldCharType="separate"/>
      </w:r>
      <w:r>
        <w:t>6</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_Toc30513 \h </w:instrText>
      </w:r>
      <w:r>
        <w:fldChar w:fldCharType="separate"/>
      </w:r>
      <w:r>
        <w:t>7</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_Toc13069 \h </w:instrText>
      </w:r>
      <w:r>
        <w:fldChar w:fldCharType="separate"/>
      </w:r>
      <w:r>
        <w:t>7</w:t>
      </w:r>
      <w:r>
        <w:fldChar w:fldCharType="end"/>
      </w:r>
    </w:p>
    <w:p>
      <w:pPr>
        <w:pStyle w:val="8"/>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szCs w:val="32"/>
        </w:rPr>
        <w:t>（一）一般公共预算财政拨款支出决算总体情况</w:t>
      </w:r>
      <w:r>
        <w:tab/>
      </w:r>
      <w:r>
        <w:fldChar w:fldCharType="begin"/>
      </w:r>
      <w:r>
        <w:instrText xml:space="preserve"> PAGEREF _Toc2574 \h </w:instrText>
      </w:r>
      <w:r>
        <w:fldChar w:fldCharType="separate"/>
      </w:r>
      <w:r>
        <w:t>7</w:t>
      </w:r>
      <w:r>
        <w:fldChar w:fldCharType="end"/>
      </w:r>
    </w:p>
    <w:p>
      <w:pPr>
        <w:pStyle w:val="8"/>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szCs w:val="32"/>
        </w:rPr>
        <w:t>（二）一般公共预算财政拨款支出决算结构情况</w:t>
      </w:r>
      <w:r>
        <w:tab/>
      </w:r>
      <w:r>
        <w:fldChar w:fldCharType="begin"/>
      </w:r>
      <w:r>
        <w:instrText xml:space="preserve"> PAGEREF _Toc22337 \h </w:instrText>
      </w:r>
      <w:r>
        <w:fldChar w:fldCharType="separate"/>
      </w:r>
      <w:r>
        <w:t>8</w:t>
      </w:r>
      <w:r>
        <w:fldChar w:fldCharType="end"/>
      </w:r>
    </w:p>
    <w:p>
      <w:pPr>
        <w:pStyle w:val="8"/>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szCs w:val="32"/>
        </w:rPr>
        <w:t>（三）一般公共预算财政拨款支出决算具体情况</w:t>
      </w:r>
      <w:r>
        <w:tab/>
      </w:r>
      <w:r>
        <w:fldChar w:fldCharType="begin"/>
      </w:r>
      <w:r>
        <w:instrText xml:space="preserve"> PAGEREF _Toc25401 \h </w:instrText>
      </w:r>
      <w:r>
        <w:fldChar w:fldCharType="separate"/>
      </w:r>
      <w:r>
        <w:t>9</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_Toc7794 \h </w:instrText>
      </w:r>
      <w:r>
        <w:fldChar w:fldCharType="separate"/>
      </w:r>
      <w:r>
        <w:t>9</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_Toc10278 \h </w:instrText>
      </w:r>
      <w:r>
        <w:fldChar w:fldCharType="separate"/>
      </w:r>
      <w:r>
        <w:t>10</w:t>
      </w:r>
      <w:r>
        <w:fldChar w:fldCharType="end"/>
      </w:r>
    </w:p>
    <w:p>
      <w:pPr>
        <w:pStyle w:val="8"/>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szCs w:val="32"/>
        </w:rPr>
        <w:t>（一）“三公”经费财政拨款支出决算总体情况说明</w:t>
      </w:r>
      <w:r>
        <w:tab/>
      </w:r>
      <w:r>
        <w:fldChar w:fldCharType="begin"/>
      </w:r>
      <w:r>
        <w:instrText xml:space="preserve"> PAGEREF _Toc7681 \h </w:instrText>
      </w:r>
      <w:r>
        <w:fldChar w:fldCharType="separate"/>
      </w:r>
      <w:r>
        <w:t>10</w:t>
      </w:r>
      <w:r>
        <w:fldChar w:fldCharType="end"/>
      </w:r>
    </w:p>
    <w:p>
      <w:pPr>
        <w:pStyle w:val="8"/>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szCs w:val="32"/>
        </w:rPr>
        <w:t>（二）“三公”经费财政拨款支出决算具体情况说明</w:t>
      </w:r>
      <w:r>
        <w:tab/>
      </w:r>
      <w:r>
        <w:fldChar w:fldCharType="begin"/>
      </w:r>
      <w:r>
        <w:instrText xml:space="preserve"> PAGEREF _Toc26166 \h </w:instrText>
      </w:r>
      <w:r>
        <w:fldChar w:fldCharType="separate"/>
      </w:r>
      <w:r>
        <w:t>10</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_Toc10296 \h </w:instrText>
      </w:r>
      <w:r>
        <w:fldChar w:fldCharType="separate"/>
      </w:r>
      <w:r>
        <w:t>11</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黑体" w:hAnsi="黑体" w:eastAsia="黑体"/>
        </w:rPr>
        <w:t>九、 国有资本经营预算支出决算情况说明</w:t>
      </w:r>
      <w:r>
        <w:tab/>
      </w:r>
      <w:r>
        <w:fldChar w:fldCharType="begin"/>
      </w:r>
      <w:r>
        <w:instrText xml:space="preserve"> PAGEREF _Toc2689 \h </w:instrText>
      </w:r>
      <w:r>
        <w:fldChar w:fldCharType="separate"/>
      </w:r>
      <w:r>
        <w:t>12</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黑体" w:hAnsi="黑体" w:eastAsia="黑体"/>
        </w:rPr>
        <w:t>十、 预算绩效管理情况</w:t>
      </w:r>
      <w:r>
        <w:tab/>
      </w:r>
      <w:r>
        <w:fldChar w:fldCharType="begin"/>
      </w:r>
      <w:r>
        <w:instrText xml:space="preserve"> PAGEREF _Toc16938 \h </w:instrText>
      </w:r>
      <w:r>
        <w:fldChar w:fldCharType="separate"/>
      </w:r>
      <w:r>
        <w:t>12</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黑体" w:hAnsi="黑体" w:eastAsia="黑体"/>
        </w:rPr>
        <w:t>十一、 其他重要事项的情况说明</w:t>
      </w:r>
      <w:r>
        <w:tab/>
      </w:r>
      <w:r>
        <w:fldChar w:fldCharType="begin"/>
      </w:r>
      <w:r>
        <w:instrText xml:space="preserve"> PAGEREF _Toc14679 \h </w:instrText>
      </w:r>
      <w:r>
        <w:fldChar w:fldCharType="separate"/>
      </w:r>
      <w:r>
        <w:t>12</w:t>
      </w:r>
      <w:r>
        <w:fldChar w:fldCharType="end"/>
      </w:r>
    </w:p>
    <w:p>
      <w:pPr>
        <w:pStyle w:val="8"/>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szCs w:val="32"/>
        </w:rPr>
        <w:t>（一）机关运行经费支出情况</w:t>
      </w:r>
      <w:r>
        <w:tab/>
      </w:r>
      <w:r>
        <w:fldChar w:fldCharType="begin"/>
      </w:r>
      <w:r>
        <w:instrText xml:space="preserve"> PAGEREF _Toc3144 \h </w:instrText>
      </w:r>
      <w:r>
        <w:fldChar w:fldCharType="separate"/>
      </w:r>
      <w:r>
        <w:t>12</w:t>
      </w:r>
      <w:r>
        <w:fldChar w:fldCharType="end"/>
      </w:r>
    </w:p>
    <w:p>
      <w:pPr>
        <w:pStyle w:val="8"/>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szCs w:val="32"/>
        </w:rPr>
        <w:t>（二）政府采购支出情况</w:t>
      </w:r>
      <w:r>
        <w:tab/>
      </w:r>
      <w:r>
        <w:fldChar w:fldCharType="begin"/>
      </w:r>
      <w:r>
        <w:instrText xml:space="preserve"> PAGEREF _Toc28987 \h </w:instrText>
      </w:r>
      <w:r>
        <w:fldChar w:fldCharType="separate"/>
      </w:r>
      <w:r>
        <w:t>12</w:t>
      </w:r>
      <w:r>
        <w:fldChar w:fldCharType="end"/>
      </w:r>
    </w:p>
    <w:p>
      <w:pPr>
        <w:pStyle w:val="8"/>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szCs w:val="32"/>
        </w:rPr>
        <w:t>（三）国有资产占有使用情况</w:t>
      </w:r>
      <w:r>
        <w:tab/>
      </w:r>
      <w:r>
        <w:fldChar w:fldCharType="begin"/>
      </w:r>
      <w:r>
        <w:instrText xml:space="preserve"> PAGEREF _Toc21371 \h </w:instrText>
      </w:r>
      <w:r>
        <w:fldChar w:fldCharType="separate"/>
      </w:r>
      <w:r>
        <w:t>12</w:t>
      </w:r>
      <w:r>
        <w:fldChar w:fldCharType="end"/>
      </w:r>
    </w:p>
    <w:p>
      <w:pPr>
        <w:pStyle w:val="12"/>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_Toc14881 \h </w:instrText>
      </w:r>
      <w:r>
        <w:fldChar w:fldCharType="separate"/>
      </w:r>
      <w:r>
        <w:t>13</w:t>
      </w:r>
      <w:r>
        <w:fldChar w:fldCharType="end"/>
      </w:r>
    </w:p>
    <w:p>
      <w:pPr>
        <w:pStyle w:val="12"/>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_Toc23532 \h </w:instrText>
      </w:r>
      <w:r>
        <w:fldChar w:fldCharType="separate"/>
      </w:r>
      <w:r>
        <w:t>16</w:t>
      </w:r>
      <w:r>
        <w:fldChar w:fldCharType="end"/>
      </w:r>
    </w:p>
    <w:p>
      <w:pPr>
        <w:pStyle w:val="12"/>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_Toc15241 \h </w:instrText>
      </w:r>
      <w:r>
        <w:fldChar w:fldCharType="separate"/>
      </w:r>
      <w:r>
        <w:t>17</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_Toc15147 \h </w:instrText>
      </w:r>
      <w:r>
        <w:fldChar w:fldCharType="separate"/>
      </w:r>
      <w:r>
        <w:t>17</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_Toc22661 \h </w:instrText>
      </w:r>
      <w:r>
        <w:fldChar w:fldCharType="separate"/>
      </w:r>
      <w:r>
        <w:t>17</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_Toc1189 \h </w:instrText>
      </w:r>
      <w:r>
        <w:fldChar w:fldCharType="separate"/>
      </w:r>
      <w:r>
        <w:t>17</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_Toc10482 \h </w:instrText>
      </w:r>
      <w:r>
        <w:fldChar w:fldCharType="separate"/>
      </w:r>
      <w:r>
        <w:t>17</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_Toc25203 \h </w:instrText>
      </w:r>
      <w:r>
        <w:fldChar w:fldCharType="separate"/>
      </w:r>
      <w:r>
        <w:t>17</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_Toc8550 \h </w:instrText>
      </w:r>
      <w:r>
        <w:fldChar w:fldCharType="separate"/>
      </w:r>
      <w:r>
        <w:t>17</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_Toc17940 \h </w:instrText>
      </w:r>
      <w:r>
        <w:fldChar w:fldCharType="separate"/>
      </w:r>
      <w:r>
        <w:t>17</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_Toc1957 \h </w:instrText>
      </w:r>
      <w:r>
        <w:fldChar w:fldCharType="separate"/>
      </w:r>
      <w:r>
        <w:t>17</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_Toc30611 \h </w:instrText>
      </w:r>
      <w:r>
        <w:fldChar w:fldCharType="separate"/>
      </w:r>
      <w:r>
        <w:t>17</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_Toc32662 \h </w:instrText>
      </w:r>
      <w:r>
        <w:fldChar w:fldCharType="separate"/>
      </w:r>
      <w:r>
        <w:t>17</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_Toc16154 \h </w:instrText>
      </w:r>
      <w:r>
        <w:fldChar w:fldCharType="separate"/>
      </w:r>
      <w:r>
        <w:t>17</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_Toc7441 \h </w:instrText>
      </w:r>
      <w:r>
        <w:fldChar w:fldCharType="separate"/>
      </w:r>
      <w:r>
        <w:t>17</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bCs w:val="0"/>
        </w:rPr>
        <w:t>十三、</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_Toc1045 \h </w:instrText>
      </w:r>
      <w:r>
        <w:fldChar w:fldCharType="separate"/>
      </w:r>
      <w:r>
        <w:t>17</w:t>
      </w:r>
      <w: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576" w:lineRule="exact"/>
        <w:textAlignment w:val="auto"/>
      </w:pPr>
      <w:r>
        <w:rPr>
          <w:rFonts w:hint="eastAsia" w:ascii="仿宋" w:hAnsi="仿宋" w:eastAsia="仿宋"/>
          <w:bCs w:val="0"/>
        </w:rPr>
        <w:t>十四、国有资本经营预算财政拨款支出决算表</w:t>
      </w:r>
      <w:r>
        <w:tab/>
      </w:r>
      <w:r>
        <w:fldChar w:fldCharType="begin"/>
      </w:r>
      <w:r>
        <w:instrText xml:space="preserve"> PAGEREF _Toc2306 \h </w:instrText>
      </w:r>
      <w:r>
        <w:fldChar w:fldCharType="separate"/>
      </w:r>
      <w:r>
        <w:t>17</w:t>
      </w:r>
      <w:r>
        <w:fldChar w:fldCharType="end"/>
      </w:r>
    </w:p>
    <w:p>
      <w:r>
        <w:fldChar w:fldCharType="end"/>
      </w:r>
    </w:p>
    <w:p>
      <w:pPr>
        <w:widowControl/>
        <w:spacing w:line="576" w:lineRule="exact"/>
        <w:jc w:val="center"/>
        <w:rPr>
          <w:rFonts w:hint="eastAsia" w:ascii="仿宋_GB2312" w:hAnsi="仿宋" w:eastAsia="仿宋_GB2312"/>
          <w:sz w:val="28"/>
          <w:szCs w:val="28"/>
        </w:rPr>
      </w:pPr>
    </w:p>
    <w:p>
      <w:pPr>
        <w:pStyle w:val="6"/>
        <w:ind w:left="0" w:leftChars="0" w:firstLine="0" w:firstLineChars="0"/>
        <w:sectPr>
          <w:headerReference r:id="rId3" w:type="default"/>
          <w:footerReference r:id="rId4" w:type="default"/>
          <w:pgSz w:w="11906" w:h="16838"/>
          <w:pgMar w:top="2098" w:right="1474" w:bottom="1985" w:left="1588" w:header="851" w:footer="1531" w:gutter="0"/>
          <w:pgNumType w:start="1"/>
          <w:cols w:space="425" w:num="1"/>
          <w:docGrid w:type="lines" w:linePitch="312" w:charSpace="0"/>
        </w:sectPr>
      </w:pPr>
      <w:bookmarkStart w:id="14" w:name="_Toc15377196"/>
      <w:bookmarkStart w:id="15" w:name="_Toc15396599"/>
    </w:p>
    <w:p>
      <w:pPr>
        <w:pStyle w:val="3"/>
        <w:spacing w:before="0" w:after="0" w:line="576" w:lineRule="exact"/>
        <w:jc w:val="center"/>
        <w:rPr>
          <w:rStyle w:val="28"/>
          <w:rFonts w:ascii="黑体" w:hAnsi="黑体" w:eastAsia="黑体"/>
          <w:b/>
          <w:bCs w:val="0"/>
        </w:rPr>
      </w:pPr>
      <w:bookmarkStart w:id="16" w:name="_Toc30574"/>
      <w:r>
        <w:rPr>
          <w:rFonts w:hint="eastAsia" w:ascii="黑体" w:hAnsi="黑体" w:eastAsia="黑体"/>
          <w:b w:val="0"/>
        </w:rPr>
        <w:t>第一部分 单位</w:t>
      </w:r>
      <w:r>
        <w:rPr>
          <w:rStyle w:val="28"/>
          <w:rFonts w:hint="eastAsia" w:ascii="黑体" w:hAnsi="黑体" w:eastAsia="黑体"/>
          <w:b w:val="0"/>
          <w:bCs w:val="0"/>
        </w:rPr>
        <w:t>概况</w:t>
      </w:r>
      <w:bookmarkEnd w:id="14"/>
      <w:bookmarkEnd w:id="15"/>
      <w:bookmarkEnd w:id="16"/>
    </w:p>
    <w:p>
      <w:pPr>
        <w:pStyle w:val="4"/>
        <w:spacing w:before="0" w:after="0" w:line="576" w:lineRule="exact"/>
        <w:ind w:firstLine="640" w:firstLineChars="200"/>
        <w:rPr>
          <w:rStyle w:val="29"/>
          <w:rFonts w:hint="eastAsia" w:ascii="黑体" w:hAnsi="黑体" w:eastAsia="黑体"/>
          <w:b w:val="0"/>
          <w:bCs w:val="0"/>
        </w:rPr>
      </w:pPr>
      <w:bookmarkStart w:id="17" w:name="_Toc15396600"/>
      <w:bookmarkStart w:id="18" w:name="_Toc15377197"/>
    </w:p>
    <w:p>
      <w:pPr>
        <w:pStyle w:val="4"/>
        <w:spacing w:before="0" w:after="0" w:line="576" w:lineRule="exact"/>
        <w:ind w:firstLine="640" w:firstLineChars="200"/>
      </w:pPr>
      <w:bookmarkStart w:id="19" w:name="_Toc24733"/>
      <w:r>
        <w:rPr>
          <w:rStyle w:val="29"/>
          <w:rFonts w:hint="eastAsia" w:ascii="黑体" w:hAnsi="黑体" w:eastAsia="黑体"/>
          <w:b w:val="0"/>
          <w:bCs w:val="0"/>
        </w:rPr>
        <w:t>一、职能简介</w:t>
      </w:r>
      <w:bookmarkEnd w:id="19"/>
    </w:p>
    <w:p>
      <w:pPr>
        <w:autoSpaceDE w:val="0"/>
        <w:spacing w:line="576" w:lineRule="exact"/>
        <w:ind w:firstLine="640" w:firstLineChars="200"/>
        <w:rPr>
          <w:rFonts w:eastAsia="仿宋_GB2312"/>
          <w:color w:val="000000"/>
          <w:sz w:val="32"/>
          <w:szCs w:val="32"/>
        </w:rPr>
      </w:pPr>
      <w:r>
        <w:rPr>
          <w:rFonts w:hint="eastAsia" w:eastAsia="仿宋_GB2312"/>
          <w:color w:val="000000"/>
          <w:sz w:val="32"/>
          <w:szCs w:val="32"/>
        </w:rPr>
        <w:t>（一）负责贯彻落实党的路线方针政策、省委、省政府的重大战略部署以及市委市政府、区委区政府有关决策安排。</w:t>
      </w:r>
    </w:p>
    <w:p>
      <w:pPr>
        <w:autoSpaceDE w:val="0"/>
        <w:spacing w:line="576" w:lineRule="exact"/>
        <w:ind w:firstLine="640" w:firstLineChars="200"/>
        <w:rPr>
          <w:rFonts w:eastAsia="仿宋_GB2312"/>
          <w:color w:val="000000"/>
          <w:sz w:val="32"/>
          <w:szCs w:val="32"/>
        </w:rPr>
      </w:pPr>
      <w:r>
        <w:rPr>
          <w:rFonts w:hint="eastAsia" w:eastAsia="仿宋_GB2312"/>
          <w:color w:val="000000"/>
          <w:sz w:val="32"/>
          <w:szCs w:val="32"/>
        </w:rPr>
        <w:t>（二）负责组织研究建立协同配合、高效运转的工作机制，指导有关镇、区级部门</w:t>
      </w:r>
      <w:r>
        <w:rPr>
          <w:rFonts w:eastAsia="仿宋_GB2312"/>
          <w:color w:val="000000"/>
          <w:sz w:val="32"/>
          <w:szCs w:val="32"/>
        </w:rPr>
        <w:t>(</w:t>
      </w:r>
      <w:r>
        <w:rPr>
          <w:rFonts w:hint="eastAsia" w:eastAsia="仿宋_GB2312"/>
          <w:color w:val="000000"/>
          <w:sz w:val="32"/>
          <w:szCs w:val="32"/>
        </w:rPr>
        <w:t>单位</w:t>
      </w:r>
      <w:r>
        <w:rPr>
          <w:rFonts w:eastAsia="仿宋_GB2312"/>
          <w:color w:val="000000"/>
          <w:sz w:val="32"/>
          <w:szCs w:val="32"/>
        </w:rPr>
        <w:t>)</w:t>
      </w:r>
      <w:r>
        <w:rPr>
          <w:rFonts w:hint="eastAsia" w:eastAsia="仿宋_GB2312"/>
          <w:color w:val="000000"/>
          <w:sz w:val="32"/>
          <w:szCs w:val="32"/>
        </w:rPr>
        <w:t>参与三江新区建设。　</w:t>
      </w:r>
    </w:p>
    <w:p>
      <w:pPr>
        <w:autoSpaceDE w:val="0"/>
        <w:spacing w:line="576" w:lineRule="exact"/>
        <w:ind w:firstLine="640" w:firstLineChars="200"/>
        <w:rPr>
          <w:rFonts w:eastAsia="仿宋_GB2312"/>
          <w:color w:val="000000"/>
          <w:sz w:val="32"/>
          <w:szCs w:val="32"/>
        </w:rPr>
      </w:pPr>
      <w:r>
        <w:rPr>
          <w:rFonts w:hint="eastAsia" w:eastAsia="仿宋_GB2312"/>
          <w:color w:val="000000"/>
          <w:sz w:val="32"/>
          <w:szCs w:val="32"/>
        </w:rPr>
        <w:t>（三）负责组织研究三江新区基础设施建设、产业发展和社会发展中存在的问题，向区委区政府提出工作建议。</w:t>
      </w:r>
    </w:p>
    <w:p>
      <w:pPr>
        <w:autoSpaceDE w:val="0"/>
        <w:spacing w:line="576" w:lineRule="exact"/>
        <w:ind w:firstLine="640" w:firstLineChars="200"/>
        <w:rPr>
          <w:rFonts w:eastAsia="仿宋_GB2312"/>
          <w:color w:val="000000"/>
          <w:sz w:val="32"/>
          <w:szCs w:val="32"/>
        </w:rPr>
      </w:pPr>
      <w:r>
        <w:rPr>
          <w:rFonts w:hint="eastAsia" w:eastAsia="仿宋_GB2312"/>
          <w:color w:val="000000"/>
          <w:sz w:val="32"/>
          <w:szCs w:val="32"/>
        </w:rPr>
        <w:t>（四）负责拟订三江新区建设工作计划，统筹安排各类建设项目，分解下达投资建设目标任务；配合有关部门督促相关镇和区级部门（单位）完成任务，开展专项考评工作。</w:t>
      </w:r>
    </w:p>
    <w:p>
      <w:pPr>
        <w:autoSpaceDE w:val="0"/>
        <w:spacing w:line="576" w:lineRule="exact"/>
        <w:ind w:firstLine="640" w:firstLineChars="200"/>
        <w:rPr>
          <w:rFonts w:eastAsia="仿宋_GB2312"/>
          <w:color w:val="000000"/>
          <w:sz w:val="32"/>
          <w:szCs w:val="32"/>
        </w:rPr>
      </w:pPr>
      <w:r>
        <w:rPr>
          <w:rFonts w:hint="eastAsia" w:eastAsia="仿宋_GB2312"/>
          <w:color w:val="000000"/>
          <w:sz w:val="32"/>
          <w:szCs w:val="32"/>
        </w:rPr>
        <w:t>（五）负责拟定三江新区建设有关政策措施，开展项目策划、包装、推介工作，开展重大投资促进活动，推进重大项目落地建设。</w:t>
      </w:r>
    </w:p>
    <w:p>
      <w:pPr>
        <w:autoSpaceDE w:val="0"/>
        <w:spacing w:line="576" w:lineRule="exact"/>
        <w:ind w:firstLine="640" w:firstLineChars="200"/>
        <w:rPr>
          <w:rFonts w:eastAsia="仿宋_GB2312"/>
          <w:color w:val="000000"/>
          <w:sz w:val="32"/>
          <w:szCs w:val="32"/>
        </w:rPr>
      </w:pPr>
      <w:r>
        <w:rPr>
          <w:rFonts w:hint="eastAsia" w:eastAsia="仿宋_GB2312"/>
          <w:color w:val="000000"/>
          <w:sz w:val="32"/>
          <w:szCs w:val="32"/>
        </w:rPr>
        <w:t>（六）负责研究拟定三江新区开发、项目建设机制办法。</w:t>
      </w:r>
    </w:p>
    <w:p>
      <w:pPr>
        <w:autoSpaceDE w:val="0"/>
        <w:spacing w:line="576" w:lineRule="exact"/>
        <w:ind w:firstLine="640" w:firstLineChars="200"/>
        <w:rPr>
          <w:rFonts w:eastAsia="仿宋_GB2312"/>
          <w:color w:val="000000"/>
          <w:sz w:val="32"/>
          <w:szCs w:val="32"/>
        </w:rPr>
      </w:pPr>
      <w:r>
        <w:rPr>
          <w:rFonts w:hint="eastAsia" w:eastAsia="仿宋_GB2312"/>
          <w:color w:val="000000"/>
          <w:sz w:val="32"/>
          <w:szCs w:val="32"/>
        </w:rPr>
        <w:t>（七）承担区委交办的其他工作。</w:t>
      </w:r>
    </w:p>
    <w:p>
      <w:pPr>
        <w:pStyle w:val="4"/>
        <w:spacing w:before="0" w:after="0" w:line="576" w:lineRule="exact"/>
        <w:ind w:firstLine="640" w:firstLineChars="200"/>
        <w:rPr>
          <w:rFonts w:ascii="黑体" w:hAnsi="黑体" w:eastAsia="黑体"/>
          <w:b w:val="0"/>
        </w:rPr>
      </w:pPr>
      <w:bookmarkStart w:id="20" w:name="_Toc2394"/>
      <w:r>
        <w:rPr>
          <w:rFonts w:hint="eastAsia" w:ascii="黑体" w:hAnsi="黑体" w:eastAsia="黑体"/>
          <w:b w:val="0"/>
        </w:rPr>
        <w:t>二、重点工作</w:t>
      </w:r>
      <w:bookmarkEnd w:id="17"/>
      <w:bookmarkEnd w:id="18"/>
      <w:r>
        <w:rPr>
          <w:rFonts w:hint="eastAsia" w:ascii="黑体" w:hAnsi="黑体" w:eastAsia="黑体"/>
          <w:b w:val="0"/>
        </w:rPr>
        <w:t>完成情况</w:t>
      </w:r>
      <w:bookmarkEnd w:id="20"/>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（一）2021年目标完成情况</w:t>
      </w:r>
    </w:p>
    <w:p>
      <w:pPr>
        <w:spacing w:line="576" w:lineRule="exact"/>
        <w:ind w:firstLine="640" w:firstLineChars="200"/>
        <w:jc w:val="left"/>
        <w:rPr>
          <w:rFonts w:eastAsia="仿宋_GB2312"/>
          <w:bCs/>
          <w:sz w:val="32"/>
          <w:szCs w:val="32"/>
        </w:rPr>
      </w:pPr>
      <w:r>
        <w:rPr>
          <w:rFonts w:eastAsia="仿宋_GB2312"/>
          <w:bCs/>
          <w:sz w:val="32"/>
          <w:szCs w:val="32"/>
        </w:rPr>
        <w:t>2021三江新区昭化片区推进实施各类项目31个，1-12月累计可完成固定资产投资25亿元（预估数据），占区下目标任务的113.6%，超额完成年度目标任务，增长30%以上。</w:t>
      </w:r>
    </w:p>
    <w:p>
      <w:pPr>
        <w:spacing w:line="576" w:lineRule="exact"/>
        <w:ind w:firstLine="640" w:firstLineChars="200"/>
        <w:rPr>
          <w:rFonts w:eastAsia="楷体_GB2312"/>
          <w:sz w:val="32"/>
          <w:szCs w:val="32"/>
        </w:rPr>
      </w:pPr>
      <w:r>
        <w:rPr>
          <w:rFonts w:eastAsia="楷体_GB2312"/>
          <w:sz w:val="32"/>
          <w:szCs w:val="32"/>
        </w:rPr>
        <w:t>（</w:t>
      </w:r>
      <w:r>
        <w:rPr>
          <w:rFonts w:hint="eastAsia" w:eastAsia="楷体_GB2312"/>
          <w:sz w:val="32"/>
          <w:szCs w:val="32"/>
        </w:rPr>
        <w:t>二</w:t>
      </w:r>
      <w:r>
        <w:rPr>
          <w:rFonts w:eastAsia="楷体_GB2312"/>
          <w:sz w:val="32"/>
          <w:szCs w:val="32"/>
        </w:rPr>
        <w:t>）重点项目推进情况</w:t>
      </w:r>
    </w:p>
    <w:p>
      <w:pPr>
        <w:spacing w:line="576" w:lineRule="exact"/>
        <w:ind w:firstLine="640" w:firstLineChars="200"/>
        <w:jc w:val="left"/>
        <w:rPr>
          <w:rFonts w:eastAsia="仿宋_GB2312"/>
          <w:sz w:val="32"/>
          <w:szCs w:val="32"/>
        </w:rPr>
      </w:pPr>
      <w:r>
        <w:rPr>
          <w:rFonts w:eastAsia="仿宋_GB2312"/>
          <w:sz w:val="32"/>
          <w:szCs w:val="32"/>
        </w:rPr>
        <w:t>一是加快推进“两路一隧”基础设施等9个完工项目。其中，总投资11.3亿元的两路一隧”基础设施工程即将实现通车。总投资3477万元的昭化古城防洪工程战胜坝段1.63公里河堤全面建成并投入使用。总投资7.8亿元的白果风电场33台风机全部建成并投运。总投资2.5亿元的昭化区中药材产业集群发展项目0.8万亩标准化中药材种植基地及配套设施建设全部完成。二是加快推进大寨水库等5个在建项目施工建设。其中，总投资5.5亿元的大寨水库枢纽工程基本完成，渠系统工程累计完成50%以上。 总投资10.28亿元的亭子湖环湖旅游公路累计完成总工程量的72%，全线路基工程累计完成94％，桥梁下部结构全部完成，当前正在加快推进桥梁上部结构施工。总投资3.8亿元的川北红岩港粮食现代物流中心正在进行4、5号储粮仓主体工程施工，储油罐基础工程施工。总投资3亿元的大蜀道昭化段文旅融合项目已完成足球场、旅游厕所、停车场等旅游基础工程及蜀道修复工作，元阳石景区正在编制景区规划方案，同步启动地形图测绘前期工作。三是土基坝段防洪堤工程等5个项目年底均可实现开工建设，其中，总投资2240万元的土基坝防洪工程10月正式开工建设，当前正在开展堤基开挖及基础施工。总投资1.9亿元的S205宝红路（昭化镇黄连铺至柏杨大桥段）改扩建工程立项、可研、选址、勘察设计招标、施工图设计编制等工作已完成，12月已开工建设。红岩至剑阁界旅游公路因需征用80余亩基本农田，审批难度大，周期长，年内无法开工建设，2021年中期已作出调整。鸭浮天雄防洪生态堤防工程（鸭浮段）因我区新签约总投资12亿元的点亮智慧科技园项目投资方要求变更河堤项目设计，满足亮智慧科技园项目需求，2021年暂缓实施。四是广元市第一人民医院三江分院、昭化区昭化镇过境（摆宴坝至射箭白骨塔）段改线工程等10个前期项目有序推进。其中，广元市第一人民医院三江分院选址已完成，业主单位正在加快推进可研编制，开展初设等前期工作，计划2022年10月开工建设。昭化区昭化镇过境（摆宴坝至射箭白骨塔）段改线工程正在开展立项准备工作，计划2022年开工建设。</w:t>
      </w:r>
    </w:p>
    <w:p>
      <w:pPr>
        <w:spacing w:line="576" w:lineRule="exact"/>
        <w:ind w:firstLine="640" w:firstLineChars="200"/>
        <w:rPr>
          <w:rFonts w:eastAsia="楷体_GB2312"/>
          <w:sz w:val="32"/>
          <w:szCs w:val="32"/>
        </w:rPr>
      </w:pPr>
      <w:r>
        <w:rPr>
          <w:rFonts w:eastAsia="楷体_GB2312"/>
          <w:sz w:val="32"/>
          <w:szCs w:val="32"/>
        </w:rPr>
        <w:t>（</w:t>
      </w:r>
      <w:r>
        <w:rPr>
          <w:rFonts w:hint="eastAsia" w:eastAsia="楷体_GB2312"/>
          <w:sz w:val="32"/>
          <w:szCs w:val="32"/>
        </w:rPr>
        <w:t>三</w:t>
      </w:r>
      <w:r>
        <w:rPr>
          <w:rFonts w:eastAsia="楷体_GB2312"/>
          <w:sz w:val="32"/>
          <w:szCs w:val="32"/>
        </w:rPr>
        <w:t>）招商引资工作完成情况</w:t>
      </w:r>
    </w:p>
    <w:p>
      <w:pPr>
        <w:widowControl/>
        <w:spacing w:line="576" w:lineRule="exact"/>
        <w:ind w:firstLine="640" w:firstLineChars="200"/>
        <w:jc w:val="left"/>
        <w:textAlignment w:val="center"/>
        <w:rPr>
          <w:rFonts w:eastAsia="仿宋_GB2312"/>
          <w:sz w:val="32"/>
          <w:szCs w:val="32"/>
        </w:rPr>
      </w:pPr>
      <w:r>
        <w:rPr>
          <w:rFonts w:eastAsia="仿宋_GB2312"/>
          <w:sz w:val="32"/>
          <w:szCs w:val="32"/>
        </w:rPr>
        <w:t>新区累计完成招商引资签约项目14个，签约资金40.77亿元（其中亿元以上项目4个，分别是昭化镇城关村村民委员会签约的摆宴坝农文旅康融合发展项目，签约资金5亿元、区政府与杭州好兴星网络科技有限公司签约的点亮智慧平台项目，签约金额12亿元、区政府与中电建新能源开发有限公司签约的昭化风电项目二、三、四期30万千瓦风力发电项目，签约金额21亿元，区政府与浙江信德农业有限公司签约的东西部协作—昭·拱林下生态循环示范园建设项目，签约金额2亿元，在谈亿元项目1个（广元市第一人民医院三江新区分院建设项目），总投资12.8亿元。</w:t>
      </w:r>
    </w:p>
    <w:p>
      <w:pPr>
        <w:spacing w:line="576" w:lineRule="exact"/>
        <w:rPr>
          <w:rFonts w:hint="eastAsia"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楷体_GB2312"/>
          <w:sz w:val="32"/>
          <w:szCs w:val="32"/>
        </w:rPr>
      </w:pPr>
      <w:r>
        <w:rPr>
          <w:rFonts w:hint="eastAsia" w:eastAsia="楷体_GB2312"/>
          <w:sz w:val="32"/>
          <w:szCs w:val="32"/>
        </w:rPr>
        <w:t>（四）</w:t>
      </w:r>
      <w:r>
        <w:rPr>
          <w:rFonts w:eastAsia="楷体_GB2312"/>
          <w:sz w:val="32"/>
          <w:szCs w:val="32"/>
        </w:rPr>
        <w:t>全力做好要素保障</w:t>
      </w:r>
    </w:p>
    <w:p>
      <w:pPr>
        <w:spacing w:line="576" w:lineRule="exact"/>
        <w:ind w:firstLine="640" w:firstLineChars="200"/>
        <w:rPr>
          <w:rFonts w:eastAsia="仿宋_GB2312"/>
          <w:sz w:val="32"/>
          <w:szCs w:val="32"/>
        </w:rPr>
      </w:pPr>
      <w:r>
        <w:rPr>
          <w:rFonts w:eastAsia="仿宋_GB2312"/>
          <w:sz w:val="32"/>
          <w:szCs w:val="32"/>
        </w:rPr>
        <w:t>一是认真履行重点项目协调工作职能职责，用好会商机制，及时发现和解决项目推进中的矛盾和问题，做到“不拖不等不靠”，全力保障“两路一隧”，亭子湖环湖旅游公路、大寨水库、川北红岩港现代粮食物流中心等重点项目施工建设，全面完成形象进度、投资任务。二是加强项目规划建设与上位规划对接协调工作，强化统筹工作力量，为昭化古城旅游度假区等三江新区核心区重大项目提供土地、人力等要素保障，尽一切可能排除推进障碍，保障重大项目顺利推进建设。三是持续优化投资环境，打造优商、重商、亲商营商氛围。坚持优先安排重点项目审批立项，优先安排重点项目用地、供电、供水、劳动力等要素保障，充分发挥“两中心”职能作用，对投资项目做到全程跟踪服务，“一站式”审批，确保项目审批程序简、时间短、效率高、服务优，强化新区规划管控，确保新区有序开发。</w:t>
      </w:r>
    </w:p>
    <w:p>
      <w:pPr>
        <w:widowControl/>
        <w:spacing w:line="576" w:lineRule="exact"/>
        <w:jc w:val="left"/>
        <w:rPr>
          <w:rFonts w:ascii="仿宋" w:hAnsi="仿宋" w:eastAsia="仿宋"/>
          <w:kern w:val="0"/>
          <w:sz w:val="32"/>
          <w:szCs w:val="32"/>
        </w:rPr>
      </w:pPr>
      <w:r>
        <w:rPr>
          <w:rFonts w:ascii="仿宋" w:hAnsi="仿宋" w:eastAsia="仿宋"/>
          <w:sz w:val="32"/>
          <w:szCs w:val="32"/>
        </w:rPr>
        <w:br w:type="page"/>
      </w:r>
    </w:p>
    <w:p>
      <w:pPr>
        <w:pStyle w:val="3"/>
        <w:spacing w:before="0" w:after="0" w:line="576" w:lineRule="exact"/>
        <w:ind w:right="440"/>
        <w:jc w:val="center"/>
        <w:rPr>
          <w:rStyle w:val="28"/>
          <w:rFonts w:ascii="黑体" w:hAnsi="黑体" w:eastAsia="黑体"/>
          <w:b w:val="0"/>
          <w:bCs/>
        </w:rPr>
      </w:pPr>
      <w:bookmarkStart w:id="21" w:name="_Toc15396602"/>
      <w:bookmarkStart w:id="22" w:name="_Toc18676"/>
      <w:bookmarkStart w:id="23" w:name="_Toc15377204"/>
      <w:r>
        <w:rPr>
          <w:rFonts w:hint="eastAsia" w:ascii="黑体" w:hAnsi="黑体" w:eastAsia="黑体"/>
          <w:b w:val="0"/>
        </w:rPr>
        <w:t>第二部分 2021年度</w:t>
      </w:r>
      <w:r>
        <w:rPr>
          <w:rStyle w:val="28"/>
          <w:rFonts w:hint="eastAsia" w:ascii="黑体" w:hAnsi="黑体" w:eastAsia="黑体"/>
          <w:b w:val="0"/>
          <w:bCs/>
        </w:rPr>
        <w:t>单位决算情况说明</w:t>
      </w:r>
      <w:bookmarkEnd w:id="21"/>
      <w:bookmarkEnd w:id="22"/>
      <w:bookmarkEnd w:id="23"/>
    </w:p>
    <w:p>
      <w:pPr>
        <w:spacing w:line="576" w:lineRule="exact"/>
      </w:pPr>
    </w:p>
    <w:p>
      <w:pPr>
        <w:pStyle w:val="27"/>
        <w:numPr>
          <w:ilvl w:val="0"/>
          <w:numId w:val="1"/>
        </w:numPr>
        <w:spacing w:line="576" w:lineRule="exact"/>
        <w:ind w:firstLineChars="0"/>
        <w:outlineLvl w:val="1"/>
        <w:rPr>
          <w:rStyle w:val="29"/>
          <w:rFonts w:ascii="黑体" w:hAnsi="黑体" w:eastAsia="黑体"/>
          <w:b w:val="0"/>
        </w:rPr>
      </w:pPr>
      <w:bookmarkStart w:id="24" w:name="_Toc26784"/>
      <w:bookmarkStart w:id="25" w:name="_Toc15396603"/>
      <w:bookmarkStart w:id="26" w:name="_Toc15377205"/>
      <w:r>
        <w:rPr>
          <w:rFonts w:hint="eastAsia" w:ascii="黑体" w:hAnsi="黑体" w:eastAsia="黑体"/>
          <w:sz w:val="32"/>
          <w:szCs w:val="32"/>
        </w:rPr>
        <w:t>收</w:t>
      </w:r>
      <w:r>
        <w:rPr>
          <w:rStyle w:val="29"/>
          <w:rFonts w:hint="eastAsia" w:ascii="黑体" w:hAnsi="黑体" w:eastAsia="黑体"/>
          <w:b w:val="0"/>
        </w:rPr>
        <w:t>入支出决算总体情况说明</w:t>
      </w:r>
      <w:bookmarkEnd w:id="24"/>
      <w:bookmarkEnd w:id="25"/>
      <w:bookmarkEnd w:id="26"/>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2021年度收、支总计169.27万元。与2020年相比，收、支总计各减少7.74万元，下降4</w:t>
      </w:r>
      <w:r>
        <w:rPr>
          <w:rFonts w:ascii="仿宋" w:hAnsi="仿宋" w:eastAsia="仿宋"/>
          <w:sz w:val="32"/>
          <w:szCs w:val="32"/>
        </w:rPr>
        <w:t>%</w:t>
      </w:r>
      <w:r>
        <w:rPr>
          <w:rFonts w:hint="eastAsia" w:ascii="仿宋" w:hAnsi="仿宋" w:eastAsia="仿宋"/>
          <w:sz w:val="32"/>
          <w:szCs w:val="32"/>
        </w:rPr>
        <w:t>。主要变动原因是人员变动导致。</w:t>
      </w:r>
    </w:p>
    <w:p>
      <w:pPr>
        <w:pStyle w:val="6"/>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ageBreakBefore w:val="0"/>
        <w:kinsoku/>
        <w:wordWrap/>
        <w:overflowPunct/>
        <w:topLinePunct w:val="0"/>
        <w:bidi w:val="0"/>
        <w:spacing w:line="576" w:lineRule="exact"/>
        <w:ind w:firstLine="1280" w:firstLineChars="400"/>
        <w:rPr>
          <w:rFonts w:hint="eastAsia" w:ascii="仿宋" w:hAnsi="仿宋" w:eastAsia="仿宋"/>
          <w:sz w:val="32"/>
          <w:szCs w:val="32"/>
          <w:lang w:eastAsia="zh-CN"/>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7"/>
        <w:numPr>
          <w:ilvl w:val="0"/>
          <w:numId w:val="1"/>
        </w:numPr>
        <w:spacing w:line="576" w:lineRule="exact"/>
        <w:ind w:firstLineChars="0"/>
        <w:outlineLvl w:val="1"/>
        <w:rPr>
          <w:rStyle w:val="29"/>
          <w:rFonts w:ascii="黑体" w:hAnsi="黑体" w:eastAsia="黑体"/>
          <w:b w:val="0"/>
        </w:rPr>
      </w:pPr>
      <w:bookmarkStart w:id="27" w:name="_Toc2657"/>
      <w:bookmarkStart w:id="28" w:name="_Toc15377206"/>
      <w:bookmarkStart w:id="29" w:name="_Toc15396604"/>
      <w:r>
        <w:rPr>
          <w:rFonts w:hint="eastAsia" w:ascii="黑体" w:hAnsi="黑体" w:eastAsia="黑体"/>
          <w:sz w:val="32"/>
          <w:szCs w:val="32"/>
        </w:rPr>
        <w:t>收</w:t>
      </w:r>
      <w:r>
        <w:rPr>
          <w:rStyle w:val="29"/>
          <w:rFonts w:hint="eastAsia" w:ascii="黑体" w:hAnsi="黑体" w:eastAsia="黑体"/>
          <w:b w:val="0"/>
        </w:rPr>
        <w:t>入决算情况说明</w:t>
      </w:r>
      <w:bookmarkEnd w:id="27"/>
      <w:bookmarkEnd w:id="28"/>
      <w:bookmarkEnd w:id="29"/>
    </w:p>
    <w:p>
      <w:pPr>
        <w:spacing w:line="576" w:lineRule="exact"/>
        <w:ind w:firstLine="640" w:firstLineChars="200"/>
        <w:outlineLvl w:val="1"/>
        <w:rPr>
          <w:rFonts w:hint="eastAsia" w:ascii="仿宋" w:hAnsi="仿宋" w:eastAsia="仿宋"/>
          <w:sz w:val="32"/>
          <w:szCs w:val="32"/>
        </w:rPr>
      </w:pPr>
      <w:bookmarkStart w:id="30" w:name="_Toc3650"/>
      <w:r>
        <w:rPr>
          <w:rFonts w:ascii="仿宋" w:hAnsi="仿宋" w:eastAsia="仿宋"/>
          <w:sz w:val="32"/>
          <w:szCs w:val="32"/>
        </w:rPr>
        <w:t>20</w:t>
      </w:r>
      <w:r>
        <w:rPr>
          <w:rFonts w:hint="eastAsia" w:ascii="仿宋" w:hAnsi="仿宋" w:eastAsia="仿宋"/>
          <w:sz w:val="32"/>
          <w:szCs w:val="32"/>
        </w:rPr>
        <w:t>21年本年收入合计169.27万元，其中：一般公共预算财政拨款收入169.27万元，占100</w:t>
      </w:r>
      <w:r>
        <w:rPr>
          <w:rFonts w:ascii="仿宋" w:hAnsi="仿宋" w:eastAsia="仿宋"/>
          <w:sz w:val="32"/>
          <w:szCs w:val="32"/>
        </w:rPr>
        <w:t>%</w:t>
      </w:r>
      <w:r>
        <w:rPr>
          <w:rFonts w:hint="eastAsia" w:ascii="仿宋" w:hAnsi="仿宋" w:eastAsia="仿宋"/>
          <w:sz w:val="32"/>
          <w:szCs w:val="32"/>
        </w:rPr>
        <w:t>。</w:t>
      </w:r>
      <w:bookmarkEnd w:id="30"/>
    </w:p>
    <w:p>
      <w:pPr>
        <w:pStyle w:val="2"/>
        <w:rPr>
          <w:rFonts w:hint="eastAsia" w:ascii="仿宋" w:hAnsi="仿宋" w:eastAsia="仿宋"/>
          <w:sz w:val="32"/>
          <w:szCs w:val="32"/>
        </w:rPr>
      </w:pPr>
    </w:p>
    <w:p>
      <w:pPr>
        <w:rPr>
          <w:rFonts w:hint="eastAsia" w:eastAsia="仿宋"/>
          <w:lang w:eastAsia="zh-CN"/>
        </w:rPr>
      </w:pPr>
      <w:r>
        <w:rPr>
          <w:rFonts w:hint="eastAsia" w:eastAsia="仿宋"/>
          <w:lang w:val="en-US" w:eastAsia="zh-CN"/>
        </w:rPr>
        <w:t xml:space="preserve">    </w:t>
      </w:r>
      <w:r>
        <w:rPr>
          <w:rFonts w:hint="eastAsia" w:eastAsia="仿宋"/>
          <w:lang w:eastAsia="zh-CN"/>
        </w:rPr>
        <w:drawing>
          <wp:inline distT="0" distB="0" distL="114300" distR="114300">
            <wp:extent cx="4794885" cy="3348355"/>
            <wp:effectExtent l="4445" t="4445" r="20320"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jc w:val="center"/>
        <w:rPr>
          <w:rFonts w:hint="eastAsia"/>
          <w:lang w:eastAsia="zh-CN"/>
        </w:rPr>
      </w:pPr>
      <w:r>
        <w:rPr>
          <w:rFonts w:hint="eastAsia"/>
          <w:lang w:eastAsia="zh-CN"/>
        </w:rPr>
        <w:t>（</w:t>
      </w:r>
      <w:r>
        <w:rPr>
          <w:rFonts w:hint="eastAsia"/>
          <w:lang w:val="en-US" w:eastAsia="zh-CN"/>
        </w:rPr>
        <w:t>图2：</w:t>
      </w:r>
      <w:r>
        <w:rPr>
          <w:rFonts w:hint="eastAsia" w:ascii="仿宋" w:hAnsi="仿宋" w:eastAsia="仿宋"/>
          <w:color w:val="auto"/>
          <w:sz w:val="32"/>
          <w:szCs w:val="32"/>
          <w:highlight w:val="none"/>
        </w:rPr>
        <w:t>收入决算结构图</w:t>
      </w:r>
      <w:r>
        <w:rPr>
          <w:rFonts w:hint="eastAsia"/>
          <w:lang w:eastAsia="zh-CN"/>
        </w:rPr>
        <w:t>）</w:t>
      </w:r>
    </w:p>
    <w:p>
      <w:pPr>
        <w:pStyle w:val="27"/>
        <w:numPr>
          <w:ilvl w:val="0"/>
          <w:numId w:val="1"/>
        </w:numPr>
        <w:spacing w:line="576" w:lineRule="exact"/>
        <w:ind w:firstLineChars="0"/>
        <w:outlineLvl w:val="1"/>
        <w:rPr>
          <w:rStyle w:val="29"/>
          <w:rFonts w:ascii="黑体" w:hAnsi="黑体" w:eastAsia="黑体"/>
          <w:b w:val="0"/>
        </w:rPr>
      </w:pPr>
      <w:bookmarkStart w:id="31" w:name="_Toc15377207"/>
      <w:bookmarkStart w:id="32" w:name="_Toc17635"/>
      <w:bookmarkStart w:id="33" w:name="_Toc15396605"/>
      <w:r>
        <w:rPr>
          <w:rFonts w:hint="eastAsia" w:ascii="黑体" w:hAnsi="黑体" w:eastAsia="黑体"/>
          <w:sz w:val="32"/>
          <w:szCs w:val="32"/>
        </w:rPr>
        <w:t>支</w:t>
      </w:r>
      <w:r>
        <w:rPr>
          <w:rStyle w:val="29"/>
          <w:rFonts w:hint="eastAsia" w:ascii="黑体" w:hAnsi="黑体" w:eastAsia="黑体"/>
          <w:b w:val="0"/>
        </w:rPr>
        <w:t>出决算情况说明</w:t>
      </w:r>
      <w:bookmarkEnd w:id="31"/>
      <w:bookmarkEnd w:id="32"/>
      <w:bookmarkEnd w:id="33"/>
    </w:p>
    <w:p>
      <w:pPr>
        <w:spacing w:line="576" w:lineRule="exact"/>
        <w:ind w:firstLine="640" w:firstLineChars="200"/>
        <w:outlineLvl w:val="1"/>
        <w:rPr>
          <w:rFonts w:hint="eastAsia" w:ascii="仿宋" w:hAnsi="仿宋" w:eastAsia="仿宋"/>
          <w:sz w:val="32"/>
          <w:szCs w:val="32"/>
        </w:rPr>
      </w:pPr>
      <w:bookmarkStart w:id="34" w:name="_Toc8482"/>
      <w:r>
        <w:rPr>
          <w:rFonts w:ascii="仿宋" w:hAnsi="仿宋" w:eastAsia="仿宋"/>
          <w:sz w:val="32"/>
          <w:szCs w:val="32"/>
        </w:rPr>
        <w:t>20</w:t>
      </w:r>
      <w:r>
        <w:rPr>
          <w:rFonts w:hint="eastAsia" w:ascii="仿宋" w:hAnsi="仿宋" w:eastAsia="仿宋"/>
          <w:sz w:val="32"/>
          <w:szCs w:val="32"/>
        </w:rPr>
        <w:t>21年本年支出合计169.27万元，其中：基本支出154.27万元，占91</w:t>
      </w:r>
      <w:r>
        <w:rPr>
          <w:rFonts w:ascii="仿宋" w:hAnsi="仿宋" w:eastAsia="仿宋"/>
          <w:sz w:val="32"/>
          <w:szCs w:val="32"/>
        </w:rPr>
        <w:t>%</w:t>
      </w:r>
      <w:r>
        <w:rPr>
          <w:rFonts w:hint="eastAsia" w:ascii="仿宋" w:hAnsi="仿宋" w:eastAsia="仿宋"/>
          <w:sz w:val="32"/>
          <w:szCs w:val="32"/>
        </w:rPr>
        <w:t>；项目支出15万元，占9</w:t>
      </w:r>
      <w:r>
        <w:rPr>
          <w:rFonts w:ascii="仿宋" w:hAnsi="仿宋" w:eastAsia="仿宋"/>
          <w:sz w:val="32"/>
          <w:szCs w:val="32"/>
        </w:rPr>
        <w:t>%</w:t>
      </w:r>
      <w:r>
        <w:rPr>
          <w:rFonts w:hint="eastAsia" w:ascii="仿宋" w:hAnsi="仿宋" w:eastAsia="仿宋"/>
          <w:sz w:val="32"/>
          <w:szCs w:val="32"/>
        </w:rPr>
        <w:t>。</w:t>
      </w:r>
      <w:bookmarkEnd w:id="34"/>
    </w:p>
    <w:p>
      <w:pPr>
        <w:pStyle w:val="2"/>
        <w:rPr>
          <w:rFonts w:hint="eastAsia" w:ascii="仿宋" w:hAnsi="仿宋" w:eastAsia="仿宋"/>
          <w:sz w:val="32"/>
          <w:szCs w:val="32"/>
        </w:rPr>
      </w:pPr>
      <w:r>
        <w:rPr>
          <w:rFonts w:hint="eastAsia" w:eastAsia="仿宋"/>
          <w:lang w:val="en-US" w:eastAsia="zh-CN"/>
        </w:rPr>
        <w:t xml:space="preserve">      </w:t>
      </w:r>
      <w:r>
        <w:rPr>
          <w:rFonts w:hint="eastAsia" w:eastAsia="仿宋"/>
          <w:lang w:eastAsia="zh-CN"/>
        </w:rPr>
        <w:drawing>
          <wp:inline distT="0" distB="0" distL="114300" distR="114300">
            <wp:extent cx="4356100" cy="2513965"/>
            <wp:effectExtent l="4445" t="4445" r="20955" b="1524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2560" w:firstLineChars="800"/>
        <w:jc w:val="both"/>
        <w:rPr>
          <w:rFonts w:hint="eastAsia" w:eastAsia="仿宋"/>
          <w:sz w:val="32"/>
          <w:szCs w:val="40"/>
          <w:lang w:eastAsia="zh-CN"/>
        </w:rPr>
      </w:pPr>
      <w:r>
        <w:rPr>
          <w:rFonts w:hint="eastAsia" w:eastAsia="仿宋"/>
          <w:sz w:val="32"/>
          <w:szCs w:val="40"/>
          <w:lang w:eastAsia="zh-CN"/>
        </w:rPr>
        <w:t>（</w:t>
      </w:r>
      <w:r>
        <w:rPr>
          <w:rFonts w:hint="eastAsia" w:eastAsia="仿宋"/>
          <w:sz w:val="32"/>
          <w:szCs w:val="40"/>
          <w:lang w:val="en-US" w:eastAsia="zh-CN"/>
        </w:rPr>
        <w:t>图三：支出决算结构图</w:t>
      </w:r>
      <w:r>
        <w:rPr>
          <w:rFonts w:hint="eastAsia" w:eastAsia="仿宋"/>
          <w:sz w:val="32"/>
          <w:szCs w:val="40"/>
          <w:lang w:eastAsia="zh-CN"/>
        </w:rPr>
        <w:t>）</w:t>
      </w:r>
    </w:p>
    <w:p>
      <w:pPr>
        <w:spacing w:line="576" w:lineRule="exact"/>
        <w:ind w:firstLine="640" w:firstLineChars="200"/>
        <w:outlineLvl w:val="1"/>
        <w:rPr>
          <w:rStyle w:val="29"/>
          <w:rFonts w:ascii="黑体" w:hAnsi="黑体" w:eastAsia="黑体"/>
          <w:b w:val="0"/>
        </w:rPr>
      </w:pPr>
      <w:bookmarkStart w:id="35" w:name="_Toc30513"/>
      <w:bookmarkStart w:id="36" w:name="_Toc15396606"/>
      <w:bookmarkStart w:id="37" w:name="_Toc15377208"/>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35"/>
      <w:bookmarkEnd w:id="36"/>
      <w:bookmarkEnd w:id="37"/>
    </w:p>
    <w:p>
      <w:pPr>
        <w:spacing w:line="576"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21年财政拨款收、支总计169.27万元。与</w:t>
      </w:r>
      <w:r>
        <w:rPr>
          <w:rFonts w:ascii="仿宋" w:hAnsi="仿宋" w:eastAsia="仿宋"/>
          <w:sz w:val="32"/>
          <w:szCs w:val="32"/>
        </w:rPr>
        <w:t>20</w:t>
      </w:r>
      <w:r>
        <w:rPr>
          <w:rFonts w:hint="eastAsia" w:ascii="仿宋" w:hAnsi="仿宋" w:eastAsia="仿宋"/>
          <w:sz w:val="32"/>
          <w:szCs w:val="32"/>
        </w:rPr>
        <w:t>20年相比，财政拨款收、支总计各减少7.74万元，下降4</w:t>
      </w:r>
      <w:r>
        <w:rPr>
          <w:rFonts w:ascii="仿宋" w:hAnsi="仿宋" w:eastAsia="仿宋"/>
          <w:sz w:val="32"/>
          <w:szCs w:val="32"/>
        </w:rPr>
        <w:t>%</w:t>
      </w:r>
      <w:r>
        <w:rPr>
          <w:rFonts w:hint="eastAsia" w:ascii="仿宋" w:hAnsi="仿宋" w:eastAsia="仿宋"/>
          <w:sz w:val="32"/>
          <w:szCs w:val="32"/>
        </w:rPr>
        <w:t>。主要变动原因是人员变动导致。</w:t>
      </w:r>
    </w:p>
    <w:p>
      <w:pPr>
        <w:pStyle w:val="2"/>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drawing>
          <wp:inline distT="0" distB="0" distL="114300" distR="114300">
            <wp:extent cx="4933315" cy="3173095"/>
            <wp:effectExtent l="4445" t="4445" r="15240" b="2286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rFonts w:hint="eastAsia" w:eastAsia="宋体"/>
          <w:lang w:eastAsia="zh-CN"/>
        </w:rPr>
      </w:pPr>
      <w:r>
        <w:rPr>
          <w:rFonts w:hint="eastAsia"/>
          <w:lang w:eastAsia="zh-CN"/>
        </w:rPr>
        <w:t>（</w:t>
      </w:r>
      <w:r>
        <w:rPr>
          <w:rFonts w:hint="eastAsia" w:ascii="仿宋" w:hAnsi="仿宋" w:eastAsia="仿宋"/>
          <w:color w:val="auto"/>
          <w:sz w:val="32"/>
          <w:szCs w:val="32"/>
          <w:highlight w:val="none"/>
        </w:rPr>
        <w:t>图4：财政拨款收、支决算总计变动情况</w:t>
      </w:r>
      <w:r>
        <w:rPr>
          <w:rFonts w:hint="eastAsia"/>
          <w:lang w:eastAsia="zh-CN"/>
        </w:rPr>
        <w:t>）</w:t>
      </w:r>
    </w:p>
    <w:p>
      <w:pPr>
        <w:spacing w:line="576" w:lineRule="exact"/>
        <w:ind w:firstLine="640" w:firstLineChars="200"/>
        <w:outlineLvl w:val="1"/>
        <w:rPr>
          <w:rStyle w:val="29"/>
          <w:rFonts w:ascii="黑体" w:hAnsi="黑体" w:eastAsia="黑体"/>
          <w:b w:val="0"/>
        </w:rPr>
      </w:pPr>
      <w:bookmarkStart w:id="38" w:name="_Toc13069"/>
      <w:bookmarkStart w:id="39" w:name="_Toc15396607"/>
      <w:bookmarkStart w:id="40" w:name="_Toc15377209"/>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38"/>
      <w:bookmarkEnd w:id="39"/>
      <w:bookmarkEnd w:id="40"/>
    </w:p>
    <w:p>
      <w:pPr>
        <w:spacing w:line="576" w:lineRule="exact"/>
        <w:ind w:firstLine="640" w:firstLineChars="200"/>
        <w:outlineLvl w:val="2"/>
        <w:rPr>
          <w:rFonts w:ascii="仿宋" w:hAnsi="仿宋" w:eastAsia="仿宋"/>
          <w:b/>
          <w:sz w:val="32"/>
          <w:szCs w:val="32"/>
        </w:rPr>
      </w:pPr>
      <w:bookmarkStart w:id="41" w:name="_Toc15377210"/>
      <w:bookmarkStart w:id="42" w:name="_Toc2574"/>
      <w:r>
        <w:rPr>
          <w:rFonts w:hint="eastAsia" w:ascii="仿宋" w:hAnsi="仿宋" w:eastAsia="仿宋"/>
          <w:b/>
          <w:sz w:val="32"/>
          <w:szCs w:val="32"/>
        </w:rPr>
        <w:t>（一）一般公共预算财政拨款支出决算总体情况</w:t>
      </w:r>
      <w:bookmarkEnd w:id="41"/>
      <w:bookmarkEnd w:id="42"/>
    </w:p>
    <w:p>
      <w:pPr>
        <w:spacing w:line="576"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21年一般公共预算财政拨款支出169.27万元，占本年支出合计的100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20年相比，一般公共预算财政拨款支出减少7.74万元，下降4</w:t>
      </w:r>
      <w:r>
        <w:rPr>
          <w:rFonts w:ascii="仿宋" w:hAnsi="仿宋" w:eastAsia="仿宋"/>
          <w:sz w:val="32"/>
          <w:szCs w:val="32"/>
        </w:rPr>
        <w:t>%</w:t>
      </w:r>
      <w:r>
        <w:rPr>
          <w:rFonts w:hint="eastAsia" w:ascii="仿宋" w:hAnsi="仿宋" w:eastAsia="仿宋"/>
          <w:sz w:val="32"/>
          <w:szCs w:val="32"/>
        </w:rPr>
        <w:t>。主要变动原因是人员变动导致。</w:t>
      </w:r>
    </w:p>
    <w:p>
      <w:pPr>
        <w:pStyle w:val="2"/>
      </w:pPr>
    </w:p>
    <w:p>
      <w:r>
        <w:rPr>
          <w:rFonts w:hint="eastAsia" w:ascii="仿宋" w:hAnsi="仿宋" w:eastAsia="仿宋"/>
          <w:sz w:val="32"/>
          <w:szCs w:val="32"/>
          <w:lang w:val="en-US" w:eastAsia="zh-CN"/>
        </w:rPr>
        <w:t xml:space="preserve">    </w:t>
      </w:r>
      <w:r>
        <w:rPr>
          <w:rFonts w:hint="eastAsia" w:ascii="仿宋" w:hAnsi="仿宋" w:eastAsia="仿宋"/>
          <w:sz w:val="32"/>
          <w:szCs w:val="32"/>
          <w:lang w:eastAsia="zh-CN"/>
        </w:rPr>
        <w:drawing>
          <wp:inline distT="0" distB="0" distL="114300" distR="114300">
            <wp:extent cx="4933315" cy="3173095"/>
            <wp:effectExtent l="4445" t="4445" r="15240" b="2286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76" w:lineRule="exact"/>
        <w:ind w:firstLine="640" w:firstLineChars="200"/>
        <w:outlineLvl w:val="2"/>
        <w:rPr>
          <w:rFonts w:ascii="仿宋" w:hAnsi="仿宋" w:eastAsia="仿宋"/>
          <w:b/>
          <w:sz w:val="32"/>
          <w:szCs w:val="32"/>
        </w:rPr>
      </w:pPr>
      <w:bookmarkStart w:id="43" w:name="_Toc22337"/>
      <w:bookmarkStart w:id="44" w:name="_Toc15377211"/>
      <w:r>
        <w:rPr>
          <w:rFonts w:hint="eastAsia" w:ascii="仿宋" w:hAnsi="仿宋" w:eastAsia="仿宋"/>
          <w:b/>
          <w:sz w:val="32"/>
          <w:szCs w:val="32"/>
        </w:rPr>
        <w:t>（二）一般公共预算财政拨款支出决算结构情况</w:t>
      </w:r>
      <w:bookmarkEnd w:id="43"/>
      <w:bookmarkEnd w:id="44"/>
    </w:p>
    <w:p>
      <w:pPr>
        <w:spacing w:line="576"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21年一般公共预算财政拨款支出169.27万元，主要用于以下方面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支出130.42万元，占77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商贸事务（类）</w:t>
      </w:r>
      <w:r>
        <w:rPr>
          <w:rFonts w:hint="eastAsia" w:ascii="仿宋" w:hAnsi="仿宋" w:eastAsia="仿宋"/>
          <w:sz w:val="32"/>
          <w:szCs w:val="32"/>
        </w:rPr>
        <w:t>15万元，占8.9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支出9.76万元，占5.8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4.66万元，占2.8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Times New Roman"/>
          <w:b/>
          <w:sz w:val="32"/>
          <w:szCs w:val="32"/>
        </w:rPr>
        <w:t>住房保障</w:t>
      </w:r>
      <w:r>
        <w:rPr>
          <w:rFonts w:hint="eastAsia" w:ascii="仿宋" w:hAnsi="仿宋" w:eastAsia="仿宋"/>
          <w:sz w:val="32"/>
          <w:szCs w:val="32"/>
        </w:rPr>
        <w:t>支出9.43万元，占5.6</w:t>
      </w:r>
      <w:r>
        <w:rPr>
          <w:rFonts w:ascii="仿宋" w:hAnsi="仿宋" w:eastAsia="仿宋"/>
          <w:sz w:val="32"/>
          <w:szCs w:val="32"/>
        </w:rPr>
        <w:t>%</w:t>
      </w:r>
      <w:r>
        <w:rPr>
          <w:rFonts w:hint="eastAsia" w:ascii="仿宋" w:hAnsi="仿宋" w:eastAsia="仿宋"/>
          <w:sz w:val="32"/>
          <w:szCs w:val="32"/>
        </w:rPr>
        <w:t>。</w:t>
      </w:r>
    </w:p>
    <w:p>
      <w:pPr>
        <w:pStyle w:val="2"/>
        <w:rPr>
          <w:rFonts w:hint="eastAsia" w:eastAsia="仿宋"/>
          <w:lang w:eastAsia="zh-CN"/>
        </w:rPr>
      </w:pPr>
      <w:r>
        <w:rPr>
          <w:rFonts w:hint="eastAsia" w:eastAsia="仿宋"/>
          <w:lang w:val="en-US" w:eastAsia="zh-CN"/>
        </w:rPr>
        <w:t xml:space="preserve">     </w:t>
      </w:r>
      <w:r>
        <w:rPr>
          <w:rFonts w:hint="eastAsia" w:eastAsia="仿宋"/>
          <w:lang w:eastAsia="zh-CN"/>
        </w:rPr>
        <w:drawing>
          <wp:inline distT="0" distB="0" distL="114300" distR="114300">
            <wp:extent cx="4356735" cy="2266315"/>
            <wp:effectExtent l="4445" t="4445" r="20320" b="1524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576" w:lineRule="exact"/>
        <w:ind w:firstLine="640" w:firstLineChars="200"/>
        <w:outlineLvl w:val="2"/>
        <w:rPr>
          <w:rFonts w:ascii="仿宋" w:hAnsi="仿宋" w:eastAsia="仿宋"/>
          <w:b/>
          <w:sz w:val="32"/>
          <w:szCs w:val="32"/>
        </w:rPr>
      </w:pPr>
      <w:bookmarkStart w:id="45" w:name="_Toc15377212"/>
      <w:bookmarkStart w:id="46" w:name="_Toc25401"/>
      <w:r>
        <w:rPr>
          <w:rFonts w:hint="eastAsia" w:ascii="仿宋" w:hAnsi="仿宋" w:eastAsia="仿宋"/>
          <w:b/>
          <w:sz w:val="32"/>
          <w:szCs w:val="32"/>
        </w:rPr>
        <w:t>（三）一般公共预算财政拨款支出决算具体情况</w:t>
      </w:r>
      <w:bookmarkEnd w:id="45"/>
      <w:bookmarkEnd w:id="46"/>
    </w:p>
    <w:p>
      <w:pPr>
        <w:spacing w:line="576" w:lineRule="exact"/>
        <w:ind w:firstLine="640" w:firstLineChars="200"/>
        <w:outlineLvl w:val="2"/>
        <w:rPr>
          <w:rFonts w:ascii="仿宋" w:hAnsi="仿宋" w:eastAsia="仿宋"/>
          <w:sz w:val="32"/>
          <w:szCs w:val="32"/>
        </w:rPr>
      </w:pPr>
      <w:bookmarkStart w:id="47" w:name="_Toc15377444"/>
      <w:bookmarkStart w:id="48" w:name="_Toc26123"/>
      <w:bookmarkStart w:id="49" w:name="_Toc15378460"/>
      <w:bookmarkStart w:id="50" w:name="_Toc15377213"/>
      <w:r>
        <w:rPr>
          <w:rFonts w:hint="eastAsia" w:ascii="仿宋" w:hAnsi="仿宋" w:eastAsia="仿宋"/>
          <w:b/>
          <w:sz w:val="32"/>
          <w:szCs w:val="32"/>
        </w:rPr>
        <w:t>2021年一般公共预算支出决算数为169.27</w:t>
      </w:r>
      <w:r>
        <w:rPr>
          <w:rFonts w:hint="eastAsia" w:ascii="仿宋" w:hAnsi="仿宋" w:eastAsia="仿宋"/>
          <w:sz w:val="32"/>
          <w:szCs w:val="32"/>
        </w:rPr>
        <w:t>，</w:t>
      </w:r>
      <w:r>
        <w:rPr>
          <w:rStyle w:val="18"/>
          <w:rFonts w:hint="eastAsia" w:ascii="仿宋" w:hAnsi="仿宋" w:eastAsia="仿宋"/>
          <w:bCs/>
          <w:sz w:val="32"/>
          <w:szCs w:val="32"/>
        </w:rPr>
        <w:t>完成预算100</w:t>
      </w:r>
      <w:r>
        <w:rPr>
          <w:rStyle w:val="18"/>
          <w:rFonts w:ascii="仿宋" w:hAnsi="仿宋" w:eastAsia="仿宋"/>
          <w:bCs/>
          <w:sz w:val="32"/>
          <w:szCs w:val="32"/>
        </w:rPr>
        <w:t>%</w:t>
      </w:r>
      <w:r>
        <w:rPr>
          <w:rStyle w:val="18"/>
          <w:rFonts w:hint="eastAsia" w:ascii="仿宋" w:hAnsi="仿宋" w:eastAsia="仿宋"/>
          <w:bCs/>
          <w:sz w:val="32"/>
          <w:szCs w:val="32"/>
        </w:rPr>
        <w:t>。其中：</w:t>
      </w:r>
      <w:bookmarkEnd w:id="47"/>
      <w:bookmarkEnd w:id="48"/>
      <w:bookmarkEnd w:id="49"/>
      <w:bookmarkEnd w:id="50"/>
    </w:p>
    <w:p>
      <w:pPr>
        <w:spacing w:line="576" w:lineRule="exact"/>
        <w:ind w:firstLine="640" w:firstLineChars="200"/>
        <w:rPr>
          <w:rFonts w:ascii="仿宋" w:hAnsi="仿宋" w:eastAsia="仿宋"/>
          <w:b/>
          <w:sz w:val="32"/>
          <w:szCs w:val="32"/>
        </w:rPr>
      </w:pPr>
      <w:r>
        <w:rPr>
          <w:rStyle w:val="18"/>
          <w:rFonts w:ascii="仿宋" w:hAnsi="仿宋" w:eastAsia="仿宋"/>
          <w:bCs/>
          <w:sz w:val="32"/>
          <w:szCs w:val="32"/>
        </w:rPr>
        <w:t>1.</w:t>
      </w:r>
      <w:r>
        <w:rPr>
          <w:rStyle w:val="18"/>
          <w:rFonts w:hint="eastAsia" w:ascii="仿宋" w:hAnsi="仿宋" w:eastAsia="仿宋"/>
          <w:bCs/>
          <w:sz w:val="32"/>
          <w:szCs w:val="32"/>
        </w:rPr>
        <w:t>一般公共服务（类）</w:t>
      </w:r>
      <w:r>
        <w:rPr>
          <w:rStyle w:val="18"/>
          <w:rFonts w:hint="eastAsia" w:ascii="仿宋" w:hAnsi="仿宋" w:eastAsia="仿宋"/>
          <w:bCs/>
          <w:color w:val="000000"/>
          <w:sz w:val="32"/>
          <w:szCs w:val="32"/>
        </w:rPr>
        <w:t>政府办公厅（室）及相关机构事务（款）性质运行（项）</w:t>
      </w:r>
      <w:r>
        <w:rPr>
          <w:rStyle w:val="18"/>
          <w:rFonts w:ascii="仿宋" w:hAnsi="仿宋" w:eastAsia="仿宋"/>
          <w:bCs/>
          <w:sz w:val="32"/>
          <w:szCs w:val="32"/>
        </w:rPr>
        <w:t>:</w:t>
      </w:r>
      <w:r>
        <w:rPr>
          <w:rStyle w:val="18"/>
          <w:rFonts w:hint="eastAsia" w:ascii="仿宋" w:hAnsi="仿宋" w:eastAsia="仿宋"/>
          <w:b w:val="0"/>
          <w:bCs/>
          <w:sz w:val="32"/>
          <w:szCs w:val="32"/>
        </w:rPr>
        <w:t>支出决算为130.42万元，完成预算100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576" w:lineRule="exact"/>
        <w:ind w:firstLine="640" w:firstLineChars="200"/>
        <w:rPr>
          <w:rFonts w:ascii="仿宋" w:hAnsi="仿宋" w:eastAsia="仿宋"/>
          <w:color w:val="000000"/>
          <w:sz w:val="32"/>
          <w:szCs w:val="32"/>
        </w:rPr>
      </w:pPr>
      <w:r>
        <w:rPr>
          <w:rStyle w:val="18"/>
          <w:rFonts w:ascii="仿宋" w:hAnsi="仿宋" w:eastAsia="仿宋"/>
          <w:bCs/>
          <w:color w:val="000000"/>
          <w:sz w:val="32"/>
          <w:szCs w:val="32"/>
        </w:rPr>
        <w:t>2.</w:t>
      </w:r>
      <w:r>
        <w:rPr>
          <w:rStyle w:val="18"/>
          <w:rFonts w:hint="eastAsia" w:ascii="仿宋" w:hAnsi="仿宋" w:eastAsia="仿宋"/>
          <w:bCs/>
          <w:color w:val="000000"/>
          <w:sz w:val="32"/>
          <w:szCs w:val="32"/>
        </w:rPr>
        <w:t>一般公共服务支出（类）商贸事务（款）招商引资（项）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支出决算为15万元，完成预算100</w:t>
      </w:r>
      <w:r>
        <w:rPr>
          <w:rStyle w:val="18"/>
          <w:rFonts w:ascii="仿宋" w:hAnsi="仿宋" w:eastAsia="仿宋"/>
          <w:b w:val="0"/>
          <w:bCs/>
          <w:color w:val="000000"/>
          <w:sz w:val="32"/>
          <w:szCs w:val="32"/>
        </w:rPr>
        <w:t>%</w:t>
      </w:r>
      <w:r>
        <w:rPr>
          <w:rStyle w:val="18"/>
          <w:rFonts w:hint="eastAsia" w:ascii="仿宋" w:hAnsi="仿宋" w:eastAsia="仿宋"/>
          <w:b w:val="0"/>
          <w:bCs/>
          <w:sz w:val="32"/>
          <w:szCs w:val="32"/>
        </w:rPr>
        <w:t>，决算数等于预算数</w:t>
      </w:r>
      <w:r>
        <w:rPr>
          <w:rFonts w:hint="eastAsia" w:ascii="仿宋" w:hAnsi="仿宋" w:eastAsia="仿宋"/>
          <w:color w:val="000000"/>
          <w:sz w:val="32"/>
          <w:szCs w:val="32"/>
        </w:rPr>
        <w:t>。</w:t>
      </w:r>
    </w:p>
    <w:p>
      <w:pPr>
        <w:spacing w:line="576" w:lineRule="exact"/>
        <w:ind w:firstLine="640" w:firstLineChars="200"/>
        <w:rPr>
          <w:rFonts w:ascii="仿宋" w:hAnsi="仿宋" w:eastAsia="仿宋"/>
          <w:b/>
          <w:color w:val="000000"/>
          <w:sz w:val="32"/>
          <w:szCs w:val="32"/>
        </w:rPr>
      </w:pPr>
      <w:r>
        <w:rPr>
          <w:rStyle w:val="18"/>
          <w:rFonts w:hint="eastAsia" w:ascii="仿宋" w:hAnsi="仿宋" w:eastAsia="仿宋"/>
          <w:bCs/>
          <w:color w:val="000000"/>
          <w:sz w:val="32"/>
          <w:szCs w:val="32"/>
        </w:rPr>
        <w:t>3</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社会保障和就业（类）行政事业单位养老支出（款）其他社会保障和就业支出（项）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支出决算为9.76万元，完成预算100</w:t>
      </w:r>
      <w:r>
        <w:rPr>
          <w:rStyle w:val="18"/>
          <w:rFonts w:ascii="仿宋" w:hAnsi="仿宋" w:eastAsia="仿宋"/>
          <w:b w:val="0"/>
          <w:bCs/>
          <w:color w:val="000000"/>
          <w:sz w:val="32"/>
          <w:szCs w:val="32"/>
        </w:rPr>
        <w:t>%</w:t>
      </w:r>
      <w:r>
        <w:rPr>
          <w:rStyle w:val="18"/>
          <w:rFonts w:hint="eastAsia" w:ascii="仿宋" w:hAnsi="仿宋" w:eastAsia="仿宋"/>
          <w:b w:val="0"/>
          <w:bCs/>
          <w:sz w:val="32"/>
          <w:szCs w:val="32"/>
        </w:rPr>
        <w:t>，决算数等于预算数</w:t>
      </w:r>
      <w:r>
        <w:rPr>
          <w:rStyle w:val="18"/>
          <w:rFonts w:hint="eastAsia" w:ascii="仿宋" w:hAnsi="仿宋" w:eastAsia="仿宋"/>
          <w:b w:val="0"/>
          <w:bCs/>
          <w:color w:val="000000"/>
          <w:sz w:val="32"/>
          <w:szCs w:val="32"/>
        </w:rPr>
        <w:t>。</w:t>
      </w:r>
    </w:p>
    <w:p>
      <w:pPr>
        <w:spacing w:line="576" w:lineRule="exact"/>
        <w:ind w:firstLine="640" w:firstLineChars="200"/>
        <w:rPr>
          <w:rFonts w:ascii="仿宋" w:hAnsi="仿宋" w:eastAsia="仿宋"/>
          <w:b/>
          <w:color w:val="000000"/>
          <w:sz w:val="32"/>
          <w:szCs w:val="32"/>
        </w:rPr>
      </w:pPr>
      <w:r>
        <w:rPr>
          <w:rStyle w:val="18"/>
          <w:rFonts w:hint="eastAsia" w:ascii="仿宋" w:hAnsi="仿宋" w:eastAsia="仿宋"/>
          <w:bCs/>
          <w:color w:val="000000"/>
          <w:sz w:val="32"/>
          <w:szCs w:val="32"/>
        </w:rPr>
        <w:t>4</w:t>
      </w:r>
      <w:r>
        <w:rPr>
          <w:rStyle w:val="18"/>
          <w:rFonts w:ascii="仿宋" w:hAnsi="仿宋" w:eastAsia="仿宋"/>
          <w:bCs/>
          <w:color w:val="000000"/>
          <w:sz w:val="32"/>
          <w:szCs w:val="32"/>
        </w:rPr>
        <w:t>.</w:t>
      </w:r>
      <w:r>
        <w:rPr>
          <w:rFonts w:hint="eastAsia" w:ascii="仿宋" w:hAnsi="仿宋" w:eastAsia="仿宋"/>
          <w:b/>
          <w:bCs/>
          <w:color w:val="000000"/>
          <w:sz w:val="32"/>
          <w:szCs w:val="32"/>
        </w:rPr>
        <w:t>卫生健康</w:t>
      </w:r>
      <w:r>
        <w:rPr>
          <w:rStyle w:val="18"/>
          <w:rFonts w:hint="eastAsia" w:ascii="仿宋" w:hAnsi="仿宋" w:eastAsia="仿宋"/>
          <w:bCs/>
          <w:color w:val="000000"/>
          <w:sz w:val="32"/>
          <w:szCs w:val="32"/>
        </w:rPr>
        <w:t>（类）行政事业单位医疗（款）行政事业单位医疗（项）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支出决算为4.66万元，完成预算100</w:t>
      </w:r>
      <w:r>
        <w:rPr>
          <w:rStyle w:val="18"/>
          <w:rFonts w:ascii="仿宋" w:hAnsi="仿宋" w:eastAsia="仿宋"/>
          <w:b w:val="0"/>
          <w:bCs/>
          <w:color w:val="000000"/>
          <w:sz w:val="32"/>
          <w:szCs w:val="32"/>
        </w:rPr>
        <w:t>%</w:t>
      </w:r>
      <w:r>
        <w:rPr>
          <w:rStyle w:val="18"/>
          <w:rFonts w:hint="eastAsia" w:ascii="仿宋" w:hAnsi="仿宋" w:eastAsia="仿宋"/>
          <w:b w:val="0"/>
          <w:bCs/>
          <w:sz w:val="32"/>
          <w:szCs w:val="32"/>
        </w:rPr>
        <w:t>，决算数等于预算数</w:t>
      </w:r>
      <w:r>
        <w:rPr>
          <w:rStyle w:val="18"/>
          <w:rFonts w:hint="eastAsia" w:ascii="仿宋" w:hAnsi="仿宋" w:eastAsia="仿宋"/>
          <w:b w:val="0"/>
          <w:bCs/>
          <w:color w:val="000000"/>
          <w:sz w:val="32"/>
          <w:szCs w:val="32"/>
        </w:rPr>
        <w:t>。</w:t>
      </w:r>
    </w:p>
    <w:p>
      <w:pPr>
        <w:tabs>
          <w:tab w:val="right" w:pos="8306"/>
        </w:tabs>
        <w:spacing w:line="576" w:lineRule="exact"/>
        <w:ind w:firstLine="640"/>
        <w:outlineLvl w:val="1"/>
        <w:rPr>
          <w:rStyle w:val="18"/>
          <w:rFonts w:ascii="仿宋" w:hAnsi="仿宋" w:eastAsia="仿宋"/>
          <w:b w:val="0"/>
          <w:bCs/>
          <w:color w:val="000000"/>
          <w:sz w:val="32"/>
          <w:szCs w:val="32"/>
        </w:rPr>
      </w:pPr>
      <w:bookmarkStart w:id="51" w:name="_Toc9491"/>
      <w:r>
        <w:rPr>
          <w:rFonts w:hint="eastAsia" w:ascii="仿宋" w:hAnsi="仿宋" w:eastAsia="仿宋"/>
          <w:b/>
          <w:bCs/>
          <w:color w:val="000000"/>
          <w:sz w:val="32"/>
          <w:szCs w:val="32"/>
        </w:rPr>
        <w:t>5.住房保障支出</w:t>
      </w:r>
      <w:r>
        <w:rPr>
          <w:rStyle w:val="18"/>
          <w:rFonts w:hint="eastAsia" w:ascii="仿宋" w:hAnsi="仿宋" w:eastAsia="仿宋"/>
          <w:bCs/>
          <w:color w:val="000000"/>
          <w:sz w:val="32"/>
          <w:szCs w:val="32"/>
        </w:rPr>
        <w:t>（类）</w:t>
      </w:r>
      <w:r>
        <w:rPr>
          <w:rFonts w:hint="eastAsia" w:ascii="仿宋" w:hAnsi="仿宋" w:eastAsia="仿宋"/>
          <w:b/>
          <w:bCs/>
          <w:color w:val="000000"/>
          <w:sz w:val="32"/>
          <w:szCs w:val="32"/>
        </w:rPr>
        <w:t>住房改革支出</w:t>
      </w:r>
      <w:r>
        <w:rPr>
          <w:rStyle w:val="18"/>
          <w:rFonts w:hint="eastAsia" w:ascii="仿宋" w:hAnsi="仿宋" w:eastAsia="仿宋"/>
          <w:bCs/>
          <w:color w:val="000000"/>
          <w:sz w:val="32"/>
          <w:szCs w:val="32"/>
        </w:rPr>
        <w:t>（款）</w:t>
      </w:r>
      <w:r>
        <w:rPr>
          <w:rFonts w:hint="eastAsia" w:ascii="仿宋" w:hAnsi="仿宋" w:eastAsia="仿宋"/>
          <w:b/>
          <w:bCs/>
          <w:color w:val="000000"/>
          <w:sz w:val="32"/>
          <w:szCs w:val="32"/>
        </w:rPr>
        <w:t>住房公积金</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支出决算为9.43万元，完成预算100</w:t>
      </w:r>
      <w:r>
        <w:rPr>
          <w:rStyle w:val="18"/>
          <w:rFonts w:ascii="仿宋" w:hAnsi="仿宋" w:eastAsia="仿宋"/>
          <w:b w:val="0"/>
          <w:bCs/>
          <w:color w:val="000000"/>
          <w:sz w:val="32"/>
          <w:szCs w:val="32"/>
        </w:rPr>
        <w:t>%</w:t>
      </w:r>
      <w:r>
        <w:rPr>
          <w:rStyle w:val="18"/>
          <w:rFonts w:hint="eastAsia" w:ascii="仿宋" w:hAnsi="仿宋" w:eastAsia="仿宋"/>
          <w:b w:val="0"/>
          <w:bCs/>
          <w:sz w:val="32"/>
          <w:szCs w:val="32"/>
        </w:rPr>
        <w:t>，决算数等于预算数</w:t>
      </w:r>
      <w:r>
        <w:rPr>
          <w:rStyle w:val="18"/>
          <w:rFonts w:hint="eastAsia" w:ascii="仿宋" w:hAnsi="仿宋" w:eastAsia="仿宋"/>
          <w:b w:val="0"/>
          <w:bCs/>
          <w:color w:val="000000"/>
          <w:sz w:val="32"/>
          <w:szCs w:val="32"/>
        </w:rPr>
        <w:t>。</w:t>
      </w:r>
      <w:bookmarkEnd w:id="51"/>
      <w:bookmarkStart w:id="52" w:name="_Toc15396608"/>
      <w:bookmarkStart w:id="53" w:name="_Toc15377214"/>
    </w:p>
    <w:p>
      <w:pPr>
        <w:tabs>
          <w:tab w:val="right" w:pos="8306"/>
        </w:tabs>
        <w:spacing w:line="576" w:lineRule="exact"/>
        <w:ind w:firstLine="640"/>
        <w:outlineLvl w:val="1"/>
        <w:rPr>
          <w:rStyle w:val="29"/>
        </w:rPr>
      </w:pPr>
      <w:bookmarkStart w:id="54" w:name="_Toc779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52"/>
      <w:bookmarkEnd w:id="53"/>
      <w:bookmarkEnd w:id="54"/>
      <w:r>
        <w:rPr>
          <w:rStyle w:val="29"/>
          <w:rFonts w:ascii="黑体" w:hAnsi="黑体" w:eastAsia="黑体"/>
          <w:b w:val="0"/>
        </w:rPr>
        <w:tab/>
      </w:r>
    </w:p>
    <w:p>
      <w:pPr>
        <w:spacing w:line="576"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21年一般公共预算财政拨款基本支出154.27万元，其中：</w:t>
      </w:r>
    </w:p>
    <w:p>
      <w:pPr>
        <w:spacing w:line="576" w:lineRule="exact"/>
        <w:ind w:firstLine="645"/>
        <w:rPr>
          <w:rFonts w:ascii="仿宋" w:hAnsi="仿宋" w:eastAsia="仿宋"/>
          <w:sz w:val="32"/>
          <w:szCs w:val="32"/>
        </w:rPr>
      </w:pPr>
      <w:r>
        <w:rPr>
          <w:rFonts w:hint="eastAsia" w:ascii="仿宋" w:hAnsi="仿宋" w:eastAsia="仿宋"/>
          <w:sz w:val="32"/>
          <w:szCs w:val="32"/>
        </w:rPr>
        <w:t>人员经费96.27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76" w:lineRule="exact"/>
        <w:ind w:firstLine="645"/>
        <w:rPr>
          <w:rFonts w:ascii="仿宋" w:hAnsi="仿宋" w:eastAsia="仿宋"/>
          <w:sz w:val="32"/>
          <w:szCs w:val="32"/>
        </w:rPr>
      </w:pPr>
      <w:r>
        <w:rPr>
          <w:rFonts w:hint="eastAsia" w:ascii="仿宋" w:hAnsi="仿宋" w:eastAsia="仿宋"/>
          <w:sz w:val="32"/>
          <w:szCs w:val="32"/>
        </w:rPr>
        <w:t>公用经费58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76" w:lineRule="exact"/>
        <w:ind w:firstLine="640"/>
        <w:outlineLvl w:val="1"/>
        <w:rPr>
          <w:rStyle w:val="29"/>
          <w:rFonts w:ascii="黑体" w:hAnsi="黑体" w:eastAsia="黑体"/>
          <w:b w:val="0"/>
        </w:rPr>
      </w:pPr>
      <w:bookmarkStart w:id="55" w:name="_Toc10278"/>
      <w:bookmarkStart w:id="56" w:name="_Toc15396609"/>
      <w:bookmarkStart w:id="57" w:name="_Toc15377215"/>
      <w:r>
        <w:rPr>
          <w:rFonts w:hint="eastAsia" w:ascii="黑体" w:eastAsia="黑体"/>
          <w:sz w:val="32"/>
          <w:szCs w:val="32"/>
        </w:rPr>
        <w:t>七、</w:t>
      </w:r>
      <w:r>
        <w:rPr>
          <w:rStyle w:val="29"/>
          <w:rFonts w:hint="eastAsia" w:ascii="黑体" w:hAnsi="黑体" w:eastAsia="黑体"/>
        </w:rPr>
        <w:t>“</w:t>
      </w:r>
      <w:r>
        <w:rPr>
          <w:rStyle w:val="29"/>
          <w:rFonts w:hint="eastAsia" w:ascii="黑体" w:hAnsi="黑体" w:eastAsia="黑体"/>
          <w:b w:val="0"/>
        </w:rPr>
        <w:t>三公”经费财政拨款支出决算情况说明</w:t>
      </w:r>
      <w:bookmarkEnd w:id="55"/>
      <w:bookmarkEnd w:id="56"/>
      <w:bookmarkEnd w:id="57"/>
    </w:p>
    <w:p>
      <w:pPr>
        <w:spacing w:line="576" w:lineRule="exact"/>
        <w:ind w:firstLine="640"/>
        <w:outlineLvl w:val="2"/>
        <w:rPr>
          <w:rFonts w:ascii="仿宋" w:hAnsi="仿宋" w:eastAsia="仿宋"/>
          <w:b/>
          <w:sz w:val="32"/>
          <w:szCs w:val="32"/>
        </w:rPr>
      </w:pPr>
      <w:bookmarkStart w:id="58" w:name="_Toc15377216"/>
      <w:bookmarkStart w:id="59" w:name="_Toc7681"/>
      <w:r>
        <w:rPr>
          <w:rFonts w:hint="eastAsia" w:ascii="仿宋" w:hAnsi="仿宋" w:eastAsia="仿宋"/>
          <w:b/>
          <w:sz w:val="32"/>
          <w:szCs w:val="32"/>
        </w:rPr>
        <w:t>（一）“三公”经费财政拨款支出决算总体情况说明</w:t>
      </w:r>
      <w:bookmarkEnd w:id="58"/>
      <w:bookmarkEnd w:id="59"/>
    </w:p>
    <w:p>
      <w:pPr>
        <w:spacing w:line="576"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21年“三公”经费财政拨款支出决算为4.57万元，完成预算92</w:t>
      </w:r>
      <w:r>
        <w:rPr>
          <w:rFonts w:ascii="仿宋" w:hAnsi="仿宋" w:eastAsia="仿宋"/>
          <w:sz w:val="32"/>
          <w:szCs w:val="32"/>
        </w:rPr>
        <w:t>%</w:t>
      </w:r>
      <w:r>
        <w:rPr>
          <w:rFonts w:hint="eastAsia" w:ascii="仿宋" w:hAnsi="仿宋" w:eastAsia="仿宋"/>
          <w:sz w:val="32"/>
          <w:szCs w:val="32"/>
        </w:rPr>
        <w:t>，决算数小于预算数（或与预算数持平）的主要原因是</w:t>
      </w:r>
      <w:r>
        <w:rPr>
          <w:rFonts w:hint="eastAsia" w:ascii="仿宋_GB2312" w:eastAsia="仿宋_GB2312"/>
          <w:sz w:val="32"/>
          <w:szCs w:val="32"/>
        </w:rPr>
        <w:t>按照厉行节约的原则，严格控制三公经费支出</w:t>
      </w:r>
      <w:r>
        <w:rPr>
          <w:rFonts w:hint="eastAsia" w:ascii="仿宋" w:hAnsi="仿宋" w:eastAsia="仿宋"/>
          <w:sz w:val="32"/>
          <w:szCs w:val="32"/>
        </w:rPr>
        <w:t>。</w:t>
      </w:r>
    </w:p>
    <w:p>
      <w:pPr>
        <w:spacing w:line="576" w:lineRule="exact"/>
        <w:ind w:firstLine="640"/>
        <w:outlineLvl w:val="2"/>
        <w:rPr>
          <w:rFonts w:ascii="仿宋" w:hAnsi="仿宋" w:eastAsia="仿宋"/>
          <w:b/>
          <w:sz w:val="32"/>
          <w:szCs w:val="32"/>
        </w:rPr>
      </w:pPr>
      <w:bookmarkStart w:id="60" w:name="_Toc15377217"/>
      <w:bookmarkStart w:id="61" w:name="_Toc26166"/>
      <w:r>
        <w:rPr>
          <w:rFonts w:hint="eastAsia" w:ascii="仿宋" w:hAnsi="仿宋" w:eastAsia="仿宋"/>
          <w:b/>
          <w:sz w:val="32"/>
          <w:szCs w:val="32"/>
        </w:rPr>
        <w:t>（二）“三公”经费财政拨款支出决算具体情况说明</w:t>
      </w:r>
      <w:bookmarkEnd w:id="60"/>
      <w:bookmarkEnd w:id="61"/>
    </w:p>
    <w:p>
      <w:pPr>
        <w:spacing w:line="576"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21年“三公”经费财政拨款支出决算中，因公出国（境）费支出决算0万元，年初无预算安排；公务用车购置及运行维护费支出决算0万元年初无预算安排；公务接待费支出决算4.57万元，占92</w:t>
      </w:r>
      <w:r>
        <w:rPr>
          <w:rFonts w:ascii="仿宋" w:hAnsi="仿宋" w:eastAsia="仿宋"/>
          <w:sz w:val="32"/>
          <w:szCs w:val="32"/>
        </w:rPr>
        <w:t>%</w:t>
      </w:r>
      <w:r>
        <w:rPr>
          <w:rFonts w:hint="eastAsia" w:ascii="仿宋" w:hAnsi="仿宋" w:eastAsia="仿宋"/>
          <w:sz w:val="32"/>
          <w:szCs w:val="32"/>
        </w:rPr>
        <w:t>。具体情况如下：</w:t>
      </w:r>
    </w:p>
    <w:p>
      <w:pPr>
        <w:pStyle w:val="2"/>
        <w:rPr>
          <w:rFonts w:hint="eastAsia" w:ascii="仿宋" w:hAnsi="仿宋" w:eastAsia="仿宋"/>
          <w:sz w:val="32"/>
          <w:szCs w:val="32"/>
        </w:rPr>
      </w:pPr>
    </w:p>
    <w:p>
      <w:pPr>
        <w:rPr>
          <w:rFonts w:hint="eastAsia" w:ascii="仿宋" w:hAnsi="仿宋" w:eastAsia="仿宋"/>
          <w:sz w:val="32"/>
          <w:szCs w:val="32"/>
        </w:rPr>
      </w:pPr>
    </w:p>
    <w:p>
      <w:pPr>
        <w:pStyle w:val="2"/>
        <w:rPr>
          <w:rFonts w:hint="eastAsia" w:eastAsia="仿宋"/>
          <w:lang w:eastAsia="zh-CN"/>
        </w:rPr>
      </w:pPr>
      <w:r>
        <w:rPr>
          <w:rFonts w:hint="eastAsia" w:eastAsia="仿宋"/>
          <w:lang w:val="en-US" w:eastAsia="zh-CN"/>
        </w:rPr>
        <w:t xml:space="preserve">         </w:t>
      </w:r>
      <w:r>
        <w:rPr>
          <w:rFonts w:hint="eastAsia" w:eastAsia="仿宋"/>
          <w:lang w:eastAsia="zh-CN"/>
        </w:rPr>
        <w:drawing>
          <wp:inline distT="0" distB="0" distL="114300" distR="114300">
            <wp:extent cx="4361815" cy="2727960"/>
            <wp:effectExtent l="4445" t="4445" r="15240" b="1079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576" w:lineRule="exact"/>
        <w:ind w:firstLine="645"/>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8"/>
          <w:rFonts w:hint="eastAsia" w:ascii="仿宋" w:hAnsi="仿宋" w:eastAsia="仿宋"/>
          <w:b w:val="0"/>
          <w:bCs/>
          <w:sz w:val="32"/>
          <w:szCs w:val="32"/>
        </w:rPr>
        <w:t>年初无预算安排。</w:t>
      </w:r>
      <w:r>
        <w:rPr>
          <w:rFonts w:hint="eastAsia" w:ascii="仿宋_GB2312" w:eastAsia="仿宋_GB2312"/>
          <w:sz w:val="32"/>
          <w:szCs w:val="32"/>
        </w:rPr>
        <w:t>因公出国（境）支出决算较2020年无变化。</w:t>
      </w:r>
    </w:p>
    <w:p>
      <w:pPr>
        <w:pageBreakBefore w:val="0"/>
        <w:kinsoku/>
        <w:wordWrap/>
        <w:overflowPunct/>
        <w:topLinePunct w:val="0"/>
        <w:bidi w:val="0"/>
        <w:spacing w:line="576" w:lineRule="exact"/>
        <w:ind w:firstLine="640"/>
        <w:rPr>
          <w:rFonts w:hint="eastAsia" w:ascii="仿宋_GB2312" w:eastAsia="仿宋_GB2312"/>
          <w:b/>
          <w:color w:val="auto"/>
          <w:sz w:val="32"/>
          <w:szCs w:val="32"/>
          <w:highlight w:val="none"/>
          <w:lang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lang w:val="en-US" w:eastAsia="zh-CN"/>
        </w:rPr>
        <w:t>年初未安排预算</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公务用车购置及运行维护费支出决算较2020年无变化</w:t>
      </w:r>
      <w:r>
        <w:rPr>
          <w:rFonts w:hint="eastAsia" w:ascii="仿宋_GB2312" w:eastAsia="仿宋_GB2312"/>
          <w:color w:val="auto"/>
          <w:sz w:val="32"/>
          <w:szCs w:val="32"/>
          <w:highlight w:val="none"/>
          <w:lang w:eastAsia="zh-CN"/>
        </w:rPr>
        <w:t>。</w:t>
      </w:r>
    </w:p>
    <w:p>
      <w:pPr>
        <w:pageBreakBefore w:val="0"/>
        <w:kinsoku/>
        <w:wordWrap/>
        <w:overflowPunct/>
        <w:topLinePunct w:val="0"/>
        <w:bidi w:val="0"/>
        <w:spacing w:line="576"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未购置公务用车</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pageBreakBefore w:val="0"/>
        <w:kinsoku/>
        <w:wordWrap/>
        <w:overflowPunct/>
        <w:topLinePunct w:val="0"/>
        <w:bidi w:val="0"/>
        <w:spacing w:line="576"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76"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4.57万元，</w:t>
      </w:r>
      <w:r>
        <w:rPr>
          <w:rStyle w:val="18"/>
          <w:rFonts w:hint="eastAsia" w:ascii="仿宋" w:hAnsi="仿宋" w:eastAsia="仿宋"/>
          <w:b w:val="0"/>
          <w:bCs/>
          <w:sz w:val="32"/>
          <w:szCs w:val="32"/>
        </w:rPr>
        <w:t>完成预算92</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20年减少0.27万元，下降5</w:t>
      </w:r>
      <w:r>
        <w:rPr>
          <w:rFonts w:ascii="仿宋_GB2312" w:eastAsia="仿宋_GB2312"/>
          <w:sz w:val="32"/>
          <w:szCs w:val="32"/>
        </w:rPr>
        <w:t>%</w:t>
      </w:r>
      <w:r>
        <w:rPr>
          <w:rFonts w:hint="eastAsia" w:ascii="仿宋_GB2312" w:eastAsia="仿宋_GB2312"/>
          <w:sz w:val="32"/>
          <w:szCs w:val="32"/>
        </w:rPr>
        <w:t>。主要原因是按照厉行节约的原则，严格控制三公经费支出。其中：</w:t>
      </w:r>
    </w:p>
    <w:p>
      <w:pPr>
        <w:spacing w:line="576"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4.57</w:t>
      </w:r>
      <w:r>
        <w:rPr>
          <w:rFonts w:hint="eastAsia" w:ascii="仿宋_GB2312" w:eastAsia="仿宋_GB2312"/>
          <w:sz w:val="32"/>
          <w:szCs w:val="32"/>
        </w:rPr>
        <w:t>万元，主要用于开展业务活动开支的交通费、住宿费、用餐费等。国内公务接待98批次，896人次（不包括陪同人员），共计支出4.57万元。</w:t>
      </w:r>
    </w:p>
    <w:p>
      <w:pPr>
        <w:spacing w:line="576" w:lineRule="exact"/>
        <w:ind w:firstLine="645"/>
        <w:rPr>
          <w:rFonts w:ascii="仿宋" w:hAnsi="仿宋" w:eastAsia="仿宋_GB2312"/>
          <w:b/>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62" w:name="_Toc15396610"/>
      <w:bookmarkStart w:id="63" w:name="_Toc15377218"/>
      <w:r>
        <w:rPr>
          <w:rFonts w:hint="eastAsia" w:ascii="仿宋_GB2312" w:eastAsia="仿宋_GB2312"/>
          <w:sz w:val="32"/>
          <w:szCs w:val="32"/>
        </w:rPr>
        <w:t>。</w:t>
      </w:r>
    </w:p>
    <w:p>
      <w:pPr>
        <w:spacing w:line="576" w:lineRule="exact"/>
        <w:ind w:firstLine="640"/>
        <w:outlineLvl w:val="1"/>
        <w:rPr>
          <w:rStyle w:val="29"/>
          <w:rFonts w:ascii="黑体" w:hAnsi="黑体" w:eastAsia="黑体"/>
        </w:rPr>
      </w:pPr>
      <w:bookmarkStart w:id="64" w:name="_Toc10296"/>
      <w:r>
        <w:rPr>
          <w:rFonts w:hint="eastAsia" w:ascii="黑体" w:eastAsia="黑体"/>
          <w:sz w:val="32"/>
          <w:szCs w:val="32"/>
        </w:rPr>
        <w:t>八、</w:t>
      </w:r>
      <w:r>
        <w:rPr>
          <w:rStyle w:val="29"/>
          <w:rFonts w:hint="eastAsia" w:ascii="黑体" w:hAnsi="黑体" w:eastAsia="黑体"/>
          <w:b w:val="0"/>
        </w:rPr>
        <w:t>政府性基金预算支出决算情况说明</w:t>
      </w:r>
      <w:bookmarkEnd w:id="62"/>
      <w:bookmarkEnd w:id="63"/>
      <w:bookmarkEnd w:id="64"/>
    </w:p>
    <w:p>
      <w:pPr>
        <w:spacing w:line="576" w:lineRule="exact"/>
        <w:ind w:firstLine="640"/>
        <w:rPr>
          <w:rFonts w:hint="eastAsia"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pStyle w:val="2"/>
      </w:pPr>
    </w:p>
    <w:p>
      <w:pPr>
        <w:numPr>
          <w:ilvl w:val="0"/>
          <w:numId w:val="2"/>
        </w:numPr>
        <w:spacing w:line="576" w:lineRule="exact"/>
        <w:ind w:firstLine="640"/>
        <w:outlineLvl w:val="1"/>
        <w:rPr>
          <w:rStyle w:val="29"/>
          <w:rFonts w:ascii="黑体" w:hAnsi="黑体" w:eastAsia="黑体"/>
          <w:b w:val="0"/>
        </w:rPr>
      </w:pPr>
      <w:bookmarkStart w:id="65" w:name="_Toc15377219"/>
      <w:bookmarkStart w:id="66" w:name="_Toc15396611"/>
      <w:bookmarkStart w:id="67" w:name="_Toc2689"/>
      <w:r>
        <w:rPr>
          <w:rStyle w:val="29"/>
          <w:rFonts w:hint="eastAsia" w:ascii="黑体" w:hAnsi="黑体" w:eastAsia="黑体"/>
          <w:b w:val="0"/>
        </w:rPr>
        <w:t>国有资本经营预算支出决算情况说明</w:t>
      </w:r>
      <w:bookmarkEnd w:id="65"/>
      <w:bookmarkEnd w:id="66"/>
      <w:bookmarkEnd w:id="67"/>
    </w:p>
    <w:p>
      <w:pPr>
        <w:spacing w:line="576"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2"/>
        </w:numPr>
        <w:spacing w:line="576" w:lineRule="exact"/>
        <w:ind w:firstLine="640"/>
        <w:outlineLvl w:val="1"/>
        <w:rPr>
          <w:rStyle w:val="29"/>
          <w:rFonts w:ascii="黑体" w:hAnsi="黑体" w:eastAsia="黑体"/>
          <w:b w:val="0"/>
        </w:rPr>
      </w:pPr>
      <w:bookmarkStart w:id="68" w:name="_Toc16938"/>
      <w:bookmarkStart w:id="69" w:name="_Toc15396612"/>
      <w:bookmarkStart w:id="70" w:name="_Toc15377221"/>
      <w:r>
        <w:rPr>
          <w:rStyle w:val="29"/>
          <w:rFonts w:hint="eastAsia" w:ascii="黑体" w:hAnsi="黑体" w:eastAsia="黑体"/>
          <w:b w:val="0"/>
        </w:rPr>
        <w:t>预算绩效管理情况</w:t>
      </w:r>
      <w:bookmarkEnd w:id="68"/>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根据预算绩效管理要求，本单位在2021年度在年初预算编制阶段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eastAsia="仿宋_GB2312" w:cs="仿宋_GB2312"/>
          <w:color w:val="auto"/>
          <w:sz w:val="32"/>
          <w:szCs w:val="32"/>
        </w:rPr>
        <w:t>预算事前绩效评估，对1个项</w:t>
      </w:r>
      <w:r>
        <w:rPr>
          <w:rFonts w:hint="eastAsia" w:ascii="仿宋_GB2312" w:hAnsi="仿宋_GB2312" w:eastAsia="仿宋_GB2312" w:cs="仿宋_GB2312"/>
          <w:sz w:val="32"/>
          <w:szCs w:val="32"/>
        </w:rPr>
        <w:t>目编制了绩效目标，预算执行过程中，选取1个项目开展绩效监控，年终执行完毕后，对1个项目开展了绩效目标完成情况自评。</w:t>
      </w:r>
    </w:p>
    <w:p>
      <w:pPr>
        <w:numPr>
          <w:ilvl w:val="0"/>
          <w:numId w:val="2"/>
        </w:numPr>
        <w:spacing w:line="576" w:lineRule="exact"/>
        <w:ind w:firstLine="640"/>
        <w:outlineLvl w:val="1"/>
        <w:rPr>
          <w:rStyle w:val="29"/>
          <w:rFonts w:ascii="黑体" w:hAnsi="黑体" w:eastAsia="黑体"/>
          <w:b w:val="0"/>
        </w:rPr>
      </w:pPr>
      <w:bookmarkStart w:id="71" w:name="_Toc14679"/>
      <w:r>
        <w:rPr>
          <w:rStyle w:val="29"/>
          <w:rFonts w:hint="eastAsia" w:ascii="黑体" w:hAnsi="黑体" w:eastAsia="黑体"/>
          <w:b w:val="0"/>
        </w:rPr>
        <w:t>其他重要事项的情况说明</w:t>
      </w:r>
      <w:bookmarkEnd w:id="69"/>
      <w:bookmarkEnd w:id="70"/>
      <w:bookmarkEnd w:id="71"/>
    </w:p>
    <w:p>
      <w:pPr>
        <w:spacing w:line="576" w:lineRule="exact"/>
        <w:ind w:firstLine="640" w:firstLineChars="200"/>
        <w:outlineLvl w:val="2"/>
        <w:rPr>
          <w:rFonts w:ascii="仿宋" w:hAnsi="仿宋" w:eastAsia="仿宋"/>
          <w:sz w:val="32"/>
          <w:szCs w:val="32"/>
        </w:rPr>
      </w:pPr>
      <w:bookmarkStart w:id="72" w:name="_Toc15377222"/>
      <w:bookmarkStart w:id="73" w:name="_Toc3144"/>
      <w:r>
        <w:rPr>
          <w:rFonts w:hint="eastAsia" w:ascii="仿宋" w:hAnsi="仿宋" w:eastAsia="仿宋"/>
          <w:b/>
          <w:sz w:val="32"/>
          <w:szCs w:val="32"/>
        </w:rPr>
        <w:t>（一）机关运行经费支出情况</w:t>
      </w:r>
      <w:bookmarkEnd w:id="72"/>
      <w:bookmarkEnd w:id="73"/>
    </w:p>
    <w:p>
      <w:pPr>
        <w:spacing w:line="576"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21年，本单位机关运行经费支出58万元，比</w:t>
      </w:r>
      <w:r>
        <w:rPr>
          <w:rFonts w:ascii="仿宋_GB2312" w:eastAsia="仿宋_GB2312"/>
          <w:sz w:val="32"/>
          <w:szCs w:val="32"/>
        </w:rPr>
        <w:t>20</w:t>
      </w:r>
      <w:r>
        <w:rPr>
          <w:rFonts w:hint="eastAsia" w:ascii="仿宋_GB2312" w:eastAsia="仿宋_GB2312"/>
          <w:sz w:val="32"/>
          <w:szCs w:val="32"/>
        </w:rPr>
        <w:t>20年减少10万元，下降15</w:t>
      </w:r>
      <w:r>
        <w:rPr>
          <w:rFonts w:ascii="仿宋_GB2312" w:eastAsia="仿宋_GB2312"/>
          <w:sz w:val="32"/>
          <w:szCs w:val="32"/>
        </w:rPr>
        <w:t>%</w:t>
      </w:r>
      <w:r>
        <w:rPr>
          <w:rFonts w:hint="eastAsia" w:ascii="仿宋_GB2312" w:eastAsia="仿宋_GB2312"/>
          <w:sz w:val="32"/>
          <w:szCs w:val="32"/>
        </w:rPr>
        <w:t>。主要原因是人员变化及经费追减导致。</w:t>
      </w:r>
    </w:p>
    <w:p>
      <w:pPr>
        <w:autoSpaceDE w:val="0"/>
        <w:autoSpaceDN w:val="0"/>
        <w:adjustRightInd w:val="0"/>
        <w:spacing w:line="576" w:lineRule="exact"/>
        <w:ind w:firstLine="640" w:firstLineChars="200"/>
        <w:jc w:val="left"/>
        <w:outlineLvl w:val="2"/>
        <w:rPr>
          <w:rFonts w:ascii="仿宋" w:hAnsi="仿宋" w:eastAsia="仿宋"/>
          <w:b/>
          <w:sz w:val="32"/>
          <w:szCs w:val="32"/>
        </w:rPr>
      </w:pPr>
      <w:bookmarkStart w:id="74" w:name="_Toc28987"/>
      <w:bookmarkStart w:id="75" w:name="_Toc15377223"/>
      <w:r>
        <w:rPr>
          <w:rFonts w:hint="eastAsia" w:ascii="仿宋" w:hAnsi="仿宋" w:eastAsia="仿宋"/>
          <w:b/>
          <w:sz w:val="32"/>
          <w:szCs w:val="32"/>
        </w:rPr>
        <w:t>（二）政府采购支出情况</w:t>
      </w:r>
      <w:bookmarkEnd w:id="74"/>
      <w:bookmarkEnd w:id="75"/>
    </w:p>
    <w:p>
      <w:pPr>
        <w:spacing w:line="576"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21年，我单位政府采购支出总额0万元，年初无预算安排。</w:t>
      </w:r>
      <w:r>
        <w:rPr>
          <w:rFonts w:hint="eastAsia" w:ascii="仿宋_GB2312" w:eastAsia="仿宋_GB2312"/>
          <w:color w:val="auto"/>
          <w:sz w:val="32"/>
          <w:szCs w:val="32"/>
          <w:highlight w:val="none"/>
        </w:rPr>
        <w:t>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576" w:lineRule="exact"/>
        <w:ind w:firstLine="640" w:firstLineChars="200"/>
        <w:jc w:val="left"/>
        <w:outlineLvl w:val="2"/>
        <w:rPr>
          <w:rFonts w:ascii="仿宋" w:hAnsi="仿宋" w:eastAsia="仿宋"/>
          <w:b/>
          <w:sz w:val="32"/>
          <w:szCs w:val="32"/>
        </w:rPr>
      </w:pPr>
      <w:bookmarkStart w:id="76" w:name="_Toc21371"/>
      <w:bookmarkStart w:id="77" w:name="_Toc15377224"/>
      <w:r>
        <w:rPr>
          <w:rFonts w:hint="eastAsia" w:ascii="仿宋" w:hAnsi="仿宋" w:eastAsia="仿宋"/>
          <w:b/>
          <w:sz w:val="32"/>
          <w:szCs w:val="32"/>
        </w:rPr>
        <w:t>（三）国有资产占有使用情况</w:t>
      </w:r>
      <w:bookmarkEnd w:id="76"/>
      <w:bookmarkEnd w:id="77"/>
    </w:p>
    <w:p>
      <w:pPr>
        <w:autoSpaceDE w:val="0"/>
        <w:autoSpaceDN w:val="0"/>
        <w:adjustRightInd w:val="0"/>
        <w:spacing w:line="576" w:lineRule="exact"/>
        <w:ind w:firstLine="640" w:firstLineChars="200"/>
        <w:jc w:val="left"/>
        <w:rPr>
          <w:rFonts w:ascii="Times New Roman" w:hAnsi="Times New Roman" w:eastAsia="宋体" w:cs="Times New Roman"/>
          <w:kern w:val="2"/>
          <w:sz w:val="21"/>
          <w:szCs w:val="24"/>
          <w:lang w:val="en-US" w:eastAsia="zh-CN" w:bidi="ar-SA"/>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日，我单位</w:t>
      </w:r>
      <w:r>
        <w:rPr>
          <w:rFonts w:hint="eastAsia" w:ascii="仿宋_GB2312" w:eastAsia="仿宋_GB2312"/>
          <w:sz w:val="32"/>
          <w:szCs w:val="32"/>
          <w:lang w:val="en-US" w:eastAsia="zh-CN"/>
        </w:rPr>
        <w:t>共有</w:t>
      </w:r>
      <w:r>
        <w:rPr>
          <w:rFonts w:hint="eastAsia" w:ascii="仿宋_GB2312" w:eastAsia="仿宋_GB2312"/>
          <w:color w:val="auto"/>
          <w:sz w:val="32"/>
          <w:szCs w:val="32"/>
          <w:highlight w:val="none"/>
        </w:rPr>
        <w:t>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sz w:val="32"/>
          <w:szCs w:val="32"/>
        </w:rPr>
        <w:t>。</w:t>
      </w:r>
      <w:r>
        <w:rPr>
          <w:rFonts w:hint="eastAsia" w:ascii="仿宋_GB2312" w:eastAsia="仿宋_GB2312"/>
          <w:color w:val="auto"/>
          <w:sz w:val="32"/>
          <w:szCs w:val="32"/>
          <w:highlight w:val="none"/>
        </w:rPr>
        <w:t>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numPr>
          <w:ilvl w:val="0"/>
          <w:numId w:val="3"/>
        </w:numPr>
        <w:spacing w:line="576" w:lineRule="exact"/>
        <w:ind w:firstLine="660"/>
        <w:outlineLvl w:val="0"/>
        <w:rPr>
          <w:rStyle w:val="28"/>
          <w:rFonts w:ascii="黑体" w:hAnsi="黑体" w:eastAsia="黑体"/>
          <w:b w:val="0"/>
        </w:rPr>
      </w:pPr>
      <w:bookmarkStart w:id="78" w:name="_Toc15396613"/>
      <w:bookmarkStart w:id="79" w:name="_Toc15377225"/>
      <w:bookmarkStart w:id="80" w:name="_Toc14881"/>
      <w:r>
        <w:rPr>
          <w:rFonts w:hint="eastAsia" w:ascii="黑体" w:hAnsi="黑体" w:eastAsia="黑体"/>
          <w:sz w:val="44"/>
          <w:szCs w:val="44"/>
        </w:rPr>
        <w:t>名</w:t>
      </w:r>
      <w:r>
        <w:rPr>
          <w:rStyle w:val="28"/>
          <w:rFonts w:hint="eastAsia" w:ascii="黑体" w:hAnsi="黑体" w:eastAsia="黑体"/>
          <w:b w:val="0"/>
        </w:rPr>
        <w:t>词解释</w:t>
      </w:r>
      <w:bookmarkEnd w:id="78"/>
      <w:bookmarkEnd w:id="79"/>
      <w:bookmarkEnd w:id="80"/>
    </w:p>
    <w:p>
      <w:pPr>
        <w:spacing w:line="576" w:lineRule="exact"/>
        <w:jc w:val="left"/>
        <w:rPr>
          <w:rFonts w:ascii="宋体"/>
          <w:b/>
          <w:sz w:val="44"/>
          <w:szCs w:val="44"/>
        </w:rPr>
      </w:pPr>
    </w:p>
    <w:p>
      <w:pPr>
        <w:pStyle w:val="20"/>
        <w:spacing w:line="576" w:lineRule="exact"/>
        <w:ind w:firstLine="640" w:firstLineChars="200"/>
        <w:rPr>
          <w:rFonts w:ascii="仿宋_GB2312" w:eastAsia="仿宋_GB2312"/>
          <w:color w:val="auto"/>
          <w:sz w:val="32"/>
          <w:szCs w:val="32"/>
        </w:rPr>
      </w:pPr>
      <w:bookmarkStart w:id="81" w:name="_Toc15377226"/>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0"/>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0"/>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0"/>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0"/>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0"/>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0"/>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0"/>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spacing w:line="576"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一般公共服务（类）政府办公厅（款）行政运行（项）：指机关事业单位办文、办会、出差等各项工作需要用于购买货物和服务的各项支出。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社会保障和就业（类）行政事业单位养老支出（款）机关事业单位基本养老保险缴费支出（项）：</w:t>
      </w:r>
      <w:r>
        <w:rPr>
          <w:rFonts w:hint="eastAsia" w:ascii="仿宋_GB2312" w:eastAsia="仿宋_GB2312"/>
          <w:color w:val="000000"/>
          <w:sz w:val="32"/>
          <w:szCs w:val="32"/>
        </w:rPr>
        <w:t>指机关事业单位实施养老保险制度由单位缴纳的基本养老保险费支出</w:t>
      </w:r>
      <w:r>
        <w:rPr>
          <w:rFonts w:hint="eastAsia" w:ascii="仿宋_GB2312" w:eastAsia="仿宋_GB2312"/>
          <w:sz w:val="32"/>
          <w:szCs w:val="32"/>
        </w:rPr>
        <w:t>。</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w:t>
      </w:r>
      <w:r>
        <w:rPr>
          <w:rFonts w:hint="eastAsia" w:ascii="仿宋_GB2312" w:eastAsia="仿宋_GB2312"/>
          <w:sz w:val="32"/>
          <w:szCs w:val="32"/>
        </w:rPr>
        <w:t>医疗卫生与计划生育（类）</w:t>
      </w:r>
      <w:r>
        <w:rPr>
          <w:rFonts w:hint="eastAsia" w:ascii="仿宋_GB2312" w:eastAsia="仿宋_GB2312"/>
          <w:color w:val="000000"/>
          <w:sz w:val="32"/>
          <w:szCs w:val="32"/>
        </w:rPr>
        <w:t>行政事业单位医疗</w:t>
      </w:r>
      <w:r>
        <w:rPr>
          <w:rFonts w:hint="eastAsia" w:ascii="仿宋_GB2312" w:eastAsia="仿宋_GB2312"/>
          <w:sz w:val="32"/>
          <w:szCs w:val="32"/>
        </w:rPr>
        <w:t>（款）</w:t>
      </w:r>
      <w:r>
        <w:rPr>
          <w:rFonts w:hint="eastAsia" w:ascii="仿宋_GB2312" w:eastAsia="仿宋_GB2312"/>
          <w:color w:val="000000"/>
          <w:sz w:val="32"/>
          <w:szCs w:val="32"/>
        </w:rPr>
        <w:t>行政事业单位医疗</w:t>
      </w:r>
      <w:r>
        <w:rPr>
          <w:rFonts w:hint="eastAsia" w:ascii="仿宋_GB2312" w:eastAsia="仿宋_GB2312"/>
          <w:sz w:val="32"/>
          <w:szCs w:val="32"/>
        </w:rPr>
        <w:t>（项）：指</w:t>
      </w:r>
      <w:r>
        <w:rPr>
          <w:rFonts w:hint="eastAsia" w:ascii="仿宋_GB2312" w:eastAsia="仿宋_GB2312"/>
          <w:color w:val="000000"/>
          <w:sz w:val="32"/>
          <w:szCs w:val="32"/>
        </w:rPr>
        <w:t>财政部门安排的行政事业单位基本医疗保险缴费经费</w:t>
      </w:r>
      <w:r>
        <w:rPr>
          <w:rFonts w:hint="eastAsia" w:ascii="仿宋_GB2312" w:eastAsia="仿宋_GB2312"/>
          <w:sz w:val="32"/>
          <w:szCs w:val="32"/>
        </w:rPr>
        <w:t>。</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住房保障（类）</w:t>
      </w:r>
      <w:r>
        <w:rPr>
          <w:rFonts w:hint="eastAsia" w:ascii="仿宋_GB2312" w:eastAsia="仿宋_GB2312"/>
          <w:color w:val="000000"/>
          <w:sz w:val="32"/>
          <w:szCs w:val="32"/>
        </w:rPr>
        <w:t>住房改革支出</w:t>
      </w:r>
      <w:r>
        <w:rPr>
          <w:rFonts w:hint="eastAsia" w:ascii="仿宋_GB2312" w:eastAsia="仿宋_GB2312"/>
          <w:sz w:val="32"/>
          <w:szCs w:val="32"/>
        </w:rPr>
        <w:t>（款）</w:t>
      </w:r>
      <w:r>
        <w:rPr>
          <w:rFonts w:hint="eastAsia" w:ascii="仿宋_GB2312" w:eastAsia="仿宋_GB2312"/>
          <w:color w:val="000000"/>
          <w:sz w:val="32"/>
          <w:szCs w:val="32"/>
        </w:rPr>
        <w:t>住房公积金</w:t>
      </w:r>
      <w:r>
        <w:rPr>
          <w:rFonts w:hint="eastAsia" w:ascii="仿宋_GB2312" w:eastAsia="仿宋_GB2312"/>
          <w:sz w:val="32"/>
          <w:szCs w:val="32"/>
        </w:rPr>
        <w:t>（项）：指</w:t>
      </w:r>
      <w:r>
        <w:rPr>
          <w:rFonts w:hint="eastAsia" w:ascii="仿宋_GB2312" w:eastAsia="仿宋_GB2312"/>
          <w:color w:val="000000"/>
          <w:sz w:val="32"/>
          <w:szCs w:val="32"/>
        </w:rPr>
        <w:t>反映行政事业单位按人力资源和社会保障部、财政部规定的基本工资和津贴补贴以及规定比例为职工缴纳的住房公积金。</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0"/>
        <w:spacing w:line="576"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16</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0"/>
        <w:spacing w:line="576"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76" w:lineRule="exact"/>
        <w:jc w:val="center"/>
        <w:outlineLvl w:val="0"/>
        <w:rPr>
          <w:rStyle w:val="28"/>
          <w:rFonts w:ascii="黑体" w:hAnsi="黑体" w:eastAsia="黑体"/>
          <w:b w:val="0"/>
        </w:rPr>
      </w:pPr>
      <w:r>
        <w:rPr>
          <w:rFonts w:ascii="宋体"/>
          <w:b/>
          <w:sz w:val="44"/>
          <w:szCs w:val="44"/>
        </w:rPr>
        <w:br w:type="page"/>
      </w:r>
      <w:bookmarkStart w:id="82" w:name="_Toc15396614"/>
      <w:bookmarkStart w:id="83" w:name="_Toc23532"/>
      <w:r>
        <w:rPr>
          <w:rFonts w:hint="eastAsia" w:ascii="黑体" w:hAnsi="黑体" w:eastAsia="黑体"/>
          <w:sz w:val="44"/>
          <w:szCs w:val="44"/>
        </w:rPr>
        <w:t>第</w:t>
      </w:r>
      <w:r>
        <w:rPr>
          <w:rStyle w:val="28"/>
          <w:rFonts w:hint="eastAsia" w:ascii="黑体" w:hAnsi="黑体" w:eastAsia="黑体"/>
          <w:b w:val="0"/>
        </w:rPr>
        <w:t>四部分 附件</w:t>
      </w:r>
      <w:bookmarkEnd w:id="82"/>
      <w:bookmarkEnd w:id="83"/>
    </w:p>
    <w:tbl>
      <w:tblPr>
        <w:tblStyle w:val="16"/>
        <w:tblW w:w="8961" w:type="dxa"/>
        <w:jc w:val="center"/>
        <w:tblLayout w:type="fixed"/>
        <w:tblCellMar>
          <w:top w:w="0" w:type="dxa"/>
          <w:left w:w="0" w:type="dxa"/>
          <w:bottom w:w="0" w:type="dxa"/>
          <w:right w:w="0" w:type="dxa"/>
        </w:tblCellMar>
      </w:tblPr>
      <w:tblGrid>
        <w:gridCol w:w="586"/>
        <w:gridCol w:w="1367"/>
        <w:gridCol w:w="1025"/>
        <w:gridCol w:w="1197"/>
        <w:gridCol w:w="2439"/>
        <w:gridCol w:w="2347"/>
      </w:tblGrid>
      <w:tr>
        <w:tblPrEx>
          <w:tblCellMar>
            <w:top w:w="0" w:type="dxa"/>
            <w:left w:w="0" w:type="dxa"/>
            <w:bottom w:w="0" w:type="dxa"/>
            <w:right w:w="0" w:type="dxa"/>
          </w:tblCellMar>
        </w:tblPrEx>
        <w:trPr>
          <w:trHeight w:val="20" w:hRule="atLeast"/>
          <w:jc w:val="center"/>
        </w:trPr>
        <w:tc>
          <w:tcPr>
            <w:tcW w:w="8961"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2021年部门预算项目绩效目标自评</w:t>
            </w:r>
          </w:p>
        </w:tc>
      </w:tr>
      <w:tr>
        <w:tblPrEx>
          <w:tblCellMar>
            <w:top w:w="0" w:type="dxa"/>
            <w:left w:w="0" w:type="dxa"/>
            <w:bottom w:w="0" w:type="dxa"/>
            <w:right w:w="0" w:type="dxa"/>
          </w:tblCellMar>
        </w:tblPrEx>
        <w:trPr>
          <w:trHeight w:val="20" w:hRule="atLeast"/>
          <w:jc w:val="center"/>
        </w:trPr>
        <w:tc>
          <w:tcPr>
            <w:tcW w:w="29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项目名称</w:t>
            </w:r>
          </w:p>
        </w:tc>
        <w:tc>
          <w:tcPr>
            <w:tcW w:w="598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三江办办公用房房屋租金</w:t>
            </w:r>
          </w:p>
        </w:tc>
      </w:tr>
      <w:tr>
        <w:tblPrEx>
          <w:tblCellMar>
            <w:top w:w="0" w:type="dxa"/>
            <w:left w:w="0" w:type="dxa"/>
            <w:bottom w:w="0" w:type="dxa"/>
            <w:right w:w="0" w:type="dxa"/>
          </w:tblCellMar>
        </w:tblPrEx>
        <w:trPr>
          <w:trHeight w:val="20" w:hRule="atLeast"/>
          <w:jc w:val="center"/>
        </w:trPr>
        <w:tc>
          <w:tcPr>
            <w:tcW w:w="29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预算单位</w:t>
            </w:r>
          </w:p>
        </w:tc>
        <w:tc>
          <w:tcPr>
            <w:tcW w:w="598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广元市昭化区三江新区发展事务中心</w:t>
            </w:r>
          </w:p>
        </w:tc>
      </w:tr>
      <w:tr>
        <w:tblPrEx>
          <w:tblCellMar>
            <w:top w:w="0" w:type="dxa"/>
            <w:left w:w="0" w:type="dxa"/>
            <w:bottom w:w="0" w:type="dxa"/>
            <w:right w:w="0" w:type="dxa"/>
          </w:tblCellMar>
        </w:tblPrEx>
        <w:trPr>
          <w:trHeight w:val="20" w:hRule="atLeast"/>
          <w:jc w:val="center"/>
        </w:trPr>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预算数:</w:t>
            </w:r>
          </w:p>
        </w:tc>
        <w:tc>
          <w:tcPr>
            <w:tcW w:w="1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15万元</w:t>
            </w:r>
          </w:p>
        </w:tc>
        <w:tc>
          <w:tcPr>
            <w:tcW w:w="2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执行数:</w:t>
            </w:r>
          </w:p>
        </w:tc>
        <w:tc>
          <w:tcPr>
            <w:tcW w:w="2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15万元</w:t>
            </w:r>
          </w:p>
        </w:tc>
      </w:tr>
      <w:tr>
        <w:tblPrEx>
          <w:tblCellMar>
            <w:top w:w="0" w:type="dxa"/>
            <w:left w:w="0" w:type="dxa"/>
            <w:bottom w:w="0" w:type="dxa"/>
            <w:right w:w="0" w:type="dxa"/>
          </w:tblCellMar>
        </w:tblPrEx>
        <w:trPr>
          <w:trHeight w:val="20" w:hRule="atLeast"/>
          <w:jc w:val="center"/>
        </w:trPr>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宋体" w:asciiTheme="majorEastAsia" w:hAnsiTheme="majorEastAsia" w:eastAsiaTheme="majorEastAsia"/>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其中-财政拨款:</w:t>
            </w:r>
          </w:p>
        </w:tc>
        <w:tc>
          <w:tcPr>
            <w:tcW w:w="1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15万元</w:t>
            </w:r>
          </w:p>
        </w:tc>
        <w:tc>
          <w:tcPr>
            <w:tcW w:w="2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其中-财政拨款:</w:t>
            </w:r>
          </w:p>
        </w:tc>
        <w:tc>
          <w:tcPr>
            <w:tcW w:w="2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15万元</w:t>
            </w:r>
          </w:p>
        </w:tc>
      </w:tr>
      <w:tr>
        <w:tblPrEx>
          <w:tblCellMar>
            <w:top w:w="0" w:type="dxa"/>
            <w:left w:w="0" w:type="dxa"/>
            <w:bottom w:w="0" w:type="dxa"/>
            <w:right w:w="0" w:type="dxa"/>
          </w:tblCellMar>
        </w:tblPrEx>
        <w:trPr>
          <w:trHeight w:val="20" w:hRule="atLeast"/>
          <w:jc w:val="center"/>
        </w:trPr>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宋体" w:asciiTheme="majorEastAsia" w:hAnsiTheme="majorEastAsia" w:eastAsiaTheme="majorEastAsia"/>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其它资金:</w:t>
            </w:r>
          </w:p>
        </w:tc>
        <w:tc>
          <w:tcPr>
            <w:tcW w:w="1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0</w:t>
            </w:r>
          </w:p>
        </w:tc>
        <w:tc>
          <w:tcPr>
            <w:tcW w:w="2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其它资金:</w:t>
            </w:r>
          </w:p>
        </w:tc>
        <w:tc>
          <w:tcPr>
            <w:tcW w:w="2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0</w:t>
            </w:r>
          </w:p>
        </w:tc>
      </w:tr>
      <w:tr>
        <w:tblPrEx>
          <w:tblCellMar>
            <w:top w:w="0" w:type="dxa"/>
            <w:left w:w="0" w:type="dxa"/>
            <w:bottom w:w="0" w:type="dxa"/>
            <w:right w:w="0" w:type="dxa"/>
          </w:tblCellMar>
        </w:tblPrEx>
        <w:trPr>
          <w:trHeight w:val="20" w:hRule="atLeast"/>
          <w:jc w:val="center"/>
        </w:trPr>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年度目标完成情况</w:t>
            </w:r>
          </w:p>
        </w:tc>
        <w:tc>
          <w:tcPr>
            <w:tcW w:w="358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实际完成目标</w:t>
            </w:r>
          </w:p>
        </w:tc>
      </w:tr>
      <w:tr>
        <w:tblPrEx>
          <w:tblCellMar>
            <w:top w:w="0" w:type="dxa"/>
            <w:left w:w="0" w:type="dxa"/>
            <w:bottom w:w="0" w:type="dxa"/>
            <w:right w:w="0" w:type="dxa"/>
          </w:tblCellMar>
        </w:tblPrEx>
        <w:trPr>
          <w:trHeight w:val="20" w:hRule="atLeast"/>
          <w:jc w:val="center"/>
        </w:trPr>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宋体" w:asciiTheme="majorEastAsia" w:hAnsiTheme="majorEastAsia" w:eastAsiaTheme="majorEastAsia"/>
                <w:color w:val="000000"/>
                <w:szCs w:val="21"/>
              </w:rPr>
            </w:pPr>
          </w:p>
        </w:tc>
        <w:tc>
          <w:tcPr>
            <w:tcW w:w="358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2021年办公用房房屋租金15万元，用于开展三江新区工作办公用房租金。</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2021年完成支付办公用房房屋租金7.6万元，因特殊原因剩余7.</w:t>
            </w:r>
            <w:r>
              <w:rPr>
                <w:rFonts w:hint="eastAsia" w:cs="宋体" w:asciiTheme="majorEastAsia" w:hAnsiTheme="majorEastAsia" w:eastAsiaTheme="majorEastAsia"/>
                <w:color w:val="000000"/>
                <w:szCs w:val="21"/>
                <w:lang w:val="en-US" w:eastAsia="zh-CN"/>
              </w:rPr>
              <w:t>4</w:t>
            </w:r>
            <w:r>
              <w:rPr>
                <w:rFonts w:hint="eastAsia" w:cs="宋体" w:asciiTheme="majorEastAsia" w:hAnsiTheme="majorEastAsia" w:eastAsiaTheme="majorEastAsia"/>
                <w:color w:val="000000"/>
                <w:szCs w:val="21"/>
              </w:rPr>
              <w:t>万元退回财政。</w:t>
            </w:r>
          </w:p>
        </w:tc>
      </w:tr>
      <w:tr>
        <w:tblPrEx>
          <w:tblCellMar>
            <w:top w:w="0" w:type="dxa"/>
            <w:left w:w="0" w:type="dxa"/>
            <w:bottom w:w="0" w:type="dxa"/>
            <w:right w:w="0" w:type="dxa"/>
          </w:tblCellMar>
        </w:tblPrEx>
        <w:trPr>
          <w:trHeight w:val="20" w:hRule="atLeast"/>
          <w:jc w:val="center"/>
        </w:trPr>
        <w:tc>
          <w:tcPr>
            <w:tcW w:w="5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二级指标</w:t>
            </w:r>
          </w:p>
        </w:tc>
        <w:tc>
          <w:tcPr>
            <w:tcW w:w="1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三级指标</w:t>
            </w:r>
          </w:p>
        </w:tc>
        <w:tc>
          <w:tcPr>
            <w:tcW w:w="2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预期指标值(包含数字及文字描述)</w:t>
            </w:r>
          </w:p>
        </w:tc>
        <w:tc>
          <w:tcPr>
            <w:tcW w:w="2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实际完成指标值(包含数字及文字描述)</w:t>
            </w:r>
          </w:p>
        </w:tc>
      </w:tr>
      <w:tr>
        <w:tblPrEx>
          <w:tblCellMar>
            <w:top w:w="0" w:type="dxa"/>
            <w:left w:w="0" w:type="dxa"/>
            <w:bottom w:w="0" w:type="dxa"/>
            <w:right w:w="0" w:type="dxa"/>
          </w:tblCellMar>
        </w:tblPrEx>
        <w:trPr>
          <w:trHeight w:val="20" w:hRule="atLeast"/>
          <w:jc w:val="center"/>
        </w:trPr>
        <w:tc>
          <w:tcPr>
            <w:tcW w:w="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项目完成指标</w:t>
            </w: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数量指标</w:t>
            </w:r>
          </w:p>
        </w:tc>
        <w:tc>
          <w:tcPr>
            <w:tcW w:w="1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租房面积</w:t>
            </w:r>
          </w:p>
        </w:tc>
        <w:tc>
          <w:tcPr>
            <w:tcW w:w="2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本单位共计租房面积约600个平方，房主要求三层楼整体出租。组成如下：大型会议室、厕所约150个平方，承担昭化区三江新区开发建设和昭化区统筹城乡委员会办公室，统筹协调会议、市区领导调研会议等职责；厨房、餐厅共计约100个平方，承担新区开发建设工作用餐接待及职工食堂等职责；办公用房、档案室、党员会议室、厕所等约350个平方，承担区三江办和区统筹委日常办公、小型会议、接待等工作职责。</w:t>
            </w:r>
          </w:p>
        </w:tc>
        <w:tc>
          <w:tcPr>
            <w:tcW w:w="2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单位共计租房面积约600个平方，房主要求三层楼整体出租。组成如下：大型会议室、厕所约150个平方，承担昭化区三江新区开发建设和昭化区统筹城乡委员会办公室，统筹协调会议、市区领导调研会议等职责；厨房、餐厅共计约100个平方，承担新区开发建设工作用餐接待及职工食堂等职责；办公用房、档案室、党员会议室、厕所等约350个平方，承担区三江办和区统筹委日常办公、小型会议、接待等工作职责。</w:t>
            </w:r>
          </w:p>
        </w:tc>
      </w:tr>
      <w:tr>
        <w:tblPrEx>
          <w:tblCellMar>
            <w:top w:w="0" w:type="dxa"/>
            <w:left w:w="0" w:type="dxa"/>
            <w:bottom w:w="0" w:type="dxa"/>
            <w:right w:w="0" w:type="dxa"/>
          </w:tblCellMar>
        </w:tblPrEx>
        <w:trPr>
          <w:trHeight w:val="20" w:hRule="atLeast"/>
          <w:jc w:val="center"/>
        </w:trPr>
        <w:tc>
          <w:tcPr>
            <w:tcW w:w="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项目完成指标</w:t>
            </w: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p>
        </w:tc>
        <w:tc>
          <w:tcPr>
            <w:tcW w:w="1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覆盖人数</w:t>
            </w:r>
          </w:p>
        </w:tc>
        <w:tc>
          <w:tcPr>
            <w:tcW w:w="2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负责三江办日常办公共计10人</w:t>
            </w:r>
          </w:p>
        </w:tc>
        <w:tc>
          <w:tcPr>
            <w:tcW w:w="2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负责三江办日常办公共计10人</w:t>
            </w:r>
          </w:p>
        </w:tc>
      </w:tr>
      <w:tr>
        <w:tblPrEx>
          <w:tblCellMar>
            <w:top w:w="0" w:type="dxa"/>
            <w:left w:w="0" w:type="dxa"/>
            <w:bottom w:w="0" w:type="dxa"/>
            <w:right w:w="0" w:type="dxa"/>
          </w:tblCellMar>
        </w:tblPrEx>
        <w:trPr>
          <w:trHeight w:val="20" w:hRule="atLeast"/>
          <w:jc w:val="center"/>
        </w:trPr>
        <w:tc>
          <w:tcPr>
            <w:tcW w:w="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项目完成指标</w:t>
            </w: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p>
        </w:tc>
        <w:tc>
          <w:tcPr>
            <w:tcW w:w="1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争取资金</w:t>
            </w:r>
          </w:p>
        </w:tc>
        <w:tc>
          <w:tcPr>
            <w:tcW w:w="2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15万元</w:t>
            </w:r>
          </w:p>
        </w:tc>
        <w:tc>
          <w:tcPr>
            <w:tcW w:w="2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7.6</w:t>
            </w:r>
            <w:bookmarkStart w:id="113" w:name="_GoBack"/>
            <w:bookmarkEnd w:id="113"/>
            <w:r>
              <w:rPr>
                <w:rFonts w:hint="eastAsia" w:cs="宋体" w:asciiTheme="majorEastAsia" w:hAnsiTheme="majorEastAsia" w:eastAsiaTheme="majorEastAsia"/>
                <w:color w:val="000000"/>
                <w:szCs w:val="21"/>
              </w:rPr>
              <w:t>万元</w:t>
            </w:r>
          </w:p>
        </w:tc>
      </w:tr>
      <w:tr>
        <w:tblPrEx>
          <w:tblCellMar>
            <w:top w:w="0" w:type="dxa"/>
            <w:left w:w="0" w:type="dxa"/>
            <w:bottom w:w="0" w:type="dxa"/>
            <w:right w:w="0" w:type="dxa"/>
          </w:tblCellMar>
        </w:tblPrEx>
        <w:trPr>
          <w:trHeight w:val="20" w:hRule="atLeast"/>
          <w:jc w:val="center"/>
        </w:trPr>
        <w:tc>
          <w:tcPr>
            <w:tcW w:w="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项目完成指标</w:t>
            </w: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时效指标</w:t>
            </w:r>
          </w:p>
        </w:tc>
        <w:tc>
          <w:tcPr>
            <w:tcW w:w="1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启动时间</w:t>
            </w:r>
          </w:p>
        </w:tc>
        <w:tc>
          <w:tcPr>
            <w:tcW w:w="2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2021年1月1日</w:t>
            </w:r>
          </w:p>
        </w:tc>
        <w:tc>
          <w:tcPr>
            <w:tcW w:w="2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2021年1月1日</w:t>
            </w:r>
          </w:p>
        </w:tc>
      </w:tr>
      <w:tr>
        <w:tblPrEx>
          <w:tblCellMar>
            <w:top w:w="0" w:type="dxa"/>
            <w:left w:w="0" w:type="dxa"/>
            <w:bottom w:w="0" w:type="dxa"/>
            <w:right w:w="0" w:type="dxa"/>
          </w:tblCellMar>
        </w:tblPrEx>
        <w:trPr>
          <w:trHeight w:val="20" w:hRule="atLeast"/>
          <w:jc w:val="center"/>
        </w:trPr>
        <w:tc>
          <w:tcPr>
            <w:tcW w:w="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项目完成指标</w:t>
            </w: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p>
        </w:tc>
        <w:tc>
          <w:tcPr>
            <w:tcW w:w="1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完成时间</w:t>
            </w:r>
          </w:p>
        </w:tc>
        <w:tc>
          <w:tcPr>
            <w:tcW w:w="2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2021年12月31日</w:t>
            </w:r>
          </w:p>
        </w:tc>
        <w:tc>
          <w:tcPr>
            <w:tcW w:w="2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2021年12月31日</w:t>
            </w:r>
          </w:p>
        </w:tc>
      </w:tr>
      <w:tr>
        <w:tblPrEx>
          <w:tblCellMar>
            <w:top w:w="0" w:type="dxa"/>
            <w:left w:w="0" w:type="dxa"/>
            <w:bottom w:w="0" w:type="dxa"/>
            <w:right w:w="0" w:type="dxa"/>
          </w:tblCellMar>
        </w:tblPrEx>
        <w:trPr>
          <w:trHeight w:val="20" w:hRule="atLeast"/>
          <w:jc w:val="center"/>
        </w:trPr>
        <w:tc>
          <w:tcPr>
            <w:tcW w:w="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经济效益指标</w:t>
            </w:r>
          </w:p>
        </w:tc>
        <w:tc>
          <w:tcPr>
            <w:tcW w:w="1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指导三江新区建设</w:t>
            </w:r>
          </w:p>
        </w:tc>
        <w:tc>
          <w:tcPr>
            <w:tcW w:w="2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为新区开发建设的指导、服务提供了保障</w:t>
            </w:r>
          </w:p>
        </w:tc>
        <w:tc>
          <w:tcPr>
            <w:tcW w:w="2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为新区开发建设的指导、服务提供了保障</w:t>
            </w:r>
          </w:p>
        </w:tc>
      </w:tr>
      <w:tr>
        <w:tblPrEx>
          <w:tblCellMar>
            <w:top w:w="0" w:type="dxa"/>
            <w:left w:w="0" w:type="dxa"/>
            <w:bottom w:w="0" w:type="dxa"/>
            <w:right w:w="0" w:type="dxa"/>
          </w:tblCellMar>
        </w:tblPrEx>
        <w:trPr>
          <w:trHeight w:val="20" w:hRule="atLeast"/>
          <w:jc w:val="center"/>
        </w:trPr>
        <w:tc>
          <w:tcPr>
            <w:tcW w:w="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社会效益指标</w:t>
            </w:r>
          </w:p>
        </w:tc>
        <w:tc>
          <w:tcPr>
            <w:tcW w:w="1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指导三江新区建设</w:t>
            </w:r>
          </w:p>
        </w:tc>
        <w:tc>
          <w:tcPr>
            <w:tcW w:w="2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为新区建设提供办公用房基本保障，为三江办工作人员办公提供坚实基础</w:t>
            </w:r>
          </w:p>
        </w:tc>
        <w:tc>
          <w:tcPr>
            <w:tcW w:w="2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为新区建设提供办公用房基本保障，为三江办工作人员办公提供坚实基础</w:t>
            </w:r>
          </w:p>
        </w:tc>
      </w:tr>
      <w:tr>
        <w:tblPrEx>
          <w:tblCellMar>
            <w:top w:w="0" w:type="dxa"/>
            <w:left w:w="0" w:type="dxa"/>
            <w:bottom w:w="0" w:type="dxa"/>
            <w:right w:w="0" w:type="dxa"/>
          </w:tblCellMar>
        </w:tblPrEx>
        <w:trPr>
          <w:trHeight w:val="20" w:hRule="atLeast"/>
          <w:jc w:val="center"/>
        </w:trPr>
        <w:tc>
          <w:tcPr>
            <w:tcW w:w="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kern w:val="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可持续影响指标</w:t>
            </w:r>
          </w:p>
        </w:tc>
        <w:tc>
          <w:tcPr>
            <w:tcW w:w="1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指导三江新区建设</w:t>
            </w:r>
          </w:p>
        </w:tc>
        <w:tc>
          <w:tcPr>
            <w:tcW w:w="2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将极大提升三江新区基础设施能力，对三江新区持续发展奠定坚实基础</w:t>
            </w:r>
          </w:p>
        </w:tc>
        <w:tc>
          <w:tcPr>
            <w:tcW w:w="2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将极大提升三江新区基础设施能力，对三江新区持续发展奠定坚实基础</w:t>
            </w:r>
          </w:p>
        </w:tc>
      </w:tr>
      <w:tr>
        <w:tblPrEx>
          <w:tblCellMar>
            <w:top w:w="0" w:type="dxa"/>
            <w:left w:w="0" w:type="dxa"/>
            <w:bottom w:w="0" w:type="dxa"/>
            <w:right w:w="0" w:type="dxa"/>
          </w:tblCellMar>
        </w:tblPrEx>
        <w:trPr>
          <w:trHeight w:val="20" w:hRule="atLeast"/>
          <w:jc w:val="center"/>
        </w:trPr>
        <w:tc>
          <w:tcPr>
            <w:tcW w:w="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kern w:val="0"/>
                <w:szCs w:val="21"/>
              </w:rPr>
              <w:t>满意度指标</w:t>
            </w: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满意度指标</w:t>
            </w:r>
          </w:p>
        </w:tc>
        <w:tc>
          <w:tcPr>
            <w:tcW w:w="1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政府满意度</w:t>
            </w:r>
          </w:p>
        </w:tc>
        <w:tc>
          <w:tcPr>
            <w:tcW w:w="2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≥100%</w:t>
            </w:r>
          </w:p>
        </w:tc>
        <w:tc>
          <w:tcPr>
            <w:tcW w:w="2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≥100%</w:t>
            </w:r>
          </w:p>
        </w:tc>
      </w:tr>
      <w:tr>
        <w:tblPrEx>
          <w:tblCellMar>
            <w:top w:w="0" w:type="dxa"/>
            <w:left w:w="0" w:type="dxa"/>
            <w:bottom w:w="0" w:type="dxa"/>
            <w:right w:w="0" w:type="dxa"/>
          </w:tblCellMar>
        </w:tblPrEx>
        <w:trPr>
          <w:trHeight w:val="20" w:hRule="atLeast"/>
          <w:jc w:val="center"/>
        </w:trPr>
        <w:tc>
          <w:tcPr>
            <w:tcW w:w="586"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kern w:val="0"/>
                <w:szCs w:val="21"/>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p>
        </w:tc>
        <w:tc>
          <w:tcPr>
            <w:tcW w:w="1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社会公众满意度</w:t>
            </w:r>
          </w:p>
        </w:tc>
        <w:tc>
          <w:tcPr>
            <w:tcW w:w="2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≥100%</w:t>
            </w:r>
          </w:p>
        </w:tc>
        <w:tc>
          <w:tcPr>
            <w:tcW w:w="2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≥100%</w:t>
            </w:r>
          </w:p>
        </w:tc>
      </w:tr>
    </w:tbl>
    <w:p>
      <w:pPr>
        <w:spacing w:line="576" w:lineRule="exact"/>
        <w:jc w:val="center"/>
        <w:outlineLvl w:val="0"/>
        <w:rPr>
          <w:rFonts w:ascii="仿宋" w:hAnsi="仿宋" w:eastAsia="仿宋"/>
        </w:rPr>
      </w:pPr>
      <w:bookmarkStart w:id="84" w:name="_Toc15396618"/>
      <w:bookmarkStart w:id="85" w:name="_Toc15241"/>
      <w:r>
        <w:rPr>
          <w:rFonts w:hint="eastAsia" w:ascii="黑体" w:hAnsi="黑体" w:eastAsia="黑体"/>
          <w:sz w:val="44"/>
          <w:szCs w:val="44"/>
        </w:rPr>
        <w:t>第</w:t>
      </w:r>
      <w:r>
        <w:rPr>
          <w:rStyle w:val="28"/>
          <w:rFonts w:hint="eastAsia" w:ascii="黑体" w:hAnsi="黑体" w:eastAsia="黑体"/>
          <w:b w:val="0"/>
        </w:rPr>
        <w:t>五部分 附表</w:t>
      </w:r>
      <w:bookmarkEnd w:id="81"/>
      <w:bookmarkEnd w:id="84"/>
      <w:bookmarkEnd w:id="85"/>
      <w:bookmarkStart w:id="86" w:name="_Toc15396619"/>
    </w:p>
    <w:p>
      <w:pPr>
        <w:pStyle w:val="4"/>
        <w:spacing w:before="0" w:after="0" w:line="576" w:lineRule="exact"/>
        <w:rPr>
          <w:rFonts w:hint="eastAsia" w:ascii="仿宋" w:hAnsi="仿宋" w:eastAsia="仿宋"/>
          <w:b w:val="0"/>
        </w:rPr>
      </w:pPr>
    </w:p>
    <w:p>
      <w:pPr>
        <w:pStyle w:val="4"/>
        <w:spacing w:before="0" w:after="0" w:line="576" w:lineRule="exact"/>
        <w:rPr>
          <w:rFonts w:ascii="仿宋" w:hAnsi="仿宋" w:eastAsia="仿宋"/>
        </w:rPr>
      </w:pPr>
      <w:bookmarkStart w:id="87" w:name="_Toc15147"/>
      <w:r>
        <w:rPr>
          <w:rFonts w:hint="eastAsia" w:ascii="仿宋" w:hAnsi="仿宋" w:eastAsia="仿宋"/>
          <w:b w:val="0"/>
        </w:rPr>
        <w:t>一、收</w:t>
      </w:r>
      <w:r>
        <w:rPr>
          <w:rStyle w:val="29"/>
          <w:rFonts w:hint="eastAsia" w:ascii="仿宋" w:hAnsi="仿宋" w:eastAsia="仿宋"/>
          <w:b w:val="0"/>
          <w:bCs w:val="0"/>
        </w:rPr>
        <w:t>入支出决算总表</w:t>
      </w:r>
      <w:bookmarkEnd w:id="86"/>
      <w:bookmarkEnd w:id="87"/>
    </w:p>
    <w:p>
      <w:pPr>
        <w:pStyle w:val="4"/>
        <w:spacing w:before="0" w:after="0" w:line="576" w:lineRule="exact"/>
        <w:rPr>
          <w:rFonts w:ascii="仿宋" w:hAnsi="仿宋" w:eastAsia="仿宋"/>
        </w:rPr>
      </w:pPr>
      <w:bookmarkStart w:id="88" w:name="_Toc15396620"/>
      <w:bookmarkStart w:id="89" w:name="_Toc22661"/>
      <w:r>
        <w:rPr>
          <w:rFonts w:hint="eastAsia" w:ascii="仿宋" w:hAnsi="仿宋" w:eastAsia="仿宋"/>
          <w:b w:val="0"/>
        </w:rPr>
        <w:t>二、收</w:t>
      </w:r>
      <w:r>
        <w:rPr>
          <w:rStyle w:val="29"/>
          <w:rFonts w:hint="eastAsia" w:ascii="仿宋" w:hAnsi="仿宋" w:eastAsia="仿宋"/>
          <w:b w:val="0"/>
          <w:bCs w:val="0"/>
        </w:rPr>
        <w:t>入决算表</w:t>
      </w:r>
      <w:bookmarkEnd w:id="88"/>
      <w:bookmarkEnd w:id="89"/>
    </w:p>
    <w:p>
      <w:pPr>
        <w:pStyle w:val="4"/>
        <w:spacing w:before="0" w:after="0" w:line="576" w:lineRule="exact"/>
        <w:rPr>
          <w:rFonts w:ascii="仿宋" w:hAnsi="仿宋" w:eastAsia="仿宋"/>
        </w:rPr>
      </w:pPr>
      <w:bookmarkStart w:id="90" w:name="_Toc1189"/>
      <w:bookmarkStart w:id="91"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90"/>
      <w:bookmarkEnd w:id="91"/>
    </w:p>
    <w:p>
      <w:pPr>
        <w:pStyle w:val="4"/>
        <w:spacing w:before="0" w:after="0" w:line="576" w:lineRule="exact"/>
        <w:rPr>
          <w:rFonts w:ascii="仿宋" w:hAnsi="仿宋" w:eastAsia="仿宋"/>
          <w:b w:val="0"/>
        </w:rPr>
      </w:pPr>
      <w:bookmarkStart w:id="92" w:name="_Toc10482"/>
      <w:bookmarkStart w:id="93"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92"/>
      <w:bookmarkEnd w:id="93"/>
    </w:p>
    <w:p>
      <w:pPr>
        <w:pStyle w:val="4"/>
        <w:spacing w:before="0" w:after="0" w:line="576" w:lineRule="exact"/>
        <w:rPr>
          <w:rStyle w:val="29"/>
          <w:rFonts w:ascii="仿宋" w:hAnsi="仿宋" w:eastAsia="仿宋"/>
          <w:b w:val="0"/>
          <w:bCs w:val="0"/>
        </w:rPr>
      </w:pPr>
      <w:bookmarkStart w:id="94" w:name="_Toc25203"/>
      <w:bookmarkStart w:id="95"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94"/>
      <w:bookmarkEnd w:id="95"/>
      <w:bookmarkStart w:id="96" w:name="_Toc15396624"/>
    </w:p>
    <w:p>
      <w:pPr>
        <w:pStyle w:val="4"/>
        <w:spacing w:before="0" w:after="0" w:line="576" w:lineRule="exact"/>
        <w:rPr>
          <w:rFonts w:ascii="仿宋" w:hAnsi="仿宋" w:eastAsia="仿宋"/>
        </w:rPr>
      </w:pPr>
      <w:bookmarkStart w:id="97" w:name="_Toc8550"/>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96"/>
      <w:bookmarkEnd w:id="97"/>
    </w:p>
    <w:p>
      <w:pPr>
        <w:pStyle w:val="4"/>
        <w:spacing w:before="0" w:after="0" w:line="576" w:lineRule="exact"/>
        <w:rPr>
          <w:rFonts w:ascii="仿宋" w:hAnsi="仿宋" w:eastAsia="仿宋"/>
        </w:rPr>
      </w:pPr>
      <w:bookmarkStart w:id="98" w:name="_Toc17940"/>
      <w:bookmarkStart w:id="99"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98"/>
      <w:bookmarkEnd w:id="99"/>
    </w:p>
    <w:p>
      <w:pPr>
        <w:pStyle w:val="4"/>
        <w:spacing w:before="0" w:after="0" w:line="576" w:lineRule="exact"/>
        <w:rPr>
          <w:rFonts w:ascii="仿宋" w:hAnsi="仿宋" w:eastAsia="仿宋"/>
        </w:rPr>
      </w:pPr>
      <w:bookmarkStart w:id="100" w:name="_Toc15396626"/>
      <w:bookmarkStart w:id="101" w:name="_Toc1957"/>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100"/>
      <w:bookmarkEnd w:id="101"/>
    </w:p>
    <w:p>
      <w:pPr>
        <w:pStyle w:val="4"/>
        <w:spacing w:before="0" w:after="0" w:line="576" w:lineRule="exact"/>
        <w:rPr>
          <w:rFonts w:ascii="仿宋" w:hAnsi="仿宋" w:eastAsia="仿宋"/>
        </w:rPr>
      </w:pPr>
      <w:bookmarkStart w:id="102" w:name="_Toc15396627"/>
      <w:bookmarkStart w:id="103" w:name="_Toc30611"/>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102"/>
      <w:bookmarkEnd w:id="103"/>
    </w:p>
    <w:p>
      <w:pPr>
        <w:pStyle w:val="4"/>
        <w:spacing w:before="0" w:after="0" w:line="576" w:lineRule="exact"/>
        <w:rPr>
          <w:rFonts w:ascii="仿宋" w:hAnsi="仿宋" w:eastAsia="仿宋"/>
        </w:rPr>
      </w:pPr>
      <w:bookmarkStart w:id="104" w:name="_Toc32662"/>
      <w:bookmarkStart w:id="105" w:name="_Toc15396628"/>
      <w:r>
        <w:rPr>
          <w:rStyle w:val="29"/>
          <w:rFonts w:hint="eastAsia" w:ascii="仿宋" w:hAnsi="仿宋" w:eastAsia="仿宋"/>
          <w:b w:val="0"/>
          <w:bCs w:val="0"/>
        </w:rPr>
        <w:t>十、</w:t>
      </w:r>
      <w:r>
        <w:rPr>
          <w:rFonts w:hint="eastAsia" w:ascii="仿宋" w:hAnsi="仿宋" w:eastAsia="仿宋"/>
          <w:b w:val="0"/>
        </w:rPr>
        <w:t>一</w:t>
      </w:r>
      <w:r>
        <w:rPr>
          <w:rStyle w:val="29"/>
          <w:rFonts w:hint="eastAsia" w:ascii="仿宋" w:hAnsi="仿宋" w:eastAsia="仿宋"/>
          <w:b w:val="0"/>
          <w:bCs w:val="0"/>
        </w:rPr>
        <w:t>般公共预算财政拨款“三公”经费支出决算表</w:t>
      </w:r>
      <w:bookmarkEnd w:id="104"/>
      <w:bookmarkEnd w:id="105"/>
    </w:p>
    <w:p>
      <w:pPr>
        <w:pStyle w:val="4"/>
        <w:spacing w:before="0" w:after="0" w:line="576" w:lineRule="exact"/>
        <w:rPr>
          <w:rFonts w:ascii="仿宋" w:hAnsi="仿宋" w:eastAsia="仿宋"/>
        </w:rPr>
      </w:pPr>
      <w:bookmarkStart w:id="106" w:name="_Toc15396629"/>
      <w:bookmarkStart w:id="107" w:name="_Toc16154"/>
      <w:r>
        <w:rPr>
          <w:rStyle w:val="29"/>
          <w:rFonts w:hint="eastAsia" w:ascii="仿宋" w:hAnsi="仿宋" w:eastAsia="仿宋"/>
          <w:b w:val="0"/>
          <w:bCs w:val="0"/>
        </w:rPr>
        <w:t>十一、</w:t>
      </w:r>
      <w:r>
        <w:rPr>
          <w:rFonts w:hint="eastAsia" w:ascii="仿宋" w:hAnsi="仿宋" w:eastAsia="仿宋"/>
          <w:b w:val="0"/>
        </w:rPr>
        <w:t>政</w:t>
      </w:r>
      <w:r>
        <w:rPr>
          <w:rStyle w:val="29"/>
          <w:rFonts w:hint="eastAsia" w:ascii="仿宋" w:hAnsi="仿宋" w:eastAsia="仿宋"/>
          <w:b w:val="0"/>
          <w:bCs w:val="0"/>
        </w:rPr>
        <w:t>府性基金预算财政拨款收入支出决算表</w:t>
      </w:r>
      <w:bookmarkEnd w:id="106"/>
      <w:bookmarkEnd w:id="107"/>
    </w:p>
    <w:p>
      <w:pPr>
        <w:pStyle w:val="4"/>
        <w:spacing w:before="0" w:after="0" w:line="576" w:lineRule="exact"/>
        <w:rPr>
          <w:rFonts w:ascii="仿宋" w:hAnsi="仿宋" w:eastAsia="仿宋"/>
        </w:rPr>
      </w:pPr>
      <w:bookmarkStart w:id="108" w:name="_Toc15396630"/>
      <w:bookmarkStart w:id="109" w:name="_Toc7441"/>
      <w:r>
        <w:rPr>
          <w:rStyle w:val="29"/>
          <w:rFonts w:hint="eastAsia" w:ascii="仿宋" w:hAnsi="仿宋" w:eastAsia="仿宋"/>
          <w:b w:val="0"/>
          <w:bCs w:val="0"/>
        </w:rPr>
        <w:t>十二、</w:t>
      </w:r>
      <w:r>
        <w:rPr>
          <w:rFonts w:hint="eastAsia" w:ascii="仿宋" w:hAnsi="仿宋" w:eastAsia="仿宋"/>
          <w:b w:val="0"/>
        </w:rPr>
        <w:t>政</w:t>
      </w:r>
      <w:r>
        <w:rPr>
          <w:rStyle w:val="29"/>
          <w:rFonts w:hint="eastAsia" w:ascii="仿宋" w:hAnsi="仿宋" w:eastAsia="仿宋"/>
          <w:b w:val="0"/>
          <w:bCs w:val="0"/>
        </w:rPr>
        <w:t>府性基金预算财政拨款“三公”经费支出决算表</w:t>
      </w:r>
      <w:bookmarkEnd w:id="108"/>
      <w:bookmarkEnd w:id="109"/>
    </w:p>
    <w:p>
      <w:pPr>
        <w:pStyle w:val="4"/>
        <w:spacing w:before="0" w:after="0" w:line="576" w:lineRule="exact"/>
        <w:rPr>
          <w:rStyle w:val="29"/>
          <w:rFonts w:ascii="仿宋" w:hAnsi="仿宋" w:eastAsia="仿宋"/>
          <w:b w:val="0"/>
          <w:bCs w:val="0"/>
        </w:rPr>
      </w:pPr>
      <w:bookmarkStart w:id="110" w:name="_Toc15396631"/>
      <w:bookmarkStart w:id="111" w:name="_Toc1045"/>
      <w:r>
        <w:rPr>
          <w:rStyle w:val="29"/>
          <w:rFonts w:hint="eastAsia" w:ascii="仿宋" w:hAnsi="仿宋" w:eastAsia="仿宋"/>
          <w:b w:val="0"/>
          <w:bCs w:val="0"/>
        </w:rPr>
        <w:t>十三、</w:t>
      </w:r>
      <w:r>
        <w:rPr>
          <w:rFonts w:hint="eastAsia" w:ascii="仿宋" w:hAnsi="仿宋" w:eastAsia="仿宋"/>
          <w:b w:val="0"/>
        </w:rPr>
        <w:t>国</w:t>
      </w:r>
      <w:r>
        <w:rPr>
          <w:rStyle w:val="29"/>
          <w:rFonts w:hint="eastAsia" w:ascii="仿宋" w:hAnsi="仿宋" w:eastAsia="仿宋"/>
          <w:b w:val="0"/>
          <w:bCs w:val="0"/>
        </w:rPr>
        <w:t>有资本经营预算财政拨款收入支出决算表</w:t>
      </w:r>
      <w:bookmarkEnd w:id="110"/>
      <w:bookmarkEnd w:id="111"/>
    </w:p>
    <w:p>
      <w:pPr>
        <w:spacing w:line="576" w:lineRule="exact"/>
        <w:rPr>
          <w:rFonts w:eastAsia="仿宋"/>
        </w:rPr>
      </w:pPr>
      <w:bookmarkStart w:id="112" w:name="_Toc2306"/>
      <w:r>
        <w:rPr>
          <w:rStyle w:val="29"/>
          <w:rFonts w:hint="eastAsia" w:ascii="仿宋" w:hAnsi="仿宋" w:eastAsia="仿宋"/>
          <w:b w:val="0"/>
          <w:bCs w:val="0"/>
        </w:rPr>
        <w:t>十四、国有资本经营预算财政拨款支出决算表</w:t>
      </w:r>
      <w:bookmarkEnd w:id="112"/>
    </w:p>
    <w:sectPr>
      <w:footerReference r:id="rId5" w:type="default"/>
      <w:pgSz w:w="11906" w:h="16838"/>
      <w:pgMar w:top="2098" w:right="1474" w:bottom="1985" w:left="1588" w:header="851" w:footer="1531" w:gutter="0"/>
      <w:pgNumType w:fmt="decimal"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6719547"/>
                </w:sdtPr>
                <w:sdtContent>
                  <w:p>
                    <w:pPr>
                      <w:pStyle w:val="10"/>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2"/>
                </w:pPr>
              </w:p>
            </w:txbxContent>
          </v:textbox>
        </v:shape>
      </w:pic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pPr>
        <w:ind w:left="186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FjZmMzZDY2Njc3ZWQ1ZTMzMjc1ODU2ZGM5MWZjND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75B54"/>
    <w:rsid w:val="00280496"/>
    <w:rsid w:val="00294DC9"/>
    <w:rsid w:val="00295495"/>
    <w:rsid w:val="002A31DE"/>
    <w:rsid w:val="002B2613"/>
    <w:rsid w:val="002D6D05"/>
    <w:rsid w:val="002F1818"/>
    <w:rsid w:val="002F567B"/>
    <w:rsid w:val="00301576"/>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CF0512"/>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0C7900E5"/>
    <w:rsid w:val="10C055FF"/>
    <w:rsid w:val="118107EC"/>
    <w:rsid w:val="11DD6519"/>
    <w:rsid w:val="16BB723D"/>
    <w:rsid w:val="18015F3F"/>
    <w:rsid w:val="1BE8440E"/>
    <w:rsid w:val="1D155CEE"/>
    <w:rsid w:val="1E5B7CBF"/>
    <w:rsid w:val="20F57F95"/>
    <w:rsid w:val="240371BF"/>
    <w:rsid w:val="25C741E6"/>
    <w:rsid w:val="27842671"/>
    <w:rsid w:val="29FD04D3"/>
    <w:rsid w:val="2ABE7A3E"/>
    <w:rsid w:val="2EFA178C"/>
    <w:rsid w:val="2F1B2230"/>
    <w:rsid w:val="30B46D73"/>
    <w:rsid w:val="319F7F4E"/>
    <w:rsid w:val="39773634"/>
    <w:rsid w:val="398A2091"/>
    <w:rsid w:val="39AE70AB"/>
    <w:rsid w:val="3C0C0783"/>
    <w:rsid w:val="3E1A2833"/>
    <w:rsid w:val="3F795B0E"/>
    <w:rsid w:val="3F9F3A96"/>
    <w:rsid w:val="3FF81FF1"/>
    <w:rsid w:val="493C27E9"/>
    <w:rsid w:val="496F39ED"/>
    <w:rsid w:val="49FF41D3"/>
    <w:rsid w:val="4A185DC8"/>
    <w:rsid w:val="4A702D34"/>
    <w:rsid w:val="4BE068DB"/>
    <w:rsid w:val="4BF6002B"/>
    <w:rsid w:val="4ECE2238"/>
    <w:rsid w:val="51DB4B86"/>
    <w:rsid w:val="54AC71FC"/>
    <w:rsid w:val="55333C3E"/>
    <w:rsid w:val="586D10E7"/>
    <w:rsid w:val="64CA39A1"/>
    <w:rsid w:val="6C4A05C8"/>
    <w:rsid w:val="6DA9315C"/>
    <w:rsid w:val="72734D90"/>
    <w:rsid w:val="72E3529E"/>
    <w:rsid w:val="74E366CA"/>
    <w:rsid w:val="79E7B28D"/>
    <w:rsid w:val="7A940F99"/>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99"/>
    <w:pPr>
      <w:spacing w:beforeLines="30"/>
    </w:pPr>
    <w:rPr>
      <w:rFonts w:ascii="仿宋_GB2312" w:eastAsia="仿宋_GB2312"/>
      <w:kern w:val="0"/>
      <w:sz w:val="30"/>
    </w:rPr>
  </w:style>
  <w:style w:type="paragraph" w:styleId="6">
    <w:name w:val="Normal Indent"/>
    <w:basedOn w:val="1"/>
    <w:qFormat/>
    <w:uiPriority w:val="99"/>
    <w:pPr>
      <w:ind w:firstLine="420" w:firstLineChars="200"/>
    </w:pPr>
  </w:style>
  <w:style w:type="paragraph" w:styleId="7">
    <w:name w:val="Body Text Indent"/>
    <w:basedOn w:val="1"/>
    <w:qFormat/>
    <w:uiPriority w:val="99"/>
    <w:pPr>
      <w:ind w:firstLine="630"/>
      <w:jc w:val="left"/>
    </w:pPr>
    <w:rPr>
      <w:rFonts w:eastAsia="黑体"/>
      <w:sz w:val="3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semiHidden/>
    <w:qFormat/>
    <w:uiPriority w:val="0"/>
    <w:pPr>
      <w:ind w:left="200" w:leftChars="200" w:hanging="200" w:hangingChars="200"/>
    </w:pPr>
  </w:style>
  <w:style w:type="paragraph" w:styleId="14">
    <w:name w:val="toc 2"/>
    <w:basedOn w:val="1"/>
    <w:next w:val="1"/>
    <w:unhideWhenUsed/>
    <w:qFormat/>
    <w:uiPriority w:val="39"/>
    <w:pPr>
      <w:tabs>
        <w:tab w:val="right" w:leader="dot" w:pos="8296"/>
      </w:tabs>
      <w:ind w:left="420" w:leftChars="200"/>
    </w:pPr>
  </w:style>
  <w:style w:type="paragraph" w:styleId="15">
    <w:name w:val="Body Text First Indent 2"/>
    <w:basedOn w:val="7"/>
    <w:qFormat/>
    <w:uiPriority w:val="99"/>
    <w:pPr>
      <w:spacing w:after="120"/>
      <w:ind w:left="420" w:leftChars="200" w:firstLine="42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rPr>
  </w:style>
  <w:style w:type="paragraph" w:customStyle="1" w:styleId="2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Char"/>
    <w:link w:val="11"/>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Char"/>
    <w:link w:val="10"/>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paragraph" w:styleId="27">
    <w:name w:val="List Paragraph"/>
    <w:basedOn w:val="1"/>
    <w:qFormat/>
    <w:uiPriority w:val="34"/>
    <w:pPr>
      <w:ind w:firstLine="420" w:firstLineChars="200"/>
    </w:pPr>
  </w:style>
  <w:style w:type="character" w:customStyle="1" w:styleId="28">
    <w:name w:val="标题 1 Char"/>
    <w:basedOn w:val="17"/>
    <w:link w:val="3"/>
    <w:qFormat/>
    <w:uiPriority w:val="9"/>
    <w:rPr>
      <w:rFonts w:ascii="Times New Roman" w:hAnsi="Times New Roman"/>
      <w:b/>
      <w:bCs/>
      <w:kern w:val="44"/>
      <w:sz w:val="44"/>
      <w:szCs w:val="44"/>
    </w:rPr>
  </w:style>
  <w:style w:type="character" w:customStyle="1" w:styleId="29">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批注框文本 Char"/>
    <w:basedOn w:val="17"/>
    <w:link w:val="9"/>
    <w:semiHidden/>
    <w:qFormat/>
    <w:uiPriority w:val="99"/>
    <w:rPr>
      <w:rFonts w:ascii="Times New Roman" w:hAnsi="Times New Roman"/>
      <w:kern w:val="2"/>
      <w:sz w:val="18"/>
      <w:szCs w:val="18"/>
    </w:rPr>
  </w:style>
  <w:style w:type="character" w:customStyle="1" w:styleId="32">
    <w:name w:val="标题 3 Char"/>
    <w:basedOn w:val="17"/>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年度收、支总计变动情况图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年度收、支总计</c:v>
                </c:pt>
              </c:strCache>
            </c:strRef>
          </c:cat>
          <c:val>
            <c:numRef>
              <c:f>Sheet1!$B$2</c:f>
              <c:numCache>
                <c:formatCode>General</c:formatCode>
                <c:ptCount val="1"/>
                <c:pt idx="0">
                  <c:v>177.01</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年度收、支总计</c:v>
                </c:pt>
              </c:strCache>
            </c:strRef>
          </c:cat>
          <c:val>
            <c:numRef>
              <c:f>Sheet1!$C$2</c:f>
              <c:numCache>
                <c:formatCode>General</c:formatCode>
                <c:ptCount val="1"/>
                <c:pt idx="0">
                  <c:v>169.27</c:v>
                </c:pt>
              </c:numCache>
            </c:numRef>
          </c:val>
        </c:ser>
        <c:dLbls>
          <c:showLegendKey val="0"/>
          <c:showVal val="1"/>
          <c:showCatName val="0"/>
          <c:showSerName val="0"/>
          <c:showPercent val="0"/>
          <c:showBubbleSize val="0"/>
        </c:dLbls>
        <c:gapWidth val="219"/>
        <c:overlap val="-27"/>
        <c:axId val="293520260"/>
        <c:axId val="57106841"/>
      </c:barChart>
      <c:catAx>
        <c:axId val="2935202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106841"/>
        <c:crosses val="autoZero"/>
        <c:auto val="1"/>
        <c:lblAlgn val="ctr"/>
        <c:lblOffset val="100"/>
        <c:noMultiLvlLbl val="0"/>
      </c:catAx>
      <c:valAx>
        <c:axId val="5710684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35202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68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本年收入合计</c:v>
                </c:pt>
              </c:strCache>
            </c:strRef>
          </c:tx>
          <c:spPr/>
          <c:explosion val="0"/>
          <c:dPt>
            <c:idx val="0"/>
            <c:bubble3D val="0"/>
            <c:spPr>
              <a:solidFill>
                <a:schemeClr val="accent1"/>
              </a:solidFill>
              <a:ln w="19050">
                <a:solidFill>
                  <a:schemeClr val="lt1"/>
                </a:solidFill>
              </a:ln>
              <a:effectLst/>
            </c:spPr>
          </c:dPt>
          <c:dLbls>
            <c:dLbl>
              <c:idx val="0"/>
              <c:layout>
                <c:manualLayout>
                  <c:x val="-0.054876007728299"/>
                  <c:y val="-0.300381922018521"/>
                </c:manualLayout>
              </c:layout>
              <c:dLblPos val="bestFit"/>
              <c:showLegendKey val="0"/>
              <c:showVal val="1"/>
              <c:showCatName val="0"/>
              <c:showSerName val="0"/>
              <c:showPercent val="1"/>
              <c:showBubbleSize val="0"/>
              <c:extLst>
                <c:ext xmlns:c15="http://schemas.microsoft.com/office/drawing/2012/chart" uri="{CE6537A1-D6FC-4f65-9D91-7224C49458BB}">
                  <c15:layout>
                    <c:manualLayout>
                      <c:w val="0.25475"/>
                      <c:h val="0.0518333333333333"/>
                    </c:manualLayout>
                  </c15:layout>
                </c:ext>
              </c:extLst>
            </c:dLbl>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169.27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4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本年支出数</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t>154.27, 91%</a:t>
                    </a:r>
                    <a:endParaRPr sz="1200"/>
                  </a:p>
                </c:rich>
              </c:tx>
              <c:dLblPos val="outEnd"/>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t>15, 9%</a:t>
                    </a:r>
                    <a:endParaRPr sz="1200"/>
                  </a:p>
                </c:rich>
              </c:tx>
              <c:dLblPos val="outEnd"/>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154.27</c:v>
                </c:pt>
                <c:pt idx="1">
                  <c:v>15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Sheet1!$B$2</c:f>
              <c:numCache>
                <c:formatCode>General</c:formatCode>
                <c:ptCount val="1"/>
                <c:pt idx="0">
                  <c:v>177.01</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Sheet1!$C$2</c:f>
              <c:numCache>
                <c:formatCode>General</c:formatCode>
                <c:ptCount val="1"/>
                <c:pt idx="0">
                  <c:v>169.27</c:v>
                </c:pt>
              </c:numCache>
            </c:numRef>
          </c:val>
        </c:ser>
        <c:dLbls>
          <c:showLegendKey val="0"/>
          <c:showVal val="1"/>
          <c:showCatName val="0"/>
          <c:showSerName val="0"/>
          <c:showPercent val="0"/>
          <c:showBubbleSize val="0"/>
        </c:dLbls>
        <c:gapWidth val="219"/>
        <c:overlap val="-27"/>
        <c:axId val="293520260"/>
        <c:axId val="57106841"/>
      </c:barChart>
      <c:catAx>
        <c:axId val="2935202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106841"/>
        <c:crosses val="autoZero"/>
        <c:auto val="1"/>
        <c:lblAlgn val="ctr"/>
        <c:lblOffset val="100"/>
        <c:noMultiLvlLbl val="0"/>
      </c:catAx>
      <c:valAx>
        <c:axId val="5710684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35202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177.01</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169.27</c:v>
                </c:pt>
              </c:numCache>
            </c:numRef>
          </c:val>
        </c:ser>
        <c:dLbls>
          <c:showLegendKey val="0"/>
          <c:showVal val="1"/>
          <c:showCatName val="0"/>
          <c:showSerName val="0"/>
          <c:showPercent val="0"/>
          <c:showBubbleSize val="0"/>
        </c:dLbls>
        <c:gapWidth val="219"/>
        <c:overlap val="-27"/>
        <c:axId val="293520260"/>
        <c:axId val="57106841"/>
      </c:barChart>
      <c:catAx>
        <c:axId val="2935202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106841"/>
        <c:crosses val="autoZero"/>
        <c:auto val="1"/>
        <c:lblAlgn val="ctr"/>
        <c:lblOffset val="100"/>
        <c:noMultiLvlLbl val="0"/>
      </c:catAx>
      <c:valAx>
        <c:axId val="5710684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35202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manualLayout>
                  <c:x val="-0.015158140212797"/>
                  <c:y val="0.01933314653964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387698586211922"/>
                  <c:y val="0.01933314653964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25214983238595"/>
                  <c:y val="0"/>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470776854685906"/>
                  <c:y val="0"/>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一般公共服务类</c:v>
                </c:pt>
                <c:pt idx="1">
                  <c:v>商贸事务类</c:v>
                </c:pt>
                <c:pt idx="2">
                  <c:v>社会保障和就业类</c:v>
                </c:pt>
                <c:pt idx="3">
                  <c:v>住房保障支出</c:v>
                </c:pt>
                <c:pt idx="4">
                  <c:v>卫生健康支出</c:v>
                </c:pt>
              </c:strCache>
            </c:strRef>
          </c:cat>
          <c:val>
            <c:numRef>
              <c:f>Sheet1!$B$2:$B$6</c:f>
              <c:numCache>
                <c:formatCode>General</c:formatCode>
                <c:ptCount val="5"/>
                <c:pt idx="0">
                  <c:v>130.42</c:v>
                </c:pt>
                <c:pt idx="1">
                  <c:v>15</c:v>
                </c:pt>
                <c:pt idx="2">
                  <c:v>9.76</c:v>
                </c:pt>
                <c:pt idx="3">
                  <c:v>9.43</c:v>
                </c:pt>
                <c:pt idx="4">
                  <c:v>4.66</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2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因公出国（境）经费</c:v>
                </c:pt>
                <c:pt idx="1">
                  <c:v>公务用车购置及运行维护费支出</c:v>
                </c:pt>
                <c:pt idx="2">
                  <c:v>公务接待费</c:v>
                </c:pt>
              </c:strCache>
            </c:strRef>
          </c:cat>
          <c:val>
            <c:numRef>
              <c:f>Sheet1!$B$2:$B$4</c:f>
              <c:numCache>
                <c:formatCode>General</c:formatCode>
                <c:ptCount val="3"/>
                <c:pt idx="0">
                  <c:v>0</c:v>
                </c:pt>
                <c:pt idx="1">
                  <c:v>0</c:v>
                </c:pt>
                <c:pt idx="2">
                  <c:v>4.57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20</Pages>
  <Words>6984</Words>
  <Characters>7456</Characters>
  <Lines>52</Lines>
  <Paragraphs>14</Paragraphs>
  <TotalTime>9</TotalTime>
  <ScaleCrop>false</ScaleCrop>
  <LinksUpToDate>false</LinksUpToDate>
  <CharactersWithSpaces>7551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Cynthia_</cp:lastModifiedBy>
  <cp:lastPrinted>2022-08-06T02:23:00Z</cp:lastPrinted>
  <dcterms:modified xsi:type="dcterms:W3CDTF">2022-09-30T04:43:03Z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12EB38DB389B4ECA8D3F19649AC8989D</vt:lpwstr>
  </property>
</Properties>
</file>