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方正小标宋简体" w:cs="Times New Roman"/>
          <w:color w:val="000000"/>
          <w:sz w:val="52"/>
          <w:szCs w:val="52"/>
          <w:lang w:eastAsia="zh-CN"/>
        </w:rPr>
      </w:pPr>
      <w:bookmarkStart w:id="0" w:name="_Toc15377193"/>
      <w:bookmarkStart w:id="1" w:name="_Toc15396475"/>
      <w:bookmarkStart w:id="2" w:name="_Toc15378441"/>
      <w:bookmarkStart w:id="3" w:name="_Toc29546"/>
      <w:bookmarkStart w:id="4" w:name="_Toc23006"/>
      <w:bookmarkStart w:id="5" w:name="_Toc15396597"/>
      <w:bookmarkStart w:id="6" w:name="_Toc15377425"/>
      <w:bookmarkStart w:id="7" w:name="_Toc15306267"/>
      <w:r>
        <w:rPr>
          <w:rFonts w:hint="eastAsia" w:ascii="Times New Roman" w:hAnsi="Times New Roman" w:eastAsia="方正小标宋简体" w:cs="Times New Roman"/>
          <w:color w:val="000000"/>
          <w:sz w:val="52"/>
          <w:szCs w:val="52"/>
          <w:lang w:eastAsia="zh-CN"/>
        </w:rPr>
        <w:t>2021年度</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方正小标宋简体" w:cs="Times New Roman"/>
          <w:color w:val="000000"/>
          <w:sz w:val="52"/>
          <w:szCs w:val="52"/>
          <w:lang w:eastAsia="zh-CN"/>
        </w:rPr>
      </w:pPr>
      <w:bookmarkStart w:id="8" w:name="_Toc15378442"/>
      <w:bookmarkStart w:id="9" w:name="_Toc15377194"/>
      <w:bookmarkStart w:id="10" w:name="_Toc15396476"/>
      <w:bookmarkStart w:id="11" w:name="_Toc20334"/>
      <w:bookmarkStart w:id="12" w:name="_Toc15377426"/>
      <w:bookmarkStart w:id="13" w:name="_Toc5033"/>
      <w:bookmarkStart w:id="14" w:name="_Toc15396598"/>
      <w:r>
        <w:rPr>
          <w:rFonts w:hint="eastAsia" w:ascii="Times New Roman" w:hAnsi="Times New Roman" w:eastAsia="方正小标宋简体" w:cs="Times New Roman"/>
          <w:color w:val="000000"/>
          <w:sz w:val="52"/>
          <w:szCs w:val="52"/>
          <w:lang w:eastAsia="zh-CN"/>
        </w:rPr>
        <w:t>四川</w:t>
      </w:r>
      <w:bookmarkEnd w:id="7"/>
      <w:bookmarkStart w:id="15" w:name="_Toc15306268"/>
      <w:r>
        <w:rPr>
          <w:rFonts w:hint="eastAsia" w:ascii="Times New Roman" w:hAnsi="Times New Roman" w:eastAsia="方正小标宋简体" w:cs="Times New Roman"/>
          <w:color w:val="000000"/>
          <w:sz w:val="52"/>
          <w:szCs w:val="52"/>
          <w:lang w:eastAsia="zh-CN"/>
        </w:rPr>
        <w:t>广元昭化经济开发区管理委员会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方正小标宋简体" w:cs="Times New Roman"/>
          <w:color w:val="000000"/>
          <w:sz w:val="52"/>
          <w:szCs w:val="52"/>
          <w:lang w:eastAsia="zh-CN"/>
        </w:rPr>
      </w:pPr>
      <w:r>
        <w:rPr>
          <w:rFonts w:hint="eastAsia" w:ascii="Times New Roman" w:hAnsi="Times New Roman" w:eastAsia="方正小标宋简体" w:cs="Times New Roman"/>
          <w:color w:val="000000"/>
          <w:sz w:val="52"/>
          <w:szCs w:val="52"/>
          <w:lang w:eastAsia="zh-CN"/>
        </w:rPr>
        <w:t>单位决算</w:t>
      </w:r>
      <w:bookmarkEnd w:id="8"/>
      <w:bookmarkEnd w:id="9"/>
      <w:bookmarkEnd w:id="10"/>
      <w:bookmarkEnd w:id="11"/>
      <w:bookmarkEnd w:id="12"/>
      <w:bookmarkEnd w:id="13"/>
      <w:bookmarkEnd w:id="14"/>
      <w:bookmarkEnd w:id="15"/>
    </w:p>
    <w:p>
      <w:pPr>
        <w:pStyle w:val="2"/>
        <w:rPr>
          <w:rFonts w:hint="eastAsia" w:ascii="Times New Roman" w:hAnsi="Times New Roman" w:eastAsia="方正小标宋简体" w:cs="Times New Roman"/>
          <w:color w:val="000000"/>
          <w:sz w:val="60"/>
          <w:szCs w:val="60"/>
          <w:lang w:eastAsia="zh-CN"/>
        </w:rPr>
      </w:pPr>
    </w:p>
    <w:p>
      <w:pPr>
        <w:rPr>
          <w:rFonts w:hint="eastAsia" w:ascii="Times New Roman" w:hAnsi="Times New Roman" w:eastAsia="方正小标宋简体" w:cs="Times New Roman"/>
          <w:color w:val="000000"/>
          <w:sz w:val="60"/>
          <w:szCs w:val="60"/>
          <w:lang w:eastAsia="zh-CN"/>
        </w:rPr>
      </w:pPr>
    </w:p>
    <w:p>
      <w:pPr>
        <w:pStyle w:val="2"/>
        <w:rPr>
          <w:rFonts w:hint="eastAsia" w:ascii="Times New Roman" w:hAnsi="Times New Roman" w:eastAsia="方正小标宋简体" w:cs="Times New Roman"/>
          <w:color w:val="000000"/>
          <w:sz w:val="60"/>
          <w:szCs w:val="60"/>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方正小标宋简体" w:cs="Times New Roman"/>
          <w:color w:val="000000"/>
          <w:sz w:val="60"/>
          <w:szCs w:val="60"/>
          <w:lang w:eastAsia="zh-CN"/>
        </w:rPr>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sdt>
      <w:sdtPr>
        <w:rPr>
          <w:rFonts w:ascii="宋体" w:hAnsi="宋体"/>
        </w:rPr>
        <w:id w:val="147457942"/>
        <w:docPartObj>
          <w:docPartGallery w:val="Table of Contents"/>
          <w:docPartUnique/>
        </w:docPartObj>
      </w:sdtPr>
      <w:sdtEndPr>
        <w:rPr>
          <w:rFonts w:ascii="Times New Roman" w:hAnsi="Times New Roman"/>
          <w:b/>
        </w:rPr>
      </w:sdtEndPr>
      <w:sdtContent>
        <w:p>
          <w:pPr>
            <w:keepNext w:val="0"/>
            <w:keepLines w:val="0"/>
            <w:pageBreakBefore w:val="0"/>
            <w:widowControl w:val="0"/>
            <w:tabs>
              <w:tab w:val="right" w:leader="dot" w:pos="8296"/>
            </w:tabs>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仿宋_GB2312" w:cs="Times New Roman"/>
              <w:b/>
              <w:kern w:val="2"/>
              <w:sz w:val="32"/>
              <w:szCs w:val="32"/>
              <w:lang w:val="en-US" w:eastAsia="zh-CN" w:bidi="ar-SA"/>
            </w:rPr>
          </w:pPr>
          <w:r>
            <w:rPr>
              <w:sz w:val="24"/>
            </w:rPr>
            <w:fldChar w:fldCharType="begin"/>
          </w:r>
          <w:r>
            <w:rPr>
              <w:sz w:val="24"/>
            </w:rPr>
            <w:instrText xml:space="preserve">TOC \o "1-2" \h \u </w:instrText>
          </w:r>
          <w:r>
            <w:rPr>
              <w:sz w:val="24"/>
            </w:rPr>
            <w:fldChar w:fldCharType="separate"/>
          </w:r>
        </w:p>
        <w:p>
          <w:pPr>
            <w:pStyle w:val="12"/>
            <w:keepNext w:val="0"/>
            <w:keepLines w:val="0"/>
            <w:pageBreakBefore w:val="0"/>
            <w:widowControl w:val="0"/>
            <w:tabs>
              <w:tab w:val="right" w:leader="dot" w:pos="8845"/>
              <w:tab w:val="clear" w:pos="8296"/>
            </w:tabs>
            <w:kinsoku/>
            <w:wordWrap/>
            <w:overflowPunct/>
            <w:topLinePunct w:val="0"/>
            <w:autoSpaceDE/>
            <w:autoSpaceDN/>
            <w:bidi w:val="0"/>
            <w:spacing w:before="0"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_Toc29761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第一部分 单位</w:t>
          </w:r>
          <w:r>
            <w:rPr>
              <w:rFonts w:hint="default" w:ascii="Times New Roman" w:hAnsi="Times New Roman" w:eastAsia="仿宋_GB2312" w:cs="Times New Roman"/>
              <w:bCs w:val="0"/>
              <w:sz w:val="32"/>
              <w:szCs w:val="32"/>
            </w:rPr>
            <w:t>概况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_Toc29761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_Toc24167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职能简介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_Toc24167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_Toc19832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二、机构设置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_Toc19832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_Toc30059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三、2021年重点工作完成情况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_Toc30059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- 2 -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spacing w:before="0"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_Toc25875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第二部分 2021年度单位决算情况说明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_Toc25875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- 5 -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_Toc19143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一、收入支出决算总体情况说明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_Toc19143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- 5 -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_Toc31252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二、收入决算情况说明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_Toc31252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- 5 -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_Toc4002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三、支出决算情况说明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_Toc4002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- 6 -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_Toc22156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四、财政拨款收入支出决算总体情况说明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_Toc22156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- 6 -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_Toc21824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五、一般公共预算财政拨款支出决算情况说明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_Toc21824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- 7 -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_Toc24637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六、一般公共预算财政拨款基本支出决算情况说明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_Toc24637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- 9 -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_Toc26022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七、“三公”经费财政拨款支出决算情况说明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_Toc26022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- 9 -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_Toc28481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八、政府性基金预算支出决算情况说明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_Toc28481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_Toc7713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九、国有资本经营预算支出决算情况说明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_Toc7713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_Toc8920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十、预算绩效管理情况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_Toc8920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spacing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_Toc17242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十一、其他重要事项的情况说明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_Toc17242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- 11 -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spacing w:before="0"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_Toc28117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第三部分</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名词解释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_Toc28117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- 13 -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spacing w:before="0" w:line="576"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_Toc17041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第四部分 附件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_Toc17041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- 16 -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spacing w:before="0" w:line="576" w:lineRule="exact"/>
            <w:ind w:left="0" w:leftChars="0"/>
            <w:textAlignment w:val="auto"/>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_Toc8000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lang w:eastAsia="zh-CN"/>
            </w:rPr>
            <w:t>第五部分 附表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_Toc8000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- 19 -</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adjustRightInd w:val="0"/>
            <w:snapToGrid w:val="0"/>
            <w:spacing w:line="240" w:lineRule="auto"/>
            <w:ind w:left="0" w:leftChars="0" w:firstLine="0" w:firstLineChars="0"/>
            <w:jc w:val="left"/>
            <w:rPr>
              <w:rFonts w:ascii="黑体" w:hAnsi="黑体" w:eastAsia="黑体"/>
              <w:b w:val="0"/>
            </w:rPr>
            <w:sectPr>
              <w:footerReference r:id="rId8" w:type="first"/>
              <w:footerReference r:id="rId7" w:type="default"/>
              <w:pgSz w:w="11906" w:h="16838"/>
              <w:pgMar w:top="2098" w:right="1474" w:bottom="1984" w:left="1587" w:header="851" w:footer="992" w:gutter="0"/>
              <w:pgNumType w:fmt="numberInDash" w:start="1"/>
              <w:cols w:space="425" w:num="1"/>
              <w:docGrid w:type="lines" w:linePitch="312" w:charSpace="0"/>
            </w:sectPr>
          </w:pPr>
          <w:r>
            <w:rPr>
              <w:b/>
            </w:rPr>
            <w:fldChar w:fldCharType="end"/>
          </w:r>
          <w:bookmarkStart w:id="16" w:name="_Toc15396599"/>
          <w:bookmarkStart w:id="17" w:name="_Toc15377196"/>
        </w:p>
      </w:sdtContent>
    </w:sdt>
    <w:p>
      <w:pPr>
        <w:pStyle w:val="3"/>
        <w:keepNext/>
        <w:keepLines/>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 w:val="0"/>
        </w:rPr>
      </w:pPr>
      <w:bookmarkStart w:id="18" w:name="_Toc29761"/>
    </w:p>
    <w:p>
      <w:pPr>
        <w:pStyle w:val="3"/>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line="576" w:lineRule="exact"/>
        <w:jc w:val="center"/>
        <w:textAlignment w:val="auto"/>
        <w:rPr>
          <w:rFonts w:hint="eastAsia"/>
          <w:lang w:val="en-US" w:eastAsia="zh-CN"/>
        </w:rPr>
      </w:pPr>
      <w:r>
        <w:rPr>
          <w:rFonts w:hint="eastAsia" w:ascii="方正小标宋简体" w:hAnsi="方正小标宋简体" w:eastAsia="方正小标宋简体" w:cs="方正小标宋简体"/>
          <w:b w:val="0"/>
        </w:rPr>
        <w:t>单位</w:t>
      </w:r>
      <w:r>
        <w:rPr>
          <w:rStyle w:val="26"/>
          <w:rFonts w:hint="eastAsia" w:ascii="方正小标宋简体" w:hAnsi="方正小标宋简体" w:eastAsia="方正小标宋简体" w:cs="方正小标宋简体"/>
          <w:b w:val="0"/>
          <w:bCs w:val="0"/>
        </w:rPr>
        <w:t>概况</w:t>
      </w:r>
      <w:bookmarkEnd w:id="16"/>
      <w:bookmarkEnd w:id="17"/>
      <w:bookmarkEnd w:id="18"/>
    </w:p>
    <w:p>
      <w:pPr>
        <w:rPr>
          <w:rFonts w:hint="eastAsia"/>
          <w:lang w:val="en-US" w:eastAsia="zh-CN"/>
        </w:rPr>
      </w:pP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rPr>
      </w:pPr>
      <w:bookmarkStart w:id="19" w:name="_Toc24167"/>
      <w:bookmarkStart w:id="20" w:name="_Toc15377197"/>
      <w:bookmarkStart w:id="21" w:name="_Toc15396600"/>
      <w:r>
        <w:rPr>
          <w:rFonts w:hint="eastAsia" w:ascii="黑体" w:hAnsi="黑体" w:eastAsia="黑体" w:cs="黑体"/>
          <w:b w:val="0"/>
          <w:sz w:val="32"/>
          <w:szCs w:val="32"/>
          <w:lang w:eastAsia="zh-CN"/>
        </w:rPr>
        <w:t>一、</w:t>
      </w:r>
      <w:r>
        <w:rPr>
          <w:rFonts w:hint="eastAsia" w:ascii="黑体" w:hAnsi="黑体" w:eastAsia="黑体" w:cs="黑体"/>
          <w:b w:val="0"/>
          <w:sz w:val="32"/>
          <w:szCs w:val="32"/>
        </w:rPr>
        <w:t>职能简介</w:t>
      </w:r>
      <w:bookmarkEnd w:id="1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一、贯彻执行党和国家的路线、方针、政策和落实区委区政府的决议、决定。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二、负责编制经开区经济发展规划并经批准后组织实施。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三、负责经开区内基础设施建设，协助做好公共设施建设和管理工作。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四、协调协助做好经济开发区内设计的征地、拆迁工作。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五、负责入园项目的审核、建设推进和协调服务工作。</w:t>
      </w:r>
      <w:r>
        <w:rPr>
          <w:rFonts w:hint="default" w:ascii="Times New Roman" w:hAnsi="Times New Roman" w:eastAsia="仿宋_GB2312" w:cs="Times New Roman"/>
          <w:b w:val="0"/>
          <w:bCs w:val="0"/>
          <w:color w:val="000000"/>
          <w:sz w:val="32"/>
          <w:szCs w:val="32"/>
        </w:rPr>
        <w:tab/>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六、协调相关部门做好经济开发区内的企业运行保障；做好招商引资和经济技术合作工作。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七、协调协助有关部门做好有关经济开发区内安全生产监督管理、环境保护和依法治区工作。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八、完成区委和区政府交办的其他工作。</w:t>
      </w: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default" w:ascii="黑体" w:hAnsi="黑体" w:eastAsia="黑体" w:cs="黑体"/>
          <w:b w:val="0"/>
          <w:sz w:val="32"/>
          <w:szCs w:val="32"/>
          <w:lang w:eastAsia="zh-CN"/>
        </w:rPr>
      </w:pPr>
      <w:bookmarkStart w:id="22" w:name="_Toc19832"/>
    </w:p>
    <w:bookmarkEnd w:id="20"/>
    <w:bookmarkEnd w:id="21"/>
    <w:p>
      <w:pPr>
        <w:pStyle w:val="4"/>
        <w:pageBreakBefore w:val="0"/>
        <w:widowControl w:val="0"/>
        <w:numPr>
          <w:ilvl w:val="0"/>
          <w:numId w:val="2"/>
        </w:numPr>
        <w:kinsoku/>
        <w:wordWrap/>
        <w:overflowPunct/>
        <w:topLinePunct w:val="0"/>
        <w:autoSpaceDE/>
        <w:autoSpaceDN/>
        <w:bidi w:val="0"/>
        <w:spacing w:before="0" w:beforeAutospacing="0" w:after="0" w:afterAutospacing="0" w:line="576" w:lineRule="exact"/>
        <w:ind w:firstLine="640" w:firstLineChars="200"/>
        <w:textAlignment w:val="auto"/>
        <w:rPr>
          <w:rFonts w:hint="default" w:ascii="黑体" w:hAnsi="黑体" w:eastAsia="黑体" w:cs="黑体"/>
          <w:b w:val="0"/>
          <w:sz w:val="32"/>
          <w:szCs w:val="32"/>
          <w:lang w:eastAsia="zh-CN"/>
        </w:rPr>
      </w:pPr>
      <w:r>
        <w:rPr>
          <w:rFonts w:hint="default" w:ascii="黑体" w:hAnsi="黑体" w:eastAsia="黑体" w:cs="黑体"/>
          <w:b w:val="0"/>
          <w:sz w:val="32"/>
          <w:szCs w:val="32"/>
          <w:lang w:eastAsia="zh-CN"/>
        </w:rPr>
        <w:t>机构设置</w:t>
      </w:r>
      <w:bookmarkEnd w:id="22"/>
    </w:p>
    <w:p>
      <w:pPr>
        <w:numPr>
          <w:ilvl w:val="0"/>
          <w:numId w:val="2"/>
        </w:num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黑体" w:hAnsi="黑体" w:eastAsia="黑体" w:cs="黑体"/>
          <w:b w:val="0"/>
          <w:sz w:val="32"/>
          <w:szCs w:val="32"/>
          <w:lang w:eastAsia="zh-CN"/>
        </w:rPr>
      </w:pPr>
      <w:r>
        <w:rPr>
          <w:rFonts w:hint="default" w:ascii="Times New Roman" w:hAnsi="Times New Roman" w:eastAsia="仿宋_GB2312" w:cs="Times New Roman"/>
          <w:b w:val="0"/>
          <w:bCs w:val="0"/>
          <w:color w:val="000000"/>
          <w:sz w:val="32"/>
          <w:szCs w:val="32"/>
          <w:lang w:val="en-US" w:eastAsia="zh-CN"/>
        </w:rPr>
        <w:t>昭化经开区</w:t>
      </w:r>
      <w:r>
        <w:rPr>
          <w:rFonts w:hint="eastAsia" w:eastAsia="仿宋_GB2312" w:cs="Times New Roman"/>
          <w:b w:val="0"/>
          <w:bCs w:val="0"/>
          <w:color w:val="000000"/>
          <w:sz w:val="32"/>
          <w:szCs w:val="32"/>
          <w:lang w:val="en-US" w:eastAsia="zh-CN"/>
        </w:rPr>
        <w:t>无</w:t>
      </w:r>
      <w:r>
        <w:rPr>
          <w:rFonts w:hint="default" w:ascii="Times New Roman" w:hAnsi="Times New Roman" w:eastAsia="仿宋_GB2312" w:cs="Times New Roman"/>
          <w:b w:val="0"/>
          <w:bCs w:val="0"/>
          <w:color w:val="000000"/>
          <w:sz w:val="32"/>
          <w:szCs w:val="32"/>
          <w:lang w:val="en-US" w:eastAsia="zh-CN"/>
        </w:rPr>
        <w:t>下属二级预算</w:t>
      </w:r>
      <w:r>
        <w:rPr>
          <w:rFonts w:hint="eastAsia" w:eastAsia="仿宋_GB2312" w:cs="Times New Roman"/>
          <w:b w:val="0"/>
          <w:bCs w:val="0"/>
          <w:color w:val="000000"/>
          <w:sz w:val="32"/>
          <w:szCs w:val="32"/>
          <w:lang w:val="en-US" w:eastAsia="zh-CN"/>
        </w:rPr>
        <w:t>单位</w:t>
      </w:r>
      <w:r>
        <w:rPr>
          <w:rFonts w:hint="default" w:ascii="Times New Roman" w:hAnsi="Times New Roman" w:eastAsia="仿宋_GB2312" w:cs="Times New Roman"/>
          <w:b w:val="0"/>
          <w:bCs w:val="0"/>
          <w:color w:val="000000"/>
          <w:sz w:val="32"/>
          <w:szCs w:val="32"/>
          <w:lang w:val="en-US" w:eastAsia="zh-CN"/>
        </w:rPr>
        <w:t>，其中行政单位0个，参照公务员法管理的事业单位</w:t>
      </w:r>
      <w:r>
        <w:rPr>
          <w:rFonts w:hint="eastAsia"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lang w:val="en-US" w:eastAsia="zh-CN"/>
        </w:rPr>
        <w:t>个，其他事业单位</w:t>
      </w:r>
      <w:r>
        <w:rPr>
          <w:rFonts w:hint="eastAsia"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lang w:val="en-US" w:eastAsia="zh-CN"/>
        </w:rPr>
        <w:t>个。</w:t>
      </w:r>
      <w:bookmarkStart w:id="23" w:name="_Toc30059"/>
    </w:p>
    <w:p>
      <w:pPr>
        <w:pStyle w:val="4"/>
        <w:pageBreakBefore w:val="0"/>
        <w:widowControl w:val="0"/>
        <w:kinsoku/>
        <w:wordWrap/>
        <w:overflowPunct/>
        <w:topLinePunct w:val="0"/>
        <w:autoSpaceDE/>
        <w:autoSpaceDN/>
        <w:bidi w:val="0"/>
        <w:spacing w:before="0" w:beforeAutospacing="0" w:after="0" w:afterAutospacing="0" w:line="576" w:lineRule="exact"/>
        <w:ind w:firstLine="320" w:firstLineChars="100"/>
        <w:textAlignment w:val="auto"/>
        <w:rPr>
          <w:rFonts w:hint="default" w:ascii="黑体" w:hAnsi="黑体" w:eastAsia="黑体" w:cs="黑体"/>
          <w:b w:val="0"/>
          <w:sz w:val="32"/>
          <w:szCs w:val="32"/>
          <w:lang w:val="en-US" w:eastAsia="zh-CN"/>
        </w:rPr>
      </w:pPr>
      <w:r>
        <w:rPr>
          <w:rFonts w:hint="default" w:ascii="黑体" w:hAnsi="黑体" w:eastAsia="黑体" w:cs="黑体"/>
          <w:b w:val="0"/>
          <w:sz w:val="32"/>
          <w:szCs w:val="32"/>
          <w:lang w:eastAsia="zh-CN"/>
        </w:rPr>
        <w:t>三、2021年重点工作完成情况</w:t>
      </w:r>
      <w:bookmarkEnd w:id="23"/>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2021年以来，昭化经开区积极谋划全年工作计划，明确任务目标，按月会商，按季调度工作机制，主要目标任务高标准高质量完成，荣获全市项目大比武先进单位表彰。一是预计园区内46家规上工业企业全年实现产值131亿元，完成全年目标任务的109.17%。二是预计全年实现固定资产投资12.35亿元，完成全年目标任务的137.22%。三是预计全年实现基础设施投资15亿元，园区拓展1000亩，建设标准化厂房50000余平方米，圆满完成全年目标任务。四是全年新签约项目6个，完成今年招商引资目标数150%，签约项目到位资金7.16亿元，完成目标任务179%，超额完成全年目标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今年以来，昭化经开区坚持以习近平新时代中国特色社会主义思想为指导，认真贯彻中央和省委、市委、区委各项决策部署，全力做好经开区项目投资、招商引资、企业服务等工作。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一）全力推进项目建设，质效提升明显。一是务实推动中国西部（广元）绿色家居产业城建设，成绩斐然。全年完成投资23.5亿元，累计完成57.5亿元（含入驻企业社会投资）；累计完成征拆及场平5100余亩，建设标准化厂房30万平方米（含入驻企业自建厂房）；园区道路全面通车，招商中心、研发中心、生活服务等综合功能配套设施加快建设，入驻企业用水、用电、污水处理等要素保障全面解决。取得融资及项目资金争取总额度49.716亿元，全年融资到位总额5.03亿元。累计签订投资协议家居企业43家，协议总投资53.46亿元；持续跟踪推进上海慕曼德智能家具等15个在谈项目，力争年内再签约落地一批。2021年，绿色家居产业城被列入全省重点推进项目，被省政府纳入全省“5+1”重点特色园区培育之列，成功创建国家级林业产业示范园区，同时作为全市重点项目集中</w:t>
      </w:r>
      <w:bookmarkStart w:id="92" w:name="_GoBack"/>
      <w:bookmarkEnd w:id="92"/>
      <w:r>
        <w:rPr>
          <w:rFonts w:hint="default" w:ascii="Times New Roman" w:hAnsi="Times New Roman" w:eastAsia="仿宋_GB2312" w:cs="Times New Roman"/>
          <w:b w:val="0"/>
          <w:bCs w:val="0"/>
          <w:color w:val="000000"/>
          <w:sz w:val="32"/>
          <w:szCs w:val="32"/>
        </w:rPr>
        <w:t>开工仪式2次。二是高质量推进广元昭化白果风电项目建设完工。持续强化全程动态跟踪管理和全方位系统服务，落实“一个项目、一个领导、一套班子、一跟到底”的推进机制，定期召开项目推进会、每周1-2次深入施工现场精心协调，积极分析解决项目中出现的各种困难和问题，抓好项目推进。自2021年1月6日项目首台风机基础开始浇筑到7月31日首条集电线路9台风电机组共27MW成功并网发电，仅用时206天，项目现已于10月底实现全容量并网发电，创造了四川省山地风电建设质量、进度新标杆。三是把握定位、紧盯政策机遇，大力谋划储备项目。截止年底，谋划项目29个，其中14个项目纳入发改</w:t>
      </w:r>
      <w:r>
        <w:rPr>
          <w:rFonts w:hint="eastAsia" w:eastAsia="仿宋_GB2312" w:cs="Times New Roman"/>
          <w:b w:val="0"/>
          <w:bCs w:val="0"/>
          <w:color w:val="000000"/>
          <w:sz w:val="32"/>
          <w:szCs w:val="32"/>
          <w:lang w:val="en-US" w:eastAsia="zh-CN"/>
        </w:rPr>
        <w:t>委</w:t>
      </w:r>
      <w:r>
        <w:rPr>
          <w:rFonts w:hint="default" w:ascii="Times New Roman" w:hAnsi="Times New Roman" w:eastAsia="仿宋_GB2312" w:cs="Times New Roman"/>
          <w:b w:val="0"/>
          <w:bCs w:val="0"/>
          <w:color w:val="000000"/>
          <w:sz w:val="32"/>
          <w:szCs w:val="32"/>
        </w:rPr>
        <w:t>项目储备库，总投资达到131亿元，拟争取各类资金9.4亿元。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二）加大招商引资力度，产业布局逐步完善。始终把招商引资摆在经济工作首要位置，聚焦家居建材、食品饮料两个百亿产业集群。按照大而好的项目优先、投资积极性高见效快的项目优先、盘活嫁接僵尸企业项目优先“三个优先”的原则全力开展招商。目前泉坝台阶地已入驻企业8家，杏树食品园入驻企业10个，家居产业城累计签约43家，17家入驻企业开建，6家企业试生产，招商工作成效显著提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三）倾力帮扶企业，优化园区营商环境。一是实施精准帮扶，积极制定党员对接服务企业一览表，推行党员干部与园区企业“一对一”结对服务机制，及时为企业纾难解困、营造良好的发展营商环境，护航企业发展。全年协调区级相关部门解决企业反映的问题25个，涉及项目申报、产品宣传、行政执法等事宜，惠及企业30家以上；多形式多途径加大企业（僵尸企业）的盘活，帮助成功武媚娘酒业、大业能源等企业实现重组盘活；接待群众信访和来电8件，目前已全部妥善处理。二是提供智力支撑，聚焦园区各领域，采取行业研讨、座谈等方式，邀请国内、省内专家围绕提高产品品质、打开销路等方面进行专题授课。举办白酒、食品等各类研讨会10余次，加快深度盘活武媚娘酒业、白龙酒业。三是常抓安全生产和环境保护工作。深入贯彻落实上级部署要求，在做好企业安全环保服务工作的同时，指导企业完善安全环保制度体系。大力开展园区企业和在建项目的生产安全、消防安全、食品安全、环境保护等排查整改工作，全年共排查问题10余个，建立问题台账，不定期组织“回头看”，以确保将存在的安全隐患及时整改到位。</w:t>
      </w:r>
    </w:p>
    <w:p>
      <w:pPr>
        <w:pStyle w:val="7"/>
        <w:pageBreakBefore w:val="0"/>
        <w:widowControl w:val="0"/>
        <w:kinsoku/>
        <w:wordWrap/>
        <w:overflowPunct/>
        <w:topLinePunct w:val="0"/>
        <w:autoSpaceDE/>
        <w:autoSpaceDN/>
        <w:bidi w:val="0"/>
        <w:spacing w:beforeLines="0" w:beforeAutospacing="0" w:afterAutospacing="0" w:line="576" w:lineRule="exact"/>
        <w:ind w:firstLine="600" w:firstLineChars="200"/>
        <w:textAlignment w:val="auto"/>
      </w:pPr>
    </w:p>
    <w:p>
      <w:pPr>
        <w:pStyle w:val="7"/>
        <w:pageBreakBefore w:val="0"/>
        <w:widowControl w:val="0"/>
        <w:kinsoku/>
        <w:wordWrap/>
        <w:overflowPunct/>
        <w:topLinePunct w:val="0"/>
        <w:autoSpaceDE/>
        <w:autoSpaceDN/>
        <w:bidi w:val="0"/>
        <w:spacing w:beforeLines="0" w:beforeAutospacing="0" w:afterAutospacing="0" w:line="576" w:lineRule="exact"/>
        <w:ind w:firstLine="600" w:firstLineChars="200"/>
        <w:textAlignment w:val="auto"/>
      </w:pPr>
    </w:p>
    <w:p>
      <w:pPr>
        <w:pStyle w:val="7"/>
        <w:pageBreakBefore w:val="0"/>
        <w:widowControl w:val="0"/>
        <w:kinsoku/>
        <w:wordWrap/>
        <w:overflowPunct/>
        <w:topLinePunct w:val="0"/>
        <w:autoSpaceDE/>
        <w:autoSpaceDN/>
        <w:bidi w:val="0"/>
        <w:spacing w:beforeLines="0" w:beforeAutospacing="0" w:afterAutospacing="0" w:line="576" w:lineRule="exact"/>
        <w:ind w:firstLine="600" w:firstLineChars="200"/>
        <w:textAlignment w:val="auto"/>
      </w:pPr>
    </w:p>
    <w:p>
      <w:pPr>
        <w:pStyle w:val="7"/>
        <w:pageBreakBefore w:val="0"/>
        <w:widowControl w:val="0"/>
        <w:kinsoku/>
        <w:wordWrap/>
        <w:overflowPunct/>
        <w:topLinePunct w:val="0"/>
        <w:autoSpaceDE/>
        <w:autoSpaceDN/>
        <w:bidi w:val="0"/>
        <w:spacing w:beforeLines="0" w:beforeAutospacing="0" w:afterAutospacing="0" w:line="576" w:lineRule="exact"/>
        <w:ind w:firstLine="600" w:firstLineChars="200"/>
        <w:textAlignment w:val="auto"/>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 w:val="0"/>
        </w:rPr>
      </w:pPr>
      <w:bookmarkStart w:id="24" w:name="_Toc25875"/>
      <w:bookmarkStart w:id="25" w:name="_Toc15396602"/>
      <w:bookmarkStart w:id="26" w:name="_Toc15377204"/>
      <w:r>
        <w:rPr>
          <w:rFonts w:hint="eastAsia" w:ascii="方正小标宋简体" w:hAnsi="方正小标宋简体" w:eastAsia="方正小标宋简体" w:cs="方正小标宋简体"/>
          <w:b w:val="0"/>
        </w:rPr>
        <w:t>第二部分 2021年度单位决算情况说明</w:t>
      </w:r>
      <w:bookmarkEnd w:id="24"/>
      <w:bookmarkEnd w:id="25"/>
      <w:bookmarkEnd w:id="26"/>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27" w:name="_Toc15377205"/>
      <w:bookmarkStart w:id="28" w:name="_Toc15396603"/>
      <w:bookmarkStart w:id="29" w:name="_Toc19143"/>
      <w:r>
        <w:rPr>
          <w:rFonts w:hint="eastAsia" w:ascii="黑体" w:hAnsi="黑体" w:eastAsia="黑体" w:cs="黑体"/>
          <w:b w:val="0"/>
          <w:sz w:val="32"/>
          <w:szCs w:val="32"/>
          <w:lang w:eastAsia="zh-CN"/>
        </w:rPr>
        <w:t>一、收入支出决算总体情况说明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2021年度收、支总计38665.3万元。与2020年34513.38万元相比，收、支总计各增加4151.92万元，增长12.03</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。主要变动原因是增加了家居产业城建设资金（专项债券资金）。</w:t>
      </w:r>
    </w:p>
    <w:p>
      <w:pPr>
        <w:pStyle w:val="6"/>
        <w:rPr>
          <w:rFonts w:hint="eastAsia" w:eastAsia="宋体"/>
          <w:highlight w:val="yellow"/>
          <w:lang w:eastAsia="zh-CN"/>
        </w:rPr>
      </w:pPr>
      <w:r>
        <w:rPr>
          <w:rFonts w:hint="eastAsia" w:eastAsia="宋体"/>
          <w:highlight w:val="yellow"/>
          <w:lang w:eastAsia="zh-CN"/>
        </w:rPr>
        <w:drawing>
          <wp:anchor distT="0" distB="0" distL="114300" distR="114300" simplePos="0" relativeHeight="251660288" behindDoc="0" locked="0" layoutInCell="1" allowOverlap="1">
            <wp:simplePos x="0" y="0"/>
            <wp:positionH relativeFrom="column">
              <wp:posOffset>683895</wp:posOffset>
            </wp:positionH>
            <wp:positionV relativeFrom="paragraph">
              <wp:posOffset>26670</wp:posOffset>
            </wp:positionV>
            <wp:extent cx="4030345" cy="2075180"/>
            <wp:effectExtent l="0" t="0" r="8255" b="1270"/>
            <wp:wrapNone/>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12"/>
                    <a:stretch>
                      <a:fillRect/>
                    </a:stretch>
                  </pic:blipFill>
                  <pic:spPr>
                    <a:xfrm>
                      <a:off x="0" y="0"/>
                      <a:ext cx="4030345" cy="2075180"/>
                    </a:xfrm>
                    <a:prstGeom prst="rect">
                      <a:avLst/>
                    </a:prstGeom>
                  </pic:spPr>
                </pic:pic>
              </a:graphicData>
            </a:graphic>
          </wp:anchor>
        </w:drawing>
      </w: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30" w:name="_Toc31252"/>
      <w:bookmarkStart w:id="31" w:name="_Toc15396604"/>
      <w:bookmarkStart w:id="32" w:name="_Toc15377206"/>
      <w:r>
        <w:rPr>
          <w:rFonts w:hint="eastAsia" w:ascii="黑体" w:hAnsi="黑体" w:eastAsia="黑体" w:cs="黑体"/>
          <w:b w:val="0"/>
          <w:sz w:val="32"/>
          <w:szCs w:val="32"/>
          <w:lang w:eastAsia="zh-CN"/>
        </w:rPr>
        <w:t>二、收入决算情况说明</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bookmarkStart w:id="33" w:name="_Toc15396605"/>
      <w:bookmarkStart w:id="34" w:name="_Toc15377207"/>
      <w:r>
        <w:rPr>
          <w:rFonts w:hint="eastAsia" w:ascii="Times New Roman" w:hAnsi="Times New Roman" w:eastAsia="仿宋_GB2312" w:cs="Times New Roman"/>
          <w:b w:val="0"/>
          <w:bCs w:val="0"/>
          <w:color w:val="000000"/>
          <w:sz w:val="32"/>
          <w:szCs w:val="32"/>
        </w:rPr>
        <w:t>2021年本年收入合计37165.3万元，其中：一般公共预算财政拨款收入3039.99万元，占8.18%；政府性基金预算财政拨款收入34125.31万元，占91.82%。</w:t>
      </w:r>
    </w:p>
    <w:p>
      <w:pPr>
        <w:pStyle w:val="7"/>
        <w:adjustRightInd w:val="0"/>
        <w:snapToGrid w:val="0"/>
        <w:spacing w:beforeLines="0" w:line="576" w:lineRule="exact"/>
        <w:ind w:firstLine="640" w:firstLineChars="200"/>
        <w:outlineLvl w:val="2"/>
        <w:rPr>
          <w:rFonts w:ascii="Times New Roman"/>
          <w:bCs/>
          <w:color w:val="000000"/>
          <w:sz w:val="32"/>
          <w:szCs w:val="32"/>
        </w:rPr>
      </w:pPr>
      <w:r>
        <w:rPr>
          <w:rFonts w:hint="eastAsia" w:ascii="Times New Roman" w:eastAsia="仿宋_GB2312"/>
          <w:bCs/>
          <w:color w:val="000000"/>
          <w:sz w:val="32"/>
          <w:szCs w:val="32"/>
          <w:lang w:eastAsia="zh-CN"/>
        </w:rPr>
        <w:drawing>
          <wp:anchor distT="0" distB="0" distL="114300" distR="114300" simplePos="0" relativeHeight="251659264" behindDoc="0" locked="0" layoutInCell="1" allowOverlap="1">
            <wp:simplePos x="0" y="0"/>
            <wp:positionH relativeFrom="column">
              <wp:posOffset>299720</wp:posOffset>
            </wp:positionH>
            <wp:positionV relativeFrom="paragraph">
              <wp:posOffset>203200</wp:posOffset>
            </wp:positionV>
            <wp:extent cx="4584065" cy="2121535"/>
            <wp:effectExtent l="0" t="0" r="6985" b="12065"/>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3"/>
                    <a:stretch>
                      <a:fillRect/>
                    </a:stretch>
                  </pic:blipFill>
                  <pic:spPr>
                    <a:xfrm>
                      <a:off x="0" y="0"/>
                      <a:ext cx="4584065" cy="2121535"/>
                    </a:xfrm>
                    <a:prstGeom prst="rect">
                      <a:avLst/>
                    </a:prstGeom>
                  </pic:spPr>
                </pic:pic>
              </a:graphicData>
            </a:graphic>
          </wp:anchor>
        </w:drawing>
      </w:r>
    </w:p>
    <w:p>
      <w:pPr>
        <w:pStyle w:val="7"/>
        <w:adjustRightInd w:val="0"/>
        <w:snapToGrid w:val="0"/>
        <w:spacing w:beforeLines="0" w:line="576" w:lineRule="exact"/>
        <w:ind w:firstLine="640" w:firstLineChars="200"/>
        <w:outlineLvl w:val="2"/>
        <w:rPr>
          <w:rFonts w:hint="eastAsia" w:ascii="Times New Roman" w:eastAsia="仿宋_GB2312"/>
          <w:bCs/>
          <w:color w:val="000000"/>
          <w:sz w:val="32"/>
          <w:szCs w:val="32"/>
          <w:lang w:eastAsia="zh-CN"/>
        </w:rPr>
      </w:pPr>
    </w:p>
    <w:p>
      <w:pPr>
        <w:pStyle w:val="7"/>
        <w:adjustRightInd w:val="0"/>
        <w:snapToGrid w:val="0"/>
        <w:spacing w:beforeLines="0" w:line="576" w:lineRule="exact"/>
        <w:ind w:firstLine="640" w:firstLineChars="200"/>
        <w:outlineLvl w:val="2"/>
        <w:rPr>
          <w:rFonts w:ascii="Times New Roman"/>
          <w:bCs/>
          <w:color w:val="000000"/>
          <w:sz w:val="32"/>
          <w:szCs w:val="32"/>
        </w:rPr>
      </w:pPr>
    </w:p>
    <w:p>
      <w:pPr>
        <w:pStyle w:val="7"/>
        <w:adjustRightInd w:val="0"/>
        <w:snapToGrid w:val="0"/>
        <w:spacing w:beforeLines="0" w:line="576" w:lineRule="exact"/>
        <w:ind w:firstLine="640" w:firstLineChars="200"/>
        <w:outlineLvl w:val="2"/>
        <w:rPr>
          <w:rFonts w:ascii="Times New Roman"/>
          <w:bCs/>
          <w:color w:val="000000"/>
          <w:sz w:val="32"/>
          <w:szCs w:val="32"/>
        </w:rPr>
      </w:pPr>
    </w:p>
    <w:p>
      <w:pPr>
        <w:pStyle w:val="7"/>
        <w:adjustRightInd w:val="0"/>
        <w:snapToGrid w:val="0"/>
        <w:spacing w:beforeLines="0" w:line="576" w:lineRule="exact"/>
        <w:ind w:firstLine="640" w:firstLineChars="200"/>
        <w:outlineLvl w:val="2"/>
        <w:rPr>
          <w:rFonts w:ascii="Times New Roman"/>
          <w:bCs/>
          <w:color w:val="000000"/>
          <w:sz w:val="32"/>
          <w:szCs w:val="32"/>
        </w:rPr>
      </w:pPr>
    </w:p>
    <w:p>
      <w:pPr>
        <w:pStyle w:val="7"/>
        <w:adjustRightInd w:val="0"/>
        <w:snapToGrid w:val="0"/>
        <w:spacing w:beforeLines="0" w:line="576" w:lineRule="exact"/>
        <w:ind w:firstLine="640" w:firstLineChars="200"/>
        <w:outlineLvl w:val="2"/>
        <w:rPr>
          <w:rFonts w:ascii="Times New Roman"/>
          <w:bCs/>
          <w:color w:val="000000"/>
          <w:sz w:val="32"/>
          <w:szCs w:val="32"/>
        </w:rPr>
      </w:pP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35" w:name="_Toc4002"/>
      <w:r>
        <w:rPr>
          <w:rFonts w:hint="eastAsia" w:ascii="黑体" w:hAnsi="黑体" w:eastAsia="黑体" w:cs="黑体"/>
          <w:b w:val="0"/>
          <w:sz w:val="32"/>
          <w:szCs w:val="32"/>
          <w:lang w:eastAsia="zh-CN"/>
        </w:rPr>
        <w:t>三、支出决算情况说明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36" w:name="_Toc11314"/>
      <w:r>
        <w:rPr>
          <w:rFonts w:hint="default" w:ascii="Times New Roman" w:hAnsi="Times New Roman" w:eastAsia="仿宋_GB2312" w:cs="Times New Roman"/>
          <w:b w:val="0"/>
          <w:bCs w:val="0"/>
          <w:color w:val="000000"/>
          <w:sz w:val="32"/>
          <w:szCs w:val="32"/>
        </w:rPr>
        <w:t>20</w:t>
      </w:r>
      <w:r>
        <w:rPr>
          <w:rFonts w:hint="eastAsia" w:ascii="Times New Roman" w:hAnsi="Times New Roman" w:eastAsia="仿宋_GB2312" w:cs="Times New Roman"/>
          <w:b w:val="0"/>
          <w:bCs w:val="0"/>
          <w:color w:val="000000"/>
          <w:sz w:val="32"/>
          <w:szCs w:val="32"/>
        </w:rPr>
        <w:t>21年本年支出合计37869.99万元，其中：基本支出371.85     万元，占0.98</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；项目支出37498.14万元，占99.02</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w:t>
      </w:r>
      <w:bookmarkEnd w:id="36"/>
    </w:p>
    <w:p>
      <w:pPr>
        <w:pStyle w:val="7"/>
      </w:pPr>
      <w:r>
        <w:rPr>
          <w:rFonts w:hint="eastAsia" w:ascii="Times New Roman" w:eastAsia="仿宋_GB2312"/>
          <w:bCs/>
          <w:color w:val="000000"/>
          <w:sz w:val="32"/>
          <w:szCs w:val="32"/>
          <w:highlight w:val="yellow"/>
          <w:lang w:eastAsia="zh-CN"/>
        </w:rPr>
        <w:drawing>
          <wp:anchor distT="0" distB="0" distL="114300" distR="114300" simplePos="0" relativeHeight="251661312" behindDoc="0" locked="0" layoutInCell="1" allowOverlap="1">
            <wp:simplePos x="0" y="0"/>
            <wp:positionH relativeFrom="column">
              <wp:posOffset>567055</wp:posOffset>
            </wp:positionH>
            <wp:positionV relativeFrom="paragraph">
              <wp:posOffset>160020</wp:posOffset>
            </wp:positionV>
            <wp:extent cx="4584065" cy="2280920"/>
            <wp:effectExtent l="0" t="0" r="6985" b="5080"/>
            <wp:wrapNone/>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4"/>
                    <a:stretch>
                      <a:fillRect/>
                    </a:stretch>
                  </pic:blipFill>
                  <pic:spPr>
                    <a:xfrm>
                      <a:off x="0" y="0"/>
                      <a:ext cx="4584065" cy="2280920"/>
                    </a:xfrm>
                    <a:prstGeom prst="rect">
                      <a:avLst/>
                    </a:prstGeom>
                  </pic:spPr>
                </pic:pic>
              </a:graphicData>
            </a:graphic>
          </wp:anchor>
        </w:drawing>
      </w:r>
    </w:p>
    <w:p>
      <w:pPr>
        <w:pStyle w:val="7"/>
        <w:adjustRightInd w:val="0"/>
        <w:snapToGrid w:val="0"/>
        <w:spacing w:beforeLines="0" w:line="576" w:lineRule="exact"/>
        <w:ind w:firstLine="640" w:firstLineChars="200"/>
        <w:outlineLvl w:val="2"/>
        <w:rPr>
          <w:rFonts w:hint="eastAsia" w:ascii="Times New Roman"/>
          <w:bCs/>
          <w:color w:val="000000"/>
          <w:sz w:val="32"/>
          <w:szCs w:val="32"/>
          <w:highlight w:val="yellow"/>
        </w:rPr>
      </w:pPr>
    </w:p>
    <w:p>
      <w:pPr>
        <w:pStyle w:val="7"/>
        <w:adjustRightInd w:val="0"/>
        <w:snapToGrid w:val="0"/>
        <w:spacing w:beforeLines="0" w:line="576" w:lineRule="exact"/>
        <w:ind w:firstLine="640" w:firstLineChars="200"/>
        <w:outlineLvl w:val="2"/>
        <w:rPr>
          <w:rFonts w:hint="eastAsia" w:ascii="Times New Roman"/>
          <w:bCs/>
          <w:color w:val="000000"/>
          <w:sz w:val="32"/>
          <w:szCs w:val="32"/>
          <w:highlight w:val="yellow"/>
        </w:rPr>
      </w:pPr>
    </w:p>
    <w:p>
      <w:pPr>
        <w:pStyle w:val="7"/>
        <w:adjustRightInd w:val="0"/>
        <w:snapToGrid w:val="0"/>
        <w:spacing w:beforeLines="0" w:line="576" w:lineRule="exact"/>
        <w:ind w:firstLine="640" w:firstLineChars="200"/>
        <w:outlineLvl w:val="2"/>
        <w:rPr>
          <w:rFonts w:hint="eastAsia" w:ascii="Times New Roman"/>
          <w:bCs/>
          <w:color w:val="000000"/>
          <w:sz w:val="32"/>
          <w:szCs w:val="32"/>
          <w:highlight w:val="yellow"/>
        </w:rPr>
      </w:pPr>
    </w:p>
    <w:p>
      <w:pPr>
        <w:pStyle w:val="7"/>
        <w:adjustRightInd w:val="0"/>
        <w:snapToGrid w:val="0"/>
        <w:spacing w:beforeLines="0" w:line="576" w:lineRule="exact"/>
        <w:ind w:firstLine="640" w:firstLineChars="200"/>
        <w:outlineLvl w:val="2"/>
        <w:rPr>
          <w:rFonts w:hint="eastAsia" w:ascii="Times New Roman"/>
          <w:bCs/>
          <w:color w:val="000000"/>
          <w:sz w:val="32"/>
          <w:szCs w:val="32"/>
          <w:highlight w:val="yellow"/>
        </w:rPr>
      </w:pPr>
    </w:p>
    <w:p>
      <w:pPr>
        <w:pStyle w:val="7"/>
        <w:adjustRightInd w:val="0"/>
        <w:snapToGrid w:val="0"/>
        <w:spacing w:beforeLines="0" w:line="576" w:lineRule="exact"/>
        <w:ind w:firstLine="640" w:firstLineChars="200"/>
        <w:outlineLvl w:val="2"/>
        <w:rPr>
          <w:rFonts w:hint="eastAsia" w:ascii="Times New Roman"/>
          <w:bCs/>
          <w:color w:val="000000"/>
          <w:sz w:val="32"/>
          <w:szCs w:val="32"/>
          <w:highlight w:val="yellow"/>
        </w:rPr>
      </w:pPr>
    </w:p>
    <w:p>
      <w:pPr>
        <w:pStyle w:val="7"/>
        <w:adjustRightInd w:val="0"/>
        <w:snapToGrid w:val="0"/>
        <w:spacing w:beforeLines="0" w:line="576" w:lineRule="exact"/>
        <w:ind w:firstLine="640" w:firstLineChars="200"/>
        <w:outlineLvl w:val="2"/>
        <w:rPr>
          <w:rFonts w:hint="eastAsia" w:ascii="Times New Roman" w:eastAsia="仿宋_GB2312"/>
          <w:bCs/>
          <w:color w:val="000000"/>
          <w:sz w:val="32"/>
          <w:szCs w:val="32"/>
          <w:highlight w:val="yellow"/>
          <w:lang w:eastAsia="zh-CN"/>
        </w:rPr>
      </w:pP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37" w:name="_Toc22156"/>
      <w:bookmarkStart w:id="38" w:name="_Toc15377208"/>
      <w:bookmarkStart w:id="39" w:name="_Toc15396606"/>
      <w:r>
        <w:rPr>
          <w:rFonts w:hint="eastAsia" w:ascii="黑体" w:hAnsi="黑体" w:eastAsia="黑体" w:cs="黑体"/>
          <w:b w:val="0"/>
          <w:sz w:val="32"/>
          <w:szCs w:val="32"/>
          <w:lang w:eastAsia="zh-CN"/>
        </w:rPr>
        <w:t>四、财政拨款收入支出决算总体情况说明</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20</w:t>
      </w:r>
      <w:r>
        <w:rPr>
          <w:rFonts w:hint="eastAsia" w:ascii="Times New Roman" w:hAnsi="Times New Roman" w:eastAsia="仿宋_GB2312" w:cs="Times New Roman"/>
          <w:b w:val="0"/>
          <w:bCs w:val="0"/>
          <w:color w:val="000000"/>
          <w:sz w:val="32"/>
          <w:szCs w:val="32"/>
        </w:rPr>
        <w:t>21年财政拨款收、支总计38665.3万元。与</w:t>
      </w:r>
      <w:r>
        <w:rPr>
          <w:rFonts w:hint="default" w:ascii="Times New Roman" w:hAnsi="Times New Roman" w:eastAsia="仿宋_GB2312" w:cs="Times New Roman"/>
          <w:b w:val="0"/>
          <w:bCs w:val="0"/>
          <w:color w:val="000000"/>
          <w:sz w:val="32"/>
          <w:szCs w:val="32"/>
        </w:rPr>
        <w:t>20</w:t>
      </w:r>
      <w:r>
        <w:rPr>
          <w:rFonts w:hint="eastAsia" w:ascii="Times New Roman" w:hAnsi="Times New Roman" w:eastAsia="仿宋_GB2312" w:cs="Times New Roman"/>
          <w:b w:val="0"/>
          <w:bCs w:val="0"/>
          <w:color w:val="000000"/>
          <w:sz w:val="32"/>
          <w:szCs w:val="32"/>
        </w:rPr>
        <w:t>20年34513.38相比，财政拨款收、支总计各增加4151.92万元，增长12.03</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。主要变动原因是增加了家居产业城建设资金（专项债券资金）。</w:t>
      </w:r>
    </w:p>
    <w:p>
      <w:pPr>
        <w:pStyle w:val="6"/>
      </w:pPr>
      <w:r>
        <w:rPr>
          <w:rFonts w:hint="eastAsia"/>
          <w:highlight w:val="yellow"/>
        </w:rPr>
        <w:drawing>
          <wp:anchor distT="0" distB="0" distL="114300" distR="114300" simplePos="0" relativeHeight="251662336" behindDoc="0" locked="0" layoutInCell="1" allowOverlap="1">
            <wp:simplePos x="0" y="0"/>
            <wp:positionH relativeFrom="column">
              <wp:posOffset>408940</wp:posOffset>
            </wp:positionH>
            <wp:positionV relativeFrom="paragraph">
              <wp:posOffset>60960</wp:posOffset>
            </wp:positionV>
            <wp:extent cx="4584065" cy="2517775"/>
            <wp:effectExtent l="0" t="0" r="6985" b="15875"/>
            <wp:wrapNone/>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15"/>
                    <a:stretch>
                      <a:fillRect/>
                    </a:stretch>
                  </pic:blipFill>
                  <pic:spPr>
                    <a:xfrm>
                      <a:off x="0" y="0"/>
                      <a:ext cx="4584065" cy="2517775"/>
                    </a:xfrm>
                    <a:prstGeom prst="rect">
                      <a:avLst/>
                    </a:prstGeom>
                  </pic:spPr>
                </pic:pic>
              </a:graphicData>
            </a:graphic>
          </wp:anchor>
        </w:drawing>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40" w:name="_Toc21824"/>
      <w:bookmarkStart w:id="41" w:name="_Toc15377209"/>
      <w:bookmarkStart w:id="42" w:name="_Toc15396607"/>
      <w:r>
        <w:rPr>
          <w:rFonts w:hint="eastAsia" w:ascii="黑体" w:hAnsi="黑体" w:eastAsia="黑体" w:cs="黑体"/>
          <w:b w:val="0"/>
          <w:sz w:val="32"/>
          <w:szCs w:val="32"/>
          <w:lang w:eastAsia="zh-CN"/>
        </w:rPr>
        <w:t>五、一般公共预算财政拨款支出决算情况说明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43" w:name="_Toc15377210"/>
      <w:r>
        <w:rPr>
          <w:rFonts w:hint="eastAsia" w:ascii="Times New Roman" w:hAnsi="Times New Roman" w:eastAsia="仿宋_GB2312" w:cs="Times New Roman"/>
          <w:b w:val="0"/>
          <w:bCs w:val="0"/>
          <w:color w:val="000000"/>
          <w:sz w:val="32"/>
          <w:szCs w:val="32"/>
        </w:rPr>
        <w:t>（一）一般公共预算财政拨款支出决算总体情况</w:t>
      </w:r>
      <w:bookmarkEnd w:id="43"/>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2021年一般公共预算财政拨款支出3469.99万元，占本年支出合计的10.44%。与2020年相比，一般公共预算财政拨款增加148.6万元，增长4.47%。主要变动原因是家居产业城项目建设支出增加。</w:t>
      </w:r>
    </w:p>
    <w:p>
      <w:pPr>
        <w:pStyle w:val="6"/>
        <w:rPr>
          <w:rFonts w:hint="eastAsia"/>
          <w:highlight w:val="yellow"/>
        </w:rPr>
      </w:pPr>
    </w:p>
    <w:p>
      <w:pPr>
        <w:pStyle w:val="6"/>
        <w:rPr>
          <w:rFonts w:hint="eastAsia" w:eastAsia="宋体"/>
          <w:highlight w:val="yellow"/>
          <w:lang w:eastAsia="zh-CN"/>
        </w:rPr>
      </w:pPr>
      <w:r>
        <w:rPr>
          <w:rFonts w:hint="eastAsia" w:eastAsia="宋体"/>
          <w:highlight w:val="yellow"/>
          <w:lang w:eastAsia="zh-CN"/>
        </w:rPr>
        <w:drawing>
          <wp:anchor distT="0" distB="0" distL="114300" distR="114300" simplePos="0" relativeHeight="251663360" behindDoc="0" locked="0" layoutInCell="1" allowOverlap="1">
            <wp:simplePos x="0" y="0"/>
            <wp:positionH relativeFrom="column">
              <wp:posOffset>467995</wp:posOffset>
            </wp:positionH>
            <wp:positionV relativeFrom="paragraph">
              <wp:posOffset>111125</wp:posOffset>
            </wp:positionV>
            <wp:extent cx="4584065" cy="2475865"/>
            <wp:effectExtent l="0" t="0" r="6985" b="635"/>
            <wp:wrapNone/>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16"/>
                    <a:stretch>
                      <a:fillRect/>
                    </a:stretch>
                  </pic:blipFill>
                  <pic:spPr>
                    <a:xfrm>
                      <a:off x="0" y="0"/>
                      <a:ext cx="4584065" cy="2475865"/>
                    </a:xfrm>
                    <a:prstGeom prst="rect">
                      <a:avLst/>
                    </a:prstGeom>
                  </pic:spPr>
                </pic:pic>
              </a:graphicData>
            </a:graphic>
          </wp:anchor>
        </w:drawing>
      </w: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rPr>
          <w:rFonts w:hint="eastAsia"/>
          <w:highlight w:val="yellow"/>
        </w:rPr>
      </w:pPr>
    </w:p>
    <w:p>
      <w:pPr>
        <w:pStyle w:val="6"/>
      </w:pPr>
    </w:p>
    <w:p>
      <w:pPr>
        <w:pStyle w:val="6"/>
      </w:pPr>
    </w:p>
    <w:p>
      <w:pPr>
        <w:pStyle w:val="6"/>
        <w:ind w:left="0" w:leftChars="0" w:firstLine="0" w:firstLineChars="0"/>
      </w:pPr>
    </w:p>
    <w:p>
      <w:pPr>
        <w:pStyle w:val="6"/>
      </w:pPr>
    </w:p>
    <w:p>
      <w:pPr>
        <w:pStyle w:val="6"/>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44" w:name="_Toc15377211"/>
      <w:r>
        <w:rPr>
          <w:rFonts w:hint="eastAsia" w:ascii="Times New Roman" w:hAnsi="Times New Roman" w:eastAsia="仿宋_GB2312" w:cs="Times New Roman"/>
          <w:b w:val="0"/>
          <w:bCs w:val="0"/>
          <w:color w:val="000000"/>
          <w:sz w:val="32"/>
          <w:szCs w:val="32"/>
        </w:rPr>
        <w:t>（二）一般公共预算财政拨款支出决算结构情况</w:t>
      </w:r>
      <w:bookmarkEnd w:id="44"/>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一般公共预算财政拨款支出3469.99万元，主要用于以下方面:一般公共服务（类）支出420.57万元，占10.41%；农林水（类）支出2000万元，占49.51%；资源勘探信息支出（类）支出1000万元，占24.75%；社会保障和就业（类）支出19.79万元，占0.49%；卫生健康支出9.02万元，占0.22%；住房保障支出20.62万元，占0.51%。</w:t>
      </w:r>
    </w:p>
    <w:p>
      <w:pPr>
        <w:pStyle w:val="6"/>
        <w:ind w:firstLine="640"/>
        <w:rPr>
          <w:rFonts w:hint="eastAsia" w:eastAsia="宋体"/>
          <w:bCs/>
          <w:color w:val="000000"/>
          <w:sz w:val="32"/>
          <w:szCs w:val="32"/>
          <w:highlight w:val="yellow"/>
          <w:lang w:eastAsia="zh-CN"/>
        </w:rPr>
      </w:pPr>
      <w:r>
        <w:rPr>
          <w:rFonts w:hint="eastAsia" w:eastAsia="宋体"/>
          <w:bCs/>
          <w:color w:val="000000"/>
          <w:sz w:val="32"/>
          <w:szCs w:val="32"/>
          <w:highlight w:val="yellow"/>
          <w:lang w:eastAsia="zh-CN"/>
        </w:rPr>
        <w:drawing>
          <wp:inline distT="0" distB="0" distL="114300" distR="114300">
            <wp:extent cx="4584065" cy="2614930"/>
            <wp:effectExtent l="0" t="0" r="6985" b="13970"/>
            <wp:docPr id="9"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6"/>
                    <pic:cNvPicPr>
                      <a:picLocks noChangeAspect="1"/>
                    </pic:cNvPicPr>
                  </pic:nvPicPr>
                  <pic:blipFill>
                    <a:blip r:embed="rId17"/>
                    <a:stretch>
                      <a:fillRect/>
                    </a:stretch>
                  </pic:blipFill>
                  <pic:spPr>
                    <a:xfrm>
                      <a:off x="0" y="0"/>
                      <a:ext cx="4584065" cy="26149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45" w:name="_Toc15377212"/>
      <w:r>
        <w:rPr>
          <w:rFonts w:hint="eastAsia" w:ascii="Times New Roman" w:hAnsi="Times New Roman" w:eastAsia="仿宋_GB2312" w:cs="Times New Roman"/>
          <w:b w:val="0"/>
          <w:bCs w:val="0"/>
          <w:color w:val="000000"/>
          <w:sz w:val="32"/>
          <w:szCs w:val="32"/>
        </w:rPr>
        <w:t>（三）一般公共预算财政拨款支出决算具体情况</w:t>
      </w:r>
      <w:bookmarkEnd w:id="45"/>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46" w:name="_Toc30018"/>
      <w:bookmarkStart w:id="47" w:name="_Toc15377444"/>
      <w:bookmarkStart w:id="48" w:name="_Toc15377213"/>
      <w:bookmarkStart w:id="49" w:name="_Toc15378460"/>
      <w:r>
        <w:rPr>
          <w:rFonts w:hint="eastAsia" w:ascii="Times New Roman" w:hAnsi="Times New Roman" w:eastAsia="仿宋_GB2312" w:cs="Times New Roman"/>
          <w:b w:val="0"/>
          <w:bCs w:val="0"/>
          <w:color w:val="000000"/>
          <w:sz w:val="32"/>
          <w:szCs w:val="32"/>
        </w:rPr>
        <w:t>2021年一般公共预算支出决算数为3469.99万元，完成预算100%。其中：</w:t>
      </w:r>
      <w:bookmarkEnd w:id="46"/>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1.一般公共服务（类）政府办公厅（室）及相关机构事务（款）行政运行（项）:支出决算为420.57万元，完成预算100%，决算数等于预算数。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 住房保障（类）住房改革支出（款）住房公积金（项）:支出决算为20.62万元，完成预算100%，决算数等于预算数。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3.农林水（类）扶贫（款）其他扶贫支出（项）:支出决算为2000万元，完成预算100%，决算数等于预算数。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4. 资源勘探信息（类）制造业（款）其他制造业支出（项）:支出决算为1000万元，完成预算68.03%，决算数小于预算数，主要原因一是项目按进度支付；二是项目拨款年底按程序拨付中。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5. 社会保障和就业（类）行政事业单位养老保险支出（款）行政事业单位基本养老保险缴费支出（项）:支出决算为19.79万元，完成预算100%，决算数等于预算数。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6. 卫生健康（类）行政事业单位医疗（款）行政单位医疗（项）:支出决算为9.02万元，完成预算100%，决算数等于预算数。</w:t>
      </w:r>
    </w:p>
    <w:bookmarkEnd w:id="47"/>
    <w:bookmarkEnd w:id="48"/>
    <w:bookmarkEnd w:id="49"/>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50" w:name="_Toc15396608"/>
      <w:bookmarkStart w:id="51" w:name="_Toc15377214"/>
      <w:bookmarkStart w:id="52" w:name="_Toc24637"/>
      <w:r>
        <w:rPr>
          <w:rFonts w:hint="eastAsia" w:ascii="黑体" w:hAnsi="黑体" w:eastAsia="黑体" w:cs="黑体"/>
          <w:b w:val="0"/>
          <w:sz w:val="32"/>
          <w:szCs w:val="32"/>
          <w:lang w:eastAsia="zh-CN"/>
        </w:rPr>
        <w:t>六、一般公共预算财政拨款基本支出决算情况说明</w:t>
      </w:r>
      <w:bookmarkEnd w:id="50"/>
      <w:bookmarkEnd w:id="51"/>
      <w:bookmarkEnd w:id="52"/>
      <w:r>
        <w:rPr>
          <w:rFonts w:hint="eastAsia" w:ascii="黑体" w:hAnsi="黑体" w:eastAsia="黑体" w:cs="黑体"/>
          <w:b w:val="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2021年一般公共预算财政拨款基本支出371.85万元，其中：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人员经</w:t>
      </w:r>
      <w:r>
        <w:rPr>
          <w:rFonts w:hint="eastAsia" w:eastAsia="仿宋_GB2312" w:cs="Times New Roman"/>
          <w:b w:val="0"/>
          <w:bCs w:val="0"/>
          <w:color w:val="000000"/>
          <w:sz w:val="32"/>
          <w:szCs w:val="32"/>
          <w:lang w:val="en-US" w:eastAsia="zh-CN"/>
        </w:rPr>
        <w:t>费</w:t>
      </w:r>
      <w:r>
        <w:rPr>
          <w:rFonts w:hint="eastAsia" w:ascii="Times New Roman" w:hAnsi="Times New Roman" w:eastAsia="仿宋_GB2312" w:cs="Times New Roman"/>
          <w:b w:val="0"/>
          <w:bCs w:val="0"/>
          <w:color w:val="000000"/>
          <w:sz w:val="32"/>
          <w:szCs w:val="32"/>
        </w:rPr>
        <w:t>178.51万元，主要包括：基本工资、津贴补贴、奖金、绩效工资、机关事业单位基本养老保险缴费、职业年金缴费、其他社会保障缴费、其他工资福利支出、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公用经费193.34万元，主要包括：办公费、印刷费、手续费、水费、电费、邮电费、差旅费、维修（护）费、租赁费、会议费、培训费、公务接待费、工会经费、福利费、其他交通费、税金及附加费用、其他商品和服务支出、办公设备购置、专用设备购置、信息网络及软件购置更新、其他资本性支出等。</w:t>
      </w: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53" w:name="_Toc26022"/>
      <w:bookmarkStart w:id="54" w:name="_Toc15377215"/>
      <w:bookmarkStart w:id="55" w:name="_Toc15396609"/>
      <w:r>
        <w:rPr>
          <w:rFonts w:hint="eastAsia" w:ascii="黑体" w:hAnsi="黑体" w:eastAsia="黑体" w:cs="黑体"/>
          <w:b w:val="0"/>
          <w:sz w:val="32"/>
          <w:szCs w:val="32"/>
          <w:lang w:eastAsia="zh-CN"/>
        </w:rPr>
        <w:t>七、“三公”经费财政拨款支出决算情况说明</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56" w:name="_Toc15377216"/>
      <w:r>
        <w:rPr>
          <w:rFonts w:hint="eastAsia" w:ascii="Times New Roman" w:hAnsi="Times New Roman" w:eastAsia="仿宋_GB2312" w:cs="Times New Roman"/>
          <w:b w:val="0"/>
          <w:bCs w:val="0"/>
          <w:color w:val="000000"/>
          <w:sz w:val="32"/>
          <w:szCs w:val="32"/>
        </w:rPr>
        <w:t>（一）“三公”经费财政拨款支出决算总体情况说明</w:t>
      </w:r>
      <w:bookmarkEnd w:id="56"/>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2021年“三公”经费财政拨款支出决算为1.01万元，完成预算11.88%，决算数小于预算数的主要原因是年初预算数包含商务接待费支出，其次是严格落实压减“三公”经费支出，坚决杜绝铺张浪费。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57" w:name="_Toc15377217"/>
      <w:r>
        <w:rPr>
          <w:rFonts w:hint="eastAsia" w:ascii="Times New Roman" w:hAnsi="Times New Roman" w:eastAsia="仿宋_GB2312" w:cs="Times New Roman"/>
          <w:b w:val="0"/>
          <w:bCs w:val="0"/>
          <w:color w:val="000000"/>
          <w:sz w:val="32"/>
          <w:szCs w:val="32"/>
        </w:rPr>
        <w:t>（二）“三公”经费财政拨款支出决算具体情况说明</w:t>
      </w:r>
      <w:bookmarkEnd w:id="57"/>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2021年“三公”经费财政拨款支出决算中，因公出国（境）费支出决算0万元，占0%；公务用车购置及运行维护费支出决算0万元，占0%；公务接待费支出决算1.01万元，占100%。具体情况如下：</w:t>
      </w:r>
    </w:p>
    <w:p>
      <w:pPr>
        <w:pStyle w:val="6"/>
        <w:rPr>
          <w:rFonts w:hint="eastAsia" w:eastAsia="宋体"/>
          <w:lang w:eastAsia="zh-CN"/>
        </w:rPr>
      </w:pPr>
      <w:r>
        <w:rPr>
          <w:rFonts w:hint="eastAsia" w:eastAsia="宋体"/>
          <w:lang w:eastAsia="zh-CN"/>
        </w:rPr>
        <w:drawing>
          <wp:inline distT="0" distB="0" distL="114300" distR="114300">
            <wp:extent cx="4584065" cy="2621280"/>
            <wp:effectExtent l="0" t="0" r="6985" b="7620"/>
            <wp:docPr id="10" name="图片 10"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7"/>
                    <pic:cNvPicPr>
                      <a:picLocks noChangeAspect="1"/>
                    </pic:cNvPicPr>
                  </pic:nvPicPr>
                  <pic:blipFill>
                    <a:blip r:embed="rId18"/>
                    <a:stretch>
                      <a:fillRect/>
                    </a:stretch>
                  </pic:blipFill>
                  <pic:spPr>
                    <a:xfrm>
                      <a:off x="0" y="0"/>
                      <a:ext cx="4584065" cy="26212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1.因公出国（境）经费支出0万元，年初未安排预算。因公出国（境）支出决算较2020</w:t>
      </w:r>
      <w:r>
        <w:rPr>
          <w:rFonts w:hint="eastAsia" w:eastAsia="仿宋_GB2312" w:cs="Times New Roman"/>
          <w:b w:val="0"/>
          <w:bCs w:val="0"/>
          <w:color w:val="000000"/>
          <w:sz w:val="32"/>
          <w:szCs w:val="32"/>
          <w:lang w:val="en-US" w:eastAsia="zh-CN"/>
        </w:rPr>
        <w:t>年</w:t>
      </w:r>
      <w:r>
        <w:rPr>
          <w:rFonts w:hint="eastAsia" w:ascii="Times New Roman" w:hAnsi="Times New Roman" w:eastAsia="仿宋_GB2312" w:cs="Times New Roman"/>
          <w:b w:val="0"/>
          <w:bCs w:val="0"/>
          <w:color w:val="000000"/>
          <w:sz w:val="32"/>
          <w:szCs w:val="32"/>
        </w:rPr>
        <w:t>无变化。</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2.公务用车购置及运行维护费支出0万元, 年初未安排预算。公务用车购置及运行维护费支出决算较2020</w:t>
      </w:r>
      <w:r>
        <w:rPr>
          <w:rFonts w:hint="eastAsia" w:eastAsia="仿宋_GB2312" w:cs="Times New Roman"/>
          <w:b w:val="0"/>
          <w:bCs w:val="0"/>
          <w:color w:val="000000"/>
          <w:sz w:val="32"/>
          <w:szCs w:val="32"/>
          <w:lang w:val="en-US" w:eastAsia="zh-CN"/>
        </w:rPr>
        <w:t>年</w:t>
      </w:r>
      <w:r>
        <w:rPr>
          <w:rFonts w:hint="eastAsia" w:ascii="Times New Roman" w:hAnsi="Times New Roman" w:eastAsia="仿宋_GB2312" w:cs="Times New Roman"/>
          <w:b w:val="0"/>
          <w:bCs w:val="0"/>
          <w:color w:val="000000"/>
          <w:sz w:val="32"/>
          <w:szCs w:val="32"/>
        </w:rPr>
        <w:t>无变化。</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其中：公务用车购置支出0万元。未购置公务用车。截</w:t>
      </w:r>
      <w:r>
        <w:rPr>
          <w:rFonts w:hint="eastAsia" w:eastAsia="仿宋_GB2312" w:cs="Times New Roman"/>
          <w:b w:val="0"/>
          <w:bCs w:val="0"/>
          <w:color w:val="000000"/>
          <w:sz w:val="32"/>
          <w:szCs w:val="32"/>
          <w:lang w:val="en-US" w:eastAsia="zh-CN"/>
        </w:rPr>
        <w:t>至</w:t>
      </w:r>
      <w:r>
        <w:rPr>
          <w:rFonts w:hint="eastAsia" w:ascii="Times New Roman" w:hAnsi="Times New Roman" w:eastAsia="仿宋_GB2312" w:cs="Times New Roman"/>
          <w:b w:val="0"/>
          <w:bCs w:val="0"/>
          <w:color w:val="000000"/>
          <w:sz w:val="32"/>
          <w:szCs w:val="32"/>
        </w:rPr>
        <w:t>2021年12月底，单位共有公务用车0台。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公务用车运行维护费支出0万元。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3.公务接待费支出1.01万元，完成预算100%。公务接待费支出决算较2020年持平。其中：</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国内公务接待支出1.01万元，主要用于开展业务活动开支的交通费、住宿费、用餐费等。国内公务接待10批次，105人次（不包括陪同人员），共计支出1.01万元。主要用于全市重点项目开工及推进工作会议接待15人0.2万元、固定资产投资考察培训接待23人0.3万元，项目考察接待30人0.51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外事接待支出0万元。</w:t>
      </w:r>
      <w:bookmarkStart w:id="58" w:name="_Toc15377218"/>
      <w:bookmarkStart w:id="59" w:name="_Toc15396610"/>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60" w:name="_Toc28481"/>
      <w:r>
        <w:rPr>
          <w:rFonts w:hint="eastAsia" w:ascii="黑体" w:hAnsi="黑体" w:eastAsia="黑体" w:cs="黑体"/>
          <w:b w:val="0"/>
          <w:sz w:val="32"/>
          <w:szCs w:val="32"/>
          <w:lang w:eastAsia="zh-CN"/>
        </w:rPr>
        <w:t>八、政府性基金预算支出决算情况说明</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2021年政府性基金预算财政拨款支出34400万元。</w:t>
      </w: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61" w:name="_Toc7713"/>
      <w:bookmarkStart w:id="62" w:name="_Toc15396611"/>
      <w:bookmarkStart w:id="63" w:name="_Toc15377219"/>
      <w:r>
        <w:rPr>
          <w:rFonts w:hint="eastAsia" w:ascii="黑体" w:hAnsi="黑体" w:eastAsia="黑体" w:cs="黑体"/>
          <w:b w:val="0"/>
          <w:sz w:val="32"/>
          <w:szCs w:val="32"/>
          <w:lang w:eastAsia="zh-CN"/>
        </w:rPr>
        <w:t>九、国有资本经营预算支出决算情况说明</w:t>
      </w:r>
      <w:bookmarkEnd w:id="61"/>
      <w:bookmarkEnd w:id="62"/>
      <w:bookmarkEnd w:id="63"/>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2021年国有资本经营预算财政拨款支出0万元。</w:t>
      </w: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64" w:name="_Toc8920"/>
      <w:bookmarkStart w:id="65" w:name="_Toc15396612"/>
      <w:bookmarkStart w:id="66" w:name="_Toc15377221"/>
      <w:r>
        <w:rPr>
          <w:rFonts w:hint="eastAsia" w:ascii="黑体" w:hAnsi="黑体" w:eastAsia="黑体" w:cs="黑体"/>
          <w:b w:val="0"/>
          <w:sz w:val="32"/>
          <w:szCs w:val="32"/>
          <w:lang w:eastAsia="zh-CN"/>
        </w:rPr>
        <w:t>十、预算绩效管理情况</w:t>
      </w:r>
      <w:bookmarkEnd w:id="64"/>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根据预算绩效管理要求，本单位在2021年度预算编制阶段，组织对家居产业城工作经费、招商引资工作经费等4个项目开展了预算事前绩效评估，对4个项目编制了绩效目标，预算执行过程中，选取4个项目开展绩效监控，年终执行完毕后，对4个项目开展了绩效自评，2021年部门预算项目绩效目标自评表见附件（第四部分）。</w:t>
      </w:r>
    </w:p>
    <w:p>
      <w:pPr>
        <w:pStyle w:val="4"/>
        <w:pageBreakBefore w:val="0"/>
        <w:widowControl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黑体" w:hAnsi="黑体" w:eastAsia="黑体" w:cs="黑体"/>
          <w:b w:val="0"/>
          <w:sz w:val="32"/>
          <w:szCs w:val="32"/>
          <w:lang w:eastAsia="zh-CN"/>
        </w:rPr>
      </w:pPr>
      <w:bookmarkStart w:id="67" w:name="_Toc17242"/>
      <w:r>
        <w:rPr>
          <w:rFonts w:hint="eastAsia" w:ascii="黑体" w:hAnsi="黑体" w:eastAsia="黑体" w:cs="黑体"/>
          <w:b w:val="0"/>
          <w:sz w:val="32"/>
          <w:szCs w:val="32"/>
          <w:lang w:eastAsia="zh-CN"/>
        </w:rPr>
        <w:t>十一、其他重要事项的情况说明</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68" w:name="_Toc15377222"/>
      <w:r>
        <w:rPr>
          <w:rFonts w:hint="eastAsia" w:ascii="Times New Roman" w:hAnsi="Times New Roman" w:eastAsia="仿宋_GB2312" w:cs="Times New Roman"/>
          <w:b w:val="0"/>
          <w:bCs w:val="0"/>
          <w:color w:val="000000"/>
          <w:sz w:val="32"/>
          <w:szCs w:val="32"/>
        </w:rPr>
        <w:t>（一）机关运行经费支出情况</w:t>
      </w:r>
      <w:bookmarkEnd w:id="68"/>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2021年经开区管委会机关运行经费支出193.34万元，比2020年增加48.71万元，增加33.68%。主要原因是人员经费增加及家居产业城办公经费支出增加。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69" w:name="_Toc15377223"/>
      <w:r>
        <w:rPr>
          <w:rFonts w:hint="eastAsia" w:ascii="Times New Roman" w:hAnsi="Times New Roman" w:eastAsia="仿宋_GB2312" w:cs="Times New Roman"/>
          <w:b w:val="0"/>
          <w:bCs w:val="0"/>
          <w:color w:val="000000"/>
          <w:sz w:val="32"/>
          <w:szCs w:val="32"/>
        </w:rPr>
        <w:t>（二）政府采购支出情况</w:t>
      </w:r>
      <w:bookmarkEnd w:id="6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2021年，经开区管委会政府采购支出总额0万元，其中：政府采购货物支出</w:t>
      </w:r>
      <w:r>
        <w:rPr>
          <w:rFonts w:hint="eastAsia" w:ascii="Times New Roman" w:hAnsi="Times New Roman" w:eastAsia="仿宋_GB2312" w:cs="Times New Roman"/>
          <w:b w:val="0"/>
          <w:bCs w:val="0"/>
          <w:color w:val="000000"/>
          <w:sz w:val="32"/>
          <w:szCs w:val="32"/>
          <w:lang w:val="en-US" w:eastAsia="zh-CN"/>
        </w:rPr>
        <w:t>0</w:t>
      </w:r>
      <w:r>
        <w:rPr>
          <w:rFonts w:hint="eastAsia" w:ascii="Times New Roman" w:hAnsi="Times New Roman" w:eastAsia="仿宋_GB2312" w:cs="Times New Roman"/>
          <w:b w:val="0"/>
          <w:bCs w:val="0"/>
          <w:color w:val="000000"/>
          <w:sz w:val="32"/>
          <w:szCs w:val="32"/>
        </w:rPr>
        <w:t>万元、政府采购工程支出</w:t>
      </w:r>
      <w:r>
        <w:rPr>
          <w:rFonts w:hint="eastAsia" w:ascii="Times New Roman" w:hAnsi="Times New Roman" w:eastAsia="仿宋_GB2312" w:cs="Times New Roman"/>
          <w:b w:val="0"/>
          <w:bCs w:val="0"/>
          <w:color w:val="000000"/>
          <w:sz w:val="32"/>
          <w:szCs w:val="32"/>
          <w:lang w:val="en-US" w:eastAsia="zh-CN"/>
        </w:rPr>
        <w:t>0</w:t>
      </w:r>
      <w:r>
        <w:rPr>
          <w:rFonts w:hint="eastAsia" w:ascii="Times New Roman" w:hAnsi="Times New Roman" w:eastAsia="仿宋_GB2312" w:cs="Times New Roman"/>
          <w:b w:val="0"/>
          <w:bCs w:val="0"/>
          <w:color w:val="000000"/>
          <w:sz w:val="32"/>
          <w:szCs w:val="32"/>
        </w:rPr>
        <w:t>万元、政府采购服务支出</w:t>
      </w:r>
      <w:r>
        <w:rPr>
          <w:rFonts w:hint="eastAsia" w:ascii="Times New Roman" w:hAnsi="Times New Roman" w:eastAsia="仿宋_GB2312" w:cs="Times New Roman"/>
          <w:b w:val="0"/>
          <w:bCs w:val="0"/>
          <w:color w:val="000000"/>
          <w:sz w:val="32"/>
          <w:szCs w:val="32"/>
          <w:lang w:val="en-US" w:eastAsia="zh-CN"/>
        </w:rPr>
        <w:t>0</w:t>
      </w:r>
      <w:r>
        <w:rPr>
          <w:rFonts w:hint="eastAsia" w:ascii="Times New Roman" w:hAnsi="Times New Roman" w:eastAsia="仿宋_GB2312" w:cs="Times New Roman"/>
          <w:b w:val="0"/>
          <w:bCs w:val="0"/>
          <w:color w:val="000000"/>
          <w:sz w:val="32"/>
          <w:szCs w:val="32"/>
        </w:rPr>
        <w:t>万元。授予中小企业合同金额</w:t>
      </w:r>
      <w:r>
        <w:rPr>
          <w:rFonts w:hint="eastAsia" w:ascii="Times New Roman" w:hAnsi="Times New Roman" w:eastAsia="仿宋_GB2312" w:cs="Times New Roman"/>
          <w:b w:val="0"/>
          <w:bCs w:val="0"/>
          <w:color w:val="000000"/>
          <w:sz w:val="32"/>
          <w:szCs w:val="32"/>
          <w:lang w:val="en-US" w:eastAsia="zh-CN"/>
        </w:rPr>
        <w:t>0</w:t>
      </w:r>
      <w:r>
        <w:rPr>
          <w:rFonts w:hint="eastAsia" w:ascii="Times New Roman" w:hAnsi="Times New Roman" w:eastAsia="仿宋_GB2312" w:cs="Times New Roman"/>
          <w:b w:val="0"/>
          <w:bCs w:val="0"/>
          <w:color w:val="000000"/>
          <w:sz w:val="32"/>
          <w:szCs w:val="32"/>
        </w:rPr>
        <w:t>万元，其中：授予小微企业合同金额</w:t>
      </w:r>
      <w:r>
        <w:rPr>
          <w:rFonts w:hint="eastAsia" w:ascii="Times New Roman" w:hAnsi="Times New Roman" w:eastAsia="仿宋_GB2312" w:cs="Times New Roman"/>
          <w:b w:val="0"/>
          <w:bCs w:val="0"/>
          <w:color w:val="000000"/>
          <w:sz w:val="32"/>
          <w:szCs w:val="32"/>
          <w:lang w:val="en-US" w:eastAsia="zh-CN"/>
        </w:rPr>
        <w:t>0</w:t>
      </w:r>
      <w:r>
        <w:rPr>
          <w:rFonts w:hint="eastAsia" w:ascii="Times New Roman" w:hAnsi="Times New Roman" w:eastAsia="仿宋_GB2312"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70" w:name="_Toc15377224"/>
      <w:r>
        <w:rPr>
          <w:rFonts w:hint="eastAsia" w:ascii="Times New Roman" w:hAnsi="Times New Roman" w:eastAsia="仿宋_GB2312" w:cs="Times New Roman"/>
          <w:b w:val="0"/>
          <w:bCs w:val="0"/>
          <w:color w:val="000000"/>
          <w:sz w:val="32"/>
          <w:szCs w:val="32"/>
        </w:rPr>
        <w:t>（三）国有资产占有使用情况</w:t>
      </w:r>
      <w:bookmarkEnd w:id="70"/>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截至2021年12月31日，经开区管委会共有车辆0辆，其中：主要领导干部用车0辆、机要通信用车0辆、应急保障用车0辆、其他用车0辆。单价50万元以上通用设备0台（套），单价100万元以上专用设备0台（套）。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lang w:eastAsia="zh-CN"/>
        </w:rPr>
      </w:pPr>
      <w:bookmarkStart w:id="71" w:name="_Toc15377225"/>
      <w:bookmarkStart w:id="72" w:name="_Toc15396613"/>
    </w:p>
    <w:p>
      <w:pPr>
        <w:pStyle w:val="2"/>
        <w:rPr>
          <w:rFonts w:hint="eastAsia" w:ascii="Times New Roman" w:hAnsi="Times New Roman" w:eastAsia="仿宋_GB2312" w:cs="Times New Roman"/>
          <w:b w:val="0"/>
          <w:bCs w:val="0"/>
          <w:color w:val="000000"/>
          <w:sz w:val="32"/>
          <w:szCs w:val="32"/>
          <w:lang w:eastAsia="zh-CN"/>
        </w:rPr>
      </w:pPr>
    </w:p>
    <w:p>
      <w:pPr>
        <w:rPr>
          <w:rFonts w:hint="eastAsia" w:ascii="Times New Roman" w:hAnsi="Times New Roman" w:eastAsia="仿宋_GB2312" w:cs="Times New Roman"/>
          <w:b w:val="0"/>
          <w:bCs w:val="0"/>
          <w:color w:val="000000"/>
          <w:sz w:val="32"/>
          <w:szCs w:val="32"/>
          <w:lang w:eastAsia="zh-CN"/>
        </w:rPr>
      </w:pPr>
    </w:p>
    <w:p>
      <w:pPr>
        <w:pStyle w:val="2"/>
        <w:rPr>
          <w:rFonts w:hint="eastAsia" w:ascii="Times New Roman" w:hAnsi="Times New Roman" w:eastAsia="仿宋_GB2312" w:cs="Times New Roman"/>
          <w:b w:val="0"/>
          <w:bCs w:val="0"/>
          <w:color w:val="000000"/>
          <w:sz w:val="32"/>
          <w:szCs w:val="32"/>
          <w:lang w:eastAsia="zh-CN"/>
        </w:rPr>
      </w:pPr>
    </w:p>
    <w:p>
      <w:pPr>
        <w:rPr>
          <w:rFonts w:hint="eastAsia" w:ascii="Times New Roman" w:hAnsi="Times New Roman" w:eastAsia="仿宋_GB2312" w:cs="Times New Roman"/>
          <w:b w:val="0"/>
          <w:bCs w:val="0"/>
          <w:color w:val="000000"/>
          <w:sz w:val="32"/>
          <w:szCs w:val="32"/>
          <w:lang w:eastAsia="zh-CN"/>
        </w:rPr>
      </w:pPr>
    </w:p>
    <w:p>
      <w:pPr>
        <w:pStyle w:val="2"/>
        <w:rPr>
          <w:rFonts w:hint="eastAsia" w:ascii="Times New Roman" w:hAnsi="Times New Roman" w:eastAsia="仿宋_GB2312" w:cs="Times New Roman"/>
          <w:b w:val="0"/>
          <w:bCs w:val="0"/>
          <w:color w:val="000000"/>
          <w:sz w:val="32"/>
          <w:szCs w:val="32"/>
          <w:lang w:eastAsia="zh-CN"/>
        </w:rPr>
      </w:pPr>
    </w:p>
    <w:p>
      <w:pPr>
        <w:rPr>
          <w:rFonts w:hint="eastAsia" w:ascii="Times New Roman" w:hAnsi="Times New Roman" w:eastAsia="仿宋_GB2312" w:cs="Times New Roman"/>
          <w:b w:val="0"/>
          <w:bCs w:val="0"/>
          <w:color w:val="000000"/>
          <w:sz w:val="32"/>
          <w:szCs w:val="32"/>
          <w:lang w:eastAsia="zh-CN"/>
        </w:rPr>
      </w:pPr>
    </w:p>
    <w:p>
      <w:pPr>
        <w:pStyle w:val="2"/>
        <w:rPr>
          <w:rFonts w:hint="eastAsia"/>
          <w:lang w:eastAsia="zh-CN"/>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 w:val="0"/>
        </w:rPr>
      </w:pPr>
      <w:bookmarkStart w:id="73" w:name="_Toc28117"/>
      <w:r>
        <w:rPr>
          <w:rFonts w:hint="eastAsia" w:ascii="方正小标宋简体" w:hAnsi="方正小标宋简体" w:eastAsia="方正小标宋简体" w:cs="方正小标宋简体"/>
          <w:b w:val="0"/>
          <w:lang w:eastAsia="zh-CN"/>
        </w:rPr>
        <w:t>第三部分</w:t>
      </w:r>
      <w:r>
        <w:rPr>
          <w:rFonts w:hint="eastAsia" w:ascii="方正小标宋简体" w:hAnsi="方正小标宋简体" w:eastAsia="方正小标宋简体" w:cs="方正小标宋简体"/>
          <w:b w:val="0"/>
          <w:lang w:val="en-US" w:eastAsia="zh-CN"/>
        </w:rPr>
        <w:t xml:space="preserve">  </w:t>
      </w:r>
      <w:r>
        <w:rPr>
          <w:rFonts w:hint="eastAsia" w:ascii="方正小标宋简体" w:hAnsi="方正小标宋简体" w:eastAsia="方正小标宋简体" w:cs="方正小标宋简体"/>
          <w:b w:val="0"/>
        </w:rPr>
        <w:t>名词解释</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2.事业收入：指事业单位开展专业业务活动及辅助活动取得的收入。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3.经营收入：指事业单位在专业业务活动及其辅助活动之外开展非独立核算经营活动取得的收入。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 xml:space="preserve">4.其他收入：指单位取得的除上述收入以外的各项收入。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 xml:space="preserve">5.使用非财政拨款结余：指事业单位使用以前年度积累的非财政拨款结余弥补当年收支差额的金额。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7.结余分配：指事业单位按照会计制度规定缴纳的所得税、提取的专用结余以及转入非财政拨款结余的金额等。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9.一般公共服务（类）政府办公厅（室）及相关机构事务（款）行政运行（项）：指其他政府办公厅（室）及相关机构事务一般公共服务支出。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10. 资源勘探信息（类）制造业（款）其他制造业支出（项）：指资源勘探、制造业、建筑业、工业信息等以外的其他用于制造业方面的支出。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11. 社会保障和就业（类）行政事业单位养老保险支出（款）行政事业单位基本养老保险缴费支出（项）：指机关事业单位实施养老保险制度由单位缴纳的基本养老保险费支出。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12. 卫生健康（类）行政事业单位医疗（款）行政单位医疗（项）：指财政部门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13. 农林水（类）扶贫（款）其他扶贫支出（项）：指用于农村贫困地区发展种植业、养殖业、畜牧业、农副产品加工、林果地建设等生产发展项目以及相关技术推广等以外其他用于扶贫方面的支出。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14.住房保障（类）住房改革支出（款）住房公积金（项）：指反映行政事业单位按人力资源和社会保障部、财政部规定的基本工资和津贴补贴以及规定比例为职工缴纳的住房公积金。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15.基本支出：指为保障机构正常运转、完成日常工作任务而发生的人员支出和公用支出。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 xml:space="preserve">16.项目支出：指在基本支出之外为完成特定行政任务和事业发展目标所发生的支出。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17.经营支出：指事业单位在专业业务活动及其辅助活动之外开展非独立核算经营活动发生的支出。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18.“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bookmarkStart w:id="74" w:name="_Toc15396614"/>
      <w:bookmarkStart w:id="75" w:name="_Toc15377226"/>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p>
      <w:pPr>
        <w:pStyle w:val="7"/>
        <w:spacing w:before="93"/>
      </w:pPr>
    </w:p>
    <w:p>
      <w:pPr>
        <w:pStyle w:val="7"/>
        <w:spacing w:before="93"/>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 w:val="0"/>
          <w:lang w:eastAsia="zh-CN"/>
        </w:rPr>
      </w:pPr>
      <w:bookmarkStart w:id="76" w:name="_Toc17041"/>
      <w:r>
        <w:rPr>
          <w:rFonts w:hint="eastAsia" w:ascii="方正小标宋简体" w:hAnsi="方正小标宋简体" w:eastAsia="方正小标宋简体" w:cs="方正小标宋简体"/>
          <w:b w:val="0"/>
          <w:lang w:eastAsia="zh-CN"/>
        </w:rPr>
        <w:t>第四部分 附件</w:t>
      </w:r>
      <w:bookmarkEnd w:id="74"/>
      <w:bookmarkEnd w:id="76"/>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CellMar>
            <w:top w:w="0" w:type="dxa"/>
            <w:left w:w="0" w:type="dxa"/>
            <w:bottom w:w="0" w:type="dxa"/>
            <w:right w:w="0" w:type="dxa"/>
          </w:tblCellMar>
        </w:tblPrEx>
        <w:trPr>
          <w:trHeight w:val="489" w:hRule="atLeast"/>
        </w:trPr>
        <w:tc>
          <w:tcPr>
            <w:tcW w:w="9960" w:type="dxa"/>
            <w:gridSpan w:val="6"/>
            <w:tcMar>
              <w:top w:w="15" w:type="dxa"/>
              <w:left w:w="15" w:type="dxa"/>
              <w:bottom w:w="0" w:type="dxa"/>
              <w:right w:w="15" w:type="dxa"/>
            </w:tcMar>
            <w:vAlign w:val="center"/>
          </w:tcPr>
          <w:p>
            <w:pPr>
              <w:pStyle w:val="25"/>
              <w:widowControl/>
              <w:ind w:left="3564" w:leftChars="1697" w:firstLine="480"/>
              <w:textAlignment w:val="center"/>
              <w:rPr>
                <w:rFonts w:cs="宋体" w:asciiTheme="minorEastAsia" w:hAnsiTheme="minorEastAsia" w:eastAsiaTheme="minorEastAsia"/>
                <w:b/>
                <w:bCs/>
                <w:sz w:val="24"/>
              </w:rPr>
            </w:pPr>
            <w:r>
              <w:rPr>
                <w:rFonts w:hint="eastAsia" w:cs="宋体" w:asciiTheme="minorEastAsia" w:hAnsiTheme="minorEastAsia" w:eastAsiaTheme="minorEastAsia"/>
                <w:b/>
                <w:bCs/>
                <w:kern w:val="0"/>
                <w:sz w:val="24"/>
              </w:rPr>
              <w:t xml:space="preserve"> (2021年度)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中国西部家居产业城建设项目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广元市昭化区工业发展集中区管理委员会</w:t>
            </w:r>
          </w:p>
        </w:tc>
      </w:tr>
      <w:tr>
        <w:tblPrEx>
          <w:tblCellMar>
            <w:top w:w="0" w:type="dxa"/>
            <w:left w:w="0" w:type="dxa"/>
            <w:bottom w:w="0" w:type="dxa"/>
            <w:right w:w="0" w:type="dxa"/>
          </w:tblCellMar>
        </w:tblPrEx>
        <w:trPr>
          <w:trHeight w:val="348"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843" w:firstLineChars="400"/>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179</w:t>
            </w:r>
          </w:p>
        </w:tc>
      </w:tr>
      <w:tr>
        <w:tblPrEx>
          <w:tblCellMar>
            <w:top w:w="0" w:type="dxa"/>
            <w:left w:w="0" w:type="dxa"/>
            <w:bottom w:w="0" w:type="dxa"/>
            <w:right w:w="0" w:type="dxa"/>
          </w:tblCellMar>
        </w:tblPrEx>
        <w:trPr>
          <w:trHeight w:val="39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 xml:space="preserve">        179</w:t>
            </w:r>
          </w:p>
        </w:tc>
      </w:tr>
      <w:tr>
        <w:tblPrEx>
          <w:tblCellMar>
            <w:top w:w="0" w:type="dxa"/>
            <w:left w:w="0" w:type="dxa"/>
            <w:bottom w:w="0" w:type="dxa"/>
            <w:right w:w="0" w:type="dxa"/>
          </w:tblCellMar>
        </w:tblPrEx>
        <w:trPr>
          <w:trHeight w:val="37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lang w:val="en-US" w:eastAsia="zh-CN"/>
              </w:rPr>
              <w:t>其他</w:t>
            </w:r>
            <w:r>
              <w:rPr>
                <w:rFonts w:hint="eastAsia" w:cs="宋体" w:asciiTheme="minorEastAsia" w:hAnsiTheme="minorEastAsia" w:eastAsiaTheme="minorEastAsia"/>
                <w:b/>
                <w:bCs/>
                <w:kern w:val="0"/>
                <w:szCs w:val="21"/>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lang w:val="en-US" w:eastAsia="zh-CN"/>
              </w:rPr>
              <w:t>其他</w:t>
            </w:r>
            <w:r>
              <w:rPr>
                <w:rFonts w:hint="eastAsia" w:cs="宋体" w:asciiTheme="minorEastAsia" w:hAnsiTheme="minorEastAsia" w:eastAsiaTheme="minorEastAsia"/>
                <w:b/>
                <w:bCs/>
                <w:kern w:val="0"/>
                <w:szCs w:val="21"/>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cs="宋体" w:asciiTheme="minorEastAsia" w:hAnsiTheme="minorEastAsia" w:eastAsiaTheme="minorEastAsia"/>
                <w:b/>
                <w:bCs/>
                <w:szCs w:val="21"/>
              </w:rPr>
            </w:pPr>
          </w:p>
        </w:tc>
      </w:tr>
      <w:tr>
        <w:tblPrEx>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实际完成目标</w:t>
            </w:r>
          </w:p>
        </w:tc>
      </w:tr>
      <w:tr>
        <w:tblPrEx>
          <w:tblCellMar>
            <w:top w:w="0" w:type="dxa"/>
            <w:left w:w="0" w:type="dxa"/>
            <w:bottom w:w="0" w:type="dxa"/>
            <w:right w:w="0" w:type="dxa"/>
          </w:tblCellMar>
        </w:tblPrEx>
        <w:trPr>
          <w:trHeight w:val="132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按市、区政府要求，打造产城一体、产村一体产业新城，承接成都家居产业转移，年可实现产值300亿元以上，吸引带动5万人经商、务工就业。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正在推进，目前已完成相关规划，完成4800余亩征拆补偿。货运大道、新胜组团道路、标准化厂房项目正在实施。</w:t>
            </w:r>
          </w:p>
        </w:tc>
      </w:tr>
      <w:tr>
        <w:tblPrEx>
          <w:tblCellMar>
            <w:top w:w="0" w:type="dxa"/>
            <w:left w:w="0" w:type="dxa"/>
            <w:bottom w:w="0" w:type="dxa"/>
            <w:right w:w="0" w:type="dxa"/>
          </w:tblCellMar>
        </w:tblPrEx>
        <w:trPr>
          <w:trHeight w:val="619"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实际完成指标值(包含数字及文字描述)</w:t>
            </w:r>
          </w:p>
        </w:tc>
      </w:tr>
      <w:tr>
        <w:tblPrEx>
          <w:tblCellMar>
            <w:top w:w="0" w:type="dxa"/>
            <w:left w:w="0" w:type="dxa"/>
            <w:bottom w:w="0" w:type="dxa"/>
            <w:right w:w="0" w:type="dxa"/>
          </w:tblCellMar>
        </w:tblPrEx>
        <w:trPr>
          <w:trHeight w:val="69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征地及场平工程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全面完成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完成80%</w:t>
            </w:r>
          </w:p>
        </w:tc>
      </w:tr>
      <w:tr>
        <w:tblPrEx>
          <w:tblCellMar>
            <w:top w:w="0" w:type="dxa"/>
            <w:left w:w="0" w:type="dxa"/>
            <w:bottom w:w="0" w:type="dxa"/>
            <w:right w:w="0" w:type="dxa"/>
          </w:tblCellMar>
        </w:tblPrEx>
        <w:trPr>
          <w:trHeight w:val="53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征地及场平工程、采购项目合格率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100%</w:t>
            </w:r>
          </w:p>
        </w:tc>
      </w:tr>
      <w:tr>
        <w:tblPrEx>
          <w:tblCellMar>
            <w:top w:w="0" w:type="dxa"/>
            <w:left w:w="0" w:type="dxa"/>
            <w:bottom w:w="0" w:type="dxa"/>
            <w:right w:w="0" w:type="dxa"/>
          </w:tblCellMar>
        </w:tblPrEx>
        <w:trPr>
          <w:trHeight w:val="67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2021年12月31日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保证预期时间完成</w:t>
            </w:r>
          </w:p>
        </w:tc>
      </w:tr>
      <w:tr>
        <w:tblPrEx>
          <w:tblCellMar>
            <w:top w:w="0" w:type="dxa"/>
            <w:left w:w="0" w:type="dxa"/>
            <w:bottom w:w="0" w:type="dxa"/>
            <w:right w:w="0" w:type="dxa"/>
          </w:tblCellMar>
        </w:tblPrEx>
        <w:trPr>
          <w:trHeight w:val="57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基础</w:t>
            </w:r>
            <w:r>
              <w:rPr>
                <w:rFonts w:hint="eastAsia" w:cs="宋体" w:asciiTheme="minorEastAsia" w:hAnsiTheme="minorEastAsia" w:eastAsiaTheme="minorEastAsia"/>
                <w:b/>
                <w:bCs/>
                <w:szCs w:val="21"/>
                <w:lang w:val="en-US" w:eastAsia="zh-CN"/>
              </w:rPr>
              <w:t>设施</w:t>
            </w:r>
            <w:r>
              <w:rPr>
                <w:rFonts w:hint="eastAsia" w:cs="宋体" w:asciiTheme="minorEastAsia" w:hAnsiTheme="minorEastAsia" w:eastAsiaTheme="minorEastAsia"/>
                <w:b/>
                <w:bCs/>
                <w:szCs w:val="21"/>
              </w:rPr>
              <w:t>建设、设备采购是否进行招标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是</w:t>
            </w:r>
          </w:p>
        </w:tc>
      </w:tr>
      <w:tr>
        <w:tblPrEx>
          <w:tblCellMar>
            <w:top w:w="0" w:type="dxa"/>
            <w:left w:w="0" w:type="dxa"/>
            <w:bottom w:w="0" w:type="dxa"/>
            <w:right w:w="0" w:type="dxa"/>
          </w:tblCellMar>
        </w:tblPrEx>
        <w:trPr>
          <w:trHeight w:val="68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年产值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500亿元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工程未竣工，还未实现产值。</w:t>
            </w:r>
          </w:p>
        </w:tc>
      </w:tr>
      <w:tr>
        <w:tblPrEx>
          <w:tblCellMar>
            <w:top w:w="0" w:type="dxa"/>
            <w:left w:w="0" w:type="dxa"/>
            <w:bottom w:w="0" w:type="dxa"/>
            <w:right w:w="0" w:type="dxa"/>
          </w:tblCellMar>
        </w:tblPrEx>
        <w:trPr>
          <w:trHeight w:val="125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带动就业人数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带动当地就业务工人数500人，增加务工收入人均8000元。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带动当地就业务工人数500人，增加务工收入人均8000元。</w:t>
            </w:r>
          </w:p>
        </w:tc>
      </w:tr>
      <w:tr>
        <w:tblPrEx>
          <w:tblCellMar>
            <w:top w:w="0" w:type="dxa"/>
            <w:left w:w="0" w:type="dxa"/>
            <w:bottom w:w="0" w:type="dxa"/>
            <w:right w:w="0" w:type="dxa"/>
          </w:tblCellMar>
        </w:tblPrEx>
        <w:trPr>
          <w:trHeight w:val="50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Cs w:val="21"/>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环境效益指标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噪音污染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昼间≤65分贝、夜间≤55分贝</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昼间≤65分贝、夜间≤55分贝</w:t>
            </w:r>
          </w:p>
        </w:tc>
      </w:tr>
      <w:tr>
        <w:tblPrEx>
          <w:tblCellMar>
            <w:top w:w="0" w:type="dxa"/>
            <w:left w:w="0" w:type="dxa"/>
            <w:bottom w:w="0" w:type="dxa"/>
            <w:right w:w="0" w:type="dxa"/>
          </w:tblCellMar>
        </w:tblPrEx>
        <w:trPr>
          <w:trHeight w:val="67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入驻企业、员工对园区发展的满意度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cs="宋体" w:asciiTheme="minorEastAsia" w:hAnsiTheme="minorEastAsia" w:eastAsiaTheme="minorEastAsia"/>
                <w:b/>
                <w:bCs/>
                <w:szCs w:val="21"/>
              </w:rPr>
              <w:t>≥</w:t>
            </w:r>
            <w:r>
              <w:rPr>
                <w:rFonts w:hint="eastAsia" w:cs="宋体" w:asciiTheme="minorEastAsia" w:hAnsiTheme="minorEastAsia" w:eastAsiaTheme="minorEastAsia"/>
                <w:b/>
                <w:bCs/>
                <w:szCs w:val="21"/>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未收到相关投诉</w:t>
            </w:r>
          </w:p>
        </w:tc>
      </w:tr>
    </w:tbl>
    <w:tbl>
      <w:tblPr>
        <w:tblStyle w:val="14"/>
        <w:tblW w:w="9653" w:type="dxa"/>
        <w:tblInd w:w="94" w:type="dxa"/>
        <w:tblLayout w:type="autofit"/>
        <w:tblCellMar>
          <w:top w:w="0" w:type="dxa"/>
          <w:left w:w="108" w:type="dxa"/>
          <w:bottom w:w="0" w:type="dxa"/>
          <w:right w:w="108" w:type="dxa"/>
        </w:tblCellMar>
      </w:tblPr>
      <w:tblGrid>
        <w:gridCol w:w="863"/>
        <w:gridCol w:w="142"/>
        <w:gridCol w:w="706"/>
        <w:gridCol w:w="27"/>
        <w:gridCol w:w="1535"/>
        <w:gridCol w:w="141"/>
        <w:gridCol w:w="1418"/>
        <w:gridCol w:w="905"/>
        <w:gridCol w:w="1560"/>
        <w:gridCol w:w="85"/>
        <w:gridCol w:w="918"/>
        <w:gridCol w:w="1353"/>
      </w:tblGrid>
      <w:tr>
        <w:tblPrEx>
          <w:tblCellMar>
            <w:top w:w="0" w:type="dxa"/>
            <w:left w:w="108" w:type="dxa"/>
            <w:bottom w:w="0" w:type="dxa"/>
            <w:right w:w="108" w:type="dxa"/>
          </w:tblCellMar>
        </w:tblPrEx>
        <w:trPr>
          <w:trHeight w:val="420" w:hRule="atLeast"/>
        </w:trPr>
        <w:tc>
          <w:tcPr>
            <w:tcW w:w="1711" w:type="dxa"/>
            <w:gridSpan w:val="3"/>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ind w:firstLine="331" w:firstLineChars="150"/>
              <w:rPr>
                <w:rFonts w:ascii="宋体" w:hAnsi="宋体" w:cs="宋体"/>
                <w:b/>
                <w:bCs/>
                <w:kern w:val="0"/>
                <w:sz w:val="22"/>
                <w:szCs w:val="22"/>
              </w:rPr>
            </w:pPr>
            <w:bookmarkStart w:id="77" w:name="_Toc15396618"/>
            <w:r>
              <w:rPr>
                <w:rFonts w:hint="eastAsia" w:ascii="宋体" w:hAnsi="宋体" w:cs="宋体"/>
                <w:b/>
                <w:bCs/>
                <w:kern w:val="0"/>
                <w:sz w:val="22"/>
                <w:szCs w:val="22"/>
              </w:rPr>
              <w:t>项目名称</w:t>
            </w:r>
          </w:p>
        </w:tc>
        <w:tc>
          <w:tcPr>
            <w:tcW w:w="7942" w:type="dxa"/>
            <w:gridSpan w:val="9"/>
            <w:tcBorders>
              <w:top w:val="single" w:color="auto" w:sz="4" w:space="0"/>
              <w:left w:val="single" w:color="000000" w:themeColor="text1"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重点项目工作经费</w:t>
            </w:r>
          </w:p>
        </w:tc>
      </w:tr>
      <w:tr>
        <w:tblPrEx>
          <w:tblCellMar>
            <w:top w:w="0" w:type="dxa"/>
            <w:left w:w="108" w:type="dxa"/>
            <w:bottom w:w="0" w:type="dxa"/>
            <w:right w:w="108" w:type="dxa"/>
          </w:tblCellMar>
        </w:tblPrEx>
        <w:trPr>
          <w:trHeight w:val="407" w:hRule="atLeast"/>
        </w:trPr>
        <w:tc>
          <w:tcPr>
            <w:tcW w:w="1711" w:type="dxa"/>
            <w:gridSpan w:val="3"/>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预算单位</w:t>
            </w:r>
          </w:p>
        </w:tc>
        <w:tc>
          <w:tcPr>
            <w:tcW w:w="7942" w:type="dxa"/>
            <w:gridSpan w:val="9"/>
            <w:tcBorders>
              <w:top w:val="single" w:color="auto" w:sz="4" w:space="0"/>
              <w:left w:val="single" w:color="000000" w:themeColor="text1"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昭化经济开发区管理委员会　</w:t>
            </w:r>
          </w:p>
        </w:tc>
      </w:tr>
      <w:tr>
        <w:tblPrEx>
          <w:tblCellMar>
            <w:top w:w="0" w:type="dxa"/>
            <w:left w:w="108" w:type="dxa"/>
            <w:bottom w:w="0" w:type="dxa"/>
            <w:right w:w="108" w:type="dxa"/>
          </w:tblCellMar>
        </w:tblPrEx>
        <w:trPr>
          <w:trHeight w:val="408" w:hRule="atLeast"/>
        </w:trPr>
        <w:tc>
          <w:tcPr>
            <w:tcW w:w="171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项目资金（万元）</w:t>
            </w:r>
          </w:p>
        </w:tc>
        <w:tc>
          <w:tcPr>
            <w:tcW w:w="170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预算数　</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11.2</w:t>
            </w:r>
          </w:p>
        </w:tc>
        <w:tc>
          <w:tcPr>
            <w:tcW w:w="2563"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执行数</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11.2</w:t>
            </w:r>
          </w:p>
        </w:tc>
      </w:tr>
      <w:tr>
        <w:tblPrEx>
          <w:tblCellMar>
            <w:top w:w="0" w:type="dxa"/>
            <w:left w:w="108" w:type="dxa"/>
            <w:bottom w:w="0" w:type="dxa"/>
            <w:right w:w="108" w:type="dxa"/>
          </w:tblCellMar>
        </w:tblPrEx>
        <w:trPr>
          <w:trHeight w:val="420" w:hRule="atLeast"/>
        </w:trPr>
        <w:tc>
          <w:tcPr>
            <w:tcW w:w="1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703"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其中-财政拨款</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w:t>
            </w:r>
          </w:p>
        </w:tc>
        <w:tc>
          <w:tcPr>
            <w:tcW w:w="2563"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其中-财政拨款</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11.2</w:t>
            </w:r>
          </w:p>
        </w:tc>
      </w:tr>
      <w:tr>
        <w:tblPrEx>
          <w:tblCellMar>
            <w:top w:w="0" w:type="dxa"/>
            <w:left w:w="108" w:type="dxa"/>
            <w:bottom w:w="0" w:type="dxa"/>
            <w:right w:w="108" w:type="dxa"/>
          </w:tblCellMar>
        </w:tblPrEx>
        <w:trPr>
          <w:trHeight w:val="420" w:hRule="atLeast"/>
        </w:trPr>
        <w:tc>
          <w:tcPr>
            <w:tcW w:w="1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703"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其他资金</w:t>
            </w:r>
          </w:p>
        </w:tc>
        <w:tc>
          <w:tcPr>
            <w:tcW w:w="23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0</w:t>
            </w:r>
          </w:p>
        </w:tc>
        <w:tc>
          <w:tcPr>
            <w:tcW w:w="2563"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其他资金</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0</w:t>
            </w:r>
          </w:p>
        </w:tc>
      </w:tr>
      <w:tr>
        <w:tblPrEx>
          <w:tblCellMar>
            <w:top w:w="0" w:type="dxa"/>
            <w:left w:w="108" w:type="dxa"/>
            <w:bottom w:w="0" w:type="dxa"/>
            <w:right w:w="108" w:type="dxa"/>
          </w:tblCellMar>
        </w:tblPrEx>
        <w:trPr>
          <w:trHeight w:val="413" w:hRule="atLeast"/>
        </w:trPr>
        <w:tc>
          <w:tcPr>
            <w:tcW w:w="1005" w:type="dxa"/>
            <w:gridSpan w:val="2"/>
            <w:vMerge w:val="restart"/>
            <w:tcBorders>
              <w:top w:val="nil"/>
              <w:left w:val="single" w:color="000000" w:sz="4" w:space="0"/>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年度目标完成情况</w:t>
            </w:r>
          </w:p>
        </w:tc>
        <w:tc>
          <w:tcPr>
            <w:tcW w:w="4732" w:type="dxa"/>
            <w:gridSpan w:val="6"/>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预期目标</w:t>
            </w:r>
          </w:p>
        </w:tc>
        <w:tc>
          <w:tcPr>
            <w:tcW w:w="3916" w:type="dxa"/>
            <w:gridSpan w:val="4"/>
            <w:tcBorders>
              <w:top w:val="single" w:color="auto" w:sz="4" w:space="0"/>
              <w:left w:val="single" w:color="000000" w:themeColor="text1"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实际完成目标</w:t>
            </w:r>
          </w:p>
        </w:tc>
      </w:tr>
      <w:tr>
        <w:tblPrEx>
          <w:tblCellMar>
            <w:top w:w="0" w:type="dxa"/>
            <w:left w:w="108" w:type="dxa"/>
            <w:bottom w:w="0" w:type="dxa"/>
            <w:right w:w="108" w:type="dxa"/>
          </w:tblCellMar>
        </w:tblPrEx>
        <w:trPr>
          <w:trHeight w:val="1554" w:hRule="atLeast"/>
        </w:trPr>
        <w:tc>
          <w:tcPr>
            <w:tcW w:w="1005" w:type="dxa"/>
            <w:gridSpan w:val="2"/>
            <w:vMerge w:val="continue"/>
            <w:tcBorders>
              <w:top w:val="nil"/>
              <w:left w:val="single" w:color="000000" w:sz="4" w:space="0"/>
              <w:bottom w:val="single" w:color="000000" w:sz="4" w:space="0"/>
              <w:right w:val="nil"/>
            </w:tcBorders>
            <w:vAlign w:val="center"/>
          </w:tcPr>
          <w:p>
            <w:pPr>
              <w:widowControl/>
              <w:jc w:val="left"/>
              <w:rPr>
                <w:rFonts w:ascii="宋体" w:hAnsi="宋体" w:cs="宋体"/>
                <w:b/>
                <w:bCs/>
                <w:kern w:val="0"/>
                <w:sz w:val="22"/>
                <w:szCs w:val="22"/>
              </w:rPr>
            </w:pPr>
          </w:p>
        </w:tc>
        <w:tc>
          <w:tcPr>
            <w:tcW w:w="4732" w:type="dxa"/>
            <w:gridSpan w:val="6"/>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保障4个重点项目的（白果风电、元柳工业园基础设施、中粮油脂、中小微企业创新创业孵化园）建设推进。</w:t>
            </w:r>
          </w:p>
        </w:tc>
        <w:tc>
          <w:tcPr>
            <w:tcW w:w="3916" w:type="dxa"/>
            <w:gridSpan w:val="4"/>
            <w:tcBorders>
              <w:top w:val="single" w:color="auto" w:sz="4" w:space="0"/>
              <w:left w:val="single" w:color="000000" w:themeColor="text1"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保障4个重点项目的（白果风电、元柳工业园基础设施、中粮油脂、中小微企业创新创业孵化园）建设推进。</w:t>
            </w:r>
          </w:p>
        </w:tc>
      </w:tr>
      <w:tr>
        <w:tblPrEx>
          <w:tblCellMar>
            <w:top w:w="0" w:type="dxa"/>
            <w:left w:w="108" w:type="dxa"/>
            <w:bottom w:w="0" w:type="dxa"/>
            <w:right w:w="108" w:type="dxa"/>
          </w:tblCellMar>
        </w:tblPrEx>
        <w:trPr>
          <w:trHeight w:val="706" w:hRule="atLeast"/>
        </w:trPr>
        <w:tc>
          <w:tcPr>
            <w:tcW w:w="100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cs="宋体" w:asciiTheme="minorEastAsia" w:hAnsiTheme="minorEastAsia" w:eastAsiaTheme="minorEastAsia"/>
                <w:b/>
                <w:bCs/>
                <w:szCs w:val="21"/>
              </w:rPr>
              <w:t>绩效指标完成情况</w:t>
            </w:r>
          </w:p>
        </w:tc>
        <w:tc>
          <w:tcPr>
            <w:tcW w:w="733"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一级指标</w:t>
            </w:r>
          </w:p>
        </w:tc>
        <w:tc>
          <w:tcPr>
            <w:tcW w:w="1676"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二级指标</w:t>
            </w:r>
          </w:p>
        </w:tc>
        <w:tc>
          <w:tcPr>
            <w:tcW w:w="2323" w:type="dxa"/>
            <w:gridSpan w:val="2"/>
            <w:tcBorders>
              <w:top w:val="nil"/>
              <w:left w:val="single" w:color="000000" w:sz="4" w:space="0"/>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三级指标</w:t>
            </w:r>
          </w:p>
        </w:tc>
        <w:tc>
          <w:tcPr>
            <w:tcW w:w="2563" w:type="dxa"/>
            <w:gridSpan w:val="3"/>
            <w:tcBorders>
              <w:top w:val="nil"/>
              <w:left w:val="single" w:color="000000" w:sz="4" w:space="0"/>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预期指标值(包含数字及文字描述)</w:t>
            </w:r>
          </w:p>
        </w:tc>
        <w:tc>
          <w:tcPr>
            <w:tcW w:w="13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实际完成指标值(包含数字及文字描述</w:t>
            </w:r>
          </w:p>
        </w:tc>
      </w:tr>
      <w:tr>
        <w:tblPrEx>
          <w:tblCellMar>
            <w:top w:w="0" w:type="dxa"/>
            <w:left w:w="108" w:type="dxa"/>
            <w:bottom w:w="0" w:type="dxa"/>
            <w:right w:w="108" w:type="dxa"/>
          </w:tblCellMar>
        </w:tblPrEx>
        <w:trPr>
          <w:trHeight w:val="609"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产出指标</w:t>
            </w:r>
          </w:p>
        </w:tc>
        <w:tc>
          <w:tcPr>
            <w:tcW w:w="1676" w:type="dxa"/>
            <w:gridSpan w:val="2"/>
            <w:tcBorders>
              <w:top w:val="single" w:color="000000" w:sz="4" w:space="0"/>
              <w:left w:val="nil"/>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重点项目个数</w:t>
            </w:r>
          </w:p>
        </w:tc>
        <w:tc>
          <w:tcPr>
            <w:tcW w:w="2563" w:type="dxa"/>
            <w:gridSpan w:val="3"/>
            <w:tcBorders>
              <w:top w:val="single" w:color="000000" w:sz="4" w:space="0"/>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全面保障4个重点项目建设</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szCs w:val="22"/>
              </w:rPr>
            </w:pPr>
            <w:r>
              <w:rPr>
                <w:rFonts w:ascii="Calibri" w:hAnsi="Calibri" w:cs="宋体"/>
                <w:b/>
                <w:bCs/>
                <w:kern w:val="0"/>
                <w:sz w:val="22"/>
                <w:szCs w:val="22"/>
              </w:rPr>
              <w:t>100%</w:t>
            </w:r>
          </w:p>
        </w:tc>
      </w:tr>
      <w:tr>
        <w:tblPrEx>
          <w:tblCellMar>
            <w:top w:w="0" w:type="dxa"/>
            <w:left w:w="108" w:type="dxa"/>
            <w:bottom w:w="0" w:type="dxa"/>
            <w:right w:w="108" w:type="dxa"/>
          </w:tblCellMar>
        </w:tblPrEx>
        <w:trPr>
          <w:trHeight w:val="642"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质量指标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项目前期工作及建设协调工作完成情况</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协调4个项目顺利开展前期工作。</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全面完成</w:t>
            </w:r>
          </w:p>
        </w:tc>
      </w:tr>
      <w:tr>
        <w:tblPrEx>
          <w:tblCellMar>
            <w:top w:w="0" w:type="dxa"/>
            <w:left w:w="108" w:type="dxa"/>
            <w:bottom w:w="0" w:type="dxa"/>
            <w:right w:w="108" w:type="dxa"/>
          </w:tblCellMar>
        </w:tblPrEx>
        <w:trPr>
          <w:trHeight w:val="455"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single" w:color="000000" w:sz="4" w:space="0"/>
              <w:left w:val="nil"/>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时效指标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完成时间</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2021年12月31日完成</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szCs w:val="22"/>
              </w:rPr>
            </w:pPr>
            <w:r>
              <w:rPr>
                <w:rFonts w:ascii="Calibri" w:hAnsi="Calibri" w:cs="宋体"/>
                <w:b/>
                <w:bCs/>
                <w:kern w:val="0"/>
                <w:sz w:val="22"/>
                <w:szCs w:val="22"/>
              </w:rPr>
              <w:t>100%</w:t>
            </w:r>
          </w:p>
        </w:tc>
      </w:tr>
      <w:tr>
        <w:tblPrEx>
          <w:tblCellMar>
            <w:top w:w="0" w:type="dxa"/>
            <w:left w:w="108" w:type="dxa"/>
            <w:bottom w:w="0" w:type="dxa"/>
            <w:right w:w="108" w:type="dxa"/>
          </w:tblCellMar>
        </w:tblPrEx>
        <w:trPr>
          <w:trHeight w:val="649"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成本指标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园区基础设施建设协调支出</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保障项目顺利开展</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已完成</w:t>
            </w:r>
          </w:p>
        </w:tc>
      </w:tr>
      <w:tr>
        <w:tblPrEx>
          <w:tblCellMar>
            <w:top w:w="0" w:type="dxa"/>
            <w:left w:w="108" w:type="dxa"/>
            <w:bottom w:w="0" w:type="dxa"/>
            <w:right w:w="108" w:type="dxa"/>
          </w:tblCellMar>
        </w:tblPrEx>
        <w:trPr>
          <w:trHeight w:val="845"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效益指标</w:t>
            </w:r>
          </w:p>
        </w:tc>
        <w:tc>
          <w:tcPr>
            <w:tcW w:w="1676"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经济效益指标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拉动社会经济发展，为昭化发展增添后劲。</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带动就业500余人，增加税收</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已完成</w:t>
            </w:r>
          </w:p>
        </w:tc>
      </w:tr>
      <w:tr>
        <w:tblPrEx>
          <w:tblCellMar>
            <w:top w:w="0" w:type="dxa"/>
            <w:left w:w="108" w:type="dxa"/>
            <w:bottom w:w="0" w:type="dxa"/>
            <w:right w:w="108" w:type="dxa"/>
          </w:tblCellMar>
        </w:tblPrEx>
        <w:trPr>
          <w:trHeight w:val="707"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社会效益指标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引进大项目落户昭化</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省级重点项目一个，市级重点项目一个</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已完成</w:t>
            </w:r>
          </w:p>
        </w:tc>
      </w:tr>
      <w:tr>
        <w:tblPrEx>
          <w:tblCellMar>
            <w:top w:w="0" w:type="dxa"/>
            <w:left w:w="108" w:type="dxa"/>
            <w:bottom w:w="0" w:type="dxa"/>
            <w:right w:w="108" w:type="dxa"/>
          </w:tblCellMar>
        </w:tblPrEx>
        <w:trPr>
          <w:trHeight w:val="1699"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single" w:color="000000" w:sz="4" w:space="0"/>
              <w:left w:val="nil"/>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生态效益指标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 项目建成后对环境的影响</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减少使用约6.152万吨标准煤、减少二氧化碳排放量16.08万吨、二氧化硫排放量1484.6吨、氮氧化合物排放量433吨。</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已完成</w:t>
            </w:r>
          </w:p>
        </w:tc>
      </w:tr>
      <w:tr>
        <w:tblPrEx>
          <w:tblCellMar>
            <w:top w:w="0" w:type="dxa"/>
            <w:left w:w="108" w:type="dxa"/>
            <w:bottom w:w="0" w:type="dxa"/>
            <w:right w:w="108" w:type="dxa"/>
          </w:tblCellMar>
        </w:tblPrEx>
        <w:trPr>
          <w:trHeight w:val="661"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宋体"/>
                <w:b/>
                <w:bCs/>
                <w:kern w:val="0"/>
                <w:sz w:val="22"/>
                <w:szCs w:val="22"/>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可持续影响指标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项目的可持续发展</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带动经济发展，实现产值增加</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已完成</w:t>
            </w:r>
          </w:p>
        </w:tc>
      </w:tr>
      <w:tr>
        <w:tblPrEx>
          <w:tblCellMar>
            <w:top w:w="0" w:type="dxa"/>
            <w:left w:w="108" w:type="dxa"/>
            <w:bottom w:w="0" w:type="dxa"/>
            <w:right w:w="108" w:type="dxa"/>
          </w:tblCellMar>
        </w:tblPrEx>
        <w:trPr>
          <w:trHeight w:val="1377" w:hRule="atLeast"/>
        </w:trPr>
        <w:tc>
          <w:tcPr>
            <w:tcW w:w="100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2"/>
                <w:szCs w:val="22"/>
              </w:rPr>
            </w:pPr>
          </w:p>
        </w:tc>
        <w:tc>
          <w:tcPr>
            <w:tcW w:w="73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满意度指标</w:t>
            </w:r>
          </w:p>
        </w:tc>
        <w:tc>
          <w:tcPr>
            <w:tcW w:w="1676" w:type="dxa"/>
            <w:gridSpan w:val="2"/>
            <w:tcBorders>
              <w:top w:val="nil"/>
              <w:left w:val="nil"/>
              <w:bottom w:val="single" w:color="000000"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满意度指标</w:t>
            </w:r>
          </w:p>
        </w:tc>
        <w:tc>
          <w:tcPr>
            <w:tcW w:w="2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保障企业对协调服务工作的满意度</w:t>
            </w:r>
          </w:p>
        </w:tc>
        <w:tc>
          <w:tcPr>
            <w:tcW w:w="2563" w:type="dxa"/>
            <w:gridSpan w:val="3"/>
            <w:tcBorders>
              <w:top w:val="nil"/>
              <w:left w:val="nil"/>
              <w:bottom w:val="single" w:color="000000" w:sz="4" w:space="0"/>
              <w:right w:val="nil"/>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大于等于95%</w:t>
            </w:r>
          </w:p>
        </w:tc>
        <w:tc>
          <w:tcPr>
            <w:tcW w:w="135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cs="宋体"/>
                <w:b/>
                <w:bCs/>
                <w:kern w:val="0"/>
                <w:sz w:val="22"/>
                <w:szCs w:val="22"/>
              </w:rPr>
            </w:pPr>
            <w:r>
              <w:rPr>
                <w:rFonts w:ascii="Calibri" w:hAnsi="Calibri" w:cs="宋体"/>
                <w:b/>
                <w:bCs/>
                <w:kern w:val="0"/>
                <w:sz w:val="22"/>
                <w:szCs w:val="22"/>
              </w:rPr>
              <w:t>100%</w:t>
            </w:r>
          </w:p>
        </w:tc>
      </w:tr>
      <w:tr>
        <w:tblPrEx>
          <w:tblCellMar>
            <w:top w:w="0" w:type="dxa"/>
            <w:left w:w="108" w:type="dxa"/>
            <w:bottom w:w="0" w:type="dxa"/>
            <w:right w:w="108" w:type="dxa"/>
          </w:tblCellMar>
        </w:tblPrEx>
        <w:trPr>
          <w:trHeight w:val="420" w:hRule="atLeast"/>
        </w:trPr>
        <w:tc>
          <w:tcPr>
            <w:tcW w:w="1738" w:type="dxa"/>
            <w:gridSpan w:val="4"/>
            <w:tcBorders>
              <w:top w:val="single" w:color="auto" w:sz="4" w:space="0"/>
              <w:left w:val="single" w:color="auto" w:sz="4" w:space="0"/>
              <w:bottom w:val="single" w:color="auto" w:sz="4" w:space="0"/>
              <w:right w:val="single" w:color="000000" w:themeColor="text1"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项目名称</w:t>
            </w:r>
          </w:p>
        </w:tc>
        <w:tc>
          <w:tcPr>
            <w:tcW w:w="7915" w:type="dxa"/>
            <w:gridSpan w:val="8"/>
            <w:tcBorders>
              <w:top w:val="single" w:color="auto" w:sz="4" w:space="0"/>
              <w:left w:val="single" w:color="000000" w:themeColor="text1"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招商引资工作经费</w:t>
            </w:r>
          </w:p>
        </w:tc>
      </w:tr>
      <w:tr>
        <w:tblPrEx>
          <w:tblCellMar>
            <w:top w:w="0" w:type="dxa"/>
            <w:left w:w="108" w:type="dxa"/>
            <w:bottom w:w="0" w:type="dxa"/>
            <w:right w:w="108" w:type="dxa"/>
          </w:tblCellMar>
        </w:tblPrEx>
        <w:trPr>
          <w:trHeight w:val="501" w:hRule="atLeast"/>
        </w:trPr>
        <w:tc>
          <w:tcPr>
            <w:tcW w:w="173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预算单位</w:t>
            </w:r>
          </w:p>
        </w:tc>
        <w:tc>
          <w:tcPr>
            <w:tcW w:w="7915" w:type="dxa"/>
            <w:gridSpan w:val="8"/>
            <w:tcBorders>
              <w:top w:val="single" w:color="auto" w:sz="4" w:space="0"/>
              <w:left w:val="nil"/>
              <w:bottom w:val="single" w:color="auto" w:sz="4" w:space="0"/>
              <w:right w:val="single" w:color="000000" w:themeColor="text1"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昭化经济开发区管理委员会</w:t>
            </w:r>
          </w:p>
        </w:tc>
      </w:tr>
      <w:tr>
        <w:tblPrEx>
          <w:tblCellMar>
            <w:top w:w="0" w:type="dxa"/>
            <w:left w:w="108" w:type="dxa"/>
            <w:bottom w:w="0" w:type="dxa"/>
            <w:right w:w="108" w:type="dxa"/>
          </w:tblCellMar>
        </w:tblPrEx>
        <w:trPr>
          <w:trHeight w:val="482" w:hRule="atLeast"/>
        </w:trPr>
        <w:tc>
          <w:tcPr>
            <w:tcW w:w="173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预算执行情况（万元）</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预算数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30</w:t>
            </w:r>
          </w:p>
        </w:tc>
        <w:tc>
          <w:tcPr>
            <w:tcW w:w="2465"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执行数</w:t>
            </w:r>
          </w:p>
        </w:tc>
        <w:tc>
          <w:tcPr>
            <w:tcW w:w="2356" w:type="dxa"/>
            <w:gridSpan w:val="3"/>
            <w:tcBorders>
              <w:top w:val="nil"/>
              <w:left w:val="nil"/>
              <w:bottom w:val="single" w:color="auto" w:sz="4" w:space="0"/>
              <w:right w:val="single" w:color="000000" w:themeColor="text1"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30</w:t>
            </w:r>
          </w:p>
        </w:tc>
      </w:tr>
      <w:tr>
        <w:tblPrEx>
          <w:tblCellMar>
            <w:top w:w="0" w:type="dxa"/>
            <w:left w:w="108" w:type="dxa"/>
            <w:bottom w:w="0" w:type="dxa"/>
            <w:right w:w="108" w:type="dxa"/>
          </w:tblCellMar>
        </w:tblPrEx>
        <w:trPr>
          <w:trHeight w:val="420" w:hRule="atLeast"/>
        </w:trPr>
        <w:tc>
          <w:tcPr>
            <w:tcW w:w="173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5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其中-财政拨款</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30</w:t>
            </w:r>
          </w:p>
        </w:tc>
        <w:tc>
          <w:tcPr>
            <w:tcW w:w="2465"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其中-财政拨款</w:t>
            </w:r>
          </w:p>
        </w:tc>
        <w:tc>
          <w:tcPr>
            <w:tcW w:w="235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30</w:t>
            </w:r>
          </w:p>
        </w:tc>
      </w:tr>
      <w:tr>
        <w:tblPrEx>
          <w:tblCellMar>
            <w:top w:w="0" w:type="dxa"/>
            <w:left w:w="108" w:type="dxa"/>
            <w:bottom w:w="0" w:type="dxa"/>
            <w:right w:w="108" w:type="dxa"/>
          </w:tblCellMar>
        </w:tblPrEx>
        <w:trPr>
          <w:trHeight w:val="511" w:hRule="atLeast"/>
        </w:trPr>
        <w:tc>
          <w:tcPr>
            <w:tcW w:w="173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5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其他资金</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0</w:t>
            </w:r>
          </w:p>
        </w:tc>
        <w:tc>
          <w:tcPr>
            <w:tcW w:w="2465"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其他资金</w:t>
            </w:r>
          </w:p>
        </w:tc>
        <w:tc>
          <w:tcPr>
            <w:tcW w:w="235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0</w:t>
            </w:r>
          </w:p>
        </w:tc>
      </w:tr>
      <w:tr>
        <w:tblPrEx>
          <w:tblCellMar>
            <w:top w:w="0" w:type="dxa"/>
            <w:left w:w="108" w:type="dxa"/>
            <w:bottom w:w="0" w:type="dxa"/>
            <w:right w:w="108" w:type="dxa"/>
          </w:tblCellMar>
        </w:tblPrEx>
        <w:trPr>
          <w:trHeight w:val="345" w:hRule="atLeast"/>
        </w:trPr>
        <w:tc>
          <w:tcPr>
            <w:tcW w:w="863" w:type="dxa"/>
            <w:vMerge w:val="restart"/>
            <w:tcBorders>
              <w:top w:val="nil"/>
              <w:left w:val="single" w:color="000000" w:sz="4" w:space="0"/>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Cs w:val="21"/>
              </w:rPr>
            </w:pP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年度目标完成情况</w:t>
            </w:r>
          </w:p>
        </w:tc>
        <w:tc>
          <w:tcPr>
            <w:tcW w:w="396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预期目标</w:t>
            </w:r>
          </w:p>
        </w:tc>
        <w:tc>
          <w:tcPr>
            <w:tcW w:w="48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实际完成目标</w:t>
            </w:r>
          </w:p>
        </w:tc>
      </w:tr>
      <w:tr>
        <w:tblPrEx>
          <w:tblCellMar>
            <w:top w:w="0" w:type="dxa"/>
            <w:left w:w="108" w:type="dxa"/>
            <w:bottom w:w="0" w:type="dxa"/>
            <w:right w:w="108" w:type="dxa"/>
          </w:tblCellMar>
        </w:tblPrEx>
        <w:trPr>
          <w:trHeight w:val="874" w:hRule="atLeast"/>
        </w:trPr>
        <w:tc>
          <w:tcPr>
            <w:tcW w:w="863" w:type="dxa"/>
            <w:vMerge w:val="continue"/>
            <w:tcBorders>
              <w:top w:val="nil"/>
              <w:left w:val="single" w:color="000000" w:sz="4" w:space="0"/>
              <w:bottom w:val="single" w:color="000000" w:sz="4" w:space="0"/>
              <w:right w:val="nil"/>
            </w:tcBorders>
            <w:vAlign w:val="center"/>
          </w:tcPr>
          <w:p>
            <w:pPr>
              <w:widowControl/>
              <w:jc w:val="left"/>
              <w:rPr>
                <w:rFonts w:cs="宋体" w:asciiTheme="minorEastAsia" w:hAnsiTheme="minorEastAsia" w:eastAsiaTheme="minorEastAsia"/>
                <w:b/>
                <w:bCs/>
                <w:kern w:val="0"/>
                <w:szCs w:val="21"/>
              </w:rPr>
            </w:pPr>
          </w:p>
        </w:tc>
        <w:tc>
          <w:tcPr>
            <w:tcW w:w="396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在政策范围内，积极外出考察企业，利用好区内招商引资相关优惠政策，完成签约项目4个，签约资金5亿元.</w:t>
            </w:r>
          </w:p>
        </w:tc>
        <w:tc>
          <w:tcPr>
            <w:tcW w:w="48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在政策范围内，积极外出考察企业，利用好区内招商引资相关优惠政策，完成签约项目4个，签约资金5亿元.</w:t>
            </w:r>
          </w:p>
        </w:tc>
      </w:tr>
      <w:tr>
        <w:tblPrEx>
          <w:tblCellMar>
            <w:top w:w="0" w:type="dxa"/>
            <w:left w:w="108" w:type="dxa"/>
            <w:bottom w:w="0" w:type="dxa"/>
            <w:right w:w="108" w:type="dxa"/>
          </w:tblCellMar>
        </w:tblPrEx>
        <w:trPr>
          <w:trHeight w:val="766" w:hRule="atLeast"/>
        </w:trPr>
        <w:tc>
          <w:tcPr>
            <w:tcW w:w="8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szCs w:val="21"/>
              </w:rPr>
              <w:t>绩效指标完成情况</w:t>
            </w:r>
          </w:p>
        </w:tc>
        <w:tc>
          <w:tcPr>
            <w:tcW w:w="875" w:type="dxa"/>
            <w:gridSpan w:val="3"/>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一级指标</w:t>
            </w:r>
          </w:p>
        </w:tc>
        <w:tc>
          <w:tcPr>
            <w:tcW w:w="1676" w:type="dxa"/>
            <w:gridSpan w:val="2"/>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二级指标</w:t>
            </w:r>
          </w:p>
        </w:tc>
        <w:tc>
          <w:tcPr>
            <w:tcW w:w="1418" w:type="dxa"/>
            <w:tcBorders>
              <w:top w:val="nil"/>
              <w:left w:val="single" w:color="000000" w:sz="4" w:space="0"/>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三级指标</w:t>
            </w:r>
          </w:p>
        </w:tc>
        <w:tc>
          <w:tcPr>
            <w:tcW w:w="2550" w:type="dxa"/>
            <w:gridSpan w:val="3"/>
            <w:tcBorders>
              <w:top w:val="nil"/>
              <w:left w:val="single" w:color="000000" w:sz="4" w:space="0"/>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预期指标值(包含数字及文字描述)</w:t>
            </w:r>
          </w:p>
        </w:tc>
        <w:tc>
          <w:tcPr>
            <w:tcW w:w="227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实际完成指标值(包含数字及文字描述</w:t>
            </w:r>
          </w:p>
        </w:tc>
      </w:tr>
      <w:tr>
        <w:tblPrEx>
          <w:tblCellMar>
            <w:top w:w="0" w:type="dxa"/>
            <w:left w:w="108" w:type="dxa"/>
            <w:bottom w:w="0" w:type="dxa"/>
            <w:right w:w="108" w:type="dxa"/>
          </w:tblCellMar>
        </w:tblPrEx>
        <w:trPr>
          <w:trHeight w:val="540"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产出指标</w:t>
            </w:r>
          </w:p>
        </w:tc>
        <w:tc>
          <w:tcPr>
            <w:tcW w:w="1676" w:type="dxa"/>
            <w:gridSpan w:val="2"/>
            <w:tcBorders>
              <w:top w:val="single" w:color="000000" w:sz="4" w:space="0"/>
              <w:left w:val="nil"/>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数量指标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招引企业签约落地个数</w:t>
            </w:r>
          </w:p>
        </w:tc>
        <w:tc>
          <w:tcPr>
            <w:tcW w:w="2550" w:type="dxa"/>
            <w:gridSpan w:val="3"/>
            <w:tcBorders>
              <w:top w:val="single" w:color="000000" w:sz="4" w:space="0"/>
              <w:left w:val="nil"/>
              <w:bottom w:val="single" w:color="000000" w:sz="4" w:space="0"/>
              <w:right w:val="nil"/>
            </w:tcBorders>
            <w:shd w:val="clear" w:color="auto" w:fill="auto"/>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完成签约项目4个，完成率100%</w:t>
            </w:r>
          </w:p>
        </w:tc>
        <w:tc>
          <w:tcPr>
            <w:tcW w:w="2271"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538"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Cs w:val="21"/>
              </w:rPr>
            </w:pPr>
          </w:p>
        </w:tc>
        <w:tc>
          <w:tcPr>
            <w:tcW w:w="16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质量指标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签约企业资金落地</w:t>
            </w:r>
          </w:p>
        </w:tc>
        <w:tc>
          <w:tcPr>
            <w:tcW w:w="2550" w:type="dxa"/>
            <w:gridSpan w:val="3"/>
            <w:tcBorders>
              <w:top w:val="nil"/>
              <w:left w:val="nil"/>
              <w:bottom w:val="single" w:color="000000" w:sz="4" w:space="0"/>
              <w:right w:val="nil"/>
            </w:tcBorders>
            <w:shd w:val="clear" w:color="auto" w:fill="auto"/>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完成签约资金5亿元</w:t>
            </w:r>
          </w:p>
        </w:tc>
        <w:tc>
          <w:tcPr>
            <w:tcW w:w="2271"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619"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Cs w:val="21"/>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时效指标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2021年12月31日前</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2021年12月31日前完成签约项目4个</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685"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Cs w:val="21"/>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成本指标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下达预算指标内</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年底在下达工作经费范围内完成签约项目4个</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708"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效益指标</w:t>
            </w:r>
          </w:p>
        </w:tc>
        <w:tc>
          <w:tcPr>
            <w:tcW w:w="1676" w:type="dxa"/>
            <w:gridSpan w:val="2"/>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经济效益指标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经济增长额</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招引企业带动地方经济增长，增加当地人均收入</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540"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Cs w:val="21"/>
              </w:rPr>
            </w:pPr>
          </w:p>
        </w:tc>
        <w:tc>
          <w:tcPr>
            <w:tcW w:w="16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社会效益指标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建成后吸纳就业人数</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项目建成后提高就业人数500人以上</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540"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875" w:type="dxa"/>
            <w:gridSpan w:val="3"/>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Cs w:val="21"/>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生态效益指标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生态环境达标</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严格环境噪音污染指标，达标范围内</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已完成</w:t>
            </w:r>
          </w:p>
        </w:tc>
      </w:tr>
      <w:tr>
        <w:tblPrEx>
          <w:tblCellMar>
            <w:top w:w="0" w:type="dxa"/>
            <w:left w:w="108" w:type="dxa"/>
            <w:bottom w:w="0" w:type="dxa"/>
            <w:right w:w="108" w:type="dxa"/>
          </w:tblCellMar>
        </w:tblPrEx>
        <w:trPr>
          <w:trHeight w:val="980"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 w:val="22"/>
                <w:szCs w:val="22"/>
              </w:rPr>
            </w:pPr>
          </w:p>
        </w:tc>
        <w:tc>
          <w:tcPr>
            <w:tcW w:w="875" w:type="dxa"/>
            <w:gridSpan w:val="3"/>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1676" w:type="dxa"/>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可持续影响指标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经济持续增长</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招引企业建成投产后增加税收，带动地方经济未来可持续发展</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已完成</w:t>
            </w:r>
          </w:p>
        </w:tc>
      </w:tr>
      <w:tr>
        <w:tblPrEx>
          <w:tblCellMar>
            <w:top w:w="0" w:type="dxa"/>
            <w:left w:w="108" w:type="dxa"/>
            <w:bottom w:w="0" w:type="dxa"/>
            <w:right w:w="108" w:type="dxa"/>
          </w:tblCellMar>
        </w:tblPrEx>
        <w:trPr>
          <w:trHeight w:val="708" w:hRule="atLeast"/>
        </w:trPr>
        <w:tc>
          <w:tcPr>
            <w:tcW w:w="86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 w:val="22"/>
                <w:szCs w:val="22"/>
              </w:rPr>
            </w:pPr>
          </w:p>
        </w:tc>
        <w:tc>
          <w:tcPr>
            <w:tcW w:w="875" w:type="dxa"/>
            <w:gridSpan w:val="3"/>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满意度指标</w:t>
            </w:r>
          </w:p>
        </w:tc>
        <w:tc>
          <w:tcPr>
            <w:tcW w:w="1676" w:type="dxa"/>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满意度指标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招引企业满意度</w:t>
            </w:r>
          </w:p>
        </w:tc>
        <w:tc>
          <w:tcPr>
            <w:tcW w:w="2550" w:type="dxa"/>
            <w:gridSpan w:val="3"/>
            <w:tcBorders>
              <w:top w:val="nil"/>
              <w:left w:val="nil"/>
              <w:bottom w:val="single" w:color="000000" w:sz="4" w:space="0"/>
              <w:right w:val="single" w:color="000000" w:sz="4" w:space="0"/>
            </w:tcBorders>
            <w:shd w:val="clear" w:color="auto" w:fill="auto"/>
            <w:vAlign w:val="center"/>
          </w:tcPr>
          <w:p>
            <w:pPr>
              <w:widowControl/>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大于等于95%</w:t>
            </w:r>
          </w:p>
        </w:tc>
        <w:tc>
          <w:tcPr>
            <w:tcW w:w="2271" w:type="dxa"/>
            <w:gridSpan w:val="2"/>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已完成</w:t>
            </w:r>
          </w:p>
        </w:tc>
      </w:tr>
    </w:tbl>
    <w:p>
      <w:pPr>
        <w:pStyle w:val="7"/>
        <w:spacing w:before="93"/>
      </w:pPr>
    </w:p>
    <w:p>
      <w:pPr>
        <w:spacing w:line="600" w:lineRule="exact"/>
        <w:jc w:val="center"/>
        <w:rPr>
          <w:rFonts w:ascii="黑体" w:hAnsi="黑体" w:eastAsia="黑体"/>
          <w:sz w:val="44"/>
          <w:szCs w:val="44"/>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 w:val="0"/>
          <w:lang w:eastAsia="zh-CN"/>
        </w:rPr>
      </w:pPr>
      <w:bookmarkStart w:id="78" w:name="_Toc8000"/>
      <w:r>
        <w:rPr>
          <w:rFonts w:hint="eastAsia" w:ascii="方正小标宋简体" w:hAnsi="方正小标宋简体" w:eastAsia="方正小标宋简体" w:cs="方正小标宋简体"/>
          <w:b w:val="0"/>
          <w:lang w:eastAsia="zh-CN"/>
        </w:rPr>
        <w:t>第五部分 附表</w:t>
      </w:r>
      <w:bookmarkEnd w:id="75"/>
      <w:bookmarkEnd w:id="77"/>
      <w:bookmarkEnd w:id="78"/>
      <w:bookmarkStart w:id="79" w:name="_Toc153966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一、收入支出决算总表</w:t>
      </w:r>
      <w:bookmarkEnd w:id="7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0" w:name="_Toc15396620"/>
      <w:r>
        <w:rPr>
          <w:rFonts w:hint="eastAsia" w:ascii="仿宋_GB2312" w:eastAsia="仿宋_GB2312"/>
          <w:sz w:val="32"/>
          <w:szCs w:val="32"/>
        </w:rPr>
        <w:t>二、收入决算表</w:t>
      </w:r>
      <w:bookmarkEnd w:id="8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1" w:name="_Toc15396621"/>
      <w:r>
        <w:rPr>
          <w:rFonts w:hint="eastAsia" w:ascii="仿宋_GB2312" w:eastAsia="仿宋_GB2312"/>
          <w:sz w:val="32"/>
          <w:szCs w:val="32"/>
        </w:rPr>
        <w:t>三、支出决算表</w:t>
      </w:r>
      <w:bookmarkEnd w:id="8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2" w:name="_Toc15396622"/>
      <w:r>
        <w:rPr>
          <w:rFonts w:hint="eastAsia" w:ascii="仿宋_GB2312" w:eastAsia="仿宋_GB2312"/>
          <w:sz w:val="32"/>
          <w:szCs w:val="32"/>
        </w:rPr>
        <w:t>四、财政拨款收入支出决算总表</w:t>
      </w:r>
      <w:bookmarkEnd w:id="8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3" w:name="_Toc15396623"/>
      <w:r>
        <w:rPr>
          <w:rFonts w:hint="eastAsia" w:ascii="仿宋_GB2312" w:eastAsia="仿宋_GB2312"/>
          <w:sz w:val="32"/>
          <w:szCs w:val="32"/>
        </w:rPr>
        <w:t>五、财政拨款支出决算明细表</w:t>
      </w:r>
      <w:bookmarkEnd w:id="83"/>
      <w:bookmarkStart w:id="84" w:name="_Toc153966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六、一般公共预算财政拨款支出决算表</w:t>
      </w:r>
      <w:bookmarkEnd w:id="8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5" w:name="_Toc15396625"/>
      <w:r>
        <w:rPr>
          <w:rFonts w:hint="eastAsia" w:ascii="仿宋_GB2312" w:eastAsia="仿宋_GB2312"/>
          <w:sz w:val="32"/>
          <w:szCs w:val="32"/>
        </w:rPr>
        <w:t>七、一般公共预算财政拨款支出决算明细表</w:t>
      </w:r>
      <w:bookmarkEnd w:id="8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6" w:name="_Toc15396626"/>
      <w:r>
        <w:rPr>
          <w:rFonts w:hint="eastAsia" w:ascii="仿宋_GB2312" w:eastAsia="仿宋_GB2312"/>
          <w:sz w:val="32"/>
          <w:szCs w:val="32"/>
        </w:rPr>
        <w:t>八、一般公共预算财政拨款基本支出决算表</w:t>
      </w:r>
      <w:bookmarkEnd w:id="8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7" w:name="_Toc15396627"/>
      <w:r>
        <w:rPr>
          <w:rFonts w:hint="eastAsia" w:ascii="仿宋_GB2312" w:eastAsia="仿宋_GB2312"/>
          <w:sz w:val="32"/>
          <w:szCs w:val="32"/>
        </w:rPr>
        <w:t>九、一般公共预算财政拨款项目支出决算表</w:t>
      </w:r>
      <w:bookmarkEnd w:id="8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8" w:name="_Toc15396628"/>
      <w:r>
        <w:rPr>
          <w:rFonts w:hint="eastAsia" w:ascii="仿宋_GB2312" w:eastAsia="仿宋_GB2312"/>
          <w:sz w:val="32"/>
          <w:szCs w:val="32"/>
        </w:rPr>
        <w:t>十、一般公共预算财政拨款“三公”经费支出决算表</w:t>
      </w:r>
      <w:bookmarkEnd w:id="8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89" w:name="_Toc15396629"/>
      <w:r>
        <w:rPr>
          <w:rFonts w:hint="eastAsia" w:ascii="仿宋_GB2312" w:eastAsia="仿宋_GB2312"/>
          <w:sz w:val="32"/>
          <w:szCs w:val="32"/>
        </w:rPr>
        <w:t>十一、政府性基金预算财政拨款收入支出决算表</w:t>
      </w:r>
      <w:bookmarkEnd w:id="8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90" w:name="_Toc15396630"/>
      <w:r>
        <w:rPr>
          <w:rFonts w:hint="eastAsia" w:ascii="仿宋_GB2312" w:eastAsia="仿宋_GB2312"/>
          <w:sz w:val="32"/>
          <w:szCs w:val="32"/>
        </w:rPr>
        <w:t>十二、政府性基金预算财政拨款“三公”经费支出决算表</w:t>
      </w:r>
      <w:bookmarkEnd w:id="9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bookmarkStart w:id="91" w:name="_Toc15396631"/>
      <w:r>
        <w:rPr>
          <w:rFonts w:hint="eastAsia" w:ascii="仿宋_GB2312" w:eastAsia="仿宋_GB2312"/>
          <w:sz w:val="32"/>
          <w:szCs w:val="32"/>
        </w:rPr>
        <w:t>十三、国有资本经营预算财政拨款收入支出决算表</w:t>
      </w:r>
      <w:bookmarkEnd w:id="9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十四、国有资本经营预算财政拨款支出决算表</w:t>
      </w:r>
    </w:p>
    <w:sectPr>
      <w:footerReference r:id="rId10" w:type="first"/>
      <w:footerReference r:id="rId9"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7" o:spid="_x0000_s307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0"/>
                  <w:jc w:val="center"/>
                </w:pPr>
                <w:r>
                  <w:fldChar w:fldCharType="begin"/>
                </w:r>
                <w:r>
                  <w:instrText xml:space="preserve">PAGE   \* MERGEFORMAT</w:instrText>
                </w:r>
                <w:r>
                  <w:fldChar w:fldCharType="separate"/>
                </w:r>
                <w:r>
                  <w:rPr>
                    <w:lang w:val="zh-CN"/>
                  </w:rPr>
                  <w:t>-</w:t>
                </w:r>
                <w:r>
                  <w:t xml:space="preserve"> 1 -</w:t>
                </w:r>
                <w:r>
                  <w:rPr>
                    <w:lang w:val="zh-CN"/>
                  </w:rPr>
                  <w:fldChar w:fldCharType="end"/>
                </w:r>
              </w:p>
              <w:p>
                <w:pPr>
                  <w:pStyle w:val="6"/>
                </w:pPr>
              </w:p>
            </w:txbxContent>
          </v:textbox>
        </v:shape>
      </w:pic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3078" o:spid="_x0000_s3078"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994781956"/>
                </w:sdtPr>
                <w:sdtContent>
                  <w:p>
                    <w:pPr>
                      <w:pStyle w:val="10"/>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10 -</w:t>
                    </w:r>
                    <w:r>
                      <w:rPr>
                        <w:rFonts w:hint="eastAsia" w:ascii="宋体" w:hAnsi="宋体" w:cs="宋体"/>
                        <w:sz w:val="28"/>
                        <w:szCs w:val="28"/>
                        <w:lang w:val="zh-CN"/>
                      </w:rPr>
                      <w:fldChar w:fldCharType="end"/>
                    </w:r>
                  </w:p>
                </w:sdtContent>
              </w:sdt>
              <w:p>
                <w:pPr>
                  <w:pStyle w:val="6"/>
                </w:pPr>
              </w:p>
            </w:txbxContent>
          </v:textbox>
        </v:shape>
      </w:pic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3076" o:spid="_x0000_s3076"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- 4 -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12B98"/>
    <w:multiLevelType w:val="singleLevel"/>
    <w:tmpl w:val="93E12B98"/>
    <w:lvl w:ilvl="0" w:tentative="0">
      <w:start w:val="1"/>
      <w:numFmt w:val="chineseCounting"/>
      <w:suff w:val="space"/>
      <w:lvlText w:val="第%1部分"/>
      <w:lvlJc w:val="left"/>
      <w:rPr>
        <w:rFonts w:hint="eastAsia"/>
      </w:rPr>
    </w:lvl>
  </w:abstractNum>
  <w:abstractNum w:abstractNumId="1">
    <w:nsid w:val="9C5B3F27"/>
    <w:multiLevelType w:val="singleLevel"/>
    <w:tmpl w:val="9C5B3F2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VhY2RmMzUwNWE4OTA2ZDNjYmZhYThkODU4ZjEzNzAifQ=="/>
  </w:docVars>
  <w:rsids>
    <w:rsidRoot w:val="00F1361C"/>
    <w:rsid w:val="00004841"/>
    <w:rsid w:val="00011F76"/>
    <w:rsid w:val="00014E85"/>
    <w:rsid w:val="000222C6"/>
    <w:rsid w:val="0002549F"/>
    <w:rsid w:val="00041B2D"/>
    <w:rsid w:val="000468DB"/>
    <w:rsid w:val="0006487A"/>
    <w:rsid w:val="00065F8F"/>
    <w:rsid w:val="00070A43"/>
    <w:rsid w:val="00075847"/>
    <w:rsid w:val="000768F2"/>
    <w:rsid w:val="00076FB7"/>
    <w:rsid w:val="00082E3E"/>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2918"/>
    <w:rsid w:val="00144D6A"/>
    <w:rsid w:val="0014729F"/>
    <w:rsid w:val="00155369"/>
    <w:rsid w:val="00157BAB"/>
    <w:rsid w:val="001654D1"/>
    <w:rsid w:val="00174518"/>
    <w:rsid w:val="00175D69"/>
    <w:rsid w:val="0018106D"/>
    <w:rsid w:val="001877A7"/>
    <w:rsid w:val="00191536"/>
    <w:rsid w:val="00196687"/>
    <w:rsid w:val="001B0E08"/>
    <w:rsid w:val="001C0962"/>
    <w:rsid w:val="001D7531"/>
    <w:rsid w:val="001E737D"/>
    <w:rsid w:val="001F0592"/>
    <w:rsid w:val="001F7506"/>
    <w:rsid w:val="002006CD"/>
    <w:rsid w:val="00202B36"/>
    <w:rsid w:val="00204B7A"/>
    <w:rsid w:val="00204CDE"/>
    <w:rsid w:val="002051E9"/>
    <w:rsid w:val="0021101A"/>
    <w:rsid w:val="00220536"/>
    <w:rsid w:val="002205D1"/>
    <w:rsid w:val="00224214"/>
    <w:rsid w:val="0022719C"/>
    <w:rsid w:val="00231403"/>
    <w:rsid w:val="00235629"/>
    <w:rsid w:val="002478B7"/>
    <w:rsid w:val="00251A3D"/>
    <w:rsid w:val="00260C38"/>
    <w:rsid w:val="002616C0"/>
    <w:rsid w:val="00265372"/>
    <w:rsid w:val="002662AA"/>
    <w:rsid w:val="00280496"/>
    <w:rsid w:val="00294DC9"/>
    <w:rsid w:val="00295495"/>
    <w:rsid w:val="002A31DE"/>
    <w:rsid w:val="002B2613"/>
    <w:rsid w:val="002B6B14"/>
    <w:rsid w:val="002D6D05"/>
    <w:rsid w:val="002F1818"/>
    <w:rsid w:val="002F567B"/>
    <w:rsid w:val="002F7CE9"/>
    <w:rsid w:val="00315F3F"/>
    <w:rsid w:val="003216A9"/>
    <w:rsid w:val="00325785"/>
    <w:rsid w:val="00335A74"/>
    <w:rsid w:val="00344131"/>
    <w:rsid w:val="00363342"/>
    <w:rsid w:val="0036561B"/>
    <w:rsid w:val="0037013F"/>
    <w:rsid w:val="00380C92"/>
    <w:rsid w:val="00386615"/>
    <w:rsid w:val="003A484F"/>
    <w:rsid w:val="003A4883"/>
    <w:rsid w:val="003B0BE0"/>
    <w:rsid w:val="003B0C1B"/>
    <w:rsid w:val="003B48F2"/>
    <w:rsid w:val="003B688C"/>
    <w:rsid w:val="003B725C"/>
    <w:rsid w:val="003C0291"/>
    <w:rsid w:val="003C39AE"/>
    <w:rsid w:val="003C3C44"/>
    <w:rsid w:val="003C7B60"/>
    <w:rsid w:val="003D0C0F"/>
    <w:rsid w:val="003D1FB2"/>
    <w:rsid w:val="003D66DA"/>
    <w:rsid w:val="003E1310"/>
    <w:rsid w:val="003E6F55"/>
    <w:rsid w:val="00406254"/>
    <w:rsid w:val="0041146B"/>
    <w:rsid w:val="004223DE"/>
    <w:rsid w:val="00434489"/>
    <w:rsid w:val="00437085"/>
    <w:rsid w:val="00443880"/>
    <w:rsid w:val="004464F4"/>
    <w:rsid w:val="00471401"/>
    <w:rsid w:val="00471996"/>
    <w:rsid w:val="00473F31"/>
    <w:rsid w:val="0048263A"/>
    <w:rsid w:val="00487E5D"/>
    <w:rsid w:val="004A711F"/>
    <w:rsid w:val="004B199D"/>
    <w:rsid w:val="004B44E0"/>
    <w:rsid w:val="004B4690"/>
    <w:rsid w:val="004E0A2D"/>
    <w:rsid w:val="004E206B"/>
    <w:rsid w:val="004E6575"/>
    <w:rsid w:val="004E6DF7"/>
    <w:rsid w:val="004F0FBD"/>
    <w:rsid w:val="00503A1A"/>
    <w:rsid w:val="00505A47"/>
    <w:rsid w:val="00512FDA"/>
    <w:rsid w:val="0051529B"/>
    <w:rsid w:val="00520DA0"/>
    <w:rsid w:val="005664BB"/>
    <w:rsid w:val="00566FFA"/>
    <w:rsid w:val="0057481D"/>
    <w:rsid w:val="0058486E"/>
    <w:rsid w:val="00585B33"/>
    <w:rsid w:val="0059014D"/>
    <w:rsid w:val="00591054"/>
    <w:rsid w:val="005A71D3"/>
    <w:rsid w:val="005B5C64"/>
    <w:rsid w:val="005C5337"/>
    <w:rsid w:val="005C6BD0"/>
    <w:rsid w:val="005D1C8B"/>
    <w:rsid w:val="005D468D"/>
    <w:rsid w:val="005D5CED"/>
    <w:rsid w:val="005F1A4C"/>
    <w:rsid w:val="00605688"/>
    <w:rsid w:val="006070AF"/>
    <w:rsid w:val="00607E6C"/>
    <w:rsid w:val="006101B1"/>
    <w:rsid w:val="00613A44"/>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1063"/>
    <w:rsid w:val="006A3141"/>
    <w:rsid w:val="006A5E34"/>
    <w:rsid w:val="006B0485"/>
    <w:rsid w:val="006B05DB"/>
    <w:rsid w:val="006B2422"/>
    <w:rsid w:val="006B2B9A"/>
    <w:rsid w:val="006C1937"/>
    <w:rsid w:val="006F020C"/>
    <w:rsid w:val="007011C2"/>
    <w:rsid w:val="007127B7"/>
    <w:rsid w:val="00712D6A"/>
    <w:rsid w:val="0071798E"/>
    <w:rsid w:val="007416B6"/>
    <w:rsid w:val="00746F48"/>
    <w:rsid w:val="0075404D"/>
    <w:rsid w:val="0075683C"/>
    <w:rsid w:val="0076182A"/>
    <w:rsid w:val="00761865"/>
    <w:rsid w:val="00767B7E"/>
    <w:rsid w:val="00773AAF"/>
    <w:rsid w:val="00776ECB"/>
    <w:rsid w:val="007770C3"/>
    <w:rsid w:val="00784D24"/>
    <w:rsid w:val="00785FBA"/>
    <w:rsid w:val="00786E4A"/>
    <w:rsid w:val="007875EB"/>
    <w:rsid w:val="00791F28"/>
    <w:rsid w:val="00792188"/>
    <w:rsid w:val="0079426B"/>
    <w:rsid w:val="007D1682"/>
    <w:rsid w:val="007D312A"/>
    <w:rsid w:val="007D3F19"/>
    <w:rsid w:val="007E23B0"/>
    <w:rsid w:val="007E23E5"/>
    <w:rsid w:val="007F1991"/>
    <w:rsid w:val="007F2C2F"/>
    <w:rsid w:val="007F55FC"/>
    <w:rsid w:val="007F5665"/>
    <w:rsid w:val="00800112"/>
    <w:rsid w:val="00804199"/>
    <w:rsid w:val="00813348"/>
    <w:rsid w:val="008161FE"/>
    <w:rsid w:val="008253BB"/>
    <w:rsid w:val="0082702C"/>
    <w:rsid w:val="0083706E"/>
    <w:rsid w:val="008408F6"/>
    <w:rsid w:val="008423A5"/>
    <w:rsid w:val="00842CA8"/>
    <w:rsid w:val="00850625"/>
    <w:rsid w:val="00853718"/>
    <w:rsid w:val="00855221"/>
    <w:rsid w:val="00860645"/>
    <w:rsid w:val="00871F71"/>
    <w:rsid w:val="00872FD8"/>
    <w:rsid w:val="0088374F"/>
    <w:rsid w:val="00885AF4"/>
    <w:rsid w:val="008939CD"/>
    <w:rsid w:val="008B768C"/>
    <w:rsid w:val="008C4DB1"/>
    <w:rsid w:val="008C4EAF"/>
    <w:rsid w:val="008C5176"/>
    <w:rsid w:val="008C7FD0"/>
    <w:rsid w:val="008D2CDC"/>
    <w:rsid w:val="008E1DE7"/>
    <w:rsid w:val="008E707C"/>
    <w:rsid w:val="00900B08"/>
    <w:rsid w:val="00902155"/>
    <w:rsid w:val="00902FA3"/>
    <w:rsid w:val="00907E53"/>
    <w:rsid w:val="00923564"/>
    <w:rsid w:val="0092392E"/>
    <w:rsid w:val="009315F9"/>
    <w:rsid w:val="00933499"/>
    <w:rsid w:val="00935C98"/>
    <w:rsid w:val="00946945"/>
    <w:rsid w:val="00951248"/>
    <w:rsid w:val="0095152F"/>
    <w:rsid w:val="00954C49"/>
    <w:rsid w:val="00955E37"/>
    <w:rsid w:val="00966E5F"/>
    <w:rsid w:val="0097099F"/>
    <w:rsid w:val="00971997"/>
    <w:rsid w:val="00971FFC"/>
    <w:rsid w:val="00974730"/>
    <w:rsid w:val="00976E73"/>
    <w:rsid w:val="00984040"/>
    <w:rsid w:val="0098660A"/>
    <w:rsid w:val="009931C3"/>
    <w:rsid w:val="009A21AA"/>
    <w:rsid w:val="009A57FA"/>
    <w:rsid w:val="009B2C43"/>
    <w:rsid w:val="009B3B9F"/>
    <w:rsid w:val="009B4EAE"/>
    <w:rsid w:val="009B7573"/>
    <w:rsid w:val="009C22F4"/>
    <w:rsid w:val="009C2A4B"/>
    <w:rsid w:val="009C2E98"/>
    <w:rsid w:val="009D3447"/>
    <w:rsid w:val="009D425C"/>
    <w:rsid w:val="009D4711"/>
    <w:rsid w:val="009F1185"/>
    <w:rsid w:val="009F18CD"/>
    <w:rsid w:val="009F2A13"/>
    <w:rsid w:val="009F7527"/>
    <w:rsid w:val="00A04EB0"/>
    <w:rsid w:val="00A06154"/>
    <w:rsid w:val="00A13CC1"/>
    <w:rsid w:val="00A16847"/>
    <w:rsid w:val="00A237D8"/>
    <w:rsid w:val="00A268C4"/>
    <w:rsid w:val="00A307CD"/>
    <w:rsid w:val="00A331C8"/>
    <w:rsid w:val="00A40A00"/>
    <w:rsid w:val="00A40FDE"/>
    <w:rsid w:val="00A4142F"/>
    <w:rsid w:val="00A422EB"/>
    <w:rsid w:val="00A454B9"/>
    <w:rsid w:val="00A45BB7"/>
    <w:rsid w:val="00A56DF2"/>
    <w:rsid w:val="00A56E6E"/>
    <w:rsid w:val="00A6600D"/>
    <w:rsid w:val="00A67AB5"/>
    <w:rsid w:val="00A733B2"/>
    <w:rsid w:val="00A741C2"/>
    <w:rsid w:val="00A91760"/>
    <w:rsid w:val="00A93B00"/>
    <w:rsid w:val="00A93C21"/>
    <w:rsid w:val="00A964E6"/>
    <w:rsid w:val="00AB64C9"/>
    <w:rsid w:val="00AC0C5F"/>
    <w:rsid w:val="00AC3C6A"/>
    <w:rsid w:val="00AD311C"/>
    <w:rsid w:val="00AD48DB"/>
    <w:rsid w:val="00AD52A4"/>
    <w:rsid w:val="00AD5620"/>
    <w:rsid w:val="00AD656B"/>
    <w:rsid w:val="00AD721D"/>
    <w:rsid w:val="00AD7C1B"/>
    <w:rsid w:val="00AE16BA"/>
    <w:rsid w:val="00AE1EBE"/>
    <w:rsid w:val="00AE54F2"/>
    <w:rsid w:val="00AE6E94"/>
    <w:rsid w:val="00B03C9D"/>
    <w:rsid w:val="00B060AE"/>
    <w:rsid w:val="00B104D3"/>
    <w:rsid w:val="00B10517"/>
    <w:rsid w:val="00B14E76"/>
    <w:rsid w:val="00B161B8"/>
    <w:rsid w:val="00B17085"/>
    <w:rsid w:val="00B2048C"/>
    <w:rsid w:val="00B310B9"/>
    <w:rsid w:val="00B35F3F"/>
    <w:rsid w:val="00B36CBB"/>
    <w:rsid w:val="00B425E0"/>
    <w:rsid w:val="00B440AA"/>
    <w:rsid w:val="00B44B70"/>
    <w:rsid w:val="00B44D91"/>
    <w:rsid w:val="00B53C56"/>
    <w:rsid w:val="00B57DAF"/>
    <w:rsid w:val="00B61A8D"/>
    <w:rsid w:val="00B77EA6"/>
    <w:rsid w:val="00B81598"/>
    <w:rsid w:val="00B83A47"/>
    <w:rsid w:val="00B841F1"/>
    <w:rsid w:val="00B944D6"/>
    <w:rsid w:val="00BB4DF0"/>
    <w:rsid w:val="00BC289F"/>
    <w:rsid w:val="00BC2D50"/>
    <w:rsid w:val="00BC5361"/>
    <w:rsid w:val="00BC5460"/>
    <w:rsid w:val="00BC6B50"/>
    <w:rsid w:val="00BD0E25"/>
    <w:rsid w:val="00BE3DA1"/>
    <w:rsid w:val="00BF5BD6"/>
    <w:rsid w:val="00C03E31"/>
    <w:rsid w:val="00C33E72"/>
    <w:rsid w:val="00C34033"/>
    <w:rsid w:val="00C354B2"/>
    <w:rsid w:val="00C35554"/>
    <w:rsid w:val="00C42709"/>
    <w:rsid w:val="00C533CC"/>
    <w:rsid w:val="00C55BC8"/>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4833"/>
    <w:rsid w:val="00D20620"/>
    <w:rsid w:val="00D254F7"/>
    <w:rsid w:val="00D26091"/>
    <w:rsid w:val="00D2685C"/>
    <w:rsid w:val="00D306D1"/>
    <w:rsid w:val="00D34E7C"/>
    <w:rsid w:val="00D35489"/>
    <w:rsid w:val="00D36AFE"/>
    <w:rsid w:val="00D51276"/>
    <w:rsid w:val="00D7035F"/>
    <w:rsid w:val="00DA634F"/>
    <w:rsid w:val="00DA65AC"/>
    <w:rsid w:val="00DB1913"/>
    <w:rsid w:val="00DC334E"/>
    <w:rsid w:val="00DC410D"/>
    <w:rsid w:val="00DC5A81"/>
    <w:rsid w:val="00DC68CA"/>
    <w:rsid w:val="00DC7CBA"/>
    <w:rsid w:val="00DD73B7"/>
    <w:rsid w:val="00DF28BC"/>
    <w:rsid w:val="00DF34B9"/>
    <w:rsid w:val="00E01053"/>
    <w:rsid w:val="00E07ACF"/>
    <w:rsid w:val="00E331A1"/>
    <w:rsid w:val="00E33202"/>
    <w:rsid w:val="00E336A9"/>
    <w:rsid w:val="00E42895"/>
    <w:rsid w:val="00E472B1"/>
    <w:rsid w:val="00E50624"/>
    <w:rsid w:val="00E568DF"/>
    <w:rsid w:val="00E64269"/>
    <w:rsid w:val="00E70563"/>
    <w:rsid w:val="00E82267"/>
    <w:rsid w:val="00E853CE"/>
    <w:rsid w:val="00E867B6"/>
    <w:rsid w:val="00E94CCF"/>
    <w:rsid w:val="00EA010F"/>
    <w:rsid w:val="00EA4F51"/>
    <w:rsid w:val="00EB00EB"/>
    <w:rsid w:val="00ED1B63"/>
    <w:rsid w:val="00ED3C1F"/>
    <w:rsid w:val="00ED4085"/>
    <w:rsid w:val="00ED420E"/>
    <w:rsid w:val="00ED6FBE"/>
    <w:rsid w:val="00EE2F57"/>
    <w:rsid w:val="00EE5A8C"/>
    <w:rsid w:val="00EE7B16"/>
    <w:rsid w:val="00EF4C34"/>
    <w:rsid w:val="00EF77C6"/>
    <w:rsid w:val="00F05438"/>
    <w:rsid w:val="00F10B19"/>
    <w:rsid w:val="00F124DF"/>
    <w:rsid w:val="00F1361C"/>
    <w:rsid w:val="00F156F0"/>
    <w:rsid w:val="00F160C7"/>
    <w:rsid w:val="00F16749"/>
    <w:rsid w:val="00F21CF7"/>
    <w:rsid w:val="00F2408F"/>
    <w:rsid w:val="00F240E9"/>
    <w:rsid w:val="00F36D8F"/>
    <w:rsid w:val="00F417B1"/>
    <w:rsid w:val="00F45853"/>
    <w:rsid w:val="00F602DF"/>
    <w:rsid w:val="00F754A1"/>
    <w:rsid w:val="00F81FD9"/>
    <w:rsid w:val="00F841AA"/>
    <w:rsid w:val="00F84A94"/>
    <w:rsid w:val="00F87E96"/>
    <w:rsid w:val="00FA1585"/>
    <w:rsid w:val="00FA23E8"/>
    <w:rsid w:val="00FB5C8C"/>
    <w:rsid w:val="00FD1648"/>
    <w:rsid w:val="00FD3CC1"/>
    <w:rsid w:val="00FF1E02"/>
    <w:rsid w:val="00FF30B4"/>
    <w:rsid w:val="00FF7A84"/>
    <w:rsid w:val="03C57F39"/>
    <w:rsid w:val="04570C37"/>
    <w:rsid w:val="08B233AF"/>
    <w:rsid w:val="0A2032A3"/>
    <w:rsid w:val="0A356E53"/>
    <w:rsid w:val="0B8A37D8"/>
    <w:rsid w:val="0D2A46B7"/>
    <w:rsid w:val="0D411534"/>
    <w:rsid w:val="0E7E0566"/>
    <w:rsid w:val="0E9401EE"/>
    <w:rsid w:val="0F666919"/>
    <w:rsid w:val="100036AB"/>
    <w:rsid w:val="10C055FF"/>
    <w:rsid w:val="118107EC"/>
    <w:rsid w:val="11DD6519"/>
    <w:rsid w:val="16BB723D"/>
    <w:rsid w:val="18015F3F"/>
    <w:rsid w:val="1BE8440E"/>
    <w:rsid w:val="1D155CEE"/>
    <w:rsid w:val="20F57F95"/>
    <w:rsid w:val="23FF1385"/>
    <w:rsid w:val="240371BF"/>
    <w:rsid w:val="25C741E6"/>
    <w:rsid w:val="273677D8"/>
    <w:rsid w:val="27842671"/>
    <w:rsid w:val="28FD358A"/>
    <w:rsid w:val="29193E0E"/>
    <w:rsid w:val="29FD04D3"/>
    <w:rsid w:val="2ABE7A3E"/>
    <w:rsid w:val="2CDE3E85"/>
    <w:rsid w:val="2EFA178C"/>
    <w:rsid w:val="2FAC61D3"/>
    <w:rsid w:val="30B46D73"/>
    <w:rsid w:val="319F7F4E"/>
    <w:rsid w:val="33547CD4"/>
    <w:rsid w:val="39AE70AB"/>
    <w:rsid w:val="3C0C0783"/>
    <w:rsid w:val="3E1A3557"/>
    <w:rsid w:val="3F795B0E"/>
    <w:rsid w:val="3F9F3A96"/>
    <w:rsid w:val="493C27E9"/>
    <w:rsid w:val="496F39ED"/>
    <w:rsid w:val="49FF41D3"/>
    <w:rsid w:val="4A185DC8"/>
    <w:rsid w:val="4BE068DB"/>
    <w:rsid w:val="4BF6002B"/>
    <w:rsid w:val="4ECE2238"/>
    <w:rsid w:val="51DB4B86"/>
    <w:rsid w:val="51E773A7"/>
    <w:rsid w:val="55333C3E"/>
    <w:rsid w:val="576B3A32"/>
    <w:rsid w:val="5C1473E0"/>
    <w:rsid w:val="5FCD7FD2"/>
    <w:rsid w:val="64CA39A1"/>
    <w:rsid w:val="67916D60"/>
    <w:rsid w:val="6C254DAF"/>
    <w:rsid w:val="6C4A05C8"/>
    <w:rsid w:val="72734D90"/>
    <w:rsid w:val="74E366CA"/>
    <w:rsid w:val="79E7B28D"/>
    <w:rsid w:val="7ABE08B5"/>
    <w:rsid w:val="7DC1330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ind w:left="1000" w:leftChars="1000"/>
    </w:pPr>
  </w:style>
  <w:style w:type="paragraph" w:styleId="6">
    <w:name w:val="Normal Indent"/>
    <w:basedOn w:val="1"/>
    <w:qFormat/>
    <w:uiPriority w:val="99"/>
    <w:pPr>
      <w:ind w:firstLine="420" w:firstLine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常用样式（方正仿宋简）"/>
    <w:basedOn w:val="1"/>
    <w:qFormat/>
    <w:uiPriority w:val="0"/>
    <w:pPr>
      <w:spacing w:line="560" w:lineRule="exact"/>
      <w:ind w:firstLine="640" w:firstLineChars="200"/>
    </w:pPr>
    <w:rPr>
      <w:rFonts w:ascii="Calibri" w:hAnsi="Calibri" w:eastAsia="方正仿宋简体"/>
      <w:sz w:val="32"/>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7"/>
    <customShpInfo spid="_x0000_s3078"/>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8015</Words>
  <Characters>8681</Characters>
  <Lines>81</Lines>
  <Paragraphs>22</Paragraphs>
  <TotalTime>6</TotalTime>
  <ScaleCrop>false</ScaleCrop>
  <LinksUpToDate>false</LinksUpToDate>
  <CharactersWithSpaces>8932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2022-09-16T03:50:00Z</dcterms:created>
  <dc:creator>曹颖</dc:creator>
  <cp:lastModifiedBy>Administrator</cp:lastModifiedBy>
  <cp:lastPrinted>2022-08-06T02:23:00Z</cp:lastPrinted>
  <dcterms:modified xsi:type="dcterms:W3CDTF">2023-09-26T08:03:14Z</dcterms:modified>
  <dc:title>四川省***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