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Times New Roman" w:hAnsi="Times New Roman" w:eastAsia="方正小标宋简体"/>
          <w:color w:val="auto"/>
          <w:sz w:val="72"/>
          <w:szCs w:val="72"/>
          <w:highlight w:val="none"/>
        </w:rPr>
      </w:pPr>
      <w:bookmarkStart w:id="0" w:name="_Toc15378441"/>
      <w:bookmarkStart w:id="1" w:name="_Toc15396475"/>
      <w:bookmarkStart w:id="2" w:name="_Toc15396597"/>
      <w:bookmarkStart w:id="3" w:name="_Toc15377193"/>
      <w:bookmarkStart w:id="4" w:name="_Toc15377425"/>
      <w:bookmarkStart w:id="5" w:name="_Toc15306267"/>
    </w:p>
    <w:p>
      <w:pPr>
        <w:spacing w:line="600" w:lineRule="exact"/>
        <w:jc w:val="center"/>
        <w:outlineLvl w:val="0"/>
        <w:rPr>
          <w:rFonts w:ascii="Times New Roman" w:hAnsi="Times New Roman" w:eastAsia="方正小标宋简体"/>
          <w:color w:val="auto"/>
          <w:sz w:val="72"/>
          <w:szCs w:val="72"/>
          <w:highlight w:val="none"/>
        </w:rPr>
      </w:pPr>
    </w:p>
    <w:p>
      <w:pPr>
        <w:spacing w:line="600" w:lineRule="exact"/>
        <w:jc w:val="center"/>
        <w:outlineLvl w:val="0"/>
        <w:rPr>
          <w:rFonts w:ascii="Times New Roman" w:hAnsi="Times New Roman" w:eastAsia="方正小标宋简体"/>
          <w:color w:val="auto"/>
          <w:sz w:val="72"/>
          <w:szCs w:val="72"/>
          <w:highlight w:val="none"/>
        </w:rPr>
      </w:pPr>
    </w:p>
    <w:p>
      <w:pPr>
        <w:adjustRightInd w:val="0"/>
        <w:snapToGrid w:val="0"/>
        <w:spacing w:line="360" w:lineRule="auto"/>
        <w:jc w:val="center"/>
        <w:outlineLvl w:val="0"/>
        <w:rPr>
          <w:rFonts w:hint="eastAsia" w:ascii="Times New Roman" w:hAnsi="Times New Roman" w:eastAsia="方正小标宋简体" w:cs="方正小标宋简体"/>
          <w:color w:val="auto"/>
          <w:sz w:val="72"/>
          <w:szCs w:val="72"/>
          <w:highlight w:val="none"/>
        </w:rPr>
      </w:pPr>
      <w:r>
        <w:rPr>
          <w:rFonts w:hint="eastAsia" w:ascii="Times New Roman" w:hAnsi="Times New Roman" w:eastAsia="方正小标宋简体" w:cs="方正小标宋简体"/>
          <w:color w:val="auto"/>
          <w:sz w:val="72"/>
          <w:szCs w:val="72"/>
          <w:highlight w:val="none"/>
        </w:rPr>
        <w:t>20</w:t>
      </w:r>
      <w:r>
        <w:rPr>
          <w:rFonts w:hint="eastAsia" w:ascii="Times New Roman" w:hAnsi="Times New Roman" w:eastAsia="方正小标宋简体" w:cs="方正小标宋简体"/>
          <w:color w:val="auto"/>
          <w:sz w:val="72"/>
          <w:szCs w:val="72"/>
          <w:highlight w:val="none"/>
          <w:lang w:val="en-US" w:eastAsia="zh-CN"/>
        </w:rPr>
        <w:t>22</w:t>
      </w:r>
      <w:r>
        <w:rPr>
          <w:rFonts w:hint="eastAsia" w:ascii="Times New Roman" w:hAnsi="Times New Roman"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Times New Roman" w:hAnsi="Times New Roman" w:eastAsia="方正小标宋简体" w:cs="方正小标宋简体"/>
          <w:color w:val="auto"/>
          <w:sz w:val="72"/>
          <w:szCs w:val="72"/>
          <w:highlight w:val="none"/>
          <w:lang w:val="en-US" w:eastAsia="zh-CN"/>
        </w:rPr>
      </w:pPr>
      <w:bookmarkStart w:id="6" w:name="_Toc15396476"/>
      <w:bookmarkStart w:id="7" w:name="_Toc15396598"/>
      <w:bookmarkStart w:id="8" w:name="_Toc15378442"/>
      <w:bookmarkStart w:id="9" w:name="_Toc15377426"/>
      <w:bookmarkStart w:id="10" w:name="_Toc15377194"/>
      <w:r>
        <w:rPr>
          <w:rFonts w:hint="eastAsia" w:ascii="Times New Roman" w:hAnsi="Times New Roman" w:eastAsia="方正小标宋简体" w:cs="方正小标宋简体"/>
          <w:color w:val="auto"/>
          <w:sz w:val="72"/>
          <w:szCs w:val="72"/>
          <w:highlight w:val="none"/>
        </w:rPr>
        <w:t>四川省</w:t>
      </w:r>
      <w:bookmarkEnd w:id="5"/>
      <w:bookmarkStart w:id="11" w:name="_Toc15306268"/>
      <w:r>
        <w:rPr>
          <w:rFonts w:hint="eastAsia" w:ascii="Times New Roman" w:hAnsi="Times New Roman" w:eastAsia="方正小标宋简体" w:cs="方正小标宋简体"/>
          <w:color w:val="auto"/>
          <w:sz w:val="72"/>
          <w:szCs w:val="72"/>
          <w:highlight w:val="none"/>
          <w:lang w:eastAsia="zh-CN"/>
        </w:rPr>
        <w:t>广元市</w:t>
      </w:r>
      <w:r>
        <w:rPr>
          <w:rFonts w:hint="eastAsia" w:ascii="Times New Roman" w:hAnsi="Times New Roman" w:eastAsia="方正小标宋简体" w:cs="方正小标宋简体"/>
          <w:color w:val="auto"/>
          <w:sz w:val="72"/>
          <w:szCs w:val="72"/>
          <w:highlight w:val="none"/>
          <w:lang w:val="en-US" w:eastAsia="zh-CN"/>
        </w:rPr>
        <w:t>昭化区</w:t>
      </w:r>
    </w:p>
    <w:p>
      <w:pPr>
        <w:adjustRightInd w:val="0"/>
        <w:snapToGrid w:val="0"/>
        <w:spacing w:line="360" w:lineRule="auto"/>
        <w:jc w:val="center"/>
        <w:outlineLvl w:val="0"/>
        <w:rPr>
          <w:rFonts w:hint="eastAsia" w:ascii="Times New Roman" w:hAnsi="Times New Roman" w:eastAsia="方正小标宋简体" w:cs="方正小标宋简体"/>
          <w:color w:val="auto"/>
          <w:sz w:val="72"/>
          <w:szCs w:val="72"/>
          <w:highlight w:val="none"/>
        </w:rPr>
      </w:pPr>
      <w:r>
        <w:rPr>
          <w:rFonts w:hint="eastAsia" w:ascii="Times New Roman" w:hAnsi="Times New Roman" w:eastAsia="方正小标宋简体" w:cs="方正小标宋简体"/>
          <w:color w:val="auto"/>
          <w:sz w:val="72"/>
          <w:szCs w:val="72"/>
          <w:highlight w:val="none"/>
          <w:lang w:val="en-US" w:eastAsia="zh-CN"/>
        </w:rPr>
        <w:t>人民医院</w:t>
      </w:r>
      <w:r>
        <w:rPr>
          <w:rFonts w:hint="eastAsia" w:ascii="Times New Roman" w:hAnsi="Times New Roman"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Times New Roman" w:hAnsi="Times New Roman" w:eastAsia="黑体"/>
          <w:color w:val="auto"/>
          <w:sz w:val="48"/>
          <w:szCs w:val="48"/>
          <w:highlight w:val="none"/>
        </w:rPr>
      </w:pPr>
      <w:r>
        <w:rPr>
          <w:rFonts w:ascii="Times New Roman" w:hAnsi="Times New Roman" w:eastAsia="方正小标宋简体"/>
          <w:color w:val="auto"/>
          <w:sz w:val="36"/>
          <w:szCs w:val="36"/>
          <w:highlight w:val="none"/>
        </w:rPr>
        <w:br w:type="page"/>
      </w:r>
      <w:r>
        <w:rPr>
          <w:rFonts w:hint="eastAsia" w:ascii="Times New Roman" w:hAnsi="Times New Roman" w:eastAsia="黑体"/>
          <w:color w:val="auto"/>
          <w:sz w:val="48"/>
          <w:szCs w:val="48"/>
          <w:highlight w:val="none"/>
        </w:rPr>
        <w:t>目录</w:t>
      </w:r>
    </w:p>
    <w:p>
      <w:pPr>
        <w:widowControl/>
        <w:jc w:val="center"/>
        <w:rPr>
          <w:rFonts w:ascii="Times New Roman" w:hAnsi="Times New Roman" w:eastAsia="黑体" w:cstheme="minorBidi"/>
          <w:color w:val="auto"/>
          <w:sz w:val="28"/>
          <w:szCs w:val="28"/>
          <w:highlight w:val="none"/>
        </w:rPr>
      </w:pPr>
    </w:p>
    <w:p>
      <w:pPr>
        <w:pStyle w:val="13"/>
        <w:rPr>
          <w:rFonts w:ascii="Times New Roman" w:hAnsi="Times New Roman"/>
          <w:color w:val="auto"/>
          <w:highlight w:val="none"/>
        </w:rPr>
      </w:pPr>
      <w:r>
        <w:rPr>
          <w:rFonts w:hint="eastAsia" w:ascii="Times New Roman" w:hAnsi="Times New Roman"/>
          <w:color w:val="auto"/>
          <w:highlight w:val="none"/>
        </w:rPr>
        <w:t>公开时间：20</w:t>
      </w:r>
      <w:r>
        <w:rPr>
          <w:rFonts w:hint="eastAsia" w:ascii="Times New Roman" w:hAnsi="Times New Roman"/>
          <w:color w:val="auto"/>
          <w:highlight w:val="none"/>
          <w:lang w:val="en-US" w:eastAsia="zh-CN"/>
        </w:rPr>
        <w:t>23</w:t>
      </w:r>
      <w:r>
        <w:rPr>
          <w:rFonts w:hint="eastAsia" w:ascii="Times New Roman" w:hAnsi="Times New Roman"/>
          <w:color w:val="auto"/>
          <w:highlight w:val="none"/>
        </w:rPr>
        <w:t>年</w:t>
      </w:r>
      <w:r>
        <w:rPr>
          <w:rFonts w:hint="eastAsia" w:ascii="Times New Roman" w:hAnsi="Times New Roman"/>
          <w:color w:val="auto"/>
          <w:highlight w:val="none"/>
          <w:lang w:val="en-US" w:eastAsia="zh-CN"/>
        </w:rPr>
        <w:t>9</w:t>
      </w:r>
      <w:r>
        <w:rPr>
          <w:rFonts w:hint="eastAsia" w:ascii="Times New Roman" w:hAnsi="Times New Roman"/>
          <w:color w:val="auto"/>
          <w:highlight w:val="none"/>
        </w:rPr>
        <w:t>月</w:t>
      </w:r>
      <w:r>
        <w:rPr>
          <w:rFonts w:hint="eastAsia" w:ascii="Times New Roman" w:hAnsi="Times New Roman"/>
          <w:color w:val="auto"/>
          <w:highlight w:val="none"/>
          <w:lang w:val="en-US" w:eastAsia="zh-CN"/>
        </w:rPr>
        <w:t>26</w:t>
      </w:r>
      <w:r>
        <w:rPr>
          <w:rFonts w:hint="eastAsia" w:ascii="Times New Roman" w:hAnsi="Times New Roman"/>
          <w:color w:val="auto"/>
          <w:highlight w:val="none"/>
        </w:rPr>
        <w:t>日</w:t>
      </w:r>
    </w:p>
    <w:p>
      <w:pPr>
        <w:rPr>
          <w:rFonts w:ascii="Times New Roman" w:hAnsi="Times New Roman"/>
          <w:color w:val="auto"/>
          <w:highlight w:val="none"/>
        </w:rPr>
      </w:pPr>
    </w:p>
    <w:p>
      <w:pPr>
        <w:pStyle w:val="13"/>
        <w:adjustRightInd w:val="0"/>
        <w:snapToGrid w:val="0"/>
        <w:spacing w:before="0" w:line="440" w:lineRule="exact"/>
        <w:jc w:val="left"/>
        <w:rPr>
          <w:rFonts w:hint="default" w:ascii="Times New Roman" w:hAnsi="Times New Roman" w:eastAsia="仿宋" w:cstheme="minorBidi"/>
          <w:color w:val="auto"/>
          <w:sz w:val="30"/>
          <w:szCs w:val="30"/>
          <w:highlight w:val="none"/>
          <w:lang w:val="en-US" w:eastAsia="zh-CN"/>
        </w:rPr>
      </w:pPr>
      <w:r>
        <w:rPr>
          <w:rFonts w:hint="eastAsia" w:ascii="Times New Roman" w:hAnsi="Times New Roman"/>
          <w:color w:val="auto"/>
          <w:sz w:val="30"/>
          <w:szCs w:val="30"/>
          <w:highlight w:val="none"/>
        </w:rPr>
        <w:t>第一部分</w:t>
      </w:r>
      <w:r>
        <w:rPr>
          <w:rFonts w:ascii="Times New Roman" w:hAnsi="Times New Roman"/>
          <w:color w:val="auto"/>
          <w:sz w:val="30"/>
          <w:szCs w:val="30"/>
          <w:highlight w:val="none"/>
        </w:rPr>
        <w:t xml:space="preserve"> </w:t>
      </w:r>
      <w:r>
        <w:rPr>
          <w:rFonts w:hint="eastAsia" w:ascii="Times New Roman" w:hAnsi="Times New Roman"/>
          <w:color w:val="auto"/>
          <w:sz w:val="30"/>
          <w:szCs w:val="30"/>
          <w:highlight w:val="none"/>
        </w:rPr>
        <w:t>部门概况</w:t>
      </w:r>
      <w:r>
        <w:rPr>
          <w:rFonts w:hint="eastAsia" w:ascii="Times New Roman" w:hAnsi="Times New Roman"/>
          <w:color w:val="auto"/>
          <w:sz w:val="30"/>
          <w:szCs w:val="30"/>
          <w:highlight w:val="none"/>
          <w:lang w:val="en-US" w:eastAsia="zh-CN"/>
        </w:rPr>
        <w:t>..........................................................................4</w:t>
      </w:r>
    </w:p>
    <w:p>
      <w:pPr>
        <w:pStyle w:val="14"/>
        <w:adjustRightInd w:val="0"/>
        <w:snapToGrid w:val="0"/>
        <w:spacing w:line="440" w:lineRule="exact"/>
        <w:jc w:val="left"/>
        <w:rPr>
          <w:rFonts w:hint="default" w:ascii="Times New Roman" w:hAnsi="Times New Roman" w:eastAsia="仿宋"/>
          <w:color w:val="auto"/>
          <w:sz w:val="30"/>
          <w:szCs w:val="30"/>
          <w:highlight w:val="none"/>
          <w:lang w:val="en-US"/>
        </w:rPr>
      </w:pPr>
      <w:r>
        <w:rPr>
          <w:rFonts w:hint="eastAsia" w:ascii="Times New Roman" w:hAnsi="Times New Roman"/>
          <w:color w:val="auto"/>
          <w:sz w:val="30"/>
          <w:szCs w:val="30"/>
          <w:highlight w:val="none"/>
        </w:rPr>
        <w:t>一、</w:t>
      </w:r>
      <w:r>
        <w:rPr>
          <w:rFonts w:hint="eastAsia" w:ascii="Times New Roman" w:hAnsi="Times New Roman"/>
          <w:color w:val="auto"/>
          <w:sz w:val="30"/>
          <w:szCs w:val="30"/>
          <w:highlight w:val="none"/>
          <w:lang w:eastAsia="zh-CN"/>
        </w:rPr>
        <w:t>部门职责</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二、机构设置</w:t>
      </w:r>
      <w:r>
        <w:rPr>
          <w:rFonts w:hint="eastAsia" w:ascii="Times New Roman" w:hAnsi="Times New Roman"/>
          <w:color w:val="auto"/>
          <w:sz w:val="30"/>
          <w:szCs w:val="30"/>
          <w:highlight w:val="none"/>
          <w:lang w:val="en-US" w:eastAsia="zh-CN"/>
        </w:rPr>
        <w:t>...............................................................................4</w:t>
      </w:r>
    </w:p>
    <w:p>
      <w:pPr>
        <w:pStyle w:val="13"/>
        <w:adjustRightInd w:val="0"/>
        <w:snapToGrid w:val="0"/>
        <w:spacing w:before="0" w:line="440" w:lineRule="exact"/>
        <w:jc w:val="left"/>
        <w:rPr>
          <w:rFonts w:hint="default" w:ascii="Times New Roman" w:hAnsi="Times New Roman" w:eastAsia="仿宋"/>
          <w:color w:val="auto"/>
          <w:sz w:val="30"/>
          <w:szCs w:val="30"/>
          <w:highlight w:val="none"/>
          <w:lang w:val="en-US" w:eastAsia="zh-CN"/>
        </w:rPr>
      </w:pPr>
      <w:r>
        <w:rPr>
          <w:rFonts w:hint="eastAsia" w:ascii="Times New Roman" w:hAnsi="Times New Roman"/>
          <w:color w:val="auto"/>
          <w:sz w:val="30"/>
          <w:szCs w:val="30"/>
          <w:highlight w:val="none"/>
        </w:rPr>
        <w:t>第二部分</w:t>
      </w:r>
      <w:r>
        <w:rPr>
          <w:rFonts w:hint="eastAsia" w:ascii="Times New Roman" w:hAnsi="Times New Roman"/>
          <w:color w:val="auto"/>
          <w:sz w:val="30"/>
          <w:szCs w:val="30"/>
          <w:highlight w:val="none"/>
          <w:lang w:val="en-US" w:eastAsia="zh-CN"/>
        </w:rPr>
        <w:t xml:space="preserve"> 2022年度</w:t>
      </w:r>
      <w:r>
        <w:rPr>
          <w:rFonts w:hint="eastAsia" w:ascii="Times New Roman" w:hAnsi="Times New Roman"/>
          <w:color w:val="auto"/>
          <w:sz w:val="30"/>
          <w:szCs w:val="30"/>
          <w:highlight w:val="none"/>
        </w:rPr>
        <w:t>部门决算情况说明</w:t>
      </w:r>
      <w:r>
        <w:rPr>
          <w:rFonts w:hint="eastAsia" w:ascii="Times New Roman" w:hAnsi="Times New Roman"/>
          <w:color w:val="auto"/>
          <w:sz w:val="30"/>
          <w:szCs w:val="30"/>
          <w:highlight w:val="none"/>
          <w:lang w:val="en-US" w:eastAsia="zh-CN"/>
        </w:rPr>
        <w:t>..........................................6</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一、收入支出决算总体情况说明</w:t>
      </w:r>
      <w:r>
        <w:rPr>
          <w:rFonts w:hint="eastAsia" w:ascii="Times New Roman" w:hAnsi="Times New Roman"/>
          <w:color w:val="auto"/>
          <w:sz w:val="30"/>
          <w:szCs w:val="30"/>
          <w:highlight w:val="none"/>
          <w:lang w:val="en-US" w:eastAsia="zh-CN"/>
        </w:rPr>
        <w:t>...............................................6</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二、收入决算情况说明</w:t>
      </w:r>
      <w:r>
        <w:rPr>
          <w:rFonts w:hint="eastAsia" w:ascii="Times New Roman" w:hAnsi="Times New Roman"/>
          <w:color w:val="auto"/>
          <w:sz w:val="30"/>
          <w:szCs w:val="30"/>
          <w:highlight w:val="none"/>
          <w:lang w:val="en-US" w:eastAsia="zh-CN"/>
        </w:rPr>
        <w:t>...............................................................6</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三、支出决算情况说明</w:t>
      </w:r>
      <w:r>
        <w:rPr>
          <w:rFonts w:hint="eastAsia" w:ascii="Times New Roman" w:hAnsi="Times New Roman"/>
          <w:color w:val="auto"/>
          <w:sz w:val="30"/>
          <w:szCs w:val="30"/>
          <w:highlight w:val="none"/>
          <w:lang w:val="en-US" w:eastAsia="zh-CN"/>
        </w:rPr>
        <w:t>...............................................................7</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四、财政拨款收入支出决算总体情况说明</w:t>
      </w:r>
      <w:r>
        <w:rPr>
          <w:rFonts w:hint="eastAsia" w:ascii="Times New Roman" w:hAnsi="Times New Roman"/>
          <w:color w:val="auto"/>
          <w:sz w:val="30"/>
          <w:szCs w:val="30"/>
          <w:highlight w:val="none"/>
          <w:lang w:val="en-US" w:eastAsia="zh-CN"/>
        </w:rPr>
        <w:t>...............................8</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五、一般公共预算财政拨款支出决算情况说明</w:t>
      </w:r>
      <w:r>
        <w:rPr>
          <w:rFonts w:hint="eastAsia" w:ascii="Times New Roman" w:hAnsi="Times New Roman"/>
          <w:color w:val="auto"/>
          <w:sz w:val="30"/>
          <w:szCs w:val="30"/>
          <w:highlight w:val="none"/>
          <w:lang w:val="en-US" w:eastAsia="zh-CN"/>
        </w:rPr>
        <w:t>.......................8</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六、一般公共预算财政拨款基本支出决算情况说明</w:t>
      </w:r>
      <w:r>
        <w:rPr>
          <w:rFonts w:hint="eastAsia" w:ascii="Times New Roman" w:hAnsi="Times New Roman"/>
          <w:color w:val="auto"/>
          <w:sz w:val="30"/>
          <w:szCs w:val="30"/>
          <w:highlight w:val="none"/>
          <w:lang w:val="en-US" w:eastAsia="zh-CN"/>
        </w:rPr>
        <w:t>.............10</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七、财政拨款</w:t>
      </w:r>
      <w:r>
        <w:rPr>
          <w:rFonts w:hint="eastAsia" w:ascii="Times New Roman" w:hAnsi="Times New Roman"/>
          <w:color w:val="auto"/>
          <w:sz w:val="30"/>
          <w:szCs w:val="30"/>
          <w:highlight w:val="none"/>
          <w:lang w:eastAsia="zh-CN"/>
        </w:rPr>
        <w:t>“</w:t>
      </w:r>
      <w:r>
        <w:rPr>
          <w:rFonts w:hint="eastAsia" w:ascii="Times New Roman" w:hAnsi="Times New Roman"/>
          <w:color w:val="auto"/>
          <w:sz w:val="30"/>
          <w:szCs w:val="30"/>
          <w:highlight w:val="none"/>
        </w:rPr>
        <w:t>三公”经费支出决算情况说明</w:t>
      </w:r>
      <w:r>
        <w:rPr>
          <w:rFonts w:hint="eastAsia" w:ascii="Times New Roman" w:hAnsi="Times New Roman"/>
          <w:color w:val="auto"/>
          <w:sz w:val="30"/>
          <w:szCs w:val="30"/>
          <w:highlight w:val="none"/>
          <w:lang w:val="en-US" w:eastAsia="zh-CN"/>
        </w:rPr>
        <w:t>......................11</w:t>
      </w:r>
    </w:p>
    <w:p>
      <w:pPr>
        <w:pStyle w:val="14"/>
        <w:adjustRightInd w:val="0"/>
        <w:snapToGrid w:val="0"/>
        <w:spacing w:line="440" w:lineRule="exact"/>
        <w:jc w:val="left"/>
        <w:rPr>
          <w:rFonts w:hint="default" w:ascii="Times New Roman" w:hAnsi="Times New Roman" w:eastAsia="宋体" w:cstheme="minorBidi"/>
          <w:color w:val="auto"/>
          <w:sz w:val="30"/>
          <w:szCs w:val="30"/>
          <w:highlight w:val="none"/>
          <w:lang w:val="en-US" w:eastAsia="zh-CN"/>
        </w:rPr>
      </w:pPr>
      <w:r>
        <w:rPr>
          <w:rFonts w:hint="eastAsia" w:ascii="Times New Roman" w:hAnsi="Times New Roman"/>
          <w:color w:val="auto"/>
          <w:sz w:val="30"/>
          <w:szCs w:val="30"/>
          <w:highlight w:val="none"/>
        </w:rPr>
        <w:t>八、政府性基金预算支出决算情况说明</w:t>
      </w:r>
      <w:r>
        <w:rPr>
          <w:rFonts w:hint="eastAsia" w:ascii="Times New Roman" w:hAnsi="Times New Roman"/>
          <w:color w:val="auto"/>
          <w:sz w:val="30"/>
          <w:szCs w:val="30"/>
          <w:highlight w:val="none"/>
          <w:lang w:val="en-US" w:eastAsia="zh-CN"/>
        </w:rPr>
        <w:t>.................................12</w:t>
      </w:r>
    </w:p>
    <w:p>
      <w:pPr>
        <w:pStyle w:val="14"/>
        <w:adjustRightInd w:val="0"/>
        <w:snapToGrid w:val="0"/>
        <w:spacing w:line="440" w:lineRule="exact"/>
        <w:ind w:leftChars="0"/>
        <w:jc w:val="left"/>
        <w:rPr>
          <w:rFonts w:hint="eastAsia" w:ascii="Times New Roman" w:hAnsi="Times New Roman" w:eastAsiaTheme="minorEastAsia" w:cstheme="minorEastAsia"/>
          <w:color w:val="auto"/>
          <w:sz w:val="30"/>
          <w:szCs w:val="30"/>
          <w:highlight w:val="none"/>
          <w:lang w:val="en-US" w:eastAsia="zh-CN"/>
        </w:rPr>
      </w:pPr>
      <w:r>
        <w:rPr>
          <w:rFonts w:hint="eastAsia" w:ascii="Times New Roman" w:hAnsi="Times New Roman" w:eastAsiaTheme="minorEastAsia" w:cstheme="minorEastAsia"/>
          <w:color w:val="auto"/>
          <w:sz w:val="30"/>
          <w:szCs w:val="30"/>
          <w:highlight w:val="none"/>
        </w:rPr>
        <w:t>九、</w:t>
      </w:r>
      <w:r>
        <w:rPr>
          <w:rFonts w:hint="eastAsia" w:ascii="Times New Roman" w:hAnsi="Times New Roman" w:eastAsiaTheme="minorEastAsia" w:cstheme="minorEastAsia"/>
          <w:color w:val="auto"/>
          <w:sz w:val="30"/>
          <w:szCs w:val="30"/>
          <w:highlight w:val="none"/>
          <w:lang w:eastAsia="zh-CN"/>
        </w:rPr>
        <w:t>国</w:t>
      </w:r>
      <w:r>
        <w:rPr>
          <w:rFonts w:hint="eastAsia" w:ascii="Times New Roman" w:hAnsi="Times New Roman" w:eastAsiaTheme="minorEastAsia" w:cstheme="minorEastAsia"/>
          <w:color w:val="auto"/>
          <w:sz w:val="30"/>
          <w:szCs w:val="30"/>
          <w:highlight w:val="none"/>
        </w:rPr>
        <w:t>有资本经营预算支出决算情况说明</w:t>
      </w:r>
      <w:r>
        <w:rPr>
          <w:rFonts w:hint="eastAsia" w:ascii="Times New Roman" w:hAnsi="Times New Roman" w:eastAsiaTheme="minorEastAsia" w:cstheme="minorEastAsia"/>
          <w:color w:val="auto"/>
          <w:sz w:val="30"/>
          <w:szCs w:val="30"/>
          <w:highlight w:val="none"/>
          <w:lang w:val="en-US" w:eastAsia="zh-CN"/>
        </w:rPr>
        <w:t>.............................12</w:t>
      </w:r>
      <w:r>
        <w:rPr>
          <w:rStyle w:val="19"/>
          <w:rFonts w:hint="eastAsia" w:ascii="Times New Roman" w:hAnsi="Times New Roman" w:eastAsiaTheme="minorEastAsia" w:cstheme="minorEastAsia"/>
          <w:color w:val="auto"/>
          <w:sz w:val="30"/>
          <w:szCs w:val="30"/>
          <w:highlight w:val="none"/>
          <w:u w:val="none"/>
          <w:lang w:eastAsia="zh-CN"/>
        </w:rPr>
        <w:t>十</w:t>
      </w:r>
      <w:r>
        <w:rPr>
          <w:rStyle w:val="19"/>
          <w:rFonts w:hint="eastAsia" w:ascii="Times New Roman" w:hAnsi="Times New Roman" w:eastAsiaTheme="minorEastAsia" w:cstheme="minorEastAsia"/>
          <w:color w:val="auto"/>
          <w:sz w:val="30"/>
          <w:szCs w:val="30"/>
          <w:highlight w:val="none"/>
          <w:u w:val="none"/>
        </w:rPr>
        <w:t>、</w:t>
      </w:r>
      <w:r>
        <w:rPr>
          <w:rFonts w:hint="eastAsia" w:ascii="Times New Roman" w:hAnsi="Times New Roman" w:eastAsiaTheme="minorEastAsia" w:cstheme="minorEastAsia"/>
          <w:color w:val="auto"/>
          <w:sz w:val="30"/>
          <w:szCs w:val="30"/>
          <w:highlight w:val="none"/>
        </w:rPr>
        <w:t>其他重要事项的情况说明</w:t>
      </w:r>
      <w:r>
        <w:rPr>
          <w:rFonts w:hint="eastAsia" w:ascii="Times New Roman" w:hAnsi="Times New Roman" w:eastAsiaTheme="minorEastAsia" w:cstheme="minorEastAsia"/>
          <w:color w:val="auto"/>
          <w:sz w:val="30"/>
          <w:szCs w:val="30"/>
          <w:highlight w:val="none"/>
          <w:lang w:val="en-US" w:eastAsia="zh-CN"/>
        </w:rPr>
        <w:t>......................................</w:t>
      </w:r>
      <w:r>
        <w:rPr>
          <w:rFonts w:hint="eastAsia" w:eastAsiaTheme="minorEastAsia" w:cstheme="minorEastAsia"/>
          <w:color w:val="auto"/>
          <w:sz w:val="30"/>
          <w:szCs w:val="30"/>
          <w:highlight w:val="none"/>
          <w:lang w:val="en-US" w:eastAsia="zh-CN"/>
        </w:rPr>
        <w:t>.</w:t>
      </w:r>
      <w:r>
        <w:rPr>
          <w:rFonts w:hint="eastAsia" w:ascii="Times New Roman" w:hAnsi="Times New Roman" w:eastAsiaTheme="minorEastAsia" w:cstheme="minorEastAsia"/>
          <w:color w:val="auto"/>
          <w:sz w:val="30"/>
          <w:szCs w:val="30"/>
          <w:highlight w:val="none"/>
          <w:lang w:val="en-US" w:eastAsia="zh-CN"/>
        </w:rPr>
        <w:t>..........12</w:t>
      </w:r>
    </w:p>
    <w:p>
      <w:pPr>
        <w:spacing w:line="240" w:lineRule="auto"/>
        <w:ind w:firstLine="300" w:firstLineChars="100"/>
        <w:outlineLvl w:val="2"/>
        <w:rPr>
          <w:rFonts w:hint="default" w:ascii="楷体" w:hAnsi="楷体" w:eastAsia="楷体" w:cs="楷体"/>
          <w:color w:val="auto"/>
          <w:kern w:val="2"/>
          <w:sz w:val="30"/>
          <w:szCs w:val="30"/>
          <w:highlight w:val="none"/>
          <w:lang w:val="en-US" w:eastAsia="zh-CN" w:bidi="ar-SA"/>
        </w:rPr>
      </w:pPr>
      <w:r>
        <w:rPr>
          <w:rFonts w:hint="eastAsia" w:ascii="楷体" w:hAnsi="楷体" w:eastAsia="楷体" w:cs="楷体"/>
          <w:color w:val="auto"/>
          <w:kern w:val="2"/>
          <w:sz w:val="30"/>
          <w:szCs w:val="30"/>
          <w:highlight w:val="none"/>
          <w:lang w:val="en-US" w:eastAsia="zh-CN" w:bidi="ar-SA"/>
        </w:rPr>
        <w:t>（一）机关运行经费支出情况</w:t>
      </w:r>
      <w:r>
        <w:rPr>
          <w:rFonts w:hint="eastAsia" w:ascii="Times New Roman" w:hAnsi="Times New Roman" w:eastAsiaTheme="minorEastAsia" w:cstheme="minorEastAsia"/>
          <w:color w:val="auto"/>
          <w:kern w:val="2"/>
          <w:sz w:val="30"/>
          <w:szCs w:val="30"/>
          <w:highlight w:val="none"/>
          <w:lang w:val="en-US" w:eastAsia="zh-CN" w:bidi="ar-SA"/>
        </w:rPr>
        <w:t>.....................</w:t>
      </w:r>
      <w:r>
        <w:rPr>
          <w:rFonts w:hint="eastAsia" w:eastAsiaTheme="minorEastAsia" w:cstheme="minorEastAsia"/>
          <w:color w:val="auto"/>
          <w:kern w:val="2"/>
          <w:sz w:val="30"/>
          <w:szCs w:val="30"/>
          <w:highlight w:val="none"/>
          <w:lang w:val="en-US" w:eastAsia="zh-CN" w:bidi="ar-SA"/>
        </w:rPr>
        <w:t>..............................12</w:t>
      </w:r>
    </w:p>
    <w:p>
      <w:pPr>
        <w:spacing w:line="240" w:lineRule="auto"/>
        <w:ind w:firstLine="300" w:firstLineChars="100"/>
        <w:outlineLvl w:val="2"/>
        <w:rPr>
          <w:rFonts w:hint="default" w:ascii="楷体" w:hAnsi="楷体" w:eastAsia="楷体" w:cs="楷体"/>
          <w:color w:val="auto"/>
          <w:kern w:val="2"/>
          <w:sz w:val="30"/>
          <w:szCs w:val="30"/>
          <w:highlight w:val="none"/>
          <w:lang w:val="en-US" w:eastAsia="zh-CN" w:bidi="ar-SA"/>
        </w:rPr>
      </w:pPr>
      <w:r>
        <w:rPr>
          <w:rFonts w:hint="eastAsia" w:ascii="楷体" w:hAnsi="楷体" w:eastAsia="楷体" w:cs="楷体"/>
          <w:color w:val="auto"/>
          <w:kern w:val="2"/>
          <w:sz w:val="30"/>
          <w:szCs w:val="30"/>
          <w:highlight w:val="none"/>
          <w:lang w:val="en-US" w:eastAsia="zh-CN" w:bidi="ar-SA"/>
        </w:rPr>
        <w:t>（二）政府采购支出情况</w:t>
      </w:r>
      <w:r>
        <w:rPr>
          <w:rFonts w:hint="eastAsia" w:eastAsiaTheme="minorEastAsia" w:cstheme="minorEastAsia"/>
          <w:color w:val="auto"/>
          <w:kern w:val="2"/>
          <w:sz w:val="30"/>
          <w:szCs w:val="30"/>
          <w:highlight w:val="none"/>
          <w:lang w:val="en-US" w:eastAsia="zh-CN" w:bidi="ar-SA"/>
        </w:rPr>
        <w:t>...........................................................12</w:t>
      </w:r>
    </w:p>
    <w:p>
      <w:pPr>
        <w:spacing w:line="240" w:lineRule="auto"/>
        <w:ind w:firstLine="300" w:firstLineChars="100"/>
        <w:outlineLvl w:val="2"/>
        <w:rPr>
          <w:rFonts w:hint="default" w:ascii="楷体" w:hAnsi="楷体" w:eastAsia="楷体" w:cs="楷体"/>
          <w:color w:val="auto"/>
          <w:kern w:val="2"/>
          <w:sz w:val="30"/>
          <w:szCs w:val="30"/>
          <w:highlight w:val="none"/>
          <w:lang w:val="en-US" w:eastAsia="zh-CN" w:bidi="ar-SA"/>
        </w:rPr>
      </w:pPr>
      <w:r>
        <w:rPr>
          <w:rFonts w:hint="eastAsia" w:ascii="楷体" w:hAnsi="楷体" w:eastAsia="楷体" w:cs="楷体"/>
          <w:color w:val="auto"/>
          <w:kern w:val="2"/>
          <w:sz w:val="30"/>
          <w:szCs w:val="30"/>
          <w:highlight w:val="none"/>
          <w:lang w:val="en-US" w:eastAsia="zh-CN" w:bidi="ar-SA"/>
        </w:rPr>
        <w:t>（三）国有资产占有使用情况</w:t>
      </w:r>
      <w:r>
        <w:rPr>
          <w:rFonts w:hint="eastAsia" w:eastAsiaTheme="minorEastAsia" w:cstheme="minorEastAsia"/>
          <w:color w:val="auto"/>
          <w:kern w:val="2"/>
          <w:sz w:val="30"/>
          <w:szCs w:val="30"/>
          <w:highlight w:val="none"/>
          <w:lang w:val="en-US" w:eastAsia="zh-CN" w:bidi="ar-SA"/>
        </w:rPr>
        <w:t>...................................................12</w:t>
      </w:r>
    </w:p>
    <w:p>
      <w:pPr>
        <w:spacing w:line="240" w:lineRule="auto"/>
        <w:ind w:firstLine="300" w:firstLineChars="100"/>
        <w:outlineLvl w:val="2"/>
        <w:rPr>
          <w:rFonts w:hint="default" w:ascii="楷体" w:hAnsi="楷体" w:eastAsia="楷体" w:cs="楷体"/>
          <w:color w:val="auto"/>
          <w:kern w:val="2"/>
          <w:sz w:val="30"/>
          <w:szCs w:val="30"/>
          <w:highlight w:val="none"/>
          <w:lang w:val="en-US" w:eastAsia="zh-CN" w:bidi="ar-SA"/>
        </w:rPr>
      </w:pPr>
      <w:r>
        <w:rPr>
          <w:rFonts w:hint="eastAsia" w:ascii="楷体" w:hAnsi="楷体" w:eastAsia="楷体" w:cs="楷体"/>
          <w:color w:val="auto"/>
          <w:kern w:val="2"/>
          <w:sz w:val="30"/>
          <w:szCs w:val="30"/>
          <w:highlight w:val="none"/>
          <w:lang w:val="en-US" w:eastAsia="zh-CN" w:bidi="ar-SA"/>
        </w:rPr>
        <w:t>（四）预算绩效管理情况</w:t>
      </w:r>
      <w:r>
        <w:rPr>
          <w:rFonts w:hint="eastAsia" w:eastAsiaTheme="minorEastAsia" w:cstheme="minorEastAsia"/>
          <w:color w:val="auto"/>
          <w:kern w:val="2"/>
          <w:sz w:val="30"/>
          <w:szCs w:val="30"/>
          <w:highlight w:val="none"/>
          <w:lang w:val="en-US" w:eastAsia="zh-CN" w:bidi="ar-SA"/>
        </w:rPr>
        <w:t>...........................................................12</w:t>
      </w:r>
    </w:p>
    <w:p>
      <w:pPr>
        <w:pStyle w:val="13"/>
        <w:adjustRightInd w:val="0"/>
        <w:snapToGrid w:val="0"/>
        <w:spacing w:before="0" w:line="440" w:lineRule="exact"/>
        <w:jc w:val="left"/>
        <w:rPr>
          <w:rFonts w:hint="default" w:ascii="Times New Roman" w:hAnsi="Times New Roman" w:eastAsia="仿宋" w:cstheme="minorBidi"/>
          <w:color w:val="auto"/>
          <w:sz w:val="30"/>
          <w:szCs w:val="30"/>
          <w:highlight w:val="none"/>
          <w:lang w:val="en-US" w:eastAsia="zh-CN"/>
        </w:rPr>
      </w:pPr>
      <w:r>
        <w:rPr>
          <w:rFonts w:hint="eastAsia" w:ascii="Times New Roman" w:hAnsi="Times New Roman"/>
          <w:color w:val="auto"/>
          <w:sz w:val="30"/>
          <w:szCs w:val="30"/>
          <w:highlight w:val="none"/>
        </w:rPr>
        <w:t>第三部分</w:t>
      </w:r>
      <w:r>
        <w:rPr>
          <w:rFonts w:hint="eastAsia" w:ascii="Times New Roman" w:hAnsi="Times New Roman"/>
          <w:color w:val="auto"/>
          <w:sz w:val="30"/>
          <w:szCs w:val="30"/>
          <w:highlight w:val="none"/>
          <w:lang w:val="en-US" w:eastAsia="zh-CN"/>
        </w:rPr>
        <w:t xml:space="preserve"> </w:t>
      </w:r>
      <w:r>
        <w:rPr>
          <w:rFonts w:hint="eastAsia" w:ascii="Times New Roman" w:hAnsi="Times New Roman"/>
          <w:color w:val="auto"/>
          <w:sz w:val="30"/>
          <w:szCs w:val="30"/>
          <w:highlight w:val="none"/>
        </w:rPr>
        <w:t>名词解释</w:t>
      </w:r>
      <w:r>
        <w:rPr>
          <w:rFonts w:hint="eastAsia" w:ascii="Times New Roman" w:hAnsi="Times New Roman"/>
          <w:color w:val="auto"/>
          <w:sz w:val="30"/>
          <w:szCs w:val="30"/>
          <w:highlight w:val="none"/>
          <w:lang w:val="en-US" w:eastAsia="zh-CN"/>
        </w:rPr>
        <w:t>........................................................................15</w:t>
      </w:r>
    </w:p>
    <w:p>
      <w:pPr>
        <w:pStyle w:val="13"/>
        <w:adjustRightInd w:val="0"/>
        <w:snapToGrid w:val="0"/>
        <w:spacing w:before="0" w:line="440" w:lineRule="exact"/>
        <w:jc w:val="left"/>
        <w:rPr>
          <w:rFonts w:hint="eastAsia" w:ascii="Times New Roman" w:hAnsi="Times New Roman"/>
          <w:color w:val="auto"/>
          <w:sz w:val="30"/>
          <w:szCs w:val="30"/>
          <w:highlight w:val="none"/>
          <w:lang w:val="en-US" w:eastAsia="zh-CN"/>
        </w:rPr>
      </w:pPr>
      <w:r>
        <w:rPr>
          <w:rFonts w:hint="eastAsia" w:ascii="Times New Roman" w:hAnsi="Times New Roman"/>
          <w:color w:val="auto"/>
          <w:sz w:val="30"/>
          <w:szCs w:val="30"/>
          <w:highlight w:val="none"/>
        </w:rPr>
        <w:t>第四部分</w:t>
      </w:r>
      <w:r>
        <w:rPr>
          <w:rFonts w:ascii="Times New Roman" w:hAnsi="Times New Roman"/>
          <w:color w:val="auto"/>
          <w:sz w:val="30"/>
          <w:szCs w:val="30"/>
          <w:highlight w:val="none"/>
        </w:rPr>
        <w:t xml:space="preserve"> </w:t>
      </w:r>
      <w:r>
        <w:rPr>
          <w:rFonts w:hint="eastAsia" w:ascii="Times New Roman" w:hAnsi="Times New Roman"/>
          <w:color w:val="auto"/>
          <w:sz w:val="30"/>
          <w:szCs w:val="30"/>
          <w:highlight w:val="none"/>
        </w:rPr>
        <w:t>附件</w:t>
      </w:r>
      <w:r>
        <w:rPr>
          <w:rFonts w:hint="eastAsia" w:ascii="Times New Roman" w:hAnsi="Times New Roman"/>
          <w:color w:val="auto"/>
          <w:sz w:val="30"/>
          <w:szCs w:val="30"/>
          <w:highlight w:val="none"/>
          <w:lang w:val="en-US" w:eastAsia="zh-CN"/>
        </w:rPr>
        <w:t>................................................................................17</w:t>
      </w:r>
    </w:p>
    <w:p>
      <w:pPr>
        <w:spacing w:line="240" w:lineRule="auto"/>
        <w:ind w:firstLine="600" w:firstLineChars="200"/>
        <w:outlineLvl w:val="2"/>
        <w:rPr>
          <w:rFonts w:hint="default" w:ascii="楷体" w:hAnsi="楷体" w:eastAsia="楷体" w:cs="楷体"/>
          <w:color w:val="auto"/>
          <w:kern w:val="2"/>
          <w:sz w:val="30"/>
          <w:szCs w:val="30"/>
          <w:highlight w:val="none"/>
          <w:lang w:val="en-US" w:eastAsia="zh-CN" w:bidi="ar-SA"/>
        </w:rPr>
      </w:pPr>
      <w:r>
        <w:rPr>
          <w:rFonts w:hint="eastAsia" w:ascii="楷体" w:hAnsi="楷体" w:eastAsia="楷体" w:cs="楷体"/>
          <w:color w:val="auto"/>
          <w:kern w:val="2"/>
          <w:sz w:val="30"/>
          <w:szCs w:val="30"/>
          <w:highlight w:val="none"/>
          <w:lang w:val="en-US" w:eastAsia="zh-CN" w:bidi="ar-SA"/>
        </w:rPr>
        <w:t>广元市昭化区人民医院2022年部门整体支出绩效自评报告（自评表）</w:t>
      </w:r>
      <w:r>
        <w:rPr>
          <w:rFonts w:hint="eastAsia" w:eastAsiaTheme="minorEastAsia" w:cstheme="minorEastAsia"/>
          <w:color w:val="auto"/>
          <w:kern w:val="2"/>
          <w:sz w:val="30"/>
          <w:szCs w:val="30"/>
          <w:highlight w:val="none"/>
          <w:lang w:val="en-US" w:eastAsia="zh-CN" w:bidi="ar-SA"/>
        </w:rPr>
        <w:t>......................................................................................17</w:t>
      </w:r>
    </w:p>
    <w:p>
      <w:pPr>
        <w:spacing w:line="240" w:lineRule="auto"/>
        <w:ind w:firstLine="600" w:firstLineChars="200"/>
        <w:outlineLvl w:val="2"/>
        <w:rPr>
          <w:rFonts w:hint="default" w:ascii="楷体" w:hAnsi="楷体" w:eastAsia="楷体" w:cs="楷体"/>
          <w:color w:val="auto"/>
          <w:kern w:val="2"/>
          <w:sz w:val="30"/>
          <w:szCs w:val="30"/>
          <w:highlight w:val="none"/>
          <w:lang w:val="en-US" w:eastAsia="zh-CN" w:bidi="ar-SA"/>
        </w:rPr>
      </w:pPr>
      <w:r>
        <w:rPr>
          <w:rFonts w:hint="eastAsia" w:ascii="楷体" w:hAnsi="楷体" w:eastAsia="楷体" w:cs="楷体"/>
          <w:color w:val="auto"/>
          <w:kern w:val="2"/>
          <w:sz w:val="30"/>
          <w:szCs w:val="30"/>
          <w:highlight w:val="none"/>
          <w:lang w:val="en-US" w:eastAsia="zh-CN" w:bidi="ar-SA"/>
        </w:rPr>
        <w:t>广元市昭化区人民医院2022年公共卫生岗位人员经费项目支出绩效</w:t>
      </w:r>
      <w:r>
        <w:rPr>
          <w:rFonts w:hint="default" w:ascii="楷体" w:hAnsi="楷体" w:eastAsia="楷体" w:cs="楷体"/>
          <w:color w:val="auto"/>
          <w:kern w:val="2"/>
          <w:sz w:val="30"/>
          <w:szCs w:val="30"/>
          <w:highlight w:val="none"/>
          <w:lang w:val="en-US" w:eastAsia="zh-CN" w:bidi="ar-SA"/>
        </w:rPr>
        <w:t>自评报告</w:t>
      </w:r>
      <w:r>
        <w:rPr>
          <w:rFonts w:hint="eastAsia" w:ascii="楷体" w:hAnsi="楷体" w:eastAsia="楷体" w:cs="楷体"/>
          <w:color w:val="auto"/>
          <w:kern w:val="2"/>
          <w:sz w:val="30"/>
          <w:szCs w:val="30"/>
          <w:highlight w:val="none"/>
          <w:lang w:val="en-US" w:eastAsia="zh-CN" w:bidi="ar-SA"/>
        </w:rPr>
        <w:t>（自评表）</w:t>
      </w:r>
      <w:r>
        <w:rPr>
          <w:rFonts w:hint="eastAsia" w:eastAsiaTheme="minorEastAsia" w:cstheme="minorEastAsia"/>
          <w:color w:val="auto"/>
          <w:kern w:val="2"/>
          <w:sz w:val="30"/>
          <w:szCs w:val="30"/>
          <w:highlight w:val="none"/>
          <w:lang w:val="en-US" w:eastAsia="zh-CN" w:bidi="ar-SA"/>
        </w:rPr>
        <w:t>......................................................29</w:t>
      </w:r>
    </w:p>
    <w:p>
      <w:pPr>
        <w:spacing w:line="240" w:lineRule="auto"/>
        <w:ind w:firstLine="600" w:firstLineChars="200"/>
        <w:outlineLvl w:val="2"/>
        <w:rPr>
          <w:rFonts w:hint="default" w:ascii="楷体" w:hAnsi="楷体" w:eastAsia="楷体" w:cs="楷体"/>
          <w:color w:val="auto"/>
          <w:kern w:val="2"/>
          <w:sz w:val="30"/>
          <w:szCs w:val="30"/>
          <w:highlight w:val="none"/>
          <w:lang w:val="en-US" w:eastAsia="zh-CN" w:bidi="ar-SA"/>
        </w:rPr>
      </w:pPr>
      <w:r>
        <w:rPr>
          <w:rFonts w:hint="eastAsia" w:ascii="楷体" w:hAnsi="楷体" w:eastAsia="楷体" w:cs="楷体"/>
          <w:color w:val="auto"/>
          <w:kern w:val="2"/>
          <w:sz w:val="30"/>
          <w:szCs w:val="30"/>
          <w:highlight w:val="none"/>
          <w:lang w:val="en-US" w:eastAsia="zh-CN" w:bidi="ar-SA"/>
        </w:rPr>
        <w:t>广元市昭化区人民医院关于2022年债务化解项目</w:t>
      </w:r>
      <w:r>
        <w:rPr>
          <w:rFonts w:hint="default" w:ascii="楷体" w:hAnsi="楷体" w:eastAsia="楷体" w:cs="楷体"/>
          <w:color w:val="auto"/>
          <w:kern w:val="2"/>
          <w:sz w:val="30"/>
          <w:szCs w:val="30"/>
          <w:highlight w:val="none"/>
          <w:lang w:val="en-US" w:eastAsia="zh-CN" w:bidi="ar-SA"/>
        </w:rPr>
        <w:t>支出绩效自评报告</w:t>
      </w:r>
      <w:r>
        <w:rPr>
          <w:rFonts w:hint="eastAsia" w:ascii="楷体" w:hAnsi="楷体" w:eastAsia="楷体" w:cs="楷体"/>
          <w:color w:val="auto"/>
          <w:kern w:val="2"/>
          <w:sz w:val="30"/>
          <w:szCs w:val="30"/>
          <w:highlight w:val="none"/>
          <w:lang w:val="en-US" w:eastAsia="zh-CN" w:bidi="ar-SA"/>
        </w:rPr>
        <w:t>（自评表）</w:t>
      </w:r>
      <w:r>
        <w:rPr>
          <w:rFonts w:hint="eastAsia" w:eastAsiaTheme="minorEastAsia" w:cstheme="minorEastAsia"/>
          <w:color w:val="auto"/>
          <w:kern w:val="2"/>
          <w:sz w:val="30"/>
          <w:szCs w:val="30"/>
          <w:highlight w:val="none"/>
          <w:lang w:val="en-US" w:eastAsia="zh-CN" w:bidi="ar-SA"/>
        </w:rPr>
        <w:t>......................................................................35</w:t>
      </w:r>
    </w:p>
    <w:p>
      <w:pPr>
        <w:pStyle w:val="13"/>
        <w:adjustRightInd w:val="0"/>
        <w:snapToGrid w:val="0"/>
        <w:spacing w:before="0" w:line="440" w:lineRule="exact"/>
        <w:jc w:val="left"/>
        <w:rPr>
          <w:rFonts w:hint="default" w:ascii="Times New Roman" w:hAnsi="Times New Roman" w:eastAsia="仿宋" w:cstheme="minorBidi"/>
          <w:color w:val="auto"/>
          <w:sz w:val="30"/>
          <w:szCs w:val="30"/>
          <w:highlight w:val="none"/>
          <w:lang w:val="en-US" w:eastAsia="zh-CN"/>
        </w:rPr>
      </w:pPr>
      <w:r>
        <w:rPr>
          <w:rFonts w:hint="eastAsia" w:ascii="Times New Roman" w:hAnsi="Times New Roman"/>
          <w:color w:val="auto"/>
          <w:sz w:val="30"/>
          <w:szCs w:val="30"/>
          <w:highlight w:val="none"/>
        </w:rPr>
        <w:t>第五部分</w:t>
      </w:r>
      <w:r>
        <w:rPr>
          <w:rFonts w:ascii="Times New Roman" w:hAnsi="Times New Roman"/>
          <w:color w:val="auto"/>
          <w:sz w:val="30"/>
          <w:szCs w:val="30"/>
          <w:highlight w:val="none"/>
        </w:rPr>
        <w:t xml:space="preserve"> </w:t>
      </w:r>
      <w:r>
        <w:rPr>
          <w:rFonts w:hint="eastAsia" w:ascii="Times New Roman" w:hAnsi="Times New Roman"/>
          <w:color w:val="auto"/>
          <w:sz w:val="30"/>
          <w:szCs w:val="30"/>
          <w:highlight w:val="none"/>
        </w:rPr>
        <w:t>附表</w:t>
      </w:r>
      <w:r>
        <w:rPr>
          <w:rFonts w:hint="eastAsia" w:ascii="Times New Roman" w:hAnsi="Times New Roman"/>
          <w:color w:val="auto"/>
          <w:sz w:val="30"/>
          <w:szCs w:val="30"/>
          <w:highlight w:val="none"/>
          <w:lang w:val="en-US" w:eastAsia="zh-CN"/>
        </w:rPr>
        <w:t>................................................................................41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一、收入支出决算总表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二、收入决算表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三、支出决算表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四、财政拨款收入支出决算总表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r>
        <w:rPr>
          <w:rFonts w:hint="eastAsia" w:ascii="Times New Roman" w:hAnsi="Times New Roman"/>
          <w:color w:val="auto"/>
          <w:sz w:val="30"/>
          <w:szCs w:val="30"/>
          <w:highlight w:val="none"/>
        </w:rPr>
        <w:t>五、财政拨款支出决算明细表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六、一般公共预算财政拨款支出决算表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七、一般公共预算财政拨款支出决算明细表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r>
        <w:rPr>
          <w:rFonts w:hint="eastAsia" w:ascii="Times New Roman" w:hAnsi="Times New Roman"/>
          <w:color w:val="auto"/>
          <w:sz w:val="30"/>
          <w:szCs w:val="30"/>
          <w:highlight w:val="none"/>
        </w:rPr>
        <w:t>八、一般公共预算财政拨款基本支出决算</w:t>
      </w:r>
      <w:r>
        <w:rPr>
          <w:rFonts w:hint="eastAsia" w:ascii="Times New Roman" w:hAnsi="Times New Roman"/>
          <w:color w:val="auto"/>
          <w:sz w:val="30"/>
          <w:szCs w:val="30"/>
          <w:highlight w:val="none"/>
          <w:lang w:eastAsia="zh-CN"/>
        </w:rPr>
        <w:t>明细</w:t>
      </w:r>
      <w:r>
        <w:rPr>
          <w:rFonts w:hint="eastAsia" w:ascii="Times New Roman" w:hAnsi="Times New Roman"/>
          <w:color w:val="auto"/>
          <w:sz w:val="30"/>
          <w:szCs w:val="30"/>
          <w:highlight w:val="none"/>
        </w:rPr>
        <w:t>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九、一般公共预算财政拨款项目支出决算表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十、政府性基金预算财政拨款收入支出决算表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olor w:val="auto"/>
          <w:sz w:val="30"/>
          <w:szCs w:val="30"/>
          <w:highlight w:val="none"/>
          <w:lang w:val="en-US" w:eastAsia="zh-CN"/>
        </w:rPr>
      </w:pPr>
      <w:r>
        <w:rPr>
          <w:rFonts w:hint="eastAsia" w:ascii="Times New Roman" w:hAnsi="Times New Roman"/>
          <w:color w:val="auto"/>
          <w:sz w:val="30"/>
          <w:szCs w:val="30"/>
          <w:highlight w:val="none"/>
        </w:rPr>
        <w:t>十一、国有资本经营预算财政拨款收入支出决算表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color w:val="auto"/>
          <w:sz w:val="30"/>
          <w:szCs w:val="30"/>
          <w:highlight w:val="none"/>
          <w:lang w:val="en-US"/>
        </w:rPr>
      </w:pPr>
      <w:r>
        <w:rPr>
          <w:rFonts w:hint="eastAsia" w:ascii="Times New Roman" w:hAnsi="Times New Roman"/>
          <w:color w:val="auto"/>
          <w:sz w:val="30"/>
          <w:szCs w:val="30"/>
          <w:highlight w:val="none"/>
        </w:rPr>
        <w:t>十二、</w:t>
      </w:r>
      <w:r>
        <w:rPr>
          <w:rFonts w:hint="eastAsia" w:ascii="Times New Roman" w:hAnsi="Times New Roman"/>
          <w:color w:val="auto"/>
          <w:sz w:val="30"/>
          <w:szCs w:val="30"/>
          <w:highlight w:val="none"/>
          <w:lang w:val="en-US" w:eastAsia="zh-CN"/>
        </w:rPr>
        <w:t>国有资本经营预算财政拨款支出决算表..............</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pStyle w:val="14"/>
        <w:adjustRightInd w:val="0"/>
        <w:snapToGrid w:val="0"/>
        <w:spacing w:line="440" w:lineRule="exact"/>
        <w:jc w:val="left"/>
        <w:rPr>
          <w:rFonts w:hint="default" w:ascii="Times New Roman" w:hAnsi="Times New Roman" w:eastAsia="宋体" w:cstheme="minorEastAsia"/>
          <w:color w:val="auto"/>
          <w:sz w:val="30"/>
          <w:szCs w:val="30"/>
          <w:highlight w:val="none"/>
          <w:lang w:val="en-US" w:eastAsia="zh-CN"/>
        </w:rPr>
      </w:pPr>
      <w:r>
        <w:rPr>
          <w:rFonts w:hint="eastAsia" w:ascii="Times New Roman" w:hAnsi="Times New Roman"/>
          <w:color w:val="auto"/>
          <w:sz w:val="30"/>
          <w:szCs w:val="30"/>
          <w:highlight w:val="none"/>
        </w:rPr>
        <w:t>十三、财政拨款“三公”经费支出决算表</w:t>
      </w:r>
      <w:r>
        <w:rPr>
          <w:rFonts w:hint="eastAsia" w:ascii="Times New Roman" w:hAnsi="Times New Roman"/>
          <w:color w:val="auto"/>
          <w:sz w:val="30"/>
          <w:szCs w:val="30"/>
          <w:highlight w:val="none"/>
          <w:lang w:val="en-US" w:eastAsia="zh-CN"/>
        </w:rPr>
        <w:t>....................</w:t>
      </w:r>
      <w:r>
        <w:rPr>
          <w:rFonts w:hint="eastAsia"/>
          <w:color w:val="auto"/>
          <w:sz w:val="30"/>
          <w:szCs w:val="30"/>
          <w:highlight w:val="none"/>
          <w:lang w:val="en-US" w:eastAsia="zh-CN"/>
        </w:rPr>
        <w:t>..</w:t>
      </w:r>
      <w:r>
        <w:rPr>
          <w:rFonts w:hint="eastAsia" w:ascii="Times New Roman" w:hAnsi="Times New Roman"/>
          <w:color w:val="auto"/>
          <w:sz w:val="30"/>
          <w:szCs w:val="30"/>
          <w:highlight w:val="none"/>
          <w:lang w:val="en-US" w:eastAsia="zh-CN"/>
        </w:rPr>
        <w:t>.......4</w:t>
      </w:r>
      <w:r>
        <w:rPr>
          <w:rFonts w:hint="eastAsia"/>
          <w:color w:val="auto"/>
          <w:sz w:val="30"/>
          <w:szCs w:val="30"/>
          <w:highlight w:val="none"/>
          <w:lang w:val="en-US" w:eastAsia="zh-CN"/>
        </w:rPr>
        <w:t>1</w:t>
      </w:r>
    </w:p>
    <w:p>
      <w:pPr>
        <w:widowControl/>
        <w:spacing w:line="440" w:lineRule="exact"/>
        <w:jc w:val="left"/>
        <w:rPr>
          <w:rFonts w:ascii="Times New Roman" w:hAnsi="Times New Roman" w:eastAsia="仿宋"/>
          <w:bCs/>
          <w:color w:val="auto"/>
          <w:kern w:val="44"/>
          <w:sz w:val="24"/>
          <w:highlight w:val="none"/>
        </w:rPr>
      </w:pPr>
      <w:bookmarkStart w:id="12" w:name="_Toc15396599"/>
      <w:bookmarkStart w:id="13" w:name="_Toc15377196"/>
      <w:r>
        <w:rPr>
          <w:rFonts w:ascii="Times New Roman" w:hAnsi="Times New Roman" w:eastAsia="仿宋"/>
          <w:b/>
          <w:color w:val="auto"/>
          <w:sz w:val="24"/>
          <w:highlight w:val="none"/>
        </w:rPr>
        <w:br w:type="page"/>
      </w:r>
    </w:p>
    <w:p>
      <w:pPr>
        <w:pStyle w:val="3"/>
        <w:jc w:val="center"/>
        <w:rPr>
          <w:rStyle w:val="29"/>
          <w:rFonts w:ascii="Times New Roman" w:hAnsi="Times New Roman" w:eastAsia="黑体"/>
          <w:b/>
          <w:bCs w:val="0"/>
          <w:color w:val="auto"/>
          <w:highlight w:val="none"/>
        </w:rPr>
      </w:pPr>
      <w:r>
        <w:rPr>
          <w:rFonts w:hint="eastAsia" w:ascii="Times New Roman" w:hAnsi="Times New Roman" w:eastAsia="黑体"/>
          <w:b w:val="0"/>
          <w:color w:val="auto"/>
          <w:highlight w:val="none"/>
        </w:rPr>
        <w:t xml:space="preserve">第一部分 </w:t>
      </w:r>
      <w:r>
        <w:rPr>
          <w:rStyle w:val="29"/>
          <w:rFonts w:hint="eastAsia" w:ascii="Times New Roman" w:hAnsi="Times New Roman" w:eastAsia="黑体"/>
          <w:b w:val="0"/>
          <w:bCs w:val="0"/>
          <w:color w:val="auto"/>
          <w:highlight w:val="none"/>
        </w:rPr>
        <w:t>部门概况</w:t>
      </w:r>
      <w:bookmarkEnd w:id="12"/>
      <w:bookmarkEnd w:id="13"/>
    </w:p>
    <w:p>
      <w:pPr>
        <w:widowControl/>
        <w:jc w:val="left"/>
        <w:rPr>
          <w:rFonts w:ascii="Times New Roman" w:hAnsi="Times New Roman" w:eastAsia="黑体"/>
          <w:color w:val="auto"/>
          <w:sz w:val="32"/>
          <w:szCs w:val="32"/>
          <w:highlight w:val="none"/>
        </w:rPr>
      </w:pPr>
    </w:p>
    <w:p>
      <w:pPr>
        <w:pStyle w:val="4"/>
        <w:numPr>
          <w:ilvl w:val="0"/>
          <w:numId w:val="0"/>
        </w:numPr>
        <w:spacing w:before="0" w:after="0" w:line="240" w:lineRule="auto"/>
        <w:ind w:firstLine="640" w:firstLineChars="200"/>
        <w:jc w:val="left"/>
        <w:rPr>
          <w:rFonts w:hint="eastAsia" w:ascii="Times New Roman" w:hAnsi="Times New Roman" w:eastAsia="黑体"/>
          <w:b w:val="0"/>
          <w:color w:val="auto"/>
          <w:highlight w:val="none"/>
          <w:lang w:eastAsia="zh-CN"/>
        </w:rPr>
      </w:pPr>
      <w:r>
        <w:rPr>
          <w:rFonts w:hint="eastAsia" w:ascii="Times New Roman" w:hAnsi="Times New Roman" w:eastAsia="黑体"/>
          <w:b w:val="0"/>
          <w:color w:val="auto"/>
          <w:highlight w:val="none"/>
          <w:lang w:val="en-US" w:eastAsia="zh-CN"/>
        </w:rPr>
        <w:t>一、</w:t>
      </w:r>
      <w:r>
        <w:rPr>
          <w:rFonts w:hint="eastAsia" w:ascii="Times New Roman" w:hAnsi="Times New Roman" w:eastAsia="黑体"/>
          <w:b w:val="0"/>
          <w:color w:val="auto"/>
          <w:highlight w:val="none"/>
          <w:lang w:eastAsia="zh-CN"/>
        </w:rPr>
        <w:t>部门职责</w:t>
      </w:r>
    </w:p>
    <w:p>
      <w:pPr>
        <w:widowControl/>
        <w:spacing w:line="560" w:lineRule="exact"/>
        <w:ind w:firstLine="645"/>
        <w:jc w:val="left"/>
        <w:rPr>
          <w:rFonts w:hint="eastAsia" w:ascii="Times New Roman" w:hAnsi="Times New Roman"/>
          <w:color w:val="auto"/>
          <w:lang w:eastAsia="zh-CN"/>
        </w:rPr>
      </w:pPr>
      <w:r>
        <w:rPr>
          <w:rFonts w:hint="eastAsia" w:ascii="Times New Roman" w:hAnsi="Times New Roman" w:eastAsia="仿宋_GB2312" w:cs="仿宋_GB2312"/>
          <w:b w:val="0"/>
          <w:i w:val="0"/>
          <w:caps w:val="0"/>
          <w:color w:val="auto"/>
          <w:spacing w:val="0"/>
          <w:sz w:val="32"/>
          <w:szCs w:val="32"/>
          <w:shd w:val="clear" w:color="auto" w:fill="FFFFFF"/>
        </w:rPr>
        <w:t>广元市昭化区</w:t>
      </w:r>
      <w:r>
        <w:rPr>
          <w:rFonts w:hint="eastAsia" w:ascii="Times New Roman" w:hAnsi="Times New Roman" w:eastAsia="仿宋_GB2312" w:cs="仿宋_GB2312"/>
          <w:b w:val="0"/>
          <w:i w:val="0"/>
          <w:caps w:val="0"/>
          <w:color w:val="auto"/>
          <w:spacing w:val="0"/>
          <w:sz w:val="32"/>
          <w:szCs w:val="32"/>
          <w:shd w:val="clear" w:color="auto" w:fill="FFFFFF"/>
          <w:lang w:eastAsia="zh-CN"/>
        </w:rPr>
        <w:t>人民医院</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为</w:t>
      </w:r>
      <w:r>
        <w:rPr>
          <w:rFonts w:hint="eastAsia" w:ascii="Times New Roman" w:hAnsi="Times New Roman" w:eastAsia="仿宋_GB2312" w:cs="仿宋_GB2312"/>
          <w:b w:val="0"/>
          <w:i w:val="0"/>
          <w:caps w:val="0"/>
          <w:color w:val="auto"/>
          <w:spacing w:val="0"/>
          <w:sz w:val="32"/>
          <w:szCs w:val="32"/>
          <w:shd w:val="clear" w:color="auto" w:fill="FFFFFF"/>
          <w:lang w:eastAsia="zh-CN"/>
        </w:rPr>
        <w:t>区内唯一一所集医疗、急救、科研、教学为一体的二级甲等综合性医院</w:t>
      </w:r>
      <w:r>
        <w:rPr>
          <w:rFonts w:hint="eastAsia" w:ascii="Times New Roman" w:hAnsi="Times New Roman" w:cs="仿宋_GB2312"/>
          <w:b w:val="0"/>
          <w:i w:val="0"/>
          <w:caps w:val="0"/>
          <w:color w:val="auto"/>
          <w:spacing w:val="0"/>
          <w:sz w:val="32"/>
          <w:szCs w:val="32"/>
          <w:shd w:val="clear" w:color="auto" w:fill="FFFFFF"/>
          <w:lang w:eastAsia="zh-CN"/>
        </w:rPr>
        <w:t>。</w:t>
      </w:r>
      <w:r>
        <w:rPr>
          <w:rFonts w:hint="eastAsia" w:ascii="Times New Roman" w:hAnsi="Times New Roman" w:eastAsia="仿宋_GB2312" w:cs="仿宋_GB2312"/>
          <w:b w:val="0"/>
          <w:i w:val="0"/>
          <w:caps w:val="0"/>
          <w:color w:val="auto"/>
          <w:spacing w:val="0"/>
          <w:sz w:val="32"/>
          <w:szCs w:val="32"/>
          <w:shd w:val="clear" w:color="auto" w:fill="FFFFFF"/>
          <w:lang w:eastAsia="zh-CN"/>
        </w:rPr>
        <w:t>主要负责区域基本医疗服务、危急重症病人的抢救和公共卫生救治，并承担对乡镇（中心）卫生院、街道社区卫生服务中心、村卫生室、社区卫生服务站的业务技术指导和卫生人员的进修培训。完成</w:t>
      </w:r>
      <w:r>
        <w:rPr>
          <w:rFonts w:hint="eastAsia" w:ascii="Times New Roman" w:hAnsi="Times New Roman" w:eastAsia="仿宋_GB2312" w:cs="仿宋_GB2312"/>
          <w:b w:val="0"/>
          <w:i w:val="0"/>
          <w:caps w:val="0"/>
          <w:color w:val="auto"/>
          <w:spacing w:val="0"/>
          <w:sz w:val="32"/>
          <w:szCs w:val="32"/>
          <w:shd w:val="clear" w:color="auto" w:fill="FFFFFF"/>
          <w:lang w:val="en-US" w:eastAsia="zh-CN"/>
        </w:rPr>
        <w:t>卫生健康</w:t>
      </w:r>
      <w:r>
        <w:rPr>
          <w:rFonts w:hint="eastAsia" w:ascii="Times New Roman" w:hAnsi="Times New Roman" w:eastAsia="仿宋_GB2312" w:cs="仿宋_GB2312"/>
          <w:b w:val="0"/>
          <w:i w:val="0"/>
          <w:caps w:val="0"/>
          <w:color w:val="auto"/>
          <w:spacing w:val="0"/>
          <w:sz w:val="32"/>
          <w:szCs w:val="32"/>
          <w:shd w:val="clear" w:color="auto" w:fill="FFFFFF"/>
          <w:lang w:eastAsia="zh-CN"/>
        </w:rPr>
        <w:t>行政部门安排的卫生支农工作，承担一定的教学和科研任务。医院同时承担着昭化区及毗邻地区常见病、多发病，疑难危急重症疾病的诊治、转诊及会诊任务，也是全区唯一一家传染病疫情防控定点医院。在区委、区政府坚强领导下，在市、区卫生行政主管部门的大力支持下，昭化区人民医院领导班子及全体职工将紧密团结，继续奋力开拓创新，通过创建检验、影像、麻醉、呼吸、消化等重点专科及创建县级胸痛中心、脑卒中心、创伤中心，以点带面，奋力拼搏，高位求进，全力做好人民群众健康守护神</w:t>
      </w:r>
      <w:r>
        <w:rPr>
          <w:rFonts w:hint="eastAsia" w:ascii="Times New Roman" w:hAnsi="Times New Roman" w:cs="仿宋_GB2312"/>
          <w:b w:val="0"/>
          <w:i w:val="0"/>
          <w:caps w:val="0"/>
          <w:color w:val="auto"/>
          <w:spacing w:val="0"/>
          <w:sz w:val="32"/>
          <w:szCs w:val="32"/>
          <w:shd w:val="clear" w:color="auto" w:fill="FFFFFF"/>
          <w:lang w:eastAsia="zh-CN"/>
        </w:rPr>
        <w:t>。</w:t>
      </w:r>
    </w:p>
    <w:p>
      <w:pPr>
        <w:pStyle w:val="4"/>
        <w:spacing w:before="0" w:after="0" w:line="240" w:lineRule="auto"/>
        <w:ind w:firstLine="640" w:firstLineChars="200"/>
        <w:rPr>
          <w:rStyle w:val="30"/>
          <w:rFonts w:ascii="Times New Roman" w:hAnsi="Times New Roman"/>
          <w:b w:val="0"/>
          <w:bCs w:val="0"/>
          <w:color w:val="auto"/>
          <w:highlight w:val="none"/>
        </w:rPr>
      </w:pPr>
      <w:bookmarkStart w:id="14" w:name="_Toc15377200"/>
      <w:bookmarkStart w:id="15" w:name="_Toc15396601"/>
      <w:r>
        <w:rPr>
          <w:rFonts w:hint="eastAsia" w:ascii="Times New Roman" w:hAnsi="Times New Roman" w:eastAsia="黑体"/>
          <w:b w:val="0"/>
          <w:color w:val="auto"/>
          <w:highlight w:val="none"/>
        </w:rPr>
        <w:t>二、机</w:t>
      </w:r>
      <w:r>
        <w:rPr>
          <w:rStyle w:val="30"/>
          <w:rFonts w:hint="eastAsia" w:ascii="Times New Roman" w:hAnsi="Times New Roman" w:eastAsia="黑体"/>
          <w:b w:val="0"/>
          <w:bCs w:val="0"/>
          <w:color w:val="auto"/>
          <w:highlight w:val="none"/>
        </w:rPr>
        <w:t>构设置</w:t>
      </w:r>
      <w:bookmarkEnd w:id="14"/>
      <w:bookmarkEnd w:id="15"/>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val="en-US" w:eastAsia="zh-CN"/>
        </w:rPr>
        <w:t>广元市昭化</w:t>
      </w:r>
      <w:r>
        <w:rPr>
          <w:rFonts w:hint="default" w:ascii="Times New Roman" w:hAnsi="Times New Roman" w:eastAsia="仿宋_GB2312" w:cs="Times New Roman"/>
          <w:b w:val="0"/>
          <w:bCs w:val="0"/>
          <w:color w:val="auto"/>
          <w:sz w:val="32"/>
          <w:szCs w:val="32"/>
          <w:lang w:eastAsia="zh-CN"/>
        </w:rPr>
        <w:t>区人民医院为一级预算单位，无下属二级预算单位。</w:t>
      </w:r>
      <w:r>
        <w:rPr>
          <w:rFonts w:hint="eastAsia" w:ascii="Times New Roman" w:hAnsi="Times New Roman" w:eastAsia="仿宋_GB2312" w:cs="Times New Roman"/>
          <w:b w:val="0"/>
          <w:bCs w:val="0"/>
          <w:color w:val="auto"/>
          <w:sz w:val="32"/>
          <w:szCs w:val="32"/>
          <w:lang w:eastAsia="zh-CN"/>
        </w:rPr>
        <w:t>科室设置包括职能科室和业务科室。</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default" w:ascii="Times New Roman" w:hAnsi="Times New Roman" w:eastAsia="仿宋_GB2312" w:cs="Times New Roman"/>
          <w:b w:val="0"/>
          <w:bCs w:val="0"/>
          <w:color w:val="auto"/>
          <w:sz w:val="32"/>
          <w:szCs w:val="32"/>
          <w:lang w:val="en-US" w:eastAsia="zh-CN"/>
        </w:rPr>
      </w:pPr>
      <w:r>
        <w:rPr>
          <w:rFonts w:hint="eastAsia" w:eastAsia="仿宋_GB2312" w:cs="Times New Roman"/>
          <w:b w:val="0"/>
          <w:bCs w:val="0"/>
          <w:color w:val="auto"/>
          <w:sz w:val="32"/>
          <w:szCs w:val="32"/>
          <w:lang w:val="en-US" w:eastAsia="zh-CN"/>
        </w:rPr>
        <w:t>截至</w:t>
      </w:r>
      <w:r>
        <w:rPr>
          <w:rFonts w:hint="eastAsia" w:ascii="Times New Roman" w:hAnsi="Times New Roman" w:eastAsia="仿宋_GB2312" w:cs="Times New Roman"/>
          <w:b w:val="0"/>
          <w:bCs w:val="0"/>
          <w:color w:val="auto"/>
          <w:sz w:val="32"/>
          <w:szCs w:val="32"/>
          <w:lang w:val="en-US" w:eastAsia="zh-CN"/>
        </w:rPr>
        <w:t>2022年末，区人民医院核</w:t>
      </w:r>
      <w:r>
        <w:rPr>
          <w:rFonts w:hint="eastAsia" w:eastAsia="仿宋_GB2312" w:cs="Times New Roman"/>
          <w:b w:val="0"/>
          <w:bCs w:val="0"/>
          <w:color w:val="auto"/>
          <w:sz w:val="32"/>
          <w:szCs w:val="32"/>
          <w:lang w:val="en-US" w:eastAsia="zh-CN"/>
        </w:rPr>
        <w:t>定</w:t>
      </w:r>
      <w:r>
        <w:rPr>
          <w:rFonts w:hint="default" w:ascii="Times New Roman" w:hAnsi="Times New Roman" w:eastAsia="仿宋_GB2312" w:cs="Times New Roman"/>
          <w:b w:val="0"/>
          <w:bCs w:val="0"/>
          <w:color w:val="auto"/>
          <w:sz w:val="32"/>
          <w:szCs w:val="32"/>
          <w:lang w:val="en-US" w:eastAsia="zh-CN"/>
        </w:rPr>
        <w:t>编制140</w:t>
      </w:r>
      <w:r>
        <w:rPr>
          <w:rFonts w:hint="eastAsia" w:ascii="Times New Roman" w:hAnsi="Times New Roman" w:eastAsia="仿宋_GB2312" w:cs="Times New Roman"/>
          <w:b w:val="0"/>
          <w:bCs w:val="0"/>
          <w:color w:val="auto"/>
          <w:sz w:val="32"/>
          <w:szCs w:val="32"/>
          <w:lang w:val="en-US" w:eastAsia="zh-CN"/>
        </w:rPr>
        <w:t>名</w:t>
      </w:r>
      <w:r>
        <w:rPr>
          <w:rFonts w:hint="default" w:ascii="Times New Roman" w:hAnsi="Times New Roman" w:eastAsia="仿宋_GB2312" w:cs="Times New Roman"/>
          <w:b w:val="0"/>
          <w:bCs w:val="0"/>
          <w:color w:val="auto"/>
          <w:sz w:val="32"/>
          <w:szCs w:val="32"/>
          <w:lang w:val="en-US" w:eastAsia="zh-CN"/>
        </w:rPr>
        <w:t>。预算实有在职编制内人员</w:t>
      </w:r>
      <w:r>
        <w:rPr>
          <w:rFonts w:hint="eastAsia" w:ascii="Times New Roman" w:hAnsi="Times New Roman" w:eastAsia="仿宋_GB2312" w:cs="Times New Roman"/>
          <w:b w:val="0"/>
          <w:bCs w:val="0"/>
          <w:color w:val="auto"/>
          <w:sz w:val="32"/>
          <w:szCs w:val="32"/>
          <w:lang w:val="en-US" w:eastAsia="zh-CN"/>
        </w:rPr>
        <w:t>128人</w:t>
      </w:r>
      <w:r>
        <w:rPr>
          <w:rFonts w:hint="default" w:ascii="Times New Roman" w:hAnsi="Times New Roman" w:eastAsia="仿宋_GB2312" w:cs="Times New Roman"/>
          <w:b w:val="0"/>
          <w:bCs w:val="0"/>
          <w:color w:val="auto"/>
          <w:sz w:val="32"/>
          <w:szCs w:val="32"/>
          <w:lang w:val="en-US" w:eastAsia="zh-CN"/>
        </w:rPr>
        <w:t>，其中：事业</w:t>
      </w:r>
      <w:r>
        <w:rPr>
          <w:rFonts w:hint="eastAsia" w:ascii="Times New Roman" w:hAnsi="Times New Roman" w:eastAsia="仿宋_GB2312" w:cs="Times New Roman"/>
          <w:b w:val="0"/>
          <w:bCs w:val="0"/>
          <w:color w:val="auto"/>
          <w:sz w:val="32"/>
          <w:szCs w:val="32"/>
          <w:lang w:val="en-US" w:eastAsia="zh-CN"/>
        </w:rPr>
        <w:t>专业技术</w:t>
      </w:r>
      <w:r>
        <w:rPr>
          <w:rFonts w:hint="default" w:ascii="Times New Roman" w:hAnsi="Times New Roman" w:eastAsia="仿宋_GB2312" w:cs="Times New Roman"/>
          <w:b w:val="0"/>
          <w:bCs w:val="0"/>
          <w:color w:val="auto"/>
          <w:sz w:val="32"/>
          <w:szCs w:val="32"/>
          <w:lang w:val="en-US" w:eastAsia="zh-CN"/>
        </w:rPr>
        <w:t>编制</w:t>
      </w:r>
      <w:r>
        <w:rPr>
          <w:rFonts w:hint="eastAsia" w:ascii="Times New Roman" w:hAnsi="Times New Roman" w:eastAsia="仿宋_GB2312" w:cs="Times New Roman"/>
          <w:b w:val="0"/>
          <w:bCs w:val="0"/>
          <w:color w:val="auto"/>
          <w:sz w:val="32"/>
          <w:szCs w:val="32"/>
          <w:lang w:val="en-US" w:eastAsia="zh-CN"/>
        </w:rPr>
        <w:t>人员</w:t>
      </w:r>
      <w:r>
        <w:rPr>
          <w:rFonts w:hint="default" w:ascii="Times New Roman" w:hAnsi="Times New Roman" w:eastAsia="仿宋_GB2312" w:cs="Times New Roman"/>
          <w:b w:val="0"/>
          <w:bCs w:val="0"/>
          <w:color w:val="auto"/>
          <w:sz w:val="32"/>
          <w:szCs w:val="32"/>
          <w:lang w:val="en-US" w:eastAsia="zh-CN"/>
        </w:rPr>
        <w:t>12</w:t>
      </w:r>
      <w:r>
        <w:rPr>
          <w:rFonts w:hint="eastAsia" w:ascii="Times New Roman" w:hAnsi="Times New Roman" w:eastAsia="仿宋_GB2312" w:cs="Times New Roman"/>
          <w:b w:val="0"/>
          <w:bCs w:val="0"/>
          <w:color w:val="auto"/>
          <w:sz w:val="32"/>
          <w:szCs w:val="32"/>
          <w:lang w:val="en-US" w:eastAsia="zh-CN"/>
        </w:rPr>
        <w:t>4人</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事业</w:t>
      </w:r>
      <w:r>
        <w:rPr>
          <w:rFonts w:hint="default" w:ascii="Times New Roman" w:hAnsi="Times New Roman" w:eastAsia="仿宋_GB2312" w:cs="Times New Roman"/>
          <w:b w:val="0"/>
          <w:bCs w:val="0"/>
          <w:color w:val="auto"/>
          <w:sz w:val="32"/>
          <w:szCs w:val="32"/>
          <w:lang w:val="en-US" w:eastAsia="zh-CN"/>
        </w:rPr>
        <w:t>工勤编制</w:t>
      </w:r>
      <w:r>
        <w:rPr>
          <w:rFonts w:hint="eastAsia" w:ascii="Times New Roman" w:hAnsi="Times New Roman" w:eastAsia="仿宋_GB2312" w:cs="Times New Roman"/>
          <w:b w:val="0"/>
          <w:bCs w:val="0"/>
          <w:color w:val="auto"/>
          <w:sz w:val="32"/>
          <w:szCs w:val="32"/>
          <w:lang w:val="en-US" w:eastAsia="zh-CN"/>
        </w:rPr>
        <w:t>2人</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事业</w:t>
      </w:r>
      <w:r>
        <w:rPr>
          <w:rFonts w:hint="default" w:ascii="Times New Roman" w:hAnsi="Times New Roman" w:eastAsia="仿宋_GB2312" w:cs="Times New Roman"/>
          <w:b w:val="0"/>
          <w:bCs w:val="0"/>
          <w:color w:val="auto"/>
          <w:sz w:val="32"/>
          <w:szCs w:val="32"/>
          <w:lang w:val="en-US" w:eastAsia="zh-CN"/>
        </w:rPr>
        <w:t>管理岗位2</w:t>
      </w:r>
      <w:r>
        <w:rPr>
          <w:rFonts w:hint="eastAsia" w:ascii="Times New Roman" w:hAnsi="Times New Roman" w:eastAsia="仿宋_GB2312" w:cs="Times New Roman"/>
          <w:b w:val="0"/>
          <w:bCs w:val="0"/>
          <w:color w:val="auto"/>
          <w:sz w:val="32"/>
          <w:szCs w:val="32"/>
          <w:lang w:val="en-US" w:eastAsia="zh-CN"/>
        </w:rPr>
        <w:t>人，</w:t>
      </w:r>
      <w:r>
        <w:rPr>
          <w:rFonts w:hint="default" w:ascii="Times New Roman" w:hAnsi="Times New Roman" w:eastAsia="仿宋_GB2312" w:cs="Times New Roman"/>
          <w:b w:val="0"/>
          <w:bCs w:val="0"/>
          <w:color w:val="auto"/>
          <w:sz w:val="32"/>
          <w:szCs w:val="32"/>
          <w:lang w:val="en-US" w:eastAsia="zh-CN"/>
        </w:rPr>
        <w:t>按财政供给率分，均为差额供给。退休2</w:t>
      </w:r>
      <w:r>
        <w:rPr>
          <w:rFonts w:hint="eastAsia"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lang w:val="en-US" w:eastAsia="zh-CN"/>
        </w:rPr>
        <w:t>人，其中：事业专业技术</w:t>
      </w:r>
      <w:r>
        <w:rPr>
          <w:rFonts w:hint="eastAsia" w:ascii="Times New Roman" w:hAnsi="Times New Roman" w:eastAsia="仿宋_GB2312" w:cs="Times New Roman"/>
          <w:b w:val="0"/>
          <w:bCs w:val="0"/>
          <w:color w:val="auto"/>
          <w:sz w:val="32"/>
          <w:szCs w:val="32"/>
          <w:lang w:val="en-US" w:eastAsia="zh-CN"/>
        </w:rPr>
        <w:t>人员</w:t>
      </w: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lang w:val="en-US" w:eastAsia="zh-CN"/>
        </w:rPr>
        <w:t>人，工勤人员1</w:t>
      </w:r>
      <w:r>
        <w:rPr>
          <w:rFonts w:hint="eastAsia"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人。</w:t>
      </w:r>
    </w:p>
    <w:p>
      <w:pPr>
        <w:widowControl/>
        <w:jc w:val="left"/>
        <w:rPr>
          <w:rFonts w:ascii="Times New Roman" w:hAnsi="Times New Roman" w:eastAsia="仿宋"/>
          <w:color w:val="auto"/>
          <w:kern w:val="0"/>
          <w:sz w:val="32"/>
          <w:szCs w:val="32"/>
          <w:highlight w:val="none"/>
        </w:rPr>
      </w:pPr>
      <w:r>
        <w:rPr>
          <w:rFonts w:ascii="Times New Roman" w:hAnsi="Times New Roman" w:eastAsia="仿宋"/>
          <w:color w:val="auto"/>
          <w:sz w:val="32"/>
          <w:szCs w:val="32"/>
          <w:highlight w:val="none"/>
        </w:rPr>
        <w:br w:type="page"/>
      </w:r>
    </w:p>
    <w:p>
      <w:pPr>
        <w:pStyle w:val="3"/>
        <w:ind w:right="440"/>
        <w:jc w:val="center"/>
        <w:rPr>
          <w:rStyle w:val="29"/>
          <w:rFonts w:ascii="Times New Roman" w:hAnsi="Times New Roman" w:eastAsia="黑体"/>
          <w:b w:val="0"/>
          <w:bCs/>
          <w:color w:val="auto"/>
          <w:highlight w:val="none"/>
        </w:rPr>
      </w:pPr>
      <w:bookmarkStart w:id="16" w:name="_Toc15377204"/>
      <w:bookmarkStart w:id="17" w:name="_Toc15396602"/>
      <w:r>
        <w:rPr>
          <w:rFonts w:hint="eastAsia" w:ascii="Times New Roman" w:hAnsi="Times New Roman" w:eastAsia="黑体"/>
          <w:b w:val="0"/>
          <w:bCs/>
          <w:color w:val="auto"/>
          <w:highlight w:val="none"/>
        </w:rPr>
        <w:t xml:space="preserve">第二部分 </w:t>
      </w:r>
      <w:r>
        <w:rPr>
          <w:rFonts w:hint="eastAsia" w:ascii="Times New Roman" w:hAnsi="Times New Roman" w:eastAsia="黑体"/>
          <w:b w:val="0"/>
          <w:bCs/>
          <w:color w:val="auto"/>
          <w:highlight w:val="none"/>
          <w:lang w:val="en-US" w:eastAsia="zh-CN"/>
        </w:rPr>
        <w:t>2022年度</w:t>
      </w:r>
      <w:r>
        <w:rPr>
          <w:rStyle w:val="29"/>
          <w:rFonts w:hint="eastAsia" w:ascii="Times New Roman" w:hAnsi="Times New Roman" w:eastAsia="黑体"/>
          <w:b w:val="0"/>
          <w:bCs/>
          <w:color w:val="auto"/>
          <w:highlight w:val="none"/>
        </w:rPr>
        <w:t>部门决算情况说明</w:t>
      </w:r>
      <w:bookmarkEnd w:id="16"/>
      <w:bookmarkEnd w:id="17"/>
    </w:p>
    <w:p>
      <w:pPr>
        <w:rPr>
          <w:rFonts w:ascii="Times New Roman" w:hAnsi="Times New Roman"/>
          <w:color w:val="auto"/>
          <w:highlight w:val="none"/>
        </w:rPr>
      </w:pPr>
    </w:p>
    <w:p>
      <w:pPr>
        <w:pStyle w:val="28"/>
        <w:numPr>
          <w:ilvl w:val="0"/>
          <w:numId w:val="1"/>
        </w:numPr>
        <w:spacing w:line="600" w:lineRule="exact"/>
        <w:ind w:firstLineChars="0"/>
        <w:outlineLvl w:val="1"/>
        <w:rPr>
          <w:rStyle w:val="30"/>
          <w:rFonts w:ascii="Times New Roman" w:hAnsi="Times New Roman" w:eastAsia="黑体"/>
          <w:b w:val="0"/>
          <w:color w:val="auto"/>
          <w:highlight w:val="none"/>
        </w:rPr>
      </w:pPr>
      <w:bookmarkStart w:id="18" w:name="_Toc15377205"/>
      <w:bookmarkStart w:id="19" w:name="_Toc15396603"/>
      <w:r>
        <w:rPr>
          <w:rFonts w:hint="eastAsia" w:ascii="Times New Roman" w:hAnsi="Times New Roman" w:eastAsia="黑体"/>
          <w:color w:val="auto"/>
          <w:sz w:val="32"/>
          <w:szCs w:val="32"/>
          <w:highlight w:val="none"/>
        </w:rPr>
        <w:t>收</w:t>
      </w:r>
      <w:r>
        <w:rPr>
          <w:rStyle w:val="30"/>
          <w:rFonts w:hint="eastAsia" w:ascii="Times New Roman" w:hAnsi="Times New Roman" w:eastAsia="黑体"/>
          <w:b w:val="0"/>
          <w:color w:val="auto"/>
          <w:highlight w:val="none"/>
        </w:rPr>
        <w:t>入支出决算总体情况说明</w:t>
      </w:r>
      <w:bookmarkEnd w:id="18"/>
      <w:bookmarkEnd w:id="19"/>
    </w:p>
    <w:p>
      <w:pPr>
        <w:spacing w:line="600" w:lineRule="exact"/>
        <w:ind w:firstLine="640" w:firstLineChars="200"/>
        <w:rPr>
          <w:rFonts w:hint="eastAsia" w:ascii="Times New Roman" w:hAnsi="Times New Roman" w:eastAsia="仿宋"/>
          <w:color w:val="auto"/>
          <w:sz w:val="32"/>
          <w:szCs w:val="32"/>
          <w:highlight w:val="none"/>
          <w:lang w:val="en-US" w:eastAsia="zh-CN"/>
        </w:rPr>
      </w:pPr>
      <w:r>
        <w:rPr>
          <w:rFonts w:hint="eastAsia"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年度</w:t>
      </w:r>
      <w:r>
        <w:rPr>
          <w:rFonts w:hint="eastAsia" w:eastAsia="仿宋"/>
          <w:color w:val="auto"/>
          <w:sz w:val="32"/>
          <w:szCs w:val="32"/>
          <w:highlight w:val="none"/>
          <w:lang w:val="en-US" w:eastAsia="zh-CN"/>
        </w:rPr>
        <w:t>收入</w:t>
      </w:r>
      <w:r>
        <w:rPr>
          <w:rFonts w:hint="eastAsia" w:ascii="Times New Roman" w:hAnsi="Times New Roman" w:eastAsia="仿宋"/>
          <w:color w:val="auto"/>
          <w:sz w:val="32"/>
          <w:szCs w:val="32"/>
          <w:highlight w:val="none"/>
        </w:rPr>
        <w:t>总计</w:t>
      </w:r>
      <w:r>
        <w:rPr>
          <w:rFonts w:hint="eastAsia" w:ascii="Times New Roman" w:hAnsi="Times New Roman" w:eastAsia="仿宋"/>
          <w:color w:val="auto"/>
          <w:sz w:val="32"/>
          <w:szCs w:val="32"/>
          <w:highlight w:val="none"/>
          <w:lang w:val="en-US" w:eastAsia="zh-CN"/>
        </w:rPr>
        <w:t>7032.66</w:t>
      </w:r>
      <w:r>
        <w:rPr>
          <w:rFonts w:hint="eastAsia" w:ascii="Times New Roman" w:hAnsi="Times New Roman" w:eastAsia="仿宋"/>
          <w:color w:val="auto"/>
          <w:sz w:val="32"/>
          <w:szCs w:val="32"/>
          <w:highlight w:val="none"/>
        </w:rPr>
        <w:t>万元</w:t>
      </w:r>
      <w:r>
        <w:rPr>
          <w:rFonts w:hint="eastAsia" w:eastAsia="仿宋"/>
          <w:color w:val="auto"/>
          <w:sz w:val="32"/>
          <w:szCs w:val="32"/>
          <w:highlight w:val="none"/>
          <w:lang w:eastAsia="zh-CN"/>
        </w:rPr>
        <w:t>，</w:t>
      </w:r>
      <w:r>
        <w:rPr>
          <w:rFonts w:hint="eastAsia" w:eastAsia="仿宋"/>
          <w:color w:val="auto"/>
          <w:sz w:val="32"/>
          <w:szCs w:val="32"/>
          <w:highlight w:val="none"/>
          <w:lang w:val="en-US" w:eastAsia="zh-CN"/>
        </w:rPr>
        <w:t>支出总计7032.66万元。</w:t>
      </w:r>
      <w:r>
        <w:rPr>
          <w:rFonts w:hint="eastAsia" w:ascii="Times New Roman" w:hAnsi="Times New Roman" w:eastAsia="仿宋"/>
          <w:color w:val="auto"/>
          <w:sz w:val="32"/>
          <w:szCs w:val="32"/>
          <w:highlight w:val="none"/>
        </w:rPr>
        <w:t>与20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年相比，收</w:t>
      </w:r>
      <w:r>
        <w:rPr>
          <w:rFonts w:hint="eastAsia" w:ascii="Times New Roman" w:hAnsi="Times New Roman" w:eastAsia="仿宋"/>
          <w:color w:val="auto"/>
          <w:sz w:val="32"/>
          <w:szCs w:val="32"/>
          <w:highlight w:val="none"/>
          <w:lang w:val="en-US" w:eastAsia="zh-CN"/>
        </w:rPr>
        <w:t>入</w:t>
      </w:r>
      <w:r>
        <w:rPr>
          <w:rFonts w:hint="eastAsia" w:ascii="Times New Roman" w:hAnsi="Times New Roman" w:eastAsia="仿宋"/>
          <w:color w:val="auto"/>
          <w:sz w:val="32"/>
          <w:szCs w:val="32"/>
          <w:highlight w:val="none"/>
        </w:rPr>
        <w:t>增加</w:t>
      </w:r>
      <w:r>
        <w:rPr>
          <w:rFonts w:hint="eastAsia" w:ascii="Times New Roman" w:hAnsi="Times New Roman" w:eastAsia="仿宋"/>
          <w:color w:val="auto"/>
          <w:sz w:val="32"/>
          <w:szCs w:val="32"/>
          <w:highlight w:val="none"/>
          <w:lang w:val="en-US" w:eastAsia="zh-CN"/>
        </w:rPr>
        <w:t>977.73</w:t>
      </w:r>
      <w:r>
        <w:rPr>
          <w:rFonts w:hint="eastAsia" w:ascii="Times New Roman" w:hAnsi="Times New Roman" w:eastAsia="仿宋"/>
          <w:color w:val="auto"/>
          <w:sz w:val="32"/>
          <w:szCs w:val="32"/>
          <w:highlight w:val="none"/>
        </w:rPr>
        <w:t>万元，增长</w:t>
      </w:r>
      <w:r>
        <w:rPr>
          <w:rFonts w:hint="eastAsia" w:ascii="Times New Roman" w:hAnsi="Times New Roman" w:eastAsia="仿宋"/>
          <w:color w:val="auto"/>
          <w:sz w:val="32"/>
          <w:szCs w:val="32"/>
          <w:highlight w:val="none"/>
          <w:lang w:val="en-US" w:eastAsia="zh-CN"/>
        </w:rPr>
        <w:t>16.14</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支出增加977.73万元，增长16.14%。</w:t>
      </w:r>
      <w:r>
        <w:rPr>
          <w:rFonts w:hint="eastAsia" w:ascii="Times New Roman" w:hAnsi="Times New Roman" w:eastAsia="仿宋"/>
          <w:color w:val="auto"/>
          <w:sz w:val="32"/>
          <w:szCs w:val="32"/>
          <w:highlight w:val="none"/>
        </w:rPr>
        <w:t>主要变动原因是</w:t>
      </w:r>
      <w:r>
        <w:rPr>
          <w:rFonts w:hint="eastAsia" w:ascii="Times New Roman" w:hAnsi="Times New Roman" w:eastAsia="仿宋"/>
          <w:color w:val="auto"/>
          <w:sz w:val="32"/>
          <w:szCs w:val="32"/>
          <w:highlight w:val="none"/>
          <w:lang w:val="en-US" w:eastAsia="zh-CN"/>
        </w:rPr>
        <w:t>2021年一般公共预算财政拨款收入调减360万元，2022年一般公共预算财政拨款收入调增170.1万元，以及2022年事业收入相比2021年增加451.43万元</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收入增加带来一定程度支出的增加。</w:t>
      </w:r>
    </w:p>
    <w:p>
      <w:pPr>
        <w:pStyle w:val="2"/>
        <w:rPr>
          <w:rFonts w:hint="default" w:ascii="Times New Roman" w:hAnsi="Times New Roman"/>
          <w:color w:val="auto"/>
          <w:lang w:val="en-US" w:eastAsia="zh-CN"/>
        </w:rPr>
      </w:pPr>
      <w:r>
        <w:drawing>
          <wp:anchor distT="0" distB="0" distL="114300" distR="114300" simplePos="0" relativeHeight="251663360" behindDoc="1" locked="0" layoutInCell="1" allowOverlap="1">
            <wp:simplePos x="0" y="0"/>
            <wp:positionH relativeFrom="column">
              <wp:posOffset>423545</wp:posOffset>
            </wp:positionH>
            <wp:positionV relativeFrom="paragraph">
              <wp:posOffset>60325</wp:posOffset>
            </wp:positionV>
            <wp:extent cx="4572635" cy="2667000"/>
            <wp:effectExtent l="4445" t="4445" r="13970" b="14605"/>
            <wp:wrapTight wrapText="bothSides">
              <wp:wrapPolygon>
                <wp:start x="-21" y="-36"/>
                <wp:lineTo x="-21" y="21564"/>
                <wp:lineTo x="21576" y="21564"/>
                <wp:lineTo x="21576" y="-36"/>
                <wp:lineTo x="-21" y="-36"/>
              </wp:wrapPolygon>
            </wp:wrapTight>
            <wp:docPr id="138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1600" w:firstLineChars="500"/>
        <w:rPr>
          <w:rFonts w:ascii="Times New Roman" w:hAnsi="Times New Roman" w:eastAsia="仿宋_GB2312"/>
          <w:color w:val="auto"/>
          <w:sz w:val="32"/>
          <w:szCs w:val="32"/>
          <w:highlight w:val="none"/>
        </w:rPr>
      </w:pPr>
      <w:r>
        <w:rPr>
          <w:rFonts w:hint="eastAsia" w:ascii="Times New Roman" w:hAnsi="Times New Roman" w:eastAsia="仿宋"/>
          <w:color w:val="auto"/>
          <w:sz w:val="32"/>
          <w:szCs w:val="32"/>
          <w:highlight w:val="none"/>
        </w:rPr>
        <w:t>（图</w:t>
      </w:r>
      <w:r>
        <w:rPr>
          <w:rFonts w:ascii="Times New Roman" w:hAnsi="Times New Roman" w:eastAsia="仿宋"/>
          <w:color w:val="auto"/>
          <w:sz w:val="32"/>
          <w:szCs w:val="32"/>
          <w:highlight w:val="none"/>
        </w:rPr>
        <w:t>1</w:t>
      </w:r>
      <w:r>
        <w:rPr>
          <w:rFonts w:hint="eastAsia" w:ascii="Times New Roman" w:hAnsi="Times New Roman" w:eastAsia="仿宋"/>
          <w:color w:val="auto"/>
          <w:sz w:val="32"/>
          <w:szCs w:val="32"/>
          <w:highlight w:val="none"/>
        </w:rPr>
        <w:t>：收、支决算总计变动情况图）</w:t>
      </w:r>
    </w:p>
    <w:p>
      <w:pPr>
        <w:pStyle w:val="28"/>
        <w:numPr>
          <w:ilvl w:val="0"/>
          <w:numId w:val="1"/>
        </w:numPr>
        <w:spacing w:line="600" w:lineRule="exact"/>
        <w:ind w:firstLineChars="0"/>
        <w:outlineLvl w:val="1"/>
        <w:rPr>
          <w:rStyle w:val="30"/>
          <w:rFonts w:ascii="Times New Roman" w:hAnsi="Times New Roman" w:eastAsia="黑体"/>
          <w:b w:val="0"/>
          <w:color w:val="auto"/>
          <w:highlight w:val="none"/>
        </w:rPr>
      </w:pPr>
      <w:bookmarkStart w:id="20" w:name="_Toc15377206"/>
      <w:bookmarkStart w:id="21" w:name="_Toc15396604"/>
      <w:r>
        <w:rPr>
          <w:rFonts w:hint="eastAsia" w:ascii="Times New Roman" w:hAnsi="Times New Roman" w:eastAsia="黑体"/>
          <w:color w:val="auto"/>
          <w:sz w:val="32"/>
          <w:szCs w:val="32"/>
          <w:highlight w:val="none"/>
        </w:rPr>
        <w:t>收</w:t>
      </w:r>
      <w:r>
        <w:rPr>
          <w:rStyle w:val="30"/>
          <w:rFonts w:hint="eastAsia" w:ascii="Times New Roman" w:hAnsi="Times New Roman" w:eastAsia="黑体"/>
          <w:b w:val="0"/>
          <w:color w:val="auto"/>
          <w:highlight w:val="none"/>
        </w:rPr>
        <w:t>入决算情况说明</w:t>
      </w:r>
      <w:bookmarkEnd w:id="20"/>
      <w:bookmarkEnd w:id="21"/>
    </w:p>
    <w:p>
      <w:pPr>
        <w:spacing w:line="600" w:lineRule="exact"/>
        <w:ind w:firstLine="640" w:firstLineChars="200"/>
        <w:outlineLvl w:val="1"/>
        <w:rPr>
          <w:rFonts w:hint="eastAsia"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年本年收入合计</w:t>
      </w:r>
      <w:r>
        <w:rPr>
          <w:rFonts w:hint="eastAsia" w:ascii="Times New Roman" w:hAnsi="Times New Roman" w:eastAsia="仿宋"/>
          <w:color w:val="auto"/>
          <w:sz w:val="32"/>
          <w:szCs w:val="32"/>
          <w:highlight w:val="none"/>
          <w:lang w:val="en-US" w:eastAsia="zh-CN"/>
        </w:rPr>
        <w:t>7032.66</w:t>
      </w:r>
      <w:r>
        <w:rPr>
          <w:rFonts w:hint="eastAsia" w:ascii="Times New Roman" w:hAnsi="Times New Roman" w:eastAsia="仿宋"/>
          <w:color w:val="auto"/>
          <w:sz w:val="32"/>
          <w:szCs w:val="32"/>
          <w:highlight w:val="none"/>
        </w:rPr>
        <w:t>万元，其中：</w:t>
      </w:r>
      <w:bookmarkStart w:id="22" w:name="OLE_LINK1"/>
      <w:r>
        <w:rPr>
          <w:rFonts w:hint="eastAsia" w:ascii="Times New Roman" w:hAnsi="Times New Roman" w:eastAsia="仿宋"/>
          <w:color w:val="auto"/>
          <w:sz w:val="32"/>
          <w:szCs w:val="32"/>
          <w:highlight w:val="none"/>
        </w:rPr>
        <w:t>一般公共预算财政拨款收入</w:t>
      </w:r>
      <w:bookmarkEnd w:id="22"/>
      <w:r>
        <w:rPr>
          <w:rFonts w:hint="eastAsia" w:ascii="Times New Roman" w:hAnsi="Times New Roman" w:eastAsia="仿宋"/>
          <w:color w:val="auto"/>
          <w:sz w:val="32"/>
          <w:szCs w:val="32"/>
          <w:highlight w:val="none"/>
          <w:lang w:val="en-US" w:eastAsia="zh-CN"/>
        </w:rPr>
        <w:t>1438.59</w:t>
      </w:r>
      <w:r>
        <w:rPr>
          <w:rFonts w:hint="eastAsia" w:ascii="Times New Roman" w:hAnsi="Times New Roman" w:eastAsia="仿宋"/>
          <w:color w:val="auto"/>
          <w:sz w:val="32"/>
          <w:szCs w:val="32"/>
          <w:highlight w:val="none"/>
        </w:rPr>
        <w:t>万元，占</w:t>
      </w:r>
      <w:bookmarkStart w:id="23" w:name="OLE_LINK2"/>
      <w:r>
        <w:rPr>
          <w:rFonts w:hint="eastAsia" w:ascii="Times New Roman" w:hAnsi="Times New Roman" w:eastAsia="仿宋"/>
          <w:color w:val="auto"/>
          <w:sz w:val="32"/>
          <w:szCs w:val="32"/>
          <w:highlight w:val="none"/>
          <w:lang w:val="en-US" w:eastAsia="zh-CN"/>
        </w:rPr>
        <w:t>20.46</w:t>
      </w:r>
      <w:r>
        <w:rPr>
          <w:rFonts w:ascii="Times New Roman" w:hAnsi="Times New Roman" w:eastAsia="仿宋"/>
          <w:color w:val="auto"/>
          <w:sz w:val="32"/>
          <w:szCs w:val="32"/>
          <w:highlight w:val="none"/>
        </w:rPr>
        <w:t>%</w:t>
      </w:r>
      <w:bookmarkEnd w:id="23"/>
      <w:r>
        <w:rPr>
          <w:rFonts w:hint="eastAsia" w:ascii="Times New Roman" w:hAnsi="Times New Roman" w:eastAsia="仿宋"/>
          <w:color w:val="auto"/>
          <w:sz w:val="32"/>
          <w:szCs w:val="32"/>
          <w:highlight w:val="none"/>
        </w:rPr>
        <w:t>；政府性基金预算财政拨款收入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国有资本经营预算财政拨款收入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；上级补助收入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；事业收入5594.07万元，占</w:t>
      </w:r>
      <w:r>
        <w:rPr>
          <w:rFonts w:hint="eastAsia" w:ascii="Times New Roman" w:hAnsi="Times New Roman" w:eastAsia="仿宋"/>
          <w:color w:val="auto"/>
          <w:sz w:val="32"/>
          <w:szCs w:val="32"/>
          <w:highlight w:val="none"/>
          <w:lang w:val="en-US" w:eastAsia="zh-CN"/>
        </w:rPr>
        <w:t>79.54</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；附属单位上缴收入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；其他收入</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p>
    <w:p>
      <w:pPr>
        <w:pStyle w:val="2"/>
        <w:rPr>
          <w:rFonts w:hint="eastAsia" w:ascii="Times New Roman" w:hAnsi="Times New Roman" w:eastAsia="仿宋"/>
          <w:color w:val="auto"/>
          <w:sz w:val="32"/>
          <w:szCs w:val="32"/>
          <w:highlight w:val="none"/>
        </w:rPr>
      </w:pPr>
      <w:r>
        <w:rPr>
          <w:rFonts w:ascii="Times New Roman" w:hAnsi="Times New Roman"/>
          <w:color w:val="auto"/>
        </w:rPr>
        <w:drawing>
          <wp:anchor distT="0" distB="0" distL="114300" distR="114300" simplePos="0" relativeHeight="251659264" behindDoc="1" locked="0" layoutInCell="1" allowOverlap="1">
            <wp:simplePos x="0" y="0"/>
            <wp:positionH relativeFrom="column">
              <wp:posOffset>252095</wp:posOffset>
            </wp:positionH>
            <wp:positionV relativeFrom="paragraph">
              <wp:posOffset>223520</wp:posOffset>
            </wp:positionV>
            <wp:extent cx="4826000" cy="2743200"/>
            <wp:effectExtent l="4445" t="4445" r="825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hint="eastAsia" w:ascii="Times New Roman" w:hAnsi="Times New Roman" w:eastAsia="仿宋"/>
          <w:color w:val="auto"/>
          <w:sz w:val="32"/>
          <w:szCs w:val="32"/>
          <w:highlight w:val="none"/>
        </w:rPr>
      </w:pPr>
    </w:p>
    <w:p>
      <w:pPr>
        <w:pStyle w:val="2"/>
        <w:rPr>
          <w:rFonts w:hint="eastAsia" w:ascii="Times New Roman" w:hAnsi="Times New Roman" w:eastAsia="仿宋"/>
          <w:color w:val="auto"/>
          <w:sz w:val="32"/>
          <w:szCs w:val="32"/>
          <w:highlight w:val="none"/>
        </w:rPr>
      </w:pPr>
    </w:p>
    <w:p>
      <w:pPr>
        <w:pStyle w:val="2"/>
        <w:rPr>
          <w:rFonts w:hint="eastAsia" w:ascii="Times New Roman" w:hAnsi="Times New Roman" w:eastAsia="仿宋"/>
          <w:color w:val="auto"/>
          <w:sz w:val="32"/>
          <w:szCs w:val="32"/>
          <w:highlight w:val="none"/>
        </w:rPr>
      </w:pPr>
    </w:p>
    <w:p>
      <w:pPr>
        <w:pStyle w:val="2"/>
        <w:rPr>
          <w:rFonts w:hint="eastAsia"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pStyle w:val="2"/>
        <w:rPr>
          <w:rFonts w:hint="eastAsia" w:ascii="Times New Roman" w:hAnsi="Times New Roman" w:eastAsia="仿宋"/>
          <w:color w:val="auto"/>
          <w:sz w:val="32"/>
          <w:szCs w:val="32"/>
          <w:highlight w:val="none"/>
        </w:rPr>
      </w:pPr>
    </w:p>
    <w:p>
      <w:pPr>
        <w:spacing w:line="600" w:lineRule="exact"/>
        <w:ind w:firstLine="2240" w:firstLineChars="700"/>
        <w:rPr>
          <w:rFonts w:ascii="Times New Roman" w:hAnsi="Times New Roman" w:eastAsia="仿宋_GB2312"/>
          <w:color w:val="auto"/>
          <w:sz w:val="32"/>
          <w:szCs w:val="32"/>
          <w:highlight w:val="none"/>
        </w:rPr>
      </w:pPr>
      <w:r>
        <w:rPr>
          <w:rFonts w:hint="eastAsia" w:ascii="Times New Roman" w:hAnsi="Times New Roman" w:eastAsia="仿宋"/>
          <w:color w:val="auto"/>
          <w:sz w:val="32"/>
          <w:szCs w:val="32"/>
          <w:highlight w:val="none"/>
        </w:rPr>
        <w:t>（图2：收入决算结构图）</w:t>
      </w:r>
    </w:p>
    <w:p>
      <w:pPr>
        <w:pStyle w:val="28"/>
        <w:numPr>
          <w:ilvl w:val="0"/>
          <w:numId w:val="1"/>
        </w:numPr>
        <w:spacing w:line="600" w:lineRule="exact"/>
        <w:ind w:firstLineChars="0"/>
        <w:outlineLvl w:val="1"/>
        <w:rPr>
          <w:rStyle w:val="30"/>
          <w:rFonts w:ascii="Times New Roman" w:hAnsi="Times New Roman" w:eastAsia="黑体"/>
          <w:b w:val="0"/>
          <w:color w:val="auto"/>
          <w:highlight w:val="none"/>
        </w:rPr>
      </w:pPr>
      <w:bookmarkStart w:id="24" w:name="_Toc15377207"/>
      <w:bookmarkStart w:id="25" w:name="_Toc15396605"/>
      <w:r>
        <w:rPr>
          <w:rFonts w:hint="eastAsia" w:ascii="Times New Roman" w:hAnsi="Times New Roman" w:eastAsia="黑体"/>
          <w:color w:val="auto"/>
          <w:sz w:val="32"/>
          <w:szCs w:val="32"/>
          <w:highlight w:val="none"/>
        </w:rPr>
        <w:t>支</w:t>
      </w:r>
      <w:r>
        <w:rPr>
          <w:rStyle w:val="30"/>
          <w:rFonts w:hint="eastAsia" w:ascii="Times New Roman" w:hAnsi="Times New Roman" w:eastAsia="黑体"/>
          <w:b w:val="0"/>
          <w:color w:val="auto"/>
          <w:highlight w:val="none"/>
        </w:rPr>
        <w:t>出决算情况说明</w:t>
      </w:r>
      <w:bookmarkEnd w:id="24"/>
      <w:bookmarkEnd w:id="25"/>
    </w:p>
    <w:p>
      <w:pPr>
        <w:spacing w:line="600" w:lineRule="exact"/>
        <w:ind w:firstLine="640" w:firstLineChars="200"/>
        <w:outlineLvl w:val="1"/>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年本年支出合计7032.66万元，其中：基本支出6550.61万元，占</w:t>
      </w:r>
      <w:r>
        <w:rPr>
          <w:rFonts w:hint="eastAsia" w:ascii="Times New Roman" w:hAnsi="Times New Roman" w:eastAsia="仿宋"/>
          <w:color w:val="auto"/>
          <w:sz w:val="32"/>
          <w:szCs w:val="32"/>
          <w:highlight w:val="none"/>
          <w:lang w:val="en-US" w:eastAsia="zh-CN"/>
        </w:rPr>
        <w:t>93.15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；项目支出482.05万元，占</w:t>
      </w:r>
      <w:r>
        <w:rPr>
          <w:rFonts w:hint="eastAsia" w:ascii="Times New Roman" w:hAnsi="Times New Roman" w:eastAsia="仿宋"/>
          <w:color w:val="auto"/>
          <w:sz w:val="32"/>
          <w:szCs w:val="32"/>
          <w:highlight w:val="none"/>
          <w:lang w:val="en-US" w:eastAsia="zh-CN"/>
        </w:rPr>
        <w:t>6.85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；上缴上级支出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；经营支出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；对附属单位补助支出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p>
    <w:p>
      <w:pPr>
        <w:spacing w:line="600" w:lineRule="exact"/>
        <w:ind w:firstLine="420" w:firstLineChars="200"/>
        <w:rPr>
          <w:rFonts w:hint="eastAsia" w:ascii="Times New Roman" w:hAnsi="Times New Roman" w:eastAsia="仿宋"/>
          <w:color w:val="auto"/>
          <w:sz w:val="32"/>
          <w:szCs w:val="32"/>
          <w:highlight w:val="none"/>
        </w:rPr>
      </w:pPr>
      <w:r>
        <w:rPr>
          <w:rFonts w:ascii="Times New Roman" w:hAnsi="Times New Roman"/>
          <w:color w:val="auto"/>
        </w:rPr>
        <w:drawing>
          <wp:anchor distT="0" distB="0" distL="114300" distR="114300" simplePos="0" relativeHeight="251660288" behindDoc="1" locked="0" layoutInCell="1" allowOverlap="1">
            <wp:simplePos x="0" y="0"/>
            <wp:positionH relativeFrom="column">
              <wp:posOffset>309245</wp:posOffset>
            </wp:positionH>
            <wp:positionV relativeFrom="paragraph">
              <wp:posOffset>24130</wp:posOffset>
            </wp:positionV>
            <wp:extent cx="4826000" cy="2332355"/>
            <wp:effectExtent l="4445" t="4445" r="8255" b="635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ind w:firstLine="2240" w:firstLineChars="700"/>
        <w:rPr>
          <w:rFonts w:hint="eastAsia"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rPr>
        <w:t>（图3：支出决算结构图）</w:t>
      </w:r>
    </w:p>
    <w:p>
      <w:pPr>
        <w:spacing w:line="600" w:lineRule="exact"/>
        <w:ind w:firstLine="640" w:firstLineChars="200"/>
        <w:outlineLvl w:val="1"/>
        <w:rPr>
          <w:rStyle w:val="30"/>
          <w:rFonts w:ascii="Times New Roman" w:hAnsi="Times New Roman" w:eastAsia="黑体"/>
          <w:b w:val="0"/>
          <w:color w:val="auto"/>
          <w:highlight w:val="none"/>
        </w:rPr>
      </w:pPr>
      <w:bookmarkStart w:id="26" w:name="_Toc15377208"/>
      <w:bookmarkStart w:id="27" w:name="_Toc15396606"/>
      <w:r>
        <w:rPr>
          <w:rFonts w:hint="eastAsia" w:ascii="Times New Roman" w:hAnsi="Times New Roman" w:eastAsia="黑体"/>
          <w:color w:val="auto"/>
          <w:sz w:val="32"/>
          <w:szCs w:val="32"/>
          <w:highlight w:val="none"/>
        </w:rPr>
        <w:t>四、财</w:t>
      </w:r>
      <w:r>
        <w:rPr>
          <w:rStyle w:val="30"/>
          <w:rFonts w:hint="eastAsia" w:ascii="Times New Roman" w:hAnsi="Times New Roman" w:eastAsia="黑体"/>
          <w:b w:val="0"/>
          <w:color w:val="auto"/>
          <w:highlight w:val="none"/>
        </w:rPr>
        <w:t>政拨款收入支出决算总体情况说明</w:t>
      </w:r>
      <w:bookmarkEnd w:id="26"/>
      <w:bookmarkEnd w:id="27"/>
    </w:p>
    <w:p>
      <w:pPr>
        <w:spacing w:line="600" w:lineRule="exact"/>
        <w:ind w:firstLine="640"/>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年财政拨款收</w:t>
      </w:r>
      <w:r>
        <w:rPr>
          <w:rFonts w:hint="eastAsia" w:eastAsia="仿宋"/>
          <w:color w:val="auto"/>
          <w:sz w:val="32"/>
          <w:szCs w:val="32"/>
          <w:highlight w:val="none"/>
          <w:lang w:val="en-US" w:eastAsia="zh-CN"/>
        </w:rPr>
        <w:t>入</w:t>
      </w:r>
      <w:r>
        <w:rPr>
          <w:rFonts w:hint="eastAsia" w:ascii="Times New Roman" w:hAnsi="Times New Roman" w:eastAsia="仿宋"/>
          <w:color w:val="auto"/>
          <w:sz w:val="32"/>
          <w:szCs w:val="32"/>
          <w:highlight w:val="none"/>
        </w:rPr>
        <w:t>总计</w:t>
      </w:r>
      <w:r>
        <w:rPr>
          <w:rFonts w:hint="eastAsia" w:eastAsia="仿宋"/>
          <w:color w:val="auto"/>
          <w:sz w:val="32"/>
          <w:szCs w:val="32"/>
          <w:highlight w:val="none"/>
          <w:lang w:val="en-US" w:eastAsia="zh-CN"/>
        </w:rPr>
        <w:t>1438.59</w:t>
      </w:r>
      <w:r>
        <w:rPr>
          <w:rFonts w:hint="eastAsia" w:ascii="Times New Roman" w:hAnsi="Times New Roman" w:eastAsia="仿宋"/>
          <w:color w:val="auto"/>
          <w:sz w:val="32"/>
          <w:szCs w:val="32"/>
          <w:highlight w:val="none"/>
        </w:rPr>
        <w:t>万元</w:t>
      </w:r>
      <w:r>
        <w:rPr>
          <w:rFonts w:hint="eastAsia" w:eastAsia="仿宋"/>
          <w:color w:val="auto"/>
          <w:sz w:val="32"/>
          <w:szCs w:val="32"/>
          <w:highlight w:val="none"/>
          <w:lang w:eastAsia="zh-CN"/>
        </w:rPr>
        <w:t>，</w:t>
      </w:r>
      <w:r>
        <w:rPr>
          <w:rFonts w:hint="eastAsia" w:eastAsia="仿宋"/>
          <w:color w:val="auto"/>
          <w:sz w:val="32"/>
          <w:szCs w:val="32"/>
          <w:highlight w:val="none"/>
          <w:lang w:val="en-US" w:eastAsia="zh-CN"/>
        </w:rPr>
        <w:t>财政拨款支出总计1438.59万元。</w:t>
      </w:r>
      <w:r>
        <w:rPr>
          <w:rFonts w:hint="eastAsia" w:ascii="Times New Roman" w:hAnsi="Times New Roman" w:eastAsia="仿宋"/>
          <w:color w:val="auto"/>
          <w:sz w:val="32"/>
          <w:szCs w:val="32"/>
          <w:highlight w:val="none"/>
        </w:rPr>
        <w:t>与</w:t>
      </w: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年相比，财政拨款收</w:t>
      </w:r>
      <w:r>
        <w:rPr>
          <w:rFonts w:hint="eastAsia" w:eastAsia="仿宋"/>
          <w:color w:val="auto"/>
          <w:sz w:val="32"/>
          <w:szCs w:val="32"/>
          <w:highlight w:val="none"/>
          <w:lang w:val="en-US" w:eastAsia="zh-CN"/>
        </w:rPr>
        <w:t>入</w:t>
      </w:r>
      <w:r>
        <w:rPr>
          <w:rFonts w:hint="eastAsia" w:ascii="Times New Roman" w:hAnsi="Times New Roman" w:eastAsia="仿宋"/>
          <w:color w:val="auto"/>
          <w:sz w:val="32"/>
          <w:szCs w:val="32"/>
          <w:highlight w:val="none"/>
        </w:rPr>
        <w:t>增加</w:t>
      </w:r>
      <w:r>
        <w:rPr>
          <w:rFonts w:hint="eastAsia" w:ascii="Times New Roman" w:hAnsi="Times New Roman" w:eastAsia="仿宋"/>
          <w:color w:val="auto"/>
          <w:sz w:val="32"/>
          <w:szCs w:val="32"/>
          <w:highlight w:val="none"/>
          <w:lang w:val="en-US" w:eastAsia="zh-CN"/>
        </w:rPr>
        <w:t>526.3</w:t>
      </w:r>
      <w:r>
        <w:rPr>
          <w:rFonts w:hint="eastAsia" w:ascii="Times New Roman" w:hAnsi="Times New Roman" w:eastAsia="仿宋"/>
          <w:color w:val="auto"/>
          <w:sz w:val="32"/>
          <w:szCs w:val="32"/>
          <w:highlight w:val="none"/>
        </w:rPr>
        <w:t>万元，</w:t>
      </w:r>
      <w:r>
        <w:rPr>
          <w:rFonts w:hint="eastAsia" w:eastAsia="仿宋"/>
          <w:color w:val="auto"/>
          <w:sz w:val="32"/>
          <w:szCs w:val="32"/>
          <w:highlight w:val="none"/>
          <w:lang w:val="en-US" w:eastAsia="zh-CN"/>
        </w:rPr>
        <w:t>支出增加526.3万元，</w:t>
      </w:r>
      <w:r>
        <w:rPr>
          <w:rFonts w:hint="eastAsia" w:ascii="Times New Roman" w:hAnsi="Times New Roman" w:eastAsia="仿宋"/>
          <w:color w:val="auto"/>
          <w:sz w:val="32"/>
          <w:szCs w:val="32"/>
          <w:highlight w:val="none"/>
        </w:rPr>
        <w:t>增长</w:t>
      </w:r>
      <w:r>
        <w:rPr>
          <w:rFonts w:hint="eastAsia" w:ascii="Times New Roman" w:hAnsi="Times New Roman" w:eastAsia="仿宋"/>
          <w:color w:val="auto"/>
          <w:sz w:val="32"/>
          <w:szCs w:val="32"/>
          <w:highlight w:val="none"/>
          <w:lang w:val="en-US" w:eastAsia="zh-CN"/>
        </w:rPr>
        <w:t>57.69</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。主要变动原因是</w:t>
      </w:r>
      <w:r>
        <w:rPr>
          <w:rFonts w:hint="eastAsia" w:ascii="Times New Roman" w:hAnsi="Times New Roman" w:eastAsia="仿宋"/>
          <w:color w:val="auto"/>
          <w:sz w:val="32"/>
          <w:szCs w:val="32"/>
          <w:highlight w:val="none"/>
          <w:lang w:val="en-US" w:eastAsia="zh-CN"/>
        </w:rPr>
        <w:t>2021年一般公共预算财政拨款收入调减360万元，2022年一般公共预算财政拨款收入调增170.1万元。</w:t>
      </w:r>
    </w:p>
    <w:p>
      <w:pPr>
        <w:pStyle w:val="2"/>
        <w:rPr>
          <w:rFonts w:ascii="Times New Roman" w:hAnsi="Times New Roman" w:eastAsia="仿宋"/>
          <w:color w:val="auto"/>
          <w:sz w:val="32"/>
          <w:szCs w:val="32"/>
          <w:highlight w:val="none"/>
        </w:rPr>
      </w:pPr>
      <w:r>
        <w:drawing>
          <wp:anchor distT="0" distB="0" distL="114300" distR="114300" simplePos="0" relativeHeight="251664384" behindDoc="1" locked="0" layoutInCell="1" allowOverlap="1">
            <wp:simplePos x="0" y="0"/>
            <wp:positionH relativeFrom="column">
              <wp:posOffset>233045</wp:posOffset>
            </wp:positionH>
            <wp:positionV relativeFrom="paragraph">
              <wp:posOffset>231775</wp:posOffset>
            </wp:positionV>
            <wp:extent cx="4572635" cy="2667000"/>
            <wp:effectExtent l="4445" t="4445" r="13970" b="14605"/>
            <wp:wrapTight wrapText="bothSides">
              <wp:wrapPolygon>
                <wp:start x="-21" y="-36"/>
                <wp:lineTo x="-21" y="21564"/>
                <wp:lineTo x="21576" y="21564"/>
                <wp:lineTo x="21576" y="-36"/>
                <wp:lineTo x="-21" y="-36"/>
              </wp:wrapPolygon>
            </wp:wrapTight>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rPr>
          <w:rFonts w:hint="eastAsia" w:ascii="Times New Roman" w:hAnsi="Times New Roman" w:eastAsia="仿宋"/>
          <w:color w:val="auto"/>
          <w:sz w:val="32"/>
          <w:szCs w:val="32"/>
          <w:highlight w:val="none"/>
        </w:rPr>
      </w:pPr>
      <w:bookmarkStart w:id="69" w:name="_GoBack"/>
      <w:bookmarkEnd w:id="69"/>
    </w:p>
    <w:p>
      <w:pPr>
        <w:spacing w:line="600" w:lineRule="exact"/>
        <w:ind w:firstLine="960" w:firstLineChars="300"/>
        <w:rPr>
          <w:rFonts w:ascii="Times New Roman" w:hAnsi="Times New Roman" w:eastAsia="仿宋"/>
          <w:b/>
          <w:color w:val="auto"/>
          <w:sz w:val="32"/>
          <w:szCs w:val="32"/>
          <w:highlight w:val="none"/>
        </w:rPr>
      </w:pPr>
      <w:r>
        <w:rPr>
          <w:rFonts w:hint="eastAsia" w:ascii="Times New Roman" w:hAnsi="Times New Roman" w:eastAsia="仿宋"/>
          <w:color w:val="auto"/>
          <w:sz w:val="32"/>
          <w:szCs w:val="32"/>
          <w:highlight w:val="none"/>
        </w:rPr>
        <w:t>（图4：财政拨款收、支决算总计变动情况）</w:t>
      </w:r>
    </w:p>
    <w:p>
      <w:pPr>
        <w:spacing w:line="600" w:lineRule="exact"/>
        <w:ind w:firstLine="640" w:firstLineChars="200"/>
        <w:outlineLvl w:val="1"/>
        <w:rPr>
          <w:rStyle w:val="30"/>
          <w:rFonts w:ascii="Times New Roman" w:hAnsi="Times New Roman" w:eastAsia="黑体"/>
          <w:b w:val="0"/>
          <w:color w:val="auto"/>
          <w:highlight w:val="none"/>
        </w:rPr>
      </w:pPr>
      <w:bookmarkStart w:id="28" w:name="_Toc15396607"/>
      <w:bookmarkStart w:id="29" w:name="_Toc15377209"/>
      <w:r>
        <w:rPr>
          <w:rFonts w:hint="eastAsia" w:ascii="Times New Roman" w:hAnsi="Times New Roman" w:eastAsia="黑体"/>
          <w:color w:val="auto"/>
          <w:sz w:val="32"/>
          <w:szCs w:val="32"/>
          <w:highlight w:val="none"/>
        </w:rPr>
        <w:t>五、</w:t>
      </w:r>
      <w:r>
        <w:rPr>
          <w:rFonts w:hint="eastAsia" w:ascii="Times New Roman" w:hAnsi="Times New Roman" w:eastAsia="黑体"/>
          <w:b/>
          <w:color w:val="auto"/>
          <w:sz w:val="32"/>
          <w:szCs w:val="32"/>
          <w:highlight w:val="none"/>
        </w:rPr>
        <w:t>一</w:t>
      </w:r>
      <w:r>
        <w:rPr>
          <w:rStyle w:val="30"/>
          <w:rFonts w:hint="eastAsia" w:ascii="Times New Roman" w:hAnsi="Times New Roman" w:eastAsia="黑体"/>
          <w:b w:val="0"/>
          <w:color w:val="auto"/>
          <w:highlight w:val="none"/>
        </w:rPr>
        <w:t>般公共预算财政拨款支出决算情况说明</w:t>
      </w:r>
      <w:bookmarkEnd w:id="28"/>
      <w:bookmarkEnd w:id="29"/>
    </w:p>
    <w:p>
      <w:pPr>
        <w:spacing w:line="600" w:lineRule="exact"/>
        <w:ind w:firstLine="643" w:firstLineChars="200"/>
        <w:outlineLvl w:val="2"/>
        <w:rPr>
          <w:rFonts w:ascii="Times New Roman" w:hAnsi="Times New Roman" w:eastAsia="仿宋"/>
          <w:b/>
          <w:color w:val="auto"/>
          <w:sz w:val="32"/>
          <w:szCs w:val="32"/>
          <w:highlight w:val="none"/>
        </w:rPr>
      </w:pPr>
      <w:bookmarkStart w:id="30" w:name="_Toc15377210"/>
      <w:r>
        <w:rPr>
          <w:rFonts w:hint="eastAsia" w:ascii="Times New Roman" w:hAnsi="Times New Roman" w:eastAsia="仿宋"/>
          <w:b/>
          <w:color w:val="auto"/>
          <w:sz w:val="32"/>
          <w:szCs w:val="32"/>
          <w:highlight w:val="none"/>
        </w:rPr>
        <w:t>（一）一般公共预算财政拨款支出决算总体情况</w:t>
      </w:r>
      <w:bookmarkEnd w:id="30"/>
    </w:p>
    <w:p>
      <w:pPr>
        <w:spacing w:line="600" w:lineRule="exact"/>
        <w:ind w:firstLine="640"/>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年一般公共预算财政拨款支出1438.59万元，占本年支出合计的</w:t>
      </w:r>
      <w:r>
        <w:rPr>
          <w:rFonts w:hint="eastAsia" w:ascii="Times New Roman" w:hAnsi="Times New Roman" w:eastAsia="仿宋"/>
          <w:color w:val="auto"/>
          <w:sz w:val="32"/>
          <w:szCs w:val="32"/>
          <w:highlight w:val="none"/>
          <w:lang w:val="en-US" w:eastAsia="zh-CN"/>
        </w:rPr>
        <w:t>20.45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。与</w:t>
      </w: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年相比，一般公共预算财政拨款</w:t>
      </w:r>
      <w:r>
        <w:rPr>
          <w:rFonts w:hint="eastAsia" w:ascii="Times New Roman" w:hAnsi="Times New Roman" w:eastAsia="仿宋"/>
          <w:color w:val="auto"/>
          <w:sz w:val="32"/>
          <w:szCs w:val="32"/>
          <w:highlight w:val="none"/>
          <w:lang w:eastAsia="zh-CN"/>
        </w:rPr>
        <w:t>支出</w:t>
      </w:r>
      <w:r>
        <w:rPr>
          <w:rFonts w:hint="eastAsia" w:ascii="Times New Roman" w:hAnsi="Times New Roman" w:eastAsia="仿宋"/>
          <w:color w:val="auto"/>
          <w:sz w:val="32"/>
          <w:szCs w:val="32"/>
          <w:highlight w:val="none"/>
        </w:rPr>
        <w:t>增加</w:t>
      </w:r>
      <w:r>
        <w:rPr>
          <w:rFonts w:hint="eastAsia" w:ascii="Times New Roman" w:hAnsi="Times New Roman" w:eastAsia="仿宋"/>
          <w:color w:val="auto"/>
          <w:sz w:val="32"/>
          <w:szCs w:val="32"/>
          <w:highlight w:val="none"/>
          <w:lang w:val="en-US" w:eastAsia="zh-CN"/>
        </w:rPr>
        <w:t>526.3</w:t>
      </w:r>
      <w:r>
        <w:rPr>
          <w:rFonts w:hint="eastAsia" w:ascii="Times New Roman" w:hAnsi="Times New Roman" w:eastAsia="仿宋"/>
          <w:color w:val="auto"/>
          <w:sz w:val="32"/>
          <w:szCs w:val="32"/>
          <w:highlight w:val="none"/>
        </w:rPr>
        <w:t>万元，增长</w:t>
      </w:r>
      <w:r>
        <w:rPr>
          <w:rFonts w:hint="eastAsia" w:ascii="Times New Roman" w:hAnsi="Times New Roman" w:eastAsia="仿宋"/>
          <w:color w:val="auto"/>
          <w:sz w:val="32"/>
          <w:szCs w:val="32"/>
          <w:highlight w:val="none"/>
          <w:lang w:val="en-US" w:eastAsia="zh-CN"/>
        </w:rPr>
        <w:t>57.69</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。主要变动原因是</w:t>
      </w:r>
      <w:r>
        <w:rPr>
          <w:rFonts w:hint="eastAsia" w:ascii="Times New Roman" w:hAnsi="Times New Roman" w:eastAsia="仿宋"/>
          <w:color w:val="auto"/>
          <w:sz w:val="32"/>
          <w:szCs w:val="32"/>
          <w:highlight w:val="none"/>
          <w:lang w:val="en-US" w:eastAsia="zh-CN"/>
        </w:rPr>
        <w:t>2021年一般公共预算财政拨款收入调减360万元，2022年一般公共预算财政拨款收入调增170.1万元。</w:t>
      </w:r>
    </w:p>
    <w:p>
      <w:pPr>
        <w:pStyle w:val="2"/>
        <w:rPr>
          <w:rFonts w:ascii="Times New Roman" w:hAnsi="Times New Roman" w:eastAsia="仿宋"/>
          <w:color w:val="auto"/>
          <w:sz w:val="32"/>
          <w:szCs w:val="32"/>
          <w:highlight w:val="none"/>
        </w:rPr>
      </w:pPr>
      <w:r>
        <w:rPr>
          <w:rFonts w:ascii="Times New Roman" w:hAnsi="Times New Roman"/>
          <w:color w:val="auto"/>
        </w:rPr>
        <w:drawing>
          <wp:anchor distT="0" distB="0" distL="114300" distR="114300" simplePos="0" relativeHeight="251661312" behindDoc="1" locked="0" layoutInCell="1" allowOverlap="1">
            <wp:simplePos x="0" y="0"/>
            <wp:positionH relativeFrom="column">
              <wp:posOffset>4445</wp:posOffset>
            </wp:positionH>
            <wp:positionV relativeFrom="paragraph">
              <wp:posOffset>222250</wp:posOffset>
            </wp:positionV>
            <wp:extent cx="5187950" cy="2590800"/>
            <wp:effectExtent l="4445" t="4445" r="8255" b="14605"/>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pStyle w:val="2"/>
        <w:rPr>
          <w:rFonts w:ascii="Times New Roman" w:hAnsi="Times New Roman" w:eastAsia="仿宋"/>
          <w:color w:val="auto"/>
          <w:sz w:val="32"/>
          <w:szCs w:val="32"/>
          <w:highlight w:val="none"/>
        </w:rPr>
      </w:pPr>
    </w:p>
    <w:p>
      <w:pPr>
        <w:spacing w:line="600" w:lineRule="exact"/>
        <w:ind w:firstLine="640" w:firstLineChars="200"/>
        <w:rPr>
          <w:rFonts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rPr>
        <w:t>（图5：一般公共预算财政拨款支出决算变动情况）</w:t>
      </w:r>
    </w:p>
    <w:p>
      <w:pPr>
        <w:spacing w:line="600" w:lineRule="exact"/>
        <w:ind w:firstLine="643" w:firstLineChars="200"/>
        <w:outlineLvl w:val="2"/>
        <w:rPr>
          <w:rFonts w:ascii="Times New Roman" w:hAnsi="Times New Roman" w:eastAsia="仿宋"/>
          <w:b/>
          <w:color w:val="auto"/>
          <w:sz w:val="32"/>
          <w:szCs w:val="32"/>
          <w:highlight w:val="none"/>
        </w:rPr>
      </w:pPr>
      <w:bookmarkStart w:id="31" w:name="_Toc15377211"/>
      <w:r>
        <w:rPr>
          <w:rFonts w:hint="eastAsia" w:ascii="Times New Roman" w:hAnsi="Times New Roman" w:eastAsia="仿宋"/>
          <w:b/>
          <w:color w:val="auto"/>
          <w:sz w:val="32"/>
          <w:szCs w:val="32"/>
          <w:highlight w:val="none"/>
        </w:rPr>
        <w:t>（二）一般公共预算财政拨款支出决算结构情况</w:t>
      </w:r>
      <w:bookmarkEnd w:id="31"/>
    </w:p>
    <w:p>
      <w:pPr>
        <w:spacing w:line="600" w:lineRule="exact"/>
        <w:ind w:firstLine="640"/>
        <w:rPr>
          <w:rFonts w:hint="eastAsia"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年一般公共预算财政拨款支出1438.59万元，主要用于以下方面</w:t>
      </w:r>
      <w:r>
        <w:rPr>
          <w:rFonts w:ascii="Times New Roman" w:hAnsi="Times New Roman" w:eastAsia="仿宋"/>
          <w:color w:val="auto"/>
          <w:sz w:val="32"/>
          <w:szCs w:val="32"/>
          <w:highlight w:val="none"/>
        </w:rPr>
        <w:t>:</w:t>
      </w:r>
      <w:r>
        <w:rPr>
          <w:rFonts w:hint="eastAsia" w:ascii="Times New Roman" w:hAnsi="Times New Roman" w:eastAsia="仿宋"/>
          <w:b/>
          <w:color w:val="auto"/>
          <w:sz w:val="32"/>
          <w:szCs w:val="32"/>
          <w:highlight w:val="none"/>
        </w:rPr>
        <w:t>教育支出</w:t>
      </w:r>
      <w:r>
        <w:rPr>
          <w:rFonts w:hint="eastAsia" w:ascii="Times New Roman" w:hAnsi="Times New Roman" w:eastAsia="仿宋"/>
          <w:color w:val="auto"/>
          <w:sz w:val="32"/>
          <w:szCs w:val="32"/>
          <w:highlight w:val="none"/>
          <w:lang w:val="en-US" w:eastAsia="zh-CN"/>
        </w:rPr>
        <w:t>180</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12.51</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color w:val="auto"/>
          <w:sz w:val="32"/>
          <w:szCs w:val="32"/>
          <w:highlight w:val="none"/>
        </w:rPr>
        <w:t>社会保障和就业</w:t>
      </w:r>
      <w:r>
        <w:rPr>
          <w:rFonts w:hint="eastAsia" w:ascii="Times New Roman" w:hAnsi="Times New Roman" w:eastAsia="仿宋"/>
          <w:b/>
          <w:bCs/>
          <w:color w:val="auto"/>
          <w:sz w:val="32"/>
          <w:szCs w:val="32"/>
          <w:highlight w:val="none"/>
        </w:rPr>
        <w:t>支出</w:t>
      </w:r>
      <w:r>
        <w:rPr>
          <w:rFonts w:hint="eastAsia" w:ascii="Times New Roman" w:hAnsi="Times New Roman" w:eastAsia="仿宋"/>
          <w:color w:val="auto"/>
          <w:sz w:val="32"/>
          <w:szCs w:val="32"/>
          <w:highlight w:val="none"/>
        </w:rPr>
        <w:t>81.24万元，占</w:t>
      </w:r>
      <w:r>
        <w:rPr>
          <w:rFonts w:hint="eastAsia" w:ascii="Times New Roman" w:hAnsi="Times New Roman" w:eastAsia="仿宋"/>
          <w:color w:val="auto"/>
          <w:sz w:val="32"/>
          <w:szCs w:val="32"/>
          <w:highlight w:val="none"/>
          <w:lang w:val="en-US" w:eastAsia="zh-CN"/>
        </w:rPr>
        <w:t>5.65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卫生健康支出</w:t>
      </w:r>
      <w:r>
        <w:rPr>
          <w:rFonts w:hint="eastAsia" w:ascii="Times New Roman" w:hAnsi="Times New Roman" w:eastAsia="仿宋"/>
          <w:color w:val="auto"/>
          <w:sz w:val="32"/>
          <w:szCs w:val="32"/>
          <w:highlight w:val="none"/>
        </w:rPr>
        <w:t>1109.44万元，占</w:t>
      </w:r>
      <w:r>
        <w:rPr>
          <w:rFonts w:hint="eastAsia" w:ascii="Times New Roman" w:hAnsi="Times New Roman" w:eastAsia="仿宋"/>
          <w:color w:val="auto"/>
          <w:sz w:val="32"/>
          <w:szCs w:val="32"/>
          <w:highlight w:val="none"/>
          <w:lang w:val="en-US" w:eastAsia="zh-CN"/>
        </w:rPr>
        <w:t>77.12</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住房保障支出</w:t>
      </w:r>
      <w:r>
        <w:rPr>
          <w:rFonts w:hint="eastAsia" w:ascii="Times New Roman" w:hAnsi="Times New Roman" w:eastAsia="仿宋"/>
          <w:color w:val="auto"/>
          <w:sz w:val="32"/>
          <w:szCs w:val="32"/>
          <w:highlight w:val="none"/>
        </w:rPr>
        <w:t>67.91万元，占</w:t>
      </w:r>
      <w:r>
        <w:rPr>
          <w:rFonts w:hint="eastAsia" w:ascii="Times New Roman" w:hAnsi="Times New Roman" w:eastAsia="仿宋"/>
          <w:color w:val="auto"/>
          <w:sz w:val="32"/>
          <w:szCs w:val="32"/>
          <w:highlight w:val="none"/>
          <w:lang w:val="en-US" w:eastAsia="zh-CN"/>
        </w:rPr>
        <w:t>4.72</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p>
    <w:p>
      <w:pPr>
        <w:spacing w:line="600" w:lineRule="exact"/>
        <w:ind w:firstLine="420" w:firstLineChars="200"/>
        <w:rPr>
          <w:rFonts w:hint="eastAsia" w:ascii="Times New Roman" w:hAnsi="Times New Roman" w:eastAsia="仿宋"/>
          <w:color w:val="auto"/>
          <w:sz w:val="32"/>
          <w:szCs w:val="32"/>
          <w:highlight w:val="none"/>
        </w:rPr>
      </w:pPr>
      <w:r>
        <w:rPr>
          <w:rFonts w:ascii="Times New Roman" w:hAnsi="Times New Roman"/>
          <w:color w:val="auto"/>
        </w:rPr>
        <w:drawing>
          <wp:anchor distT="0" distB="0" distL="114300" distR="114300" simplePos="0" relativeHeight="251662336" behindDoc="1" locked="0" layoutInCell="1" allowOverlap="1">
            <wp:simplePos x="0" y="0"/>
            <wp:positionH relativeFrom="column">
              <wp:posOffset>271145</wp:posOffset>
            </wp:positionH>
            <wp:positionV relativeFrom="paragraph">
              <wp:posOffset>66040</wp:posOffset>
            </wp:positionV>
            <wp:extent cx="4826000" cy="2857500"/>
            <wp:effectExtent l="5080" t="4445" r="7620" b="14605"/>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Times New Roman" w:hAnsi="Times New Roman" w:eastAsia="仿宋"/>
          <w:color w:val="auto"/>
          <w:sz w:val="32"/>
          <w:szCs w:val="32"/>
          <w:highlight w:val="none"/>
        </w:rPr>
      </w:pPr>
    </w:p>
    <w:p>
      <w:pPr>
        <w:pStyle w:val="2"/>
        <w:rPr>
          <w:rFonts w:hint="eastAsia" w:ascii="Times New Roman" w:hAnsi="Times New Roman" w:eastAsia="仿宋"/>
          <w:color w:val="auto"/>
          <w:sz w:val="32"/>
          <w:szCs w:val="32"/>
          <w:highlight w:val="none"/>
        </w:rPr>
      </w:pPr>
    </w:p>
    <w:p>
      <w:pPr>
        <w:pStyle w:val="2"/>
        <w:rPr>
          <w:rFonts w:hint="eastAsia" w:ascii="Times New Roman" w:hAnsi="Times New Roman" w:eastAsia="仿宋"/>
          <w:color w:val="auto"/>
          <w:sz w:val="32"/>
          <w:szCs w:val="32"/>
          <w:highlight w:val="none"/>
        </w:rPr>
      </w:pPr>
    </w:p>
    <w:p>
      <w:pPr>
        <w:pStyle w:val="2"/>
        <w:rPr>
          <w:rFonts w:hint="eastAsia"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ind w:firstLine="640" w:firstLineChars="200"/>
        <w:rPr>
          <w:rFonts w:hint="eastAsia" w:ascii="Times New Roman" w:hAnsi="Times New Roman" w:eastAsia="仿宋"/>
          <w:color w:val="auto"/>
          <w:sz w:val="32"/>
          <w:szCs w:val="32"/>
          <w:highlight w:val="none"/>
        </w:rPr>
      </w:pPr>
    </w:p>
    <w:p>
      <w:pPr>
        <w:spacing w:line="600" w:lineRule="exact"/>
        <w:ind w:firstLine="960" w:firstLineChars="300"/>
        <w:rPr>
          <w:rFonts w:ascii="Times New Roman" w:hAnsi="Times New Roman" w:eastAsia="仿宋"/>
          <w:color w:val="auto"/>
          <w:sz w:val="32"/>
          <w:szCs w:val="32"/>
          <w:highlight w:val="none"/>
        </w:rPr>
      </w:pPr>
      <w:r>
        <w:rPr>
          <w:rFonts w:hint="eastAsia" w:ascii="Times New Roman" w:hAnsi="Times New Roman" w:eastAsia="仿宋"/>
          <w:color w:val="auto"/>
          <w:sz w:val="32"/>
          <w:szCs w:val="32"/>
          <w:highlight w:val="none"/>
        </w:rPr>
        <w:t>（图6：一般公共预算财政拨款支出决算结构）</w:t>
      </w:r>
    </w:p>
    <w:p>
      <w:pPr>
        <w:spacing w:line="600" w:lineRule="exact"/>
        <w:ind w:firstLine="640" w:firstLineChars="200"/>
        <w:rPr>
          <w:rFonts w:ascii="Times New Roman" w:hAnsi="Times New Roman" w:eastAsia="仿宋"/>
          <w:color w:val="auto"/>
          <w:sz w:val="32"/>
          <w:szCs w:val="32"/>
          <w:highlight w:val="none"/>
        </w:rPr>
      </w:pPr>
    </w:p>
    <w:p>
      <w:pPr>
        <w:spacing w:line="600" w:lineRule="exact"/>
        <w:ind w:firstLine="643" w:firstLineChars="200"/>
        <w:outlineLvl w:val="2"/>
        <w:rPr>
          <w:rFonts w:ascii="Times New Roman" w:hAnsi="Times New Roman" w:eastAsia="仿宋"/>
          <w:b/>
          <w:color w:val="auto"/>
          <w:sz w:val="32"/>
          <w:szCs w:val="32"/>
          <w:highlight w:val="none"/>
        </w:rPr>
      </w:pPr>
      <w:bookmarkStart w:id="32" w:name="_Toc15377212"/>
      <w:r>
        <w:rPr>
          <w:rFonts w:hint="eastAsia" w:ascii="Times New Roman" w:hAnsi="Times New Roman" w:eastAsia="仿宋"/>
          <w:b/>
          <w:color w:val="auto"/>
          <w:sz w:val="32"/>
          <w:szCs w:val="32"/>
          <w:highlight w:val="none"/>
        </w:rPr>
        <w:t>（三）一般公共预算财政拨款支出决算具体情况</w:t>
      </w:r>
      <w:bookmarkEnd w:id="32"/>
    </w:p>
    <w:p>
      <w:pPr>
        <w:spacing w:line="600" w:lineRule="exact"/>
        <w:ind w:firstLine="643" w:firstLineChars="200"/>
        <w:outlineLvl w:val="2"/>
        <w:rPr>
          <w:rFonts w:ascii="Times New Roman" w:hAnsi="Times New Roman" w:eastAsia="仿宋"/>
          <w:color w:val="auto"/>
          <w:sz w:val="32"/>
          <w:szCs w:val="32"/>
          <w:highlight w:val="none"/>
        </w:rPr>
      </w:pPr>
      <w:bookmarkStart w:id="33" w:name="_Toc15378460"/>
      <w:bookmarkStart w:id="34" w:name="_Toc15377213"/>
      <w:bookmarkStart w:id="35" w:name="_Toc15377444"/>
      <w:r>
        <w:rPr>
          <w:rFonts w:hint="eastAsia" w:ascii="Times New Roman" w:hAnsi="Times New Roman" w:eastAsia="仿宋"/>
          <w:b/>
          <w:color w:val="auto"/>
          <w:sz w:val="32"/>
          <w:szCs w:val="32"/>
          <w:highlight w:val="none"/>
        </w:rPr>
        <w:t>20</w:t>
      </w:r>
      <w:r>
        <w:rPr>
          <w:rFonts w:hint="eastAsia" w:ascii="Times New Roman" w:hAnsi="Times New Roman" w:eastAsia="仿宋"/>
          <w:b/>
          <w:color w:val="auto"/>
          <w:sz w:val="32"/>
          <w:szCs w:val="32"/>
          <w:highlight w:val="none"/>
          <w:lang w:val="en-US" w:eastAsia="zh-CN"/>
        </w:rPr>
        <w:t>22</w:t>
      </w:r>
      <w:r>
        <w:rPr>
          <w:rFonts w:hint="eastAsia" w:ascii="Times New Roman" w:hAnsi="Times New Roman" w:eastAsia="仿宋"/>
          <w:b/>
          <w:color w:val="auto"/>
          <w:sz w:val="32"/>
          <w:szCs w:val="32"/>
          <w:highlight w:val="none"/>
        </w:rPr>
        <w:t>年</w:t>
      </w:r>
      <w:r>
        <w:rPr>
          <w:rFonts w:hint="eastAsia" w:ascii="Times New Roman" w:hAnsi="Times New Roman" w:eastAsia="仿宋"/>
          <w:b/>
          <w:color w:val="auto"/>
          <w:sz w:val="32"/>
          <w:szCs w:val="32"/>
          <w:highlight w:val="none"/>
          <w:lang w:eastAsia="zh-CN"/>
        </w:rPr>
        <w:t>一</w:t>
      </w:r>
      <w:r>
        <w:rPr>
          <w:rFonts w:hint="eastAsia" w:ascii="Times New Roman" w:hAnsi="Times New Roman" w:eastAsia="仿宋"/>
          <w:b/>
          <w:color w:val="auto"/>
          <w:sz w:val="32"/>
          <w:szCs w:val="32"/>
          <w:highlight w:val="none"/>
        </w:rPr>
        <w:t>般公共预算支出决算数为</w:t>
      </w:r>
      <w:r>
        <w:rPr>
          <w:rFonts w:hint="eastAsia" w:ascii="Times New Roman" w:hAnsi="Times New Roman" w:eastAsia="仿宋"/>
          <w:b/>
          <w:color w:val="auto"/>
          <w:sz w:val="32"/>
          <w:szCs w:val="32"/>
          <w:highlight w:val="none"/>
          <w:lang w:val="en-US" w:eastAsia="zh-CN"/>
        </w:rPr>
        <w:t>1438.59万元</w:t>
      </w:r>
      <w:r>
        <w:rPr>
          <w:rFonts w:hint="eastAsia" w:ascii="Times New Roman" w:hAnsi="Times New Roman" w:eastAsia="仿宋"/>
          <w:color w:val="auto"/>
          <w:sz w:val="32"/>
          <w:szCs w:val="32"/>
          <w:highlight w:val="none"/>
        </w:rPr>
        <w:t>，</w:t>
      </w:r>
      <w:r>
        <w:rPr>
          <w:rStyle w:val="18"/>
          <w:rFonts w:hint="eastAsia" w:ascii="Times New Roman" w:hAnsi="Times New Roman" w:eastAsia="仿宋"/>
          <w:bCs/>
          <w:color w:val="auto"/>
          <w:sz w:val="32"/>
          <w:szCs w:val="32"/>
          <w:highlight w:val="none"/>
        </w:rPr>
        <w:t>完成预算</w:t>
      </w:r>
      <w:r>
        <w:rPr>
          <w:rStyle w:val="18"/>
          <w:rFonts w:hint="eastAsia" w:ascii="Times New Roman" w:hAnsi="Times New Roman" w:eastAsia="仿宋"/>
          <w:bCs/>
          <w:color w:val="auto"/>
          <w:sz w:val="32"/>
          <w:szCs w:val="32"/>
          <w:highlight w:val="none"/>
          <w:lang w:val="en-US" w:eastAsia="zh-CN"/>
        </w:rPr>
        <w:t>100</w:t>
      </w:r>
      <w:r>
        <w:rPr>
          <w:rStyle w:val="18"/>
          <w:rFonts w:ascii="Times New Roman" w:hAnsi="Times New Roman" w:eastAsia="仿宋"/>
          <w:bCs/>
          <w:color w:val="auto"/>
          <w:sz w:val="32"/>
          <w:szCs w:val="32"/>
          <w:highlight w:val="none"/>
        </w:rPr>
        <w:t>%</w:t>
      </w:r>
      <w:r>
        <w:rPr>
          <w:rStyle w:val="18"/>
          <w:rFonts w:hint="eastAsia" w:ascii="Times New Roman" w:hAnsi="Times New Roman" w:eastAsia="仿宋"/>
          <w:bCs/>
          <w:color w:val="auto"/>
          <w:sz w:val="32"/>
          <w:szCs w:val="32"/>
          <w:highlight w:val="none"/>
        </w:rPr>
        <w:t>。其中：</w:t>
      </w:r>
      <w:bookmarkEnd w:id="33"/>
      <w:bookmarkEnd w:id="34"/>
      <w:bookmarkEnd w:id="35"/>
    </w:p>
    <w:p>
      <w:pPr>
        <w:spacing w:line="600" w:lineRule="exact"/>
        <w:ind w:firstLine="643" w:firstLineChars="200"/>
        <w:rPr>
          <w:rFonts w:ascii="Times New Roman" w:hAnsi="Times New Roman" w:eastAsia="仿宋"/>
          <w:b/>
          <w:color w:val="auto"/>
          <w:sz w:val="32"/>
          <w:szCs w:val="32"/>
          <w:highlight w:val="none"/>
        </w:rPr>
      </w:pPr>
      <w:r>
        <w:rPr>
          <w:rStyle w:val="18"/>
          <w:rFonts w:hint="eastAsia" w:ascii="Times New Roman" w:hAnsi="Times New Roman" w:eastAsia="仿宋"/>
          <w:bCs/>
          <w:color w:val="auto"/>
          <w:sz w:val="32"/>
          <w:szCs w:val="32"/>
          <w:highlight w:val="none"/>
          <w:lang w:val="en-US" w:eastAsia="zh-CN"/>
        </w:rPr>
        <w:t>1</w:t>
      </w:r>
      <w:r>
        <w:rPr>
          <w:rStyle w:val="18"/>
          <w:rFonts w:ascii="Times New Roman" w:hAnsi="Times New Roman" w:eastAsia="仿宋"/>
          <w:bCs/>
          <w:color w:val="auto"/>
          <w:sz w:val="32"/>
          <w:szCs w:val="32"/>
          <w:highlight w:val="none"/>
        </w:rPr>
        <w:t>.</w:t>
      </w:r>
      <w:r>
        <w:rPr>
          <w:rStyle w:val="18"/>
          <w:rFonts w:hint="eastAsia" w:ascii="Times New Roman" w:hAnsi="Times New Roman" w:eastAsia="仿宋"/>
          <w:bCs/>
          <w:color w:val="auto"/>
          <w:sz w:val="32"/>
          <w:szCs w:val="32"/>
          <w:highlight w:val="none"/>
        </w:rPr>
        <w:t>教育（类）其他教育支出（款）其他教育支出（项）</w:t>
      </w:r>
      <w:r>
        <w:rPr>
          <w:rStyle w:val="18"/>
          <w:rFonts w:ascii="Times New Roman" w:hAnsi="Times New Roman" w:eastAsia="仿宋"/>
          <w:bCs/>
          <w:color w:val="auto"/>
          <w:sz w:val="32"/>
          <w:szCs w:val="32"/>
          <w:highlight w:val="none"/>
        </w:rPr>
        <w:t>:</w:t>
      </w:r>
      <w:r>
        <w:rPr>
          <w:rStyle w:val="18"/>
          <w:rFonts w:ascii="Times New Roman" w:hAnsi="Times New Roman" w:eastAsia="仿宋"/>
          <w:b w:val="0"/>
          <w:bCs/>
          <w:color w:val="auto"/>
          <w:sz w:val="32"/>
          <w:szCs w:val="32"/>
          <w:highlight w:val="none"/>
        </w:rPr>
        <w:t xml:space="preserve"> </w:t>
      </w:r>
      <w:r>
        <w:rPr>
          <w:rStyle w:val="18"/>
          <w:rFonts w:hint="eastAsia" w:ascii="Times New Roman" w:hAnsi="Times New Roman" w:eastAsia="仿宋"/>
          <w:b w:val="0"/>
          <w:bCs/>
          <w:color w:val="auto"/>
          <w:sz w:val="32"/>
          <w:szCs w:val="32"/>
          <w:highlight w:val="none"/>
        </w:rPr>
        <w:t>支出决算为</w:t>
      </w:r>
      <w:r>
        <w:rPr>
          <w:rStyle w:val="18"/>
          <w:rFonts w:hint="eastAsia" w:ascii="Times New Roman" w:hAnsi="Times New Roman" w:eastAsia="仿宋"/>
          <w:b w:val="0"/>
          <w:bCs/>
          <w:color w:val="auto"/>
          <w:sz w:val="32"/>
          <w:szCs w:val="32"/>
          <w:highlight w:val="none"/>
          <w:lang w:val="en-US" w:eastAsia="zh-CN"/>
        </w:rPr>
        <w:t>180</w:t>
      </w:r>
      <w:r>
        <w:rPr>
          <w:rStyle w:val="18"/>
          <w:rFonts w:hint="eastAsia" w:ascii="Times New Roman" w:hAnsi="Times New Roman" w:eastAsia="仿宋"/>
          <w:b w:val="0"/>
          <w:bCs/>
          <w:color w:val="auto"/>
          <w:sz w:val="32"/>
          <w:szCs w:val="32"/>
          <w:highlight w:val="none"/>
        </w:rPr>
        <w:t>万元，完成预算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rPr>
        <w:t>。</w:t>
      </w:r>
    </w:p>
    <w:p>
      <w:pPr>
        <w:spacing w:line="600" w:lineRule="exact"/>
        <w:ind w:firstLine="643" w:firstLineChars="200"/>
        <w:rPr>
          <w:rFonts w:hint="eastAsia" w:ascii="Times New Roman" w:hAnsi="Times New Roman" w:eastAsia="仿宋"/>
          <w:b/>
          <w:color w:val="auto"/>
          <w:sz w:val="32"/>
          <w:szCs w:val="32"/>
          <w:highlight w:val="none"/>
          <w:lang w:eastAsia="zh-CN"/>
        </w:rPr>
      </w:pPr>
      <w:r>
        <w:rPr>
          <w:rStyle w:val="18"/>
          <w:rFonts w:hint="eastAsia" w:ascii="Times New Roman" w:hAnsi="Times New Roman" w:eastAsia="仿宋"/>
          <w:bCs/>
          <w:color w:val="auto"/>
          <w:sz w:val="32"/>
          <w:szCs w:val="32"/>
          <w:highlight w:val="none"/>
          <w:lang w:val="en-US" w:eastAsia="zh-CN"/>
        </w:rPr>
        <w:t>2</w:t>
      </w:r>
      <w:r>
        <w:rPr>
          <w:rStyle w:val="18"/>
          <w:rFonts w:ascii="Times New Roman" w:hAnsi="Times New Roman" w:eastAsia="仿宋"/>
          <w:bCs/>
          <w:color w:val="auto"/>
          <w:sz w:val="32"/>
          <w:szCs w:val="32"/>
          <w:highlight w:val="none"/>
        </w:rPr>
        <w:t>.</w:t>
      </w:r>
      <w:r>
        <w:rPr>
          <w:rStyle w:val="18"/>
          <w:rFonts w:hint="eastAsia" w:ascii="Times New Roman" w:hAnsi="Times New Roman" w:eastAsia="仿宋"/>
          <w:bCs/>
          <w:color w:val="auto"/>
          <w:sz w:val="32"/>
          <w:szCs w:val="32"/>
          <w:highlight w:val="none"/>
        </w:rPr>
        <w:t>社会保障和就业（类）行政事业单位养老支出（款）事业单位离退休（项）</w:t>
      </w:r>
      <w:r>
        <w:rPr>
          <w:rStyle w:val="18"/>
          <w:rFonts w:ascii="Times New Roman" w:hAnsi="Times New Roman" w:eastAsia="仿宋"/>
          <w:bCs/>
          <w:color w:val="auto"/>
          <w:sz w:val="32"/>
          <w:szCs w:val="32"/>
          <w:highlight w:val="none"/>
        </w:rPr>
        <w:t>:</w:t>
      </w:r>
      <w:r>
        <w:rPr>
          <w:rStyle w:val="18"/>
          <w:rFonts w:ascii="Times New Roman" w:hAnsi="Times New Roman" w:eastAsia="仿宋"/>
          <w:b w:val="0"/>
          <w:bCs/>
          <w:color w:val="auto"/>
          <w:sz w:val="32"/>
          <w:szCs w:val="32"/>
          <w:highlight w:val="none"/>
        </w:rPr>
        <w:t xml:space="preserve"> </w:t>
      </w:r>
      <w:r>
        <w:rPr>
          <w:rStyle w:val="18"/>
          <w:rFonts w:hint="eastAsia" w:ascii="Times New Roman" w:hAnsi="Times New Roman" w:eastAsia="仿宋"/>
          <w:b w:val="0"/>
          <w:bCs/>
          <w:color w:val="auto"/>
          <w:sz w:val="32"/>
          <w:szCs w:val="32"/>
          <w:highlight w:val="none"/>
        </w:rPr>
        <w:t>支出决算为44万元，完成预算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lang w:eastAsia="zh-CN"/>
        </w:rPr>
        <w:t>；</w:t>
      </w:r>
      <w:r>
        <w:rPr>
          <w:rStyle w:val="18"/>
          <w:rFonts w:hint="eastAsia" w:ascii="Times New Roman" w:hAnsi="Times New Roman" w:eastAsia="仿宋"/>
          <w:bCs/>
          <w:color w:val="auto"/>
          <w:sz w:val="32"/>
          <w:szCs w:val="32"/>
          <w:highlight w:val="none"/>
        </w:rPr>
        <w:t>社会保障和就业（类）行政事业单位养老支出（款）机关事业单位基本养老保险缴费支出</w:t>
      </w:r>
      <w:r>
        <w:rPr>
          <w:rStyle w:val="18"/>
          <w:rFonts w:hint="eastAsia" w:ascii="Times New Roman" w:hAnsi="Times New Roman" w:eastAsia="仿宋"/>
          <w:bCs/>
          <w:color w:val="auto"/>
          <w:sz w:val="32"/>
          <w:szCs w:val="32"/>
          <w:highlight w:val="none"/>
          <w:lang w:eastAsia="zh-CN"/>
        </w:rPr>
        <w:t>（项）：</w:t>
      </w:r>
      <w:r>
        <w:rPr>
          <w:rStyle w:val="18"/>
          <w:rFonts w:hint="eastAsia" w:ascii="Times New Roman" w:hAnsi="Times New Roman" w:eastAsia="仿宋"/>
          <w:b w:val="0"/>
          <w:bCs/>
          <w:color w:val="auto"/>
          <w:sz w:val="32"/>
          <w:szCs w:val="32"/>
          <w:highlight w:val="none"/>
        </w:rPr>
        <w:t>支出决算为34.31万元</w:t>
      </w:r>
      <w:r>
        <w:rPr>
          <w:rStyle w:val="18"/>
          <w:rFonts w:hint="eastAsia" w:ascii="Times New Roman" w:hAnsi="Times New Roman" w:eastAsia="仿宋"/>
          <w:b w:val="0"/>
          <w:bCs/>
          <w:color w:val="auto"/>
          <w:sz w:val="32"/>
          <w:szCs w:val="32"/>
          <w:highlight w:val="none"/>
          <w:lang w:eastAsia="zh-CN"/>
        </w:rPr>
        <w:t>，</w:t>
      </w:r>
      <w:r>
        <w:rPr>
          <w:rStyle w:val="18"/>
          <w:rFonts w:hint="eastAsia" w:ascii="Times New Roman" w:hAnsi="Times New Roman" w:eastAsia="仿宋"/>
          <w:b w:val="0"/>
          <w:bCs/>
          <w:color w:val="auto"/>
          <w:sz w:val="32"/>
          <w:szCs w:val="32"/>
          <w:highlight w:val="none"/>
        </w:rPr>
        <w:t>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lang w:eastAsia="zh-CN"/>
        </w:rPr>
        <w:t>；</w:t>
      </w:r>
      <w:r>
        <w:rPr>
          <w:rStyle w:val="18"/>
          <w:rFonts w:hint="eastAsia" w:ascii="Times New Roman" w:hAnsi="Times New Roman" w:eastAsia="仿宋"/>
          <w:bCs/>
          <w:color w:val="auto"/>
          <w:sz w:val="32"/>
          <w:szCs w:val="32"/>
          <w:highlight w:val="none"/>
        </w:rPr>
        <w:t>社会保障和就业（类）行政事业单位养老支出（款）机关事业单位职业年金缴费支出</w:t>
      </w:r>
      <w:r>
        <w:rPr>
          <w:rStyle w:val="18"/>
          <w:rFonts w:hint="eastAsia" w:ascii="Times New Roman" w:hAnsi="Times New Roman" w:eastAsia="仿宋"/>
          <w:bCs/>
          <w:color w:val="auto"/>
          <w:sz w:val="32"/>
          <w:szCs w:val="32"/>
          <w:highlight w:val="none"/>
          <w:lang w:eastAsia="zh-CN"/>
        </w:rPr>
        <w:t>（</w:t>
      </w:r>
      <w:r>
        <w:rPr>
          <w:rStyle w:val="18"/>
          <w:rFonts w:hint="eastAsia" w:ascii="Times New Roman" w:hAnsi="Times New Roman" w:eastAsia="仿宋"/>
          <w:bCs/>
          <w:color w:val="auto"/>
          <w:sz w:val="32"/>
          <w:szCs w:val="32"/>
          <w:highlight w:val="none"/>
          <w:lang w:val="en-US" w:eastAsia="zh-CN"/>
        </w:rPr>
        <w:t>项</w:t>
      </w:r>
      <w:r>
        <w:rPr>
          <w:rStyle w:val="18"/>
          <w:rFonts w:hint="eastAsia" w:ascii="Times New Roman" w:hAnsi="Times New Roman" w:eastAsia="仿宋"/>
          <w:bCs/>
          <w:color w:val="auto"/>
          <w:sz w:val="32"/>
          <w:szCs w:val="32"/>
          <w:highlight w:val="none"/>
          <w:lang w:eastAsia="zh-CN"/>
        </w:rPr>
        <w:t>）：</w:t>
      </w:r>
      <w:r>
        <w:rPr>
          <w:rStyle w:val="18"/>
          <w:rFonts w:hint="eastAsia" w:ascii="Times New Roman" w:hAnsi="Times New Roman" w:eastAsia="仿宋"/>
          <w:b w:val="0"/>
          <w:bCs/>
          <w:color w:val="auto"/>
          <w:sz w:val="32"/>
          <w:szCs w:val="32"/>
          <w:highlight w:val="none"/>
        </w:rPr>
        <w:t>支出决算为2.93万元</w:t>
      </w:r>
      <w:r>
        <w:rPr>
          <w:rStyle w:val="18"/>
          <w:rFonts w:hint="eastAsia" w:ascii="Times New Roman" w:hAnsi="Times New Roman" w:eastAsia="仿宋"/>
          <w:b w:val="0"/>
          <w:bCs/>
          <w:color w:val="auto"/>
          <w:sz w:val="32"/>
          <w:szCs w:val="32"/>
          <w:highlight w:val="none"/>
          <w:lang w:eastAsia="zh-CN"/>
        </w:rPr>
        <w:t>，</w:t>
      </w:r>
      <w:r>
        <w:rPr>
          <w:rStyle w:val="18"/>
          <w:rFonts w:hint="eastAsia" w:ascii="Times New Roman" w:hAnsi="Times New Roman" w:eastAsia="仿宋"/>
          <w:b w:val="0"/>
          <w:bCs/>
          <w:color w:val="auto"/>
          <w:sz w:val="32"/>
          <w:szCs w:val="32"/>
          <w:highlight w:val="none"/>
        </w:rPr>
        <w:t>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lang w:eastAsia="zh-CN"/>
        </w:rPr>
        <w:t>。</w:t>
      </w:r>
    </w:p>
    <w:p>
      <w:pPr>
        <w:spacing w:line="600" w:lineRule="exact"/>
        <w:ind w:firstLine="643" w:firstLineChars="200"/>
        <w:rPr>
          <w:rStyle w:val="18"/>
          <w:rFonts w:hint="eastAsia" w:ascii="Times New Roman" w:hAnsi="Times New Roman" w:eastAsia="仿宋"/>
          <w:b w:val="0"/>
          <w:bCs/>
          <w:color w:val="auto"/>
          <w:sz w:val="32"/>
          <w:szCs w:val="32"/>
          <w:highlight w:val="none"/>
          <w:lang w:eastAsia="zh-CN"/>
        </w:rPr>
      </w:pPr>
      <w:r>
        <w:rPr>
          <w:rStyle w:val="18"/>
          <w:rFonts w:hint="eastAsia" w:ascii="Times New Roman" w:hAnsi="Times New Roman" w:eastAsia="仿宋"/>
          <w:bCs/>
          <w:color w:val="auto"/>
          <w:sz w:val="32"/>
          <w:szCs w:val="32"/>
          <w:highlight w:val="none"/>
          <w:lang w:val="en-US" w:eastAsia="zh-CN"/>
        </w:rPr>
        <w:t>3</w:t>
      </w:r>
      <w:r>
        <w:rPr>
          <w:rStyle w:val="18"/>
          <w:rFonts w:ascii="Times New Roman" w:hAnsi="Times New Roman" w:eastAsia="仿宋"/>
          <w:bCs/>
          <w:color w:val="auto"/>
          <w:sz w:val="32"/>
          <w:szCs w:val="32"/>
          <w:highlight w:val="none"/>
        </w:rPr>
        <w:t>.</w:t>
      </w:r>
      <w:r>
        <w:rPr>
          <w:rFonts w:hint="eastAsia" w:ascii="Times New Roman" w:hAnsi="Times New Roman" w:eastAsia="仿宋"/>
          <w:b/>
          <w:bCs/>
          <w:color w:val="auto"/>
          <w:sz w:val="32"/>
          <w:szCs w:val="32"/>
          <w:highlight w:val="none"/>
        </w:rPr>
        <w:t>卫生健康</w:t>
      </w:r>
      <w:r>
        <w:rPr>
          <w:rStyle w:val="18"/>
          <w:rFonts w:hint="eastAsia" w:ascii="Times New Roman" w:hAnsi="Times New Roman" w:eastAsia="仿宋"/>
          <w:bCs/>
          <w:color w:val="auto"/>
          <w:sz w:val="32"/>
          <w:szCs w:val="32"/>
          <w:highlight w:val="none"/>
        </w:rPr>
        <w:t>（类）公立医院（款）综合医院（项）</w:t>
      </w:r>
      <w:r>
        <w:rPr>
          <w:rStyle w:val="18"/>
          <w:rFonts w:ascii="Times New Roman" w:hAnsi="Times New Roman" w:eastAsia="仿宋"/>
          <w:bCs/>
          <w:color w:val="auto"/>
          <w:sz w:val="32"/>
          <w:szCs w:val="32"/>
          <w:highlight w:val="none"/>
        </w:rPr>
        <w:t>:</w:t>
      </w:r>
      <w:r>
        <w:rPr>
          <w:rStyle w:val="18"/>
          <w:rFonts w:hint="eastAsia" w:ascii="Times New Roman" w:hAnsi="Times New Roman" w:eastAsia="仿宋"/>
          <w:b w:val="0"/>
          <w:bCs/>
          <w:color w:val="auto"/>
          <w:sz w:val="32"/>
          <w:szCs w:val="32"/>
          <w:highlight w:val="none"/>
        </w:rPr>
        <w:t>支出决算为953.81万元，完成预算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lang w:eastAsia="zh-CN"/>
        </w:rPr>
        <w:t>；</w:t>
      </w:r>
      <w:r>
        <w:rPr>
          <w:rFonts w:hint="eastAsia" w:ascii="Times New Roman" w:hAnsi="Times New Roman" w:eastAsia="仿宋"/>
          <w:b/>
          <w:bCs/>
          <w:color w:val="auto"/>
          <w:sz w:val="32"/>
          <w:szCs w:val="32"/>
          <w:highlight w:val="none"/>
        </w:rPr>
        <w:t>卫生健康</w:t>
      </w:r>
      <w:r>
        <w:rPr>
          <w:rStyle w:val="18"/>
          <w:rFonts w:hint="eastAsia" w:ascii="Times New Roman" w:hAnsi="Times New Roman" w:eastAsia="仿宋"/>
          <w:bCs/>
          <w:color w:val="auto"/>
          <w:sz w:val="32"/>
          <w:szCs w:val="32"/>
          <w:highlight w:val="none"/>
        </w:rPr>
        <w:t>（类）行政事业单位医疗（款）事业单位医疗（项）</w:t>
      </w:r>
      <w:r>
        <w:rPr>
          <w:rStyle w:val="18"/>
          <w:rFonts w:hint="eastAsia" w:ascii="Times New Roman" w:hAnsi="Times New Roman" w:eastAsia="仿宋"/>
          <w:bCs/>
          <w:color w:val="auto"/>
          <w:sz w:val="32"/>
          <w:szCs w:val="32"/>
          <w:highlight w:val="none"/>
          <w:lang w:eastAsia="zh-CN"/>
        </w:rPr>
        <w:t>：</w:t>
      </w:r>
      <w:r>
        <w:rPr>
          <w:rStyle w:val="18"/>
          <w:rFonts w:hint="eastAsia" w:ascii="Times New Roman" w:hAnsi="Times New Roman" w:eastAsia="仿宋" w:cstheme="minorBidi"/>
          <w:b w:val="0"/>
          <w:bCs/>
          <w:color w:val="auto"/>
          <w:sz w:val="32"/>
          <w:szCs w:val="32"/>
          <w:highlight w:val="none"/>
          <w:lang w:val="en-US" w:eastAsia="zh-CN"/>
        </w:rPr>
        <w:t>支出决算为38.57万元，</w:t>
      </w:r>
      <w:r>
        <w:rPr>
          <w:rStyle w:val="18"/>
          <w:rFonts w:hint="eastAsia" w:ascii="Times New Roman" w:hAnsi="Times New Roman" w:eastAsia="仿宋"/>
          <w:b w:val="0"/>
          <w:bCs/>
          <w:color w:val="auto"/>
          <w:sz w:val="32"/>
          <w:szCs w:val="32"/>
          <w:highlight w:val="none"/>
        </w:rPr>
        <w:t>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lang w:eastAsia="zh-CN"/>
        </w:rPr>
        <w:t>；</w:t>
      </w:r>
      <w:r>
        <w:rPr>
          <w:rFonts w:hint="eastAsia" w:ascii="Times New Roman" w:hAnsi="Times New Roman" w:eastAsia="仿宋"/>
          <w:b/>
          <w:bCs/>
          <w:color w:val="auto"/>
          <w:sz w:val="32"/>
          <w:szCs w:val="32"/>
          <w:highlight w:val="none"/>
        </w:rPr>
        <w:t>卫生健康</w:t>
      </w:r>
      <w:r>
        <w:rPr>
          <w:rStyle w:val="18"/>
          <w:rFonts w:hint="eastAsia" w:ascii="Times New Roman" w:hAnsi="Times New Roman" w:eastAsia="仿宋"/>
          <w:bCs/>
          <w:color w:val="auto"/>
          <w:sz w:val="32"/>
          <w:szCs w:val="32"/>
          <w:highlight w:val="none"/>
        </w:rPr>
        <w:t>（类）其他卫生健康支出（款）其他卫生健康支出（项）</w:t>
      </w:r>
      <w:r>
        <w:rPr>
          <w:rStyle w:val="18"/>
          <w:rFonts w:hint="eastAsia" w:ascii="Times New Roman" w:hAnsi="Times New Roman" w:eastAsia="仿宋"/>
          <w:bCs/>
          <w:color w:val="auto"/>
          <w:sz w:val="32"/>
          <w:szCs w:val="32"/>
          <w:highlight w:val="none"/>
          <w:lang w:eastAsia="zh-CN"/>
        </w:rPr>
        <w:t>：</w:t>
      </w:r>
      <w:r>
        <w:rPr>
          <w:rStyle w:val="18"/>
          <w:rFonts w:hint="eastAsia" w:ascii="Times New Roman" w:hAnsi="Times New Roman" w:eastAsia="仿宋" w:cstheme="minorBidi"/>
          <w:b w:val="0"/>
          <w:bCs/>
          <w:color w:val="auto"/>
          <w:sz w:val="32"/>
          <w:szCs w:val="32"/>
          <w:highlight w:val="none"/>
          <w:lang w:val="en-US" w:eastAsia="zh-CN"/>
        </w:rPr>
        <w:t>支出决算为117.05万元，</w:t>
      </w:r>
      <w:r>
        <w:rPr>
          <w:rStyle w:val="18"/>
          <w:rFonts w:hint="eastAsia" w:ascii="Times New Roman" w:hAnsi="Times New Roman" w:eastAsia="仿宋"/>
          <w:b w:val="0"/>
          <w:bCs/>
          <w:color w:val="auto"/>
          <w:sz w:val="32"/>
          <w:szCs w:val="32"/>
          <w:highlight w:val="none"/>
        </w:rPr>
        <w:t>完成预算</w:t>
      </w:r>
      <w:r>
        <w:rPr>
          <w:rStyle w:val="18"/>
          <w:rFonts w:hint="eastAsia" w:ascii="Times New Roman" w:hAnsi="Times New Roman" w:eastAsia="仿宋"/>
          <w:b w:val="0"/>
          <w:bCs/>
          <w:color w:val="auto"/>
          <w:sz w:val="32"/>
          <w:szCs w:val="32"/>
          <w:highlight w:val="none"/>
          <w:lang w:val="en-US" w:eastAsia="zh-CN"/>
        </w:rPr>
        <w:t>100</w:t>
      </w:r>
      <w:r>
        <w:rPr>
          <w:rStyle w:val="18"/>
          <w:rFonts w:ascii="Times New Roman" w:hAnsi="Times New Roman" w:eastAsia="仿宋"/>
          <w:b w:val="0"/>
          <w:bCs/>
          <w:color w:val="auto"/>
          <w:sz w:val="32"/>
          <w:szCs w:val="32"/>
          <w:highlight w:val="none"/>
        </w:rPr>
        <w:t>%</w:t>
      </w:r>
      <w:r>
        <w:rPr>
          <w:rStyle w:val="18"/>
          <w:rFonts w:hint="eastAsia" w:ascii="Times New Roman" w:hAnsi="Times New Roman" w:eastAsia="仿宋"/>
          <w:b w:val="0"/>
          <w:bCs/>
          <w:color w:val="auto"/>
          <w:sz w:val="32"/>
          <w:szCs w:val="32"/>
          <w:highlight w:val="none"/>
          <w:lang w:eastAsia="zh-CN"/>
        </w:rPr>
        <w:t>。</w:t>
      </w:r>
    </w:p>
    <w:p>
      <w:pPr>
        <w:spacing w:line="600" w:lineRule="exact"/>
        <w:ind w:firstLine="643" w:firstLineChars="200"/>
        <w:rPr>
          <w:rStyle w:val="18"/>
          <w:rFonts w:hint="default" w:ascii="Times New Roman" w:hAnsi="Times New Roman" w:eastAsia="仿宋"/>
          <w:b w:val="0"/>
          <w:bCs/>
          <w:color w:val="auto"/>
          <w:sz w:val="32"/>
          <w:szCs w:val="32"/>
          <w:highlight w:val="none"/>
          <w:lang w:val="en-US" w:eastAsia="zh-CN"/>
        </w:rPr>
      </w:pPr>
      <w:r>
        <w:rPr>
          <w:rFonts w:hint="eastAsia" w:ascii="Times New Roman" w:hAnsi="Times New Roman" w:eastAsia="仿宋"/>
          <w:b/>
          <w:bCs/>
          <w:color w:val="auto"/>
          <w:sz w:val="32"/>
          <w:szCs w:val="32"/>
          <w:highlight w:val="none"/>
          <w:lang w:val="en-US" w:eastAsia="zh-CN"/>
        </w:rPr>
        <w:t>4.住房保障</w:t>
      </w:r>
      <w:r>
        <w:rPr>
          <w:rStyle w:val="18"/>
          <w:rFonts w:hint="eastAsia" w:ascii="Times New Roman" w:hAnsi="Times New Roman" w:eastAsia="仿宋"/>
          <w:bCs/>
          <w:color w:val="auto"/>
          <w:sz w:val="32"/>
          <w:szCs w:val="32"/>
          <w:highlight w:val="none"/>
        </w:rPr>
        <w:t>（类）住房改革支出（款）</w:t>
      </w:r>
      <w:r>
        <w:rPr>
          <w:rStyle w:val="18"/>
          <w:rFonts w:hint="eastAsia" w:ascii="Times New Roman" w:hAnsi="Times New Roman" w:eastAsia="仿宋"/>
          <w:bCs/>
          <w:color w:val="auto"/>
          <w:sz w:val="32"/>
          <w:szCs w:val="32"/>
          <w:highlight w:val="none"/>
          <w:lang w:val="en-US" w:eastAsia="zh-CN"/>
        </w:rPr>
        <w:t>住房公积金</w:t>
      </w:r>
      <w:r>
        <w:rPr>
          <w:rStyle w:val="18"/>
          <w:rFonts w:hint="eastAsia" w:ascii="Times New Roman" w:hAnsi="Times New Roman" w:eastAsia="仿宋"/>
          <w:bCs/>
          <w:color w:val="auto"/>
          <w:sz w:val="32"/>
          <w:szCs w:val="32"/>
          <w:highlight w:val="none"/>
        </w:rPr>
        <w:t>（项）</w:t>
      </w:r>
      <w:r>
        <w:rPr>
          <w:rStyle w:val="18"/>
          <w:rFonts w:hint="eastAsia" w:ascii="Times New Roman" w:hAnsi="Times New Roman" w:eastAsia="仿宋"/>
          <w:bCs/>
          <w:color w:val="auto"/>
          <w:sz w:val="32"/>
          <w:szCs w:val="32"/>
          <w:highlight w:val="none"/>
          <w:lang w:eastAsia="zh-CN"/>
        </w:rPr>
        <w:t>：</w:t>
      </w:r>
      <w:r>
        <w:rPr>
          <w:rStyle w:val="18"/>
          <w:rFonts w:hint="eastAsia" w:ascii="Times New Roman" w:hAnsi="Times New Roman" w:eastAsia="仿宋" w:cstheme="minorBidi"/>
          <w:b w:val="0"/>
          <w:bCs/>
          <w:color w:val="auto"/>
          <w:sz w:val="32"/>
          <w:szCs w:val="32"/>
          <w:highlight w:val="none"/>
          <w:lang w:val="en-US" w:eastAsia="zh-CN"/>
        </w:rPr>
        <w:t>支出决算为67.91万元，完成预算100%。</w:t>
      </w:r>
    </w:p>
    <w:p>
      <w:pPr>
        <w:tabs>
          <w:tab w:val="right" w:pos="8306"/>
        </w:tabs>
        <w:spacing w:line="600" w:lineRule="exact"/>
        <w:ind w:firstLine="640"/>
        <w:outlineLvl w:val="1"/>
        <w:rPr>
          <w:rStyle w:val="30"/>
          <w:rFonts w:ascii="Times New Roman" w:hAnsi="Times New Roman"/>
          <w:color w:val="auto"/>
          <w:highlight w:val="none"/>
        </w:rPr>
      </w:pPr>
      <w:bookmarkStart w:id="36" w:name="_Toc15396608"/>
      <w:bookmarkStart w:id="37" w:name="_Toc15377214"/>
      <w:r>
        <w:rPr>
          <w:rFonts w:hint="eastAsia" w:ascii="Times New Roman" w:hAnsi="Times New Roman" w:eastAsia="黑体"/>
          <w:color w:val="auto"/>
          <w:sz w:val="32"/>
          <w:szCs w:val="32"/>
          <w:highlight w:val="none"/>
        </w:rPr>
        <w:t>六</w:t>
      </w:r>
      <w:r>
        <w:rPr>
          <w:rFonts w:hint="eastAsia" w:ascii="Times New Roman" w:hAnsi="Times New Roman" w:eastAsia="黑体"/>
          <w:b/>
          <w:color w:val="auto"/>
          <w:sz w:val="32"/>
          <w:szCs w:val="32"/>
          <w:highlight w:val="none"/>
        </w:rPr>
        <w:t>、一</w:t>
      </w:r>
      <w:r>
        <w:rPr>
          <w:rStyle w:val="30"/>
          <w:rFonts w:hint="eastAsia" w:ascii="Times New Roman" w:hAnsi="Times New Roman" w:eastAsia="黑体"/>
          <w:b w:val="0"/>
          <w:color w:val="auto"/>
          <w:highlight w:val="none"/>
        </w:rPr>
        <w:t>般公共预算财政拨款基本支出决算情况说明</w:t>
      </w:r>
      <w:bookmarkEnd w:id="36"/>
      <w:bookmarkEnd w:id="37"/>
      <w:r>
        <w:rPr>
          <w:rStyle w:val="30"/>
          <w:rFonts w:ascii="Times New Roman" w:hAnsi="Times New Roman" w:eastAsia="黑体"/>
          <w:b w:val="0"/>
          <w:color w:val="auto"/>
          <w:highlight w:val="none"/>
        </w:rPr>
        <w:tab/>
      </w:r>
    </w:p>
    <w:p>
      <w:pPr>
        <w:spacing w:line="600" w:lineRule="exact"/>
        <w:ind w:firstLine="645"/>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年一般公共预算财政拨款基本支出956.54万元，其中：</w:t>
      </w:r>
    </w:p>
    <w:p>
      <w:pPr>
        <w:spacing w:line="600" w:lineRule="exact"/>
        <w:ind w:firstLine="645"/>
        <w:rPr>
          <w:rFonts w:hint="eastAsia" w:ascii="Times New Roman" w:hAnsi="Times New Roman" w:eastAsia="仿宋"/>
          <w:color w:val="auto"/>
          <w:sz w:val="32"/>
          <w:szCs w:val="32"/>
          <w:highlight w:val="none"/>
          <w:lang w:val="en-US" w:eastAsia="zh-CN"/>
        </w:rPr>
      </w:pPr>
      <w:r>
        <w:rPr>
          <w:rFonts w:hint="eastAsia" w:ascii="Times New Roman" w:hAnsi="Times New Roman" w:eastAsia="仿宋"/>
          <w:color w:val="auto"/>
          <w:sz w:val="32"/>
          <w:szCs w:val="32"/>
          <w:highlight w:val="none"/>
        </w:rPr>
        <w:t>人员经费956.54万元，主要包括：基本工资、津贴补贴、绩效工资、机关事业单位基本养老保险缴费、职业年金缴费、其他社会保障缴费、其他工资福利支出、生活补助、奖励金、住房公积金、其他对个人和家庭的补助支出等。</w:t>
      </w:r>
      <w:r>
        <w:rPr>
          <w:rFonts w:ascii="Times New Roman" w:hAnsi="Times New Roman" w:eastAsia="仿宋"/>
          <w:color w:val="auto"/>
          <w:sz w:val="32"/>
          <w:szCs w:val="32"/>
          <w:highlight w:val="none"/>
        </w:rPr>
        <w:br w:type="textWrapping"/>
      </w:r>
      <w:r>
        <w:rPr>
          <w:rFonts w:hint="eastAsia" w:ascii="Times New Roman" w:hAnsi="Times New Roman" w:eastAsia="仿宋"/>
          <w:color w:val="auto"/>
          <w:sz w:val="32"/>
          <w:szCs w:val="32"/>
          <w:highlight w:val="none"/>
        </w:rPr>
        <w:t>　　</w:t>
      </w:r>
      <w:r>
        <w:rPr>
          <w:rFonts w:hint="eastAsia" w:ascii="Times New Roman" w:hAnsi="Times New Roman" w:eastAsia="仿宋"/>
          <w:color w:val="auto"/>
          <w:sz w:val="32"/>
          <w:szCs w:val="32"/>
          <w:highlight w:val="none"/>
          <w:lang w:val="en-US" w:eastAsia="zh-CN"/>
        </w:rPr>
        <w:t>无公用经费支出。</w:t>
      </w:r>
    </w:p>
    <w:p>
      <w:pPr>
        <w:spacing w:line="600" w:lineRule="exact"/>
        <w:ind w:firstLine="640"/>
        <w:outlineLvl w:val="1"/>
        <w:rPr>
          <w:rStyle w:val="30"/>
          <w:rFonts w:ascii="Times New Roman" w:hAnsi="Times New Roman" w:eastAsia="黑体"/>
          <w:b w:val="0"/>
          <w:color w:val="auto"/>
          <w:highlight w:val="none"/>
        </w:rPr>
      </w:pPr>
      <w:bookmarkStart w:id="38" w:name="_Toc15377215"/>
      <w:bookmarkStart w:id="39" w:name="_Toc15396609"/>
      <w:r>
        <w:rPr>
          <w:rFonts w:hint="eastAsia" w:ascii="Times New Roman" w:hAnsi="Times New Roman" w:eastAsia="黑体"/>
          <w:color w:val="auto"/>
          <w:sz w:val="32"/>
          <w:szCs w:val="32"/>
          <w:highlight w:val="none"/>
        </w:rPr>
        <w:t>七、</w:t>
      </w:r>
      <w:r>
        <w:rPr>
          <w:rStyle w:val="30"/>
          <w:rFonts w:hint="eastAsia" w:ascii="Times New Roman" w:hAnsi="Times New Roman" w:eastAsia="黑体"/>
          <w:b w:val="0"/>
          <w:color w:val="auto"/>
          <w:highlight w:val="none"/>
        </w:rPr>
        <w:t>财政拨款</w:t>
      </w:r>
      <w:r>
        <w:rPr>
          <w:rStyle w:val="30"/>
          <w:rFonts w:hint="eastAsia" w:ascii="Times New Roman" w:hAnsi="Times New Roman" w:eastAsia="黑体"/>
          <w:color w:val="auto"/>
          <w:highlight w:val="none"/>
        </w:rPr>
        <w:t>“</w:t>
      </w:r>
      <w:r>
        <w:rPr>
          <w:rStyle w:val="30"/>
          <w:rFonts w:hint="eastAsia" w:ascii="Times New Roman" w:hAnsi="Times New Roman" w:eastAsia="黑体"/>
          <w:b w:val="0"/>
          <w:color w:val="auto"/>
          <w:highlight w:val="none"/>
        </w:rPr>
        <w:t>三公”经费支出决算情况说明</w:t>
      </w:r>
      <w:bookmarkEnd w:id="38"/>
      <w:bookmarkEnd w:id="39"/>
    </w:p>
    <w:p>
      <w:pPr>
        <w:spacing w:line="600" w:lineRule="exact"/>
        <w:ind w:firstLine="640"/>
        <w:outlineLvl w:val="2"/>
        <w:rPr>
          <w:rFonts w:ascii="Times New Roman" w:hAnsi="Times New Roman" w:eastAsia="仿宋"/>
          <w:b/>
          <w:color w:val="auto"/>
          <w:sz w:val="32"/>
          <w:szCs w:val="32"/>
          <w:highlight w:val="none"/>
        </w:rPr>
      </w:pPr>
      <w:bookmarkStart w:id="40" w:name="_Toc15377216"/>
      <w:r>
        <w:rPr>
          <w:rFonts w:hint="eastAsia" w:ascii="Times New Roman" w:hAnsi="Times New Roman" w:eastAsia="仿宋"/>
          <w:b/>
          <w:color w:val="auto"/>
          <w:sz w:val="32"/>
          <w:szCs w:val="32"/>
          <w:highlight w:val="none"/>
        </w:rPr>
        <w:t>（一）“三公”经费财政拨款支出决算总体情况说明</w:t>
      </w:r>
      <w:bookmarkEnd w:id="40"/>
    </w:p>
    <w:p>
      <w:pPr>
        <w:spacing w:line="600" w:lineRule="exact"/>
        <w:ind w:firstLine="640"/>
        <w:rPr>
          <w:rFonts w:ascii="Times New Roman" w:hAnsi="Times New Roman" w:eastAsia="仿宋"/>
          <w:b/>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年“三公”经费财政拨款支出决算为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w:t>
      </w:r>
      <w:r>
        <w:rPr>
          <w:rFonts w:hint="eastAsia" w:ascii="Times New Roman" w:hAnsi="Times New Roman" w:eastAsia="仿宋"/>
          <w:color w:val="auto"/>
          <w:sz w:val="32"/>
          <w:szCs w:val="32"/>
          <w:highlight w:val="none"/>
          <w:lang w:val="en-US" w:eastAsia="zh-CN"/>
        </w:rPr>
        <w:t>年初未安排预算。</w:t>
      </w:r>
    </w:p>
    <w:p>
      <w:pPr>
        <w:spacing w:line="600" w:lineRule="exact"/>
        <w:ind w:firstLine="640"/>
        <w:outlineLvl w:val="2"/>
        <w:rPr>
          <w:rFonts w:ascii="Times New Roman" w:hAnsi="Times New Roman" w:eastAsia="仿宋"/>
          <w:b/>
          <w:color w:val="auto"/>
          <w:sz w:val="32"/>
          <w:szCs w:val="32"/>
          <w:highlight w:val="none"/>
        </w:rPr>
      </w:pPr>
      <w:bookmarkStart w:id="41" w:name="_Toc15377217"/>
      <w:r>
        <w:rPr>
          <w:rFonts w:hint="eastAsia" w:ascii="Times New Roman" w:hAnsi="Times New Roman" w:eastAsia="仿宋"/>
          <w:b/>
          <w:color w:val="auto"/>
          <w:sz w:val="32"/>
          <w:szCs w:val="32"/>
          <w:highlight w:val="none"/>
        </w:rPr>
        <w:t>（二）“三公”经费财政拨款支出决算具体情况说明</w:t>
      </w:r>
      <w:bookmarkEnd w:id="41"/>
    </w:p>
    <w:p>
      <w:pPr>
        <w:spacing w:line="600" w:lineRule="exact"/>
        <w:ind w:firstLine="640"/>
        <w:rPr>
          <w:rFonts w:hint="eastAsia"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年“三公”经费财政拨款支出决算中，因公出国（境）费支出决算</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年初未安排预算</w:t>
      </w:r>
      <w:r>
        <w:rPr>
          <w:rFonts w:hint="eastAsia" w:ascii="Times New Roman" w:hAnsi="Times New Roman" w:eastAsia="仿宋"/>
          <w:color w:val="auto"/>
          <w:sz w:val="32"/>
          <w:szCs w:val="32"/>
          <w:highlight w:val="none"/>
        </w:rPr>
        <w:t>；公务用车购置及运行维护费支出决算</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w:t>
      </w:r>
      <w:r>
        <w:rPr>
          <w:rFonts w:hint="eastAsia" w:ascii="Times New Roman" w:hAnsi="Times New Roman" w:eastAsia="仿宋"/>
          <w:color w:val="auto"/>
          <w:sz w:val="32"/>
          <w:szCs w:val="32"/>
          <w:highlight w:val="none"/>
          <w:lang w:val="en-US" w:eastAsia="zh-CN"/>
        </w:rPr>
        <w:t>年初未安排预算</w:t>
      </w:r>
      <w:r>
        <w:rPr>
          <w:rFonts w:hint="eastAsia" w:ascii="Times New Roman" w:hAnsi="Times New Roman" w:eastAsia="仿宋"/>
          <w:color w:val="auto"/>
          <w:sz w:val="32"/>
          <w:szCs w:val="32"/>
          <w:highlight w:val="none"/>
        </w:rPr>
        <w:t>；公务接待费支出决算</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
          <w:color w:val="auto"/>
          <w:sz w:val="32"/>
          <w:szCs w:val="32"/>
          <w:highlight w:val="none"/>
        </w:rPr>
        <w:t>万元</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年初未安排预算</w:t>
      </w:r>
      <w:r>
        <w:rPr>
          <w:rFonts w:hint="eastAsia" w:ascii="Times New Roman" w:hAnsi="Times New Roman" w:eastAsia="仿宋"/>
          <w:color w:val="auto"/>
          <w:sz w:val="32"/>
          <w:szCs w:val="32"/>
          <w:highlight w:val="none"/>
        </w:rPr>
        <w:t>。具体情况如下：</w:t>
      </w:r>
    </w:p>
    <w:p>
      <w:pPr>
        <w:spacing w:line="600" w:lineRule="exact"/>
        <w:ind w:firstLine="640"/>
        <w:rPr>
          <w:rFonts w:ascii="Times New Roman" w:hAnsi="Times New Roman" w:eastAsia="仿宋_GB2312"/>
          <w:color w:val="auto"/>
          <w:sz w:val="32"/>
          <w:szCs w:val="32"/>
          <w:highlight w:val="none"/>
        </w:rPr>
      </w:pPr>
      <w:r>
        <w:rPr>
          <w:rFonts w:ascii="Times New Roman" w:hAnsi="Times New Roman" w:eastAsia="仿宋_GB2312"/>
          <w:b/>
          <w:color w:val="auto"/>
          <w:sz w:val="32"/>
          <w:szCs w:val="32"/>
          <w:highlight w:val="none"/>
        </w:rPr>
        <w:t>1.</w:t>
      </w:r>
      <w:r>
        <w:rPr>
          <w:rFonts w:hint="eastAsia" w:ascii="Times New Roman" w:hAnsi="Times New Roman" w:eastAsia="仿宋_GB2312"/>
          <w:b/>
          <w:color w:val="auto"/>
          <w:sz w:val="32"/>
          <w:szCs w:val="32"/>
          <w:highlight w:val="none"/>
        </w:rPr>
        <w:t>因公出国（境）经费支出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年初未安排预算</w:t>
      </w:r>
      <w:r>
        <w:rPr>
          <w:rStyle w:val="18"/>
          <w:rFonts w:hint="eastAsia" w:ascii="Times New Roman" w:hAnsi="Times New Roman" w:eastAsia="仿宋"/>
          <w:b w:val="0"/>
          <w:bCs/>
          <w:color w:val="auto"/>
          <w:sz w:val="32"/>
          <w:szCs w:val="32"/>
          <w:highlight w:val="none"/>
        </w:rPr>
        <w:t>。</w:t>
      </w:r>
      <w:r>
        <w:rPr>
          <w:rFonts w:hint="eastAsia" w:ascii="Times New Roman" w:hAnsi="Times New Roman" w:eastAsia="仿宋_GB2312"/>
          <w:color w:val="auto"/>
          <w:sz w:val="32"/>
          <w:szCs w:val="32"/>
          <w:highlight w:val="none"/>
        </w:rPr>
        <w:t>全年安排因公出国（境）团组</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次，出国（境）</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人。因公出国（境）</w:t>
      </w:r>
      <w:r>
        <w:rPr>
          <w:rFonts w:hint="eastAsia" w:ascii="Times New Roman" w:hAnsi="Times New Roman" w:eastAsia="仿宋"/>
          <w:color w:val="auto"/>
          <w:sz w:val="32"/>
          <w:szCs w:val="32"/>
          <w:highlight w:val="none"/>
          <w:lang w:val="en-US" w:eastAsia="zh-CN"/>
        </w:rPr>
        <w:t>年初未安排预算。</w:t>
      </w:r>
    </w:p>
    <w:p>
      <w:pPr>
        <w:spacing w:line="600" w:lineRule="exact"/>
        <w:ind w:firstLine="640"/>
        <w:rPr>
          <w:rFonts w:ascii="Times New Roman" w:hAnsi="Times New Roman" w:eastAsia="仿宋_GB2312"/>
          <w:b/>
          <w:color w:val="auto"/>
          <w:sz w:val="32"/>
          <w:szCs w:val="32"/>
          <w:highlight w:val="none"/>
        </w:rPr>
      </w:pPr>
      <w:r>
        <w:rPr>
          <w:rFonts w:ascii="Times New Roman" w:hAnsi="Times New Roman" w:eastAsia="仿宋_GB2312"/>
          <w:b/>
          <w:color w:val="auto"/>
          <w:sz w:val="32"/>
          <w:szCs w:val="32"/>
          <w:highlight w:val="none"/>
        </w:rPr>
        <w:t>2.</w:t>
      </w:r>
      <w:r>
        <w:rPr>
          <w:rFonts w:hint="eastAsia" w:ascii="Times New Roman" w:hAnsi="Times New Roman" w:eastAsia="仿宋_GB2312"/>
          <w:b/>
          <w:color w:val="auto"/>
          <w:sz w:val="32"/>
          <w:szCs w:val="32"/>
          <w:highlight w:val="none"/>
        </w:rPr>
        <w:t>公务用车购置及运行维护费支出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
          <w:color w:val="auto"/>
          <w:sz w:val="32"/>
          <w:szCs w:val="32"/>
          <w:highlight w:val="none"/>
          <w:lang w:val="en-US" w:eastAsia="zh-CN"/>
        </w:rPr>
        <w:t>年初未安排预算。</w:t>
      </w:r>
    </w:p>
    <w:p>
      <w:pPr>
        <w:spacing w:line="600" w:lineRule="exact"/>
        <w:ind w:firstLine="640" w:firstLineChars="200"/>
        <w:rPr>
          <w:rFonts w:ascii="Times New Roman" w:hAnsi="Times New Roman" w:eastAsia="仿宋_GB2312"/>
          <w:b/>
          <w:color w:val="auto"/>
          <w:sz w:val="32"/>
          <w:szCs w:val="32"/>
          <w:highlight w:val="none"/>
        </w:rPr>
      </w:pPr>
      <w:r>
        <w:rPr>
          <w:rFonts w:hint="eastAsia" w:ascii="Times New Roman" w:hAnsi="Times New Roman" w:eastAsia="仿宋_GB2312"/>
          <w:color w:val="auto"/>
          <w:sz w:val="32"/>
          <w:szCs w:val="32"/>
          <w:highlight w:val="none"/>
        </w:rPr>
        <w:t>其中：</w:t>
      </w:r>
      <w:r>
        <w:rPr>
          <w:rFonts w:hint="eastAsia" w:ascii="Times New Roman" w:hAnsi="Times New Roman" w:eastAsia="仿宋_GB2312"/>
          <w:b/>
          <w:color w:val="auto"/>
          <w:sz w:val="32"/>
          <w:szCs w:val="32"/>
          <w:highlight w:val="none"/>
        </w:rPr>
        <w:t>公务用车购置支出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年初未安排预算。</w:t>
      </w:r>
    </w:p>
    <w:p>
      <w:pPr>
        <w:spacing w:line="600" w:lineRule="exact"/>
        <w:ind w:firstLine="640"/>
        <w:rPr>
          <w:rFonts w:hint="eastAsia" w:ascii="Times New Roman" w:hAnsi="Times New Roman" w:eastAsia="仿宋"/>
          <w:color w:val="auto"/>
          <w:sz w:val="32"/>
          <w:szCs w:val="32"/>
          <w:highlight w:val="none"/>
          <w:lang w:val="en-US" w:eastAsia="zh-CN"/>
        </w:rPr>
      </w:pPr>
      <w:r>
        <w:rPr>
          <w:rFonts w:hint="eastAsia" w:ascii="Times New Roman" w:hAnsi="Times New Roman" w:eastAsia="仿宋_GB2312"/>
          <w:b/>
          <w:color w:val="auto"/>
          <w:sz w:val="32"/>
          <w:szCs w:val="32"/>
          <w:highlight w:val="none"/>
        </w:rPr>
        <w:t>公务用车运行维护费支出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
          <w:color w:val="auto"/>
          <w:sz w:val="32"/>
          <w:szCs w:val="32"/>
          <w:highlight w:val="none"/>
          <w:lang w:val="en-US" w:eastAsia="zh-CN"/>
        </w:rPr>
        <w:t>年初未安排预算</w:t>
      </w:r>
    </w:p>
    <w:p>
      <w:pPr>
        <w:numPr>
          <w:ilvl w:val="0"/>
          <w:numId w:val="0"/>
        </w:numPr>
        <w:spacing w:line="600" w:lineRule="exact"/>
        <w:ind w:firstLine="643" w:firstLineChars="200"/>
        <w:rPr>
          <w:rFonts w:hint="default" w:ascii="Times New Roman" w:hAnsi="Times New Roman" w:eastAsia="仿宋"/>
          <w:color w:val="auto"/>
          <w:sz w:val="32"/>
          <w:szCs w:val="32"/>
          <w:highlight w:val="none"/>
          <w:lang w:val="en-US" w:eastAsia="zh-CN"/>
        </w:rPr>
      </w:pPr>
      <w:r>
        <w:rPr>
          <w:rFonts w:hint="eastAsia" w:ascii="Times New Roman" w:hAnsi="Times New Roman" w:eastAsia="仿宋_GB2312"/>
          <w:b/>
          <w:color w:val="auto"/>
          <w:sz w:val="32"/>
          <w:szCs w:val="32"/>
          <w:highlight w:val="none"/>
          <w:lang w:val="en-US" w:eastAsia="zh-CN"/>
        </w:rPr>
        <w:t>3.</w:t>
      </w:r>
      <w:r>
        <w:rPr>
          <w:rFonts w:hint="eastAsia" w:ascii="Times New Roman" w:hAnsi="Times New Roman" w:eastAsia="仿宋_GB2312"/>
          <w:b/>
          <w:color w:val="auto"/>
          <w:sz w:val="32"/>
          <w:szCs w:val="32"/>
          <w:highlight w:val="none"/>
        </w:rPr>
        <w:t>公务接待费支出</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
          <w:color w:val="auto"/>
          <w:sz w:val="32"/>
          <w:szCs w:val="32"/>
          <w:highlight w:val="none"/>
          <w:lang w:val="en-US" w:eastAsia="zh-CN"/>
        </w:rPr>
        <w:t>年初未安排预算，与2021年决算数持平。</w:t>
      </w:r>
    </w:p>
    <w:p>
      <w:pPr>
        <w:numPr>
          <w:ilvl w:val="0"/>
          <w:numId w:val="0"/>
        </w:numPr>
        <w:spacing w:line="600" w:lineRule="exact"/>
        <w:ind w:firstLine="643" w:firstLineChars="200"/>
        <w:rPr>
          <w:rFonts w:hint="eastAsia" w:ascii="Times New Roman" w:hAnsi="Times New Roman" w:eastAsia="仿宋"/>
          <w:color w:val="auto"/>
          <w:sz w:val="32"/>
          <w:szCs w:val="32"/>
          <w:highlight w:val="none"/>
          <w:lang w:val="en-US" w:eastAsia="zh-CN"/>
        </w:rPr>
      </w:pPr>
      <w:r>
        <w:rPr>
          <w:rFonts w:hint="eastAsia" w:ascii="Times New Roman" w:hAnsi="Times New Roman" w:eastAsia="仿宋"/>
          <w:b/>
          <w:color w:val="auto"/>
          <w:sz w:val="32"/>
          <w:szCs w:val="32"/>
          <w:highlight w:val="none"/>
        </w:rPr>
        <w:t>国内公务接待支出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r>
        <w:rPr>
          <w:rFonts w:hint="eastAsia" w:ascii="Times New Roman" w:hAnsi="Times New Roman" w:eastAsia="仿宋"/>
          <w:color w:val="auto"/>
          <w:sz w:val="32"/>
          <w:szCs w:val="32"/>
          <w:highlight w:val="none"/>
          <w:lang w:val="en-US" w:eastAsia="zh-CN"/>
        </w:rPr>
        <w:t>年初未安排预算，与2021年决算数持平。</w:t>
      </w:r>
    </w:p>
    <w:p>
      <w:pPr>
        <w:numPr>
          <w:ilvl w:val="0"/>
          <w:numId w:val="0"/>
        </w:numPr>
        <w:spacing w:line="600" w:lineRule="exact"/>
        <w:ind w:firstLine="643" w:firstLineChars="200"/>
        <w:rPr>
          <w:rFonts w:hint="eastAsia" w:ascii="Times New Roman" w:hAnsi="Times New Roman" w:eastAsia="仿宋"/>
          <w:color w:val="auto"/>
          <w:sz w:val="32"/>
          <w:szCs w:val="32"/>
          <w:highlight w:val="none"/>
          <w:lang w:val="en-US" w:eastAsia="zh-CN"/>
        </w:rPr>
      </w:pPr>
      <w:r>
        <w:rPr>
          <w:rFonts w:hint="eastAsia" w:ascii="Times New Roman" w:hAnsi="Times New Roman" w:eastAsia="仿宋"/>
          <w:b/>
          <w:color w:val="auto"/>
          <w:sz w:val="32"/>
          <w:szCs w:val="32"/>
          <w:highlight w:val="none"/>
        </w:rPr>
        <w:t>外事接待支出</w:t>
      </w:r>
      <w:r>
        <w:rPr>
          <w:rFonts w:hint="eastAsia" w:ascii="Times New Roman" w:hAnsi="Times New Roman" w:eastAsia="仿宋"/>
          <w:color w:val="auto"/>
          <w:sz w:val="32"/>
          <w:szCs w:val="32"/>
          <w:highlight w:val="none"/>
          <w:lang w:val="en-US" w:eastAsia="zh-CN"/>
        </w:rPr>
        <w:t>0</w:t>
      </w:r>
      <w:r>
        <w:rPr>
          <w:rFonts w:hint="eastAsia" w:ascii="Times New Roman" w:hAnsi="Times New Roman" w:eastAsia="仿宋_GB2312"/>
          <w:color w:val="auto"/>
          <w:sz w:val="32"/>
          <w:szCs w:val="32"/>
          <w:highlight w:val="none"/>
        </w:rPr>
        <w:t>万元，</w:t>
      </w:r>
      <w:bookmarkStart w:id="42" w:name="_Toc15377218"/>
      <w:bookmarkStart w:id="43" w:name="_Toc15396610"/>
      <w:r>
        <w:rPr>
          <w:rFonts w:hint="eastAsia" w:ascii="Times New Roman" w:hAnsi="Times New Roman" w:eastAsia="仿宋"/>
          <w:color w:val="auto"/>
          <w:sz w:val="32"/>
          <w:szCs w:val="32"/>
          <w:highlight w:val="none"/>
          <w:lang w:val="en-US" w:eastAsia="zh-CN"/>
        </w:rPr>
        <w:t>年初未安排预算，与2021年决算数持平。</w:t>
      </w:r>
    </w:p>
    <w:p>
      <w:pPr>
        <w:spacing w:line="600" w:lineRule="exact"/>
        <w:ind w:firstLine="640"/>
        <w:outlineLvl w:val="1"/>
        <w:rPr>
          <w:rStyle w:val="30"/>
          <w:rFonts w:ascii="Times New Roman" w:hAnsi="Times New Roman" w:eastAsia="黑体"/>
          <w:color w:val="auto"/>
          <w:highlight w:val="none"/>
        </w:rPr>
      </w:pPr>
      <w:r>
        <w:rPr>
          <w:rFonts w:hint="eastAsia" w:ascii="Times New Roman" w:hAnsi="Times New Roman" w:eastAsia="黑体"/>
          <w:color w:val="auto"/>
          <w:sz w:val="32"/>
          <w:szCs w:val="32"/>
          <w:highlight w:val="none"/>
        </w:rPr>
        <w:t>八、</w:t>
      </w:r>
      <w:r>
        <w:rPr>
          <w:rStyle w:val="30"/>
          <w:rFonts w:hint="eastAsia" w:ascii="Times New Roman" w:hAnsi="Times New Roman" w:eastAsia="黑体"/>
          <w:b w:val="0"/>
          <w:color w:val="auto"/>
          <w:highlight w:val="none"/>
        </w:rPr>
        <w:t>政府性基金预算支出决算情况说明</w:t>
      </w:r>
      <w:bookmarkEnd w:id="42"/>
      <w:bookmarkEnd w:id="43"/>
    </w:p>
    <w:p>
      <w:pPr>
        <w:spacing w:line="600" w:lineRule="exact"/>
        <w:ind w:firstLine="640"/>
        <w:rPr>
          <w:rFonts w:hint="eastAsia" w:ascii="Times New Roman" w:hAnsi="Times New Roman" w:eastAsia="仿宋_GB2312"/>
          <w:color w:val="auto"/>
          <w:sz w:val="32"/>
          <w:szCs w:val="32"/>
          <w:highlight w:val="none"/>
          <w:lang w:eastAsia="zh-CN"/>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val="en-US" w:eastAsia="zh-CN"/>
        </w:rPr>
        <w:t>区人民医院无</w:t>
      </w:r>
      <w:r>
        <w:rPr>
          <w:rFonts w:hint="eastAsia" w:ascii="Times New Roman" w:hAnsi="Times New Roman" w:eastAsia="仿宋_GB2312"/>
          <w:color w:val="auto"/>
          <w:sz w:val="32"/>
          <w:szCs w:val="32"/>
          <w:highlight w:val="none"/>
        </w:rPr>
        <w:t>政府性基金预算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w:t>
      </w:r>
      <w:r>
        <w:rPr>
          <w:rFonts w:hint="eastAsia" w:ascii="Times New Roman" w:hAnsi="Times New Roman" w:eastAsia="仿宋_GB2312"/>
          <w:color w:val="auto"/>
          <w:sz w:val="32"/>
          <w:szCs w:val="32"/>
          <w:highlight w:val="none"/>
          <w:lang w:eastAsia="zh-CN"/>
        </w:rPr>
        <w:t>。</w:t>
      </w:r>
    </w:p>
    <w:p>
      <w:pPr>
        <w:numPr>
          <w:ilvl w:val="0"/>
          <w:numId w:val="2"/>
        </w:numPr>
        <w:spacing w:line="600" w:lineRule="exact"/>
        <w:ind w:firstLine="640"/>
        <w:outlineLvl w:val="1"/>
        <w:rPr>
          <w:rStyle w:val="30"/>
          <w:rFonts w:ascii="Times New Roman" w:hAnsi="Times New Roman" w:eastAsia="黑体"/>
          <w:b w:val="0"/>
          <w:color w:val="auto"/>
          <w:highlight w:val="none"/>
        </w:rPr>
      </w:pPr>
      <w:bookmarkStart w:id="44" w:name="_Toc15396611"/>
      <w:bookmarkStart w:id="45" w:name="_Toc15377219"/>
      <w:r>
        <w:rPr>
          <w:rStyle w:val="30"/>
          <w:rFonts w:hint="eastAsia" w:ascii="Times New Roman" w:hAnsi="Times New Roman" w:eastAsia="黑体"/>
          <w:b w:val="0"/>
          <w:color w:val="auto"/>
          <w:highlight w:val="none"/>
        </w:rPr>
        <w:t>国有资本经营预算支出决算情况说明</w:t>
      </w:r>
      <w:bookmarkEnd w:id="44"/>
      <w:bookmarkEnd w:id="45"/>
    </w:p>
    <w:p>
      <w:pPr>
        <w:spacing w:line="600" w:lineRule="exact"/>
        <w:ind w:firstLine="640"/>
        <w:rPr>
          <w:rFonts w:ascii="Times New Roman" w:hAnsi="Times New Roman" w:eastAsia="方正小标宋简体" w:cs="方正小标宋简体"/>
          <w:color w:val="auto"/>
          <w:sz w:val="44"/>
          <w:szCs w:val="44"/>
          <w:highlight w:val="none"/>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val="en-US" w:eastAsia="zh-CN"/>
        </w:rPr>
        <w:t>区人民医院无</w:t>
      </w:r>
      <w:r>
        <w:rPr>
          <w:rFonts w:hint="eastAsia" w:ascii="Times New Roman" w:hAnsi="Times New Roman" w:eastAsia="仿宋_GB2312"/>
          <w:color w:val="auto"/>
          <w:sz w:val="32"/>
          <w:szCs w:val="32"/>
          <w:highlight w:val="none"/>
        </w:rPr>
        <w:t>国有资本经营预算</w:t>
      </w:r>
      <w:r>
        <w:rPr>
          <w:rFonts w:hint="eastAsia" w:ascii="Times New Roman" w:hAnsi="Times New Roman" w:eastAsia="仿宋_GB2312"/>
          <w:color w:val="auto"/>
          <w:sz w:val="32"/>
          <w:szCs w:val="32"/>
          <w:highlight w:val="none"/>
          <w:lang w:eastAsia="zh-CN"/>
        </w:rPr>
        <w:t>财政</w:t>
      </w:r>
      <w:r>
        <w:rPr>
          <w:rFonts w:hint="eastAsia" w:ascii="Times New Roman" w:hAnsi="Times New Roman" w:eastAsia="仿宋_GB2312"/>
          <w:color w:val="auto"/>
          <w:sz w:val="32"/>
          <w:szCs w:val="32"/>
          <w:highlight w:val="none"/>
        </w:rPr>
        <w:t>拨款。</w:t>
      </w:r>
    </w:p>
    <w:p>
      <w:pPr>
        <w:numPr>
          <w:ilvl w:val="0"/>
          <w:numId w:val="2"/>
        </w:numPr>
        <w:spacing w:line="600" w:lineRule="exact"/>
        <w:ind w:firstLine="640"/>
        <w:outlineLvl w:val="1"/>
        <w:rPr>
          <w:rStyle w:val="30"/>
          <w:rFonts w:hint="eastAsia" w:ascii="Times New Roman" w:hAnsi="Times New Roman" w:eastAsia="黑体"/>
          <w:b w:val="0"/>
          <w:color w:val="auto"/>
          <w:highlight w:val="none"/>
        </w:rPr>
      </w:pPr>
      <w:bookmarkStart w:id="46" w:name="_Toc15377221"/>
      <w:bookmarkStart w:id="47" w:name="_Toc15396612"/>
      <w:r>
        <w:rPr>
          <w:rStyle w:val="30"/>
          <w:rFonts w:hint="eastAsia" w:ascii="Times New Roman" w:hAnsi="Times New Roman" w:eastAsia="黑体"/>
          <w:b w:val="0"/>
          <w:color w:val="auto"/>
          <w:highlight w:val="none"/>
        </w:rPr>
        <w:t>其他重要事项的情况说明</w:t>
      </w:r>
      <w:bookmarkEnd w:id="46"/>
      <w:bookmarkEnd w:id="47"/>
    </w:p>
    <w:p>
      <w:pPr>
        <w:spacing w:line="600" w:lineRule="exact"/>
        <w:ind w:firstLine="643" w:firstLineChars="200"/>
        <w:outlineLvl w:val="2"/>
        <w:rPr>
          <w:rFonts w:ascii="Times New Roman" w:hAnsi="Times New Roman" w:eastAsia="仿宋"/>
          <w:color w:val="auto"/>
          <w:sz w:val="32"/>
          <w:szCs w:val="32"/>
          <w:highlight w:val="none"/>
        </w:rPr>
      </w:pPr>
      <w:bookmarkStart w:id="48" w:name="_Toc15377222"/>
      <w:r>
        <w:rPr>
          <w:rFonts w:hint="eastAsia" w:ascii="Times New Roman" w:hAnsi="Times New Roman" w:eastAsia="仿宋"/>
          <w:b/>
          <w:color w:val="auto"/>
          <w:sz w:val="32"/>
          <w:szCs w:val="32"/>
          <w:highlight w:val="none"/>
        </w:rPr>
        <w:t>（一）机关运行经费支出情况</w:t>
      </w:r>
      <w:bookmarkEnd w:id="48"/>
    </w:p>
    <w:p>
      <w:pPr>
        <w:numPr>
          <w:ilvl w:val="0"/>
          <w:numId w:val="0"/>
        </w:numPr>
        <w:spacing w:line="600" w:lineRule="exact"/>
        <w:ind w:firstLine="640" w:firstLineChars="200"/>
        <w:rPr>
          <w:rFonts w:hint="eastAsia" w:ascii="Times New Roman" w:hAnsi="Times New Roman" w:eastAsia="仿宋"/>
          <w:color w:val="auto"/>
          <w:sz w:val="32"/>
          <w:szCs w:val="32"/>
          <w:highlight w:val="none"/>
          <w:lang w:val="en-US" w:eastAsia="zh-CN"/>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val="en-US" w:eastAsia="zh-CN"/>
        </w:rPr>
        <w:t>区人民医院无</w:t>
      </w:r>
      <w:r>
        <w:rPr>
          <w:rFonts w:hint="eastAsia" w:ascii="Times New Roman" w:hAnsi="Times New Roman" w:eastAsia="仿宋_GB2312"/>
          <w:color w:val="auto"/>
          <w:sz w:val="32"/>
          <w:szCs w:val="32"/>
          <w:highlight w:val="none"/>
        </w:rPr>
        <w:t>机关运行经费支出</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与2021年决算数持平。</w:t>
      </w:r>
    </w:p>
    <w:p>
      <w:pPr>
        <w:autoSpaceDE w:val="0"/>
        <w:autoSpaceDN w:val="0"/>
        <w:adjustRightInd w:val="0"/>
        <w:spacing w:line="600" w:lineRule="exact"/>
        <w:ind w:firstLine="643" w:firstLineChars="200"/>
        <w:jc w:val="left"/>
        <w:outlineLvl w:val="2"/>
        <w:rPr>
          <w:rFonts w:ascii="Times New Roman" w:hAnsi="Times New Roman" w:eastAsia="仿宋"/>
          <w:b/>
          <w:color w:val="auto"/>
          <w:sz w:val="32"/>
          <w:szCs w:val="32"/>
          <w:highlight w:val="none"/>
        </w:rPr>
      </w:pPr>
      <w:bookmarkStart w:id="49" w:name="_Toc15377223"/>
      <w:r>
        <w:rPr>
          <w:rFonts w:hint="eastAsia" w:ascii="Times New Roman" w:hAnsi="Times New Roman" w:eastAsia="仿宋"/>
          <w:b/>
          <w:color w:val="auto"/>
          <w:sz w:val="32"/>
          <w:szCs w:val="32"/>
          <w:highlight w:val="none"/>
        </w:rPr>
        <w:t>（二）政府采购支出情况</w:t>
      </w:r>
      <w:bookmarkEnd w:id="49"/>
    </w:p>
    <w:p>
      <w:pPr>
        <w:numPr>
          <w:ilvl w:val="0"/>
          <w:numId w:val="0"/>
        </w:numPr>
        <w:spacing w:line="600" w:lineRule="exact"/>
        <w:ind w:firstLine="640" w:firstLineChars="200"/>
        <w:rPr>
          <w:rFonts w:hint="eastAsia" w:ascii="Times New Roman" w:hAnsi="Times New Roman" w:eastAsia="仿宋_GB2312"/>
          <w:b/>
          <w:color w:val="auto"/>
          <w:sz w:val="32"/>
          <w:szCs w:val="32"/>
          <w:highlight w:val="none"/>
          <w:lang w:eastAsia="zh-CN"/>
        </w:rPr>
      </w:pP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lang w:val="en-US" w:eastAsia="zh-CN"/>
        </w:rPr>
        <w:t>区人民医院无</w:t>
      </w:r>
      <w:r>
        <w:rPr>
          <w:rFonts w:hint="eastAsia" w:ascii="Times New Roman" w:hAnsi="Times New Roman" w:eastAsia="仿宋_GB2312"/>
          <w:color w:val="auto"/>
          <w:sz w:val="32"/>
          <w:szCs w:val="32"/>
          <w:highlight w:val="none"/>
        </w:rPr>
        <w:t>政府采购支出</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
          <w:color w:val="auto"/>
          <w:sz w:val="32"/>
          <w:szCs w:val="32"/>
          <w:highlight w:val="none"/>
          <w:lang w:val="en-US" w:eastAsia="zh-CN"/>
        </w:rPr>
        <w:t>与2021年决算数持平。</w:t>
      </w:r>
    </w:p>
    <w:p>
      <w:pPr>
        <w:autoSpaceDE w:val="0"/>
        <w:autoSpaceDN w:val="0"/>
        <w:adjustRightInd w:val="0"/>
        <w:spacing w:line="600" w:lineRule="exact"/>
        <w:ind w:firstLine="643" w:firstLineChars="200"/>
        <w:jc w:val="left"/>
        <w:outlineLvl w:val="2"/>
        <w:rPr>
          <w:rFonts w:ascii="Times New Roman" w:hAnsi="Times New Roman" w:eastAsia="仿宋"/>
          <w:b/>
          <w:color w:val="auto"/>
          <w:sz w:val="32"/>
          <w:szCs w:val="32"/>
          <w:highlight w:val="none"/>
        </w:rPr>
      </w:pPr>
      <w:bookmarkStart w:id="50" w:name="_Toc15377224"/>
      <w:r>
        <w:rPr>
          <w:rFonts w:hint="eastAsia" w:ascii="Times New Roman" w:hAnsi="Times New Roman" w:eastAsia="仿宋"/>
          <w:b/>
          <w:color w:val="auto"/>
          <w:sz w:val="32"/>
          <w:szCs w:val="32"/>
          <w:highlight w:val="none"/>
        </w:rPr>
        <w:t>（三）国有资产占有使用情况</w:t>
      </w:r>
      <w:bookmarkEnd w:id="50"/>
    </w:p>
    <w:p>
      <w:pPr>
        <w:autoSpaceDE w:val="0"/>
        <w:autoSpaceDN w:val="0"/>
        <w:adjustRightInd w:val="0"/>
        <w:spacing w:line="600" w:lineRule="exact"/>
        <w:ind w:firstLine="640" w:firstLineChars="200"/>
        <w:jc w:val="left"/>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截至</w:t>
      </w:r>
      <w:r>
        <w:rPr>
          <w:rFonts w:ascii="Times New Roman" w:hAnsi="Times New Roman" w:eastAsia="仿宋_GB2312"/>
          <w:color w:val="auto"/>
          <w:sz w:val="32"/>
          <w:szCs w:val="32"/>
          <w:highlight w:val="none"/>
        </w:rPr>
        <w:t>20</w:t>
      </w:r>
      <w:r>
        <w:rPr>
          <w:rFonts w:hint="eastAsia" w:ascii="Times New Roman" w:hAnsi="Times New Roman" w:eastAsia="仿宋_GB2312"/>
          <w:color w:val="auto"/>
          <w:sz w:val="32"/>
          <w:szCs w:val="32"/>
          <w:highlight w:val="none"/>
          <w:lang w:val="en-US" w:eastAsia="zh-CN"/>
        </w:rPr>
        <w:t>22</w:t>
      </w:r>
      <w:r>
        <w:rPr>
          <w:rFonts w:hint="eastAsia" w:ascii="Times New Roman" w:hAnsi="Times New Roman" w:eastAsia="仿宋_GB2312"/>
          <w:color w:val="auto"/>
          <w:sz w:val="32"/>
          <w:szCs w:val="32"/>
          <w:highlight w:val="none"/>
        </w:rPr>
        <w:t>年</w:t>
      </w:r>
      <w:r>
        <w:rPr>
          <w:rFonts w:ascii="Times New Roman" w:hAnsi="Times New Roman" w:eastAsia="仿宋_GB2312"/>
          <w:color w:val="auto"/>
          <w:sz w:val="32"/>
          <w:szCs w:val="32"/>
          <w:highlight w:val="none"/>
        </w:rPr>
        <w:t>12</w:t>
      </w:r>
      <w:r>
        <w:rPr>
          <w:rFonts w:hint="eastAsia" w:ascii="Times New Roman" w:hAnsi="Times New Roman" w:eastAsia="仿宋_GB2312"/>
          <w:color w:val="auto"/>
          <w:sz w:val="32"/>
          <w:szCs w:val="32"/>
          <w:highlight w:val="none"/>
        </w:rPr>
        <w:t>月</w:t>
      </w:r>
      <w:r>
        <w:rPr>
          <w:rFonts w:ascii="Times New Roman" w:hAnsi="Times New Roman" w:eastAsia="仿宋_GB2312"/>
          <w:color w:val="auto"/>
          <w:sz w:val="32"/>
          <w:szCs w:val="32"/>
          <w:highlight w:val="none"/>
        </w:rPr>
        <w:t>31</w:t>
      </w:r>
      <w:r>
        <w:rPr>
          <w:rFonts w:hint="eastAsia"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highlight w:val="none"/>
          <w:lang w:val="en-US" w:eastAsia="zh-CN"/>
        </w:rPr>
        <w:t>区人民医院</w:t>
      </w:r>
      <w:r>
        <w:rPr>
          <w:rFonts w:hint="eastAsia" w:ascii="Times New Roman" w:hAnsi="Times New Roman" w:eastAsia="仿宋_GB2312"/>
          <w:color w:val="auto"/>
          <w:sz w:val="32"/>
          <w:szCs w:val="32"/>
          <w:highlight w:val="none"/>
        </w:rPr>
        <w:t>共有车辆</w:t>
      </w: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辆，其中：主要领导干部用车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辆、机要通信用车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辆、应急保障用车</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辆、其他用车</w:t>
      </w:r>
      <w:r>
        <w:rPr>
          <w:rFonts w:hint="eastAsia" w:ascii="Times New Roman" w:hAnsi="Times New Roman" w:eastAsia="仿宋_GB2312"/>
          <w:color w:val="auto"/>
          <w:sz w:val="32"/>
          <w:szCs w:val="32"/>
          <w:highlight w:val="none"/>
          <w:lang w:val="en-US" w:eastAsia="zh-CN"/>
        </w:rPr>
        <w:t>4</w:t>
      </w:r>
      <w:r>
        <w:rPr>
          <w:rFonts w:hint="eastAsia" w:ascii="Times New Roman" w:hAnsi="Times New Roman" w:eastAsia="仿宋_GB2312"/>
          <w:color w:val="auto"/>
          <w:sz w:val="32"/>
          <w:szCs w:val="32"/>
          <w:highlight w:val="none"/>
        </w:rPr>
        <w:t>辆</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其他用车主要是用于</w:t>
      </w:r>
      <w:r>
        <w:rPr>
          <w:rFonts w:hint="eastAsia" w:ascii="Times New Roman" w:hAnsi="Times New Roman" w:eastAsia="仿宋_GB2312"/>
          <w:color w:val="auto"/>
          <w:sz w:val="32"/>
          <w:szCs w:val="32"/>
          <w:highlight w:val="none"/>
          <w:lang w:val="en-US" w:eastAsia="zh-CN"/>
        </w:rPr>
        <w:t>院前急救以及伤者转运</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单价</w:t>
      </w:r>
      <w:r>
        <w:rPr>
          <w:rFonts w:ascii="Times New Roman" w:hAnsi="Times New Roman" w:eastAsia="仿宋_GB2312"/>
          <w:color w:val="auto"/>
          <w:sz w:val="32"/>
          <w:szCs w:val="32"/>
          <w:highlight w:val="none"/>
        </w:rPr>
        <w:t>100</w:t>
      </w:r>
      <w:r>
        <w:rPr>
          <w:rFonts w:hint="eastAsia" w:ascii="Times New Roman" w:hAnsi="Times New Roman" w:eastAsia="仿宋_GB2312"/>
          <w:color w:val="auto"/>
          <w:sz w:val="32"/>
          <w:szCs w:val="32"/>
          <w:highlight w:val="none"/>
        </w:rPr>
        <w:t>万元以上专用设备</w:t>
      </w:r>
      <w:r>
        <w:rPr>
          <w:rFonts w:hint="eastAsia" w:ascii="Times New Roman" w:hAnsi="Times New Roman" w:eastAsia="仿宋_GB2312"/>
          <w:color w:val="auto"/>
          <w:sz w:val="32"/>
          <w:szCs w:val="32"/>
          <w:highlight w:val="none"/>
          <w:lang w:val="en-US" w:eastAsia="zh-CN"/>
        </w:rPr>
        <w:t>16</w:t>
      </w:r>
      <w:r>
        <w:rPr>
          <w:rFonts w:hint="eastAsia" w:ascii="Times New Roman" w:hAnsi="Times New Roman"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Times New Roman" w:hAnsi="Times New Roman" w:eastAsia="仿宋"/>
          <w:b/>
          <w:color w:val="auto"/>
          <w:sz w:val="32"/>
          <w:szCs w:val="32"/>
          <w:highlight w:val="none"/>
        </w:rPr>
      </w:pPr>
      <w:r>
        <w:rPr>
          <w:rFonts w:hint="eastAsia" w:ascii="Times New Roman" w:hAnsi="Times New Roman" w:eastAsia="仿宋"/>
          <w:b/>
          <w:color w:val="auto"/>
          <w:sz w:val="32"/>
          <w:szCs w:val="32"/>
          <w:highlight w:val="none"/>
        </w:rPr>
        <w:t>（四）预算绩效管理情况</w:t>
      </w:r>
    </w:p>
    <w:p>
      <w:pPr>
        <w:widowControl/>
        <w:ind w:firstLine="640" w:firstLineChars="200"/>
        <w:jc w:val="both"/>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根据预算绩效管理要求，本部门在202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年度预算编制阶段，组织对</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lang w:val="zh-CN" w:eastAsia="zh-CN"/>
        </w:rPr>
        <w:t>区人民医院出入口及过渡性发热门诊配套流程改造</w:t>
      </w:r>
      <w:r>
        <w:rPr>
          <w:rFonts w:hint="eastAsia" w:ascii="Times New Roman" w:hAnsi="Times New Roman" w:eastAsia="仿宋_GB2312" w:cs="仿宋_GB2312"/>
          <w:color w:val="auto"/>
          <w:sz w:val="32"/>
          <w:szCs w:val="32"/>
          <w:highlight w:val="none"/>
        </w:rPr>
        <w:t>项目</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开展了预算事前绩效评估，编制了绩效目标，预算执行过程中，选取</w:t>
      </w:r>
      <w:r>
        <w:rPr>
          <w:rFonts w:hint="eastAsia" w:ascii="Times New Roman" w:hAnsi="Times New Roman" w:eastAsia="仿宋_GB2312"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rPr>
        <w:t>个项目开展绩效监控。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组织对2022年度一般公共预算全面开展绩效自评，形成</w:t>
      </w:r>
      <w:r>
        <w:rPr>
          <w:rFonts w:hint="eastAsia" w:ascii="Times New Roman" w:hAnsi="Times New Roman" w:eastAsia="仿宋_GB2312" w:cs="仿宋_GB2312"/>
          <w:color w:val="auto"/>
          <w:sz w:val="32"/>
          <w:szCs w:val="32"/>
          <w:highlight w:val="none"/>
          <w:lang w:val="en-US" w:eastAsia="zh-CN"/>
        </w:rPr>
        <w:t>区人民医院2022年</w:t>
      </w:r>
      <w:r>
        <w:rPr>
          <w:rFonts w:hint="eastAsia" w:ascii="Times New Roman" w:hAnsi="Times New Roman" w:eastAsia="仿宋_GB2312" w:cs="仿宋_GB2312"/>
          <w:color w:val="auto"/>
          <w:sz w:val="32"/>
          <w:szCs w:val="32"/>
          <w:highlight w:val="none"/>
        </w:rPr>
        <w:t>部门整体（含部门预算项目）绩效自评报告、</w:t>
      </w:r>
      <w:r>
        <w:rPr>
          <w:rFonts w:hint="eastAsia" w:ascii="Times New Roman" w:hAnsi="Times New Roman" w:eastAsia="仿宋_GB2312" w:cs="仿宋_GB2312"/>
          <w:color w:val="auto"/>
          <w:sz w:val="32"/>
          <w:szCs w:val="32"/>
          <w:highlight w:val="none"/>
          <w:lang w:val="en-US" w:eastAsia="zh-CN"/>
        </w:rPr>
        <w:t>公共卫生岗位人员经费项目、2022年债务化解项目等专项预算项目绩效自评报告，其中，区人民医院2022年部门整体（含部门预算项目）绩效自评得分为93分，绩效自评综述：区人民医院</w:t>
      </w:r>
      <w:r>
        <w:rPr>
          <w:rFonts w:hint="default" w:ascii="Times New Roman" w:hAnsi="Times New Roman" w:eastAsia="仿宋_GB2312" w:cs="仿宋_GB2312"/>
          <w:color w:val="auto"/>
          <w:sz w:val="32"/>
          <w:szCs w:val="32"/>
          <w:highlight w:val="none"/>
          <w:lang w:val="en-US" w:eastAsia="zh-CN"/>
        </w:rPr>
        <w:t>严格按照项目</w:t>
      </w:r>
      <w:r>
        <w:rPr>
          <w:rFonts w:hint="eastAsia" w:ascii="Times New Roman" w:hAnsi="Times New Roman" w:eastAsia="仿宋_GB2312" w:cs="仿宋_GB2312"/>
          <w:color w:val="auto"/>
          <w:sz w:val="32"/>
          <w:szCs w:val="32"/>
          <w:highlight w:val="none"/>
          <w:lang w:val="en-US" w:eastAsia="zh-CN"/>
        </w:rPr>
        <w:t>要求</w:t>
      </w:r>
      <w:r>
        <w:rPr>
          <w:rFonts w:hint="default" w:ascii="Times New Roman" w:hAnsi="Times New Roman" w:eastAsia="仿宋_GB2312" w:cs="仿宋_GB2312"/>
          <w:color w:val="auto"/>
          <w:sz w:val="32"/>
          <w:szCs w:val="32"/>
          <w:highlight w:val="none"/>
          <w:lang w:val="en-US" w:eastAsia="zh-CN"/>
        </w:rPr>
        <w:t>和项目绩效目标</w:t>
      </w:r>
      <w:r>
        <w:rPr>
          <w:rFonts w:hint="eastAsia" w:ascii="Times New Roman" w:hAnsi="Times New Roman" w:eastAsia="仿宋_GB2312" w:cs="仿宋_GB2312"/>
          <w:color w:val="auto"/>
          <w:sz w:val="32"/>
          <w:szCs w:val="32"/>
          <w:highlight w:val="none"/>
          <w:lang w:val="en-US" w:eastAsia="zh-CN"/>
        </w:rPr>
        <w:t>规范</w:t>
      </w:r>
      <w:r>
        <w:rPr>
          <w:rFonts w:hint="default" w:ascii="Times New Roman" w:hAnsi="Times New Roman" w:eastAsia="仿宋_GB2312" w:cs="仿宋_GB2312"/>
          <w:color w:val="auto"/>
          <w:sz w:val="32"/>
          <w:szCs w:val="32"/>
          <w:highlight w:val="none"/>
          <w:lang w:val="en-US" w:eastAsia="zh-CN"/>
        </w:rPr>
        <w:t>实施，切实加强项目绩效管理，提高财政资金使用效益，按照项目进度及时拨付</w:t>
      </w:r>
      <w:r>
        <w:rPr>
          <w:rFonts w:hint="eastAsia" w:ascii="Times New Roman" w:hAnsi="Times New Roman" w:eastAsia="仿宋_GB2312" w:cs="仿宋_GB2312"/>
          <w:color w:val="auto"/>
          <w:sz w:val="32"/>
          <w:szCs w:val="32"/>
          <w:highlight w:val="none"/>
          <w:lang w:val="en-US" w:eastAsia="zh-CN"/>
        </w:rPr>
        <w:t>。从项目完成、项目效益、满意度等方面设置了绩效指标，综合反映项目预期完成的数量、成本、时效、质量，预期达到的社会效益、经济效益、生态效益、可持续影响以及服务对象满意度等情况，医院整体绩效运行及结果都比较良好；公共卫生岗位人员经费</w:t>
      </w:r>
      <w:r>
        <w:rPr>
          <w:rFonts w:hint="eastAsia" w:ascii="Times New Roman" w:hAnsi="Times New Roman" w:eastAsia="仿宋_GB2312" w:cs="仿宋_GB2312"/>
          <w:color w:val="auto"/>
          <w:sz w:val="32"/>
          <w:szCs w:val="32"/>
          <w:highlight w:val="none"/>
        </w:rPr>
        <w:t>专项预算项目绩效自评得分为</w:t>
      </w:r>
      <w:r>
        <w:rPr>
          <w:rFonts w:hint="eastAsia" w:ascii="Times New Roman" w:hAnsi="Times New Roman" w:eastAsia="仿宋_GB2312" w:cs="仿宋_GB2312"/>
          <w:color w:val="auto"/>
          <w:sz w:val="32"/>
          <w:szCs w:val="32"/>
          <w:highlight w:val="none"/>
          <w:lang w:val="en-US" w:eastAsia="zh-CN"/>
        </w:rPr>
        <w:t>97</w:t>
      </w:r>
      <w:r>
        <w:rPr>
          <w:rFonts w:hint="eastAsia" w:ascii="Times New Roman" w:hAnsi="Times New Roman" w:eastAsia="仿宋_GB2312" w:cs="仿宋_GB2312"/>
          <w:color w:val="auto"/>
          <w:sz w:val="32"/>
          <w:szCs w:val="32"/>
          <w:highlight w:val="none"/>
        </w:rPr>
        <w:t>分，绩效自评综述：</w:t>
      </w:r>
      <w:r>
        <w:rPr>
          <w:rFonts w:hint="eastAsia" w:ascii="Times New Roman" w:hAnsi="Times New Roman" w:eastAsia="仿宋_GB2312" w:cs="仿宋_GB2312"/>
          <w:color w:val="auto"/>
          <w:sz w:val="32"/>
          <w:szCs w:val="32"/>
          <w:highlight w:val="none"/>
          <w:lang w:val="en-US" w:eastAsia="zh-CN"/>
        </w:rPr>
        <w:t>我院严格按照省、市、区人民政府相关文件精神及硬性要求，积极履行综合性公立医院的职责，强化公益属性，按时足额发放参与新冠疫情防控的发热病人检测、院感防控、隔离点值守、下乡疫苗接种保障等公共卫生岗位服务人员补助，防控疫情传染，保护人民群众生命健康安全。通过该项目实施，解决了我院人员经费问题，对提高医疗业务水平，改善医疗条件，为更多患者服务方面起到了积极的作用，大幅提升了人民群众满意度，推动全区医疗卫生事业高质量发展；2022年债务化解项目绩效自评得分为95分，绩效自评综述：我院按照与农行协议及时足额偿还贷款本息，银行方满意度达到90%以上。我院化解债务减轻医院资金压力，把更多的资金用于购置设备，使更多医务人员外出学习培训，提高业务水平，改善医疗条件，为更多的患者服务，就地解决人民群众看病问题，使昭化区医疗水平高质量发展。</w:t>
      </w:r>
      <w:r>
        <w:rPr>
          <w:rFonts w:hint="eastAsia" w:ascii="Times New Roman" w:hAnsi="Times New Roman" w:eastAsia="仿宋_GB2312" w:cs="仿宋_GB2312"/>
          <w:color w:val="auto"/>
          <w:sz w:val="32"/>
          <w:szCs w:val="32"/>
          <w:highlight w:val="none"/>
        </w:rPr>
        <w:t>绩效自评报告详见附件。</w:t>
      </w:r>
    </w:p>
    <w:p>
      <w:pPr>
        <w:widowControl/>
        <w:ind w:firstLine="640" w:firstLineChars="200"/>
        <w:jc w:val="left"/>
        <w:rPr>
          <w:rFonts w:hint="eastAsia" w:ascii="Times New Roman" w:hAnsi="Times New Roman" w:eastAsia="仿宋_GB2312" w:cs="仿宋_GB2312"/>
          <w:color w:val="auto"/>
          <w:sz w:val="32"/>
          <w:szCs w:val="32"/>
          <w:highlight w:val="none"/>
        </w:rPr>
      </w:pPr>
    </w:p>
    <w:p>
      <w:pPr>
        <w:widowControl/>
        <w:ind w:firstLine="640" w:firstLineChars="200"/>
        <w:jc w:val="left"/>
        <w:rPr>
          <w:rFonts w:hint="eastAsia" w:ascii="Times New Roman" w:hAnsi="Times New Roman" w:eastAsia="仿宋_GB2312" w:cs="仿宋_GB2312"/>
          <w:color w:val="auto"/>
          <w:sz w:val="32"/>
          <w:szCs w:val="32"/>
          <w:highlight w:val="none"/>
        </w:rPr>
      </w:pPr>
    </w:p>
    <w:p>
      <w:pPr>
        <w:pStyle w:val="2"/>
        <w:rPr>
          <w:rFonts w:hint="eastAsia" w:ascii="Times New Roman" w:hAnsi="Times New Roman" w:eastAsia="仿宋_GB2312" w:cs="仿宋_GB2312"/>
          <w:color w:val="auto"/>
          <w:sz w:val="32"/>
          <w:szCs w:val="32"/>
          <w:highlight w:val="none"/>
        </w:rPr>
      </w:pPr>
    </w:p>
    <w:p>
      <w:pPr>
        <w:pStyle w:val="6"/>
        <w:rPr>
          <w:rFonts w:hint="eastAsia" w:ascii="Times New Roman" w:hAnsi="Times New Roman" w:eastAsia="仿宋_GB2312" w:cs="仿宋_GB2312"/>
          <w:color w:val="auto"/>
          <w:sz w:val="32"/>
          <w:szCs w:val="32"/>
          <w:highlight w:val="none"/>
        </w:rPr>
      </w:pPr>
    </w:p>
    <w:p>
      <w:pPr>
        <w:rPr>
          <w:rFonts w:hint="eastAsia" w:ascii="Times New Roman" w:hAnsi="Times New Roman" w:eastAsia="仿宋_GB2312" w:cs="仿宋_GB2312"/>
          <w:color w:val="auto"/>
          <w:sz w:val="32"/>
          <w:szCs w:val="32"/>
          <w:highlight w:val="none"/>
        </w:rPr>
      </w:pPr>
    </w:p>
    <w:p>
      <w:pPr>
        <w:pStyle w:val="2"/>
        <w:rPr>
          <w:rFonts w:hint="eastAsia" w:ascii="Times New Roman" w:hAnsi="Times New Roman"/>
          <w:color w:val="auto"/>
        </w:rPr>
      </w:pPr>
    </w:p>
    <w:p>
      <w:pPr>
        <w:widowControl/>
        <w:ind w:firstLine="640" w:firstLineChars="200"/>
        <w:jc w:val="left"/>
        <w:rPr>
          <w:rFonts w:hint="eastAsia" w:ascii="Times New Roman" w:hAnsi="Times New Roman" w:eastAsia="仿宋_GB2312" w:cs="仿宋_GB2312"/>
          <w:color w:val="auto"/>
          <w:sz w:val="32"/>
          <w:szCs w:val="32"/>
          <w:highlight w:val="none"/>
        </w:rPr>
      </w:pPr>
    </w:p>
    <w:p>
      <w:pPr>
        <w:widowControl/>
        <w:ind w:firstLine="640" w:firstLineChars="200"/>
        <w:jc w:val="left"/>
        <w:rPr>
          <w:rFonts w:hint="eastAsia" w:ascii="Times New Roman" w:hAnsi="Times New Roman" w:eastAsia="仿宋_GB2312" w:cs="仿宋_GB2312"/>
          <w:color w:val="auto"/>
          <w:sz w:val="32"/>
          <w:szCs w:val="32"/>
          <w:highlight w:val="none"/>
        </w:rPr>
      </w:pPr>
    </w:p>
    <w:p>
      <w:pPr>
        <w:widowControl/>
        <w:ind w:firstLine="640" w:firstLineChars="200"/>
        <w:jc w:val="left"/>
        <w:rPr>
          <w:rFonts w:hint="eastAsia" w:ascii="Times New Roman" w:hAnsi="Times New Roman" w:eastAsia="仿宋_GB2312" w:cs="仿宋_GB2312"/>
          <w:color w:val="auto"/>
          <w:sz w:val="32"/>
          <w:szCs w:val="32"/>
          <w:highlight w:val="none"/>
        </w:rPr>
      </w:pPr>
    </w:p>
    <w:p>
      <w:pPr>
        <w:pStyle w:val="2"/>
        <w:rPr>
          <w:rFonts w:hint="eastAsia" w:ascii="Times New Roman" w:hAnsi="Times New Roman" w:eastAsia="仿宋_GB2312" w:cs="仿宋_GB2312"/>
          <w:color w:val="auto"/>
          <w:sz w:val="32"/>
          <w:szCs w:val="32"/>
          <w:highlight w:val="none"/>
        </w:rPr>
      </w:pPr>
    </w:p>
    <w:p>
      <w:pPr>
        <w:pStyle w:val="2"/>
        <w:rPr>
          <w:rFonts w:hint="eastAsia" w:ascii="Times New Roman" w:hAnsi="Times New Roman" w:eastAsia="仿宋_GB2312" w:cs="仿宋_GB2312"/>
          <w:color w:val="auto"/>
          <w:sz w:val="32"/>
          <w:szCs w:val="32"/>
          <w:highlight w:val="none"/>
        </w:rPr>
      </w:pPr>
    </w:p>
    <w:p>
      <w:pPr>
        <w:pStyle w:val="2"/>
        <w:rPr>
          <w:rFonts w:hint="eastAsia" w:ascii="Times New Roman" w:hAnsi="Times New Roman" w:eastAsia="仿宋_GB2312" w:cs="仿宋_GB2312"/>
          <w:color w:val="auto"/>
          <w:sz w:val="32"/>
          <w:szCs w:val="32"/>
          <w:highlight w:val="none"/>
        </w:rPr>
      </w:pPr>
    </w:p>
    <w:p>
      <w:pPr>
        <w:pStyle w:val="2"/>
        <w:rPr>
          <w:rFonts w:hint="eastAsia" w:ascii="Times New Roman" w:hAnsi="Times New Roman" w:eastAsia="仿宋_GB2312" w:cs="仿宋_GB2312"/>
          <w:color w:val="auto"/>
          <w:sz w:val="32"/>
          <w:szCs w:val="32"/>
          <w:highlight w:val="none"/>
        </w:rPr>
      </w:pPr>
    </w:p>
    <w:p>
      <w:pPr>
        <w:pStyle w:val="2"/>
        <w:rPr>
          <w:rFonts w:hint="eastAsia" w:ascii="Times New Roman" w:hAnsi="Times New Roman" w:eastAsia="仿宋_GB2312" w:cs="仿宋_GB2312"/>
          <w:color w:val="auto"/>
          <w:sz w:val="32"/>
          <w:szCs w:val="32"/>
          <w:highlight w:val="none"/>
        </w:rPr>
      </w:pPr>
    </w:p>
    <w:p>
      <w:pPr>
        <w:numPr>
          <w:ilvl w:val="0"/>
          <w:numId w:val="3"/>
        </w:numPr>
        <w:spacing w:line="600" w:lineRule="exact"/>
        <w:ind w:firstLine="660" w:firstLineChars="150"/>
        <w:jc w:val="center"/>
        <w:outlineLvl w:val="0"/>
        <w:rPr>
          <w:rStyle w:val="29"/>
          <w:rFonts w:ascii="Times New Roman" w:hAnsi="Times New Roman" w:eastAsia="黑体"/>
          <w:b w:val="0"/>
          <w:color w:val="auto"/>
          <w:highlight w:val="none"/>
        </w:rPr>
      </w:pPr>
      <w:bookmarkStart w:id="51" w:name="_Toc15396613"/>
      <w:bookmarkStart w:id="52" w:name="_Toc15377225"/>
      <w:r>
        <w:rPr>
          <w:rFonts w:hint="eastAsia" w:ascii="Times New Roman" w:hAnsi="Times New Roman" w:eastAsia="黑体"/>
          <w:color w:val="auto"/>
          <w:sz w:val="44"/>
          <w:szCs w:val="44"/>
          <w:highlight w:val="none"/>
        </w:rPr>
        <w:t>名</w:t>
      </w:r>
      <w:r>
        <w:rPr>
          <w:rStyle w:val="29"/>
          <w:rFonts w:hint="eastAsia" w:ascii="Times New Roman" w:hAnsi="Times New Roman" w:eastAsia="黑体"/>
          <w:b w:val="0"/>
          <w:color w:val="auto"/>
          <w:highlight w:val="none"/>
        </w:rPr>
        <w:t>词解释</w:t>
      </w:r>
      <w:bookmarkEnd w:id="51"/>
      <w:bookmarkEnd w:id="52"/>
    </w:p>
    <w:p>
      <w:pPr>
        <w:spacing w:line="600" w:lineRule="exact"/>
        <w:jc w:val="left"/>
        <w:rPr>
          <w:rFonts w:ascii="Times New Roman" w:hAnsi="Times New Roman"/>
          <w:b/>
          <w:color w:val="auto"/>
          <w:sz w:val="44"/>
          <w:szCs w:val="44"/>
          <w:highlight w:val="none"/>
        </w:rPr>
      </w:pPr>
    </w:p>
    <w:p>
      <w:pPr>
        <w:pStyle w:val="27"/>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w:t>
      </w:r>
      <w:r>
        <w:rPr>
          <w:rFonts w:hint="eastAsia" w:ascii="Times New Roman" w:hAnsi="Times New Roman" w:eastAsia="仿宋_GB2312"/>
          <w:color w:val="auto"/>
          <w:sz w:val="32"/>
          <w:szCs w:val="32"/>
          <w:highlight w:val="none"/>
        </w:rPr>
        <w:t>财政拨款收入：指单位从同级财政部门取得的财政预算资金。</w:t>
      </w:r>
    </w:p>
    <w:p>
      <w:pPr>
        <w:pStyle w:val="27"/>
        <w:spacing w:line="560" w:lineRule="exact"/>
        <w:ind w:firstLine="640" w:firstLineChars="200"/>
        <w:rPr>
          <w:rFonts w:hint="eastAsia"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w:t>
      </w:r>
      <w:r>
        <w:rPr>
          <w:rFonts w:hint="eastAsia" w:ascii="Times New Roman" w:hAnsi="Times New Roman" w:eastAsia="仿宋_GB2312"/>
          <w:color w:val="auto"/>
          <w:sz w:val="32"/>
          <w:szCs w:val="32"/>
          <w:highlight w:val="none"/>
        </w:rPr>
        <w:t>事业收入：指事业单位开展专业业务活动及辅助活动取得的收入。</w:t>
      </w:r>
    </w:p>
    <w:p>
      <w:pPr>
        <w:pStyle w:val="27"/>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3</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其他收入：指单位取得的除上述收入以外的各项收入。</w:t>
      </w:r>
    </w:p>
    <w:p>
      <w:pPr>
        <w:pStyle w:val="27"/>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4</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使用非财政拨款结余</w:t>
      </w:r>
      <w:r>
        <w:rPr>
          <w:rFonts w:hint="eastAsia" w:ascii="Times New Roman" w:hAnsi="Times New Roman" w:eastAsia="仿宋_GB2312"/>
          <w:color w:val="auto"/>
          <w:sz w:val="32"/>
          <w:szCs w:val="32"/>
          <w:highlight w:val="none"/>
        </w:rPr>
        <w:t>：指事业单位</w:t>
      </w:r>
      <w:r>
        <w:rPr>
          <w:rFonts w:hint="eastAsia" w:ascii="Times New Roman" w:hAnsi="Times New Roman" w:eastAsia="仿宋_GB2312"/>
          <w:color w:val="auto"/>
          <w:sz w:val="32"/>
          <w:szCs w:val="32"/>
          <w:highlight w:val="none"/>
          <w:lang w:eastAsia="zh-CN"/>
        </w:rPr>
        <w:t>使用以前年度积累的非财政拨款结余弥补当年收支差额的金额。</w:t>
      </w:r>
      <w:r>
        <w:rPr>
          <w:rFonts w:ascii="Times New Roman" w:hAnsi="Times New Roman" w:eastAsia="仿宋_GB2312"/>
          <w:color w:val="auto"/>
          <w:sz w:val="32"/>
          <w:szCs w:val="32"/>
          <w:highlight w:val="none"/>
        </w:rPr>
        <w:t xml:space="preserve"> </w:t>
      </w:r>
    </w:p>
    <w:p>
      <w:pPr>
        <w:pStyle w:val="27"/>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5</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年初结转和结余：指以前年度尚未完成、结转到本年按有关规定继续使用的资金。</w:t>
      </w:r>
      <w:r>
        <w:rPr>
          <w:rFonts w:ascii="Times New Roman" w:hAnsi="Times New Roman" w:eastAsia="仿宋_GB2312"/>
          <w:color w:val="auto"/>
          <w:sz w:val="32"/>
          <w:szCs w:val="32"/>
          <w:highlight w:val="none"/>
        </w:rPr>
        <w:t xml:space="preserve"> </w:t>
      </w:r>
    </w:p>
    <w:p>
      <w:pPr>
        <w:pStyle w:val="27"/>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6</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结余分配：指事业单位按照会计制度规定</w:t>
      </w:r>
      <w:r>
        <w:rPr>
          <w:rFonts w:hint="eastAsia" w:ascii="Times New Roman" w:hAnsi="Times New Roman" w:eastAsia="仿宋_GB2312"/>
          <w:color w:val="auto"/>
          <w:sz w:val="32"/>
          <w:szCs w:val="32"/>
          <w:highlight w:val="none"/>
          <w:lang w:eastAsia="zh-CN"/>
        </w:rPr>
        <w:t>缴纳的所得税、提取的专用结余以及转入非财政拨款结余的金额</w:t>
      </w:r>
      <w:r>
        <w:rPr>
          <w:rFonts w:hint="eastAsia" w:ascii="Times New Roman" w:hAnsi="Times New Roman" w:eastAsia="仿宋_GB2312"/>
          <w:color w:val="auto"/>
          <w:sz w:val="32"/>
          <w:szCs w:val="32"/>
          <w:highlight w:val="none"/>
        </w:rPr>
        <w:t>等。</w:t>
      </w:r>
    </w:p>
    <w:p>
      <w:pPr>
        <w:pStyle w:val="27"/>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7.</w:t>
      </w:r>
      <w:r>
        <w:rPr>
          <w:rFonts w:hint="eastAsia" w:ascii="Times New Roman" w:hAnsi="Times New Roman" w:eastAsia="仿宋_GB2312"/>
          <w:color w:val="auto"/>
          <w:sz w:val="32"/>
          <w:szCs w:val="32"/>
          <w:highlight w:val="none"/>
        </w:rPr>
        <w:t>年末结转和结余：指单位按有关规定结转到下年或以后年度继续使用的资金。</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8</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教育（类）</w:t>
      </w:r>
      <w:r>
        <w:rPr>
          <w:rFonts w:hint="eastAsia" w:ascii="Times New Roman" w:hAnsi="Times New Roman" w:eastAsia="仿宋_GB2312"/>
          <w:color w:val="auto"/>
          <w:sz w:val="32"/>
          <w:szCs w:val="32"/>
          <w:highlight w:val="none"/>
          <w:lang w:val="en-US" w:eastAsia="zh-CN"/>
        </w:rPr>
        <w:t>其他教育支出</w:t>
      </w:r>
      <w:r>
        <w:rPr>
          <w:rFonts w:hint="eastAsia" w:ascii="Times New Roman" w:hAnsi="Times New Roman" w:eastAsia="仿宋_GB2312"/>
          <w:color w:val="auto"/>
          <w:sz w:val="32"/>
          <w:szCs w:val="32"/>
          <w:highlight w:val="none"/>
        </w:rPr>
        <w:t>（款）</w:t>
      </w:r>
      <w:r>
        <w:rPr>
          <w:rFonts w:hint="eastAsia" w:ascii="Times New Roman" w:hAnsi="Times New Roman" w:eastAsia="仿宋_GB2312"/>
          <w:color w:val="auto"/>
          <w:sz w:val="32"/>
          <w:szCs w:val="32"/>
          <w:highlight w:val="none"/>
          <w:lang w:val="en-US" w:eastAsia="zh-CN"/>
        </w:rPr>
        <w:t>其他教育支出</w:t>
      </w:r>
      <w:r>
        <w:rPr>
          <w:rFonts w:hint="eastAsia" w:ascii="Times New Roman" w:hAnsi="Times New Roman" w:eastAsia="仿宋_GB2312"/>
          <w:color w:val="auto"/>
          <w:sz w:val="32"/>
          <w:szCs w:val="32"/>
          <w:highlight w:val="none"/>
        </w:rPr>
        <w:t>（项）：指</w:t>
      </w:r>
      <w:r>
        <w:rPr>
          <w:rFonts w:hint="eastAsia" w:ascii="Times New Roman" w:hAnsi="Times New Roman" w:eastAsia="仿宋_GB2312"/>
          <w:color w:val="auto"/>
          <w:sz w:val="32"/>
          <w:szCs w:val="32"/>
          <w:highlight w:val="none"/>
          <w:lang w:val="en-US" w:eastAsia="zh-CN"/>
        </w:rPr>
        <w:t>其他用于教育方面的支出</w:t>
      </w:r>
      <w:r>
        <w:rPr>
          <w:rFonts w:hint="eastAsia" w:ascii="Times New Roman" w:hAnsi="Times New Roman" w:eastAsia="仿宋_GB2312"/>
          <w:color w:val="auto"/>
          <w:sz w:val="32"/>
          <w:szCs w:val="32"/>
          <w:highlight w:val="none"/>
        </w:rPr>
        <w:t>。</w:t>
      </w:r>
    </w:p>
    <w:p>
      <w:pPr>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9</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社会保障和就业（类）行政事业单位养老支出（款）</w:t>
      </w:r>
      <w:r>
        <w:rPr>
          <w:rFonts w:hint="eastAsia" w:ascii="Times New Roman" w:hAnsi="Times New Roman" w:eastAsia="仿宋_GB2312"/>
          <w:color w:val="auto"/>
          <w:sz w:val="32"/>
          <w:szCs w:val="32"/>
          <w:highlight w:val="none"/>
          <w:lang w:val="en-US" w:eastAsia="zh-CN"/>
        </w:rPr>
        <w:t>事业单位离退休</w:t>
      </w:r>
      <w:r>
        <w:rPr>
          <w:rFonts w:hint="eastAsia" w:ascii="Times New Roman" w:hAnsi="Times New Roman" w:eastAsia="仿宋_GB2312"/>
          <w:color w:val="auto"/>
          <w:sz w:val="32"/>
          <w:szCs w:val="32"/>
          <w:highlight w:val="none"/>
        </w:rPr>
        <w:t>（项）：指</w:t>
      </w:r>
      <w:r>
        <w:rPr>
          <w:rFonts w:hint="eastAsia" w:ascii="Times New Roman" w:hAnsi="Times New Roman" w:eastAsia="仿宋_GB2312"/>
          <w:color w:val="auto"/>
          <w:sz w:val="32"/>
          <w:szCs w:val="32"/>
          <w:highlight w:val="none"/>
          <w:lang w:val="en-US" w:eastAsia="zh-CN"/>
        </w:rPr>
        <w:t>事业单位开支的离退休经费</w:t>
      </w:r>
      <w:r>
        <w:rPr>
          <w:rFonts w:hint="eastAsia" w:ascii="Times New Roman" w:hAnsi="Times New Roman" w:eastAsia="仿宋_GB2312"/>
          <w:color w:val="auto"/>
          <w:sz w:val="32"/>
          <w:szCs w:val="32"/>
          <w:highlight w:val="none"/>
        </w:rPr>
        <w:t>。</w:t>
      </w:r>
    </w:p>
    <w:p>
      <w:pPr>
        <w:pStyle w:val="2"/>
        <w:ind w:firstLine="640"/>
        <w:rPr>
          <w:rFonts w:hint="eastAsia" w:ascii="Times New Roman" w:hAnsi="Times New Roman"/>
          <w:color w:val="auto"/>
          <w:sz w:val="32"/>
          <w:szCs w:val="32"/>
          <w:highlight w:val="none"/>
          <w:lang w:val="en-US" w:eastAsia="zh-CN"/>
        </w:rPr>
      </w:pPr>
      <w:r>
        <w:rPr>
          <w:rFonts w:hint="eastAsia" w:ascii="Times New Roman" w:hAnsi="Times New Roman"/>
          <w:color w:val="auto"/>
          <w:sz w:val="32"/>
          <w:szCs w:val="32"/>
          <w:highlight w:val="none"/>
          <w:lang w:val="en-US" w:eastAsia="zh-CN"/>
        </w:rPr>
        <w:t>10.</w:t>
      </w:r>
      <w:r>
        <w:rPr>
          <w:rFonts w:hint="eastAsia" w:ascii="Times New Roman" w:hAnsi="Times New Roman" w:eastAsia="仿宋_GB2312"/>
          <w:color w:val="auto"/>
          <w:sz w:val="32"/>
          <w:szCs w:val="32"/>
          <w:highlight w:val="none"/>
        </w:rPr>
        <w:t>社会保障和就业（类）行政事业单位养老支出（款）机关事业单位基本养老保险缴费支出</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lang w:val="en-US" w:eastAsia="zh-CN"/>
        </w:rPr>
        <w:t>项</w:t>
      </w:r>
      <w:r>
        <w:rPr>
          <w:rFonts w:hint="eastAsia" w:ascii="Times New Roman" w:hAnsi="Times New Roman"/>
          <w:color w:val="auto"/>
          <w:sz w:val="32"/>
          <w:szCs w:val="32"/>
          <w:highlight w:val="none"/>
          <w:lang w:eastAsia="zh-CN"/>
        </w:rPr>
        <w:t>）：</w:t>
      </w:r>
      <w:r>
        <w:rPr>
          <w:rFonts w:hint="eastAsia" w:ascii="Times New Roman" w:hAnsi="Times New Roman"/>
          <w:color w:val="auto"/>
          <w:sz w:val="32"/>
          <w:szCs w:val="32"/>
          <w:highlight w:val="none"/>
          <w:lang w:val="en-US" w:eastAsia="zh-CN"/>
        </w:rPr>
        <w:t>指机关事业单位实施养老保险制度由单位缴纳的基本养老保险费支出。</w:t>
      </w:r>
    </w:p>
    <w:p>
      <w:pPr>
        <w:ind w:firstLine="640" w:firstLineChars="200"/>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11.</w:t>
      </w:r>
      <w:r>
        <w:rPr>
          <w:rFonts w:hint="eastAsia" w:ascii="Times New Roman" w:hAnsi="Times New Roman" w:eastAsia="仿宋_GB2312"/>
          <w:color w:val="auto"/>
          <w:sz w:val="32"/>
          <w:szCs w:val="32"/>
          <w:highlight w:val="none"/>
        </w:rPr>
        <w:t>社会保障和就业（类）行政事业单位养老支出（款）机关事业单位职业年金缴费支出</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项</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指机关事业单位实施养老保险制度由单位实际缴纳的职业年金支出。</w:t>
      </w:r>
    </w:p>
    <w:p>
      <w:pPr>
        <w:ind w:firstLine="640" w:firstLineChars="200"/>
        <w:rPr>
          <w:rFonts w:hint="eastAsia"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w:t>
      </w:r>
      <w:r>
        <w:rPr>
          <w:rFonts w:hint="eastAsia" w:ascii="Times New Roman" w:hAnsi="Times New Roman" w:eastAsia="仿宋_GB2312"/>
          <w:color w:val="auto"/>
          <w:sz w:val="32"/>
          <w:szCs w:val="32"/>
          <w:highlight w:val="none"/>
          <w:lang w:val="en-US" w:eastAsia="zh-CN"/>
        </w:rPr>
        <w:t>2</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卫生健康</w:t>
      </w:r>
      <w:r>
        <w:rPr>
          <w:rFonts w:hint="eastAsia" w:ascii="Times New Roman" w:hAnsi="Times New Roman" w:eastAsia="仿宋_GB2312"/>
          <w:color w:val="auto"/>
          <w:sz w:val="32"/>
          <w:szCs w:val="32"/>
          <w:highlight w:val="none"/>
        </w:rPr>
        <w:t>（类）</w:t>
      </w:r>
      <w:r>
        <w:rPr>
          <w:rFonts w:hint="eastAsia" w:ascii="Times New Roman" w:hAnsi="Times New Roman" w:eastAsia="仿宋_GB2312"/>
          <w:color w:val="auto"/>
          <w:sz w:val="32"/>
          <w:szCs w:val="32"/>
          <w:highlight w:val="none"/>
          <w:lang w:val="en-US" w:eastAsia="zh-CN"/>
        </w:rPr>
        <w:t>公立医院</w:t>
      </w:r>
      <w:r>
        <w:rPr>
          <w:rFonts w:hint="eastAsia" w:ascii="Times New Roman" w:hAnsi="Times New Roman" w:eastAsia="仿宋_GB2312"/>
          <w:color w:val="auto"/>
          <w:sz w:val="32"/>
          <w:szCs w:val="32"/>
          <w:highlight w:val="none"/>
        </w:rPr>
        <w:t>（款）</w:t>
      </w:r>
      <w:r>
        <w:rPr>
          <w:rFonts w:hint="eastAsia" w:ascii="Times New Roman" w:hAnsi="Times New Roman" w:eastAsia="仿宋_GB2312"/>
          <w:color w:val="auto"/>
          <w:sz w:val="32"/>
          <w:szCs w:val="32"/>
          <w:highlight w:val="none"/>
          <w:lang w:val="en-US" w:eastAsia="zh-CN"/>
        </w:rPr>
        <w:t>综合医院</w:t>
      </w:r>
      <w:r>
        <w:rPr>
          <w:rFonts w:hint="eastAsia" w:ascii="Times New Roman" w:hAnsi="Times New Roman" w:eastAsia="仿宋_GB2312"/>
          <w:color w:val="auto"/>
          <w:sz w:val="32"/>
          <w:szCs w:val="32"/>
          <w:highlight w:val="none"/>
        </w:rPr>
        <w:t>（项）：指</w:t>
      </w:r>
      <w:r>
        <w:rPr>
          <w:rFonts w:hint="eastAsia" w:ascii="Times New Roman" w:hAnsi="Times New Roman" w:eastAsia="仿宋_GB2312"/>
          <w:color w:val="auto"/>
          <w:sz w:val="32"/>
          <w:szCs w:val="32"/>
          <w:highlight w:val="none"/>
          <w:lang w:val="en-US" w:eastAsia="zh-CN"/>
        </w:rPr>
        <w:t>卫生健康、中医部门所属的城市综合性医院、独立门诊、教学医院、疗养院和县医院的支出</w:t>
      </w:r>
      <w:r>
        <w:rPr>
          <w:rFonts w:hint="eastAsia" w:ascii="Times New Roman" w:hAnsi="Times New Roman" w:eastAsia="仿宋_GB2312"/>
          <w:color w:val="auto"/>
          <w:sz w:val="32"/>
          <w:szCs w:val="32"/>
          <w:highlight w:val="none"/>
        </w:rPr>
        <w:t>。</w:t>
      </w:r>
    </w:p>
    <w:p>
      <w:pPr>
        <w:pStyle w:val="2"/>
        <w:ind w:firstLine="640"/>
        <w:rPr>
          <w:rFonts w:hint="eastAsia" w:ascii="Times New Roman" w:hAnsi="Times New Roman"/>
          <w:color w:val="auto"/>
          <w:sz w:val="32"/>
          <w:szCs w:val="32"/>
          <w:highlight w:val="none"/>
          <w:lang w:val="en-US" w:eastAsia="zh-CN"/>
        </w:rPr>
      </w:pPr>
      <w:r>
        <w:rPr>
          <w:rFonts w:hint="eastAsia" w:ascii="Times New Roman" w:hAnsi="Times New Roman"/>
          <w:color w:val="auto"/>
          <w:sz w:val="32"/>
          <w:szCs w:val="32"/>
          <w:highlight w:val="none"/>
          <w:lang w:val="en-US" w:eastAsia="zh-CN"/>
        </w:rPr>
        <w:t>13.</w:t>
      </w:r>
      <w:r>
        <w:rPr>
          <w:rFonts w:hint="eastAsia" w:ascii="Times New Roman" w:hAnsi="Times New Roman" w:eastAsia="仿宋_GB2312"/>
          <w:color w:val="auto"/>
          <w:sz w:val="32"/>
          <w:szCs w:val="32"/>
          <w:highlight w:val="none"/>
          <w:lang w:eastAsia="zh-CN"/>
        </w:rPr>
        <w:t>卫生健康</w:t>
      </w:r>
      <w:r>
        <w:rPr>
          <w:rFonts w:hint="eastAsia" w:ascii="Times New Roman" w:hAnsi="Times New Roman" w:eastAsia="仿宋_GB2312"/>
          <w:color w:val="auto"/>
          <w:sz w:val="32"/>
          <w:szCs w:val="32"/>
          <w:highlight w:val="none"/>
        </w:rPr>
        <w:t>（类）</w:t>
      </w:r>
      <w:r>
        <w:rPr>
          <w:rFonts w:hint="eastAsia" w:ascii="Times New Roman" w:hAnsi="Times New Roman"/>
          <w:color w:val="auto"/>
          <w:sz w:val="32"/>
          <w:szCs w:val="32"/>
          <w:highlight w:val="none"/>
          <w:lang w:val="en-US" w:eastAsia="zh-CN"/>
        </w:rPr>
        <w:t>行政事业单位医疗</w:t>
      </w:r>
      <w:r>
        <w:rPr>
          <w:rFonts w:hint="eastAsia" w:ascii="Times New Roman" w:hAnsi="Times New Roman" w:eastAsia="仿宋_GB2312"/>
          <w:color w:val="auto"/>
          <w:sz w:val="32"/>
          <w:szCs w:val="32"/>
          <w:highlight w:val="none"/>
        </w:rPr>
        <w:t>（款）</w:t>
      </w:r>
      <w:r>
        <w:rPr>
          <w:rFonts w:hint="eastAsia" w:ascii="Times New Roman" w:hAnsi="Times New Roman"/>
          <w:color w:val="auto"/>
          <w:sz w:val="32"/>
          <w:szCs w:val="32"/>
          <w:highlight w:val="none"/>
          <w:lang w:val="en-US" w:eastAsia="zh-CN"/>
        </w:rPr>
        <w:t>事业单位医疗（项）：指财政部门安排的事业单位基本医疗保险缴费经费，未参加医疗保险的事业单位的公费医疗经费，按国家规定享受离休人员待遇的医疗经费。</w:t>
      </w:r>
    </w:p>
    <w:p>
      <w:pPr>
        <w:rPr>
          <w:rFonts w:hint="default" w:ascii="Times New Roman" w:hAnsi="Times New Roman" w:eastAsia="仿宋_GB2312" w:cs="Times New Roman"/>
          <w:color w:val="auto"/>
          <w:kern w:val="0"/>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 xml:space="preserve">    14.</w:t>
      </w:r>
      <w:r>
        <w:rPr>
          <w:rFonts w:hint="eastAsia" w:ascii="Times New Roman" w:hAnsi="Times New Roman" w:eastAsia="仿宋_GB2312"/>
          <w:color w:val="auto"/>
          <w:sz w:val="32"/>
          <w:szCs w:val="32"/>
          <w:highlight w:val="none"/>
          <w:lang w:eastAsia="zh-CN"/>
        </w:rPr>
        <w:t>卫生健康</w:t>
      </w:r>
      <w:r>
        <w:rPr>
          <w:rFonts w:hint="eastAsia" w:ascii="Times New Roman" w:hAnsi="Times New Roman" w:eastAsia="仿宋_GB2312"/>
          <w:color w:val="auto"/>
          <w:sz w:val="32"/>
          <w:szCs w:val="32"/>
          <w:highlight w:val="none"/>
        </w:rPr>
        <w:t>（类）其他卫生健康支出</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款</w:t>
      </w:r>
      <w:r>
        <w:rPr>
          <w:rFonts w:hint="eastAsia" w:ascii="Times New Roman" w:hAnsi="Times New Roman" w:eastAsia="仿宋_GB2312"/>
          <w:color w:val="auto"/>
          <w:sz w:val="32"/>
          <w:szCs w:val="32"/>
          <w:highlight w:val="none"/>
          <w:lang w:eastAsia="zh-CN"/>
        </w:rPr>
        <w:t>）其他卫生健康支出（</w:t>
      </w:r>
      <w:r>
        <w:rPr>
          <w:rFonts w:hint="eastAsia" w:ascii="Times New Roman" w:hAnsi="Times New Roman" w:eastAsia="仿宋_GB2312"/>
          <w:color w:val="auto"/>
          <w:sz w:val="32"/>
          <w:szCs w:val="32"/>
          <w:highlight w:val="none"/>
          <w:lang w:val="en-US" w:eastAsia="zh-CN"/>
        </w:rPr>
        <w:t>项</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指其他用于卫生健康方面的支出。</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w:t>
      </w:r>
      <w:r>
        <w:rPr>
          <w:rFonts w:ascii="Times New Roman" w:hAnsi="Times New Roman" w:eastAsia="仿宋_GB2312"/>
          <w:color w:val="auto"/>
          <w:sz w:val="32"/>
          <w:szCs w:val="32"/>
          <w:highlight w:val="none"/>
        </w:rPr>
        <w:t>5.</w:t>
      </w:r>
      <w:r>
        <w:rPr>
          <w:rFonts w:hint="eastAsia" w:ascii="Times New Roman" w:hAnsi="Times New Roman" w:eastAsia="仿宋_GB2312"/>
          <w:color w:val="auto"/>
          <w:sz w:val="32"/>
          <w:szCs w:val="32"/>
          <w:highlight w:val="none"/>
        </w:rPr>
        <w:t>住房保障（类）住房改革支出（款）</w:t>
      </w:r>
      <w:r>
        <w:rPr>
          <w:rFonts w:hint="eastAsia" w:ascii="Times New Roman" w:hAnsi="Times New Roman" w:eastAsia="仿宋_GB2312"/>
          <w:color w:val="auto"/>
          <w:sz w:val="32"/>
          <w:szCs w:val="32"/>
          <w:highlight w:val="none"/>
          <w:lang w:val="en-US" w:eastAsia="zh-CN"/>
        </w:rPr>
        <w:t>住房公积金</w:t>
      </w:r>
      <w:r>
        <w:rPr>
          <w:rFonts w:hint="eastAsia" w:ascii="Times New Roman" w:hAnsi="Times New Roman" w:eastAsia="仿宋_GB2312"/>
          <w:color w:val="auto"/>
          <w:sz w:val="32"/>
          <w:szCs w:val="32"/>
          <w:highlight w:val="none"/>
        </w:rPr>
        <w:t>（项）：指</w:t>
      </w:r>
      <w:r>
        <w:rPr>
          <w:rFonts w:hint="eastAsia" w:ascii="Times New Roman" w:hAnsi="Times New Roman" w:eastAsia="仿宋_GB2312"/>
          <w:color w:val="auto"/>
          <w:sz w:val="32"/>
          <w:szCs w:val="32"/>
          <w:highlight w:val="none"/>
          <w:lang w:val="en-US" w:eastAsia="zh-CN"/>
        </w:rPr>
        <w:t>行政事业单位按人力资源和社会保障部、财政部规定的基本工资和津贴补贴以及规定比例为职工缴纳的住房公积金</w:t>
      </w:r>
      <w:r>
        <w:rPr>
          <w:rFonts w:hint="eastAsia" w:ascii="Times New Roman" w:hAnsi="Times New Roman" w:eastAsia="仿宋_GB2312"/>
          <w:color w:val="auto"/>
          <w:sz w:val="32"/>
          <w:szCs w:val="32"/>
          <w:highlight w:val="none"/>
        </w:rPr>
        <w:t>。</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16</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基本支出：指为保障机构正常运转、完成日常工作任务而发生的人员支出和公用支出。</w:t>
      </w:r>
    </w:p>
    <w:p>
      <w:pPr>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17</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项目支出：指在基本支出之外为完成特定行政任务和事业发展目标所发生的支出。</w:t>
      </w:r>
      <w:r>
        <w:rPr>
          <w:rFonts w:ascii="Times New Roman" w:hAnsi="Times New Roman" w:eastAsia="仿宋_GB2312"/>
          <w:color w:val="auto"/>
          <w:sz w:val="32"/>
          <w:szCs w:val="32"/>
          <w:highlight w:val="none"/>
        </w:rPr>
        <w:t xml:space="preserve"> </w:t>
      </w:r>
    </w:p>
    <w:p>
      <w:pPr>
        <w:spacing w:line="600" w:lineRule="exact"/>
        <w:jc w:val="center"/>
        <w:outlineLvl w:val="0"/>
        <w:rPr>
          <w:rStyle w:val="29"/>
          <w:rFonts w:hint="eastAsia" w:ascii="Times New Roman" w:hAnsi="Times New Roman" w:eastAsia="黑体"/>
          <w:b w:val="0"/>
          <w:color w:val="auto"/>
          <w:highlight w:val="none"/>
          <w:lang w:eastAsia="zh-CN"/>
        </w:rPr>
      </w:pPr>
      <w:bookmarkStart w:id="53" w:name="_Toc15377226"/>
      <w:r>
        <w:rPr>
          <w:rFonts w:ascii="Times New Roman" w:hAnsi="Times New Roman"/>
          <w:b/>
          <w:color w:val="auto"/>
          <w:sz w:val="44"/>
          <w:szCs w:val="44"/>
          <w:highlight w:val="none"/>
        </w:rPr>
        <w:br w:type="page"/>
      </w:r>
      <w:bookmarkStart w:id="54" w:name="_Toc15396614"/>
      <w:r>
        <w:rPr>
          <w:rFonts w:hint="eastAsia" w:ascii="Times New Roman" w:hAnsi="Times New Roman" w:eastAsia="黑体"/>
          <w:color w:val="auto"/>
          <w:sz w:val="44"/>
          <w:szCs w:val="44"/>
          <w:highlight w:val="none"/>
        </w:rPr>
        <w:t>第</w:t>
      </w:r>
      <w:r>
        <w:rPr>
          <w:rStyle w:val="29"/>
          <w:rFonts w:hint="eastAsia" w:ascii="Times New Roman" w:hAnsi="Times New Roman" w:eastAsia="黑体"/>
          <w:b w:val="0"/>
          <w:color w:val="auto"/>
          <w:highlight w:val="none"/>
        </w:rPr>
        <w:t>四部分 附件</w:t>
      </w:r>
      <w:bookmarkEnd w:id="54"/>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Times New Roman" w:hAnsi="Times New Roman" w:eastAsia="黑体" w:cs="方正小标宋简体"/>
          <w:color w:val="auto"/>
          <w:sz w:val="44"/>
          <w:szCs w:val="44"/>
          <w:highlight w:val="none"/>
          <w:lang w:val="en-US" w:eastAsia="zh-CN"/>
        </w:rPr>
      </w:pPr>
      <w:r>
        <w:rPr>
          <w:rFonts w:hint="eastAsia" w:ascii="Times New Roman" w:hAnsi="Times New Roman" w:eastAsia="黑体" w:cs="黑体"/>
          <w:color w:val="auto"/>
          <w:sz w:val="32"/>
          <w:szCs w:val="32"/>
          <w:highlight w:val="none"/>
        </w:rPr>
        <w:t>附件</w:t>
      </w:r>
      <w:r>
        <w:rPr>
          <w:rFonts w:hint="eastAsia" w:ascii="Times New Roman" w:hAnsi="Times New Roman" w:eastAsia="黑体" w:cs="黑体"/>
          <w:color w:val="auto"/>
          <w:sz w:val="32"/>
          <w:szCs w:val="32"/>
          <w:highlight w:val="none"/>
          <w:lang w:val="en-US" w:eastAsia="zh-CN"/>
        </w:rPr>
        <w:t>1</w:t>
      </w:r>
    </w:p>
    <w:p>
      <w:pPr>
        <w:spacing w:line="580" w:lineRule="exact"/>
        <w:jc w:val="center"/>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广元市昭化区人民医院</w:t>
      </w:r>
    </w:p>
    <w:p>
      <w:pPr>
        <w:spacing w:line="580" w:lineRule="exact"/>
        <w:jc w:val="center"/>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关于</w:t>
      </w:r>
      <w:r>
        <w:rPr>
          <w:rFonts w:hint="default" w:ascii="Times New Roman" w:hAnsi="Times New Roman" w:eastAsia="方正小标宋简体" w:cs="Times New Roman"/>
          <w:color w:val="auto"/>
          <w:sz w:val="44"/>
          <w:szCs w:val="44"/>
          <w:lang w:val="en-US" w:eastAsia="zh-CN"/>
        </w:rPr>
        <w:t>202</w:t>
      </w:r>
      <w:r>
        <w:rPr>
          <w:rFonts w:hint="eastAsia" w:ascii="Times New Roman" w:hAnsi="Times New Roman" w:eastAsia="方正小标宋简体" w:cs="Times New Roman"/>
          <w:color w:val="auto"/>
          <w:sz w:val="44"/>
          <w:szCs w:val="44"/>
          <w:lang w:val="en-US" w:eastAsia="zh-CN"/>
        </w:rPr>
        <w:t>2</w:t>
      </w:r>
      <w:r>
        <w:rPr>
          <w:rFonts w:hint="default" w:ascii="Times New Roman" w:hAnsi="Times New Roman" w:eastAsia="方正小标宋简体" w:cs="Times New Roman"/>
          <w:color w:val="auto"/>
          <w:sz w:val="44"/>
          <w:szCs w:val="44"/>
          <w:lang w:val="en-US" w:eastAsia="zh-CN"/>
        </w:rPr>
        <w:t>年</w:t>
      </w:r>
      <w:r>
        <w:rPr>
          <w:rFonts w:hint="eastAsia" w:ascii="Times New Roman" w:hAnsi="Times New Roman" w:eastAsia="方正小标宋简体" w:cs="Times New Roman"/>
          <w:color w:val="auto"/>
          <w:sz w:val="44"/>
          <w:szCs w:val="44"/>
          <w:lang w:val="en-US" w:eastAsia="zh-CN"/>
        </w:rPr>
        <w:t>部门</w:t>
      </w:r>
      <w:r>
        <w:rPr>
          <w:rFonts w:hint="default" w:ascii="Times New Roman" w:hAnsi="Times New Roman" w:eastAsia="方正小标宋简体" w:cs="Times New Roman"/>
          <w:color w:val="auto"/>
          <w:sz w:val="44"/>
          <w:szCs w:val="44"/>
          <w:lang w:eastAsia="zh-CN"/>
        </w:rPr>
        <w:t>整体支出</w:t>
      </w:r>
      <w:r>
        <w:rPr>
          <w:rFonts w:hint="default" w:ascii="Times New Roman" w:hAnsi="Times New Roman" w:eastAsia="方正小标宋简体" w:cs="Times New Roman"/>
          <w:color w:val="auto"/>
          <w:sz w:val="44"/>
          <w:szCs w:val="44"/>
        </w:rPr>
        <w:t>绩效自评报告</w:t>
      </w:r>
    </w:p>
    <w:p>
      <w:pPr>
        <w:pStyle w:val="7"/>
        <w:rPr>
          <w:rFonts w:hint="default" w:ascii="Times New Roman" w:hAnsi="Times New Roman"/>
          <w:color w:val="auto"/>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en-US" w:eastAsia="zh-CN"/>
        </w:rPr>
      </w:pPr>
      <w:r>
        <w:rPr>
          <w:rFonts w:hint="eastAsia" w:ascii="Times New Roman" w:hAnsi="Times New Roman" w:eastAsia="黑体" w:cs="宋体"/>
          <w:color w:val="auto"/>
          <w:kern w:val="0"/>
          <w:sz w:val="32"/>
          <w:szCs w:val="32"/>
          <w:highlight w:val="none"/>
          <w:shd w:val="clear" w:color="auto" w:fill="FFFFFF"/>
          <w:lang w:val="en-US" w:eastAsia="zh-CN"/>
        </w:rPr>
        <w:t>一、</w:t>
      </w:r>
      <w:r>
        <w:rPr>
          <w:rFonts w:hint="eastAsia" w:ascii="Times New Roman" w:hAnsi="Times New Roman" w:eastAsia="黑体" w:cs="宋体"/>
          <w:color w:val="auto"/>
          <w:kern w:val="0"/>
          <w:sz w:val="32"/>
          <w:szCs w:val="32"/>
          <w:highlight w:val="none"/>
          <w:shd w:val="clear" w:color="auto" w:fill="FFFFFF"/>
          <w:lang w:val="zh-CN" w:eastAsia="zh-CN"/>
        </w:rPr>
        <w:t>广元市昭化区人民医院</w:t>
      </w:r>
      <w:r>
        <w:rPr>
          <w:rFonts w:hint="eastAsia" w:ascii="Times New Roman" w:hAnsi="Times New Roman" w:eastAsia="黑体" w:cs="宋体"/>
          <w:color w:val="auto"/>
          <w:kern w:val="0"/>
          <w:sz w:val="32"/>
          <w:szCs w:val="32"/>
          <w:highlight w:val="none"/>
          <w:shd w:val="clear" w:color="auto" w:fill="FFFFFF"/>
          <w:lang w:val="zh-CN"/>
        </w:rPr>
        <w:t>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321" w:firstLineChars="1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en-US" w:eastAsia="zh-CN"/>
        </w:rPr>
      </w:pPr>
      <w:r>
        <w:rPr>
          <w:rFonts w:hint="eastAsia" w:ascii="Times New Roman" w:hAnsi="Times New Roman" w:eastAsia="楷体_GB2312" w:cs="楷体_GB2312"/>
          <w:b/>
          <w:bCs/>
          <w:color w:val="auto"/>
          <w:kern w:val="0"/>
          <w:sz w:val="32"/>
          <w:szCs w:val="32"/>
          <w:highlight w:val="none"/>
          <w:shd w:val="clear" w:color="auto" w:fill="FFFFFF"/>
          <w:lang w:val="zh-CN" w:eastAsia="zh-CN"/>
        </w:rPr>
        <w:t>（</w:t>
      </w:r>
      <w:r>
        <w:rPr>
          <w:rFonts w:hint="eastAsia" w:ascii="Times New Roman" w:hAnsi="Times New Roman" w:eastAsia="楷体_GB2312" w:cs="楷体_GB2312"/>
          <w:b/>
          <w:bCs/>
          <w:color w:val="auto"/>
          <w:kern w:val="0"/>
          <w:sz w:val="32"/>
          <w:szCs w:val="32"/>
          <w:highlight w:val="none"/>
          <w:shd w:val="clear" w:color="auto" w:fill="FFFFFF"/>
          <w:lang w:val="en-US" w:eastAsia="zh-CN"/>
        </w:rPr>
        <w:t>一</w:t>
      </w:r>
      <w:r>
        <w:rPr>
          <w:rFonts w:hint="eastAsia" w:ascii="Times New Roman" w:hAnsi="Times New Roman" w:eastAsia="楷体_GB2312" w:cs="楷体_GB2312"/>
          <w:b/>
          <w:bCs/>
          <w:color w:val="auto"/>
          <w:kern w:val="0"/>
          <w:sz w:val="32"/>
          <w:szCs w:val="32"/>
          <w:highlight w:val="none"/>
          <w:shd w:val="clear" w:color="auto" w:fill="FFFFFF"/>
          <w:lang w:val="zh-CN" w:eastAsia="zh-CN"/>
        </w:rPr>
        <w:t>）</w:t>
      </w:r>
      <w:r>
        <w:rPr>
          <w:rFonts w:hint="eastAsia" w:ascii="Times New Roman" w:hAnsi="Times New Roman" w:eastAsia="楷体_GB2312" w:cs="楷体_GB2312"/>
          <w:b/>
          <w:bCs/>
          <w:color w:val="auto"/>
          <w:kern w:val="0"/>
          <w:sz w:val="32"/>
          <w:szCs w:val="32"/>
          <w:highlight w:val="none"/>
          <w:shd w:val="clear" w:color="auto" w:fill="FFFFFF"/>
          <w:lang w:val="en-US" w:eastAsia="zh-CN"/>
        </w:rPr>
        <w:t>机构组成</w:t>
      </w:r>
    </w:p>
    <w:p>
      <w:pPr>
        <w:pStyle w:val="7"/>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广元市昭化</w:t>
      </w:r>
      <w:r>
        <w:rPr>
          <w:rFonts w:hint="default" w:ascii="Times New Roman" w:hAnsi="Times New Roman" w:eastAsia="仿宋_GB2312" w:cs="Times New Roman"/>
          <w:color w:val="auto"/>
          <w:sz w:val="32"/>
          <w:szCs w:val="32"/>
        </w:rPr>
        <w:t>区</w:t>
      </w:r>
      <w:r>
        <w:rPr>
          <w:rFonts w:hint="default" w:ascii="Times New Roman" w:hAnsi="Times New Roman" w:eastAsia="仿宋_GB2312" w:cs="Times New Roman"/>
          <w:color w:val="auto"/>
          <w:sz w:val="32"/>
          <w:szCs w:val="32"/>
          <w:lang w:eastAsia="zh-CN"/>
        </w:rPr>
        <w:t>人民医院为一级预算单位，无下属二级预算单位。</w:t>
      </w:r>
      <w:r>
        <w:rPr>
          <w:rFonts w:hint="eastAsia" w:ascii="Times New Roman" w:hAnsi="Times New Roman" w:eastAsia="仿宋_GB2312" w:cs="仿宋_GB2312"/>
          <w:b w:val="0"/>
          <w:i w:val="0"/>
          <w:caps w:val="0"/>
          <w:color w:val="auto"/>
          <w:spacing w:val="0"/>
          <w:sz w:val="32"/>
          <w:szCs w:val="32"/>
          <w:shd w:val="clear" w:color="auto" w:fill="FFFFFF"/>
          <w:lang w:eastAsia="zh-CN"/>
        </w:rPr>
        <w:t>科室设置包括职能科室和业务科室</w:t>
      </w:r>
      <w:r>
        <w:rPr>
          <w:rFonts w:hint="eastAsia" w:ascii="Times New Roman" w:hAnsi="Times New Roman" w:cs="仿宋_GB2312"/>
          <w:b w:val="0"/>
          <w:i w:val="0"/>
          <w:caps w:val="0"/>
          <w:color w:val="auto"/>
          <w:spacing w:val="0"/>
          <w:sz w:val="32"/>
          <w:szCs w:val="32"/>
          <w:shd w:val="clear" w:color="auto" w:fill="FFFFFF"/>
          <w:lang w:eastAsia="zh-CN"/>
        </w:rPr>
        <w:t>。</w:t>
      </w:r>
    </w:p>
    <w:p>
      <w:pPr>
        <w:pStyle w:val="7"/>
        <w:ind w:firstLine="321" w:firstLineChars="100"/>
        <w:rPr>
          <w:rFonts w:hint="eastAsia" w:ascii="Times New Roman" w:hAnsi="Times New Roman" w:eastAsia="楷体_GB2312" w:cs="楷体_GB2312"/>
          <w:b/>
          <w:bCs/>
          <w:color w:val="auto"/>
          <w:kern w:val="0"/>
          <w:sz w:val="32"/>
          <w:szCs w:val="32"/>
          <w:highlight w:val="none"/>
          <w:shd w:val="clear" w:color="auto" w:fill="FFFFFF"/>
          <w:lang w:val="en-US" w:eastAsia="zh-CN"/>
        </w:rPr>
      </w:pPr>
      <w:r>
        <w:rPr>
          <w:rFonts w:hint="default" w:ascii="Times New Roman" w:hAnsi="Times New Roman" w:eastAsia="楷体_GB2312" w:cs="楷体_GB2312"/>
          <w:b/>
          <w:bCs/>
          <w:color w:val="auto"/>
          <w:kern w:val="0"/>
          <w:sz w:val="32"/>
          <w:szCs w:val="32"/>
          <w:highlight w:val="none"/>
          <w:shd w:val="clear" w:color="auto" w:fill="FFFFFF"/>
          <w:lang w:val="en-US" w:eastAsia="zh-CN"/>
        </w:rPr>
        <w:t>（</w:t>
      </w:r>
      <w:r>
        <w:rPr>
          <w:rFonts w:hint="eastAsia" w:ascii="Times New Roman" w:hAnsi="Times New Roman" w:eastAsia="楷体_GB2312" w:cs="楷体_GB2312"/>
          <w:b/>
          <w:bCs/>
          <w:color w:val="auto"/>
          <w:kern w:val="0"/>
          <w:sz w:val="32"/>
          <w:szCs w:val="32"/>
          <w:highlight w:val="none"/>
          <w:shd w:val="clear" w:color="auto" w:fill="FFFFFF"/>
          <w:lang w:val="en-US" w:eastAsia="zh-CN"/>
        </w:rPr>
        <w:t>二</w:t>
      </w:r>
      <w:r>
        <w:rPr>
          <w:rFonts w:hint="default" w:ascii="Times New Roman" w:hAnsi="Times New Roman" w:eastAsia="楷体_GB2312" w:cs="楷体_GB2312"/>
          <w:b/>
          <w:bCs/>
          <w:color w:val="auto"/>
          <w:kern w:val="0"/>
          <w:sz w:val="32"/>
          <w:szCs w:val="32"/>
          <w:highlight w:val="none"/>
          <w:shd w:val="clear" w:color="auto" w:fill="FFFFFF"/>
          <w:lang w:val="en-US" w:eastAsia="zh-CN"/>
        </w:rPr>
        <w:t>）机构职能</w:t>
      </w:r>
      <w:r>
        <w:rPr>
          <w:rFonts w:hint="eastAsia" w:ascii="Times New Roman" w:hAnsi="Times New Roman" w:eastAsia="楷体_GB2312" w:cs="楷体_GB2312"/>
          <w:b/>
          <w:bCs/>
          <w:color w:val="auto"/>
          <w:kern w:val="0"/>
          <w:sz w:val="32"/>
          <w:szCs w:val="32"/>
          <w:highlight w:val="none"/>
          <w:shd w:val="clear" w:color="auto" w:fill="FFFFFF"/>
          <w:lang w:val="en-US" w:eastAsia="zh-CN"/>
        </w:rPr>
        <w:t>和人员概况</w:t>
      </w:r>
    </w:p>
    <w:p>
      <w:pPr>
        <w:widowControl/>
        <w:spacing w:line="560" w:lineRule="exact"/>
        <w:ind w:firstLine="645"/>
        <w:jc w:val="left"/>
        <w:rPr>
          <w:rFonts w:hint="default" w:ascii="Times New Roman" w:hAnsi="Times New Roman" w:eastAsia="楷体_GB2312" w:cs="Times New Roman"/>
          <w:b/>
          <w:color w:val="auto"/>
        </w:rPr>
      </w:pPr>
      <w:r>
        <w:rPr>
          <w:rFonts w:hint="eastAsia" w:ascii="Times New Roman" w:hAnsi="Times New Roman" w:eastAsia="仿宋_GB2312" w:cs="仿宋_GB2312"/>
          <w:b w:val="0"/>
          <w:i w:val="0"/>
          <w:caps w:val="0"/>
          <w:color w:val="auto"/>
          <w:spacing w:val="0"/>
          <w:sz w:val="32"/>
          <w:szCs w:val="32"/>
          <w:shd w:val="clear" w:color="auto" w:fill="FFFFFF"/>
        </w:rPr>
        <w:t>广元市昭化区</w:t>
      </w:r>
      <w:r>
        <w:rPr>
          <w:rFonts w:hint="eastAsia" w:ascii="Times New Roman" w:hAnsi="Times New Roman" w:eastAsia="仿宋_GB2312" w:cs="仿宋_GB2312"/>
          <w:b w:val="0"/>
          <w:i w:val="0"/>
          <w:caps w:val="0"/>
          <w:color w:val="auto"/>
          <w:spacing w:val="0"/>
          <w:sz w:val="32"/>
          <w:szCs w:val="32"/>
          <w:shd w:val="clear" w:color="auto" w:fill="FFFFFF"/>
          <w:lang w:eastAsia="zh-CN"/>
        </w:rPr>
        <w:t>人民医院</w:t>
      </w:r>
      <w:r>
        <w:rPr>
          <w:rFonts w:hint="eastAsia" w:ascii="Times New Roman" w:hAnsi="Times New Roman" w:cs="仿宋_GB2312"/>
          <w:b w:val="0"/>
          <w:i w:val="0"/>
          <w:caps w:val="0"/>
          <w:color w:val="auto"/>
          <w:spacing w:val="0"/>
          <w:sz w:val="32"/>
          <w:szCs w:val="32"/>
          <w:shd w:val="clear" w:color="auto" w:fill="FFFFFF"/>
          <w:lang w:val="en-US" w:eastAsia="zh-CN"/>
        </w:rPr>
        <w:t>为</w:t>
      </w:r>
      <w:r>
        <w:rPr>
          <w:rFonts w:hint="eastAsia" w:ascii="Times New Roman" w:hAnsi="Times New Roman" w:eastAsia="仿宋_GB2312" w:cs="仿宋_GB2312"/>
          <w:b w:val="0"/>
          <w:i w:val="0"/>
          <w:caps w:val="0"/>
          <w:color w:val="auto"/>
          <w:spacing w:val="0"/>
          <w:sz w:val="32"/>
          <w:szCs w:val="32"/>
          <w:shd w:val="clear" w:color="auto" w:fill="FFFFFF"/>
          <w:lang w:eastAsia="zh-CN"/>
        </w:rPr>
        <w:t>区内唯一一所集医疗、急救、科研、教学为一体的二级甲等综合性医院</w:t>
      </w:r>
      <w:r>
        <w:rPr>
          <w:rFonts w:hint="eastAsia" w:ascii="Times New Roman" w:hAnsi="Times New Roman" w:cs="仿宋_GB2312"/>
          <w:b w:val="0"/>
          <w:i w:val="0"/>
          <w:caps w:val="0"/>
          <w:color w:val="auto"/>
          <w:spacing w:val="0"/>
          <w:sz w:val="32"/>
          <w:szCs w:val="32"/>
          <w:shd w:val="clear" w:color="auto" w:fill="FFFFFF"/>
          <w:lang w:eastAsia="zh-CN"/>
        </w:rPr>
        <w:t>。</w:t>
      </w:r>
      <w:r>
        <w:rPr>
          <w:rFonts w:hint="eastAsia" w:ascii="Times New Roman" w:hAnsi="Times New Roman" w:eastAsia="仿宋_GB2312" w:cs="仿宋_GB2312"/>
          <w:b w:val="0"/>
          <w:i w:val="0"/>
          <w:caps w:val="0"/>
          <w:color w:val="auto"/>
          <w:spacing w:val="0"/>
          <w:sz w:val="32"/>
          <w:szCs w:val="32"/>
          <w:shd w:val="clear" w:color="auto" w:fill="FFFFFF"/>
          <w:lang w:eastAsia="zh-CN"/>
        </w:rPr>
        <w:t>主要负责区域基本医疗服务、危重急症病人的抢救和公共卫生救治，并承担对乡镇（中心）卫生院、街道社区卫生服务中心、村卫生室、社区卫生服务站的业务技术指导和卫生人员的进修培训。完成</w:t>
      </w:r>
      <w:r>
        <w:rPr>
          <w:rFonts w:hint="eastAsia" w:ascii="Times New Roman" w:hAnsi="Times New Roman" w:eastAsia="仿宋_GB2312" w:cs="仿宋_GB2312"/>
          <w:b w:val="0"/>
          <w:i w:val="0"/>
          <w:caps w:val="0"/>
          <w:color w:val="auto"/>
          <w:spacing w:val="0"/>
          <w:sz w:val="32"/>
          <w:szCs w:val="32"/>
          <w:shd w:val="clear" w:color="auto" w:fill="FFFFFF"/>
          <w:lang w:val="en-US" w:eastAsia="zh-CN"/>
        </w:rPr>
        <w:t>卫生健康</w:t>
      </w:r>
      <w:r>
        <w:rPr>
          <w:rFonts w:hint="eastAsia" w:ascii="Times New Roman" w:hAnsi="Times New Roman" w:eastAsia="仿宋_GB2312" w:cs="仿宋_GB2312"/>
          <w:b w:val="0"/>
          <w:i w:val="0"/>
          <w:caps w:val="0"/>
          <w:color w:val="auto"/>
          <w:spacing w:val="0"/>
          <w:sz w:val="32"/>
          <w:szCs w:val="32"/>
          <w:shd w:val="clear" w:color="auto" w:fill="FFFFFF"/>
          <w:lang w:eastAsia="zh-CN"/>
        </w:rPr>
        <w:t>行政部门安排的卫生支农工作，承担一定的教学和科研任务。医院同时承担着昭化区及毗邻地区常见病、多发病，疑难危急重症疾病的诊治、转诊及会诊任务，也是全区唯一一家传染病疫情防控定点医院。在区委、区政府坚强领导下，在市区卫生行政主管部门的大力支持下，昭化区人民医院领导班子及全体职工将紧密团结，继续奋力开拓创新，通过创建检验、影像、麻醉、呼吸、消化等重点专科及创建县级胸痛中心、脑卒中心、创伤中心，以点带面，奋力拼搏，高位求进，全力做好人民群众健康守护神</w:t>
      </w:r>
      <w:r>
        <w:rPr>
          <w:rFonts w:hint="eastAsia" w:ascii="Times New Roman" w:hAnsi="Times New Roman" w:cs="仿宋_GB2312"/>
          <w:b w:val="0"/>
          <w:i w:val="0"/>
          <w:caps w:val="0"/>
          <w:color w:val="auto"/>
          <w:spacing w:val="0"/>
          <w:sz w:val="32"/>
          <w:szCs w:val="32"/>
          <w:shd w:val="clear" w:color="auto" w:fill="FFFFFF"/>
          <w:lang w:eastAsia="zh-CN"/>
        </w:rPr>
        <w:t>。</w:t>
      </w:r>
    </w:p>
    <w:p>
      <w:pPr>
        <w:widowControl/>
        <w:spacing w:line="560" w:lineRule="exact"/>
        <w:ind w:firstLine="645"/>
        <w:jc w:val="left"/>
        <w:rPr>
          <w:rFonts w:hint="default" w:ascii="Times New Roman" w:hAnsi="Times New Roman" w:eastAsia="仿宋_GB2312" w:cs="仿宋_GB2312"/>
          <w:b w:val="0"/>
          <w:i w:val="0"/>
          <w:caps w:val="0"/>
          <w:color w:val="auto"/>
          <w:spacing w:val="0"/>
          <w:sz w:val="32"/>
          <w:szCs w:val="32"/>
          <w:shd w:val="clear" w:color="auto" w:fill="FFFFFF"/>
          <w:lang w:eastAsia="zh-CN"/>
        </w:rPr>
      </w:pPr>
      <w:r>
        <w:rPr>
          <w:rFonts w:hint="eastAsia" w:eastAsia="仿宋_GB2312" w:cs="仿宋_GB2312"/>
          <w:b w:val="0"/>
          <w:i w:val="0"/>
          <w:caps w:val="0"/>
          <w:color w:val="auto"/>
          <w:spacing w:val="0"/>
          <w:sz w:val="32"/>
          <w:szCs w:val="32"/>
          <w:shd w:val="clear" w:color="auto" w:fill="FFFFFF"/>
          <w:lang w:val="en-US" w:eastAsia="zh-CN"/>
        </w:rPr>
        <w:t>截至</w:t>
      </w:r>
      <w:r>
        <w:rPr>
          <w:rFonts w:hint="eastAsia" w:ascii="Times New Roman" w:hAnsi="Times New Roman" w:eastAsia="仿宋_GB2312" w:cs="仿宋_GB2312"/>
          <w:b w:val="0"/>
          <w:i w:val="0"/>
          <w:caps w:val="0"/>
          <w:color w:val="auto"/>
          <w:spacing w:val="0"/>
          <w:sz w:val="32"/>
          <w:szCs w:val="32"/>
          <w:shd w:val="clear" w:color="auto" w:fill="FFFFFF"/>
          <w:lang w:val="en-US" w:eastAsia="zh-CN"/>
        </w:rPr>
        <w:t>2022年末，区人民医院核</w:t>
      </w:r>
      <w:r>
        <w:rPr>
          <w:rFonts w:hint="eastAsia" w:eastAsia="仿宋_GB2312" w:cs="仿宋_GB2312"/>
          <w:b w:val="0"/>
          <w:i w:val="0"/>
          <w:caps w:val="0"/>
          <w:color w:val="auto"/>
          <w:spacing w:val="0"/>
          <w:sz w:val="32"/>
          <w:szCs w:val="32"/>
          <w:shd w:val="clear" w:color="auto" w:fill="FFFFFF"/>
          <w:lang w:val="en-US" w:eastAsia="zh-CN"/>
        </w:rPr>
        <w:t>定</w:t>
      </w:r>
      <w:r>
        <w:rPr>
          <w:rFonts w:hint="default" w:ascii="Times New Roman" w:hAnsi="Times New Roman" w:eastAsia="仿宋_GB2312" w:cs="仿宋_GB2312"/>
          <w:b w:val="0"/>
          <w:i w:val="0"/>
          <w:caps w:val="0"/>
          <w:color w:val="auto"/>
          <w:spacing w:val="0"/>
          <w:sz w:val="32"/>
          <w:szCs w:val="32"/>
          <w:shd w:val="clear" w:color="auto" w:fill="FFFFFF"/>
          <w:lang w:eastAsia="zh-CN"/>
        </w:rPr>
        <w:t>编制</w:t>
      </w:r>
      <w:r>
        <w:rPr>
          <w:rFonts w:hint="default" w:ascii="Times New Roman" w:hAnsi="Times New Roman" w:eastAsia="仿宋_GB2312" w:cs="仿宋_GB2312"/>
          <w:b w:val="0"/>
          <w:i w:val="0"/>
          <w:caps w:val="0"/>
          <w:color w:val="auto"/>
          <w:spacing w:val="0"/>
          <w:sz w:val="32"/>
          <w:szCs w:val="32"/>
          <w:shd w:val="clear" w:color="auto" w:fill="FFFFFF"/>
          <w:lang w:val="en-US" w:eastAsia="zh-CN"/>
        </w:rPr>
        <w:t>140</w:t>
      </w:r>
      <w:r>
        <w:rPr>
          <w:rFonts w:hint="eastAsia" w:ascii="Times New Roman" w:hAnsi="Times New Roman" w:eastAsia="仿宋_GB2312" w:cs="仿宋_GB2312"/>
          <w:b w:val="0"/>
          <w:i w:val="0"/>
          <w:caps w:val="0"/>
          <w:color w:val="auto"/>
          <w:spacing w:val="0"/>
          <w:sz w:val="32"/>
          <w:szCs w:val="32"/>
          <w:shd w:val="clear" w:color="auto" w:fill="FFFFFF"/>
          <w:lang w:val="en-US" w:eastAsia="zh-CN"/>
        </w:rPr>
        <w:t>名</w:t>
      </w:r>
      <w:r>
        <w:rPr>
          <w:rFonts w:hint="default" w:ascii="Times New Roman" w:hAnsi="Times New Roman" w:eastAsia="仿宋_GB2312" w:cs="仿宋_GB2312"/>
          <w:b w:val="0"/>
          <w:i w:val="0"/>
          <w:caps w:val="0"/>
          <w:color w:val="auto"/>
          <w:spacing w:val="0"/>
          <w:sz w:val="32"/>
          <w:szCs w:val="32"/>
          <w:shd w:val="clear" w:color="auto" w:fill="FFFFFF"/>
          <w:lang w:eastAsia="zh-CN"/>
        </w:rPr>
        <w:t>。预算实有在职编制内人员</w:t>
      </w:r>
      <w:r>
        <w:rPr>
          <w:rFonts w:hint="eastAsia" w:ascii="Times New Roman" w:hAnsi="Times New Roman" w:eastAsia="仿宋_GB2312" w:cs="仿宋_GB2312"/>
          <w:b w:val="0"/>
          <w:i w:val="0"/>
          <w:caps w:val="0"/>
          <w:color w:val="auto"/>
          <w:spacing w:val="0"/>
          <w:sz w:val="32"/>
          <w:szCs w:val="32"/>
          <w:shd w:val="clear" w:color="auto" w:fill="FFFFFF"/>
          <w:lang w:val="en-US" w:eastAsia="zh-CN"/>
        </w:rPr>
        <w:t>128</w:t>
      </w:r>
      <w:r>
        <w:rPr>
          <w:rFonts w:hint="eastAsia" w:ascii="Times New Roman" w:hAnsi="Times New Roman" w:eastAsia="仿宋_GB2312" w:cs="仿宋_GB2312"/>
          <w:b w:val="0"/>
          <w:i w:val="0"/>
          <w:caps w:val="0"/>
          <w:color w:val="auto"/>
          <w:spacing w:val="0"/>
          <w:sz w:val="32"/>
          <w:szCs w:val="32"/>
          <w:shd w:val="clear" w:color="auto" w:fill="FFFFFF"/>
          <w:lang w:eastAsia="zh-CN"/>
        </w:rPr>
        <w:t>人</w:t>
      </w:r>
      <w:r>
        <w:rPr>
          <w:rFonts w:hint="default" w:ascii="Times New Roman" w:hAnsi="Times New Roman" w:eastAsia="仿宋_GB2312" w:cs="仿宋_GB2312"/>
          <w:b w:val="0"/>
          <w:i w:val="0"/>
          <w:caps w:val="0"/>
          <w:color w:val="auto"/>
          <w:spacing w:val="0"/>
          <w:sz w:val="32"/>
          <w:szCs w:val="32"/>
          <w:shd w:val="clear" w:color="auto" w:fill="FFFFFF"/>
          <w:lang w:eastAsia="zh-CN"/>
        </w:rPr>
        <w:t>，其中：事业</w:t>
      </w:r>
      <w:r>
        <w:rPr>
          <w:rFonts w:hint="eastAsia" w:ascii="Times New Roman" w:hAnsi="Times New Roman" w:eastAsia="仿宋_GB2312" w:cs="仿宋_GB2312"/>
          <w:b w:val="0"/>
          <w:i w:val="0"/>
          <w:caps w:val="0"/>
          <w:color w:val="auto"/>
          <w:spacing w:val="0"/>
          <w:sz w:val="32"/>
          <w:szCs w:val="32"/>
          <w:shd w:val="clear" w:color="auto" w:fill="FFFFFF"/>
          <w:lang w:eastAsia="zh-CN"/>
        </w:rPr>
        <w:t>专</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业</w:t>
      </w:r>
      <w:r>
        <w:rPr>
          <w:rFonts w:hint="eastAsia" w:ascii="Times New Roman" w:hAnsi="Times New Roman" w:eastAsia="仿宋_GB2312" w:cs="仿宋_GB2312"/>
          <w:b w:val="0"/>
          <w:i w:val="0"/>
          <w:caps w:val="0"/>
          <w:color w:val="auto"/>
          <w:spacing w:val="0"/>
          <w:sz w:val="32"/>
          <w:szCs w:val="32"/>
          <w:shd w:val="clear" w:color="auto" w:fill="FFFFFF"/>
          <w:lang w:eastAsia="zh-CN"/>
        </w:rPr>
        <w:t>技</w:t>
      </w:r>
      <w:r>
        <w:rPr>
          <w:rFonts w:hint="eastAsia" w:ascii="Times New Roman" w:hAnsi="Times New Roman" w:eastAsia="仿宋_GB2312" w:cs="仿宋_GB2312"/>
          <w:b w:val="0"/>
          <w:i w:val="0"/>
          <w:caps w:val="0"/>
          <w:color w:val="auto"/>
          <w:spacing w:val="0"/>
          <w:sz w:val="32"/>
          <w:szCs w:val="32"/>
          <w:shd w:val="clear" w:color="auto" w:fill="FFFFFF"/>
          <w:lang w:val="en-US" w:eastAsia="zh-CN"/>
        </w:rPr>
        <w:t>术</w:t>
      </w:r>
      <w:r>
        <w:rPr>
          <w:rFonts w:hint="default" w:ascii="Times New Roman" w:hAnsi="Times New Roman" w:eastAsia="仿宋_GB2312" w:cs="仿宋_GB2312"/>
          <w:b w:val="0"/>
          <w:i w:val="0"/>
          <w:caps w:val="0"/>
          <w:color w:val="auto"/>
          <w:spacing w:val="0"/>
          <w:sz w:val="32"/>
          <w:szCs w:val="32"/>
          <w:shd w:val="clear" w:color="auto" w:fill="FFFFFF"/>
          <w:lang w:eastAsia="zh-CN"/>
        </w:rPr>
        <w:t>编制</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人员</w:t>
      </w:r>
      <w:r>
        <w:rPr>
          <w:rFonts w:hint="default" w:ascii="Times New Roman" w:hAnsi="Times New Roman" w:eastAsia="仿宋_GB2312" w:cs="仿宋_GB2312"/>
          <w:b w:val="0"/>
          <w:i w:val="0"/>
          <w:caps w:val="0"/>
          <w:color w:val="auto"/>
          <w:spacing w:val="0"/>
          <w:sz w:val="32"/>
          <w:szCs w:val="32"/>
          <w:shd w:val="clear" w:color="auto" w:fill="FFFFFF"/>
          <w:lang w:val="en-US" w:eastAsia="zh-CN"/>
        </w:rPr>
        <w:t>12</w:t>
      </w:r>
      <w:r>
        <w:rPr>
          <w:rFonts w:hint="eastAsia" w:ascii="Times New Roman" w:hAnsi="Times New Roman" w:eastAsia="仿宋_GB2312" w:cs="仿宋_GB2312"/>
          <w:b w:val="0"/>
          <w:i w:val="0"/>
          <w:caps w:val="0"/>
          <w:color w:val="auto"/>
          <w:spacing w:val="0"/>
          <w:sz w:val="32"/>
          <w:szCs w:val="32"/>
          <w:shd w:val="clear" w:color="auto" w:fill="FFFFFF"/>
          <w:lang w:val="en-US" w:eastAsia="zh-CN"/>
        </w:rPr>
        <w:t>4</w:t>
      </w:r>
      <w:r>
        <w:rPr>
          <w:rFonts w:hint="eastAsia" w:ascii="Times New Roman" w:hAnsi="Times New Roman" w:eastAsia="仿宋_GB2312" w:cs="仿宋_GB2312"/>
          <w:b w:val="0"/>
          <w:i w:val="0"/>
          <w:caps w:val="0"/>
          <w:color w:val="auto"/>
          <w:spacing w:val="0"/>
          <w:sz w:val="32"/>
          <w:szCs w:val="32"/>
          <w:shd w:val="clear" w:color="auto" w:fill="FFFFFF"/>
          <w:lang w:eastAsia="zh-CN"/>
        </w:rPr>
        <w:t>人</w:t>
      </w:r>
      <w:r>
        <w:rPr>
          <w:rFonts w:hint="default" w:ascii="Times New Roman" w:hAnsi="Times New Roman" w:eastAsia="仿宋_GB2312" w:cs="仿宋_GB2312"/>
          <w:b w:val="0"/>
          <w:i w:val="0"/>
          <w:caps w:val="0"/>
          <w:color w:val="auto"/>
          <w:spacing w:val="0"/>
          <w:sz w:val="32"/>
          <w:szCs w:val="32"/>
          <w:shd w:val="clear" w:color="auto" w:fill="FFFFFF"/>
          <w:lang w:eastAsia="zh-CN"/>
        </w:rPr>
        <w:t>，</w:t>
      </w:r>
      <w:r>
        <w:rPr>
          <w:rFonts w:hint="eastAsia" w:ascii="Times New Roman" w:hAnsi="Times New Roman" w:eastAsia="仿宋_GB2312" w:cs="仿宋_GB2312"/>
          <w:b w:val="0"/>
          <w:i w:val="0"/>
          <w:caps w:val="0"/>
          <w:color w:val="auto"/>
          <w:spacing w:val="0"/>
          <w:sz w:val="32"/>
          <w:szCs w:val="32"/>
          <w:shd w:val="clear" w:color="auto" w:fill="FFFFFF"/>
          <w:lang w:eastAsia="zh-CN"/>
        </w:rPr>
        <w:t>事业</w:t>
      </w:r>
      <w:r>
        <w:rPr>
          <w:rFonts w:hint="default" w:ascii="Times New Roman" w:hAnsi="Times New Roman" w:eastAsia="仿宋_GB2312" w:cs="仿宋_GB2312"/>
          <w:b w:val="0"/>
          <w:i w:val="0"/>
          <w:caps w:val="0"/>
          <w:color w:val="auto"/>
          <w:spacing w:val="0"/>
          <w:sz w:val="32"/>
          <w:szCs w:val="32"/>
          <w:shd w:val="clear" w:color="auto" w:fill="FFFFFF"/>
          <w:lang w:eastAsia="zh-CN"/>
        </w:rPr>
        <w:t>工勤编制</w:t>
      </w:r>
      <w:r>
        <w:rPr>
          <w:rFonts w:hint="eastAsia" w:ascii="Times New Roman" w:hAnsi="Times New Roman" w:eastAsia="仿宋_GB2312" w:cs="仿宋_GB2312"/>
          <w:b w:val="0"/>
          <w:i w:val="0"/>
          <w:caps w:val="0"/>
          <w:color w:val="auto"/>
          <w:spacing w:val="0"/>
          <w:sz w:val="32"/>
          <w:szCs w:val="32"/>
          <w:shd w:val="clear" w:color="auto" w:fill="FFFFFF"/>
          <w:lang w:val="en-US" w:eastAsia="zh-CN"/>
        </w:rPr>
        <w:t>2</w:t>
      </w:r>
      <w:r>
        <w:rPr>
          <w:rFonts w:hint="eastAsia" w:ascii="Times New Roman" w:hAnsi="Times New Roman" w:eastAsia="仿宋_GB2312" w:cs="仿宋_GB2312"/>
          <w:b w:val="0"/>
          <w:i w:val="0"/>
          <w:caps w:val="0"/>
          <w:color w:val="auto"/>
          <w:spacing w:val="0"/>
          <w:sz w:val="32"/>
          <w:szCs w:val="32"/>
          <w:shd w:val="clear" w:color="auto" w:fill="FFFFFF"/>
          <w:lang w:eastAsia="zh-CN"/>
        </w:rPr>
        <w:t>人</w:t>
      </w:r>
      <w:r>
        <w:rPr>
          <w:rFonts w:hint="default" w:ascii="Times New Roman" w:hAnsi="Times New Roman" w:eastAsia="仿宋_GB2312" w:cs="仿宋_GB2312"/>
          <w:b w:val="0"/>
          <w:i w:val="0"/>
          <w:caps w:val="0"/>
          <w:color w:val="auto"/>
          <w:spacing w:val="0"/>
          <w:sz w:val="32"/>
          <w:szCs w:val="32"/>
          <w:shd w:val="clear" w:color="auto" w:fill="FFFFFF"/>
          <w:lang w:val="en-US" w:eastAsia="zh-CN"/>
        </w:rPr>
        <w:t>，</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事业</w:t>
      </w:r>
      <w:r>
        <w:rPr>
          <w:rFonts w:hint="default" w:ascii="Times New Roman" w:hAnsi="Times New Roman" w:eastAsia="仿宋_GB2312" w:cs="仿宋_GB2312"/>
          <w:b w:val="0"/>
          <w:i w:val="0"/>
          <w:caps w:val="0"/>
          <w:color w:val="auto"/>
          <w:spacing w:val="0"/>
          <w:sz w:val="32"/>
          <w:szCs w:val="32"/>
          <w:shd w:val="clear" w:color="auto" w:fill="FFFFFF"/>
          <w:lang w:val="en-US" w:eastAsia="zh-CN"/>
        </w:rPr>
        <w:t>管理岗位2</w:t>
      </w:r>
      <w:r>
        <w:rPr>
          <w:rFonts w:hint="eastAsia" w:ascii="Times New Roman" w:hAnsi="Times New Roman" w:eastAsia="仿宋_GB2312" w:cs="仿宋_GB2312"/>
          <w:b w:val="0"/>
          <w:i w:val="0"/>
          <w:caps w:val="0"/>
          <w:color w:val="auto"/>
          <w:spacing w:val="0"/>
          <w:sz w:val="32"/>
          <w:szCs w:val="32"/>
          <w:shd w:val="clear" w:color="auto" w:fill="FFFFFF"/>
          <w:lang w:eastAsia="zh-CN"/>
        </w:rPr>
        <w:t>人，</w:t>
      </w:r>
      <w:r>
        <w:rPr>
          <w:rFonts w:hint="default" w:ascii="Times New Roman" w:hAnsi="Times New Roman" w:eastAsia="仿宋_GB2312" w:cs="仿宋_GB2312"/>
          <w:b w:val="0"/>
          <w:i w:val="0"/>
          <w:caps w:val="0"/>
          <w:color w:val="auto"/>
          <w:spacing w:val="0"/>
          <w:sz w:val="32"/>
          <w:szCs w:val="32"/>
          <w:shd w:val="clear" w:color="auto" w:fill="FFFFFF"/>
          <w:lang w:eastAsia="zh-CN"/>
        </w:rPr>
        <w:t>按财政供给率分，均为差额供给。退休</w:t>
      </w:r>
      <w:r>
        <w:rPr>
          <w:rFonts w:hint="default" w:ascii="Times New Roman" w:hAnsi="Times New Roman" w:eastAsia="仿宋_GB2312" w:cs="仿宋_GB2312"/>
          <w:b w:val="0"/>
          <w:i w:val="0"/>
          <w:caps w:val="0"/>
          <w:color w:val="auto"/>
          <w:spacing w:val="0"/>
          <w:sz w:val="32"/>
          <w:szCs w:val="32"/>
          <w:shd w:val="clear" w:color="auto" w:fill="FFFFFF"/>
          <w:lang w:val="en-US" w:eastAsia="zh-CN"/>
        </w:rPr>
        <w:t>2</w:t>
      </w:r>
      <w:r>
        <w:rPr>
          <w:rFonts w:hint="eastAsia" w:ascii="Times New Roman" w:hAnsi="Times New Roman" w:eastAsia="仿宋_GB2312" w:cs="仿宋_GB2312"/>
          <w:b w:val="0"/>
          <w:i w:val="0"/>
          <w:caps w:val="0"/>
          <w:color w:val="auto"/>
          <w:spacing w:val="0"/>
          <w:sz w:val="32"/>
          <w:szCs w:val="32"/>
          <w:shd w:val="clear" w:color="auto" w:fill="FFFFFF"/>
          <w:lang w:val="en-US" w:eastAsia="zh-CN"/>
        </w:rPr>
        <w:t>5</w:t>
      </w:r>
      <w:r>
        <w:rPr>
          <w:rFonts w:hint="default" w:ascii="Times New Roman" w:hAnsi="Times New Roman" w:eastAsia="仿宋_GB2312" w:cs="仿宋_GB2312"/>
          <w:b w:val="0"/>
          <w:i w:val="0"/>
          <w:caps w:val="0"/>
          <w:color w:val="auto"/>
          <w:spacing w:val="0"/>
          <w:sz w:val="32"/>
          <w:szCs w:val="32"/>
          <w:shd w:val="clear" w:color="auto" w:fill="FFFFFF"/>
          <w:lang w:eastAsia="zh-CN"/>
        </w:rPr>
        <w:t>人，其中：事业专业技术</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人员</w:t>
      </w:r>
      <w:r>
        <w:rPr>
          <w:rFonts w:hint="default" w:ascii="Times New Roman" w:hAnsi="Times New Roman" w:eastAsia="仿宋_GB2312" w:cs="仿宋_GB2312"/>
          <w:b w:val="0"/>
          <w:i w:val="0"/>
          <w:caps w:val="0"/>
          <w:color w:val="auto"/>
          <w:spacing w:val="0"/>
          <w:sz w:val="32"/>
          <w:szCs w:val="32"/>
          <w:shd w:val="clear" w:color="auto" w:fill="FFFFFF"/>
          <w:lang w:val="en-US" w:eastAsia="zh-CN"/>
        </w:rPr>
        <w:t>1</w:t>
      </w:r>
      <w:r>
        <w:rPr>
          <w:rFonts w:hint="eastAsia" w:ascii="Times New Roman" w:hAnsi="Times New Roman" w:eastAsia="仿宋_GB2312" w:cs="仿宋_GB2312"/>
          <w:b w:val="0"/>
          <w:i w:val="0"/>
          <w:caps w:val="0"/>
          <w:color w:val="auto"/>
          <w:spacing w:val="0"/>
          <w:sz w:val="32"/>
          <w:szCs w:val="32"/>
          <w:shd w:val="clear" w:color="auto" w:fill="FFFFFF"/>
          <w:lang w:val="en-US" w:eastAsia="zh-CN"/>
        </w:rPr>
        <w:t>4</w:t>
      </w:r>
      <w:r>
        <w:rPr>
          <w:rFonts w:hint="default" w:ascii="Times New Roman" w:hAnsi="Times New Roman" w:eastAsia="仿宋_GB2312" w:cs="仿宋_GB2312"/>
          <w:b w:val="0"/>
          <w:i w:val="0"/>
          <w:caps w:val="0"/>
          <w:color w:val="auto"/>
          <w:spacing w:val="0"/>
          <w:sz w:val="32"/>
          <w:szCs w:val="32"/>
          <w:shd w:val="clear" w:color="auto" w:fill="FFFFFF"/>
          <w:lang w:eastAsia="zh-CN"/>
        </w:rPr>
        <w:t>人，工勤人员</w:t>
      </w:r>
      <w:r>
        <w:rPr>
          <w:rFonts w:hint="default" w:ascii="Times New Roman" w:hAnsi="Times New Roman" w:eastAsia="仿宋_GB2312" w:cs="仿宋_GB2312"/>
          <w:b w:val="0"/>
          <w:i w:val="0"/>
          <w:caps w:val="0"/>
          <w:color w:val="auto"/>
          <w:spacing w:val="0"/>
          <w:sz w:val="32"/>
          <w:szCs w:val="32"/>
          <w:shd w:val="clear" w:color="auto" w:fill="FFFFFF"/>
          <w:lang w:val="en-US" w:eastAsia="zh-CN"/>
        </w:rPr>
        <w:t>1</w:t>
      </w:r>
      <w:r>
        <w:rPr>
          <w:rFonts w:hint="eastAsia" w:ascii="Times New Roman" w:hAnsi="Times New Roman" w:eastAsia="仿宋_GB2312" w:cs="仿宋_GB2312"/>
          <w:b w:val="0"/>
          <w:i w:val="0"/>
          <w:caps w:val="0"/>
          <w:color w:val="auto"/>
          <w:spacing w:val="0"/>
          <w:sz w:val="32"/>
          <w:szCs w:val="32"/>
          <w:shd w:val="clear" w:color="auto" w:fill="FFFFFF"/>
          <w:lang w:val="en-US" w:eastAsia="zh-CN"/>
        </w:rPr>
        <w:t>1</w:t>
      </w:r>
      <w:r>
        <w:rPr>
          <w:rFonts w:hint="default" w:ascii="Times New Roman" w:hAnsi="Times New Roman" w:eastAsia="仿宋_GB2312" w:cs="仿宋_GB2312"/>
          <w:b w:val="0"/>
          <w:i w:val="0"/>
          <w:caps w:val="0"/>
          <w:color w:val="auto"/>
          <w:spacing w:val="0"/>
          <w:sz w:val="32"/>
          <w:szCs w:val="32"/>
          <w:shd w:val="clear" w:color="auto" w:fill="FFFFFF"/>
          <w:lang w:eastAsia="zh-CN"/>
        </w:rPr>
        <w:t>人。</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年度主要工作任务</w:t>
      </w:r>
    </w:p>
    <w:p>
      <w:pPr>
        <w:widowControl/>
        <w:spacing w:line="560" w:lineRule="exact"/>
        <w:ind w:firstLine="645"/>
        <w:jc w:val="left"/>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1.把握内涵质量，党建工作水平大大提升。强化政治理论武装，夯实党风廉政建设，强化党内组织生活，抓牢意识形态主阵地。</w:t>
      </w:r>
    </w:p>
    <w:p>
      <w:pPr>
        <w:widowControl/>
        <w:spacing w:line="560" w:lineRule="exact"/>
        <w:ind w:firstLine="645"/>
        <w:jc w:val="left"/>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2.抓实以案促改，深化</w:t>
      </w:r>
      <w:r>
        <w:rPr>
          <w:rFonts w:hint="eastAsia" w:ascii="Times New Roman" w:hAnsi="Times New Roman" w:eastAsia="仿宋_GB2312" w:cs="仿宋_GB2312"/>
          <w:b w:val="0"/>
          <w:i w:val="0"/>
          <w:caps w:val="0"/>
          <w:color w:val="auto"/>
          <w:spacing w:val="0"/>
          <w:sz w:val="32"/>
          <w:szCs w:val="32"/>
          <w:shd w:val="clear" w:color="auto" w:fill="FFFFFF"/>
          <w:lang w:eastAsia="zh-CN"/>
        </w:rPr>
        <w:t>纪律作风建设。</w:t>
      </w:r>
      <w:r>
        <w:rPr>
          <w:rFonts w:hint="eastAsia" w:ascii="Times New Roman" w:hAnsi="Times New Roman" w:eastAsia="仿宋_GB2312" w:cs="Times New Roman"/>
          <w:color w:val="auto"/>
          <w:kern w:val="2"/>
          <w:sz w:val="32"/>
          <w:szCs w:val="32"/>
          <w:lang w:val="en-US" w:eastAsia="zh-CN" w:bidi="ar-SA"/>
        </w:rPr>
        <w:t>成立</w:t>
      </w:r>
      <w:r>
        <w:rPr>
          <w:rFonts w:hint="eastAsia" w:ascii="Times New Roman" w:hAnsi="Times New Roman" w:eastAsia="仿宋_GB2312" w:cs="Times New Roman"/>
          <w:color w:val="auto"/>
          <w:kern w:val="2"/>
          <w:sz w:val="32"/>
          <w:szCs w:val="32"/>
          <w:lang w:val="en-US" w:eastAsia="zh-CN"/>
        </w:rPr>
        <w:t>以案促改</w:t>
      </w:r>
      <w:r>
        <w:rPr>
          <w:rFonts w:hint="eastAsia" w:ascii="Times New Roman" w:hAnsi="Times New Roman" w:eastAsia="仿宋_GB2312" w:cs="Times New Roman"/>
          <w:color w:val="auto"/>
          <w:kern w:val="2"/>
          <w:sz w:val="32"/>
          <w:szCs w:val="32"/>
          <w:lang w:val="en-US" w:eastAsia="zh-CN" w:bidi="ar-SA"/>
        </w:rPr>
        <w:t>工作领导小组，查摆问题、清仓见底，举一反三、确保实效。</w:t>
      </w:r>
    </w:p>
    <w:p>
      <w:pPr>
        <w:widowControl/>
        <w:spacing w:line="560" w:lineRule="exact"/>
        <w:ind w:firstLine="645"/>
        <w:jc w:val="left"/>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3.</w:t>
      </w:r>
      <w:r>
        <w:rPr>
          <w:rFonts w:hint="eastAsia" w:ascii="Times New Roman" w:hAnsi="Times New Roman" w:eastAsia="仿宋_GB2312" w:cs="仿宋_GB2312"/>
          <w:b w:val="0"/>
          <w:i w:val="0"/>
          <w:caps w:val="0"/>
          <w:color w:val="auto"/>
          <w:spacing w:val="0"/>
          <w:sz w:val="32"/>
          <w:szCs w:val="32"/>
          <w:shd w:val="clear" w:color="auto" w:fill="FFFFFF"/>
          <w:lang w:eastAsia="zh-CN"/>
        </w:rPr>
        <w:t>坚持科学</w:t>
      </w:r>
      <w:r>
        <w:rPr>
          <w:rFonts w:hint="eastAsia" w:ascii="Times New Roman" w:hAnsi="Times New Roman" w:eastAsia="仿宋_GB2312" w:cs="仿宋_GB2312"/>
          <w:b w:val="0"/>
          <w:i w:val="0"/>
          <w:caps w:val="0"/>
          <w:color w:val="auto"/>
          <w:spacing w:val="0"/>
          <w:sz w:val="32"/>
          <w:szCs w:val="32"/>
          <w:shd w:val="clear" w:color="auto" w:fill="FFFFFF"/>
          <w:lang w:val="en-US" w:eastAsia="zh-CN"/>
        </w:rPr>
        <w:t>精准</w:t>
      </w:r>
      <w:r>
        <w:rPr>
          <w:rFonts w:hint="eastAsia" w:ascii="Times New Roman" w:hAnsi="Times New Roman" w:eastAsia="仿宋_GB2312" w:cs="仿宋_GB2312"/>
          <w:b w:val="0"/>
          <w:i w:val="0"/>
          <w:caps w:val="0"/>
          <w:color w:val="auto"/>
          <w:spacing w:val="0"/>
          <w:sz w:val="32"/>
          <w:szCs w:val="32"/>
          <w:shd w:val="clear" w:color="auto" w:fill="FFFFFF"/>
          <w:lang w:eastAsia="zh-CN"/>
        </w:rPr>
        <w:t>，常态化疫情防控高压推进。</w:t>
      </w:r>
      <w:r>
        <w:rPr>
          <w:rFonts w:hint="eastAsia" w:ascii="Times New Roman" w:hAnsi="Times New Roman" w:eastAsia="仿宋_GB2312" w:cs="仿宋_GB2312"/>
          <w:b w:val="0"/>
          <w:i w:val="0"/>
          <w:caps w:val="0"/>
          <w:color w:val="auto"/>
          <w:spacing w:val="0"/>
          <w:sz w:val="32"/>
          <w:szCs w:val="32"/>
          <w:shd w:val="clear" w:color="auto" w:fill="FFFFFF"/>
          <w:lang w:val="en-US" w:eastAsia="zh-CN"/>
        </w:rPr>
        <w:t>突出重点部位，响应上级号召，出色完成支援任务，根据政策要求及时调整疫情防控策略，提升核酸检测能力。</w:t>
      </w:r>
    </w:p>
    <w:p>
      <w:pPr>
        <w:widowControl/>
        <w:spacing w:line="560" w:lineRule="exact"/>
        <w:ind w:firstLine="645"/>
        <w:jc w:val="left"/>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4.</w:t>
      </w:r>
      <w:r>
        <w:rPr>
          <w:rFonts w:hint="eastAsia" w:ascii="Times New Roman" w:hAnsi="Times New Roman" w:eastAsia="仿宋_GB2312" w:cs="仿宋_GB2312"/>
          <w:b w:val="0"/>
          <w:i w:val="0"/>
          <w:caps w:val="0"/>
          <w:color w:val="auto"/>
          <w:spacing w:val="0"/>
          <w:sz w:val="32"/>
          <w:szCs w:val="32"/>
          <w:shd w:val="clear" w:color="auto" w:fill="FFFFFF"/>
          <w:lang w:eastAsia="zh-CN"/>
        </w:rPr>
        <w:t>聚焦</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主责主业</w:t>
      </w:r>
      <w:r>
        <w:rPr>
          <w:rFonts w:hint="eastAsia" w:ascii="Times New Roman" w:hAnsi="Times New Roman" w:eastAsia="仿宋_GB2312" w:cs="仿宋_GB2312"/>
          <w:b w:val="0"/>
          <w:i w:val="0"/>
          <w:caps w:val="0"/>
          <w:color w:val="auto"/>
          <w:spacing w:val="0"/>
          <w:sz w:val="32"/>
          <w:szCs w:val="32"/>
          <w:shd w:val="clear" w:color="auto" w:fill="FFFFFF"/>
          <w:lang w:eastAsia="zh-CN"/>
        </w:rPr>
        <w:t>，医疗质量持续改进。</w:t>
      </w:r>
      <w:r>
        <w:rPr>
          <w:rFonts w:hint="eastAsia" w:ascii="Times New Roman" w:hAnsi="Times New Roman" w:eastAsia="仿宋_GB2312" w:cs="仿宋_GB2312"/>
          <w:b w:val="0"/>
          <w:i w:val="0"/>
          <w:caps w:val="0"/>
          <w:color w:val="auto"/>
          <w:spacing w:val="0"/>
          <w:sz w:val="32"/>
          <w:szCs w:val="32"/>
          <w:shd w:val="clear" w:color="auto" w:fill="FFFFFF"/>
          <w:lang w:val="en-US" w:eastAsia="zh-CN"/>
        </w:rPr>
        <w:t>持续加强医疗质量管理，</w:t>
      </w:r>
      <w:r>
        <w:rPr>
          <w:rFonts w:hint="eastAsia" w:ascii="Times New Roman" w:hAnsi="Times New Roman" w:eastAsia="仿宋_GB2312" w:cs="Times New Roman"/>
          <w:color w:val="auto"/>
          <w:kern w:val="2"/>
          <w:sz w:val="32"/>
          <w:szCs w:val="32"/>
          <w:lang w:val="en-US" w:eastAsia="zh-CN" w:bidi="ar-SA"/>
        </w:rPr>
        <w:t>落实医疗质量管理制度，严格质量考核标准，坚持每月督导检查反馈，持续改进提高质量。</w:t>
      </w:r>
      <w:r>
        <w:rPr>
          <w:rFonts w:hint="eastAsia" w:ascii="Times New Roman" w:hAnsi="Times New Roman" w:eastAsia="仿宋_GB2312" w:cs="Times New Roman"/>
          <w:color w:val="auto"/>
          <w:kern w:val="2"/>
          <w:sz w:val="32"/>
          <w:szCs w:val="32"/>
          <w:highlight w:val="none"/>
          <w:lang w:val="en-US" w:eastAsia="zh-CN" w:bidi="ar-SA"/>
        </w:rPr>
        <w:t>积极探索护理工作新模式，严格落实护理核心制度，稳步推进安全护理目标，保障患者安全。</w:t>
      </w:r>
      <w:r>
        <w:rPr>
          <w:rFonts w:hint="eastAsia" w:ascii="Times New Roman" w:hAnsi="Times New Roman" w:eastAsia="仿宋_GB2312"/>
          <w:b w:val="0"/>
          <w:bCs w:val="0"/>
          <w:color w:val="auto"/>
          <w:sz w:val="32"/>
          <w:szCs w:val="32"/>
          <w:lang w:eastAsia="zh-CN"/>
        </w:rPr>
        <w:t>紧紧围绕</w:t>
      </w:r>
      <w:r>
        <w:rPr>
          <w:rFonts w:hint="eastAsia" w:ascii="Times New Roman" w:hAnsi="Times New Roman" w:eastAsia="仿宋_GB2312" w:cs="宋体"/>
          <w:b w:val="0"/>
          <w:bCs w:val="0"/>
          <w:snapToGrid w:val="0"/>
          <w:color w:val="auto"/>
          <w:spacing w:val="3"/>
          <w:sz w:val="32"/>
          <w:szCs w:val="32"/>
          <w:shd w:val="clear" w:color="auto" w:fill="FFFFFF"/>
          <w:lang w:val="en-US" w:eastAsia="zh-CN"/>
        </w:rPr>
        <w:t>疫情防控落实院感规定，加强重点部位、重点人群、重点科室院感管理。</w:t>
      </w:r>
      <w:r>
        <w:rPr>
          <w:rFonts w:hint="eastAsia" w:ascii="Times New Roman" w:hAnsi="Times New Roman" w:eastAsia="仿宋_GB2312" w:cs="Times New Roman"/>
          <w:b w:val="0"/>
          <w:bCs w:val="0"/>
          <w:color w:val="auto"/>
          <w:sz w:val="32"/>
          <w:szCs w:val="32"/>
          <w:lang w:val="en-US" w:eastAsia="zh-CN"/>
        </w:rPr>
        <w:t>加强药事管理，</w:t>
      </w:r>
      <w:r>
        <w:rPr>
          <w:rFonts w:hint="eastAsia" w:ascii="Times New Roman" w:hAnsi="Times New Roman" w:eastAsia="仿宋_GB2312" w:cs="Times New Roman"/>
          <w:color w:val="auto"/>
          <w:kern w:val="2"/>
          <w:sz w:val="32"/>
          <w:szCs w:val="32"/>
          <w:lang w:val="en-US" w:eastAsia="zh-CN" w:bidi="ar-SA"/>
        </w:rPr>
        <w:t>注重药品环节管理，大力推进药械集中带星采购，提高国家基药使用比率，让群众得到更多实惠；签订药品、医疗器械质量安全管理承诺书，压紧压实药械安全管理责任。</w:t>
      </w:r>
    </w:p>
    <w:p>
      <w:pPr>
        <w:widowControl/>
        <w:spacing w:line="560" w:lineRule="exact"/>
        <w:ind w:firstLine="645"/>
        <w:jc w:val="left"/>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5.突出</w:t>
      </w:r>
      <w:r>
        <w:rPr>
          <w:rFonts w:hint="eastAsia" w:ascii="Times New Roman" w:hAnsi="Times New Roman" w:eastAsia="仿宋_GB2312" w:cs="仿宋_GB2312"/>
          <w:b w:val="0"/>
          <w:i w:val="0"/>
          <w:caps w:val="0"/>
          <w:color w:val="auto"/>
          <w:spacing w:val="0"/>
          <w:sz w:val="32"/>
          <w:szCs w:val="32"/>
          <w:shd w:val="clear" w:color="auto" w:fill="FFFFFF"/>
          <w:lang w:eastAsia="zh-CN"/>
        </w:rPr>
        <w:t>专科建设，医院综合实力彰显。</w:t>
      </w:r>
      <w:r>
        <w:rPr>
          <w:rFonts w:hint="eastAsia" w:ascii="Times New Roman" w:hAnsi="Times New Roman" w:eastAsia="仿宋_GB2312" w:cs="仿宋_GB2312"/>
          <w:b w:val="0"/>
          <w:i w:val="0"/>
          <w:caps w:val="0"/>
          <w:color w:val="auto"/>
          <w:spacing w:val="0"/>
          <w:sz w:val="32"/>
          <w:szCs w:val="32"/>
          <w:shd w:val="clear" w:color="auto" w:fill="FFFFFF"/>
          <w:lang w:val="en-US" w:eastAsia="zh-CN"/>
        </w:rPr>
        <w:t>以学术扩大影响，借智借力抓提升，创新驱动</w:t>
      </w:r>
      <w:r>
        <w:rPr>
          <w:rFonts w:hint="eastAsia" w:eastAsia="仿宋_GB2312" w:cs="仿宋_GB2312"/>
          <w:b w:val="0"/>
          <w:i w:val="0"/>
          <w:caps w:val="0"/>
          <w:color w:val="auto"/>
          <w:spacing w:val="0"/>
          <w:sz w:val="32"/>
          <w:szCs w:val="32"/>
          <w:shd w:val="clear" w:color="auto" w:fill="FFFFFF"/>
          <w:lang w:val="en-US" w:eastAsia="zh-CN"/>
        </w:rPr>
        <w:t>谋</w:t>
      </w:r>
      <w:r>
        <w:rPr>
          <w:rFonts w:hint="eastAsia" w:ascii="Times New Roman" w:hAnsi="Times New Roman" w:eastAsia="仿宋_GB2312" w:cs="仿宋_GB2312"/>
          <w:b w:val="0"/>
          <w:i w:val="0"/>
          <w:caps w:val="0"/>
          <w:color w:val="auto"/>
          <w:spacing w:val="0"/>
          <w:sz w:val="32"/>
          <w:szCs w:val="32"/>
          <w:shd w:val="clear" w:color="auto" w:fill="FFFFFF"/>
          <w:lang w:val="en-US" w:eastAsia="zh-CN"/>
        </w:rPr>
        <w:t>发展。</w:t>
      </w:r>
      <w:r>
        <w:rPr>
          <w:rFonts w:hint="eastAsia" w:ascii="Times New Roman" w:hAnsi="Times New Roman" w:eastAsia="仿宋_GB2312" w:cs="Times New Roman"/>
          <w:color w:val="auto"/>
          <w:kern w:val="2"/>
          <w:sz w:val="32"/>
          <w:szCs w:val="32"/>
          <w:lang w:val="en-US" w:eastAsia="zh-CN" w:bidi="ar-SA"/>
        </w:rPr>
        <w:t>以城</w:t>
      </w:r>
      <w:r>
        <w:rPr>
          <w:rFonts w:hint="eastAsia" w:ascii="Times New Roman" w:hAnsi="Times New Roman" w:eastAsia="仿宋" w:cs="仿宋"/>
          <w:b w:val="0"/>
          <w:bCs w:val="0"/>
          <w:color w:val="auto"/>
          <w:sz w:val="32"/>
          <w:szCs w:val="32"/>
          <w:lang w:val="en-US" w:eastAsia="zh-CN"/>
        </w:rPr>
        <w:t>乡医疗卫生对口支援“传帮带”工程为契机，</w:t>
      </w:r>
      <w:r>
        <w:rPr>
          <w:rFonts w:hint="eastAsia" w:ascii="Times New Roman" w:hAnsi="Times New Roman" w:eastAsia="仿宋_GB2312" w:cs="Times New Roman"/>
          <w:b w:val="0"/>
          <w:bCs w:val="0"/>
          <w:color w:val="auto"/>
          <w:kern w:val="2"/>
          <w:sz w:val="32"/>
          <w:szCs w:val="32"/>
          <w:lang w:eastAsia="zh-CN"/>
        </w:rPr>
        <w:t>紧抓</w:t>
      </w:r>
      <w:r>
        <w:rPr>
          <w:rFonts w:hint="eastAsia" w:ascii="Times New Roman" w:hAnsi="Times New Roman" w:eastAsia="仿宋_GB2312" w:cs="Times New Roman"/>
          <w:color w:val="auto"/>
          <w:kern w:val="2"/>
          <w:sz w:val="32"/>
          <w:szCs w:val="32"/>
          <w:lang w:val="en-US" w:eastAsia="zh-CN" w:bidi="ar-SA"/>
        </w:rPr>
        <w:t>杭州师范大学附属医院东西部协作帮扶、</w:t>
      </w:r>
      <w:r>
        <w:rPr>
          <w:rFonts w:hint="eastAsia" w:ascii="Times New Roman" w:hAnsi="Times New Roman" w:eastAsia="仿宋_GB2312" w:cs="Times New Roman"/>
          <w:b w:val="0"/>
          <w:bCs w:val="0"/>
          <w:color w:val="auto"/>
          <w:kern w:val="2"/>
          <w:sz w:val="32"/>
          <w:szCs w:val="32"/>
          <w:lang w:eastAsia="zh-CN"/>
        </w:rPr>
        <w:t>绵阳科学城医院、市中心医院</w:t>
      </w:r>
      <w:r>
        <w:rPr>
          <w:rFonts w:hint="eastAsia" w:ascii="Times New Roman" w:hAnsi="Times New Roman" w:eastAsia="仿宋" w:cs="仿宋"/>
          <w:b w:val="0"/>
          <w:bCs w:val="0"/>
          <w:color w:val="auto"/>
          <w:sz w:val="32"/>
          <w:szCs w:val="32"/>
          <w:lang w:val="en-US" w:eastAsia="zh-CN"/>
        </w:rPr>
        <w:t>专家</w:t>
      </w:r>
      <w:r>
        <w:rPr>
          <w:rFonts w:hint="eastAsia" w:ascii="Times New Roman" w:hAnsi="Times New Roman" w:eastAsia="仿宋_GB2312" w:cs="Times New Roman"/>
          <w:b w:val="0"/>
          <w:bCs w:val="0"/>
          <w:color w:val="auto"/>
          <w:kern w:val="2"/>
          <w:sz w:val="32"/>
          <w:szCs w:val="32"/>
          <w:lang w:eastAsia="zh-CN"/>
        </w:rPr>
        <w:t>下沉对口支援机遇，通过学术</w:t>
      </w:r>
      <w:r>
        <w:rPr>
          <w:rFonts w:hint="eastAsia" w:ascii="Times New Roman" w:hAnsi="Times New Roman" w:eastAsia="仿宋_GB2312" w:cs="Times New Roman"/>
          <w:b w:val="0"/>
          <w:bCs w:val="0"/>
          <w:color w:val="auto"/>
          <w:kern w:val="2"/>
          <w:sz w:val="32"/>
          <w:szCs w:val="32"/>
          <w:lang w:val="en-US" w:eastAsia="zh-CN"/>
        </w:rPr>
        <w:t>讲座、危急重症</w:t>
      </w:r>
      <w:r>
        <w:rPr>
          <w:rFonts w:hint="eastAsia" w:ascii="Times New Roman" w:hAnsi="Times New Roman" w:eastAsia="仿宋_GB2312" w:cs="Times New Roman"/>
          <w:b w:val="0"/>
          <w:bCs w:val="0"/>
          <w:color w:val="auto"/>
          <w:kern w:val="2"/>
          <w:sz w:val="32"/>
          <w:szCs w:val="32"/>
          <w:lang w:eastAsia="zh-CN"/>
        </w:rPr>
        <w:t>病例讨论查房等点对点交流，增进了彼此间的友谊，实现了常态化“传帮带”。</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6.</w:t>
      </w:r>
      <w:r>
        <w:rPr>
          <w:rFonts w:hint="eastAsia" w:ascii="Times New Roman" w:hAnsi="Times New Roman" w:eastAsia="仿宋_GB2312" w:cs="仿宋_GB2312"/>
          <w:b w:val="0"/>
          <w:i w:val="0"/>
          <w:caps w:val="0"/>
          <w:color w:val="auto"/>
          <w:spacing w:val="0"/>
          <w:sz w:val="32"/>
          <w:szCs w:val="32"/>
          <w:shd w:val="clear" w:color="auto" w:fill="FFFFFF"/>
          <w:lang w:eastAsia="zh-CN"/>
        </w:rPr>
        <w:t>注重多点发力，人才队伍建设进一步加强。柔性引进人员应急补岗，</w:t>
      </w:r>
      <w:r>
        <w:rPr>
          <w:rFonts w:hint="eastAsia" w:ascii="Times New Roman" w:hAnsi="Times New Roman" w:eastAsia="仿宋_GB2312" w:cs="仿宋_GB2312"/>
          <w:b w:val="0"/>
          <w:i w:val="0"/>
          <w:caps w:val="0"/>
          <w:color w:val="auto"/>
          <w:spacing w:val="0"/>
          <w:sz w:val="32"/>
          <w:szCs w:val="32"/>
          <w:shd w:val="clear" w:color="auto" w:fill="FFFFFF"/>
          <w:lang w:val="en-US" w:eastAsia="zh-CN"/>
        </w:rPr>
        <w:t>持续聘请市中心医院特检科、市中医院病理科医师“间歇式”多点执业进行业务指导，</w:t>
      </w:r>
      <w:r>
        <w:rPr>
          <w:rFonts w:hint="eastAsia" w:ascii="Times New Roman" w:hAnsi="Times New Roman" w:eastAsia="仿宋_GB2312" w:cs="仿宋_GB2312"/>
          <w:b w:val="0"/>
          <w:i w:val="0"/>
          <w:caps w:val="0"/>
          <w:color w:val="auto"/>
          <w:spacing w:val="0"/>
          <w:sz w:val="32"/>
          <w:szCs w:val="32"/>
          <w:shd w:val="clear" w:color="auto" w:fill="FFFFFF"/>
          <w:lang w:eastAsia="zh-CN"/>
        </w:rPr>
        <w:t>以</w:t>
      </w:r>
      <w:r>
        <w:rPr>
          <w:rFonts w:hint="eastAsia" w:ascii="Times New Roman" w:hAnsi="Times New Roman" w:eastAsia="仿宋_GB2312" w:cs="仿宋_GB2312"/>
          <w:b w:val="0"/>
          <w:i w:val="0"/>
          <w:caps w:val="0"/>
          <w:color w:val="auto"/>
          <w:spacing w:val="0"/>
          <w:sz w:val="32"/>
          <w:szCs w:val="32"/>
          <w:shd w:val="clear" w:color="auto" w:fill="FFFFFF"/>
          <w:lang w:val="en-US" w:eastAsia="zh-CN"/>
        </w:rPr>
        <w:t>解决专技人员不足不优和能力提升慢问题。</w:t>
      </w:r>
      <w:r>
        <w:rPr>
          <w:rFonts w:hint="eastAsia" w:ascii="Times New Roman" w:hAnsi="Times New Roman" w:eastAsia="仿宋_GB2312" w:cs="仿宋_GB2312"/>
          <w:b w:val="0"/>
          <w:i w:val="0"/>
          <w:caps w:val="0"/>
          <w:color w:val="auto"/>
          <w:spacing w:val="0"/>
          <w:sz w:val="32"/>
          <w:szCs w:val="32"/>
          <w:shd w:val="clear" w:color="auto" w:fill="FFFFFF"/>
          <w:lang w:eastAsia="zh-CN"/>
        </w:rPr>
        <w:t>抓实在职学习培训，</w:t>
      </w:r>
      <w:r>
        <w:rPr>
          <w:rFonts w:hint="eastAsia" w:ascii="Times New Roman" w:hAnsi="Times New Roman" w:eastAsia="仿宋_GB2312" w:cs="仿宋_GB2312"/>
          <w:b w:val="0"/>
          <w:i w:val="0"/>
          <w:caps w:val="0"/>
          <w:color w:val="auto"/>
          <w:spacing w:val="0"/>
          <w:sz w:val="32"/>
          <w:szCs w:val="32"/>
          <w:shd w:val="clear" w:color="auto" w:fill="FFFFFF"/>
          <w:lang w:val="en-US" w:eastAsia="zh-CN"/>
        </w:rPr>
        <w:t>扩大继续医学教育覆盖面，建立激励机制，</w:t>
      </w:r>
      <w:r>
        <w:rPr>
          <w:rFonts w:hint="eastAsia" w:ascii="Times New Roman" w:hAnsi="Times New Roman" w:eastAsia="仿宋_GB2312" w:cs="仿宋_GB2312"/>
          <w:b w:val="0"/>
          <w:i w:val="0"/>
          <w:caps w:val="0"/>
          <w:color w:val="auto"/>
          <w:spacing w:val="0"/>
          <w:sz w:val="32"/>
          <w:szCs w:val="32"/>
          <w:shd w:val="clear" w:color="auto" w:fill="FFFFFF"/>
          <w:lang w:eastAsia="zh-CN"/>
        </w:rPr>
        <w:t>积极创造条件，鼓励专业技术人员职称晋升。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7.</w:t>
      </w:r>
      <w:r>
        <w:rPr>
          <w:rFonts w:hint="eastAsia" w:ascii="Times New Roman" w:hAnsi="Times New Roman" w:eastAsia="仿宋_GB2312" w:cs="仿宋_GB2312"/>
          <w:b w:val="0"/>
          <w:i w:val="0"/>
          <w:caps w:val="0"/>
          <w:color w:val="auto"/>
          <w:spacing w:val="0"/>
          <w:sz w:val="32"/>
          <w:szCs w:val="32"/>
          <w:shd w:val="clear" w:color="auto" w:fill="FFFFFF"/>
          <w:lang w:eastAsia="zh-CN"/>
        </w:rPr>
        <w:t>谋项目抓项目，国债</w:t>
      </w:r>
      <w:r>
        <w:rPr>
          <w:rFonts w:hint="eastAsia" w:ascii="Times New Roman" w:hAnsi="Times New Roman" w:eastAsia="仿宋_GB2312" w:cs="仿宋_GB2312"/>
          <w:b w:val="0"/>
          <w:i w:val="0"/>
          <w:caps w:val="0"/>
          <w:color w:val="auto"/>
          <w:spacing w:val="0"/>
          <w:sz w:val="32"/>
          <w:szCs w:val="32"/>
          <w:shd w:val="clear" w:color="auto" w:fill="FFFFFF"/>
          <w:lang w:val="en-US" w:eastAsia="zh-CN"/>
        </w:rPr>
        <w:t>项目建设稳步</w:t>
      </w:r>
      <w:r>
        <w:rPr>
          <w:rFonts w:hint="eastAsia" w:ascii="Times New Roman" w:hAnsi="Times New Roman" w:eastAsia="仿宋_GB2312" w:cs="仿宋_GB2312"/>
          <w:b w:val="0"/>
          <w:i w:val="0"/>
          <w:caps w:val="0"/>
          <w:color w:val="auto"/>
          <w:spacing w:val="0"/>
          <w:sz w:val="32"/>
          <w:szCs w:val="32"/>
          <w:shd w:val="clear" w:color="auto" w:fill="FFFFFF"/>
          <w:lang w:eastAsia="zh-CN"/>
        </w:rPr>
        <w:t>推进。</w:t>
      </w:r>
      <w:r>
        <w:rPr>
          <w:rFonts w:hint="eastAsia" w:ascii="Times New Roman" w:hAnsi="Times New Roman" w:eastAsia="仿宋_GB2312"/>
          <w:color w:val="auto"/>
          <w:sz w:val="32"/>
          <w:szCs w:val="32"/>
          <w:lang w:val="en-US" w:eastAsia="zh-CN"/>
        </w:rPr>
        <w:t>传染病区及</w:t>
      </w:r>
      <w:r>
        <w:rPr>
          <w:rFonts w:hint="eastAsia" w:ascii="Times New Roman" w:hAnsi="Times New Roman" w:eastAsia="仿宋_GB2312" w:cs="Times New Roman"/>
          <w:bCs/>
          <w:color w:val="auto"/>
          <w:kern w:val="2"/>
          <w:sz w:val="32"/>
          <w:szCs w:val="32"/>
          <w:lang w:val="en-US" w:eastAsia="zh-CN"/>
        </w:rPr>
        <w:t>危急重症能力提升专债项目一期新建4145.13</w:t>
      </w:r>
      <w:r>
        <w:rPr>
          <w:rFonts w:hint="eastAsia" w:ascii="Times New Roman" w:hAnsi="Times New Roman" w:eastAsia="仿宋_GB2312" w:cs="Times New Roman"/>
          <w:bCs/>
          <w:color w:val="auto"/>
          <w:kern w:val="2"/>
          <w:sz w:val="32"/>
          <w:szCs w:val="32"/>
          <w:lang w:val="en-US" w:eastAsia="zh-CN" w:bidi="ar-SA"/>
        </w:rPr>
        <w:t>m</w:t>
      </w:r>
      <w:r>
        <w:rPr>
          <w:rFonts w:hint="eastAsia" w:ascii="Times New Roman" w:hAnsi="Times New Roman" w:eastAsia="仿宋_GB2312" w:cs="Times New Roman"/>
          <w:bCs/>
          <w:color w:val="auto"/>
          <w:kern w:val="2"/>
          <w:sz w:val="32"/>
          <w:szCs w:val="32"/>
          <w:vertAlign w:val="superscript"/>
          <w:lang w:val="en-US" w:eastAsia="zh-CN" w:bidi="ar-SA"/>
        </w:rPr>
        <w:t>2</w:t>
      </w:r>
      <w:r>
        <w:rPr>
          <w:rFonts w:hint="eastAsia" w:ascii="Times New Roman" w:hAnsi="Times New Roman" w:eastAsia="仿宋_GB2312" w:cs="Times New Roman"/>
          <w:bCs/>
          <w:color w:val="auto"/>
          <w:kern w:val="2"/>
          <w:sz w:val="32"/>
          <w:szCs w:val="32"/>
          <w:lang w:val="en-US" w:eastAsia="zh-CN"/>
        </w:rPr>
        <w:t>的发热门诊在确保安全和质量的前提下如期竣工并投入使用。附属工程10KV高压增容供电、中心供氧室及外围通道隔断等零星改造、</w:t>
      </w:r>
      <w:r>
        <w:rPr>
          <w:rFonts w:hint="eastAsia" w:ascii="Times New Roman" w:hAnsi="Times New Roman" w:eastAsia="仿宋_GB2312"/>
          <w:b w:val="0"/>
          <w:bCs w:val="0"/>
          <w:color w:val="auto"/>
          <w:sz w:val="32"/>
          <w:szCs w:val="32"/>
          <w:lang w:val="en-US" w:eastAsia="zh-CN"/>
        </w:rPr>
        <w:t>红线内居民楼化粪池迁建、</w:t>
      </w:r>
      <w:r>
        <w:rPr>
          <w:rFonts w:hint="eastAsia" w:ascii="Times New Roman" w:hAnsi="Times New Roman" w:eastAsia="仿宋_GB2312"/>
          <w:color w:val="auto"/>
          <w:sz w:val="32"/>
          <w:szCs w:val="32"/>
          <w:lang w:val="en-US" w:eastAsia="zh-CN"/>
        </w:rPr>
        <w:t>围墙加固、医废暂存间扩容修缮高标准完成，</w:t>
      </w:r>
      <w:r>
        <w:rPr>
          <w:rFonts w:hint="eastAsia" w:ascii="Times New Roman" w:hAnsi="Times New Roman" w:eastAsia="仿宋_GB2312" w:cs="Times New Roman"/>
          <w:bCs/>
          <w:color w:val="auto"/>
          <w:kern w:val="2"/>
          <w:sz w:val="32"/>
          <w:szCs w:val="32"/>
          <w:lang w:val="en-US" w:eastAsia="zh-CN"/>
        </w:rPr>
        <w:t>满足发热门诊业务需要</w:t>
      </w:r>
      <w:r>
        <w:rPr>
          <w:rFonts w:hint="eastAsia" w:ascii="Times New Roman" w:hAnsi="Times New Roman" w:eastAsia="仿宋_GB2312"/>
          <w:color w:val="auto"/>
          <w:sz w:val="32"/>
          <w:szCs w:val="32"/>
          <w:lang w:val="en-US" w:eastAsia="zh-CN"/>
        </w:rPr>
        <w:t>。</w:t>
      </w:r>
    </w:p>
    <w:p>
      <w:pPr>
        <w:widowControl/>
        <w:spacing w:line="560" w:lineRule="exact"/>
        <w:ind w:firstLine="645"/>
        <w:jc w:val="left"/>
        <w:rPr>
          <w:rFonts w:hint="default" w:ascii="Times New Roman" w:hAnsi="Times New Roman" w:eastAsia="仿宋_GB2312" w:cs="仿宋_GB2312"/>
          <w:b w:val="0"/>
          <w:i w:val="0"/>
          <w:caps w:val="0"/>
          <w:color w:val="auto"/>
          <w:spacing w:val="0"/>
          <w:sz w:val="32"/>
          <w:szCs w:val="32"/>
          <w:shd w:val="clear" w:color="auto" w:fill="FFFFFF"/>
          <w:lang w:val="en-US"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8.</w:t>
      </w:r>
      <w:r>
        <w:rPr>
          <w:rFonts w:hint="eastAsia" w:ascii="Times New Roman" w:hAnsi="Times New Roman" w:eastAsia="仿宋_GB2312" w:cs="仿宋_GB2312"/>
          <w:b w:val="0"/>
          <w:i w:val="0"/>
          <w:caps w:val="0"/>
          <w:color w:val="auto"/>
          <w:spacing w:val="0"/>
          <w:sz w:val="32"/>
          <w:szCs w:val="32"/>
          <w:shd w:val="clear" w:color="auto" w:fill="FFFFFF"/>
          <w:lang w:eastAsia="zh-CN"/>
        </w:rPr>
        <w:t>坚持多措并举，</w:t>
      </w:r>
      <w:r>
        <w:rPr>
          <w:rFonts w:hint="eastAsia" w:ascii="Times New Roman" w:hAnsi="Times New Roman" w:eastAsia="仿宋_GB2312" w:cs="仿宋_GB2312"/>
          <w:b w:val="0"/>
          <w:i w:val="0"/>
          <w:caps w:val="0"/>
          <w:color w:val="auto"/>
          <w:spacing w:val="0"/>
          <w:sz w:val="32"/>
          <w:szCs w:val="32"/>
          <w:shd w:val="clear" w:color="auto" w:fill="FFFFFF"/>
          <w:lang w:val="en-US" w:eastAsia="zh-CN"/>
        </w:rPr>
        <w:t>文明城市创建扎实开展。</w:t>
      </w:r>
      <w:r>
        <w:rPr>
          <w:rFonts w:hint="eastAsia" w:ascii="Times New Roman" w:hAnsi="Times New Roman" w:eastAsia="仿宋_GB2312"/>
          <w:color w:val="auto"/>
          <w:sz w:val="32"/>
          <w:szCs w:val="32"/>
          <w:lang w:val="en-US" w:eastAsia="zh-CN"/>
        </w:rPr>
        <w:t>加强组织领导，健全工作机制，制定了创建迎检工作方案，明确职责，确保了创建工作有序有力开展。</w:t>
      </w:r>
      <w:r>
        <w:rPr>
          <w:rFonts w:hint="eastAsia" w:ascii="Times New Roman" w:hAnsi="Times New Roman" w:eastAsia="仿宋_GB2312" w:cs="Times New Roman"/>
          <w:color w:val="auto"/>
          <w:kern w:val="2"/>
          <w:sz w:val="32"/>
          <w:szCs w:val="32"/>
          <w:lang w:val="en-US" w:eastAsia="zh-CN" w:bidi="ar-SA"/>
        </w:rPr>
        <w:t>大力整治服务行为不规范、仪容仪表差、物品摆放不整齐、车辆乱停乱放、垃圾乱扔、吸烟、卫生</w:t>
      </w:r>
      <w:r>
        <w:rPr>
          <w:rFonts w:hint="eastAsia" w:eastAsia="仿宋_GB2312" w:cs="Times New Roman"/>
          <w:color w:val="auto"/>
          <w:kern w:val="2"/>
          <w:sz w:val="32"/>
          <w:szCs w:val="32"/>
          <w:lang w:val="en-US" w:eastAsia="zh-CN" w:bidi="ar-SA"/>
        </w:rPr>
        <w:t>脏</w:t>
      </w:r>
      <w:r>
        <w:rPr>
          <w:rFonts w:hint="eastAsia" w:ascii="Times New Roman" w:hAnsi="Times New Roman" w:eastAsia="仿宋_GB2312" w:cs="Times New Roman"/>
          <w:color w:val="auto"/>
          <w:kern w:val="2"/>
          <w:sz w:val="32"/>
          <w:szCs w:val="32"/>
          <w:lang w:val="en-US" w:eastAsia="zh-CN" w:bidi="ar-SA"/>
        </w:rPr>
        <w:t>乱差、电线网线零乱等问题。持续开展爱国卫生运动，常态化抓好环境卫生治理和病媒生物防制工作。</w:t>
      </w:r>
    </w:p>
    <w:p>
      <w:pPr>
        <w:widowControl/>
        <w:spacing w:line="560" w:lineRule="exact"/>
        <w:ind w:firstLine="645"/>
        <w:jc w:val="left"/>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cs="仿宋_GB2312"/>
          <w:b w:val="0"/>
          <w:i w:val="0"/>
          <w:caps w:val="0"/>
          <w:color w:val="auto"/>
          <w:spacing w:val="0"/>
          <w:sz w:val="32"/>
          <w:szCs w:val="32"/>
          <w:shd w:val="clear" w:color="auto" w:fill="FFFFFF"/>
          <w:lang w:val="en-US" w:eastAsia="zh-CN"/>
        </w:rPr>
        <w:t>9.措施过硬得力</w:t>
      </w:r>
      <w:r>
        <w:rPr>
          <w:rFonts w:hint="eastAsia" w:ascii="Times New Roman" w:hAnsi="Times New Roman" w:eastAsia="仿宋_GB2312" w:cs="仿宋_GB2312"/>
          <w:b w:val="0"/>
          <w:i w:val="0"/>
          <w:caps w:val="0"/>
          <w:color w:val="auto"/>
          <w:spacing w:val="0"/>
          <w:sz w:val="32"/>
          <w:szCs w:val="32"/>
          <w:shd w:val="clear" w:color="auto" w:fill="FFFFFF"/>
          <w:lang w:eastAsia="zh-CN"/>
        </w:rPr>
        <w:t>，</w:t>
      </w:r>
      <w:r>
        <w:rPr>
          <w:rFonts w:hint="eastAsia" w:ascii="Times New Roman" w:hAnsi="Times New Roman" w:eastAsia="仿宋_GB2312" w:cs="仿宋_GB2312"/>
          <w:b w:val="0"/>
          <w:i w:val="0"/>
          <w:caps w:val="0"/>
          <w:color w:val="auto"/>
          <w:spacing w:val="0"/>
          <w:sz w:val="32"/>
          <w:szCs w:val="32"/>
          <w:shd w:val="clear" w:color="auto" w:fill="FFFFFF"/>
          <w:lang w:val="en-US" w:eastAsia="zh-CN"/>
        </w:rPr>
        <w:t>医院安全和谐稳步运行</w:t>
      </w:r>
      <w:r>
        <w:rPr>
          <w:rFonts w:hint="eastAsia" w:ascii="Times New Roman" w:hAnsi="Times New Roman" w:eastAsia="仿宋_GB2312" w:cs="仿宋_GB2312"/>
          <w:b w:val="0"/>
          <w:i w:val="0"/>
          <w:caps w:val="0"/>
          <w:color w:val="auto"/>
          <w:spacing w:val="0"/>
          <w:sz w:val="32"/>
          <w:szCs w:val="32"/>
          <w:shd w:val="clear" w:color="auto" w:fill="FFFFFF"/>
          <w:lang w:eastAsia="zh-CN"/>
        </w:rPr>
        <w:t>。</w:t>
      </w:r>
      <w:r>
        <w:rPr>
          <w:rFonts w:hint="eastAsia" w:ascii="Times New Roman" w:hAnsi="Times New Roman" w:eastAsia="仿宋_GB2312"/>
          <w:b w:val="0"/>
          <w:bCs w:val="0"/>
          <w:color w:val="auto"/>
          <w:sz w:val="32"/>
          <w:szCs w:val="32"/>
          <w:lang w:eastAsia="zh-CN"/>
        </w:rPr>
        <w:t>签订内保</w:t>
      </w:r>
    </w:p>
    <w:p>
      <w:pPr>
        <w:widowControl/>
        <w:spacing w:line="560" w:lineRule="exact"/>
        <w:jc w:val="left"/>
        <w:rPr>
          <w:rFonts w:hint="eastAsia" w:ascii="Times New Roman" w:hAnsi="Times New Roman" w:eastAsia="仿宋_GB2312"/>
          <w:b w:val="0"/>
          <w:bCs w:val="0"/>
          <w:color w:val="auto"/>
          <w:sz w:val="32"/>
          <w:szCs w:val="32"/>
          <w:lang w:eastAsia="zh-CN"/>
        </w:rPr>
      </w:pPr>
      <w:r>
        <w:rPr>
          <w:rFonts w:hint="eastAsia" w:ascii="Times New Roman" w:hAnsi="Times New Roman" w:eastAsia="仿宋_GB2312"/>
          <w:b w:val="0"/>
          <w:bCs w:val="0"/>
          <w:color w:val="auto"/>
          <w:sz w:val="32"/>
          <w:szCs w:val="32"/>
          <w:lang w:eastAsia="zh-CN"/>
        </w:rPr>
        <w:t>安全和消防安全、网络安全责任书，明确职责要求，强化工作落实，及时传达各级安全生产会议精神，组织学习安全工作法律法规，警钟长鸣，提高防范意识，形成“人人讲安全，事事为安全，时时想安全，处处要安全”的浓厚氛围，筑牢安全思想底线。坚持日巡查，周检查，月大排查制度，重点加强了配电房、用电线路、中央空调、制氧机房、压力容器、电梯、消防设施、项目工地、食堂、生活区巡查检查，消除隐患，确保安全。</w:t>
      </w:r>
    </w:p>
    <w:p>
      <w:pPr>
        <w:widowControl/>
        <w:numPr>
          <w:ilvl w:val="0"/>
          <w:numId w:val="4"/>
        </w:numPr>
        <w:spacing w:line="560" w:lineRule="exact"/>
        <w:ind w:left="0" w:leftChars="0" w:firstLine="643" w:firstLineChars="200"/>
        <w:jc w:val="left"/>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部门整体支出绩效目标</w:t>
      </w:r>
    </w:p>
    <w:p>
      <w:pPr>
        <w:pStyle w:val="2"/>
        <w:ind w:firstLine="640" w:firstLineChars="200"/>
        <w:rPr>
          <w:rFonts w:hint="eastAsia" w:ascii="Times New Roman" w:hAnsi="Times New Roman" w:eastAsia="仿宋_GB2312" w:cs="Times New Roman"/>
          <w:b w:val="0"/>
          <w:bCs w:val="0"/>
          <w:color w:val="auto"/>
          <w:kern w:val="2"/>
          <w:sz w:val="32"/>
          <w:szCs w:val="32"/>
          <w:lang w:val="zh-CN" w:eastAsia="zh-CN" w:bidi="ar-SA"/>
        </w:rPr>
      </w:pPr>
      <w:r>
        <w:rPr>
          <w:rFonts w:hint="eastAsia" w:ascii="Times New Roman" w:hAnsi="Times New Roman" w:eastAsia="仿宋_GB2312" w:cs="Times New Roman"/>
          <w:b w:val="0"/>
          <w:bCs w:val="0"/>
          <w:color w:val="auto"/>
          <w:kern w:val="2"/>
          <w:sz w:val="32"/>
          <w:szCs w:val="32"/>
          <w:lang w:val="zh-CN" w:eastAsia="zh-CN" w:bidi="ar-SA"/>
        </w:rPr>
        <w:t>完成对医院在编职工128人工资福利50%补助的发放，保障在编职工工资及各项保险缴纳；发放参与新冠疫情防控的发热病人检测、院感防控、隔离点值守、下乡疫苗接种保障等公共卫生岗位服务人员补助，防控疫情传染，保护人民群众生命健康安全；化解因“二级甲等”综合医院创建和修建外科综合住院大楼形成的银行贷款2755万元本息，减轻医院债务压力，保障医院正常运转； 争取传染病区建设（ 第二期）项目，提升医院应对传染病及公共卫生事件能力，促进医院高质量发展，提升医院服务能力和水平，为人民群众提供更好的医疗卫生服务。</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hAnsi="Times New Roman" w:eastAsia="黑体" w:cs="宋体"/>
          <w:color w:val="auto"/>
          <w:kern w:val="0"/>
          <w:sz w:val="32"/>
          <w:szCs w:val="32"/>
          <w:highlight w:val="none"/>
          <w:shd w:val="clear" w:color="auto" w:fill="FFFFFF"/>
        </w:rPr>
      </w:pPr>
      <w:r>
        <w:rPr>
          <w:rFonts w:hint="eastAsia" w:ascii="Times New Roman" w:hAnsi="Times New Roman" w:eastAsia="黑体" w:cs="宋体"/>
          <w:color w:val="auto"/>
          <w:kern w:val="0"/>
          <w:sz w:val="32"/>
          <w:szCs w:val="32"/>
          <w:highlight w:val="none"/>
          <w:shd w:val="clear" w:color="auto" w:fill="FFFFFF"/>
          <w:lang w:eastAsia="zh-CN"/>
        </w:rPr>
        <w:t>部门</w:t>
      </w:r>
      <w:r>
        <w:rPr>
          <w:rFonts w:hint="eastAsia" w:ascii="Times New Roman" w:hAnsi="Times New Roman" w:eastAsia="黑体" w:cs="宋体"/>
          <w:color w:val="auto"/>
          <w:kern w:val="0"/>
          <w:sz w:val="32"/>
          <w:szCs w:val="32"/>
          <w:highlight w:val="none"/>
          <w:shd w:val="clear" w:color="auto" w:fill="FFFFFF"/>
        </w:rPr>
        <w:t>资金收支情况</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321" w:firstLineChars="1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部门总体收支情况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atLeast"/>
        <w:ind w:firstLine="640" w:firstLineChars="200"/>
        <w:textAlignment w:val="auto"/>
        <w:rPr>
          <w:rFonts w:hint="eastAsia" w:ascii="Times New Roman" w:hAnsi="Times New Roman" w:cs="仿宋_GB2312"/>
          <w:b w:val="0"/>
          <w:bCs w:val="0"/>
          <w:color w:val="auto"/>
          <w:kern w:val="0"/>
          <w:sz w:val="32"/>
          <w:szCs w:val="32"/>
          <w:highlight w:val="none"/>
          <w:shd w:val="clear" w:color="auto" w:fill="FFFFFF"/>
          <w:lang w:val="en-US" w:eastAsia="zh-CN"/>
        </w:rPr>
      </w:pPr>
      <w:r>
        <w:rPr>
          <w:rFonts w:hint="eastAsia" w:ascii="Times New Roman" w:hAnsi="Times New Roman" w:cs="仿宋_GB2312"/>
          <w:b w:val="0"/>
          <w:bCs w:val="0"/>
          <w:color w:val="auto"/>
          <w:kern w:val="0"/>
          <w:sz w:val="32"/>
          <w:szCs w:val="32"/>
          <w:highlight w:val="none"/>
          <w:shd w:val="clear" w:color="auto" w:fill="FFFFFF"/>
          <w:lang w:val="en-US" w:eastAsia="zh-CN"/>
        </w:rPr>
        <w:t>1.部门总体收入情况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atLeast"/>
        <w:ind w:firstLine="640" w:firstLineChars="200"/>
        <w:textAlignment w:val="auto"/>
        <w:rPr>
          <w:rFonts w:hint="eastAsia" w:ascii="Times New Roman" w:hAnsi="Times New Roman" w:cs="仿宋_GB2312"/>
          <w:b w:val="0"/>
          <w:bCs w:val="0"/>
          <w:color w:val="auto"/>
          <w:kern w:val="0"/>
          <w:sz w:val="32"/>
          <w:szCs w:val="32"/>
          <w:highlight w:val="none"/>
          <w:shd w:val="clear" w:color="auto" w:fill="FFFFFF"/>
          <w:lang w:val="en-US" w:eastAsia="zh-CN"/>
        </w:rPr>
      </w:pPr>
      <w:r>
        <w:rPr>
          <w:rFonts w:hint="eastAsia" w:ascii="Times New Roman" w:hAnsi="Times New Roman" w:cs="仿宋_GB2312"/>
          <w:b w:val="0"/>
          <w:bCs w:val="0"/>
          <w:color w:val="auto"/>
          <w:kern w:val="0"/>
          <w:sz w:val="32"/>
          <w:szCs w:val="32"/>
          <w:highlight w:val="none"/>
          <w:shd w:val="clear" w:color="auto" w:fill="FFFFFF"/>
          <w:lang w:val="en-US" w:eastAsia="zh-CN"/>
        </w:rPr>
        <w:t>区人民医院2022年总收入6779.11万元。其中，财政拨款收入1185.04万元、事业收入4112.35万元、上级补助收入1188.13万元、利息收入3.95万元、其他收入289.64万元。</w:t>
      </w:r>
    </w:p>
    <w:p>
      <w:pPr>
        <w:pStyle w:val="2"/>
        <w:numPr>
          <w:ilvl w:val="0"/>
          <w:numId w:val="0"/>
        </w:numPr>
        <w:ind w:firstLine="640" w:firstLineChars="200"/>
        <w:rPr>
          <w:rFonts w:hint="eastAsia" w:ascii="Times New Roman" w:hAnsi="Times New Roman" w:cs="仿宋_GB2312"/>
          <w:b w:val="0"/>
          <w:bCs w:val="0"/>
          <w:color w:val="auto"/>
          <w:kern w:val="0"/>
          <w:sz w:val="32"/>
          <w:szCs w:val="32"/>
          <w:highlight w:val="none"/>
          <w:shd w:val="clear" w:color="auto" w:fill="FFFFFF"/>
          <w:lang w:val="en-US" w:eastAsia="zh-CN"/>
        </w:rPr>
      </w:pPr>
      <w:r>
        <w:rPr>
          <w:rFonts w:hint="eastAsia" w:ascii="Times New Roman" w:hAnsi="Times New Roman" w:cs="仿宋_GB2312"/>
          <w:b w:val="0"/>
          <w:bCs w:val="0"/>
          <w:color w:val="auto"/>
          <w:kern w:val="0"/>
          <w:sz w:val="32"/>
          <w:szCs w:val="32"/>
          <w:highlight w:val="none"/>
          <w:shd w:val="clear" w:color="auto" w:fill="FFFFFF"/>
          <w:lang w:val="en-US" w:eastAsia="zh-CN"/>
        </w:rPr>
        <w:t>2.部门总体支出情况</w:t>
      </w:r>
    </w:p>
    <w:p>
      <w:pPr>
        <w:pStyle w:val="2"/>
        <w:numPr>
          <w:ilvl w:val="0"/>
          <w:numId w:val="0"/>
        </w:numPr>
        <w:ind w:firstLine="640" w:firstLineChars="200"/>
        <w:rPr>
          <w:rFonts w:hint="eastAsia" w:ascii="Times New Roman" w:hAnsi="Times New Roman" w:cs="仿宋_GB2312"/>
          <w:b w:val="0"/>
          <w:bCs w:val="0"/>
          <w:color w:val="auto"/>
          <w:kern w:val="0"/>
          <w:sz w:val="32"/>
          <w:szCs w:val="32"/>
          <w:highlight w:val="none"/>
          <w:shd w:val="clear" w:color="auto" w:fill="FFFFFF"/>
          <w:lang w:val="en-US" w:eastAsia="zh-CN"/>
        </w:rPr>
      </w:pPr>
      <w:r>
        <w:rPr>
          <w:rFonts w:hint="eastAsia" w:ascii="Times New Roman" w:hAnsi="Times New Roman" w:cs="仿宋_GB2312"/>
          <w:b w:val="0"/>
          <w:bCs w:val="0"/>
          <w:color w:val="auto"/>
          <w:kern w:val="0"/>
          <w:sz w:val="32"/>
          <w:szCs w:val="32"/>
          <w:highlight w:val="none"/>
          <w:shd w:val="clear" w:color="auto" w:fill="FFFFFF"/>
          <w:lang w:val="en-US" w:eastAsia="zh-CN"/>
        </w:rPr>
        <w:t>区人民医院2022年总支出8246.50万元。其中，业务活动费用6596.4万元、单位管理费用1492.03万元、其他费用158.07万元。</w:t>
      </w:r>
    </w:p>
    <w:p>
      <w:pPr>
        <w:pStyle w:val="2"/>
        <w:numPr>
          <w:ilvl w:val="0"/>
          <w:numId w:val="0"/>
        </w:numPr>
        <w:ind w:firstLine="640" w:firstLineChars="200"/>
        <w:rPr>
          <w:rFonts w:hint="eastAsia" w:ascii="Times New Roman" w:hAnsi="Times New Roman" w:cs="仿宋_GB2312"/>
          <w:b w:val="0"/>
          <w:bCs w:val="0"/>
          <w:color w:val="auto"/>
          <w:kern w:val="0"/>
          <w:sz w:val="32"/>
          <w:szCs w:val="32"/>
          <w:highlight w:val="none"/>
          <w:shd w:val="clear" w:color="auto" w:fill="FFFFFF"/>
          <w:lang w:val="en-US" w:eastAsia="zh-CN"/>
        </w:rPr>
      </w:pPr>
      <w:r>
        <w:rPr>
          <w:rFonts w:hint="eastAsia" w:ascii="Times New Roman" w:hAnsi="Times New Roman" w:cs="仿宋_GB2312"/>
          <w:b w:val="0"/>
          <w:bCs w:val="0"/>
          <w:color w:val="auto"/>
          <w:kern w:val="0"/>
          <w:sz w:val="32"/>
          <w:szCs w:val="32"/>
          <w:highlight w:val="none"/>
          <w:shd w:val="clear" w:color="auto" w:fill="FFFFFF"/>
          <w:lang w:val="en-US" w:eastAsia="zh-CN"/>
        </w:rPr>
        <w:t>3.</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部门总体结转结余情况</w:t>
      </w:r>
    </w:p>
    <w:p>
      <w:pPr>
        <w:pStyle w:val="2"/>
        <w:numPr>
          <w:ilvl w:val="0"/>
          <w:numId w:val="0"/>
        </w:numPr>
        <w:ind w:firstLine="640" w:firstLineChars="200"/>
        <w:rPr>
          <w:rFonts w:hint="eastAsia" w:ascii="Times New Roman" w:hAnsi="Times New Roman" w:cs="仿宋_GB2312"/>
          <w:b w:val="0"/>
          <w:bCs w:val="0"/>
          <w:color w:val="auto"/>
          <w:kern w:val="0"/>
          <w:sz w:val="32"/>
          <w:szCs w:val="32"/>
          <w:highlight w:val="none"/>
          <w:shd w:val="clear" w:color="auto" w:fill="FFFFFF"/>
          <w:lang w:val="en-US" w:eastAsia="zh-CN"/>
        </w:rPr>
      </w:pPr>
      <w:r>
        <w:rPr>
          <w:rFonts w:hint="eastAsia" w:ascii="Times New Roman" w:hAnsi="Times New Roman" w:cs="仿宋_GB2312"/>
          <w:b w:val="0"/>
          <w:bCs w:val="0"/>
          <w:color w:val="auto"/>
          <w:kern w:val="0"/>
          <w:sz w:val="32"/>
          <w:szCs w:val="32"/>
          <w:highlight w:val="none"/>
          <w:shd w:val="clear" w:color="auto" w:fill="FFFFFF"/>
          <w:lang w:val="en-US" w:eastAsia="zh-CN"/>
        </w:rPr>
        <w:t>区人民医院2022年结余为-1467.39万元。</w:t>
      </w:r>
    </w:p>
    <w:p>
      <w:pPr>
        <w:keepNext w:val="0"/>
        <w:keepLines w:val="0"/>
        <w:pageBreakBefore w:val="0"/>
        <w:widowControl/>
        <w:kinsoku/>
        <w:wordWrap/>
        <w:overflowPunct/>
        <w:topLinePunct w:val="0"/>
        <w:autoSpaceDE/>
        <w:autoSpaceDN/>
        <w:bidi w:val="0"/>
        <w:adjustRightInd w:val="0"/>
        <w:snapToGrid w:val="0"/>
        <w:spacing w:line="560" w:lineRule="exact"/>
        <w:ind w:firstLine="321" w:firstLineChars="100"/>
        <w:contextualSpacing/>
        <w:jc w:val="left"/>
        <w:textAlignment w:val="auto"/>
        <w:rPr>
          <w:rFonts w:hint="default" w:ascii="Times New Roman" w:hAnsi="Times New Roman" w:cs="仿宋_GB2312"/>
          <w:b w:val="0"/>
          <w:bCs w:val="0"/>
          <w:color w:val="auto"/>
          <w:kern w:val="0"/>
          <w:sz w:val="32"/>
          <w:szCs w:val="32"/>
          <w:highlight w:val="none"/>
          <w:shd w:val="clear" w:color="auto" w:fill="FFFFFF"/>
          <w:lang w:val="en-US" w:eastAsia="zh-CN"/>
        </w:rPr>
      </w:pPr>
      <w:r>
        <w:rPr>
          <w:rFonts w:hint="eastAsia" w:ascii="Times New Roman" w:hAnsi="Times New Roman" w:eastAsia="楷体_GB2312" w:cs="楷体_GB2312"/>
          <w:b/>
          <w:bCs/>
          <w:color w:val="auto"/>
          <w:kern w:val="0"/>
          <w:sz w:val="32"/>
          <w:szCs w:val="32"/>
          <w:highlight w:val="none"/>
          <w:shd w:val="clear" w:color="auto" w:fill="FFFFFF"/>
          <w:lang w:val="zh-CN"/>
        </w:rPr>
        <w:t>（二）部门财政拨款收支情况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1.</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部门财政拨款收入情况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default"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区人民医院2022年财政拨款收入预算1268.49万元，其中：一般公共预算财政拨款收入1268.49万元，占100%。实际财政拨款收入总计1185.04万元，其中年初预算化债资金360万元实际到位180万元，2022年争取项目资金工作经费5万元未拨付（每年都未使用），追加人员保险资金53.05万元，追加发热门诊出入口改造项目资金（预算指标下给区卫健局）48.5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2.</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部门财政拨款支出情况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pP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区人民医院2022年财政拨款支出总计1185.04万元，其中基本支出856.54万元，占72.28%；项目支出328.5万元，占27.72%。</w:t>
      </w:r>
    </w:p>
    <w:p>
      <w:pPr>
        <w:pStyle w:val="2"/>
        <w:ind w:firstLine="640"/>
        <w:rPr>
          <w:rFonts w:hint="eastAsia" w:ascii="Times New Roman" w:hAnsi="Times New Roman" w:cs="仿宋_GB2312"/>
          <w:b w:val="0"/>
          <w:bCs w:val="0"/>
          <w:color w:val="auto"/>
          <w:kern w:val="0"/>
          <w:sz w:val="32"/>
          <w:szCs w:val="32"/>
          <w:highlight w:val="none"/>
          <w:shd w:val="clear" w:color="auto" w:fill="FFFFFF"/>
          <w:lang w:val="en-US" w:eastAsia="zh-CN" w:bidi="ar-SA"/>
        </w:rPr>
      </w:pPr>
      <w:r>
        <w:rPr>
          <w:rFonts w:hint="eastAsia" w:ascii="Times New Roman" w:hAnsi="Times New Roman" w:cs="仿宋_GB2312"/>
          <w:b w:val="0"/>
          <w:bCs w:val="0"/>
          <w:color w:val="auto"/>
          <w:kern w:val="0"/>
          <w:sz w:val="32"/>
          <w:szCs w:val="32"/>
          <w:highlight w:val="none"/>
          <w:shd w:val="clear" w:color="auto" w:fill="FFFFFF"/>
          <w:lang w:val="en-US" w:eastAsia="zh-CN" w:bidi="ar-SA"/>
        </w:rPr>
        <w:t>3.</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rPr>
        <w:t>部门财政拨款结转结余情况</w:t>
      </w:r>
    </w:p>
    <w:p>
      <w:pPr>
        <w:pStyle w:val="2"/>
        <w:ind w:firstLine="640"/>
        <w:rPr>
          <w:rFonts w:hint="default" w:ascii="Times New Roman" w:hAnsi="Times New Roman"/>
          <w:color w:val="auto"/>
          <w:lang w:val="en-US" w:eastAsia="zh-CN"/>
        </w:rPr>
      </w:pPr>
      <w:r>
        <w:rPr>
          <w:rFonts w:hint="eastAsia" w:ascii="Times New Roman" w:hAnsi="Times New Roman" w:cs="仿宋_GB2312"/>
          <w:b w:val="0"/>
          <w:bCs w:val="0"/>
          <w:color w:val="auto"/>
          <w:kern w:val="0"/>
          <w:sz w:val="32"/>
          <w:szCs w:val="32"/>
          <w:highlight w:val="none"/>
          <w:shd w:val="clear" w:color="auto" w:fill="FFFFFF"/>
          <w:lang w:val="en-US" w:eastAsia="zh-CN" w:bidi="ar-SA"/>
        </w:rPr>
        <w:t>区人民医院2022年财政拨款结转结余资金为180万元（</w:t>
      </w:r>
      <w:r>
        <w:rPr>
          <w:rFonts w:hint="eastAsia" w:ascii="Times New Roman" w:hAnsi="Times New Roman" w:eastAsia="仿宋_GB2312" w:cs="仿宋_GB2312"/>
          <w:b w:val="0"/>
          <w:bCs w:val="0"/>
          <w:color w:val="auto"/>
          <w:kern w:val="0"/>
          <w:sz w:val="32"/>
          <w:szCs w:val="32"/>
          <w:highlight w:val="none"/>
          <w:shd w:val="clear" w:color="auto" w:fill="FFFFFF"/>
          <w:lang w:val="en-US" w:eastAsia="zh-CN" w:bidi="ar-SA"/>
        </w:rPr>
        <w:t>年初预算化债资金360万元实际到位180万元</w:t>
      </w:r>
      <w:r>
        <w:rPr>
          <w:rFonts w:hint="eastAsia" w:ascii="Times New Roman" w:hAnsi="Times New Roman" w:cs="仿宋_GB2312"/>
          <w:b w:val="0"/>
          <w:bCs w:val="0"/>
          <w:color w:val="auto"/>
          <w:kern w:val="0"/>
          <w:sz w:val="32"/>
          <w:szCs w:val="32"/>
          <w:highlight w:val="none"/>
          <w:shd w:val="clear" w:color="auto" w:fill="FFFFFF"/>
          <w:lang w:val="en-US" w:eastAsia="zh-CN"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黑体" w:cs="宋体"/>
          <w:color w:val="auto"/>
          <w:kern w:val="0"/>
          <w:sz w:val="32"/>
          <w:szCs w:val="32"/>
          <w:highlight w:val="none"/>
          <w:u w:val="none"/>
          <w:shd w:val="clear" w:color="auto" w:fill="FFFFFF"/>
          <w:lang w:eastAsia="zh-CN"/>
        </w:rPr>
      </w:pPr>
      <w:r>
        <w:rPr>
          <w:rFonts w:hint="eastAsia" w:ascii="Times New Roman" w:hAnsi="Times New Roman" w:eastAsia="黑体" w:cs="宋体"/>
          <w:color w:val="auto"/>
          <w:kern w:val="0"/>
          <w:sz w:val="32"/>
          <w:szCs w:val="32"/>
          <w:highlight w:val="none"/>
          <w:u w:val="none"/>
          <w:shd w:val="clear" w:color="auto" w:fill="FFFFFF"/>
        </w:rPr>
        <w:t>部门整体绩效</w:t>
      </w:r>
      <w:r>
        <w:rPr>
          <w:rFonts w:hint="eastAsia" w:ascii="Times New Roman" w:hAnsi="Times New Roman" w:eastAsia="黑体" w:cs="宋体"/>
          <w:color w:val="auto"/>
          <w:kern w:val="0"/>
          <w:sz w:val="32"/>
          <w:szCs w:val="32"/>
          <w:highlight w:val="none"/>
          <w:u w:val="none"/>
          <w:shd w:val="clear" w:color="auto" w:fill="FFFFFF"/>
          <w:lang w:eastAsia="zh-CN"/>
        </w:rPr>
        <w:t>分析</w:t>
      </w:r>
    </w:p>
    <w:p>
      <w:pPr>
        <w:pStyle w:val="2"/>
        <w:numPr>
          <w:ilvl w:val="0"/>
          <w:numId w:val="7"/>
        </w:numPr>
        <w:ind w:firstLine="321" w:firstLineChars="100"/>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部门预算项目绩效分析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区人民医院为广元市昭化区卫生健康局下属财政差</w:t>
      </w:r>
      <w:r>
        <w:rPr>
          <w:rFonts w:hint="eastAsia" w:ascii="Times New Roman" w:cs="Times New Roman"/>
          <w:color w:val="auto"/>
          <w:kern w:val="2"/>
          <w:sz w:val="32"/>
          <w:szCs w:val="32"/>
          <w:lang w:val="en-US" w:eastAsia="zh-CN" w:bidi="ar-SA"/>
        </w:rPr>
        <w:t>额拨</w:t>
      </w:r>
      <w:r>
        <w:rPr>
          <w:rFonts w:hint="eastAsia" w:ascii="Times New Roman" w:hAnsi="Times New Roman" w:eastAsia="仿宋_GB2312" w:cs="Times New Roman"/>
          <w:color w:val="auto"/>
          <w:kern w:val="2"/>
          <w:sz w:val="32"/>
          <w:szCs w:val="32"/>
          <w:lang w:val="en-US" w:eastAsia="zh-CN" w:bidi="ar-SA"/>
        </w:rPr>
        <w:t>款公益二类事业单位，财政预算为人员经费预算和项目预算组成，无“三公经费”预算。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cs="Times New Roman"/>
          <w:color w:val="auto"/>
          <w:kern w:val="2"/>
          <w:sz w:val="32"/>
          <w:szCs w:val="32"/>
          <w:lang w:val="en-US" w:eastAsia="zh-CN" w:bidi="ar-SA"/>
        </w:rPr>
        <w:t>1.</w:t>
      </w:r>
      <w:r>
        <w:rPr>
          <w:rFonts w:hint="eastAsia" w:ascii="Times New Roman" w:hAnsi="Times New Roman" w:eastAsia="仿宋_GB2312" w:cs="Times New Roman"/>
          <w:color w:val="auto"/>
          <w:kern w:val="2"/>
          <w:sz w:val="32"/>
          <w:szCs w:val="32"/>
          <w:lang w:val="en-US" w:eastAsia="zh-CN" w:bidi="ar-SA"/>
        </w:rPr>
        <w:t>人员类</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0"/>
          <w:sz w:val="32"/>
          <w:szCs w:val="32"/>
          <w:lang w:val="en-US" w:eastAsia="zh-CN" w:bidi="ar-SA"/>
        </w:rPr>
        <w:t>完成对医院在编职工128人工资福利50%补助的发放，保障在编职工工资及各项保险缴纳；发放参与新冠疫情防控的发热病人检测、院感防控、隔离点值守、下乡疫苗接种保障等公共卫生岗位服务人员补助，防控疫情传染，保护人民群众生命健康安全。根据工资标准进行人员经费预算，从而保证人员经费的刚性预算，执行中涉及人员变动情况纳入调整预算。预算执行过程中对人员经费严格按照工资标准和五险一金政策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w:t>
      </w:r>
      <w:r>
        <w:rPr>
          <w:rFonts w:hint="eastAsia" w:ascii="Times New Roman" w:hAnsi="Times New Roman" w:cs="Times New Roman"/>
          <w:color w:val="auto"/>
          <w:kern w:val="2"/>
          <w:sz w:val="32"/>
          <w:szCs w:val="32"/>
          <w:lang w:val="en-US" w:eastAsia="zh-CN" w:bidi="ar-SA"/>
        </w:rPr>
        <w:t>项目</w:t>
      </w:r>
      <w:r>
        <w:rPr>
          <w:rFonts w:hint="eastAsia" w:ascii="Times New Roman" w:hAnsi="Times New Roman" w:eastAsia="仿宋_GB2312" w:cs="Times New Roman"/>
          <w:color w:val="auto"/>
          <w:kern w:val="2"/>
          <w:sz w:val="32"/>
          <w:szCs w:val="32"/>
          <w:lang w:val="en-US" w:eastAsia="zh-CN" w:bidi="ar-SA"/>
        </w:rPr>
        <w:t>类。2022年</w:t>
      </w:r>
      <w:r>
        <w:rPr>
          <w:rFonts w:hint="eastAsia" w:ascii="Times New Roman" w:hAnsi="Times New Roman" w:cs="Times New Roman"/>
          <w:color w:val="auto"/>
          <w:kern w:val="2"/>
          <w:sz w:val="32"/>
          <w:szCs w:val="32"/>
          <w:lang w:val="en-US" w:eastAsia="zh-CN" w:bidi="ar-SA"/>
        </w:rPr>
        <w:t>预算</w:t>
      </w:r>
      <w:r>
        <w:rPr>
          <w:rFonts w:hint="eastAsia" w:ascii="Times New Roman" w:hAnsi="Times New Roman" w:eastAsia="仿宋_GB2312" w:cs="Times New Roman"/>
          <w:color w:val="auto"/>
          <w:kern w:val="2"/>
          <w:sz w:val="32"/>
          <w:szCs w:val="32"/>
          <w:lang w:val="en-US" w:eastAsia="zh-CN" w:bidi="ar-SA"/>
        </w:rPr>
        <w:t>项目共计3个，预算金额在30万元以上的2个（区本级预算的区人民医院债务化解、公共卫生岗位人员经费）。一是2022年区人民医院债务化解年初预算360万元，实际支出180万元，完成预算的50%，原因是该项预算实际到位180万元，资金到位率50%，剩余财政未支付的180万元作为结余资金结转到2023年。二是2022年公共卫生岗位人员经费年初预算100万元，实际支出100万元，完成预算的100%。</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321" w:firstLineChars="1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（二）部门整体履职绩效分析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根据预算绩效管理相关要求，我院全面实施了预算项目绩效目标管理，一是落实组织保障，由单位主要领导负总责，分管财务工作的副院长亲自管理，财务和项目部门人员具体落实工作。二是我院严格实行政府会议纪要内容，按照与银行签订协议组织实施项目。三是及时修正绩效目标，在预算执行过程中加强了绩效运行监控，对执行中存在偏差的项目进行了原因分析和及时整改，确保达到年初绩效目标。项目结束后积极进行绩效评价，强化了结果运用。</w:t>
      </w:r>
    </w:p>
    <w:p>
      <w:pPr>
        <w:keepNext w:val="0"/>
        <w:keepLines w:val="0"/>
        <w:pageBreakBefore w:val="0"/>
        <w:widowControl/>
        <w:kinsoku/>
        <w:wordWrap/>
        <w:overflowPunct/>
        <w:topLinePunct w:val="0"/>
        <w:autoSpaceDE/>
        <w:autoSpaceDN/>
        <w:bidi w:val="0"/>
        <w:adjustRightInd w:val="0"/>
        <w:snapToGrid w:val="0"/>
        <w:spacing w:line="560" w:lineRule="exact"/>
        <w:ind w:firstLine="321" w:firstLineChars="1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1.资金执行情况。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区人民医院按照区委、区政府整体部署，坚持为人民群众提供更好的医疗卫生服务的宗旨，每年将财经纪律学习纳入党总支会、以及全院干部职工大会，不断增强理性理财、科学理财、规范理财的责任意识。结合自身工作基本职能，严格按照绩效管理工作要求，规范、合理、科学编制了部门预算，2022年区人民医院财政支出总计1185.04万元，其中基本支出856.54万元，为我院人员经费，通过完成对医院在编职工128人工资福利财政补助（50%）部分的发放，保障在编职工工资及各项保险、住房公积金缴纳。项目支出328.5万元，其中2022年区人民医院债务化解资金实际支出180万元、2022年公共卫生岗位人员经费支出100万元、发热门诊出入口改造项目资金（预算指标下给区卫健局）支出48.5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2.绩效公开措施。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通过绩效评价，我院进一步掌握了项目经费使用情况和取得的效果，总结了项目资金管理经验，为下一年提高项目资金的使用效益，加强财政支出的规范管理、健全、完善支出项目和资金使用管理办法、完善预算编制和加强绩效目标管理等工作提供重要的参考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绩效自评报告完成后将依法在广元市昭化区人民政府信息公开门户网站及时公开，接受社会监督。</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rPr>
        <w:t>自评质量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我院严格整合资金，依据财政预算债务化解资金及医院自筹资金偿还农行债务。正视和克服疫情后、新时期“深水区”综合医改以及省市行业治理带来的多重影响和压力，恪守“蹄疾步稳”总基调，树牢“腾笼换鸟”总定位，咬定增收节支总目标，鼓士气，推改革，激活力，倾力推动诊疗拓展和业务发展使2022年预算整体支出绩效目标实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黑体" w:cs="宋体"/>
          <w:color w:val="auto"/>
          <w:kern w:val="0"/>
          <w:sz w:val="32"/>
          <w:szCs w:val="32"/>
          <w:highlight w:val="none"/>
          <w:shd w:val="clear" w:color="auto" w:fill="FFFFFF"/>
        </w:rPr>
      </w:pPr>
      <w:r>
        <w:rPr>
          <w:rFonts w:hint="eastAsia" w:ascii="Times New Roman" w:hAnsi="Times New Roman" w:eastAsia="黑体" w:cs="宋体"/>
          <w:color w:val="auto"/>
          <w:kern w:val="0"/>
          <w:sz w:val="32"/>
          <w:szCs w:val="32"/>
          <w:highlight w:val="none"/>
          <w:shd w:val="clear" w:color="auto" w:fill="FFFFFF"/>
          <w:lang w:val="en-US" w:eastAsia="zh-CN"/>
        </w:rPr>
        <w:t>四</w:t>
      </w:r>
      <w:r>
        <w:rPr>
          <w:rFonts w:hint="default" w:ascii="Times New Roman" w:hAnsi="Times New Roman" w:eastAsia="黑体" w:cs="宋体"/>
          <w:color w:val="auto"/>
          <w:kern w:val="0"/>
          <w:sz w:val="32"/>
          <w:szCs w:val="32"/>
          <w:highlight w:val="none"/>
          <w:shd w:val="clear" w:color="auto" w:fill="FFFFFF"/>
        </w:rPr>
        <w:t>、评价结论及建议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楷体_GB2312" w:cs="楷体_GB2312"/>
          <w:b/>
          <w:bCs/>
          <w:color w:val="auto"/>
          <w:kern w:val="0"/>
          <w:sz w:val="32"/>
          <w:szCs w:val="32"/>
          <w:highlight w:val="none"/>
          <w:shd w:val="clear" w:color="auto" w:fill="FFFFFF"/>
          <w:lang w:val="zh-CN"/>
        </w:rPr>
      </w:pPr>
      <w:r>
        <w:rPr>
          <w:rFonts w:hint="default" w:ascii="Times New Roman" w:hAnsi="Times New Roman" w:eastAsia="楷体_GB2312" w:cs="楷体_GB2312"/>
          <w:b/>
          <w:bCs/>
          <w:color w:val="auto"/>
          <w:kern w:val="0"/>
          <w:sz w:val="32"/>
          <w:szCs w:val="32"/>
          <w:highlight w:val="none"/>
          <w:shd w:val="clear" w:color="auto" w:fill="FFFFFF"/>
          <w:lang w:val="zh-CN"/>
        </w:rPr>
        <w:t>（一）</w:t>
      </w:r>
      <w:r>
        <w:rPr>
          <w:rFonts w:hint="eastAsia" w:ascii="Times New Roman" w:hAnsi="Times New Roman" w:eastAsia="楷体_GB2312" w:cs="楷体_GB2312"/>
          <w:b/>
          <w:bCs/>
          <w:color w:val="auto"/>
          <w:kern w:val="0"/>
          <w:sz w:val="32"/>
          <w:szCs w:val="32"/>
          <w:highlight w:val="none"/>
          <w:shd w:val="clear" w:color="auto" w:fill="FFFFFF"/>
          <w:lang w:val="en-US" w:eastAsia="zh-CN"/>
        </w:rPr>
        <w:t>评价</w:t>
      </w:r>
      <w:r>
        <w:rPr>
          <w:rFonts w:hint="default" w:ascii="Times New Roman" w:hAnsi="Times New Roman" w:eastAsia="楷体_GB2312" w:cs="楷体_GB2312"/>
          <w:b/>
          <w:bCs/>
          <w:color w:val="auto"/>
          <w:kern w:val="0"/>
          <w:sz w:val="32"/>
          <w:szCs w:val="32"/>
          <w:highlight w:val="none"/>
          <w:shd w:val="clear" w:color="auto" w:fill="FFFFFF"/>
          <w:lang w:val="zh-CN"/>
        </w:rPr>
        <w:t xml:space="preserve">结论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根据《广元市昭化区人民政府办公室关于印发&lt;广元市昭化区财政预算绩效管理办法&gt;的通知》（昭府办函</w:t>
      </w:r>
      <w:r>
        <w:rPr>
          <w:rFonts w:hint="default" w:ascii="Times New Roman" w:hAnsi="Times New Roman" w:eastAsia="仿宋_GB2312" w:cs="仿宋_GB2312"/>
          <w:b w:val="0"/>
          <w:bCs w:val="0"/>
          <w:color w:val="auto"/>
          <w:kern w:val="0"/>
          <w:sz w:val="32"/>
          <w:szCs w:val="32"/>
          <w:lang w:val="en-US" w:eastAsia="zh-CN" w:bidi="ar-SA"/>
        </w:rPr>
        <w:t>〔20</w:t>
      </w:r>
      <w:r>
        <w:rPr>
          <w:rFonts w:hint="eastAsia" w:ascii="Times New Roman" w:hAnsi="Times New Roman" w:eastAsia="仿宋_GB2312" w:cs="仿宋_GB2312"/>
          <w:b w:val="0"/>
          <w:bCs w:val="0"/>
          <w:color w:val="auto"/>
          <w:kern w:val="0"/>
          <w:sz w:val="32"/>
          <w:szCs w:val="32"/>
          <w:lang w:val="en-US" w:eastAsia="zh-CN" w:bidi="ar-SA"/>
        </w:rPr>
        <w:t>22</w:t>
      </w:r>
      <w:r>
        <w:rPr>
          <w:rFonts w:hint="default" w:ascii="Times New Roman" w:hAnsi="Times New Roman" w:eastAsia="仿宋_GB2312" w:cs="仿宋_GB2312"/>
          <w:b w:val="0"/>
          <w:bCs w:val="0"/>
          <w:color w:val="auto"/>
          <w:kern w:val="0"/>
          <w:sz w:val="32"/>
          <w:szCs w:val="32"/>
          <w:lang w:val="en-US" w:eastAsia="zh-CN" w:bidi="ar-SA"/>
        </w:rPr>
        <w:t>〕</w:t>
      </w:r>
      <w:r>
        <w:rPr>
          <w:rFonts w:hint="eastAsia" w:ascii="Times New Roman" w:hAnsi="Times New Roman" w:eastAsia="仿宋_GB2312" w:cs="仿宋_GB2312"/>
          <w:b w:val="0"/>
          <w:bCs w:val="0"/>
          <w:color w:val="auto"/>
          <w:kern w:val="0"/>
          <w:sz w:val="32"/>
          <w:szCs w:val="32"/>
          <w:lang w:val="en-US" w:eastAsia="zh-CN" w:bidi="ar-SA"/>
        </w:rPr>
        <w:t>37号）文件要求，区人民医院</w:t>
      </w:r>
      <w:r>
        <w:rPr>
          <w:rFonts w:hint="default" w:ascii="Times New Roman" w:hAnsi="Times New Roman" w:eastAsia="仿宋_GB2312" w:cs="仿宋_GB2312"/>
          <w:b w:val="0"/>
          <w:bCs w:val="0"/>
          <w:color w:val="auto"/>
          <w:kern w:val="0"/>
          <w:sz w:val="32"/>
          <w:szCs w:val="32"/>
          <w:lang w:val="en-US" w:eastAsia="zh-CN" w:bidi="ar-SA"/>
        </w:rPr>
        <w:t>严格按照项目</w:t>
      </w:r>
      <w:r>
        <w:rPr>
          <w:rFonts w:hint="eastAsia" w:ascii="Times New Roman" w:hAnsi="Times New Roman" w:eastAsia="仿宋_GB2312" w:cs="仿宋_GB2312"/>
          <w:b w:val="0"/>
          <w:bCs w:val="0"/>
          <w:color w:val="auto"/>
          <w:kern w:val="0"/>
          <w:sz w:val="32"/>
          <w:szCs w:val="32"/>
          <w:lang w:val="en-US" w:eastAsia="zh-CN" w:bidi="ar-SA"/>
        </w:rPr>
        <w:t>要求</w:t>
      </w:r>
      <w:r>
        <w:rPr>
          <w:rFonts w:hint="default" w:ascii="Times New Roman" w:hAnsi="Times New Roman" w:eastAsia="仿宋_GB2312" w:cs="仿宋_GB2312"/>
          <w:b w:val="0"/>
          <w:bCs w:val="0"/>
          <w:color w:val="auto"/>
          <w:kern w:val="0"/>
          <w:sz w:val="32"/>
          <w:szCs w:val="32"/>
          <w:lang w:val="en-US" w:eastAsia="zh-CN" w:bidi="ar-SA"/>
        </w:rPr>
        <w:t>和项目绩效目标</w:t>
      </w:r>
      <w:r>
        <w:rPr>
          <w:rFonts w:hint="eastAsia" w:ascii="Times New Roman" w:hAnsi="Times New Roman" w:eastAsia="仿宋_GB2312" w:cs="仿宋_GB2312"/>
          <w:b w:val="0"/>
          <w:bCs w:val="0"/>
          <w:color w:val="auto"/>
          <w:kern w:val="0"/>
          <w:sz w:val="32"/>
          <w:szCs w:val="32"/>
          <w:lang w:val="en-US" w:eastAsia="zh-CN" w:bidi="ar-SA"/>
        </w:rPr>
        <w:t>规范</w:t>
      </w:r>
      <w:r>
        <w:rPr>
          <w:rFonts w:hint="default" w:ascii="Times New Roman" w:hAnsi="Times New Roman" w:eastAsia="仿宋_GB2312" w:cs="仿宋_GB2312"/>
          <w:b w:val="0"/>
          <w:bCs w:val="0"/>
          <w:color w:val="auto"/>
          <w:kern w:val="0"/>
          <w:sz w:val="32"/>
          <w:szCs w:val="32"/>
          <w:lang w:val="en-US" w:eastAsia="zh-CN" w:bidi="ar-SA"/>
        </w:rPr>
        <w:t>实施，切实加强项目绩效管理，提高财政资金使用效益，按照项目进度及时拨付</w:t>
      </w:r>
      <w:r>
        <w:rPr>
          <w:rFonts w:hint="eastAsia" w:ascii="Times New Roman" w:hAnsi="Times New Roman" w:eastAsia="仿宋_GB2312" w:cs="仿宋_GB2312"/>
          <w:b w:val="0"/>
          <w:bCs w:val="0"/>
          <w:color w:val="auto"/>
          <w:kern w:val="0"/>
          <w:sz w:val="32"/>
          <w:szCs w:val="32"/>
          <w:lang w:val="en-US" w:eastAsia="zh-CN" w:bidi="ar-SA"/>
        </w:rPr>
        <w:t>。从项目完成、项目效益、满意度等方面设置了绩效指标，综合反映项目预期完成的数量、成本、时效、质量，预期达到的社会效益、经济效益、生态效益、可持续影响以及服务对象满意度等情况，医院整体绩效运行及结果都比较良好。</w:t>
      </w:r>
      <w:r>
        <w:rPr>
          <w:rFonts w:hint="default" w:ascii="Times New Roman" w:hAnsi="Times New Roman" w:eastAsia="仿宋_GB2312" w:cs="仿宋_GB2312"/>
          <w:b w:val="0"/>
          <w:bCs w:val="0"/>
          <w:color w:val="auto"/>
          <w:kern w:val="0"/>
          <w:sz w:val="32"/>
          <w:szCs w:val="32"/>
          <w:lang w:val="en-US" w:eastAsia="zh-CN" w:bidi="ar-SA"/>
        </w:rPr>
        <w:t>202</w:t>
      </w:r>
      <w:r>
        <w:rPr>
          <w:rFonts w:hint="eastAsia" w:ascii="Times New Roman" w:hAnsi="Times New Roman" w:eastAsia="仿宋_GB2312" w:cs="仿宋_GB2312"/>
          <w:b w:val="0"/>
          <w:bCs w:val="0"/>
          <w:color w:val="auto"/>
          <w:kern w:val="0"/>
          <w:sz w:val="32"/>
          <w:szCs w:val="32"/>
          <w:lang w:val="en-US" w:eastAsia="zh-CN" w:bidi="ar-SA"/>
        </w:rPr>
        <w:t>2</w:t>
      </w:r>
      <w:r>
        <w:rPr>
          <w:rFonts w:hint="default" w:ascii="Times New Roman" w:hAnsi="Times New Roman" w:eastAsia="仿宋_GB2312" w:cs="仿宋_GB2312"/>
          <w:b w:val="0"/>
          <w:bCs w:val="0"/>
          <w:color w:val="auto"/>
          <w:kern w:val="0"/>
          <w:sz w:val="32"/>
          <w:szCs w:val="32"/>
          <w:lang w:val="en-US" w:eastAsia="zh-CN" w:bidi="ar-SA"/>
        </w:rPr>
        <w:t>年我</w:t>
      </w:r>
      <w:r>
        <w:rPr>
          <w:rFonts w:hint="eastAsia" w:ascii="Times New Roman" w:hAnsi="Times New Roman" w:eastAsia="仿宋_GB2312" w:cs="仿宋_GB2312"/>
          <w:b w:val="0"/>
          <w:bCs w:val="0"/>
          <w:color w:val="auto"/>
          <w:kern w:val="0"/>
          <w:sz w:val="32"/>
          <w:szCs w:val="32"/>
          <w:lang w:val="en-US" w:eastAsia="zh-CN" w:bidi="ar-SA"/>
        </w:rPr>
        <w:t>院</w:t>
      </w:r>
      <w:r>
        <w:rPr>
          <w:rFonts w:hint="default" w:ascii="Times New Roman" w:hAnsi="Times New Roman" w:eastAsia="仿宋_GB2312" w:cs="仿宋_GB2312"/>
          <w:b w:val="0"/>
          <w:bCs w:val="0"/>
          <w:color w:val="auto"/>
          <w:kern w:val="0"/>
          <w:sz w:val="32"/>
          <w:szCs w:val="32"/>
          <w:lang w:val="en-US" w:eastAsia="zh-CN" w:bidi="ar-SA"/>
        </w:rPr>
        <w:t>按照单位实际情况及财政安排，按时按量完成了收支任务,部门整体绩效目标完成良好。</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楷体_GB2312" w:cs="楷体_GB2312"/>
          <w:b/>
          <w:bCs/>
          <w:color w:val="auto"/>
          <w:kern w:val="0"/>
          <w:sz w:val="32"/>
          <w:szCs w:val="32"/>
          <w:highlight w:val="none"/>
          <w:shd w:val="clear" w:color="auto" w:fill="FFFFFF"/>
          <w:lang w:val="zh-CN"/>
        </w:rPr>
      </w:pPr>
      <w:r>
        <w:rPr>
          <w:rFonts w:hint="eastAsia" w:ascii="Times New Roman" w:hAnsi="Times New Roman" w:eastAsia="楷体_GB2312" w:cs="楷体_GB2312"/>
          <w:b/>
          <w:bCs/>
          <w:color w:val="auto"/>
          <w:kern w:val="0"/>
          <w:sz w:val="32"/>
          <w:szCs w:val="32"/>
          <w:highlight w:val="none"/>
          <w:shd w:val="clear" w:color="auto" w:fill="FFFFFF"/>
          <w:lang w:val="zh-CN" w:eastAsia="zh-CN"/>
        </w:rPr>
        <w:t>（</w:t>
      </w:r>
      <w:r>
        <w:rPr>
          <w:rFonts w:hint="eastAsia" w:ascii="Times New Roman" w:hAnsi="Times New Roman" w:eastAsia="楷体_GB2312" w:cs="楷体_GB2312"/>
          <w:b/>
          <w:bCs/>
          <w:color w:val="auto"/>
          <w:kern w:val="0"/>
          <w:sz w:val="32"/>
          <w:szCs w:val="32"/>
          <w:highlight w:val="none"/>
          <w:shd w:val="clear" w:color="auto" w:fill="FFFFFF"/>
          <w:lang w:val="en-US" w:eastAsia="zh-CN"/>
        </w:rPr>
        <w:t>二</w:t>
      </w:r>
      <w:r>
        <w:rPr>
          <w:rFonts w:hint="eastAsia" w:ascii="Times New Roman" w:hAnsi="Times New Roman" w:eastAsia="楷体_GB2312" w:cs="楷体_GB2312"/>
          <w:b/>
          <w:bCs/>
          <w:color w:val="auto"/>
          <w:kern w:val="0"/>
          <w:sz w:val="32"/>
          <w:szCs w:val="32"/>
          <w:highlight w:val="none"/>
          <w:shd w:val="clear" w:color="auto" w:fill="FFFFFF"/>
          <w:lang w:val="zh-CN" w:eastAsia="zh-CN"/>
        </w:rPr>
        <w:t>）</w:t>
      </w:r>
      <w:r>
        <w:rPr>
          <w:rFonts w:hint="default" w:ascii="Times New Roman" w:hAnsi="Times New Roman" w:eastAsia="楷体_GB2312" w:cs="楷体_GB2312"/>
          <w:b/>
          <w:bCs/>
          <w:color w:val="auto"/>
          <w:kern w:val="0"/>
          <w:sz w:val="32"/>
          <w:szCs w:val="32"/>
          <w:highlight w:val="none"/>
          <w:shd w:val="clear" w:color="auto" w:fill="FFFFFF"/>
          <w:lang w:val="zh-CN"/>
        </w:rPr>
        <w:t>存在问题</w:t>
      </w:r>
    </w:p>
    <w:p>
      <w:pPr>
        <w:pStyle w:val="7"/>
        <w:ind w:firstLine="640" w:firstLineChars="200"/>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2022年，我院各项工作虽然取得了一定的成绩，得到了上级组织和领导的充分肯定，但应清醒</w:t>
      </w:r>
      <w:r>
        <w:rPr>
          <w:rFonts w:hint="eastAsia" w:eastAsia="仿宋_GB2312" w:cs="仿宋_GB2312"/>
          <w:b w:val="0"/>
          <w:bCs w:val="0"/>
          <w:color w:val="auto"/>
          <w:kern w:val="0"/>
          <w:sz w:val="32"/>
          <w:szCs w:val="32"/>
          <w:lang w:val="en-US" w:eastAsia="zh-CN" w:bidi="ar-SA"/>
        </w:rPr>
        <w:t>地</w:t>
      </w:r>
      <w:r>
        <w:rPr>
          <w:rFonts w:hint="eastAsia" w:ascii="Times New Roman" w:hAnsi="Times New Roman" w:eastAsia="仿宋_GB2312" w:cs="仿宋_GB2312"/>
          <w:b w:val="0"/>
          <w:bCs w:val="0"/>
          <w:color w:val="auto"/>
          <w:kern w:val="0"/>
          <w:sz w:val="32"/>
          <w:szCs w:val="32"/>
          <w:lang w:val="en-US" w:eastAsia="zh-CN" w:bidi="ar-SA"/>
        </w:rPr>
        <w:t>认识到目前存在的不足。一是提质增效不足，在如何处理好后疫情时代防控与业务的关系探索不多，办法不多，业务发展不佳。二是预算执行力度不够，未从全方位、多层次、多角度反映财政支出状况。三是预算执行分析重要性认识不到位，一些账务处理未按照政府收支分类科目对各经济事项进行明细核算。四是人才队伍薄弱，管理不够精细</w:t>
      </w:r>
      <w:r>
        <w:rPr>
          <w:rFonts w:hint="eastAsia" w:eastAsia="仿宋_GB2312" w:cs="仿宋_GB2312"/>
          <w:b w:val="0"/>
          <w:bCs w:val="0"/>
          <w:color w:val="auto"/>
          <w:kern w:val="0"/>
          <w:sz w:val="32"/>
          <w:szCs w:val="32"/>
          <w:lang w:val="en-US" w:eastAsia="zh-CN" w:bidi="ar-SA"/>
        </w:rPr>
        <w:t>化</w:t>
      </w:r>
      <w:r>
        <w:rPr>
          <w:rFonts w:hint="eastAsia" w:ascii="Times New Roman" w:hAnsi="Times New Roman" w:eastAsia="仿宋_GB2312" w:cs="仿宋_GB2312"/>
          <w:b w:val="0"/>
          <w:bCs w:val="0"/>
          <w:color w:val="auto"/>
          <w:kern w:val="0"/>
          <w:sz w:val="32"/>
          <w:szCs w:val="32"/>
          <w:lang w:val="en-US" w:eastAsia="zh-CN" w:bidi="ar-SA"/>
        </w:rPr>
        <w:t>、高效化。</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楷体_GB2312" w:cs="楷体_GB2312"/>
          <w:b/>
          <w:bCs/>
          <w:color w:val="auto"/>
          <w:kern w:val="0"/>
          <w:sz w:val="32"/>
          <w:szCs w:val="32"/>
          <w:highlight w:val="none"/>
          <w:shd w:val="clear" w:color="auto" w:fill="FFFFFF"/>
          <w:lang w:val="zh-CN" w:eastAsia="zh-CN"/>
        </w:rPr>
      </w:pPr>
      <w:r>
        <w:rPr>
          <w:rFonts w:hint="eastAsia" w:ascii="Times New Roman" w:hAnsi="Times New Roman" w:eastAsia="楷体_GB2312" w:cs="楷体_GB2312"/>
          <w:b/>
          <w:bCs/>
          <w:color w:val="auto"/>
          <w:kern w:val="0"/>
          <w:sz w:val="32"/>
          <w:szCs w:val="32"/>
          <w:highlight w:val="none"/>
          <w:shd w:val="clear" w:color="auto" w:fill="FFFFFF"/>
          <w:lang w:val="zh-CN" w:eastAsia="zh-CN"/>
        </w:rPr>
        <w:t>（</w:t>
      </w:r>
      <w:r>
        <w:rPr>
          <w:rFonts w:hint="eastAsia" w:ascii="Times New Roman" w:hAnsi="Times New Roman" w:eastAsia="楷体_GB2312" w:cs="楷体_GB2312"/>
          <w:b/>
          <w:bCs/>
          <w:color w:val="auto"/>
          <w:kern w:val="0"/>
          <w:sz w:val="32"/>
          <w:szCs w:val="32"/>
          <w:highlight w:val="none"/>
          <w:shd w:val="clear" w:color="auto" w:fill="FFFFFF"/>
          <w:lang w:val="en-US" w:eastAsia="zh-CN"/>
        </w:rPr>
        <w:t>三</w:t>
      </w:r>
      <w:r>
        <w:rPr>
          <w:rFonts w:hint="eastAsia" w:ascii="Times New Roman" w:hAnsi="Times New Roman" w:eastAsia="楷体_GB2312" w:cs="楷体_GB2312"/>
          <w:b/>
          <w:bCs/>
          <w:color w:val="auto"/>
          <w:kern w:val="0"/>
          <w:sz w:val="32"/>
          <w:szCs w:val="32"/>
          <w:highlight w:val="none"/>
          <w:shd w:val="clear" w:color="auto" w:fill="FFFFFF"/>
          <w:lang w:val="zh-CN" w:eastAsia="zh-CN"/>
        </w:rPr>
        <w:t>）</w:t>
      </w:r>
      <w:r>
        <w:rPr>
          <w:rFonts w:hint="default" w:ascii="Times New Roman" w:hAnsi="Times New Roman" w:eastAsia="楷体_GB2312" w:cs="楷体_GB2312"/>
          <w:b/>
          <w:bCs/>
          <w:color w:val="auto"/>
          <w:kern w:val="0"/>
          <w:sz w:val="32"/>
          <w:szCs w:val="32"/>
          <w:highlight w:val="none"/>
          <w:shd w:val="clear" w:color="auto" w:fill="FFFFFF"/>
          <w:lang w:val="zh-CN" w:eastAsia="zh-CN"/>
        </w:rPr>
        <w:t>改进建议</w:t>
      </w:r>
    </w:p>
    <w:p>
      <w:pPr>
        <w:pStyle w:val="7"/>
        <w:ind w:firstLine="640" w:firstLineChars="200"/>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在新时代，我院要始终以人民为中心，秉持“质量第一、患者至上”的办院理念，进一步巩固提升二级甲等综合医院创建成果，着力推进医技队伍建设、特色专科打造与医疗水平提升，加快推进医院高质量发展。</w:t>
      </w:r>
    </w:p>
    <w:p>
      <w:pPr>
        <w:pStyle w:val="7"/>
        <w:ind w:firstLine="640" w:firstLineChars="200"/>
        <w:rPr>
          <w:rFonts w:hint="eastAsia" w:ascii="Times New Roman" w:hAnsi="Times New Roman"/>
          <w:color w:val="auto"/>
          <w:lang w:val="en-US" w:eastAsia="zh-CN"/>
        </w:rPr>
      </w:pPr>
      <w:r>
        <w:rPr>
          <w:rFonts w:hint="eastAsia" w:ascii="Times New Roman" w:hAnsi="Times New Roman" w:eastAsia="仿宋_GB2312" w:cs="仿宋_GB2312"/>
          <w:b w:val="0"/>
          <w:bCs w:val="0"/>
          <w:color w:val="auto"/>
          <w:kern w:val="0"/>
          <w:sz w:val="32"/>
          <w:szCs w:val="32"/>
          <w:lang w:val="en-US" w:eastAsia="zh-CN" w:bidi="ar-SA"/>
        </w:rPr>
        <w:t>一是认真准确编制财政项目预算，合理规划、落实执行好项目预算指标，严格执行财务管理制度，完善账务处理流程，及时准确申报财政预算资金。二是提升预算绩效管理统筹组织能力，进一步明确系统内项目单位、资金使用终端的绩效管理责任，完善绩效自评工作流程，提升自评工作效率。三是加快建立预算绩效管理激励机制。建立并完善绩效管理激励机制，无效问责、有效</w:t>
      </w:r>
      <w:r>
        <w:rPr>
          <w:rFonts w:hint="eastAsia" w:eastAsia="仿宋_GB2312" w:cs="仿宋_GB2312"/>
          <w:b w:val="0"/>
          <w:bCs w:val="0"/>
          <w:color w:val="auto"/>
          <w:kern w:val="0"/>
          <w:sz w:val="32"/>
          <w:szCs w:val="32"/>
          <w:lang w:val="en-US" w:eastAsia="zh-CN" w:bidi="ar-SA"/>
        </w:rPr>
        <w:t>者</w:t>
      </w:r>
      <w:r>
        <w:rPr>
          <w:rFonts w:hint="eastAsia" w:ascii="Times New Roman" w:hAnsi="Times New Roman" w:eastAsia="仿宋_GB2312" w:cs="仿宋_GB2312"/>
          <w:b w:val="0"/>
          <w:bCs w:val="0"/>
          <w:color w:val="auto"/>
          <w:kern w:val="0"/>
          <w:sz w:val="32"/>
          <w:szCs w:val="32"/>
          <w:lang w:val="en-US" w:eastAsia="zh-CN" w:bidi="ar-SA"/>
        </w:rPr>
        <w:t>奖、奖罚分明。四是积极主动和财政局各业务股室</w:t>
      </w:r>
      <w:r>
        <w:rPr>
          <w:rFonts w:hint="eastAsia" w:eastAsia="仿宋_GB2312" w:cs="仿宋_GB2312"/>
          <w:b w:val="0"/>
          <w:bCs w:val="0"/>
          <w:color w:val="auto"/>
          <w:kern w:val="0"/>
          <w:sz w:val="32"/>
          <w:szCs w:val="32"/>
          <w:lang w:val="en-US" w:eastAsia="zh-CN" w:bidi="ar-SA"/>
        </w:rPr>
        <w:t>做</w:t>
      </w:r>
      <w:r>
        <w:rPr>
          <w:rFonts w:hint="eastAsia" w:ascii="Times New Roman" w:hAnsi="Times New Roman" w:eastAsia="仿宋_GB2312" w:cs="仿宋_GB2312"/>
          <w:b w:val="0"/>
          <w:bCs w:val="0"/>
          <w:color w:val="auto"/>
          <w:kern w:val="0"/>
          <w:sz w:val="32"/>
          <w:szCs w:val="32"/>
          <w:lang w:val="en-US" w:eastAsia="zh-CN" w:bidi="ar-SA"/>
        </w:rPr>
        <w:t>好沟通协调，强化绩效信息公开，主动接受外部监督，高质高效完成预算指标。</w:t>
      </w:r>
    </w:p>
    <w:p>
      <w:pPr>
        <w:pStyle w:val="6"/>
        <w:ind w:left="1598" w:leftChars="304" w:hanging="960" w:hangingChars="300"/>
        <w:rPr>
          <w:rFonts w:hint="eastAsia" w:ascii="Times New Roman" w:hAnsi="Times New Roman" w:eastAsia="仿宋_GB2312" w:cs="仿宋_GB2312"/>
          <w:b w:val="0"/>
          <w:bCs w:val="0"/>
          <w:color w:val="auto"/>
          <w:kern w:val="0"/>
          <w:sz w:val="32"/>
          <w:szCs w:val="32"/>
          <w:lang w:val="en-US" w:eastAsia="zh-CN" w:bidi="ar-SA"/>
        </w:rPr>
      </w:pPr>
    </w:p>
    <w:p>
      <w:pPr>
        <w:pStyle w:val="6"/>
        <w:ind w:left="1598" w:leftChars="304" w:hanging="960" w:hangingChars="300"/>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附件：广元市昭化区人民医院2022年部门整体支出绩效自评表</w:t>
      </w: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tbl>
      <w:tblPr>
        <w:tblStyle w:val="16"/>
        <w:tblW w:w="90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1"/>
        <w:gridCol w:w="867"/>
        <w:gridCol w:w="1698"/>
        <w:gridCol w:w="1612"/>
        <w:gridCol w:w="1213"/>
        <w:gridCol w:w="1021"/>
        <w:gridCol w:w="406"/>
        <w:gridCol w:w="860"/>
        <w:gridCol w:w="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791"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sz w:val="24"/>
                <w:szCs w:val="24"/>
                <w:u w:val="none"/>
              </w:rPr>
            </w:pPr>
            <w:r>
              <w:rPr>
                <w:rFonts w:hint="eastAsia" w:ascii="Times New Roman" w:hAnsi="Times New Roman" w:eastAsia="宋体" w:cs="宋体"/>
                <w:b/>
                <w:bCs/>
                <w:i w:val="0"/>
                <w:iCs w:val="0"/>
                <w:color w:val="auto"/>
                <w:kern w:val="0"/>
                <w:sz w:val="24"/>
                <w:szCs w:val="24"/>
                <w:u w:val="none"/>
                <w:lang w:val="en-US" w:eastAsia="zh-CN" w:bidi="ar"/>
              </w:rPr>
              <w:t>附件：</w:t>
            </w:r>
          </w:p>
        </w:tc>
        <w:tc>
          <w:tcPr>
            <w:tcW w:w="867"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1698" w:type="dxa"/>
            <w:tcBorders>
              <w:top w:val="nil"/>
              <w:left w:val="nil"/>
              <w:bottom w:val="nil"/>
              <w:right w:val="nil"/>
            </w:tcBorders>
            <w:shd w:val="clear" w:color="auto" w:fill="auto"/>
            <w:noWrap/>
            <w:vAlign w:val="center"/>
          </w:tcPr>
          <w:p>
            <w:pPr>
              <w:jc w:val="center"/>
              <w:rPr>
                <w:rFonts w:hint="eastAsia" w:ascii="Times New Roman" w:hAnsi="Times New Roman" w:eastAsia="宋体" w:cs="宋体"/>
                <w:i w:val="0"/>
                <w:iCs w:val="0"/>
                <w:color w:val="auto"/>
                <w:sz w:val="24"/>
                <w:szCs w:val="24"/>
                <w:u w:val="none"/>
              </w:rPr>
            </w:pPr>
          </w:p>
        </w:tc>
        <w:tc>
          <w:tcPr>
            <w:tcW w:w="1612"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1213"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1015"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403"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860"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635"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9094"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b/>
                <w:bCs/>
                <w:i w:val="0"/>
                <w:iCs w:val="0"/>
                <w:color w:val="auto"/>
                <w:sz w:val="44"/>
                <w:szCs w:val="44"/>
                <w:u w:val="none"/>
              </w:rPr>
            </w:pPr>
            <w:r>
              <w:rPr>
                <w:rFonts w:hint="default" w:ascii="Times New Roman" w:hAnsi="Times New Roman" w:eastAsia="方正小标宋简体" w:cs="方正小标宋简体"/>
                <w:b/>
                <w:bCs/>
                <w:i w:val="0"/>
                <w:iCs w:val="0"/>
                <w:color w:val="auto"/>
                <w:kern w:val="0"/>
                <w:sz w:val="44"/>
                <w:szCs w:val="44"/>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9094"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主管部门</w:t>
            </w:r>
          </w:p>
        </w:tc>
        <w:tc>
          <w:tcPr>
            <w:tcW w:w="3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广元市昭化区卫生健康局</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实施单位</w:t>
            </w:r>
          </w:p>
        </w:tc>
        <w:tc>
          <w:tcPr>
            <w:tcW w:w="29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广元市昭化区人民医院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6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项目资金（万元）</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年初预算数</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全年预算数</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全年执行数</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年度资金总额</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1268.49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1438.59</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1438.59</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（一）财政拨款小计</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1268.49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1438.59</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1438.59</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1.一般公共预算</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1268.49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1438.59</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1438.59</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2.政府性基金</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3.国有资本经营预算</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4.社保基金</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（二）其他资金</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整体目标</w:t>
            </w:r>
          </w:p>
        </w:tc>
        <w:tc>
          <w:tcPr>
            <w:tcW w:w="53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年度目标</w:t>
            </w:r>
          </w:p>
        </w:tc>
        <w:tc>
          <w:tcPr>
            <w:tcW w:w="29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2"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53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完成对医院在编职工128人工资福利50%补助的发放，保障在编职工工资及各项保险缴纳；发放参与新冠疫情防控的发热病人检测、院感防控、隔离点值守、下乡疫苗接种保障等公共卫生岗位服务人员补助，防控疫情传染，保护人民群众生命健康安全；化解因“二级甲等”综合医院创建和修建外科综合住院大楼形成的银行贷款2755万元本息，减轻医院债务压力，保障医院正常运转； 争取传染病区建设（ 第二期）项目，提升医院应对传染病及公共卫生事件能力，促进医院高质量发展，提升医院服务能力和水平，为人民群众提供更好的医疗卫生服务。</w:t>
            </w:r>
          </w:p>
        </w:tc>
        <w:tc>
          <w:tcPr>
            <w:tcW w:w="29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部门整体绩效指标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一级</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二级指标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三级指标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年度指标值</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实际完成值</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产出指标</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数量指标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在编人员人数</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＝128人</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128人</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Arial"/>
                <w:b/>
                <w:bCs/>
                <w:i w:val="0"/>
                <w:iCs w:val="0"/>
                <w:color w:val="auto"/>
                <w:sz w:val="18"/>
                <w:szCs w:val="18"/>
                <w:u w:val="none"/>
              </w:rPr>
            </w:pPr>
            <w:r>
              <w:rPr>
                <w:rFonts w:hint="default" w:ascii="Times New Roman" w:hAnsi="Times New Roman" w:eastAsia="宋体" w:cs="Arial"/>
                <w:b/>
                <w:bCs/>
                <w:i w:val="0"/>
                <w:iCs w:val="0"/>
                <w:color w:val="auto"/>
                <w:kern w:val="0"/>
                <w:sz w:val="18"/>
                <w:szCs w:val="18"/>
                <w:u w:val="none"/>
                <w:lang w:val="en-US" w:eastAsia="zh-CN" w:bidi="ar"/>
              </w:rPr>
              <w:t xml:space="preserve"> </w:t>
            </w:r>
            <w:r>
              <w:rPr>
                <w:rStyle w:val="38"/>
                <w:rFonts w:ascii="Times New Roman" w:hAnsi="Times New Roman"/>
                <w:color w:val="auto"/>
                <w:lang w:val="en-US" w:eastAsia="zh-CN" w:bidi="ar"/>
              </w:rPr>
              <w:t>争取传染病区建设项目个数</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=1个</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1个</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质量指标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按时足额偿还银行贷款</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定性优良中低差</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优</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完成在编职工的50%工资发放率</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100%</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时效指标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完成工作时限</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≤1年</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1年</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8"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成本指标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偿还农行贷款本息</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3600000元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宋体"/>
                <w:b/>
                <w:bCs/>
                <w:i w:val="0"/>
                <w:iCs w:val="0"/>
                <w:color w:val="auto"/>
                <w:sz w:val="22"/>
                <w:szCs w:val="22"/>
                <w:u w:val="none"/>
              </w:rPr>
            </w:pPr>
            <w:r>
              <w:rPr>
                <w:rFonts w:ascii="Times New Roman" w:hAnsi="Times New Roman" w:eastAsia="宋体" w:cs="宋体"/>
                <w:b/>
                <w:bCs/>
                <w:i w:val="0"/>
                <w:iCs w:val="0"/>
                <w:color w:val="auto"/>
                <w:kern w:val="0"/>
                <w:sz w:val="22"/>
                <w:szCs w:val="22"/>
                <w:u w:val="none"/>
                <w:lang w:val="en-US" w:eastAsia="zh-CN" w:bidi="ar"/>
              </w:rPr>
              <w:t>1800000元</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财政资金实际到位180万元，剩余财政未支付的180万元作为结余资金结转到2023年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疫情防控人员定额补助</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≤1000000元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宋体"/>
                <w:b/>
                <w:bCs/>
                <w:i w:val="0"/>
                <w:iCs w:val="0"/>
                <w:color w:val="auto"/>
                <w:sz w:val="22"/>
                <w:szCs w:val="22"/>
                <w:u w:val="none"/>
              </w:rPr>
            </w:pPr>
            <w:r>
              <w:rPr>
                <w:rFonts w:ascii="Times New Roman" w:hAnsi="Times New Roman" w:eastAsia="宋体" w:cs="宋体"/>
                <w:b/>
                <w:bCs/>
                <w:i w:val="0"/>
                <w:iCs w:val="0"/>
                <w:color w:val="auto"/>
                <w:kern w:val="0"/>
                <w:sz w:val="22"/>
                <w:szCs w:val="22"/>
                <w:u w:val="none"/>
                <w:lang w:val="en-US" w:eastAsia="zh-CN" w:bidi="ar"/>
              </w:rPr>
              <w:t>1000000元</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在编人员128人的50%工资福利</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≤8034870.6元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宋体"/>
                <w:b/>
                <w:bCs/>
                <w:i w:val="0"/>
                <w:iCs w:val="0"/>
                <w:color w:val="auto"/>
                <w:sz w:val="22"/>
                <w:szCs w:val="22"/>
                <w:u w:val="none"/>
              </w:rPr>
            </w:pPr>
            <w:r>
              <w:rPr>
                <w:rFonts w:ascii="Times New Roman" w:hAnsi="Times New Roman" w:eastAsia="宋体" w:cs="宋体"/>
                <w:b/>
                <w:bCs/>
                <w:i w:val="0"/>
                <w:iCs w:val="0"/>
                <w:color w:val="auto"/>
                <w:kern w:val="0"/>
                <w:sz w:val="22"/>
                <w:szCs w:val="22"/>
                <w:u w:val="none"/>
                <w:lang w:val="en-US" w:eastAsia="zh-CN" w:bidi="ar"/>
              </w:rPr>
              <w:t>8034870.6元</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争取传染病区项目工作办公费、差旅费等费用</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＜50000元</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0元</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未申报（与主管部门区卫健局一起争取)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效益指标</w:t>
            </w:r>
          </w:p>
        </w:tc>
        <w:tc>
          <w:tcPr>
            <w:tcW w:w="1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社会效益指标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提</w:t>
            </w:r>
            <w:r>
              <w:rPr>
                <w:rFonts w:hint="eastAsia" w:cs="宋体"/>
                <w:b/>
                <w:bCs/>
                <w:i w:val="0"/>
                <w:iCs w:val="0"/>
                <w:color w:val="auto"/>
                <w:kern w:val="0"/>
                <w:sz w:val="18"/>
                <w:szCs w:val="18"/>
                <w:u w:val="none"/>
                <w:lang w:val="en-US" w:eastAsia="zh-CN" w:bidi="ar"/>
              </w:rPr>
              <w:t>高</w:t>
            </w:r>
            <w:r>
              <w:rPr>
                <w:rFonts w:ascii="Times New Roman" w:hAnsi="Times New Roman" w:eastAsia="宋体" w:cs="宋体"/>
                <w:b/>
                <w:bCs/>
                <w:i w:val="0"/>
                <w:iCs w:val="0"/>
                <w:color w:val="auto"/>
                <w:kern w:val="0"/>
                <w:sz w:val="18"/>
                <w:szCs w:val="18"/>
                <w:u w:val="none"/>
                <w:lang w:val="en-US" w:eastAsia="zh-CN" w:bidi="ar"/>
              </w:rPr>
              <w:t>人民群众生活质量与健康水平，减轻患者负担、解决看病难、看病贵等问题</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定性优良中低差</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优</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满意度指标</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服务对象满意度指标</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单位职工满意度</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≥98%</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b/>
                <w:bCs/>
                <w:i w:val="0"/>
                <w:iCs w:val="0"/>
                <w:color w:val="auto"/>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人民群众及患者满意度</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Times New Roman" w:hAnsi="Times New Roman" w:eastAsia="宋体" w:cs="宋体"/>
                <w:b/>
                <w:bCs/>
                <w:i w:val="0"/>
                <w:iCs w:val="0"/>
                <w:color w:val="auto"/>
                <w:sz w:val="18"/>
                <w:szCs w:val="18"/>
                <w:u w:val="none"/>
              </w:rPr>
            </w:pPr>
            <w:r>
              <w:rPr>
                <w:rFonts w:ascii="Times New Roman" w:hAnsi="Times New Roman" w:eastAsia="宋体" w:cs="宋体"/>
                <w:b/>
                <w:bCs/>
                <w:i w:val="0"/>
                <w:iCs w:val="0"/>
                <w:color w:val="auto"/>
                <w:kern w:val="0"/>
                <w:sz w:val="18"/>
                <w:szCs w:val="18"/>
                <w:u w:val="none"/>
                <w:lang w:val="en-US" w:eastAsia="zh-CN" w:bidi="ar"/>
              </w:rPr>
              <w:t>≥95%</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bl>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textAlignment w:val="auto"/>
        <w:rPr>
          <w:rFonts w:hint="eastAsia" w:ascii="Times New Roman" w:hAnsi="Times New Roman" w:cs="Times New Roman"/>
          <w:color w:val="auto"/>
          <w:sz w:val="32"/>
          <w:szCs w:val="32"/>
          <w:highlight w:val="none"/>
          <w:lang w:val="zh-CN" w:eastAsia="zh-CN"/>
        </w:rPr>
      </w:pPr>
    </w:p>
    <w:p>
      <w:pPr>
        <w:pStyle w:val="2"/>
        <w:rPr>
          <w:rFonts w:hint="eastAsia" w:ascii="Times New Roman" w:hAnsi="Times New Roman" w:cs="宋体"/>
          <w:color w:val="auto"/>
          <w:kern w:val="0"/>
          <w:sz w:val="32"/>
          <w:szCs w:val="32"/>
          <w:highlight w:val="none"/>
          <w:shd w:val="clear" w:color="auto" w:fill="FFFFFF"/>
          <w:lang w:val="zh-CN"/>
        </w:rPr>
      </w:pPr>
    </w:p>
    <w:p>
      <w:pPr>
        <w:pStyle w:val="2"/>
        <w:rPr>
          <w:rFonts w:hint="eastAsia" w:ascii="Times New Roman" w:hAnsi="Times New Roman" w:cs="宋体"/>
          <w:color w:val="auto"/>
          <w:kern w:val="0"/>
          <w:sz w:val="32"/>
          <w:szCs w:val="32"/>
          <w:highlight w:val="none"/>
          <w:shd w:val="clear" w:color="auto" w:fill="FFFFFF"/>
          <w:lang w:val="zh-CN"/>
        </w:rPr>
      </w:pPr>
    </w:p>
    <w:p>
      <w:pPr>
        <w:pStyle w:val="2"/>
        <w:rPr>
          <w:rFonts w:hint="eastAsia" w:ascii="Times New Roman" w:hAnsi="Times New Roman" w:eastAsia="仿宋_GB2312"/>
          <w:color w:val="auto"/>
          <w:sz w:val="32"/>
          <w:szCs w:val="32"/>
          <w:highlight w:val="none"/>
          <w:lang w:val="en-US" w:eastAsia="zh-CN"/>
        </w:rPr>
      </w:pPr>
      <w:r>
        <w:rPr>
          <w:rFonts w:hint="eastAsia" w:ascii="Times New Roman" w:hAnsi="Times New Roman" w:cs="宋体"/>
          <w:color w:val="auto"/>
          <w:kern w:val="0"/>
          <w:sz w:val="32"/>
          <w:szCs w:val="32"/>
          <w:highlight w:val="none"/>
          <w:shd w:val="clear" w:color="auto" w:fill="FFFFFF"/>
          <w:lang w:val="zh-CN"/>
        </w:rPr>
        <w:t>附件</w:t>
      </w:r>
      <w:r>
        <w:rPr>
          <w:rFonts w:hint="eastAsia" w:ascii="Times New Roman" w:hAnsi="Times New Roman" w:cs="宋体"/>
          <w:color w:val="auto"/>
          <w:kern w:val="0"/>
          <w:sz w:val="32"/>
          <w:szCs w:val="32"/>
          <w:highlight w:val="none"/>
          <w:shd w:val="clear" w:color="auto" w:fill="FFFFFF"/>
          <w:lang w:val="en-US" w:eastAsia="zh-CN"/>
        </w:rPr>
        <w:t>2</w:t>
      </w:r>
    </w:p>
    <w:p>
      <w:pPr>
        <w:spacing w:line="580" w:lineRule="exact"/>
        <w:jc w:val="center"/>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广元市昭化区人民医院</w:t>
      </w:r>
    </w:p>
    <w:p>
      <w:pPr>
        <w:spacing w:line="580" w:lineRule="exact"/>
        <w:jc w:val="center"/>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关于2022年公共卫生岗位人员经费</w:t>
      </w:r>
    </w:p>
    <w:p>
      <w:pPr>
        <w:spacing w:line="580" w:lineRule="exact"/>
        <w:jc w:val="center"/>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项目支出绩效</w:t>
      </w:r>
      <w:r>
        <w:rPr>
          <w:rFonts w:hint="default" w:ascii="Times New Roman" w:hAnsi="Times New Roman" w:eastAsia="方正小标宋简体" w:cs="Times New Roman"/>
          <w:color w:val="auto"/>
          <w:sz w:val="44"/>
          <w:szCs w:val="44"/>
        </w:rPr>
        <w:t>自评报告</w:t>
      </w:r>
    </w:p>
    <w:p>
      <w:pPr>
        <w:pStyle w:val="7"/>
        <w:rPr>
          <w:rFonts w:hint="default" w:ascii="Times New Roman" w:hAnsi="Times New Roman"/>
          <w:color w:val="auto"/>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w:t>
      </w:r>
      <w:r>
        <w:rPr>
          <w:rFonts w:hint="eastAsia" w:ascii="Times New Roman" w:hAnsi="Times New Roman" w:eastAsia="黑体" w:cs="Times New Roman"/>
          <w:color w:val="auto"/>
          <w:sz w:val="32"/>
          <w:szCs w:val="32"/>
          <w:highlight w:val="none"/>
          <w:lang w:eastAsia="zh-CN"/>
        </w:rPr>
        <w:t>、项目</w:t>
      </w:r>
      <w:r>
        <w:rPr>
          <w:rFonts w:hint="default" w:ascii="Times New Roman" w:hAnsi="Times New Roman" w:eastAsia="黑体" w:cs="Times New Roman"/>
          <w:color w:val="auto"/>
          <w:sz w:val="32"/>
          <w:szCs w:val="32"/>
          <w:highlight w:val="none"/>
        </w:rPr>
        <w:t>概况</w:t>
      </w:r>
    </w:p>
    <w:p>
      <w:pPr>
        <w:keepNext w:val="0"/>
        <w:keepLines w:val="0"/>
        <w:pageBreakBefore w:val="0"/>
        <w:kinsoku/>
        <w:wordWrap/>
        <w:overflowPunct/>
        <w:topLinePunct w:val="0"/>
        <w:autoSpaceDE/>
        <w:autoSpaceDN/>
        <w:bidi w:val="0"/>
        <w:adjustRightInd w:val="0"/>
        <w:snapToGrid w:val="0"/>
        <w:spacing w:line="578" w:lineRule="exact"/>
        <w:ind w:firstLine="321" w:firstLineChars="10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（一）项目基本情况</w:t>
      </w:r>
    </w:p>
    <w:p>
      <w:pPr>
        <w:pStyle w:val="2"/>
        <w:rPr>
          <w:rFonts w:hint="eastAsia" w:ascii="Times New Roman" w:hAnsi="Times New Roman"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 xml:space="preserve">  </w:t>
      </w:r>
      <w:r>
        <w:rPr>
          <w:rFonts w:hint="eastAsia" w:ascii="Times New Roman" w:hAnsi="Times New Roman" w:cs="仿宋_GB2312"/>
          <w:b w:val="0"/>
          <w:bCs w:val="0"/>
          <w:color w:val="auto"/>
          <w:kern w:val="0"/>
          <w:sz w:val="32"/>
          <w:szCs w:val="32"/>
          <w:lang w:val="en-US" w:eastAsia="zh-CN" w:bidi="ar-SA"/>
        </w:rPr>
        <w:t xml:space="preserve"> </w:t>
      </w:r>
      <w:r>
        <w:rPr>
          <w:rFonts w:hint="eastAsia" w:ascii="Times New Roman" w:hAnsi="Times New Roman" w:eastAsia="仿宋_GB2312" w:cs="仿宋_GB2312"/>
          <w:b w:val="0"/>
          <w:bCs w:val="0"/>
          <w:color w:val="auto"/>
          <w:kern w:val="0"/>
          <w:sz w:val="32"/>
          <w:szCs w:val="32"/>
          <w:lang w:val="en-US" w:eastAsia="zh-CN" w:bidi="ar-SA"/>
        </w:rPr>
        <w:t xml:space="preserve"> 2022年</w:t>
      </w:r>
      <w:r>
        <w:rPr>
          <w:rFonts w:hint="eastAsia" w:ascii="Times New Roman" w:hAnsi="Times New Roman" w:cs="仿宋_GB2312"/>
          <w:b w:val="0"/>
          <w:bCs w:val="0"/>
          <w:color w:val="auto"/>
          <w:kern w:val="0"/>
          <w:sz w:val="32"/>
          <w:szCs w:val="32"/>
          <w:lang w:val="en-US" w:eastAsia="zh-CN" w:bidi="ar-SA"/>
        </w:rPr>
        <w:t>公共卫生岗位人员经费项目经费来源为财政拨款，金额为100万元，主要实施内容是发放公共卫生岗位17人的工资福利费用，做好疫情防控，为人民群众提供良好公共卫生医疗服务。</w:t>
      </w:r>
    </w:p>
    <w:p>
      <w:pPr>
        <w:keepNext w:val="0"/>
        <w:keepLines w:val="0"/>
        <w:pageBreakBefore w:val="0"/>
        <w:kinsoku/>
        <w:wordWrap/>
        <w:overflowPunct/>
        <w:topLinePunct w:val="0"/>
        <w:autoSpaceDE/>
        <w:autoSpaceDN/>
        <w:bidi w:val="0"/>
        <w:adjustRightInd w:val="0"/>
        <w:snapToGrid w:val="0"/>
        <w:spacing w:line="578" w:lineRule="exact"/>
        <w:ind w:firstLine="321" w:firstLineChars="100"/>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w:t>
      </w:r>
      <w:r>
        <w:rPr>
          <w:rFonts w:hint="eastAsia" w:ascii="Times New Roman" w:hAnsi="Times New Roman" w:eastAsia="楷体_GB2312" w:cs="Times New Roman"/>
          <w:b/>
          <w:color w:val="auto"/>
          <w:sz w:val="32"/>
          <w:szCs w:val="32"/>
          <w:highlight w:val="none"/>
          <w:u w:val="none"/>
          <w:lang w:val="zh-CN" w:eastAsia="zh-CN"/>
        </w:rPr>
        <w:t>二</w:t>
      </w:r>
      <w:r>
        <w:rPr>
          <w:rFonts w:hint="default" w:ascii="Times New Roman" w:hAnsi="Times New Roman" w:eastAsia="楷体_GB2312" w:cs="Times New Roman"/>
          <w:b/>
          <w:color w:val="auto"/>
          <w:sz w:val="32"/>
          <w:szCs w:val="32"/>
          <w:highlight w:val="none"/>
          <w:u w:val="none"/>
          <w:lang w:val="zh-CN"/>
        </w:rPr>
        <w:t>）</w:t>
      </w:r>
      <w:r>
        <w:rPr>
          <w:rFonts w:hint="eastAsia" w:ascii="Times New Roman" w:hAnsi="Times New Roman" w:eastAsia="楷体_GB2312" w:cs="Times New Roman"/>
          <w:b/>
          <w:color w:val="auto"/>
          <w:sz w:val="32"/>
          <w:szCs w:val="32"/>
          <w:highlight w:val="none"/>
          <w:u w:val="none"/>
          <w:lang w:val="zh-CN" w:eastAsia="zh-CN"/>
        </w:rPr>
        <w:t>项目绩效目标</w:t>
      </w:r>
    </w:p>
    <w:p>
      <w:pPr>
        <w:widowControl/>
        <w:spacing w:line="560" w:lineRule="exact"/>
        <w:ind w:firstLine="645"/>
        <w:jc w:val="left"/>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按《广元市昭化区卫生健康局关于同意将区人民医院公共卫生岗位所需经费纳入财政预算的请示》（昭卫健〔2021〕29号），经区人民政府审批同意，区财政将我院常态化从事公共卫生与防控岗位纳入财政定额预算，定岗定额17名，按每人每年标准6万元自2021年起纳入年初预算，并实行打捆预算（岗位预算，不到人头），增加我院预算经费100万元用于发放公共卫生岗位17人的工资福利费用，做好疫情防控，为人民群众提供良好公共卫生医疗服务。项目申报内容与具体实施内容相符，申报目标合理可行。</w:t>
      </w:r>
    </w:p>
    <w:p>
      <w:pPr>
        <w:pStyle w:val="2"/>
        <w:ind w:firstLine="321" w:firstLineChars="100"/>
        <w:rPr>
          <w:rFonts w:hint="default" w:ascii="Times New Roman" w:hAnsi="Times New Roman"/>
          <w:color w:val="auto"/>
          <w:lang w:val="en-US" w:eastAsia="zh-CN"/>
        </w:rPr>
      </w:pPr>
      <w:r>
        <w:rPr>
          <w:rFonts w:hint="eastAsia" w:ascii="Times New Roman" w:hAnsi="Times New Roman" w:eastAsia="楷体_GB2312"/>
          <w:b/>
          <w:color w:val="auto"/>
          <w:sz w:val="32"/>
          <w:szCs w:val="32"/>
          <w:highlight w:val="none"/>
          <w:u w:val="none"/>
          <w:lang w:val="zh-CN"/>
        </w:rPr>
        <w:t>（三）项目自评步骤及方法</w:t>
      </w:r>
    </w:p>
    <w:p>
      <w:pPr>
        <w:widowControl/>
        <w:spacing w:line="560" w:lineRule="exact"/>
        <w:ind w:firstLine="645"/>
        <w:jc w:val="left"/>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一是落实组织保障，由单位主要领导负总责，分管财务工作的副院长亲自管理，财务和相关业务部门人员具体落实工作。二是我院严格按照上级卫生主管部门以及区委、区政府决策部署，按时发放参与新冠疫情防控的发热病人检测、院感防控、隔离点值守、下乡疫苗接种保障等公共卫生岗位服务人员补助，防控疫情传染，保护人民群众生命健康安全。三是及时修正绩效目标，在预算执行过程中加强了绩效运行监控，对执行中存在偏差的项目进行了原因分析和及时整改，确保达到年初绩效目标。项目结束后积极进行绩效评价，强化了结果运用。</w:t>
      </w:r>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321" w:firstLineChars="10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（一）项目资金申报及批复情况</w:t>
      </w:r>
    </w:p>
    <w:p>
      <w:pPr>
        <w:widowControl/>
        <w:spacing w:line="560" w:lineRule="exact"/>
        <w:ind w:firstLine="645"/>
        <w:jc w:val="left"/>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我院通过向上级主管部门区卫健局请示，根据《广元市昭化区卫生健康局关于同意将区人民医院公共卫生岗位所需经费纳入财政预算的请示》（昭卫健〔2021〕29号），区人民政府审批同意。</w:t>
      </w:r>
    </w:p>
    <w:p>
      <w:pPr>
        <w:pStyle w:val="2"/>
        <w:ind w:firstLine="321" w:firstLineChars="100"/>
        <w:rPr>
          <w:rFonts w:hint="default" w:ascii="Times New Roman" w:hAnsi="Times New Roman"/>
          <w:color w:val="auto"/>
          <w:lang w:val="en-US" w:eastAsia="zh-CN"/>
        </w:rPr>
      </w:pPr>
      <w:r>
        <w:rPr>
          <w:rFonts w:hint="eastAsia" w:ascii="Times New Roman" w:hAnsi="Times New Roman" w:eastAsia="楷体_GB2312"/>
          <w:b/>
          <w:color w:val="auto"/>
          <w:sz w:val="32"/>
          <w:szCs w:val="32"/>
          <w:highlight w:val="none"/>
          <w:u w:val="none"/>
          <w:lang w:val="zh-CN"/>
        </w:rPr>
        <w:t>（二）资金计划、到位及使用情况</w:t>
      </w:r>
    </w:p>
    <w:p>
      <w:pPr>
        <w:widowControl/>
        <w:spacing w:line="560" w:lineRule="exact"/>
        <w:ind w:firstLine="645"/>
        <w:jc w:val="left"/>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1.资金计划。本项目包含区本级财政资金100万元。</w:t>
      </w:r>
    </w:p>
    <w:p>
      <w:pPr>
        <w:widowControl/>
        <w:spacing w:line="560" w:lineRule="exact"/>
        <w:ind w:firstLine="645"/>
        <w:jc w:val="left"/>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2.资金到位。2022年财政预算公共卫生岗位人员经费100万元，实际到位100万元，资金到位率100%。</w:t>
      </w:r>
    </w:p>
    <w:p>
      <w:pPr>
        <w:widowControl/>
        <w:spacing w:line="560" w:lineRule="exact"/>
        <w:ind w:firstLine="645"/>
        <w:jc w:val="left"/>
        <w:rPr>
          <w:rFonts w:hint="eastAsia" w:ascii="Times New Roman" w:hAnsi="Times New Roman" w:eastAsia="仿宋_GB2312" w:cs="仿宋_GB2312"/>
          <w:b w:val="0"/>
          <w:bCs w:val="0"/>
          <w:color w:val="auto"/>
          <w:kern w:val="0"/>
          <w:sz w:val="32"/>
          <w:szCs w:val="32"/>
          <w:lang w:val="zh-CN" w:eastAsia="zh-CN" w:bidi="ar-SA"/>
        </w:rPr>
      </w:pPr>
      <w:r>
        <w:rPr>
          <w:rFonts w:hint="eastAsia" w:ascii="Times New Roman" w:hAnsi="Times New Roman" w:eastAsia="仿宋_GB2312" w:cs="仿宋_GB2312"/>
          <w:b w:val="0"/>
          <w:bCs w:val="0"/>
          <w:color w:val="auto"/>
          <w:kern w:val="0"/>
          <w:sz w:val="32"/>
          <w:szCs w:val="32"/>
          <w:lang w:val="en-US" w:eastAsia="zh-CN" w:bidi="ar-SA"/>
        </w:rPr>
        <w:t>3.资金使用方面，我院严格按照公共卫生防控岗位数量，定岗定额17名，按时按质支付人员经费。资金支付范围、标准及支付进度合理合规，与预算项目绩效指标完全相符。</w:t>
      </w:r>
    </w:p>
    <w:p>
      <w:pPr>
        <w:keepNext w:val="0"/>
        <w:keepLines w:val="0"/>
        <w:pageBreakBefore w:val="0"/>
        <w:kinsoku/>
        <w:wordWrap/>
        <w:overflowPunct/>
        <w:topLinePunct w:val="0"/>
        <w:autoSpaceDE/>
        <w:autoSpaceDN/>
        <w:bidi w:val="0"/>
        <w:adjustRightInd w:val="0"/>
        <w:snapToGrid w:val="0"/>
        <w:spacing w:line="578" w:lineRule="exact"/>
        <w:ind w:firstLine="321" w:firstLineChars="10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（三）项目财务管理情况</w:t>
      </w:r>
    </w:p>
    <w:p>
      <w:pPr>
        <w:pStyle w:val="2"/>
        <w:spacing w:before="111"/>
        <w:ind w:left="871"/>
        <w:rPr>
          <w:rFonts w:hint="eastAsia" w:ascii="Times New Roman" w:hAnsi="Times New Roman"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按照《中华人民共和国预算法》</w:t>
      </w:r>
      <w:r>
        <w:rPr>
          <w:rFonts w:hint="eastAsia" w:ascii="Times New Roman" w:hAnsi="Times New Roman" w:cs="仿宋_GB2312"/>
          <w:b w:val="0"/>
          <w:bCs w:val="0"/>
          <w:color w:val="auto"/>
          <w:kern w:val="0"/>
          <w:sz w:val="32"/>
          <w:szCs w:val="32"/>
          <w:lang w:val="en-US" w:eastAsia="zh-CN" w:bidi="ar-SA"/>
        </w:rPr>
        <w:t>、</w:t>
      </w:r>
      <w:r>
        <w:rPr>
          <w:rFonts w:hint="eastAsia" w:ascii="Times New Roman" w:hAnsi="Times New Roman" w:eastAsia="仿宋_GB2312" w:cs="仿宋_GB2312"/>
          <w:b w:val="0"/>
          <w:bCs w:val="0"/>
          <w:color w:val="auto"/>
          <w:kern w:val="0"/>
          <w:sz w:val="32"/>
          <w:szCs w:val="32"/>
          <w:lang w:val="en-US" w:eastAsia="zh-CN" w:bidi="ar-SA"/>
        </w:rPr>
        <w:t>《中华人民共和</w:t>
      </w:r>
      <w:r>
        <w:rPr>
          <w:rFonts w:hint="eastAsia" w:ascii="Times New Roman" w:hAnsi="Times New Roman" w:cs="仿宋_GB2312"/>
          <w:b w:val="0"/>
          <w:bCs w:val="0"/>
          <w:color w:val="auto"/>
          <w:kern w:val="0"/>
          <w:sz w:val="32"/>
          <w:szCs w:val="32"/>
          <w:lang w:val="en-US" w:eastAsia="zh-CN" w:bidi="ar-SA"/>
        </w:rPr>
        <w:t>国</w:t>
      </w:r>
    </w:p>
    <w:p>
      <w:pPr>
        <w:pStyle w:val="2"/>
        <w:spacing w:before="111"/>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会计法》</w:t>
      </w:r>
      <w:r>
        <w:rPr>
          <w:rFonts w:hint="eastAsia" w:ascii="Times New Roman" w:hAnsi="Times New Roman" w:cs="仿宋_GB2312"/>
          <w:b w:val="0"/>
          <w:bCs w:val="0"/>
          <w:color w:val="auto"/>
          <w:kern w:val="0"/>
          <w:sz w:val="32"/>
          <w:szCs w:val="32"/>
          <w:lang w:val="en-US" w:eastAsia="zh-CN" w:bidi="ar-SA"/>
        </w:rPr>
        <w:t>、</w:t>
      </w:r>
      <w:r>
        <w:rPr>
          <w:rFonts w:hint="eastAsia" w:ascii="Times New Roman" w:hAnsi="Times New Roman" w:eastAsia="仿宋_GB2312" w:cs="仿宋_GB2312"/>
          <w:b w:val="0"/>
          <w:bCs w:val="0"/>
          <w:color w:val="auto"/>
          <w:kern w:val="0"/>
          <w:sz w:val="32"/>
          <w:szCs w:val="32"/>
          <w:lang w:val="en-US" w:eastAsia="zh-CN" w:bidi="ar-SA"/>
        </w:rPr>
        <w:t>《政府会计制度》等法律法规要求，建立健全内部监管机制，严格执行各项财务管理制度，加强资金支付管理，提高资金使用效率。该项目资金使用合规合法，与预算相符，财务处理及时，会计核算规范</w:t>
      </w:r>
      <w:r>
        <w:rPr>
          <w:rFonts w:hint="eastAsia" w:ascii="Times New Roman" w:hAnsi="Times New Roman" w:cs="仿宋_GB2312"/>
          <w:b w:val="0"/>
          <w:bCs w:val="0"/>
          <w:color w:val="auto"/>
          <w:kern w:val="0"/>
          <w:sz w:val="32"/>
          <w:szCs w:val="32"/>
          <w:lang w:val="en-US" w:eastAsia="zh-CN" w:bidi="ar-SA"/>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三、项目实施及管理情况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根据预算绩效管理相关要求，我院全面实施了预算项目绩效目标管理，一是落实组织保障，由单位主要领导负总责，分管财务工作的副院长亲自管理，财务和相关业务部门人员具体落实工作。二是我院严格按照上级卫生主管部门以及区委、区政府决策部署，按时发放参与新冠疫情防控的发热病人检测、院感防控、隔离点值守、下乡疫苗接种保障等公共卫生岗位服务人员补助，防控疫情传染，保护人民群众生命健康安全。三是及时修正绩效目标，在预算执行过程中加强了绩效运行监控，对执行中存在偏差的项目进行了原因分析和及时整改，确保达到年初绩效目标。项目结束后积极进行绩效评价，强化了结果运用。</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color w:val="auto"/>
          <w:sz w:val="32"/>
          <w:szCs w:val="32"/>
          <w:highlight w:val="none"/>
          <w:u w:val="none"/>
          <w:lang w:val="zh-CN"/>
        </w:rPr>
      </w:pPr>
      <w:r>
        <w:rPr>
          <w:rFonts w:hint="eastAsia" w:ascii="Times New Roman" w:hAnsi="Times New Roman" w:eastAsia="黑体"/>
          <w:color w:val="auto"/>
          <w:sz w:val="32"/>
          <w:szCs w:val="32"/>
          <w:highlight w:val="none"/>
          <w:u w:val="none"/>
        </w:rPr>
        <w:t>四、项目绩效情况</w:t>
      </w:r>
      <w:r>
        <w:rPr>
          <w:rFonts w:hint="eastAsia" w:ascii="Times New Roman" w:hAnsi="Times New Roman"/>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（一）</w:t>
      </w:r>
      <w:r>
        <w:rPr>
          <w:rFonts w:hint="eastAsia" w:ascii="Times New Roman" w:hAnsi="Times New Roman" w:eastAsia="楷体_GB2312" w:cs="Times New Roman"/>
          <w:b/>
          <w:color w:val="auto"/>
          <w:sz w:val="32"/>
          <w:szCs w:val="32"/>
          <w:highlight w:val="none"/>
          <w:u w:val="none"/>
          <w:lang w:val="zh-CN" w:eastAsia="zh-CN"/>
        </w:rPr>
        <w:t>项目完成情况</w:t>
      </w:r>
      <w:r>
        <w:rPr>
          <w:rFonts w:hint="default" w:ascii="Times New Roman" w:hAnsi="Times New Roman" w:eastAsia="楷体_GB2312" w:cs="Times New Roman"/>
          <w:b/>
          <w:color w:val="auto"/>
          <w:sz w:val="32"/>
          <w:szCs w:val="32"/>
          <w:highlight w:val="none"/>
          <w:u w:val="none"/>
          <w:lang w:val="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2022年公共卫生岗位人员经费100万元，实际到位财政资金100万元，资金到位率100%。我院1年内按时足额发放公共卫生岗位17人的工资福利费用，做好新冠疫情防控，为人民群众提供良好公共卫生医疗服务，大大提升公共卫生服务人员以及人民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color w:val="auto"/>
          <w:sz w:val="32"/>
          <w:szCs w:val="32"/>
          <w:highlight w:val="none"/>
          <w:u w:val="none"/>
          <w:lang w:val="zh-CN"/>
        </w:rPr>
      </w:pPr>
      <w:r>
        <w:rPr>
          <w:rFonts w:hint="eastAsia" w:ascii="Times New Roman" w:hAnsi="Times New Roman" w:eastAsia="楷体_GB2312" w:cs="Times New Roman"/>
          <w:b/>
          <w:color w:val="auto"/>
          <w:sz w:val="32"/>
          <w:szCs w:val="32"/>
          <w:highlight w:val="none"/>
          <w:u w:val="none"/>
          <w:lang w:val="zh-CN" w:eastAsia="zh-CN"/>
        </w:rPr>
        <w:t>（二）项目效益情况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我院严格按照省、市、区人民政府相关文件精神及硬性要求，积极履行综合性公立医院的职责，强化公益属性，按时足额发放参与新冠疫情防控的发热病人检测、院感防控、隔离点值守、下乡疫苗接种保障等公共卫生岗位服务人员补助，防控疫情传染，保护人民群众生命健康安全。通过该项目实施，解决了我院人员经费问题，对提高医疗业务水平，改善医疗条件，为更多患者服务方面起到了积极的作用，大幅提升了人民群众满意度，推动全区医疗卫生事业高质量发展。</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Times New Roman" w:hAnsi="Times New Roman" w:eastAsia="楷体_GB2312" w:cs="Times New Roman"/>
          <w:b/>
          <w:color w:val="auto"/>
          <w:sz w:val="32"/>
          <w:szCs w:val="32"/>
          <w:highlight w:val="none"/>
          <w:u w:val="none"/>
          <w:lang w:val="zh-CN" w:eastAsia="zh-CN"/>
        </w:rPr>
      </w:pPr>
      <w:r>
        <w:rPr>
          <w:rFonts w:hint="eastAsia" w:ascii="Times New Roman" w:hAnsi="Times New Roman" w:eastAsia="楷体_GB2312" w:cs="Times New Roman"/>
          <w:b/>
          <w:color w:val="auto"/>
          <w:sz w:val="32"/>
          <w:szCs w:val="32"/>
          <w:highlight w:val="none"/>
          <w:u w:val="none"/>
          <w:lang w:val="en-US" w:eastAsia="zh-CN"/>
        </w:rPr>
        <w:t>（一）</w:t>
      </w:r>
      <w:r>
        <w:rPr>
          <w:rFonts w:hint="eastAsia" w:ascii="Times New Roman" w:hAnsi="Times New Roman" w:eastAsia="楷体_GB2312" w:cs="Times New Roman"/>
          <w:b/>
          <w:color w:val="auto"/>
          <w:sz w:val="32"/>
          <w:szCs w:val="32"/>
          <w:highlight w:val="none"/>
          <w:u w:val="none"/>
          <w:lang w:val="zh-CN" w:eastAsia="zh-CN"/>
        </w:rPr>
        <w:t>评价结论</w:t>
      </w:r>
    </w:p>
    <w:p>
      <w:pPr>
        <w:pStyle w:val="7"/>
        <w:ind w:firstLine="640" w:firstLineChars="200"/>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根据《广元市昭化区人民政府办公室关于印发&lt;广元市昭化区财政预算绩效管理办法&gt;的通知》（昭府办函</w:t>
      </w:r>
      <w:r>
        <w:rPr>
          <w:rFonts w:hint="default" w:ascii="Times New Roman" w:hAnsi="Times New Roman" w:eastAsia="仿宋_GB2312" w:cs="仿宋_GB2312"/>
          <w:b w:val="0"/>
          <w:bCs w:val="0"/>
          <w:color w:val="auto"/>
          <w:kern w:val="0"/>
          <w:sz w:val="32"/>
          <w:szCs w:val="32"/>
          <w:lang w:val="en-US" w:eastAsia="zh-CN" w:bidi="ar-SA"/>
        </w:rPr>
        <w:t>〔20</w:t>
      </w:r>
      <w:r>
        <w:rPr>
          <w:rFonts w:hint="eastAsia" w:ascii="Times New Roman" w:hAnsi="Times New Roman" w:eastAsia="仿宋_GB2312" w:cs="仿宋_GB2312"/>
          <w:b w:val="0"/>
          <w:bCs w:val="0"/>
          <w:color w:val="auto"/>
          <w:kern w:val="0"/>
          <w:sz w:val="32"/>
          <w:szCs w:val="32"/>
          <w:lang w:val="en-US" w:eastAsia="zh-CN" w:bidi="ar-SA"/>
        </w:rPr>
        <w:t>22</w:t>
      </w:r>
      <w:r>
        <w:rPr>
          <w:rFonts w:hint="default" w:ascii="Times New Roman" w:hAnsi="Times New Roman" w:eastAsia="仿宋_GB2312" w:cs="仿宋_GB2312"/>
          <w:b w:val="0"/>
          <w:bCs w:val="0"/>
          <w:color w:val="auto"/>
          <w:kern w:val="0"/>
          <w:sz w:val="32"/>
          <w:szCs w:val="32"/>
          <w:lang w:val="en-US" w:eastAsia="zh-CN" w:bidi="ar-SA"/>
        </w:rPr>
        <w:t>〕</w:t>
      </w:r>
      <w:r>
        <w:rPr>
          <w:rFonts w:hint="eastAsia" w:ascii="Times New Roman" w:hAnsi="Times New Roman" w:eastAsia="仿宋_GB2312" w:cs="仿宋_GB2312"/>
          <w:b w:val="0"/>
          <w:bCs w:val="0"/>
          <w:color w:val="auto"/>
          <w:kern w:val="0"/>
          <w:sz w:val="32"/>
          <w:szCs w:val="32"/>
          <w:lang w:val="en-US" w:eastAsia="zh-CN" w:bidi="ar-SA"/>
        </w:rPr>
        <w:t>37号）、《关于开展2023年部门、政策和项目支出绩效评价工作的通知》（昭财发〔2023〕12号）文件要求，我院通过立项的必要性；绩效目标</w:t>
      </w:r>
      <w:r>
        <w:rPr>
          <w:rFonts w:hint="eastAsia" w:eastAsia="仿宋_GB2312" w:cs="仿宋_GB2312"/>
          <w:b w:val="0"/>
          <w:bCs w:val="0"/>
          <w:color w:val="auto"/>
          <w:kern w:val="0"/>
          <w:sz w:val="32"/>
          <w:szCs w:val="32"/>
          <w:lang w:val="en-US" w:eastAsia="zh-CN" w:bidi="ar-SA"/>
        </w:rPr>
        <w:t>的</w:t>
      </w:r>
      <w:r>
        <w:rPr>
          <w:rFonts w:hint="eastAsia" w:ascii="Times New Roman" w:hAnsi="Times New Roman" w:eastAsia="仿宋_GB2312" w:cs="仿宋_GB2312"/>
          <w:b w:val="0"/>
          <w:bCs w:val="0"/>
          <w:color w:val="auto"/>
          <w:kern w:val="0"/>
          <w:sz w:val="32"/>
          <w:szCs w:val="32"/>
          <w:lang w:val="en-US" w:eastAsia="zh-CN" w:bidi="ar-SA"/>
        </w:rPr>
        <w:t>合理性；筹资合规性等方面自评打分90分以上，项目绩效运行及结果都比较良好。</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Times New Roman" w:hAnsi="Times New Roman" w:eastAsia="楷体_GB2312" w:cs="Times New Roman"/>
          <w:b/>
          <w:color w:val="auto"/>
          <w:sz w:val="32"/>
          <w:szCs w:val="32"/>
          <w:highlight w:val="none"/>
          <w:u w:val="none"/>
          <w:lang w:val="zh-CN" w:eastAsia="zh-CN"/>
        </w:rPr>
      </w:pPr>
      <w:r>
        <w:rPr>
          <w:rFonts w:hint="eastAsia" w:ascii="Times New Roman" w:hAnsi="Times New Roman" w:eastAsia="楷体_GB2312" w:cs="Times New Roman"/>
          <w:b/>
          <w:color w:val="auto"/>
          <w:sz w:val="32"/>
          <w:szCs w:val="32"/>
          <w:highlight w:val="none"/>
          <w:u w:val="none"/>
          <w:lang w:val="zh-CN" w:eastAsia="zh-CN"/>
        </w:rPr>
        <w:t>（</w:t>
      </w:r>
      <w:r>
        <w:rPr>
          <w:rFonts w:hint="eastAsia" w:ascii="Times New Roman" w:hAnsi="Times New Roman" w:eastAsia="楷体_GB2312" w:cs="Times New Roman"/>
          <w:b/>
          <w:color w:val="auto"/>
          <w:sz w:val="32"/>
          <w:szCs w:val="32"/>
          <w:highlight w:val="none"/>
          <w:u w:val="none"/>
          <w:lang w:val="en-US" w:eastAsia="zh-CN"/>
        </w:rPr>
        <w:t>二</w:t>
      </w:r>
      <w:r>
        <w:rPr>
          <w:rFonts w:hint="eastAsia" w:ascii="Times New Roman" w:hAnsi="Times New Roman" w:eastAsia="楷体_GB2312" w:cs="Times New Roman"/>
          <w:b/>
          <w:color w:val="auto"/>
          <w:sz w:val="32"/>
          <w:szCs w:val="32"/>
          <w:highlight w:val="none"/>
          <w:u w:val="none"/>
          <w:lang w:val="zh-CN" w:eastAsia="zh-CN"/>
        </w:rPr>
        <w:t>）存在</w:t>
      </w:r>
      <w:r>
        <w:rPr>
          <w:rFonts w:hint="eastAsia" w:ascii="Times New Roman" w:hAnsi="Times New Roman" w:eastAsia="楷体_GB2312" w:cs="Times New Roman"/>
          <w:b/>
          <w:color w:val="auto"/>
          <w:sz w:val="32"/>
          <w:szCs w:val="32"/>
          <w:highlight w:val="none"/>
          <w:u w:val="none"/>
          <w:lang w:val="en-US" w:eastAsia="zh-CN"/>
        </w:rPr>
        <w:t>的</w:t>
      </w:r>
      <w:r>
        <w:rPr>
          <w:rFonts w:hint="eastAsia" w:ascii="Times New Roman" w:hAnsi="Times New Roman" w:eastAsia="楷体_GB2312" w:cs="Times New Roman"/>
          <w:b/>
          <w:color w:val="auto"/>
          <w:sz w:val="32"/>
          <w:szCs w:val="32"/>
          <w:highlight w:val="none"/>
          <w:u w:val="none"/>
          <w:lang w:val="zh-CN" w:eastAsia="zh-CN"/>
        </w:rPr>
        <w:t>问题</w:t>
      </w:r>
    </w:p>
    <w:p>
      <w:pPr>
        <w:pStyle w:val="7"/>
        <w:ind w:firstLine="640" w:firstLineChars="200"/>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2022年，我院各项工作虽然取得了一定的成绩，得到了上级组织和领导的充分肯定，但应清醒</w:t>
      </w:r>
      <w:r>
        <w:rPr>
          <w:rFonts w:hint="eastAsia" w:eastAsia="仿宋_GB2312" w:cs="仿宋_GB2312"/>
          <w:b w:val="0"/>
          <w:bCs w:val="0"/>
          <w:color w:val="auto"/>
          <w:kern w:val="0"/>
          <w:sz w:val="32"/>
          <w:szCs w:val="32"/>
          <w:lang w:val="en-US" w:eastAsia="zh-CN" w:bidi="ar-SA"/>
        </w:rPr>
        <w:t>地</w:t>
      </w:r>
      <w:r>
        <w:rPr>
          <w:rFonts w:hint="eastAsia" w:ascii="Times New Roman" w:hAnsi="Times New Roman" w:eastAsia="仿宋_GB2312" w:cs="仿宋_GB2312"/>
          <w:b w:val="0"/>
          <w:bCs w:val="0"/>
          <w:color w:val="auto"/>
          <w:kern w:val="0"/>
          <w:sz w:val="32"/>
          <w:szCs w:val="32"/>
          <w:lang w:val="en-US" w:eastAsia="zh-CN" w:bidi="ar-SA"/>
        </w:rPr>
        <w:t>认识到目前存在的不足。一是提质增效不足，在如何处理好后疫情时代防控与业务的关系探索不多，办法不多，业务发展不佳。二是预算执行力度不够，未从全方位、多层次、多角度反映财政支出状况。三是预算执行分析重要性认识不到位，一些账务处理未按照政府收支分类科目对各经济事项进行明细核算。四是人才队伍薄弱，管理不够精细</w:t>
      </w:r>
      <w:r>
        <w:rPr>
          <w:rFonts w:hint="eastAsia" w:eastAsia="仿宋_GB2312" w:cs="仿宋_GB2312"/>
          <w:b w:val="0"/>
          <w:bCs w:val="0"/>
          <w:color w:val="auto"/>
          <w:kern w:val="0"/>
          <w:sz w:val="32"/>
          <w:szCs w:val="32"/>
          <w:lang w:val="en-US" w:eastAsia="zh-CN" w:bidi="ar-SA"/>
        </w:rPr>
        <w:t>化</w:t>
      </w:r>
      <w:r>
        <w:rPr>
          <w:rFonts w:hint="eastAsia" w:ascii="Times New Roman" w:hAnsi="Times New Roman" w:eastAsia="仿宋_GB2312" w:cs="仿宋_GB2312"/>
          <w:b w:val="0"/>
          <w:bCs w:val="0"/>
          <w:color w:val="auto"/>
          <w:kern w:val="0"/>
          <w:sz w:val="32"/>
          <w:szCs w:val="32"/>
          <w:lang w:val="en-US" w:eastAsia="zh-CN" w:bidi="ar-SA"/>
        </w:rPr>
        <w:t>、高效化。</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Times New Roman" w:hAnsi="Times New Roman" w:eastAsia="楷体_GB2312" w:cs="Times New Roman"/>
          <w:b/>
          <w:color w:val="auto"/>
          <w:sz w:val="32"/>
          <w:szCs w:val="32"/>
          <w:highlight w:val="none"/>
          <w:u w:val="none"/>
          <w:lang w:val="en-US" w:eastAsia="zh-CN"/>
        </w:rPr>
      </w:pPr>
      <w:r>
        <w:rPr>
          <w:rFonts w:hint="eastAsia" w:ascii="Times New Roman" w:hAnsi="Times New Roman" w:eastAsia="楷体_GB2312" w:cs="Times New Roman"/>
          <w:b/>
          <w:color w:val="auto"/>
          <w:sz w:val="32"/>
          <w:szCs w:val="32"/>
          <w:highlight w:val="none"/>
          <w:u w:val="none"/>
          <w:lang w:val="en-US" w:eastAsia="zh-CN"/>
        </w:rPr>
        <w:t>（三）相关建议</w:t>
      </w:r>
    </w:p>
    <w:p>
      <w:pPr>
        <w:pStyle w:val="7"/>
        <w:ind w:firstLine="640" w:firstLineChars="200"/>
        <w:rPr>
          <w:rFonts w:hint="eastAsia" w:ascii="Times New Roman" w:hAnsi="Times New Roman"/>
          <w:color w:val="auto"/>
          <w:lang w:val="en-US" w:eastAsia="zh-CN"/>
        </w:rPr>
      </w:pPr>
      <w:r>
        <w:rPr>
          <w:rFonts w:hint="eastAsia" w:ascii="Times New Roman" w:hAnsi="Times New Roman" w:eastAsia="仿宋_GB2312" w:cs="仿宋_GB2312"/>
          <w:b w:val="0"/>
          <w:bCs w:val="0"/>
          <w:color w:val="auto"/>
          <w:kern w:val="0"/>
          <w:sz w:val="32"/>
          <w:szCs w:val="32"/>
          <w:lang w:val="en-US" w:eastAsia="zh-CN" w:bidi="ar-SA"/>
        </w:rPr>
        <w:t>一是认真准确编制财政项目预算，合理规划、落实执行好项目预算指标，严格执行财务管理制度，完善账务处理流程，及时准确申报财政预算资金。二是提升预算绩效管理统筹组织能力，进一步明确系统内项目单位、资金使用终端的绩效管理责任，完善绩效自评工作流程，提升自评工作效率。三是加快建立预算绩效管理激励机制。建立并完善绩效管理激励机制，无效问责、有效</w:t>
      </w:r>
      <w:r>
        <w:rPr>
          <w:rFonts w:hint="eastAsia" w:eastAsia="仿宋_GB2312" w:cs="仿宋_GB2312"/>
          <w:b w:val="0"/>
          <w:bCs w:val="0"/>
          <w:color w:val="auto"/>
          <w:kern w:val="0"/>
          <w:sz w:val="32"/>
          <w:szCs w:val="32"/>
          <w:lang w:val="en-US" w:eastAsia="zh-CN" w:bidi="ar-SA"/>
        </w:rPr>
        <w:t>者</w:t>
      </w:r>
      <w:r>
        <w:rPr>
          <w:rFonts w:hint="eastAsia" w:ascii="Times New Roman" w:hAnsi="Times New Roman" w:eastAsia="仿宋_GB2312" w:cs="仿宋_GB2312"/>
          <w:b w:val="0"/>
          <w:bCs w:val="0"/>
          <w:color w:val="auto"/>
          <w:kern w:val="0"/>
          <w:sz w:val="32"/>
          <w:szCs w:val="32"/>
          <w:lang w:val="en-US" w:eastAsia="zh-CN" w:bidi="ar-SA"/>
        </w:rPr>
        <w:t>奖、奖罚分明。四是积极主动和财政局各业务股室</w:t>
      </w:r>
      <w:r>
        <w:rPr>
          <w:rFonts w:hint="eastAsia" w:eastAsia="仿宋_GB2312" w:cs="仿宋_GB2312"/>
          <w:b w:val="0"/>
          <w:bCs w:val="0"/>
          <w:color w:val="auto"/>
          <w:kern w:val="0"/>
          <w:sz w:val="32"/>
          <w:szCs w:val="32"/>
          <w:lang w:val="en-US" w:eastAsia="zh-CN" w:bidi="ar-SA"/>
        </w:rPr>
        <w:t>做</w:t>
      </w:r>
      <w:r>
        <w:rPr>
          <w:rFonts w:hint="eastAsia" w:ascii="Times New Roman" w:hAnsi="Times New Roman" w:eastAsia="仿宋_GB2312" w:cs="仿宋_GB2312"/>
          <w:b w:val="0"/>
          <w:bCs w:val="0"/>
          <w:color w:val="auto"/>
          <w:kern w:val="0"/>
          <w:sz w:val="32"/>
          <w:szCs w:val="32"/>
          <w:lang w:val="en-US" w:eastAsia="zh-CN" w:bidi="ar-SA"/>
        </w:rPr>
        <w:t>好沟通协调，强化绩效信息公开，主动接受外部监督，高质高效完成预算指标。</w:t>
      </w:r>
    </w:p>
    <w:p>
      <w:pPr>
        <w:pStyle w:val="2"/>
        <w:keepNext w:val="0"/>
        <w:keepLines w:val="0"/>
        <w:pageBreakBefore w:val="0"/>
        <w:widowControl w:val="0"/>
        <w:kinsoku/>
        <w:wordWrap/>
        <w:overflowPunct/>
        <w:topLinePunct w:val="0"/>
        <w:autoSpaceDE/>
        <w:autoSpaceDN/>
        <w:bidi w:val="0"/>
        <w:adjustRightInd/>
        <w:snapToGrid/>
        <w:spacing w:line="570" w:lineRule="exact"/>
        <w:ind w:left="1678" w:leftChars="342" w:hanging="960" w:hangingChars="300"/>
        <w:textAlignment w:val="auto"/>
        <w:rPr>
          <w:rFonts w:hint="eastAsia" w:ascii="Times New Roman" w:hAnsi="Times New Roman" w:eastAsia="仿宋_GB2312" w:cs="仿宋_GB2312"/>
          <w:b w:val="0"/>
          <w:bCs w:val="0"/>
          <w:color w:val="auto"/>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0" w:lineRule="exact"/>
        <w:ind w:left="1678" w:leftChars="342" w:hanging="960" w:hangingChars="300"/>
        <w:textAlignment w:val="auto"/>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附件：广元市昭化区人民医院2022年财政项目支出绩效自评表</w:t>
      </w:r>
    </w:p>
    <w:p>
      <w:pPr>
        <w:spacing w:line="580" w:lineRule="exact"/>
        <w:rPr>
          <w:rStyle w:val="29"/>
          <w:rFonts w:ascii="Times New Roman" w:hAnsi="Times New Roman" w:eastAsia="黑体"/>
          <w:b w:val="0"/>
          <w:color w:val="auto"/>
          <w:highlight w:val="none"/>
        </w:rPr>
      </w:pPr>
    </w:p>
    <w:p>
      <w:pPr>
        <w:widowControl/>
        <w:jc w:val="left"/>
        <w:rPr>
          <w:rStyle w:val="29"/>
          <w:rFonts w:ascii="Times New Roman" w:hAnsi="Times New Roman" w:eastAsia="黑体"/>
          <w:b w:val="0"/>
          <w:color w:val="auto"/>
          <w:highlight w:val="none"/>
        </w:rPr>
      </w:pPr>
    </w:p>
    <w:p>
      <w:pPr>
        <w:widowControl/>
        <w:jc w:val="left"/>
        <w:rPr>
          <w:rStyle w:val="29"/>
          <w:rFonts w:ascii="Times New Roman" w:hAnsi="Times New Roman" w:eastAsia="黑体"/>
          <w:b w:val="0"/>
          <w:color w:val="auto"/>
          <w:highlight w:val="none"/>
        </w:rPr>
      </w:pPr>
    </w:p>
    <w:p>
      <w:pPr>
        <w:widowControl/>
        <w:jc w:val="left"/>
        <w:rPr>
          <w:rStyle w:val="29"/>
          <w:rFonts w:ascii="Times New Roman" w:hAnsi="Times New Roman" w:eastAsia="黑体"/>
          <w:b w:val="0"/>
          <w:color w:val="auto"/>
          <w:highlight w:val="none"/>
        </w:rPr>
      </w:pPr>
    </w:p>
    <w:p>
      <w:pPr>
        <w:widowControl/>
        <w:jc w:val="left"/>
        <w:rPr>
          <w:rStyle w:val="29"/>
          <w:rFonts w:ascii="Times New Roman" w:hAnsi="Times New Roman" w:eastAsia="黑体"/>
          <w:b w:val="0"/>
          <w:color w:val="auto"/>
          <w:highlight w:val="none"/>
        </w:rPr>
      </w:pPr>
    </w:p>
    <w:p>
      <w:pPr>
        <w:widowControl/>
        <w:jc w:val="left"/>
        <w:rPr>
          <w:rStyle w:val="29"/>
          <w:rFonts w:ascii="Times New Roman" w:hAnsi="Times New Roman" w:eastAsia="黑体"/>
          <w:b w:val="0"/>
          <w:color w:val="auto"/>
          <w:highlight w:val="none"/>
        </w:rPr>
      </w:pPr>
    </w:p>
    <w:tbl>
      <w:tblPr>
        <w:tblStyle w:val="16"/>
        <w:tblW w:w="87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573"/>
        <w:gridCol w:w="891"/>
        <w:gridCol w:w="1150"/>
        <w:gridCol w:w="1877"/>
        <w:gridCol w:w="1321"/>
        <w:gridCol w:w="708"/>
        <w:gridCol w:w="492"/>
        <w:gridCol w:w="341"/>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sz w:val="24"/>
                <w:szCs w:val="24"/>
                <w:u w:val="none"/>
              </w:rPr>
            </w:pPr>
            <w:r>
              <w:rPr>
                <w:rFonts w:hint="eastAsia" w:ascii="Times New Roman" w:hAnsi="Times New Roman" w:eastAsia="宋体" w:cs="宋体"/>
                <w:b/>
                <w:bCs/>
                <w:i w:val="0"/>
                <w:iCs w:val="0"/>
                <w:color w:val="auto"/>
                <w:kern w:val="0"/>
                <w:sz w:val="24"/>
                <w:szCs w:val="24"/>
                <w:u w:val="none"/>
                <w:lang w:val="en-US" w:eastAsia="zh-CN" w:bidi="ar"/>
              </w:rPr>
              <w:t>附件：</w:t>
            </w:r>
          </w:p>
        </w:tc>
        <w:tc>
          <w:tcPr>
            <w:tcW w:w="573"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891" w:type="dxa"/>
            <w:tcBorders>
              <w:top w:val="nil"/>
              <w:left w:val="nil"/>
              <w:bottom w:val="nil"/>
              <w:right w:val="nil"/>
            </w:tcBorders>
            <w:shd w:val="clear" w:color="auto" w:fill="auto"/>
            <w:noWrap/>
            <w:vAlign w:val="center"/>
          </w:tcPr>
          <w:p>
            <w:pPr>
              <w:jc w:val="center"/>
              <w:rPr>
                <w:rFonts w:hint="eastAsia" w:ascii="Times New Roman" w:hAnsi="Times New Roman" w:eastAsia="宋体" w:cs="宋体"/>
                <w:i w:val="0"/>
                <w:iCs w:val="0"/>
                <w:color w:val="auto"/>
                <w:sz w:val="24"/>
                <w:szCs w:val="24"/>
                <w:u w:val="none"/>
              </w:rPr>
            </w:pPr>
          </w:p>
        </w:tc>
        <w:tc>
          <w:tcPr>
            <w:tcW w:w="1088"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1775"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1249"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708"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492"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341"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694"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76"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b/>
                <w:bCs/>
                <w:i w:val="0"/>
                <w:iCs w:val="0"/>
                <w:color w:val="auto"/>
                <w:sz w:val="44"/>
                <w:szCs w:val="44"/>
                <w:u w:val="none"/>
              </w:rPr>
            </w:pPr>
            <w:r>
              <w:rPr>
                <w:rFonts w:hint="default" w:ascii="Times New Roman" w:hAnsi="Times New Roman" w:eastAsia="方正小标宋简体" w:cs="方正小标宋简体"/>
                <w:b/>
                <w:bCs/>
                <w:i w:val="0"/>
                <w:iCs w:val="0"/>
                <w:color w:val="auto"/>
                <w:kern w:val="0"/>
                <w:sz w:val="44"/>
                <w:szCs w:val="4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76"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项目名称</w:t>
            </w:r>
          </w:p>
        </w:tc>
        <w:tc>
          <w:tcPr>
            <w:tcW w:w="723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2022年公共卫生岗位人员经费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主管部门</w:t>
            </w:r>
          </w:p>
        </w:tc>
        <w:tc>
          <w:tcPr>
            <w:tcW w:w="37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广元市昭化区卫生健康局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实施单位</w:t>
            </w:r>
          </w:p>
        </w:tc>
        <w:tc>
          <w:tcPr>
            <w:tcW w:w="2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广元市昭化区人民医院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项目资金（万元）</w:t>
            </w: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全年预算数</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全年执行数</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年度资金总额</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（一）财政拨款小计</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1.一般公共预算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2.政府性基金</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3.国有资本经营预算</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4.社保基金</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3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（二）其他资金</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年度总体目标</w:t>
            </w:r>
          </w:p>
        </w:tc>
        <w:tc>
          <w:tcPr>
            <w:tcW w:w="55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预期目标</w:t>
            </w:r>
          </w:p>
        </w:tc>
        <w:tc>
          <w:tcPr>
            <w:tcW w:w="2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 w:hRule="atLeast"/>
        </w:trPr>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55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发放公共卫生岗位17人的工资福利费用，做好疫情防控，为人民群众提供良好公共卫生医疗服务。</w:t>
            </w:r>
          </w:p>
        </w:tc>
        <w:tc>
          <w:tcPr>
            <w:tcW w:w="2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绩效指标</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一级</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二级指标</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三级指标</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年度指标值</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实际完成值</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产出</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数量指标</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疫情防控及公共卫生医疗服务人员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宋体"/>
                <w:b/>
                <w:bCs/>
                <w:i w:val="0"/>
                <w:iCs w:val="0"/>
                <w:color w:val="auto"/>
                <w:sz w:val="22"/>
                <w:szCs w:val="22"/>
                <w:u w:val="none"/>
              </w:rPr>
            </w:pPr>
            <w:r>
              <w:rPr>
                <w:rFonts w:ascii="Times New Roman" w:hAnsi="Times New Roman" w:eastAsia="宋体" w:cs="宋体"/>
                <w:b/>
                <w:bCs/>
                <w:i w:val="0"/>
                <w:iCs w:val="0"/>
                <w:color w:val="auto"/>
                <w:kern w:val="0"/>
                <w:sz w:val="22"/>
                <w:szCs w:val="22"/>
                <w:u w:val="none"/>
                <w:lang w:val="en-US" w:eastAsia="zh-CN" w:bidi="ar"/>
              </w:rPr>
              <w:t>≧</w:t>
            </w:r>
            <w:r>
              <w:rPr>
                <w:rStyle w:val="37"/>
                <w:rFonts w:ascii="Times New Roman" w:hAnsi="Times New Roman"/>
                <w:color w:val="auto"/>
                <w:lang w:val="en-US" w:eastAsia="zh-CN" w:bidi="ar"/>
              </w:rPr>
              <w:t>17人</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17人</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质量指标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按时足额发放公共岗位人员工资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优良中低差</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优</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公共卫生医疗服务覆盖率</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≧90%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时效指标</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任务完成年限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1年</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1年</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成本指标</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公共卫生岗位人员经费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1000000元</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1000000元</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效益</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社会效益</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为患者提高业务水平</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提升医疗服务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优良中低差</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优</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满意度</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服务对象</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满意度指标</w:t>
            </w:r>
          </w:p>
        </w:tc>
        <w:tc>
          <w:tcPr>
            <w:tcW w:w="28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人民群众对公卫服务满意度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≧95%</w:t>
            </w:r>
          </w:p>
        </w:tc>
        <w:tc>
          <w:tcPr>
            <w:tcW w:w="12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28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2"/>
                <w:szCs w:val="22"/>
                <w:u w:val="none"/>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bl>
    <w:p>
      <w:pPr>
        <w:widowControl/>
        <w:jc w:val="left"/>
        <w:rPr>
          <w:rStyle w:val="29"/>
          <w:rFonts w:ascii="Times New Roman" w:hAnsi="Times New Roman" w:eastAsia="黑体"/>
          <w:b w:val="0"/>
          <w:color w:val="auto"/>
          <w:highlight w:val="none"/>
        </w:rPr>
      </w:pPr>
    </w:p>
    <w:p>
      <w:pPr>
        <w:widowControl/>
        <w:jc w:val="left"/>
        <w:rPr>
          <w:rStyle w:val="29"/>
          <w:rFonts w:ascii="Times New Roman" w:hAnsi="Times New Roman" w:eastAsia="黑体"/>
          <w:b w:val="0"/>
          <w:color w:val="auto"/>
          <w:highlight w:val="none"/>
        </w:rPr>
      </w:pPr>
      <w:r>
        <w:rPr>
          <w:rStyle w:val="29"/>
          <w:rFonts w:ascii="Times New Roman" w:hAnsi="Times New Roman" w:eastAsia="黑体"/>
          <w:b w:val="0"/>
          <w:color w:val="auto"/>
          <w:highlight w:val="none"/>
        </w:rPr>
        <w:br w:type="page"/>
      </w:r>
    </w:p>
    <w:p>
      <w:pPr>
        <w:pStyle w:val="2"/>
        <w:rPr>
          <w:rFonts w:hint="default" w:ascii="Times New Roman" w:hAnsi="Times New Roman" w:cs="宋体"/>
          <w:color w:val="auto"/>
          <w:kern w:val="0"/>
          <w:sz w:val="32"/>
          <w:szCs w:val="32"/>
          <w:highlight w:val="none"/>
          <w:shd w:val="clear" w:color="auto" w:fill="FFFFFF"/>
          <w:lang w:val="en-US" w:eastAsia="zh-CN"/>
        </w:rPr>
      </w:pPr>
      <w:bookmarkStart w:id="55" w:name="_Toc15396618"/>
      <w:r>
        <w:rPr>
          <w:rFonts w:hint="eastAsia" w:ascii="Times New Roman" w:hAnsi="Times New Roman" w:cs="宋体"/>
          <w:color w:val="auto"/>
          <w:kern w:val="0"/>
          <w:sz w:val="32"/>
          <w:szCs w:val="32"/>
          <w:highlight w:val="none"/>
          <w:shd w:val="clear" w:color="auto" w:fill="FFFFFF"/>
          <w:lang w:val="en-US" w:eastAsia="zh-CN"/>
        </w:rPr>
        <w:t>附件3</w:t>
      </w:r>
    </w:p>
    <w:p>
      <w:pPr>
        <w:spacing w:line="580" w:lineRule="exact"/>
        <w:jc w:val="center"/>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广元市昭化区人民医院</w:t>
      </w:r>
    </w:p>
    <w:p>
      <w:pPr>
        <w:spacing w:line="580" w:lineRule="exact"/>
        <w:jc w:val="center"/>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关于2022年债务化解项目</w:t>
      </w:r>
      <w:r>
        <w:rPr>
          <w:rFonts w:hint="default" w:ascii="Times New Roman" w:hAnsi="Times New Roman" w:eastAsia="方正小标宋简体" w:cs="Times New Roman"/>
          <w:color w:val="auto"/>
          <w:sz w:val="44"/>
          <w:szCs w:val="44"/>
          <w:lang w:eastAsia="zh-CN"/>
        </w:rPr>
        <w:t>支出</w:t>
      </w:r>
      <w:r>
        <w:rPr>
          <w:rFonts w:hint="default" w:ascii="Times New Roman" w:hAnsi="Times New Roman" w:eastAsia="方正小标宋简体" w:cs="Times New Roman"/>
          <w:color w:val="auto"/>
          <w:sz w:val="44"/>
          <w:szCs w:val="44"/>
        </w:rPr>
        <w:t>绩效</w:t>
      </w:r>
    </w:p>
    <w:p>
      <w:pPr>
        <w:spacing w:line="58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自评报告</w:t>
      </w:r>
    </w:p>
    <w:p>
      <w:pPr>
        <w:pStyle w:val="7"/>
        <w:rPr>
          <w:rFonts w:hint="default" w:ascii="Times New Roman" w:hAnsi="Times New Roman"/>
          <w:color w:val="auto"/>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w:t>
      </w:r>
      <w:r>
        <w:rPr>
          <w:rFonts w:hint="eastAsia" w:ascii="Times New Roman" w:hAnsi="Times New Roman" w:eastAsia="黑体" w:cs="Times New Roman"/>
          <w:color w:val="auto"/>
          <w:sz w:val="32"/>
          <w:szCs w:val="32"/>
          <w:highlight w:val="none"/>
          <w:lang w:eastAsia="zh-CN"/>
        </w:rPr>
        <w:t>、项目</w:t>
      </w:r>
      <w:r>
        <w:rPr>
          <w:rFonts w:hint="default" w:ascii="Times New Roman" w:hAnsi="Times New Roman" w:eastAsia="黑体" w:cs="Times New Roman"/>
          <w:color w:val="auto"/>
          <w:sz w:val="32"/>
          <w:szCs w:val="32"/>
          <w:highlight w:val="none"/>
        </w:rPr>
        <w:t>概况</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（一）项目基本情况</w:t>
      </w:r>
    </w:p>
    <w:p>
      <w:pPr>
        <w:widowControl/>
        <w:spacing w:line="560" w:lineRule="exact"/>
        <w:ind w:firstLine="645"/>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华文仿宋" w:cs="Times New Roman"/>
          <w:color w:val="auto"/>
          <w:sz w:val="32"/>
          <w:szCs w:val="32"/>
          <w:lang w:val="en-US" w:eastAsia="zh-CN"/>
        </w:rPr>
        <w:t>为切实减轻医院还款压力，助推高质量发展</w:t>
      </w:r>
      <w:r>
        <w:rPr>
          <w:rFonts w:hint="eastAsia" w:ascii="Times New Roman" w:hAnsi="Times New Roman" w:eastAsia="华文仿宋" w:cs="Times New Roman"/>
          <w:color w:val="auto"/>
          <w:sz w:val="32"/>
          <w:szCs w:val="32"/>
          <w:lang w:val="en-US" w:eastAsia="zh-CN"/>
        </w:rPr>
        <w:t>，</w:t>
      </w:r>
      <w:r>
        <w:rPr>
          <w:rFonts w:hint="default" w:ascii="Times New Roman" w:hAnsi="Times New Roman" w:eastAsia="华文仿宋" w:cs="Times New Roman"/>
          <w:color w:val="auto"/>
          <w:sz w:val="32"/>
          <w:szCs w:val="32"/>
          <w:lang w:val="en-US" w:eastAsia="zh-CN"/>
        </w:rPr>
        <w:t>确保我院能快速回归公益本位，为高效融入健康昭化建设和倾力打造人民群众满意的公立综合龙头医院而担当作为</w:t>
      </w:r>
      <w:r>
        <w:rPr>
          <w:rFonts w:hint="eastAsia" w:ascii="Times New Roman" w:hAnsi="Times New Roman" w:eastAsia="华文仿宋" w:cs="Times New Roman"/>
          <w:color w:val="auto"/>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我院2019年申报《关于逐年专项解决高质量发展债务资金的请示》（昭医〔2019〕133号），龙区长2019年11月28日批复请财政按《关于加快推进区人民医院高质量发展的纪要》（昭府阅〔2019〕42号）落实。</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default" w:ascii="Times New Roman" w:hAnsi="Times New Roman" w:eastAsia="楷体_GB2312" w:cs="Times New Roman"/>
          <w:b/>
          <w:color w:val="auto"/>
          <w:sz w:val="32"/>
          <w:szCs w:val="32"/>
          <w:highlight w:val="none"/>
          <w:u w:val="none"/>
          <w:lang w:val="zh-CN"/>
        </w:rPr>
      </w:pPr>
      <w:r>
        <w:rPr>
          <w:rFonts w:hint="default" w:ascii="Times New Roman" w:hAnsi="Times New Roman" w:eastAsia="楷体_GB2312" w:cs="Times New Roman"/>
          <w:b/>
          <w:color w:val="auto"/>
          <w:sz w:val="32"/>
          <w:szCs w:val="32"/>
          <w:highlight w:val="none"/>
          <w:u w:val="none"/>
          <w:lang w:val="zh-CN"/>
        </w:rPr>
        <w:t>（</w:t>
      </w:r>
      <w:r>
        <w:rPr>
          <w:rFonts w:hint="eastAsia" w:ascii="Times New Roman" w:hAnsi="Times New Roman" w:eastAsia="楷体_GB2312" w:cs="Times New Roman"/>
          <w:b/>
          <w:color w:val="auto"/>
          <w:sz w:val="32"/>
          <w:szCs w:val="32"/>
          <w:highlight w:val="none"/>
          <w:u w:val="none"/>
          <w:lang w:val="zh-CN" w:eastAsia="zh-CN"/>
        </w:rPr>
        <w:t>二</w:t>
      </w:r>
      <w:r>
        <w:rPr>
          <w:rFonts w:hint="default" w:ascii="Times New Roman" w:hAnsi="Times New Roman" w:eastAsia="楷体_GB2312" w:cs="Times New Roman"/>
          <w:b/>
          <w:color w:val="auto"/>
          <w:sz w:val="32"/>
          <w:szCs w:val="32"/>
          <w:highlight w:val="none"/>
          <w:u w:val="none"/>
          <w:lang w:val="zh-CN"/>
        </w:rPr>
        <w:t>）</w:t>
      </w:r>
      <w:r>
        <w:rPr>
          <w:rFonts w:hint="eastAsia" w:ascii="Times New Roman" w:hAnsi="Times New Roman" w:eastAsia="楷体_GB2312" w:cs="Times New Roman"/>
          <w:b/>
          <w:color w:val="auto"/>
          <w:sz w:val="32"/>
          <w:szCs w:val="32"/>
          <w:highlight w:val="none"/>
          <w:u w:val="none"/>
          <w:lang w:val="zh-CN" w:eastAsia="zh-CN"/>
        </w:rPr>
        <w:t>项目绩效目标</w:t>
      </w:r>
    </w:p>
    <w:p>
      <w:pPr>
        <w:widowControl/>
        <w:spacing w:line="560" w:lineRule="exact"/>
        <w:ind w:firstLine="645"/>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按《关于加快推进区人民医院高质量发展的纪要》（昭府阅〔2019〕42号），财政预算按商业银行还款本息50%予以补助(连续支持5-8年），2019年财政先行解决360万元。我院按季向银行结算贷款本息。项目申报内容与具体实施内容相符，申报目标合理可行。</w:t>
      </w:r>
    </w:p>
    <w:p>
      <w:pPr>
        <w:widowControl/>
        <w:spacing w:line="560" w:lineRule="exact"/>
        <w:ind w:firstLine="645"/>
        <w:jc w:val="left"/>
        <w:rPr>
          <w:rFonts w:hint="default" w:ascii="Times New Roman" w:hAnsi="Times New Roman"/>
          <w:color w:val="auto"/>
          <w:lang w:val="en-US" w:eastAsia="zh-CN"/>
        </w:rPr>
      </w:pPr>
      <w:r>
        <w:rPr>
          <w:rFonts w:hint="eastAsia" w:ascii="Times New Roman" w:hAnsi="Times New Roman" w:eastAsia="楷体_GB2312"/>
          <w:b/>
          <w:color w:val="auto"/>
          <w:sz w:val="32"/>
          <w:szCs w:val="32"/>
          <w:highlight w:val="none"/>
          <w:u w:val="none"/>
          <w:lang w:val="zh-CN"/>
        </w:rPr>
        <w:t>（三）项目自评步骤及方法</w:t>
      </w:r>
    </w:p>
    <w:p>
      <w:pPr>
        <w:widowControl/>
        <w:spacing w:line="560" w:lineRule="exact"/>
        <w:ind w:firstLine="645"/>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是落实组织保障，由单位主要领导负总责，分管财务工作的副院长亲自管理，财务和相关业务部门人员具体落实工作。二是我院严格实行政府会议纪要内容，按照与银行签订协议组织实施项目。三是及时修正绩效目标，在预算执行过程中加强了绩效运行监控，对执行中存在偏差的项目进行了原因分析和及时整改，确保达到年初绩效目标。项目结束后积极进行绩效评价，强化了结果运用。</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643" w:firstLineChars="200"/>
        <w:textAlignment w:val="auto"/>
        <w:rPr>
          <w:rFonts w:hint="eastAsia" w:ascii="Times New Roman" w:hAnsi="Times New Roman" w:eastAsia="楷体_GB2312"/>
          <w:b/>
          <w:color w:val="auto"/>
          <w:sz w:val="32"/>
          <w:szCs w:val="32"/>
          <w:highlight w:val="none"/>
          <w:u w:val="none"/>
          <w:lang w:val="zh-CN"/>
        </w:rPr>
      </w:pPr>
      <w:r>
        <w:rPr>
          <w:rFonts w:hint="eastAsia" w:ascii="Times New Roman" w:hAnsi="Times New Roman" w:eastAsia="楷体_GB2312"/>
          <w:b/>
          <w:color w:val="auto"/>
          <w:sz w:val="32"/>
          <w:szCs w:val="32"/>
          <w:highlight w:val="none"/>
          <w:u w:val="none"/>
          <w:lang w:val="zh-CN"/>
        </w:rPr>
        <w:t>（一）项目资金申报及批复情况</w:t>
      </w:r>
    </w:p>
    <w:p>
      <w:pPr>
        <w:pStyle w:val="2"/>
        <w:ind w:firstLine="640" w:firstLineChars="200"/>
        <w:rPr>
          <w:rFonts w:hint="eastAsia" w:ascii="Times New Roman" w:hAnsi="Times New Roman" w:eastAsia="楷体_GB2312"/>
          <w:b/>
          <w:color w:val="auto"/>
          <w:sz w:val="32"/>
          <w:szCs w:val="32"/>
          <w:highlight w:val="none"/>
          <w:u w:val="none"/>
          <w:lang w:val="zh-CN"/>
        </w:rPr>
      </w:pPr>
      <w:r>
        <w:rPr>
          <w:rFonts w:hint="eastAsia" w:ascii="Times New Roman" w:hAnsi="Times New Roman" w:eastAsia="仿宋_GB2312" w:cs="Times New Roman"/>
          <w:color w:val="auto"/>
          <w:kern w:val="2"/>
          <w:sz w:val="32"/>
          <w:szCs w:val="32"/>
          <w:lang w:val="en-US" w:eastAsia="zh-CN" w:bidi="ar-SA"/>
        </w:rPr>
        <w:t>我院2019年申报《关于逐年专项解决高质量发展债务资金的请示》（昭医〔2019〕133号），龙区长2019年11月28日批复请财政按《关于加快推进区人民医院高质量发展的纪要》（昭府阅〔2019〕42号）落实。</w:t>
      </w:r>
    </w:p>
    <w:p>
      <w:pPr>
        <w:pStyle w:val="2"/>
        <w:ind w:firstLine="643" w:firstLineChars="200"/>
        <w:rPr>
          <w:rFonts w:ascii="Times New Roman" w:hAnsi="Times New Roman"/>
          <w:color w:val="auto"/>
          <w:lang w:val="zh-CN"/>
        </w:rPr>
      </w:pPr>
      <w:r>
        <w:rPr>
          <w:rFonts w:hint="eastAsia" w:ascii="Times New Roman" w:hAnsi="Times New Roman" w:eastAsia="楷体_GB2312"/>
          <w:b/>
          <w:color w:val="auto"/>
          <w:sz w:val="32"/>
          <w:szCs w:val="32"/>
          <w:highlight w:val="none"/>
          <w:u w:val="none"/>
          <w:lang w:val="zh-CN"/>
        </w:rPr>
        <w:t>（二）资金计划、到位及使用情况</w:t>
      </w:r>
    </w:p>
    <w:p>
      <w:pPr>
        <w:snapToGrid w:val="0"/>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1.资金计划。本项目包含区本级财政资金360万元。</w:t>
      </w:r>
    </w:p>
    <w:p>
      <w:pPr>
        <w:snapToGrid w:val="0"/>
        <w:spacing w:line="52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2.资金到位。2022年财政预算化债项目资金360万元，实际到位180万元，资金到位率50%。剩余财政未支付的180万元作为结余资金结转到2023年。</w:t>
      </w:r>
    </w:p>
    <w:p>
      <w:pPr>
        <w:snapToGrid w:val="0"/>
        <w:spacing w:line="520" w:lineRule="exac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3.资金使用方面，我院严格按照银行贷款协议按季度结算贷款本息。资金支付范围、标准及支付进度合理合规，与预算项目绩效指标完全相符。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color w:val="auto"/>
          <w:kern w:val="0"/>
          <w:sz w:val="32"/>
          <w:szCs w:val="32"/>
          <w:highlight w:val="none"/>
          <w:u w:val="none"/>
          <w:lang w:val="zh-CN" w:eastAsia="zh-CN" w:bidi="ar-SA"/>
        </w:rPr>
      </w:pPr>
      <w:r>
        <w:rPr>
          <w:rFonts w:hint="default" w:ascii="Times New Roman" w:hAnsi="Times New Roman" w:eastAsia="楷体_GB2312" w:cs="Times New Roman"/>
          <w:b/>
          <w:color w:val="auto"/>
          <w:kern w:val="0"/>
          <w:sz w:val="32"/>
          <w:szCs w:val="32"/>
          <w:highlight w:val="none"/>
          <w:u w:val="none"/>
          <w:lang w:val="zh-CN" w:eastAsia="zh-CN" w:bidi="ar-SA"/>
        </w:rPr>
        <w:t>（</w:t>
      </w:r>
      <w:r>
        <w:rPr>
          <w:rFonts w:hint="eastAsia" w:ascii="Times New Roman" w:hAnsi="Times New Roman" w:eastAsia="楷体_GB2312" w:cs="Times New Roman"/>
          <w:b/>
          <w:color w:val="auto"/>
          <w:kern w:val="0"/>
          <w:sz w:val="32"/>
          <w:szCs w:val="32"/>
          <w:highlight w:val="none"/>
          <w:u w:val="none"/>
          <w:lang w:val="en-US" w:eastAsia="zh-CN" w:bidi="ar-SA"/>
        </w:rPr>
        <w:t>三</w:t>
      </w:r>
      <w:r>
        <w:rPr>
          <w:rFonts w:hint="default" w:ascii="Times New Roman" w:hAnsi="Times New Roman" w:eastAsia="楷体_GB2312" w:cs="Times New Roman"/>
          <w:b/>
          <w:color w:val="auto"/>
          <w:kern w:val="0"/>
          <w:sz w:val="32"/>
          <w:szCs w:val="32"/>
          <w:highlight w:val="none"/>
          <w:u w:val="none"/>
          <w:lang w:val="zh-CN" w:eastAsia="zh-CN" w:bidi="ar-SA"/>
        </w:rPr>
        <w:t>）</w:t>
      </w:r>
      <w:r>
        <w:rPr>
          <w:rFonts w:hint="eastAsia" w:ascii="Times New Roman" w:hAnsi="Times New Roman" w:eastAsia="楷体_GB2312" w:cs="Times New Roman"/>
          <w:b/>
          <w:color w:val="auto"/>
          <w:kern w:val="0"/>
          <w:sz w:val="32"/>
          <w:szCs w:val="32"/>
          <w:highlight w:val="none"/>
          <w:u w:val="none"/>
          <w:lang w:val="zh-CN" w:eastAsia="zh-CN" w:bidi="ar-SA"/>
        </w:rPr>
        <w:t>项目财务管理情况</w:t>
      </w:r>
    </w:p>
    <w:p>
      <w:pPr>
        <w:pStyle w:val="2"/>
        <w:spacing w:before="111"/>
        <w:ind w:firstLine="640" w:firstLineChars="200"/>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按照《中华人民共和国预算法》</w:t>
      </w:r>
      <w:r>
        <w:rPr>
          <w:rFonts w:hint="eastAsia" w:ascii="Times New Roman" w:hAnsi="Times New Roman" w:cs="仿宋_GB2312"/>
          <w:b w:val="0"/>
          <w:bCs w:val="0"/>
          <w:color w:val="auto"/>
          <w:kern w:val="0"/>
          <w:sz w:val="32"/>
          <w:szCs w:val="32"/>
          <w:lang w:val="en-US" w:eastAsia="zh-CN" w:bidi="ar-SA"/>
        </w:rPr>
        <w:t>、</w:t>
      </w:r>
      <w:r>
        <w:rPr>
          <w:rFonts w:hint="eastAsia" w:ascii="Times New Roman" w:hAnsi="Times New Roman" w:eastAsia="仿宋_GB2312" w:cs="仿宋_GB2312"/>
          <w:b w:val="0"/>
          <w:bCs w:val="0"/>
          <w:color w:val="auto"/>
          <w:kern w:val="0"/>
          <w:sz w:val="32"/>
          <w:szCs w:val="32"/>
          <w:lang w:val="en-US" w:eastAsia="zh-CN" w:bidi="ar-SA"/>
        </w:rPr>
        <w:t>《中华人民共和</w:t>
      </w:r>
      <w:r>
        <w:rPr>
          <w:rFonts w:hint="eastAsia" w:ascii="Times New Roman" w:hAnsi="Times New Roman" w:cs="仿宋_GB2312"/>
          <w:b w:val="0"/>
          <w:bCs w:val="0"/>
          <w:color w:val="auto"/>
          <w:kern w:val="0"/>
          <w:sz w:val="32"/>
          <w:szCs w:val="32"/>
          <w:lang w:val="en-US" w:eastAsia="zh-CN" w:bidi="ar-SA"/>
        </w:rPr>
        <w:t>国</w:t>
      </w:r>
      <w:r>
        <w:rPr>
          <w:rFonts w:hint="eastAsia" w:ascii="Times New Roman" w:hAnsi="Times New Roman" w:eastAsia="仿宋_GB2312" w:cs="仿宋_GB2312"/>
          <w:b w:val="0"/>
          <w:bCs w:val="0"/>
          <w:color w:val="auto"/>
          <w:kern w:val="0"/>
          <w:sz w:val="32"/>
          <w:szCs w:val="32"/>
          <w:lang w:val="en-US" w:eastAsia="zh-CN" w:bidi="ar-SA"/>
        </w:rPr>
        <w:t>会计法》</w:t>
      </w:r>
      <w:r>
        <w:rPr>
          <w:rFonts w:hint="eastAsia" w:ascii="Times New Roman" w:hAnsi="Times New Roman" w:cs="仿宋_GB2312"/>
          <w:b w:val="0"/>
          <w:bCs w:val="0"/>
          <w:color w:val="auto"/>
          <w:kern w:val="0"/>
          <w:sz w:val="32"/>
          <w:szCs w:val="32"/>
          <w:lang w:val="en-US" w:eastAsia="zh-CN" w:bidi="ar-SA"/>
        </w:rPr>
        <w:t>、</w:t>
      </w:r>
      <w:r>
        <w:rPr>
          <w:rFonts w:hint="eastAsia" w:ascii="Times New Roman" w:hAnsi="Times New Roman" w:eastAsia="仿宋_GB2312" w:cs="仿宋_GB2312"/>
          <w:b w:val="0"/>
          <w:bCs w:val="0"/>
          <w:color w:val="auto"/>
          <w:kern w:val="0"/>
          <w:sz w:val="32"/>
          <w:szCs w:val="32"/>
          <w:lang w:val="en-US" w:eastAsia="zh-CN" w:bidi="ar-SA"/>
        </w:rPr>
        <w:t>《政府会计制度》等法律法规要求，建立健全内部监管机制，严格执行各项财务管理制度，加强资金支付管理，提高资金使用效率。该项目资金使用合规合法，与预算相符，财务处理及时，会计核算规范</w:t>
      </w:r>
      <w:r>
        <w:rPr>
          <w:rFonts w:hint="eastAsia" w:ascii="Times New Roman" w:hAnsi="Times New Roman" w:cs="仿宋_GB2312"/>
          <w:b w:val="0"/>
          <w:bCs w:val="0"/>
          <w:color w:val="auto"/>
          <w:kern w:val="0"/>
          <w:sz w:val="32"/>
          <w:szCs w:val="32"/>
          <w:lang w:val="en-US" w:eastAsia="zh-CN" w:bidi="ar-SA"/>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Times New Roman" w:hAnsi="Times New Roman" w:eastAsia="黑体"/>
          <w:color w:val="auto"/>
          <w:sz w:val="32"/>
          <w:szCs w:val="32"/>
          <w:highlight w:val="none"/>
          <w:u w:val="none"/>
        </w:rPr>
      </w:pPr>
      <w:r>
        <w:rPr>
          <w:rFonts w:hint="eastAsia" w:ascii="Times New Roman" w:hAnsi="Times New Roman" w:eastAsia="黑体"/>
          <w:color w:val="auto"/>
          <w:sz w:val="32"/>
          <w:szCs w:val="32"/>
          <w:highlight w:val="none"/>
          <w:u w:val="none"/>
        </w:rPr>
        <w:t>三、项目实施及管理情况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根据预算绩效管理相关要求，我院全面实施了预算项目绩效目标管理，一是落实组织保障，由单位主要领导负总责，分管财务工作的副院长亲自管理，财务和相关业务部门人员具体落实工作。二是我院严格实行政府会议纪要内容，按照与银行签订协议组织实施项目。三是及时修正绩效目标，在预算执行过程中加强了绩效运行监控，对执行中存在偏差的项目进行了原因分析和及时整改，确保达到年初绩效目标。项目结束后积极进行绩效评价，强化了结果运用。</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黑体" w:cs="Times New Roman"/>
          <w:color w:val="auto"/>
          <w:sz w:val="32"/>
          <w:szCs w:val="32"/>
          <w:highlight w:val="none"/>
          <w:u w:val="none"/>
          <w:lang w:eastAsia="zh-CN"/>
        </w:rPr>
      </w:pPr>
      <w:r>
        <w:rPr>
          <w:rFonts w:hint="eastAsia"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eastAsia="zh-CN"/>
        </w:rPr>
        <w:t>项目绩效情况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zh-CN" w:eastAsia="zh-CN" w:bidi="ar-SA"/>
        </w:rPr>
      </w:pPr>
      <w:r>
        <w:rPr>
          <w:rFonts w:hint="default" w:ascii="Times New Roman" w:hAnsi="Times New Roman" w:eastAsia="楷体_GB2312" w:cs="Times New Roman"/>
          <w:b/>
          <w:color w:val="auto"/>
          <w:kern w:val="0"/>
          <w:sz w:val="32"/>
          <w:szCs w:val="32"/>
          <w:highlight w:val="none"/>
          <w:u w:val="none"/>
          <w:lang w:val="zh-CN" w:eastAsia="zh-CN" w:bidi="ar-SA"/>
        </w:rPr>
        <w:t>（一）</w:t>
      </w:r>
      <w:r>
        <w:rPr>
          <w:rFonts w:hint="eastAsia" w:ascii="Times New Roman" w:hAnsi="Times New Roman" w:eastAsia="楷体_GB2312" w:cs="Times New Roman"/>
          <w:b/>
          <w:color w:val="auto"/>
          <w:kern w:val="0"/>
          <w:sz w:val="32"/>
          <w:szCs w:val="32"/>
          <w:highlight w:val="none"/>
          <w:u w:val="none"/>
          <w:lang w:val="zh-CN" w:eastAsia="zh-CN" w:bidi="ar-SA"/>
        </w:rPr>
        <w:t>项目完成情况</w:t>
      </w:r>
      <w:r>
        <w:rPr>
          <w:rFonts w:hint="default" w:ascii="Times New Roman" w:hAnsi="Times New Roman" w:eastAsia="楷体_GB2312" w:cs="Times New Roman"/>
          <w:b/>
          <w:color w:val="auto"/>
          <w:kern w:val="0"/>
          <w:sz w:val="32"/>
          <w:szCs w:val="32"/>
          <w:highlight w:val="none"/>
          <w:u w:val="none"/>
          <w:lang w:val="zh-CN"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2022年债务化解项目资金360万元，实际到位财政资金180万元，剩余财政未支付的180万元作为结余资金结转到2023年。我院1年内全部及时足额偿还贷款本息（资金不足部分由我院自筹），银行方满意度达到90%以上。我院按时按量按计划按标准完成项目绩效目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zh-CN" w:eastAsia="zh-CN" w:bidi="ar-SA"/>
        </w:rPr>
      </w:pPr>
      <w:r>
        <w:rPr>
          <w:rFonts w:hint="eastAsia" w:ascii="Times New Roman" w:hAnsi="Times New Roman" w:eastAsia="楷体_GB2312" w:cs="Times New Roman"/>
          <w:b/>
          <w:color w:val="auto"/>
          <w:kern w:val="0"/>
          <w:sz w:val="32"/>
          <w:szCs w:val="32"/>
          <w:highlight w:val="none"/>
          <w:u w:val="none"/>
          <w:lang w:val="zh-CN" w:eastAsia="zh-CN" w:bidi="ar-SA"/>
        </w:rPr>
        <w:t>（二）项目效益情况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我院按照与农行协议及时足额偿还贷款本息，银行方满意度达到90%以上。我院化解债务减轻医院资金压力，把更多的资金用于购置设备，使更多医务人员外出学习培训，提高业务水平，改善医疗条件，为更多的患者服务，就地解决人民群众看病问题，使昭化区医疗水平高质量发展。</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Times New Roman" w:hAnsi="Times New Roman" w:eastAsia="黑体" w:cs="Times New Roman"/>
          <w:color w:val="auto"/>
          <w:sz w:val="32"/>
          <w:szCs w:val="32"/>
          <w:highlight w:val="none"/>
          <w:u w:val="none"/>
          <w:lang w:eastAsia="zh-CN"/>
        </w:rPr>
      </w:pPr>
      <w:r>
        <w:rPr>
          <w:rFonts w:hint="eastAsia" w:ascii="Times New Roman" w:hAnsi="Times New Roman" w:eastAsia="黑体" w:cs="Times New Roman"/>
          <w:color w:val="auto"/>
          <w:sz w:val="32"/>
          <w:szCs w:val="32"/>
          <w:highlight w:val="none"/>
          <w:u w:val="none"/>
          <w:lang w:val="en-US" w:eastAsia="zh-CN"/>
        </w:rPr>
        <w:t>五、自评</w:t>
      </w:r>
      <w:r>
        <w:rPr>
          <w:rFonts w:hint="eastAsia" w:ascii="Times New Roman" w:hAnsi="Times New Roman" w:eastAsia="黑体" w:cs="Times New Roman"/>
          <w:color w:val="auto"/>
          <w:sz w:val="32"/>
          <w:szCs w:val="32"/>
          <w:highlight w:val="none"/>
          <w:u w:val="none"/>
          <w:lang w:eastAsia="zh-CN"/>
        </w:rPr>
        <w:t>结论及建议</w:t>
      </w:r>
    </w:p>
    <w:p>
      <w:pPr>
        <w:pStyle w:val="7"/>
        <w:numPr>
          <w:ilvl w:val="0"/>
          <w:numId w:val="0"/>
        </w:numPr>
        <w:rPr>
          <w:rFonts w:hint="eastAsia" w:ascii="Times New Roman" w:hAnsi="Times New Roman" w:eastAsia="楷体_GB2312" w:cs="Times New Roman"/>
          <w:b/>
          <w:color w:val="auto"/>
          <w:kern w:val="0"/>
          <w:sz w:val="32"/>
          <w:szCs w:val="32"/>
          <w:highlight w:val="none"/>
          <w:u w:val="none"/>
          <w:lang w:val="zh-CN"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 xml:space="preserve">    （一）</w:t>
      </w:r>
      <w:r>
        <w:rPr>
          <w:rFonts w:hint="eastAsia" w:ascii="Times New Roman" w:hAnsi="Times New Roman" w:eastAsia="楷体_GB2312" w:cs="Times New Roman"/>
          <w:b/>
          <w:color w:val="auto"/>
          <w:kern w:val="0"/>
          <w:sz w:val="32"/>
          <w:szCs w:val="32"/>
          <w:highlight w:val="none"/>
          <w:u w:val="none"/>
          <w:lang w:val="zh-CN" w:eastAsia="zh-CN" w:bidi="ar-SA"/>
        </w:rPr>
        <w:t>评价结论</w:t>
      </w:r>
    </w:p>
    <w:p>
      <w:pPr>
        <w:pStyle w:val="7"/>
        <w:ind w:firstLine="640" w:firstLineChars="200"/>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根据《广元市昭化区人民政府办公室关于印发&lt;广元市昭化区财政预算绩效管理办法&gt;的通知》（昭府办函</w:t>
      </w:r>
      <w:r>
        <w:rPr>
          <w:rFonts w:hint="default" w:ascii="Times New Roman" w:hAnsi="Times New Roman" w:eastAsia="仿宋_GB2312" w:cs="仿宋_GB2312"/>
          <w:b w:val="0"/>
          <w:bCs w:val="0"/>
          <w:color w:val="auto"/>
          <w:kern w:val="0"/>
          <w:sz w:val="32"/>
          <w:szCs w:val="32"/>
          <w:lang w:val="en-US" w:eastAsia="zh-CN" w:bidi="ar-SA"/>
        </w:rPr>
        <w:t>〔20</w:t>
      </w:r>
      <w:r>
        <w:rPr>
          <w:rFonts w:hint="eastAsia" w:ascii="Times New Roman" w:hAnsi="Times New Roman" w:eastAsia="仿宋_GB2312" w:cs="仿宋_GB2312"/>
          <w:b w:val="0"/>
          <w:bCs w:val="0"/>
          <w:color w:val="auto"/>
          <w:kern w:val="0"/>
          <w:sz w:val="32"/>
          <w:szCs w:val="32"/>
          <w:lang w:val="en-US" w:eastAsia="zh-CN" w:bidi="ar-SA"/>
        </w:rPr>
        <w:t>22</w:t>
      </w:r>
      <w:r>
        <w:rPr>
          <w:rFonts w:hint="default" w:ascii="Times New Roman" w:hAnsi="Times New Roman" w:eastAsia="仿宋_GB2312" w:cs="仿宋_GB2312"/>
          <w:b w:val="0"/>
          <w:bCs w:val="0"/>
          <w:color w:val="auto"/>
          <w:kern w:val="0"/>
          <w:sz w:val="32"/>
          <w:szCs w:val="32"/>
          <w:lang w:val="en-US" w:eastAsia="zh-CN" w:bidi="ar-SA"/>
        </w:rPr>
        <w:t>〕</w:t>
      </w:r>
      <w:r>
        <w:rPr>
          <w:rFonts w:hint="eastAsia" w:ascii="Times New Roman" w:hAnsi="Times New Roman" w:eastAsia="仿宋_GB2312" w:cs="仿宋_GB2312"/>
          <w:b w:val="0"/>
          <w:bCs w:val="0"/>
          <w:color w:val="auto"/>
          <w:kern w:val="0"/>
          <w:sz w:val="32"/>
          <w:szCs w:val="32"/>
          <w:lang w:val="en-US" w:eastAsia="zh-CN" w:bidi="ar-SA"/>
        </w:rPr>
        <w:t>37号）、《关于开展2023年部门、政策和项目支出绩效评价工作的通知》（昭财发〔2023〕12号）文件要求，我院通过立项的必要性；绩效目标</w:t>
      </w:r>
      <w:r>
        <w:rPr>
          <w:rFonts w:hint="eastAsia" w:eastAsia="仿宋_GB2312" w:cs="仿宋_GB2312"/>
          <w:b w:val="0"/>
          <w:bCs w:val="0"/>
          <w:color w:val="auto"/>
          <w:kern w:val="0"/>
          <w:sz w:val="32"/>
          <w:szCs w:val="32"/>
          <w:lang w:val="en-US" w:eastAsia="zh-CN" w:bidi="ar-SA"/>
        </w:rPr>
        <w:t>的</w:t>
      </w:r>
      <w:r>
        <w:rPr>
          <w:rFonts w:hint="eastAsia" w:ascii="Times New Roman" w:hAnsi="Times New Roman" w:eastAsia="仿宋_GB2312" w:cs="仿宋_GB2312"/>
          <w:b w:val="0"/>
          <w:bCs w:val="0"/>
          <w:color w:val="auto"/>
          <w:kern w:val="0"/>
          <w:sz w:val="32"/>
          <w:szCs w:val="32"/>
          <w:lang w:val="en-US" w:eastAsia="zh-CN" w:bidi="ar-SA"/>
        </w:rPr>
        <w:t>合理性；筹资合规性等方面自评打分90分以上，项目绩效运行及结果都比较良好。</w:t>
      </w:r>
    </w:p>
    <w:p>
      <w:pPr>
        <w:numPr>
          <w:ilvl w:val="0"/>
          <w:numId w:val="9"/>
        </w:numPr>
        <w:ind w:firstLine="643" w:firstLineChars="200"/>
        <w:rPr>
          <w:rFonts w:hint="eastAsia" w:ascii="Times New Roman" w:hAnsi="Times New Roman" w:eastAsia="楷体_GB2312" w:cs="Times New Roman"/>
          <w:b/>
          <w:color w:val="auto"/>
          <w:kern w:val="0"/>
          <w:sz w:val="32"/>
          <w:szCs w:val="32"/>
          <w:highlight w:val="none"/>
          <w:u w:val="none"/>
          <w:lang w:val="zh-CN" w:eastAsia="zh-CN" w:bidi="ar-SA"/>
        </w:rPr>
      </w:pPr>
      <w:r>
        <w:rPr>
          <w:rFonts w:hint="eastAsia" w:ascii="Times New Roman" w:hAnsi="Times New Roman" w:eastAsia="楷体_GB2312" w:cs="Times New Roman"/>
          <w:b/>
          <w:color w:val="auto"/>
          <w:kern w:val="0"/>
          <w:sz w:val="32"/>
          <w:szCs w:val="32"/>
          <w:highlight w:val="none"/>
          <w:u w:val="none"/>
          <w:lang w:val="zh-CN" w:eastAsia="zh-CN" w:bidi="ar-SA"/>
        </w:rPr>
        <w:t>存在</w:t>
      </w:r>
      <w:r>
        <w:rPr>
          <w:rFonts w:hint="eastAsia" w:ascii="Times New Roman" w:hAnsi="Times New Roman" w:eastAsia="楷体_GB2312" w:cs="Times New Roman"/>
          <w:b/>
          <w:color w:val="auto"/>
          <w:kern w:val="0"/>
          <w:sz w:val="32"/>
          <w:szCs w:val="32"/>
          <w:highlight w:val="none"/>
          <w:u w:val="none"/>
          <w:lang w:val="en-US" w:eastAsia="zh-CN" w:bidi="ar-SA"/>
        </w:rPr>
        <w:t>的</w:t>
      </w:r>
      <w:r>
        <w:rPr>
          <w:rFonts w:hint="eastAsia" w:ascii="Times New Roman" w:hAnsi="Times New Roman" w:eastAsia="楷体_GB2312" w:cs="Times New Roman"/>
          <w:b/>
          <w:color w:val="auto"/>
          <w:kern w:val="0"/>
          <w:sz w:val="32"/>
          <w:szCs w:val="32"/>
          <w:highlight w:val="none"/>
          <w:u w:val="none"/>
          <w:lang w:val="zh-CN" w:eastAsia="zh-CN" w:bidi="ar-SA"/>
        </w:rPr>
        <w:t>问题</w:t>
      </w:r>
    </w:p>
    <w:p>
      <w:pPr>
        <w:pStyle w:val="7"/>
        <w:ind w:firstLine="640" w:firstLineChars="200"/>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1.预算编制与预算执行存在较大差异，财政资金使用效益未能完全体现。</w:t>
      </w:r>
    </w:p>
    <w:p>
      <w:pPr>
        <w:pStyle w:val="7"/>
        <w:ind w:firstLine="640" w:firstLineChars="200"/>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2.预算执行力度不够，未从全方位、多层次、多角度反映财政支出状况。</w:t>
      </w:r>
    </w:p>
    <w:p>
      <w:pPr>
        <w:pStyle w:val="7"/>
        <w:ind w:firstLine="640" w:firstLineChars="200"/>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3.预算执行分析重要性认识不到位，一些账务处理未按照政府收支分类科目对各经济事项进行明细核算。</w:t>
      </w:r>
    </w:p>
    <w:p>
      <w:pPr>
        <w:numPr>
          <w:ilvl w:val="0"/>
          <w:numId w:val="0"/>
        </w:numPr>
        <w:ind w:firstLine="643" w:firstLineChars="200"/>
        <w:rPr>
          <w:rFonts w:hint="eastAsia"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（三）相关建议</w:t>
      </w:r>
    </w:p>
    <w:p>
      <w:pPr>
        <w:pStyle w:val="7"/>
        <w:ind w:firstLine="640" w:firstLineChars="200"/>
        <w:rPr>
          <w:rFonts w:hint="eastAsia" w:ascii="Times New Roman" w:hAnsi="Times New Roman"/>
          <w:color w:val="auto"/>
          <w:lang w:val="en-US" w:eastAsia="zh-CN"/>
        </w:rPr>
      </w:pPr>
      <w:r>
        <w:rPr>
          <w:rFonts w:hint="eastAsia" w:ascii="Times New Roman" w:hAnsi="Times New Roman" w:eastAsia="仿宋_GB2312" w:cs="仿宋_GB2312"/>
          <w:b w:val="0"/>
          <w:bCs w:val="0"/>
          <w:color w:val="auto"/>
          <w:kern w:val="0"/>
          <w:sz w:val="32"/>
          <w:szCs w:val="32"/>
          <w:lang w:val="en-US" w:eastAsia="zh-CN" w:bidi="ar-SA"/>
        </w:rPr>
        <w:t>一是认真准确编制财政项目预算，合理规划、落实执行好项目预算指标，严格执行财务管理制度，完善账务处理流程，及时准确申报财政预算资金。二是提升预算绩效管理统筹组织能力，进一步明确系统内项目单位、资金使用终端的绩效管理责任，完善绩效自评工作流程，提升自评工作效率。三是加快建立预算绩效管理激励机制。建立并完善绩效管理激励机制，无效问责、有效</w:t>
      </w:r>
      <w:r>
        <w:rPr>
          <w:rFonts w:hint="eastAsia" w:eastAsia="仿宋_GB2312" w:cs="仿宋_GB2312"/>
          <w:b w:val="0"/>
          <w:bCs w:val="0"/>
          <w:color w:val="auto"/>
          <w:kern w:val="0"/>
          <w:sz w:val="32"/>
          <w:szCs w:val="32"/>
          <w:lang w:val="en-US" w:eastAsia="zh-CN" w:bidi="ar-SA"/>
        </w:rPr>
        <w:t>者</w:t>
      </w:r>
      <w:r>
        <w:rPr>
          <w:rFonts w:hint="eastAsia" w:ascii="Times New Roman" w:hAnsi="Times New Roman" w:eastAsia="仿宋_GB2312" w:cs="仿宋_GB2312"/>
          <w:b w:val="0"/>
          <w:bCs w:val="0"/>
          <w:color w:val="auto"/>
          <w:kern w:val="0"/>
          <w:sz w:val="32"/>
          <w:szCs w:val="32"/>
          <w:lang w:val="en-US" w:eastAsia="zh-CN" w:bidi="ar-SA"/>
        </w:rPr>
        <w:t>奖、奖罚分明。四是积极主动和财政局各业务股室</w:t>
      </w:r>
      <w:r>
        <w:rPr>
          <w:rFonts w:hint="eastAsia" w:eastAsia="仿宋_GB2312" w:cs="仿宋_GB2312"/>
          <w:b w:val="0"/>
          <w:bCs w:val="0"/>
          <w:color w:val="auto"/>
          <w:kern w:val="0"/>
          <w:sz w:val="32"/>
          <w:szCs w:val="32"/>
          <w:lang w:val="en-US" w:eastAsia="zh-CN" w:bidi="ar-SA"/>
        </w:rPr>
        <w:t>做</w:t>
      </w:r>
      <w:r>
        <w:rPr>
          <w:rFonts w:hint="eastAsia" w:ascii="Times New Roman" w:hAnsi="Times New Roman" w:eastAsia="仿宋_GB2312" w:cs="仿宋_GB2312"/>
          <w:b w:val="0"/>
          <w:bCs w:val="0"/>
          <w:color w:val="auto"/>
          <w:kern w:val="0"/>
          <w:sz w:val="32"/>
          <w:szCs w:val="32"/>
          <w:lang w:val="en-US" w:eastAsia="zh-CN" w:bidi="ar-SA"/>
        </w:rPr>
        <w:t>好沟通协调，强化绩效信息公开，主动接受外部监督，高质高效完成预算指标。</w:t>
      </w:r>
    </w:p>
    <w:p>
      <w:pPr>
        <w:pStyle w:val="2"/>
        <w:ind w:left="1598" w:leftChars="304" w:hanging="960" w:hangingChars="300"/>
        <w:rPr>
          <w:rFonts w:hint="eastAsia" w:ascii="Times New Roman" w:hAnsi="Times New Roman" w:eastAsia="仿宋_GB2312" w:cs="仿宋_GB2312"/>
          <w:b w:val="0"/>
          <w:bCs w:val="0"/>
          <w:color w:val="auto"/>
          <w:kern w:val="0"/>
          <w:sz w:val="32"/>
          <w:szCs w:val="32"/>
          <w:lang w:val="en-US" w:eastAsia="zh-CN" w:bidi="ar-SA"/>
        </w:rPr>
      </w:pPr>
    </w:p>
    <w:p>
      <w:pPr>
        <w:pStyle w:val="2"/>
        <w:ind w:left="1598" w:leftChars="304" w:hanging="960" w:hangingChars="300"/>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附件：广元市昭化区人民医院2022年财政项目支出绩效自评表</w:t>
      </w: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spacing w:line="600" w:lineRule="exact"/>
        <w:jc w:val="center"/>
        <w:outlineLvl w:val="0"/>
        <w:rPr>
          <w:rFonts w:hint="eastAsia" w:ascii="Times New Roman" w:hAnsi="Times New Roman" w:eastAsia="黑体"/>
          <w:color w:val="auto"/>
          <w:sz w:val="44"/>
          <w:szCs w:val="44"/>
          <w:highlight w:val="none"/>
        </w:rPr>
      </w:pPr>
    </w:p>
    <w:p>
      <w:pPr>
        <w:pStyle w:val="2"/>
        <w:rPr>
          <w:rFonts w:hint="eastAsia" w:ascii="Times New Roman" w:hAnsi="Times New Roman"/>
          <w:color w:val="auto"/>
        </w:rPr>
      </w:pPr>
    </w:p>
    <w:p>
      <w:pPr>
        <w:pStyle w:val="2"/>
        <w:rPr>
          <w:rFonts w:hint="eastAsia" w:ascii="Times New Roman" w:hAnsi="Times New Roman"/>
          <w:color w:val="auto"/>
        </w:rPr>
      </w:pPr>
    </w:p>
    <w:tbl>
      <w:tblPr>
        <w:tblStyle w:val="16"/>
        <w:tblpPr w:leftFromText="180" w:rightFromText="180" w:vertAnchor="text" w:horzAnchor="page" w:tblpX="1211" w:tblpY="306"/>
        <w:tblOverlap w:val="never"/>
        <w:tblW w:w="93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3"/>
        <w:gridCol w:w="693"/>
        <w:gridCol w:w="927"/>
        <w:gridCol w:w="990"/>
        <w:gridCol w:w="964"/>
        <w:gridCol w:w="1378"/>
        <w:gridCol w:w="859"/>
        <w:gridCol w:w="739"/>
        <w:gridCol w:w="891"/>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auto"/>
                <w:kern w:val="0"/>
                <w:sz w:val="24"/>
                <w:szCs w:val="24"/>
                <w:u w:val="none"/>
                <w:lang w:val="en-US" w:eastAsia="zh-CN" w:bidi="ar"/>
              </w:rPr>
            </w:pPr>
          </w:p>
          <w:p>
            <w:pPr>
              <w:keepNext w:val="0"/>
              <w:keepLines w:val="0"/>
              <w:widowControl/>
              <w:suppressLineNumbers w:val="0"/>
              <w:jc w:val="left"/>
              <w:textAlignment w:val="center"/>
              <w:rPr>
                <w:rFonts w:hint="eastAsia" w:ascii="Times New Roman" w:hAnsi="Times New Roman" w:eastAsia="宋体" w:cs="宋体"/>
                <w:b/>
                <w:bCs/>
                <w:i w:val="0"/>
                <w:iCs w:val="0"/>
                <w:color w:val="auto"/>
                <w:sz w:val="24"/>
                <w:szCs w:val="24"/>
                <w:u w:val="none"/>
              </w:rPr>
            </w:pPr>
            <w:r>
              <w:rPr>
                <w:rFonts w:hint="eastAsia" w:ascii="Times New Roman" w:hAnsi="Times New Roman" w:eastAsia="宋体" w:cs="宋体"/>
                <w:b/>
                <w:bCs/>
                <w:i w:val="0"/>
                <w:iCs w:val="0"/>
                <w:color w:val="auto"/>
                <w:kern w:val="0"/>
                <w:sz w:val="24"/>
                <w:szCs w:val="24"/>
                <w:u w:val="none"/>
                <w:lang w:val="en-US" w:eastAsia="zh-CN" w:bidi="ar"/>
              </w:rPr>
              <w:t>附件：</w:t>
            </w:r>
          </w:p>
        </w:tc>
        <w:tc>
          <w:tcPr>
            <w:tcW w:w="693"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927" w:type="dxa"/>
            <w:tcBorders>
              <w:top w:val="nil"/>
              <w:left w:val="nil"/>
              <w:bottom w:val="nil"/>
              <w:right w:val="nil"/>
            </w:tcBorders>
            <w:shd w:val="clear" w:color="auto" w:fill="auto"/>
            <w:noWrap/>
            <w:vAlign w:val="center"/>
          </w:tcPr>
          <w:p>
            <w:pPr>
              <w:jc w:val="center"/>
              <w:rPr>
                <w:rFonts w:hint="eastAsia" w:ascii="Times New Roman" w:hAnsi="Times New Roman" w:eastAsia="宋体" w:cs="宋体"/>
                <w:i w:val="0"/>
                <w:iCs w:val="0"/>
                <w:color w:val="auto"/>
                <w:sz w:val="24"/>
                <w:szCs w:val="24"/>
                <w:u w:val="none"/>
              </w:rPr>
            </w:pPr>
          </w:p>
        </w:tc>
        <w:tc>
          <w:tcPr>
            <w:tcW w:w="990"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964"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1378"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859"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739"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891"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c>
          <w:tcPr>
            <w:tcW w:w="891" w:type="dxa"/>
            <w:tcBorders>
              <w:top w:val="nil"/>
              <w:left w:val="nil"/>
              <w:bottom w:val="nil"/>
              <w:right w:val="nil"/>
            </w:tcBorders>
            <w:shd w:val="clear" w:color="auto" w:fill="auto"/>
            <w:noWrap/>
            <w:vAlign w:val="center"/>
          </w:tcPr>
          <w:p>
            <w:pPr>
              <w:rPr>
                <w:rFonts w:hint="eastAsia" w:ascii="Times New Roman" w:hAnsi="Times New Roman"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39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Times New Roman" w:hAnsi="Times New Roman" w:eastAsia="方正小标宋简体" w:cs="方正小标宋简体"/>
                <w:b/>
                <w:bCs/>
                <w:i w:val="0"/>
                <w:iCs w:val="0"/>
                <w:color w:val="auto"/>
                <w:sz w:val="44"/>
                <w:szCs w:val="44"/>
                <w:u w:val="none"/>
              </w:rPr>
            </w:pPr>
            <w:r>
              <w:rPr>
                <w:rFonts w:hint="default" w:ascii="Times New Roman" w:hAnsi="Times New Roman" w:eastAsia="方正小标宋简体" w:cs="方正小标宋简体"/>
                <w:b/>
                <w:bCs/>
                <w:i w:val="0"/>
                <w:iCs w:val="0"/>
                <w:color w:val="auto"/>
                <w:kern w:val="0"/>
                <w:sz w:val="44"/>
                <w:szCs w:val="4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39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项目名称</w:t>
            </w:r>
          </w:p>
        </w:tc>
        <w:tc>
          <w:tcPr>
            <w:tcW w:w="763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2022年区人民医院债务化解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主管部门</w:t>
            </w:r>
          </w:p>
        </w:tc>
        <w:tc>
          <w:tcPr>
            <w:tcW w:w="2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广元市昭化区卫生健康局</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实施单位</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广元市昭化区人民医院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5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项目资金（万元）</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全年预算数</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全年执行数</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年度资金总额</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360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180</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cs="宋体"/>
                <w:b/>
                <w:bCs/>
                <w:i w:val="0"/>
                <w:iCs w:val="0"/>
                <w:color w:val="auto"/>
                <w:kern w:val="0"/>
                <w:sz w:val="20"/>
                <w:szCs w:val="20"/>
                <w:u w:val="none"/>
                <w:lang w:val="en-US" w:eastAsia="zh-CN" w:bidi="ar"/>
              </w:rPr>
              <w:t>(</w:t>
            </w:r>
            <w:r>
              <w:rPr>
                <w:rFonts w:hint="eastAsia" w:ascii="Times New Roman" w:hAnsi="Times New Roman" w:eastAsia="宋体" w:cs="宋体"/>
                <w:b/>
                <w:bCs/>
                <w:i w:val="0"/>
                <w:iCs w:val="0"/>
                <w:color w:val="auto"/>
                <w:kern w:val="0"/>
                <w:sz w:val="20"/>
                <w:szCs w:val="20"/>
                <w:u w:val="none"/>
                <w:lang w:val="en-US" w:eastAsia="zh-CN" w:bidi="ar"/>
              </w:rPr>
              <w:t>一</w:t>
            </w:r>
            <w:r>
              <w:rPr>
                <w:rFonts w:hint="eastAsia" w:ascii="Times New Roman" w:hAnsi="Times New Roman" w:cs="宋体"/>
                <w:b/>
                <w:bCs/>
                <w:i w:val="0"/>
                <w:iCs w:val="0"/>
                <w:color w:val="auto"/>
                <w:kern w:val="0"/>
                <w:sz w:val="20"/>
                <w:szCs w:val="20"/>
                <w:u w:val="none"/>
                <w:lang w:val="en-US" w:eastAsia="zh-CN" w:bidi="ar"/>
              </w:rPr>
              <w:t>）</w:t>
            </w:r>
            <w:r>
              <w:rPr>
                <w:rFonts w:hint="eastAsia" w:ascii="Times New Roman" w:hAnsi="Times New Roman" w:eastAsia="宋体" w:cs="宋体"/>
                <w:b/>
                <w:bCs/>
                <w:i w:val="0"/>
                <w:iCs w:val="0"/>
                <w:color w:val="auto"/>
                <w:kern w:val="0"/>
                <w:sz w:val="20"/>
                <w:szCs w:val="20"/>
                <w:u w:val="none"/>
                <w:lang w:val="en-US" w:eastAsia="zh-CN" w:bidi="ar"/>
              </w:rPr>
              <w:t>财政拨款小计</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360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180</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1.一般公共预算</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360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180</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2.政府性基金</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3.国有资本经营预算</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 xml:space="preserve">  4.社保基金</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5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（二）其他资金</w:t>
            </w:r>
          </w:p>
        </w:tc>
        <w:tc>
          <w:tcPr>
            <w:tcW w:w="2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年度总体目标</w:t>
            </w:r>
          </w:p>
        </w:tc>
        <w:tc>
          <w:tcPr>
            <w:tcW w:w="49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预期目标</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49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完成项目还款计划</w:t>
            </w:r>
          </w:p>
        </w:tc>
        <w:tc>
          <w:tcPr>
            <w:tcW w:w="3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绩效指标</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一级</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二级指标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三级指标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年度指标值</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实际完成值</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产出</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数量指标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化解医院债务</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3600000元</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1800000元</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财政资金实际到位180万元，剩余财政未支付的180万元作为结余资金结转到2023年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质量指标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及时足额偿还贷款</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本息</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优良中低差</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优</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资金不足部分由我院自筹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时效指标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完成年限</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1年</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1年</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成本指标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2022年化债费用</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3600000元</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1800000元</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财政资金实际到位180万元，剩余财政未支付的180万元作为结余资金结转到2023年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效益</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社会效益</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为患者提高业务水平</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提升医疗服务</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优良中低差</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优</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满意度</w:t>
            </w:r>
            <w:r>
              <w:rPr>
                <w:rFonts w:hint="eastAsia" w:ascii="Times New Roman" w:hAnsi="Times New Roman" w:eastAsia="宋体" w:cs="宋体"/>
                <w:b/>
                <w:bCs/>
                <w:i w:val="0"/>
                <w:iCs w:val="0"/>
                <w:color w:val="auto"/>
                <w:kern w:val="0"/>
                <w:sz w:val="20"/>
                <w:szCs w:val="20"/>
                <w:u w:val="none"/>
                <w:lang w:val="en-US" w:eastAsia="zh-CN" w:bidi="ar"/>
              </w:rPr>
              <w:br w:type="textWrapping"/>
            </w:r>
            <w:r>
              <w:rPr>
                <w:rFonts w:hint="eastAsia" w:ascii="Times New Roman" w:hAnsi="Times New Roman" w:eastAsia="宋体" w:cs="宋体"/>
                <w:b/>
                <w:bCs/>
                <w:i w:val="0"/>
                <w:iCs w:val="0"/>
                <w:color w:val="auto"/>
                <w:kern w:val="0"/>
                <w:sz w:val="20"/>
                <w:szCs w:val="20"/>
                <w:u w:val="none"/>
                <w:lang w:val="en-US" w:eastAsia="zh-CN" w:bidi="ar"/>
              </w:rPr>
              <w:t>指标</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人民群众满意度指标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人民群众对服务满意度</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2"/>
                <w:szCs w:val="22"/>
                <w:u w:val="none"/>
              </w:rPr>
            </w:pPr>
            <w:r>
              <w:rPr>
                <w:rFonts w:hint="eastAsia" w:ascii="Times New Roman" w:hAnsi="Times New Roman" w:eastAsia="宋体" w:cs="宋体"/>
                <w:b/>
                <w:bCs/>
                <w:i w:val="0"/>
                <w:iCs w:val="0"/>
                <w:color w:val="auto"/>
                <w:kern w:val="0"/>
                <w:sz w:val="22"/>
                <w:szCs w:val="22"/>
                <w:u w:val="none"/>
                <w:lang w:val="en-US" w:eastAsia="zh-CN" w:bidi="ar"/>
              </w:rPr>
              <w:t>≧95%</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宋体"/>
                <w:b/>
                <w:bCs/>
                <w:i w:val="0"/>
                <w:iCs w:val="0"/>
                <w:color w:val="auto"/>
                <w:sz w:val="20"/>
                <w:szCs w:val="20"/>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auto"/>
                <w:sz w:val="20"/>
                <w:szCs w:val="20"/>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服务对象满意度指标</w:t>
            </w:r>
          </w:p>
        </w:tc>
        <w:tc>
          <w:tcPr>
            <w:tcW w:w="1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银行方满意度</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宋体" w:cs="宋体"/>
                <w:b/>
                <w:bCs/>
                <w:i w:val="0"/>
                <w:iCs w:val="0"/>
                <w:color w:val="auto"/>
                <w:sz w:val="22"/>
                <w:szCs w:val="22"/>
                <w:u w:val="none"/>
              </w:rPr>
            </w:pPr>
            <w:r>
              <w:rPr>
                <w:rFonts w:ascii="Times New Roman" w:hAnsi="Times New Roman" w:eastAsia="宋体" w:cs="宋体"/>
                <w:b/>
                <w:bCs/>
                <w:i w:val="0"/>
                <w:iCs w:val="0"/>
                <w:color w:val="auto"/>
                <w:kern w:val="0"/>
                <w:sz w:val="22"/>
                <w:szCs w:val="22"/>
                <w:u w:val="none"/>
                <w:lang w:val="en-US" w:eastAsia="zh-CN" w:bidi="ar"/>
              </w:rPr>
              <w:t>≧</w:t>
            </w:r>
            <w:r>
              <w:rPr>
                <w:rFonts w:hint="eastAsia" w:ascii="Times New Roman" w:hAnsi="Times New Roman" w:eastAsia="宋体" w:cs="宋体"/>
                <w:b/>
                <w:bCs/>
                <w:i w:val="0"/>
                <w:iCs w:val="0"/>
                <w:color w:val="auto"/>
                <w:kern w:val="0"/>
                <w:sz w:val="22"/>
                <w:szCs w:val="22"/>
                <w:u w:val="none"/>
                <w:lang w:val="en-US" w:eastAsia="zh-CN" w:bidi="ar"/>
              </w:rPr>
              <w:t>90%</w:t>
            </w:r>
          </w:p>
        </w:tc>
        <w:tc>
          <w:tcPr>
            <w:tcW w:w="15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100%</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auto"/>
                <w:sz w:val="20"/>
                <w:szCs w:val="20"/>
                <w:u w:val="none"/>
              </w:rPr>
            </w:pPr>
            <w:r>
              <w:rPr>
                <w:rFonts w:hint="eastAsia" w:ascii="Times New Roman" w:hAnsi="Times New Roman" w:eastAsia="宋体" w:cs="宋体"/>
                <w:b/>
                <w:bCs/>
                <w:i w:val="0"/>
                <w:iCs w:val="0"/>
                <w:color w:val="auto"/>
                <w:kern w:val="0"/>
                <w:sz w:val="20"/>
                <w:szCs w:val="20"/>
                <w:u w:val="none"/>
                <w:lang w:val="en-US" w:eastAsia="zh-CN" w:bidi="ar"/>
              </w:rPr>
              <w:t>资金不足部分由我院自筹</w:t>
            </w:r>
          </w:p>
        </w:tc>
      </w:tr>
    </w:tbl>
    <w:p>
      <w:pPr>
        <w:spacing w:line="600" w:lineRule="exact"/>
        <w:jc w:val="center"/>
        <w:outlineLvl w:val="0"/>
        <w:rPr>
          <w:rFonts w:hint="eastAsia" w:ascii="Times New Roman" w:hAnsi="Times New Roman" w:eastAsia="仿宋"/>
          <w:b w:val="0"/>
          <w:color w:val="auto"/>
          <w:highlight w:val="none"/>
        </w:rPr>
      </w:pPr>
      <w:r>
        <w:rPr>
          <w:rFonts w:hint="eastAsia" w:ascii="Times New Roman" w:hAnsi="Times New Roman" w:eastAsia="黑体"/>
          <w:color w:val="auto"/>
          <w:sz w:val="44"/>
          <w:szCs w:val="44"/>
          <w:highlight w:val="none"/>
        </w:rPr>
        <w:t>第</w:t>
      </w:r>
      <w:r>
        <w:rPr>
          <w:rStyle w:val="29"/>
          <w:rFonts w:hint="eastAsia" w:ascii="Times New Roman" w:hAnsi="Times New Roman" w:eastAsia="黑体"/>
          <w:b w:val="0"/>
          <w:color w:val="auto"/>
          <w:highlight w:val="none"/>
        </w:rPr>
        <w:t>五部分 附表</w:t>
      </w:r>
      <w:bookmarkEnd w:id="53"/>
      <w:bookmarkEnd w:id="55"/>
      <w:bookmarkStart w:id="56" w:name="_Toc15396619"/>
    </w:p>
    <w:p>
      <w:pPr>
        <w:pStyle w:val="4"/>
        <w:rPr>
          <w:rFonts w:ascii="Times New Roman" w:hAnsi="Times New Roman" w:eastAsia="仿宋"/>
          <w:color w:val="auto"/>
          <w:highlight w:val="none"/>
        </w:rPr>
      </w:pPr>
      <w:r>
        <w:rPr>
          <w:rFonts w:hint="eastAsia" w:ascii="Times New Roman" w:hAnsi="Times New Roman" w:eastAsia="仿宋"/>
          <w:b w:val="0"/>
          <w:color w:val="auto"/>
          <w:highlight w:val="none"/>
        </w:rPr>
        <w:t>一、收</w:t>
      </w:r>
      <w:r>
        <w:rPr>
          <w:rStyle w:val="30"/>
          <w:rFonts w:hint="eastAsia" w:ascii="Times New Roman" w:hAnsi="Times New Roman" w:eastAsia="仿宋"/>
          <w:b w:val="0"/>
          <w:bCs w:val="0"/>
          <w:color w:val="auto"/>
          <w:highlight w:val="none"/>
        </w:rPr>
        <w:t>入支出决算总表</w:t>
      </w:r>
      <w:bookmarkEnd w:id="56"/>
    </w:p>
    <w:p>
      <w:pPr>
        <w:pStyle w:val="4"/>
        <w:rPr>
          <w:rFonts w:ascii="Times New Roman" w:hAnsi="Times New Roman" w:eastAsia="仿宋"/>
          <w:color w:val="auto"/>
          <w:highlight w:val="none"/>
        </w:rPr>
      </w:pPr>
      <w:bookmarkStart w:id="57" w:name="_Toc15396620"/>
      <w:r>
        <w:rPr>
          <w:rFonts w:hint="eastAsia" w:ascii="Times New Roman" w:hAnsi="Times New Roman" w:eastAsia="仿宋"/>
          <w:b w:val="0"/>
          <w:color w:val="auto"/>
          <w:highlight w:val="none"/>
        </w:rPr>
        <w:t>二、收</w:t>
      </w:r>
      <w:r>
        <w:rPr>
          <w:rStyle w:val="30"/>
          <w:rFonts w:hint="eastAsia" w:ascii="Times New Roman" w:hAnsi="Times New Roman" w:eastAsia="仿宋"/>
          <w:b w:val="0"/>
          <w:bCs w:val="0"/>
          <w:color w:val="auto"/>
          <w:highlight w:val="none"/>
        </w:rPr>
        <w:t>入决算表</w:t>
      </w:r>
      <w:bookmarkEnd w:id="57"/>
    </w:p>
    <w:p>
      <w:pPr>
        <w:pStyle w:val="4"/>
        <w:rPr>
          <w:rFonts w:ascii="Times New Roman" w:hAnsi="Times New Roman" w:eastAsia="仿宋"/>
          <w:color w:val="auto"/>
          <w:highlight w:val="none"/>
        </w:rPr>
      </w:pPr>
      <w:bookmarkStart w:id="58" w:name="_Toc15396621"/>
      <w:r>
        <w:rPr>
          <w:rStyle w:val="30"/>
          <w:rFonts w:hint="eastAsia" w:ascii="Times New Roman" w:hAnsi="Times New Roman" w:eastAsia="仿宋"/>
          <w:b w:val="0"/>
          <w:bCs w:val="0"/>
          <w:color w:val="auto"/>
          <w:highlight w:val="none"/>
        </w:rPr>
        <w:t>三、</w:t>
      </w:r>
      <w:r>
        <w:rPr>
          <w:rFonts w:hint="eastAsia" w:ascii="Times New Roman" w:hAnsi="Times New Roman" w:eastAsia="仿宋"/>
          <w:b w:val="0"/>
          <w:color w:val="auto"/>
          <w:highlight w:val="none"/>
        </w:rPr>
        <w:t>支</w:t>
      </w:r>
      <w:r>
        <w:rPr>
          <w:rStyle w:val="30"/>
          <w:rFonts w:hint="eastAsia" w:ascii="Times New Roman" w:hAnsi="Times New Roman" w:eastAsia="仿宋"/>
          <w:b w:val="0"/>
          <w:bCs w:val="0"/>
          <w:color w:val="auto"/>
          <w:highlight w:val="none"/>
        </w:rPr>
        <w:t>出决算表</w:t>
      </w:r>
      <w:bookmarkEnd w:id="58"/>
    </w:p>
    <w:p>
      <w:pPr>
        <w:pStyle w:val="4"/>
        <w:rPr>
          <w:rFonts w:ascii="Times New Roman" w:hAnsi="Times New Roman" w:eastAsia="仿宋"/>
          <w:b w:val="0"/>
          <w:color w:val="auto"/>
          <w:highlight w:val="none"/>
        </w:rPr>
      </w:pPr>
      <w:bookmarkStart w:id="59" w:name="_Toc15396622"/>
      <w:r>
        <w:rPr>
          <w:rStyle w:val="30"/>
          <w:rFonts w:hint="eastAsia" w:ascii="Times New Roman" w:hAnsi="Times New Roman" w:eastAsia="仿宋"/>
          <w:b w:val="0"/>
          <w:bCs w:val="0"/>
          <w:color w:val="auto"/>
          <w:highlight w:val="none"/>
        </w:rPr>
        <w:t>四、</w:t>
      </w:r>
      <w:r>
        <w:rPr>
          <w:rFonts w:hint="eastAsia" w:ascii="Times New Roman" w:hAnsi="Times New Roman" w:eastAsia="仿宋"/>
          <w:b w:val="0"/>
          <w:color w:val="auto"/>
          <w:highlight w:val="none"/>
        </w:rPr>
        <w:t>财</w:t>
      </w:r>
      <w:r>
        <w:rPr>
          <w:rStyle w:val="30"/>
          <w:rFonts w:hint="eastAsia" w:ascii="Times New Roman" w:hAnsi="Times New Roman" w:eastAsia="仿宋"/>
          <w:b w:val="0"/>
          <w:bCs w:val="0"/>
          <w:color w:val="auto"/>
          <w:highlight w:val="none"/>
        </w:rPr>
        <w:t>政拨款收入支出决算总表</w:t>
      </w:r>
      <w:bookmarkEnd w:id="59"/>
    </w:p>
    <w:p>
      <w:pPr>
        <w:pStyle w:val="4"/>
        <w:rPr>
          <w:rStyle w:val="30"/>
          <w:rFonts w:ascii="Times New Roman" w:hAnsi="Times New Roman" w:eastAsia="仿宋"/>
          <w:b w:val="0"/>
          <w:bCs w:val="0"/>
          <w:color w:val="auto"/>
          <w:highlight w:val="none"/>
        </w:rPr>
      </w:pPr>
      <w:bookmarkStart w:id="60" w:name="_Toc15396623"/>
      <w:r>
        <w:rPr>
          <w:rStyle w:val="30"/>
          <w:rFonts w:hint="eastAsia" w:ascii="Times New Roman" w:hAnsi="Times New Roman" w:eastAsia="仿宋"/>
          <w:b w:val="0"/>
          <w:bCs w:val="0"/>
          <w:color w:val="auto"/>
          <w:highlight w:val="none"/>
        </w:rPr>
        <w:t>五、</w:t>
      </w:r>
      <w:r>
        <w:rPr>
          <w:rFonts w:hint="eastAsia" w:ascii="Times New Roman" w:hAnsi="Times New Roman" w:eastAsia="仿宋"/>
          <w:b w:val="0"/>
          <w:color w:val="auto"/>
          <w:highlight w:val="none"/>
        </w:rPr>
        <w:t>财</w:t>
      </w:r>
      <w:r>
        <w:rPr>
          <w:rStyle w:val="30"/>
          <w:rFonts w:hint="eastAsia" w:ascii="Times New Roman" w:hAnsi="Times New Roman" w:eastAsia="仿宋"/>
          <w:b w:val="0"/>
          <w:bCs w:val="0"/>
          <w:color w:val="auto"/>
          <w:highlight w:val="none"/>
        </w:rPr>
        <w:t>政拨款支出决算明细表</w:t>
      </w:r>
      <w:bookmarkEnd w:id="60"/>
      <w:bookmarkStart w:id="61" w:name="_Toc15396624"/>
    </w:p>
    <w:p>
      <w:pPr>
        <w:pStyle w:val="4"/>
        <w:rPr>
          <w:rFonts w:ascii="Times New Roman" w:hAnsi="Times New Roman" w:eastAsia="仿宋"/>
          <w:color w:val="auto"/>
          <w:highlight w:val="none"/>
        </w:rPr>
      </w:pPr>
      <w:r>
        <w:rPr>
          <w:rStyle w:val="30"/>
          <w:rFonts w:hint="eastAsia" w:ascii="Times New Roman" w:hAnsi="Times New Roman" w:eastAsia="仿宋"/>
          <w:b w:val="0"/>
          <w:bCs w:val="0"/>
          <w:color w:val="auto"/>
          <w:highlight w:val="none"/>
        </w:rPr>
        <w:t>六、</w:t>
      </w:r>
      <w:r>
        <w:rPr>
          <w:rFonts w:hint="eastAsia" w:ascii="Times New Roman" w:hAnsi="Times New Roman" w:eastAsia="仿宋"/>
          <w:b w:val="0"/>
          <w:color w:val="auto"/>
          <w:highlight w:val="none"/>
        </w:rPr>
        <w:t>一</w:t>
      </w:r>
      <w:r>
        <w:rPr>
          <w:rStyle w:val="30"/>
          <w:rFonts w:hint="eastAsia" w:ascii="Times New Roman" w:hAnsi="Times New Roman" w:eastAsia="仿宋"/>
          <w:b w:val="0"/>
          <w:bCs w:val="0"/>
          <w:color w:val="auto"/>
          <w:highlight w:val="none"/>
        </w:rPr>
        <w:t>般公共预算财政拨款支出决算表</w:t>
      </w:r>
      <w:bookmarkEnd w:id="61"/>
    </w:p>
    <w:p>
      <w:pPr>
        <w:pStyle w:val="4"/>
        <w:rPr>
          <w:rFonts w:ascii="Times New Roman" w:hAnsi="Times New Roman" w:eastAsia="仿宋"/>
          <w:color w:val="auto"/>
          <w:highlight w:val="none"/>
        </w:rPr>
      </w:pPr>
      <w:bookmarkStart w:id="62" w:name="_Toc15396625"/>
      <w:r>
        <w:rPr>
          <w:rStyle w:val="30"/>
          <w:rFonts w:hint="eastAsia" w:ascii="Times New Roman" w:hAnsi="Times New Roman" w:eastAsia="仿宋"/>
          <w:b w:val="0"/>
          <w:bCs w:val="0"/>
          <w:color w:val="auto"/>
          <w:highlight w:val="none"/>
        </w:rPr>
        <w:t>七、</w:t>
      </w:r>
      <w:r>
        <w:rPr>
          <w:rFonts w:hint="eastAsia" w:ascii="Times New Roman" w:hAnsi="Times New Roman" w:eastAsia="仿宋"/>
          <w:b w:val="0"/>
          <w:color w:val="auto"/>
          <w:highlight w:val="none"/>
        </w:rPr>
        <w:t>一</w:t>
      </w:r>
      <w:r>
        <w:rPr>
          <w:rStyle w:val="30"/>
          <w:rFonts w:hint="eastAsia" w:ascii="Times New Roman" w:hAnsi="Times New Roman" w:eastAsia="仿宋"/>
          <w:b w:val="0"/>
          <w:bCs w:val="0"/>
          <w:color w:val="auto"/>
          <w:highlight w:val="none"/>
        </w:rPr>
        <w:t>般公共预算财政拨款支出决算明细表</w:t>
      </w:r>
      <w:bookmarkEnd w:id="62"/>
    </w:p>
    <w:p>
      <w:pPr>
        <w:pStyle w:val="4"/>
        <w:rPr>
          <w:rFonts w:ascii="Times New Roman" w:hAnsi="Times New Roman" w:eastAsia="仿宋"/>
          <w:color w:val="auto"/>
          <w:highlight w:val="none"/>
        </w:rPr>
      </w:pPr>
      <w:bookmarkStart w:id="63" w:name="_Toc15396626"/>
      <w:r>
        <w:rPr>
          <w:rStyle w:val="30"/>
          <w:rFonts w:hint="eastAsia" w:ascii="Times New Roman" w:hAnsi="Times New Roman" w:eastAsia="仿宋"/>
          <w:b w:val="0"/>
          <w:bCs w:val="0"/>
          <w:color w:val="auto"/>
          <w:highlight w:val="none"/>
        </w:rPr>
        <w:t>八、</w:t>
      </w:r>
      <w:r>
        <w:rPr>
          <w:rFonts w:hint="eastAsia" w:ascii="Times New Roman" w:hAnsi="Times New Roman" w:eastAsia="仿宋"/>
          <w:b w:val="0"/>
          <w:color w:val="auto"/>
          <w:highlight w:val="none"/>
        </w:rPr>
        <w:t>一</w:t>
      </w:r>
      <w:r>
        <w:rPr>
          <w:rStyle w:val="30"/>
          <w:rFonts w:hint="eastAsia" w:ascii="Times New Roman" w:hAnsi="Times New Roman" w:eastAsia="仿宋"/>
          <w:b w:val="0"/>
          <w:bCs w:val="0"/>
          <w:color w:val="auto"/>
          <w:highlight w:val="none"/>
        </w:rPr>
        <w:t>般公共预算财政拨款基本支出决算表</w:t>
      </w:r>
      <w:bookmarkEnd w:id="63"/>
    </w:p>
    <w:p>
      <w:pPr>
        <w:pStyle w:val="4"/>
        <w:rPr>
          <w:rFonts w:ascii="Times New Roman" w:hAnsi="Times New Roman" w:eastAsia="仿宋"/>
          <w:color w:val="auto"/>
          <w:highlight w:val="none"/>
        </w:rPr>
      </w:pPr>
      <w:bookmarkStart w:id="64" w:name="_Toc15396627"/>
      <w:r>
        <w:rPr>
          <w:rStyle w:val="30"/>
          <w:rFonts w:hint="eastAsia" w:ascii="Times New Roman" w:hAnsi="Times New Roman" w:eastAsia="仿宋"/>
          <w:b w:val="0"/>
          <w:bCs w:val="0"/>
          <w:color w:val="auto"/>
          <w:highlight w:val="none"/>
        </w:rPr>
        <w:t>九、</w:t>
      </w:r>
      <w:r>
        <w:rPr>
          <w:rFonts w:hint="eastAsia" w:ascii="Times New Roman" w:hAnsi="Times New Roman" w:eastAsia="仿宋"/>
          <w:b w:val="0"/>
          <w:color w:val="auto"/>
          <w:highlight w:val="none"/>
        </w:rPr>
        <w:t>一</w:t>
      </w:r>
      <w:r>
        <w:rPr>
          <w:rStyle w:val="30"/>
          <w:rFonts w:hint="eastAsia" w:ascii="Times New Roman" w:hAnsi="Times New Roman" w:eastAsia="仿宋"/>
          <w:b w:val="0"/>
          <w:bCs w:val="0"/>
          <w:color w:val="auto"/>
          <w:highlight w:val="none"/>
        </w:rPr>
        <w:t>般公共预算财政拨款项目支出决算表</w:t>
      </w:r>
      <w:bookmarkEnd w:id="64"/>
    </w:p>
    <w:p>
      <w:pPr>
        <w:pStyle w:val="4"/>
        <w:rPr>
          <w:rFonts w:ascii="Times New Roman" w:hAnsi="Times New Roman" w:eastAsia="仿宋"/>
          <w:color w:val="auto"/>
          <w:highlight w:val="none"/>
        </w:rPr>
      </w:pPr>
      <w:bookmarkStart w:id="65" w:name="_Toc15396628"/>
      <w:r>
        <w:rPr>
          <w:rStyle w:val="30"/>
          <w:rFonts w:hint="eastAsia" w:ascii="Times New Roman" w:hAnsi="Times New Roman" w:eastAsia="仿宋"/>
          <w:b w:val="0"/>
          <w:bCs w:val="0"/>
          <w:color w:val="auto"/>
          <w:highlight w:val="none"/>
        </w:rPr>
        <w:t>十、</w:t>
      </w:r>
      <w:bookmarkEnd w:id="65"/>
      <w:r>
        <w:rPr>
          <w:rFonts w:hint="eastAsia" w:ascii="Times New Roman" w:hAnsi="Times New Roman" w:eastAsia="仿宋"/>
          <w:b w:val="0"/>
          <w:color w:val="auto"/>
          <w:highlight w:val="none"/>
        </w:rPr>
        <w:t>政</w:t>
      </w:r>
      <w:r>
        <w:rPr>
          <w:rStyle w:val="30"/>
          <w:rFonts w:hint="eastAsia" w:ascii="Times New Roman" w:hAnsi="Times New Roman" w:eastAsia="仿宋"/>
          <w:b w:val="0"/>
          <w:bCs w:val="0"/>
          <w:color w:val="auto"/>
          <w:highlight w:val="none"/>
        </w:rPr>
        <w:t>府性基金预算财政拨款收入支出决算表</w:t>
      </w:r>
    </w:p>
    <w:p>
      <w:pPr>
        <w:pStyle w:val="4"/>
        <w:rPr>
          <w:rFonts w:ascii="Times New Roman" w:hAnsi="Times New Roman" w:eastAsia="仿宋"/>
          <w:color w:val="auto"/>
          <w:highlight w:val="none"/>
        </w:rPr>
      </w:pPr>
      <w:bookmarkStart w:id="66" w:name="_Toc15396629"/>
      <w:r>
        <w:rPr>
          <w:rStyle w:val="30"/>
          <w:rFonts w:hint="eastAsia" w:ascii="Times New Roman" w:hAnsi="Times New Roman" w:eastAsia="仿宋"/>
          <w:b w:val="0"/>
          <w:bCs w:val="0"/>
          <w:color w:val="auto"/>
          <w:highlight w:val="none"/>
        </w:rPr>
        <w:t>十一、</w:t>
      </w:r>
      <w:bookmarkEnd w:id="66"/>
      <w:r>
        <w:rPr>
          <w:rFonts w:hint="eastAsia" w:ascii="Times New Roman" w:hAnsi="Times New Roman" w:eastAsia="仿宋"/>
          <w:b w:val="0"/>
          <w:color w:val="auto"/>
          <w:highlight w:val="none"/>
        </w:rPr>
        <w:t>国</w:t>
      </w:r>
      <w:r>
        <w:rPr>
          <w:rStyle w:val="30"/>
          <w:rFonts w:hint="eastAsia" w:ascii="Times New Roman" w:hAnsi="Times New Roman" w:eastAsia="仿宋"/>
          <w:b w:val="0"/>
          <w:bCs w:val="0"/>
          <w:color w:val="auto"/>
          <w:highlight w:val="none"/>
        </w:rPr>
        <w:t>有资本经营预算</w:t>
      </w:r>
      <w:r>
        <w:rPr>
          <w:rStyle w:val="30"/>
          <w:rFonts w:hint="eastAsia" w:ascii="Times New Roman" w:hAnsi="Times New Roman" w:eastAsia="仿宋"/>
          <w:b w:val="0"/>
          <w:bCs w:val="0"/>
          <w:color w:val="auto"/>
          <w:highlight w:val="none"/>
          <w:lang w:eastAsia="zh-CN"/>
        </w:rPr>
        <w:t>财政拨款收入</w:t>
      </w:r>
      <w:r>
        <w:rPr>
          <w:rStyle w:val="30"/>
          <w:rFonts w:hint="eastAsia" w:ascii="Times New Roman" w:hAnsi="Times New Roman" w:eastAsia="仿宋"/>
          <w:b w:val="0"/>
          <w:bCs w:val="0"/>
          <w:color w:val="auto"/>
          <w:highlight w:val="none"/>
        </w:rPr>
        <w:t>支出决算表</w:t>
      </w:r>
    </w:p>
    <w:p>
      <w:pPr>
        <w:pStyle w:val="4"/>
        <w:rPr>
          <w:rFonts w:ascii="Times New Roman" w:hAnsi="Times New Roman" w:eastAsia="仿宋"/>
          <w:color w:val="auto"/>
          <w:highlight w:val="none"/>
        </w:rPr>
      </w:pPr>
      <w:bookmarkStart w:id="67" w:name="_Toc15396630"/>
      <w:r>
        <w:rPr>
          <w:rStyle w:val="30"/>
          <w:rFonts w:hint="eastAsia" w:ascii="Times New Roman" w:hAnsi="Times New Roman" w:eastAsia="仿宋"/>
          <w:b w:val="0"/>
          <w:bCs w:val="0"/>
          <w:color w:val="auto"/>
          <w:highlight w:val="none"/>
        </w:rPr>
        <w:t>十二、</w:t>
      </w:r>
      <w:bookmarkEnd w:id="67"/>
      <w:r>
        <w:rPr>
          <w:rStyle w:val="30"/>
          <w:rFonts w:hint="eastAsia" w:ascii="Times New Roman" w:hAnsi="Times New Roman" w:eastAsia="仿宋"/>
          <w:b w:val="0"/>
          <w:bCs w:val="0"/>
          <w:color w:val="auto"/>
          <w:highlight w:val="none"/>
          <w:lang w:eastAsia="zh-CN"/>
        </w:rPr>
        <w:t>国有资本经营预算财政拨款支出决算表</w:t>
      </w:r>
    </w:p>
    <w:p>
      <w:pPr>
        <w:pStyle w:val="4"/>
        <w:rPr>
          <w:rFonts w:hint="eastAsia" w:ascii="Times New Roman" w:hAnsi="Times New Roman" w:eastAsia="仿宋"/>
          <w:color w:val="auto"/>
          <w:highlight w:val="none"/>
          <w:lang w:eastAsia="zh-CN"/>
        </w:rPr>
      </w:pPr>
      <w:bookmarkStart w:id="68" w:name="_Toc15396631"/>
      <w:r>
        <w:rPr>
          <w:rStyle w:val="30"/>
          <w:rFonts w:hint="eastAsia" w:ascii="Times New Roman" w:hAnsi="Times New Roman" w:eastAsia="仿宋"/>
          <w:b w:val="0"/>
          <w:bCs w:val="0"/>
          <w:color w:val="auto"/>
          <w:highlight w:val="none"/>
        </w:rPr>
        <w:t>十三、</w:t>
      </w:r>
      <w:bookmarkEnd w:id="68"/>
      <w:r>
        <w:rPr>
          <w:rStyle w:val="30"/>
          <w:rFonts w:hint="eastAsia" w:ascii="Times New Roman" w:hAnsi="Times New Roman" w:eastAsia="仿宋"/>
          <w:b w:val="0"/>
          <w:bCs w:val="0"/>
          <w:color w:val="auto"/>
          <w:highlight w:val="none"/>
          <w:lang w:eastAsia="zh-CN"/>
        </w:rPr>
        <w:t>财政拨款“三公”经费支出决算表</w:t>
      </w:r>
    </w:p>
    <w:p>
      <w:pPr>
        <w:rPr>
          <w:rFonts w:hint="eastAsia"/>
          <w:lang w:eastAsia="zh-CN"/>
        </w:rPr>
      </w:pPr>
    </w:p>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B5E3E"/>
    <w:multiLevelType w:val="singleLevel"/>
    <w:tmpl w:val="C46B5E3E"/>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020FC7A"/>
    <w:multiLevelType w:val="singleLevel"/>
    <w:tmpl w:val="D020FC7A"/>
    <w:lvl w:ilvl="0" w:tentative="0">
      <w:start w:val="3"/>
      <w:numFmt w:val="chineseCounting"/>
      <w:suff w:val="nothing"/>
      <w:lvlText w:val="（%1）"/>
      <w:lvlJc w:val="left"/>
      <w:rPr>
        <w:rFonts w:hint="eastAsia"/>
      </w:rPr>
    </w:lvl>
  </w:abstractNum>
  <w:abstractNum w:abstractNumId="3">
    <w:nsid w:val="DEBEF323"/>
    <w:multiLevelType w:val="singleLevel"/>
    <w:tmpl w:val="DEBEF323"/>
    <w:lvl w:ilvl="0" w:tentative="0">
      <w:start w:val="4"/>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1F0B4A4"/>
    <w:multiLevelType w:val="singleLevel"/>
    <w:tmpl w:val="21F0B4A4"/>
    <w:lvl w:ilvl="0" w:tentative="0">
      <w:start w:val="2"/>
      <w:numFmt w:val="chineseCounting"/>
      <w:suff w:val="nothing"/>
      <w:lvlText w:val="（%1）"/>
      <w:lvlJc w:val="left"/>
      <w:rPr>
        <w:rFonts w:hint="eastAsia"/>
      </w:rPr>
    </w:lvl>
  </w:abstractNum>
  <w:abstractNum w:abstractNumId="7">
    <w:nsid w:val="318C1A27"/>
    <w:multiLevelType w:val="singleLevel"/>
    <w:tmpl w:val="318C1A27"/>
    <w:lvl w:ilvl="0" w:tentative="0">
      <w:start w:val="1"/>
      <w:numFmt w:val="chineseCounting"/>
      <w:suff w:val="nothing"/>
      <w:lvlText w:val="（%1）"/>
      <w:lvlJc w:val="left"/>
      <w:rPr>
        <w:rFonts w:hint="eastAsia"/>
      </w:rPr>
    </w:lvl>
  </w:abstractNum>
  <w:abstractNum w:abstractNumId="8">
    <w:nsid w:val="529949A8"/>
    <w:multiLevelType w:val="singleLevel"/>
    <w:tmpl w:val="529949A8"/>
    <w:lvl w:ilvl="0" w:tentative="0">
      <w:start w:val="1"/>
      <w:numFmt w:val="chineseCounting"/>
      <w:suff w:val="nothing"/>
      <w:lvlText w:val="（%1）"/>
      <w:lvlJc w:val="left"/>
      <w:rPr>
        <w:rFonts w:hint="eastAsia"/>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MGNiOTVjZTA5ZDYyM2ZiMDViMTVkMmUxYjkwYT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1AB2"/>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5C1334"/>
    <w:rsid w:val="02143E91"/>
    <w:rsid w:val="03C47E35"/>
    <w:rsid w:val="04B4165D"/>
    <w:rsid w:val="06015451"/>
    <w:rsid w:val="06045BC8"/>
    <w:rsid w:val="065F4897"/>
    <w:rsid w:val="066E0107"/>
    <w:rsid w:val="07334B6C"/>
    <w:rsid w:val="07996F6E"/>
    <w:rsid w:val="07F87631"/>
    <w:rsid w:val="09131357"/>
    <w:rsid w:val="0A2032A3"/>
    <w:rsid w:val="0A867A69"/>
    <w:rsid w:val="0D9231E6"/>
    <w:rsid w:val="0E5249B4"/>
    <w:rsid w:val="0E720B98"/>
    <w:rsid w:val="0E74336A"/>
    <w:rsid w:val="0F98263C"/>
    <w:rsid w:val="101860EC"/>
    <w:rsid w:val="10C055FF"/>
    <w:rsid w:val="11471389"/>
    <w:rsid w:val="118107EC"/>
    <w:rsid w:val="11D01E18"/>
    <w:rsid w:val="13D50BC4"/>
    <w:rsid w:val="157F67B1"/>
    <w:rsid w:val="16BB723D"/>
    <w:rsid w:val="1A006EC9"/>
    <w:rsid w:val="1A8A29B6"/>
    <w:rsid w:val="1A9D1CF3"/>
    <w:rsid w:val="1B4831CC"/>
    <w:rsid w:val="1BE8440E"/>
    <w:rsid w:val="1C4D1C43"/>
    <w:rsid w:val="1D155CEE"/>
    <w:rsid w:val="1FF35744"/>
    <w:rsid w:val="20012579"/>
    <w:rsid w:val="20EE16AC"/>
    <w:rsid w:val="21097D4A"/>
    <w:rsid w:val="21767C6B"/>
    <w:rsid w:val="22B974E0"/>
    <w:rsid w:val="23860B96"/>
    <w:rsid w:val="239A4F1E"/>
    <w:rsid w:val="240371BF"/>
    <w:rsid w:val="258A5D78"/>
    <w:rsid w:val="2631253F"/>
    <w:rsid w:val="26354B70"/>
    <w:rsid w:val="29E93044"/>
    <w:rsid w:val="29FD04D3"/>
    <w:rsid w:val="2A3C489B"/>
    <w:rsid w:val="2B9D4750"/>
    <w:rsid w:val="2C5A11D6"/>
    <w:rsid w:val="2C6941AB"/>
    <w:rsid w:val="2C806591"/>
    <w:rsid w:val="2C8A61B5"/>
    <w:rsid w:val="2D3E5EEF"/>
    <w:rsid w:val="2DF04E50"/>
    <w:rsid w:val="2F040D46"/>
    <w:rsid w:val="30321642"/>
    <w:rsid w:val="319F7F4E"/>
    <w:rsid w:val="3304709D"/>
    <w:rsid w:val="337E13A0"/>
    <w:rsid w:val="33BB06B6"/>
    <w:rsid w:val="33E97C8F"/>
    <w:rsid w:val="344A6013"/>
    <w:rsid w:val="34B06CF0"/>
    <w:rsid w:val="35B32950"/>
    <w:rsid w:val="36497C49"/>
    <w:rsid w:val="36677938"/>
    <w:rsid w:val="36AA5135"/>
    <w:rsid w:val="376D39B2"/>
    <w:rsid w:val="37E16F03"/>
    <w:rsid w:val="38D469F0"/>
    <w:rsid w:val="39B61C2D"/>
    <w:rsid w:val="3A136201"/>
    <w:rsid w:val="3A9A3EC9"/>
    <w:rsid w:val="3B06142D"/>
    <w:rsid w:val="3B093C73"/>
    <w:rsid w:val="3B2A2416"/>
    <w:rsid w:val="3C343089"/>
    <w:rsid w:val="3D8F3346"/>
    <w:rsid w:val="3D98207C"/>
    <w:rsid w:val="3E2F4A37"/>
    <w:rsid w:val="3E78745D"/>
    <w:rsid w:val="3FCB232C"/>
    <w:rsid w:val="40255BB3"/>
    <w:rsid w:val="41C258D7"/>
    <w:rsid w:val="42C43D14"/>
    <w:rsid w:val="44E268DA"/>
    <w:rsid w:val="46024467"/>
    <w:rsid w:val="47217398"/>
    <w:rsid w:val="4724034A"/>
    <w:rsid w:val="4826649F"/>
    <w:rsid w:val="48710218"/>
    <w:rsid w:val="4A5060FC"/>
    <w:rsid w:val="4A627F82"/>
    <w:rsid w:val="4B0E749A"/>
    <w:rsid w:val="4B4F25DA"/>
    <w:rsid w:val="4BE068DB"/>
    <w:rsid w:val="4D577224"/>
    <w:rsid w:val="4DE73581"/>
    <w:rsid w:val="4EAB630A"/>
    <w:rsid w:val="4ECE2238"/>
    <w:rsid w:val="519B7399"/>
    <w:rsid w:val="51AC5CBF"/>
    <w:rsid w:val="52934C19"/>
    <w:rsid w:val="52C61160"/>
    <w:rsid w:val="53306035"/>
    <w:rsid w:val="535C3A19"/>
    <w:rsid w:val="53662F91"/>
    <w:rsid w:val="537E6D0A"/>
    <w:rsid w:val="54B716A8"/>
    <w:rsid w:val="55E713EE"/>
    <w:rsid w:val="55F4213F"/>
    <w:rsid w:val="592F0A32"/>
    <w:rsid w:val="59350DEE"/>
    <w:rsid w:val="5AF92295"/>
    <w:rsid w:val="5CD71FC4"/>
    <w:rsid w:val="5CEC3EBE"/>
    <w:rsid w:val="5EEC1E53"/>
    <w:rsid w:val="5F31530C"/>
    <w:rsid w:val="5F843604"/>
    <w:rsid w:val="5F8A5832"/>
    <w:rsid w:val="618E0C48"/>
    <w:rsid w:val="64280AFC"/>
    <w:rsid w:val="65224E36"/>
    <w:rsid w:val="66361380"/>
    <w:rsid w:val="676254A4"/>
    <w:rsid w:val="677A216E"/>
    <w:rsid w:val="686F5712"/>
    <w:rsid w:val="68AF64C7"/>
    <w:rsid w:val="692C3FBB"/>
    <w:rsid w:val="6AC95086"/>
    <w:rsid w:val="6C4A05C8"/>
    <w:rsid w:val="6C992F6F"/>
    <w:rsid w:val="6CD24821"/>
    <w:rsid w:val="6E7E3605"/>
    <w:rsid w:val="6F566693"/>
    <w:rsid w:val="6FF5CC65"/>
    <w:rsid w:val="715C0E4B"/>
    <w:rsid w:val="72734D90"/>
    <w:rsid w:val="72A653E0"/>
    <w:rsid w:val="737350E5"/>
    <w:rsid w:val="73AD73D5"/>
    <w:rsid w:val="73B6EB34"/>
    <w:rsid w:val="743D38F1"/>
    <w:rsid w:val="744731E5"/>
    <w:rsid w:val="76E3355F"/>
    <w:rsid w:val="778769C8"/>
    <w:rsid w:val="77FB1FD4"/>
    <w:rsid w:val="78804163"/>
    <w:rsid w:val="78B52B9F"/>
    <w:rsid w:val="78CC4E73"/>
    <w:rsid w:val="78CF6F68"/>
    <w:rsid w:val="79EE5BA4"/>
    <w:rsid w:val="7A894339"/>
    <w:rsid w:val="7ACB02FA"/>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index 8"/>
    <w:basedOn w:val="1"/>
    <w:next w:val="1"/>
    <w:qFormat/>
    <w:uiPriority w:val="0"/>
    <w:pPr>
      <w:ind w:left="2940"/>
    </w:pPr>
    <w:rPr>
      <w:rFonts w:cs="黑体"/>
      <w:szCs w:val="22"/>
      <w:lang w:bidi="ar-SA"/>
    </w:rPr>
  </w:style>
  <w:style w:type="paragraph" w:styleId="7">
    <w:name w:val="Salutation"/>
    <w:basedOn w:val="1"/>
    <w:next w:val="1"/>
    <w:unhideWhenUsed/>
    <w:qFormat/>
    <w:uiPriority w:val="0"/>
  </w:style>
  <w:style w:type="paragraph" w:styleId="8">
    <w:name w:val="Body Text Indent"/>
    <w:basedOn w:val="1"/>
    <w:qFormat/>
    <w:uiPriority w:val="0"/>
    <w:pPr>
      <w:spacing w:after="120"/>
      <w:ind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8"/>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10"/>
    <w:semiHidden/>
    <w:qFormat/>
    <w:uiPriority w:val="99"/>
    <w:rPr>
      <w:rFonts w:ascii="Times New Roman" w:hAnsi="Times New Roman"/>
      <w:kern w:val="2"/>
      <w:sz w:val="18"/>
      <w:szCs w:val="18"/>
    </w:rPr>
  </w:style>
  <w:style w:type="character" w:customStyle="1" w:styleId="33">
    <w:name w:val="标题 3 Char"/>
    <w:basedOn w:val="17"/>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6">
    <w:name w:val="font81"/>
    <w:basedOn w:val="17"/>
    <w:qFormat/>
    <w:uiPriority w:val="0"/>
    <w:rPr>
      <w:rFonts w:hint="eastAsia" w:ascii="宋体" w:hAnsi="宋体" w:eastAsia="宋体" w:cs="宋体"/>
      <w:b/>
      <w:bCs/>
      <w:color w:val="000000"/>
      <w:sz w:val="22"/>
      <w:szCs w:val="22"/>
      <w:u w:val="none"/>
    </w:rPr>
  </w:style>
  <w:style w:type="character" w:customStyle="1" w:styleId="37">
    <w:name w:val="font91"/>
    <w:basedOn w:val="17"/>
    <w:qFormat/>
    <w:uiPriority w:val="0"/>
    <w:rPr>
      <w:rFonts w:hint="eastAsia" w:ascii="宋体" w:hAnsi="宋体" w:eastAsia="宋体" w:cs="宋体"/>
      <w:b/>
      <w:bCs/>
      <w:color w:val="000000"/>
      <w:sz w:val="22"/>
      <w:szCs w:val="22"/>
      <w:u w:val="none"/>
    </w:rPr>
  </w:style>
  <w:style w:type="character" w:customStyle="1" w:styleId="38">
    <w:name w:val="font61"/>
    <w:basedOn w:val="17"/>
    <w:qFormat/>
    <w:uiPriority w:val="0"/>
    <w:rPr>
      <w:rFonts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H:\&#20854;&#20182;\&#30011;&#2227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20854;&#20182;\&#30011;&#2227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rPr sz="1400">
                <a:latin typeface="楷体" panose="02010609060101010101" charset="-122"/>
                <a:ea typeface="楷体" panose="02010609060101010101" charset="-122"/>
              </a:rPr>
              <a:t>收、支决算总计变动情况图</a:t>
            </a:r>
            <a:endParaRPr sz="1400">
              <a:latin typeface="楷体" panose="02010609060101010101" charset="-122"/>
              <a:ea typeface="楷体" panose="02010609060101010101" charset="-122"/>
            </a:endParaRPr>
          </a:p>
        </c:rich>
      </c:tx>
      <c:layout/>
      <c:overlay val="0"/>
    </c:title>
    <c:autoTitleDeleted val="0"/>
    <c:plotArea>
      <c:layout/>
      <c:barChart>
        <c:barDir val="col"/>
        <c:grouping val="clustered"/>
        <c:varyColors val="0"/>
        <c:ser>
          <c:idx val="0"/>
          <c:order val="0"/>
          <c:tx>
            <c:strRef>
              <c:f>[画图.xls]Sheet1!$G$8</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[画图.xls]Sheet1!$F$9:$F$11</c:f>
              <c:numCache>
                <c:formatCode>General</c:formatCode>
                <c:ptCount val="3"/>
                <c:pt idx="0">
                  <c:v>2021</c:v>
                </c:pt>
                <c:pt idx="2">
                  <c:v>2022</c:v>
                </c:pt>
              </c:numCache>
            </c:numRef>
          </c:cat>
          <c:val>
            <c:numRef>
              <c:f>[画图.xls]Sheet1!$G$9:$G$11</c:f>
              <c:numCache>
                <c:formatCode>General</c:formatCode>
                <c:ptCount val="3"/>
                <c:pt idx="0">
                  <c:v>6054.93</c:v>
                </c:pt>
                <c:pt idx="1">
                  <c:v>0</c:v>
                </c:pt>
                <c:pt idx="2">
                  <c:v>7032.66</c:v>
                </c:pt>
              </c:numCache>
            </c:numRef>
          </c:val>
        </c:ser>
        <c:ser>
          <c:idx val="1"/>
          <c:order val="1"/>
          <c:tx>
            <c:strRef>
              <c:f>[画图.xls]Sheet1!$H$8</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[画图.xls]Sheet1!$F$9:$F$11</c:f>
              <c:numCache>
                <c:formatCode>General</c:formatCode>
                <c:ptCount val="3"/>
                <c:pt idx="0">
                  <c:v>2021</c:v>
                </c:pt>
                <c:pt idx="2">
                  <c:v>2022</c:v>
                </c:pt>
              </c:numCache>
            </c:numRef>
          </c:cat>
          <c:val>
            <c:numRef>
              <c:f>[画图.xls]Sheet1!$H$9:$H$11</c:f>
              <c:numCache>
                <c:formatCode>General</c:formatCode>
                <c:ptCount val="3"/>
                <c:pt idx="0">
                  <c:v>6054.93</c:v>
                </c:pt>
                <c:pt idx="1">
                  <c:v>0</c:v>
                </c:pt>
                <c:pt idx="2">
                  <c:v>7032.66</c:v>
                </c:pt>
              </c:numCache>
            </c:numRef>
          </c:val>
        </c:ser>
        <c:dLbls>
          <c:showLegendKey val="0"/>
          <c:showVal val="1"/>
          <c:showCatName val="0"/>
          <c:showSerName val="0"/>
          <c:showPercent val="0"/>
          <c:showBubbleSize val="0"/>
        </c:dLbls>
        <c:gapWidth val="75"/>
        <c:overlap val="-25"/>
        <c:axId val="528957934"/>
        <c:axId val="380492834"/>
      </c:barChart>
      <c:catAx>
        <c:axId val="528957934"/>
        <c:scaling>
          <c:orientation val="minMax"/>
        </c:scaling>
        <c:delete val="0"/>
        <c:axPos val="b"/>
        <c:title>
          <c:layout/>
          <c:overlay val="0"/>
          <c:tx>
            <c:rich>
              <a:bodyPr/>
              <a:lstStyle/>
              <a:p>
                <a:pPr>
                  <a:defRPr/>
                </a:pPr>
              </a:p>
            </c:rich>
          </c:tx>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492834"/>
        <c:crosses val="autoZero"/>
        <c:auto val="1"/>
        <c:lblAlgn val="ctr"/>
        <c:lblOffset val="100"/>
        <c:noMultiLvlLbl val="0"/>
      </c:catAx>
      <c:valAx>
        <c:axId val="380492834"/>
        <c:scaling>
          <c:orientation val="minMax"/>
        </c:scaling>
        <c:delete val="0"/>
        <c:axPos val="l"/>
        <c:majorGridlines/>
        <c:title>
          <c:tx>
            <c:rich>
              <a:bodyPr rot="-5400000" spcFirstLastPara="0" vertOverflow="ellipsis" vert="horz" wrap="square" anchor="ctr" anchorCtr="1"/>
              <a:lstStyle/>
              <a:p>
                <a:pPr defTabSz="914400">
                  <a:defRPr lang="zh-CN" sz="1000" b="1" i="0" u="none" strike="noStrike" kern="1200" baseline="0">
                    <a:solidFill>
                      <a:schemeClr val="tx1"/>
                    </a:solidFill>
                    <a:latin typeface="+mn-lt"/>
                    <a:ea typeface="+mn-ea"/>
                    <a:cs typeface="+mn-cs"/>
                  </a:defRPr>
                </a:pPr>
                <a:r>
                  <a:t>单位：万元</a:t>
                </a:r>
              </a:p>
            </c:rich>
          </c:tx>
          <c:layout/>
          <c:overlay val="0"/>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957934"/>
        <c:crosses val="autoZero"/>
        <c:crossBetween val="between"/>
      </c:valAx>
      <c:spPr>
        <a:noFill/>
        <a:ln>
          <a:noFill/>
        </a:ln>
        <a:effectLst/>
      </c:spPr>
    </c:plotArea>
    <c:legend>
      <c:legendPos val="b"/>
      <c:layout/>
      <c:overlay val="0"/>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a:latin typeface="楷体" panose="02010609060101010101" charset="-122"/>
                <a:ea typeface="楷体" panose="02010609060101010101" charset="-122"/>
              </a:rPr>
              <a:t>收入决算结构图</a:t>
            </a:r>
            <a:endParaRPr>
              <a:latin typeface="楷体" panose="02010609060101010101" charset="-122"/>
              <a:ea typeface="楷体" panose="02010609060101010101" charset="-122"/>
            </a:endParaRPr>
          </a:p>
        </c:rich>
      </c:tx>
      <c:layout/>
      <c:overlay val="0"/>
      <c:spPr>
        <a:noFill/>
        <a:ln>
          <a:noFill/>
        </a:ln>
        <a:effectLst/>
      </c:spPr>
    </c:title>
    <c:autoTitleDeleted val="0"/>
    <c:plotArea>
      <c:layout/>
      <c:pieChart>
        <c:varyColors val="1"/>
        <c:ser>
          <c:idx val="0"/>
          <c:order val="0"/>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a:outerShdw blurRad="76200" dist="25400" dir="2700000" algn="tl" rotWithShape="0">
                  <a:schemeClr val="accent4">
                    <a:lumMod val="50000"/>
                    <a:alpha val="30000"/>
                  </a:schemeClr>
                </a:outerShdw>
              </a:effectLst>
            </c:spPr>
          </c:dPt>
          <c:dPt>
            <c:idx val="4"/>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Pt>
            <c:idx val="5"/>
            <c:bubble3D val="0"/>
            <c:spPr>
              <a:gradFill>
                <a:gsLst>
                  <a:gs pos="0">
                    <a:schemeClr val="accent6">
                      <a:lumMod val="40000"/>
                      <a:lumOff val="60000"/>
                    </a:schemeClr>
                  </a:gs>
                  <a:gs pos="90000">
                    <a:schemeClr val="accent6"/>
                  </a:gs>
                </a:gsLst>
                <a:lin ang="5400000" scaled="0"/>
              </a:gradFill>
              <a:ln>
                <a:gradFill>
                  <a:gsLst>
                    <a:gs pos="0">
                      <a:schemeClr val="accent6"/>
                    </a:gs>
                    <a:gs pos="100000">
                      <a:schemeClr val="accent6">
                        <a:lumMod val="75000"/>
                      </a:schemeClr>
                    </a:gs>
                  </a:gsLst>
                  <a:lin ang="5400000" scaled="1"/>
                </a:gradFill>
              </a:ln>
              <a:effectLst>
                <a:outerShdw blurRad="76200" dist="25400" dir="2700000" algn="tl" rotWithShape="0">
                  <a:schemeClr val="accent6">
                    <a:lumMod val="50000"/>
                    <a:alpha val="30000"/>
                  </a:schemeClr>
                </a:outerShdw>
              </a:effectLst>
            </c:spPr>
          </c:dPt>
          <c:dPt>
            <c:idx val="6"/>
            <c:bubble3D val="0"/>
            <c:spPr>
              <a:gradFill>
                <a:gsLst>
                  <a:gs pos="0">
                    <a:schemeClr val="accent1">
                      <a:lumMod val="60000"/>
                      <a:lumMod val="40000"/>
                      <a:lumOff val="60000"/>
                    </a:schemeClr>
                  </a:gs>
                  <a:gs pos="90000">
                    <a:schemeClr val="accent1">
                      <a:lumMod val="60000"/>
                    </a:schemeClr>
                  </a:gs>
                </a:gsLst>
                <a:lin ang="5400000" scaled="0"/>
              </a:gradFill>
              <a:ln>
                <a:gradFill>
                  <a:gsLst>
                    <a:gs pos="0">
                      <a:schemeClr val="accent1">
                        <a:lumMod val="60000"/>
                      </a:schemeClr>
                    </a:gs>
                    <a:gs pos="100000">
                      <a:schemeClr val="accent1">
                        <a:lumMod val="60000"/>
                        <a:lumMod val="75000"/>
                      </a:schemeClr>
                    </a:gs>
                  </a:gsLst>
                  <a:lin ang="5400000" scaled="1"/>
                </a:gradFill>
              </a:ln>
              <a:effectLst>
                <a:outerShdw blurRad="76200" dist="25400" dir="2700000" algn="tl" rotWithShape="0">
                  <a:schemeClr val="accent1">
                    <a:lumMod val="60000"/>
                    <a:lumMod val="50000"/>
                    <a:alpha val="30000"/>
                  </a:schemeClr>
                </a:outerShdw>
              </a:effectLst>
            </c:spPr>
          </c:dPt>
          <c:dPt>
            <c:idx val="7"/>
            <c:bubble3D val="0"/>
            <c:spPr>
              <a:gradFill>
                <a:gsLst>
                  <a:gs pos="0">
                    <a:schemeClr val="accent2">
                      <a:lumMod val="60000"/>
                      <a:lumMod val="40000"/>
                      <a:lumOff val="60000"/>
                    </a:schemeClr>
                  </a:gs>
                  <a:gs pos="90000">
                    <a:schemeClr val="accent2">
                      <a:lumMod val="60000"/>
                    </a:schemeClr>
                  </a:gs>
                </a:gsLst>
                <a:lin ang="5400000" scaled="0"/>
              </a:gradFill>
              <a:ln>
                <a:gradFill>
                  <a:gsLst>
                    <a:gs pos="0">
                      <a:schemeClr val="accent2">
                        <a:lumMod val="60000"/>
                      </a:schemeClr>
                    </a:gs>
                    <a:gs pos="100000">
                      <a:schemeClr val="accent2">
                        <a:lumMod val="60000"/>
                        <a:lumMod val="75000"/>
                      </a:schemeClr>
                    </a:gs>
                  </a:gsLst>
                  <a:lin ang="5400000" scaled="1"/>
                </a:gradFill>
              </a:ln>
              <a:effectLst>
                <a:outerShdw blurRad="76200" dist="25400" dir="2700000" algn="tl" rotWithShape="0">
                  <a:schemeClr val="accent2">
                    <a:lumMod val="60000"/>
                    <a:lumMod val="50000"/>
                    <a:alpha val="30000"/>
                  </a:schemeClr>
                </a:outerShdw>
              </a:effectLst>
            </c:spPr>
          </c:dPt>
          <c:dLbls>
            <c:dLbl>
              <c:idx val="0"/>
              <c:layout>
                <c:manualLayout>
                  <c:x val="0.0118421052631579"/>
                  <c:y val="-0.13194444444444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一般公共预算财政拨款收入1438.59, 20.46%</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02631578947368"/>
                  <c:y val="0.06597222222222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63815789473684"/>
                  <c:y val="-0.34027777777777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0828947368421053"/>
                  <c:y val="0.27083333333333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163815789473684"/>
                  <c:y val="-0.079861111111111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事业收入5594.07, 79.54%</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325657894736842"/>
                  <c:y val="0.03472222222222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307894736842105"/>
                  <c:y val="0.26041666666666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7"/>
              <c:layout>
                <c:manualLayout>
                  <c:x val="-0.317763157894737"/>
                  <c:y val="0.041666666666666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工作表.xlsx]Sheet2'!$H$17:$H$24</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'[新建 XLSX 工作表.xlsx]Sheet2'!$I$17:$I$24</c:f>
              <c:numCache>
                <c:formatCode>General</c:formatCode>
                <c:ptCount val="8"/>
                <c:pt idx="0">
                  <c:v>1438.59</c:v>
                </c:pt>
                <c:pt idx="1">
                  <c:v>0</c:v>
                </c:pt>
                <c:pt idx="2">
                  <c:v>0</c:v>
                </c:pt>
                <c:pt idx="3">
                  <c:v>0</c:v>
                </c:pt>
                <c:pt idx="4">
                  <c:v>5594.07</c:v>
                </c:pt>
                <c:pt idx="5">
                  <c:v>0</c:v>
                </c:pt>
                <c:pt idx="6">
                  <c:v>0</c:v>
                </c:pt>
                <c:pt idx="7">
                  <c:v>0</c:v>
                </c:pt>
              </c:numCache>
            </c:numRef>
          </c:val>
        </c:ser>
        <c:ser>
          <c:idx val="1"/>
          <c:order val="1"/>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a:outerShdw blurRad="76200" dist="25400" dir="2700000" algn="tl" rotWithShape="0">
                  <a:schemeClr val="accent1">
                    <a:lumMod val="50000"/>
                    <a:alpha val="30000"/>
                  </a:schemeClr>
                </a:outerShdw>
              </a:effectLst>
            </c:spPr>
          </c:dPt>
          <c:dPt>
            <c:idx val="1"/>
            <c:bubble3D val="0"/>
            <c:spPr>
              <a:gradFill>
                <a:gsLst>
                  <a:gs pos="0">
                    <a:schemeClr val="accent2">
                      <a:lumMod val="40000"/>
                      <a:lumOff val="60000"/>
                    </a:schemeClr>
                  </a:gs>
                  <a:gs pos="90000">
                    <a:schemeClr val="accent2"/>
                  </a:gs>
                </a:gsLst>
                <a:lin ang="5400000" scaled="0"/>
              </a:gradFill>
              <a:ln>
                <a:gradFill>
                  <a:gsLst>
                    <a:gs pos="0">
                      <a:schemeClr val="accent2"/>
                    </a:gs>
                    <a:gs pos="100000">
                      <a:schemeClr val="accent2">
                        <a:lumMod val="75000"/>
                      </a:schemeClr>
                    </a:gs>
                  </a:gsLst>
                  <a:lin ang="5400000" scaled="1"/>
                </a:gradFill>
              </a:ln>
              <a:effectLst>
                <a:outerShdw blurRad="76200" dist="25400" dir="2700000" algn="tl" rotWithShape="0">
                  <a:schemeClr val="accent2">
                    <a:lumMod val="50000"/>
                    <a:alpha val="30000"/>
                  </a:schemeClr>
                </a:outerShdw>
              </a:effectLst>
            </c:spPr>
          </c:dPt>
          <c:dPt>
            <c:idx val="2"/>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a:outerShdw blurRad="76200" dist="25400" dir="2700000" algn="tl" rotWithShape="0">
                  <a:schemeClr val="accent3">
                    <a:lumMod val="50000"/>
                    <a:alpha val="30000"/>
                  </a:schemeClr>
                </a:outerShdw>
              </a:effectLst>
            </c:spPr>
          </c:dPt>
          <c:dPt>
            <c:idx val="3"/>
            <c:bubble3D val="0"/>
            <c:spPr>
              <a:gradFill>
                <a:gsLst>
                  <a:gs pos="0">
                    <a:schemeClr val="accent4">
                      <a:lumMod val="40000"/>
                      <a:lumOff val="60000"/>
                    </a:schemeClr>
                  </a:gs>
                  <a:gs pos="90000">
                    <a:schemeClr val="accent4"/>
                  </a:gs>
                </a:gsLst>
                <a:lin ang="5400000" scaled="0"/>
              </a:gradFill>
              <a:ln>
                <a:gradFill>
                  <a:gsLst>
                    <a:gs pos="0">
                      <a:schemeClr val="accent4"/>
                    </a:gs>
                    <a:gs pos="100000">
                      <a:schemeClr val="accent4">
                        <a:lumMod val="75000"/>
                      </a:schemeClr>
                    </a:gs>
                  </a:gsLst>
                  <a:lin ang="5400000" scaled="1"/>
                </a:gradFill>
              </a:ln>
              <a:effectLst>
                <a:outerShdw blurRad="76200" dist="25400" dir="2700000" algn="tl" rotWithShape="0">
                  <a:schemeClr val="accent4">
                    <a:lumMod val="50000"/>
                    <a:alpha val="30000"/>
                  </a:schemeClr>
                </a:outerShdw>
              </a:effectLst>
            </c:spPr>
          </c:dPt>
          <c:dPt>
            <c:idx val="4"/>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a:outerShdw blurRad="76200" dist="25400" dir="2700000" algn="tl" rotWithShape="0">
                  <a:schemeClr val="accent5">
                    <a:lumMod val="50000"/>
                    <a:alpha val="30000"/>
                  </a:schemeClr>
                </a:outerShdw>
              </a:effectLst>
            </c:spPr>
          </c:dPt>
          <c:dPt>
            <c:idx val="5"/>
            <c:bubble3D val="0"/>
            <c:spPr>
              <a:gradFill>
                <a:gsLst>
                  <a:gs pos="0">
                    <a:schemeClr val="accent6">
                      <a:lumMod val="40000"/>
                      <a:lumOff val="60000"/>
                    </a:schemeClr>
                  </a:gs>
                  <a:gs pos="90000">
                    <a:schemeClr val="accent6"/>
                  </a:gs>
                </a:gsLst>
                <a:lin ang="5400000" scaled="0"/>
              </a:gradFill>
              <a:ln>
                <a:gradFill>
                  <a:gsLst>
                    <a:gs pos="0">
                      <a:schemeClr val="accent6"/>
                    </a:gs>
                    <a:gs pos="100000">
                      <a:schemeClr val="accent6">
                        <a:lumMod val="75000"/>
                      </a:schemeClr>
                    </a:gs>
                  </a:gsLst>
                  <a:lin ang="5400000" scaled="1"/>
                </a:gradFill>
              </a:ln>
              <a:effectLst>
                <a:outerShdw blurRad="76200" dist="25400" dir="2700000" algn="tl" rotWithShape="0">
                  <a:schemeClr val="accent6">
                    <a:lumMod val="50000"/>
                    <a:alpha val="30000"/>
                  </a:schemeClr>
                </a:outerShdw>
              </a:effectLst>
            </c:spPr>
          </c:dPt>
          <c:dPt>
            <c:idx val="6"/>
            <c:bubble3D val="0"/>
            <c:spPr>
              <a:gradFill>
                <a:gsLst>
                  <a:gs pos="0">
                    <a:schemeClr val="accent1">
                      <a:lumMod val="60000"/>
                      <a:lumMod val="40000"/>
                      <a:lumOff val="60000"/>
                    </a:schemeClr>
                  </a:gs>
                  <a:gs pos="90000">
                    <a:schemeClr val="accent1">
                      <a:lumMod val="60000"/>
                    </a:schemeClr>
                  </a:gs>
                </a:gsLst>
                <a:lin ang="5400000" scaled="0"/>
              </a:gradFill>
              <a:ln>
                <a:gradFill>
                  <a:gsLst>
                    <a:gs pos="0">
                      <a:schemeClr val="accent1">
                        <a:lumMod val="60000"/>
                      </a:schemeClr>
                    </a:gs>
                    <a:gs pos="100000">
                      <a:schemeClr val="accent1">
                        <a:lumMod val="60000"/>
                        <a:lumMod val="75000"/>
                      </a:schemeClr>
                    </a:gs>
                  </a:gsLst>
                  <a:lin ang="5400000" scaled="1"/>
                </a:gradFill>
              </a:ln>
              <a:effectLst>
                <a:outerShdw blurRad="76200" dist="25400" dir="2700000" algn="tl" rotWithShape="0">
                  <a:schemeClr val="accent1">
                    <a:lumMod val="60000"/>
                    <a:lumMod val="50000"/>
                    <a:alpha val="30000"/>
                  </a:schemeClr>
                </a:outerShdw>
              </a:effectLst>
            </c:spPr>
          </c:dPt>
          <c:dPt>
            <c:idx val="7"/>
            <c:bubble3D val="0"/>
            <c:spPr>
              <a:gradFill>
                <a:gsLst>
                  <a:gs pos="0">
                    <a:schemeClr val="accent2">
                      <a:lumMod val="60000"/>
                      <a:lumMod val="40000"/>
                      <a:lumOff val="60000"/>
                    </a:schemeClr>
                  </a:gs>
                  <a:gs pos="90000">
                    <a:schemeClr val="accent2">
                      <a:lumMod val="60000"/>
                    </a:schemeClr>
                  </a:gs>
                </a:gsLst>
                <a:lin ang="5400000" scaled="0"/>
              </a:gradFill>
              <a:ln>
                <a:gradFill>
                  <a:gsLst>
                    <a:gs pos="0">
                      <a:schemeClr val="accent2">
                        <a:lumMod val="60000"/>
                      </a:schemeClr>
                    </a:gs>
                    <a:gs pos="100000">
                      <a:schemeClr val="accent2">
                        <a:lumMod val="60000"/>
                        <a:lumMod val="75000"/>
                      </a:schemeClr>
                    </a:gs>
                  </a:gsLst>
                  <a:lin ang="5400000" scaled="1"/>
                </a:gradFill>
              </a:ln>
              <a:effectLst>
                <a:outerShdw blurRad="76200" dist="25400" dir="2700000" algn="tl" rotWithShape="0">
                  <a:schemeClr val="accent2">
                    <a:lumMod val="60000"/>
                    <a:lumMod val="50000"/>
                    <a:alpha val="30000"/>
                  </a:schemeClr>
                </a:outerShdw>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工作表.xlsx]Sheet2'!$H$17:$H$24</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'[新建 XLSX 工作表.xlsx]Sheet2'!$J$17:$J$24</c:f>
              <c:numCache>
                <c:formatCode>0.00%</c:formatCode>
                <c:ptCount val="8"/>
                <c:pt idx="0">
                  <c:v>0.2046</c:v>
                </c:pt>
                <c:pt idx="4">
                  <c:v>0.7954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0177631578947368"/>
          <c:y val="0.1289351851851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a:latin typeface="楷体" panose="02010609060101010101" charset="-122"/>
                <a:ea typeface="楷体" panose="02010609060101010101" charset="-122"/>
              </a:rPr>
              <a:t>支出决算结构图</a:t>
            </a:r>
            <a:endParaRPr>
              <a:latin typeface="楷体" panose="02010609060101010101" charset="-122"/>
              <a:ea typeface="楷体" panose="02010609060101010101" charset="-122"/>
            </a:endParaRPr>
          </a:p>
        </c:rich>
      </c:tx>
      <c:layout>
        <c:manualLayout>
          <c:xMode val="edge"/>
          <c:yMode val="edge"/>
          <c:x val="0.406578947368421"/>
          <c:y val="0.0173611111111111"/>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Lbls>
            <c:dLbl>
              <c:idx val="0"/>
              <c:layout>
                <c:manualLayout>
                  <c:x val="0.151973684210526"/>
                  <c:y val="-0.11805555555555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基本支出, 6550.61，93</a:t>
                    </a:r>
                    <a:r>
                      <a:rPr lang="en-US" altLang="zh-CN"/>
                      <a:t>.15</a:t>
                    </a:r>
                    <a:r>
                      <a:t>%</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214736842105263"/>
                      <c:h val="0.16087962962963"/>
                    </c:manualLayout>
                  </c15:layout>
                </c:ext>
              </c:extLst>
            </c:dLbl>
            <c:dLbl>
              <c:idx val="1"/>
              <c:layout>
                <c:manualLayout>
                  <c:x val="-0.0651315789473684"/>
                  <c:y val="0.055555555555555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项目支出, 482.05，</a:t>
                    </a:r>
                    <a:r>
                      <a:rPr lang="en-US" altLang="zh-CN"/>
                      <a:t>6.85</a:t>
                    </a:r>
                    <a:r>
                      <a:t>%</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246710526315789"/>
                  <c:y val="0.232638888888889"/>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0907894736842105"/>
                  <c:y val="0.03472222222222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246710526315789"/>
                  <c:y val="0.18402777777777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工作表.xlsx]Sheet3'!$G$16:$G$20</c:f>
              <c:strCache>
                <c:ptCount val="5"/>
                <c:pt idx="0">
                  <c:v>基本支出</c:v>
                </c:pt>
                <c:pt idx="1">
                  <c:v>项目支出</c:v>
                </c:pt>
                <c:pt idx="2">
                  <c:v>上缴上级支出</c:v>
                </c:pt>
                <c:pt idx="3">
                  <c:v>经营支出</c:v>
                </c:pt>
                <c:pt idx="4">
                  <c:v>对附属单位补助支出</c:v>
                </c:pt>
              </c:strCache>
            </c:strRef>
          </c:cat>
          <c:val>
            <c:numRef>
              <c:f>'[新建 XLSX 工作表.xlsx]Sheet3'!$H$16:$H$20</c:f>
              <c:numCache>
                <c:formatCode>General</c:formatCode>
                <c:ptCount val="5"/>
                <c:pt idx="0">
                  <c:v>6550.61</c:v>
                </c:pt>
                <c:pt idx="1">
                  <c:v>482.05</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baseline="0">
                <a:solidFill>
                  <a:schemeClr val="tx1"/>
                </a:solidFill>
                <a:latin typeface="楷体" panose="02010609060101010101" charset="-122"/>
                <a:ea typeface="楷体" panose="02010609060101010101" charset="-122"/>
                <a:cs typeface="楷体" panose="02010609060101010101" charset="-122"/>
                <a:sym typeface="楷体" panose="02010609060101010101" charset="-122"/>
              </a:defRPr>
            </a:pPr>
            <a:r>
              <a:rPr>
                <a:latin typeface="楷体" panose="02010609060101010101" charset="-122"/>
                <a:ea typeface="楷体" panose="02010609060101010101" charset="-122"/>
                <a:cs typeface="楷体" panose="02010609060101010101" charset="-122"/>
                <a:sym typeface="楷体" panose="02010609060101010101" charset="-122"/>
              </a:rPr>
              <a:t>财政拨款收、支决算总计变动情况图</a:t>
            </a:r>
            <a:endParaRPr>
              <a:latin typeface="楷体" panose="02010609060101010101" charset="-122"/>
              <a:ea typeface="楷体" panose="02010609060101010101" charset="-122"/>
              <a:cs typeface="楷体" panose="02010609060101010101" charset="-122"/>
              <a:sym typeface="楷体" panose="02010609060101010101" charset="-122"/>
            </a:endParaRPr>
          </a:p>
        </c:rich>
      </c:tx>
      <c:layout/>
      <c:overlay val="0"/>
    </c:title>
    <c:autoTitleDeleted val="0"/>
    <c:plotArea>
      <c:layout/>
      <c:barChart>
        <c:barDir val="col"/>
        <c:grouping val="clustered"/>
        <c:varyColors val="0"/>
        <c:ser>
          <c:idx val="0"/>
          <c:order val="0"/>
          <c:tx>
            <c:strRef>
              <c:f>[画图.xls]Sheet1!$G$8</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楷体" panose="02010609060101010101" charset="-122"/>
                    <a:ea typeface="楷体" panose="02010609060101010101" charset="-122"/>
                    <a:cs typeface="楷体" panose="02010609060101010101" charset="-122"/>
                    <a:sym typeface="楷体" panose="0201060906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[画图.xls]Sheet1!$F$9:$F$11</c:f>
              <c:numCache>
                <c:formatCode>General</c:formatCode>
                <c:ptCount val="3"/>
                <c:pt idx="0">
                  <c:v>2021</c:v>
                </c:pt>
                <c:pt idx="2">
                  <c:v>2022</c:v>
                </c:pt>
              </c:numCache>
            </c:numRef>
          </c:cat>
          <c:val>
            <c:numRef>
              <c:f>[画图.xls]Sheet1!$G$9:$G$11</c:f>
              <c:numCache>
                <c:formatCode>General</c:formatCode>
                <c:ptCount val="3"/>
                <c:pt idx="0">
                  <c:v>912.29</c:v>
                </c:pt>
                <c:pt idx="1">
                  <c:v>0</c:v>
                </c:pt>
                <c:pt idx="2">
                  <c:v>1438.59</c:v>
                </c:pt>
              </c:numCache>
            </c:numRef>
          </c:val>
        </c:ser>
        <c:ser>
          <c:idx val="1"/>
          <c:order val="1"/>
          <c:tx>
            <c:strRef>
              <c:f>[画图.xls]Sheet1!$H$8</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楷体" panose="02010609060101010101" charset="-122"/>
                    <a:ea typeface="楷体" panose="02010609060101010101" charset="-122"/>
                    <a:cs typeface="楷体" panose="02010609060101010101" charset="-122"/>
                    <a:sym typeface="楷体" panose="0201060906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[画图.xls]Sheet1!$F$9:$F$11</c:f>
              <c:numCache>
                <c:formatCode>General</c:formatCode>
                <c:ptCount val="3"/>
                <c:pt idx="0">
                  <c:v>2021</c:v>
                </c:pt>
                <c:pt idx="2">
                  <c:v>2022</c:v>
                </c:pt>
              </c:numCache>
            </c:numRef>
          </c:cat>
          <c:val>
            <c:numRef>
              <c:f>[画图.xls]Sheet1!$H$9:$H$11</c:f>
              <c:numCache>
                <c:formatCode>General</c:formatCode>
                <c:ptCount val="3"/>
                <c:pt idx="0">
                  <c:v>912.29</c:v>
                </c:pt>
                <c:pt idx="1">
                  <c:v>0</c:v>
                </c:pt>
                <c:pt idx="2">
                  <c:v>1438.59</c:v>
                </c:pt>
              </c:numCache>
            </c:numRef>
          </c:val>
        </c:ser>
        <c:dLbls>
          <c:showLegendKey val="0"/>
          <c:showVal val="1"/>
          <c:showCatName val="0"/>
          <c:showSerName val="0"/>
          <c:showPercent val="0"/>
          <c:showBubbleSize val="0"/>
        </c:dLbls>
        <c:gapWidth val="75"/>
        <c:overlap val="-25"/>
        <c:axId val="528957934"/>
        <c:axId val="380492834"/>
      </c:barChart>
      <c:catAx>
        <c:axId val="528957934"/>
        <c:scaling>
          <c:orientation val="minMax"/>
        </c:scaling>
        <c:delete val="0"/>
        <c:axPos val="b"/>
        <c:title>
          <c:layout>
            <c:manualLayout>
              <c:xMode val="edge"/>
              <c:yMode val="edge"/>
              <c:x val="0.40241633106513"/>
              <c:y val="0.781666666666667"/>
            </c:manualLayout>
          </c:layout>
          <c:overlay val="0"/>
          <c:tx>
            <c:rich>
              <a:bodyPr/>
              <a:lstStyle/>
              <a:p>
                <a:pPr>
                  <a:defRPr/>
                </a:pPr>
              </a:p>
            </c:rich>
          </c:tx>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楷体" panose="02010609060101010101" charset="-122"/>
                <a:ea typeface="楷体" panose="02010609060101010101" charset="-122"/>
                <a:cs typeface="楷体" panose="02010609060101010101" charset="-122"/>
                <a:sym typeface="楷体" panose="02010609060101010101" charset="-122"/>
              </a:defRPr>
            </a:pPr>
          </a:p>
        </c:txPr>
        <c:crossAx val="380492834"/>
        <c:crosses val="autoZero"/>
        <c:auto val="1"/>
        <c:lblAlgn val="ctr"/>
        <c:lblOffset val="100"/>
        <c:noMultiLvlLbl val="0"/>
      </c:catAx>
      <c:valAx>
        <c:axId val="380492834"/>
        <c:scaling>
          <c:orientation val="minMax"/>
        </c:scaling>
        <c:delete val="0"/>
        <c:axPos val="l"/>
        <c:majorGridlines/>
        <c:title>
          <c:tx>
            <c:rich>
              <a:bodyPr rot="-5400000" spcFirstLastPara="0" vertOverflow="ellipsis" vert="horz" wrap="square" anchor="ctr" anchorCtr="1"/>
              <a:lstStyle/>
              <a:p>
                <a:pPr defTabSz="914400">
                  <a:defRPr lang="zh-CN" sz="1000" b="1" i="0" u="none" strike="noStrike" kern="1200" baseline="0">
                    <a:solidFill>
                      <a:schemeClr val="tx1"/>
                    </a:solidFill>
                    <a:latin typeface="楷体" panose="02010609060101010101" charset="-122"/>
                    <a:ea typeface="楷体" panose="02010609060101010101" charset="-122"/>
                    <a:cs typeface="楷体" panose="02010609060101010101" charset="-122"/>
                    <a:sym typeface="楷体" panose="02010609060101010101" charset="-122"/>
                  </a:defRPr>
                </a:pPr>
                <a:r>
                  <a:rPr>
                    <a:latin typeface="楷体" panose="02010609060101010101" charset="-122"/>
                    <a:ea typeface="楷体" panose="02010609060101010101" charset="-122"/>
                    <a:cs typeface="楷体" panose="02010609060101010101" charset="-122"/>
                    <a:sym typeface="楷体" panose="02010609060101010101" charset="-122"/>
                  </a:rPr>
                  <a:t>单位：万元</a:t>
                </a:r>
                <a:endParaRPr>
                  <a:latin typeface="楷体" panose="02010609060101010101" charset="-122"/>
                  <a:ea typeface="楷体" panose="02010609060101010101" charset="-122"/>
                  <a:cs typeface="楷体" panose="02010609060101010101" charset="-122"/>
                  <a:sym typeface="楷体" panose="02010609060101010101" charset="-122"/>
                </a:endParaRPr>
              </a:p>
            </c:rich>
          </c:tx>
          <c:layout/>
          <c:overlay val="0"/>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楷体" panose="02010609060101010101" charset="-122"/>
                <a:ea typeface="楷体" panose="02010609060101010101" charset="-122"/>
                <a:cs typeface="楷体" panose="02010609060101010101" charset="-122"/>
                <a:sym typeface="楷体" panose="02010609060101010101" charset="-122"/>
              </a:defRPr>
            </a:pPr>
          </a:p>
        </c:txPr>
        <c:crossAx val="52895793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solidFill>
                <a:latin typeface="楷体" panose="02010609060101010101" charset="-122"/>
                <a:ea typeface="楷体" panose="02010609060101010101" charset="-122"/>
                <a:cs typeface="楷体" panose="02010609060101010101" charset="-122"/>
                <a:sym typeface="楷体" panose="02010609060101010101" charset="-122"/>
              </a:defRPr>
            </a:pPr>
          </a:p>
        </c:txPr>
      </c:legendEntry>
      <c:legendEntry>
        <c:idx val="1"/>
        <c:txPr>
          <a:bodyPr rot="0" spcFirstLastPara="0" vertOverflow="ellipsis" vert="horz" wrap="square" anchor="ctr" anchorCtr="1"/>
          <a:lstStyle/>
          <a:p>
            <a:pPr>
              <a:defRPr lang="zh-CN" sz="1000" b="0" i="0" u="none" strike="noStrike" kern="1200" baseline="0">
                <a:solidFill>
                  <a:schemeClr val="tx1"/>
                </a:solidFill>
                <a:latin typeface="楷体" panose="02010609060101010101" charset="-122"/>
                <a:ea typeface="楷体" panose="02010609060101010101" charset="-122"/>
                <a:cs typeface="楷体" panose="02010609060101010101" charset="-122"/>
                <a:sym typeface="楷体" panose="02010609060101010101" charset="-122"/>
              </a:defRPr>
            </a:pPr>
          </a:p>
        </c:txPr>
      </c:legendEntry>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楷体" panose="02010609060101010101" charset="-122"/>
              <a:ea typeface="楷体" panose="02010609060101010101" charset="-122"/>
              <a:cs typeface="楷体" panose="02010609060101010101" charset="-122"/>
              <a:sym typeface="楷体" panose="0201060906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1000" kern="1200">
          <a:solidFill>
            <a:schemeClr val="tx1"/>
          </a:solidFill>
          <a:latin typeface="楷体" panose="02010609060101010101" charset="-122"/>
          <a:ea typeface="楷体" panose="02010609060101010101" charset="-122"/>
          <a:cs typeface="楷体" panose="02010609060101010101" charset="-122"/>
          <a:sym typeface="楷体" panose="0201060906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a:latin typeface="楷体" panose="02010609060101010101" charset="-122"/>
                <a:ea typeface="楷体" panose="02010609060101010101" charset="-122"/>
              </a:rPr>
              <a:t>一般公共预算财政拨款支出决算变动情况图</a:t>
            </a:r>
            <a:endParaRPr>
              <a:latin typeface="楷体" panose="02010609060101010101" charset="-122"/>
              <a:ea typeface="楷体" panose="0201060906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工作表.xlsx]Sheet5'!$F$17:$F$18</c:f>
              <c:strCache>
                <c:ptCount val="2"/>
                <c:pt idx="0">
                  <c:v>2021年度</c:v>
                </c:pt>
                <c:pt idx="1">
                  <c:v>2022年度</c:v>
                </c:pt>
              </c:strCache>
            </c:strRef>
          </c:cat>
          <c:val>
            <c:numRef>
              <c:f>'[新建 XLSX 工作表.xlsx]Sheet5'!$G$17:$G$18</c:f>
              <c:numCache>
                <c:formatCode>General</c:formatCode>
                <c:ptCount val="2"/>
                <c:pt idx="0">
                  <c:v>912.29</c:v>
                </c:pt>
                <c:pt idx="1">
                  <c:v>1438.59</c:v>
                </c:pt>
              </c:numCache>
            </c:numRef>
          </c:val>
        </c:ser>
        <c:dLbls>
          <c:showLegendKey val="0"/>
          <c:showVal val="1"/>
          <c:showCatName val="0"/>
          <c:showSerName val="0"/>
          <c:showPercent val="0"/>
          <c:showBubbleSize val="0"/>
        </c:dLbls>
        <c:gapWidth val="246"/>
        <c:overlap val="-28"/>
        <c:axId val="901697033"/>
        <c:axId val="348934944"/>
      </c:barChart>
      <c:catAx>
        <c:axId val="901697033"/>
        <c:scaling>
          <c:orientation val="minMax"/>
        </c:scaling>
        <c:delete val="0"/>
        <c:axPos val="b"/>
        <c:title>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934944"/>
        <c:crosses val="autoZero"/>
        <c:auto val="1"/>
        <c:lblAlgn val="ctr"/>
        <c:lblOffset val="100"/>
        <c:noMultiLvlLbl val="0"/>
      </c:catAx>
      <c:valAx>
        <c:axId val="348934944"/>
        <c:scaling>
          <c:orientation val="minMax"/>
        </c:scaling>
        <c:delete val="0"/>
        <c:axPos val="l"/>
        <c:majorGridlines>
          <c:spPr>
            <a:ln w="9525" cap="flat" cmpd="sng" algn="ctr">
              <a:solidFill>
                <a:schemeClr val="bg1">
                  <a:lumMod val="902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16970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a:latin typeface="楷体" panose="02010609060101010101" charset="-122"/>
                <a:ea typeface="楷体" panose="02010609060101010101" charset="-122"/>
              </a:rPr>
              <a:t>一般公共预算财政拨款支出决算结构图</a:t>
            </a:r>
            <a:endParaRPr>
              <a:latin typeface="楷体" panose="02010609060101010101" charset="-122"/>
              <a:ea typeface="楷体" panose="02010609060101010101" charset="-122"/>
            </a:endParaRPr>
          </a:p>
        </c:rich>
      </c:tx>
      <c:layout/>
      <c:overlay val="0"/>
      <c:spPr>
        <a:noFill/>
        <a:ln>
          <a:noFill/>
        </a:ln>
        <a:effectLst/>
      </c:spPr>
    </c:title>
    <c:autoTitleDeleted val="0"/>
    <c:plotArea>
      <c:layout/>
      <c:pieChart>
        <c:varyColors val="1"/>
        <c:ser>
          <c:idx val="0"/>
          <c:order val="0"/>
          <c:spPr/>
          <c:explosion val="0"/>
          <c:dPt>
            <c:idx val="0"/>
            <c:bubble3D val="0"/>
            <c:spPr>
              <a:gradFill>
                <a:gsLst>
                  <a:gs pos="0">
                    <a:schemeClr val="accent1">
                      <a:hueOff val="-1670000"/>
                    </a:schemeClr>
                  </a:gs>
                  <a:gs pos="100000">
                    <a:schemeClr val="accent1"/>
                  </a:gs>
                </a:gsLst>
                <a:lin ang="5400000" scaled="0"/>
              </a:gradFill>
              <a:ln>
                <a:gradFill>
                  <a:gsLst>
                    <a:gs pos="0">
                      <a:schemeClr val="accent1">
                        <a:lumMod val="75000"/>
                        <a:hueOff val="-1670000"/>
                      </a:schemeClr>
                    </a:gs>
                    <a:gs pos="100000">
                      <a:schemeClr val="accent1">
                        <a:lumMod val="75000"/>
                      </a:schemeClr>
                    </a:gs>
                  </a:gsLst>
                  <a:lin ang="5160000" scaled="1"/>
                </a:gradFill>
              </a:ln>
              <a:effectLst/>
            </c:spPr>
          </c:dPt>
          <c:dPt>
            <c:idx val="1"/>
            <c:bubble3D val="0"/>
            <c:spPr>
              <a:gradFill>
                <a:gsLst>
                  <a:gs pos="0">
                    <a:schemeClr val="accent2">
                      <a:hueOff val="-1670000"/>
                    </a:schemeClr>
                  </a:gs>
                  <a:gs pos="100000">
                    <a:schemeClr val="accent2"/>
                  </a:gs>
                </a:gsLst>
                <a:lin ang="5400000" scaled="0"/>
              </a:gradFill>
              <a:ln>
                <a:gradFill>
                  <a:gsLst>
                    <a:gs pos="0">
                      <a:schemeClr val="accent2">
                        <a:lumMod val="75000"/>
                        <a:hueOff val="-1670000"/>
                      </a:schemeClr>
                    </a:gs>
                    <a:gs pos="100000">
                      <a:schemeClr val="accent2">
                        <a:lumMod val="75000"/>
                      </a:schemeClr>
                    </a:gs>
                  </a:gsLst>
                  <a:lin ang="5160000" scaled="1"/>
                </a:gradFill>
              </a:ln>
              <a:effectLst/>
            </c:spPr>
          </c:dPt>
          <c:dPt>
            <c:idx val="2"/>
            <c:bubble3D val="0"/>
            <c:spPr>
              <a:gradFill>
                <a:gsLst>
                  <a:gs pos="0">
                    <a:schemeClr val="accent3">
                      <a:hueOff val="-1670000"/>
                    </a:schemeClr>
                  </a:gs>
                  <a:gs pos="100000">
                    <a:schemeClr val="accent3"/>
                  </a:gs>
                </a:gsLst>
                <a:lin ang="5400000" scaled="0"/>
              </a:gradFill>
              <a:ln>
                <a:gradFill>
                  <a:gsLst>
                    <a:gs pos="0">
                      <a:schemeClr val="accent3">
                        <a:lumMod val="75000"/>
                        <a:hueOff val="-1670000"/>
                      </a:schemeClr>
                    </a:gs>
                    <a:gs pos="100000">
                      <a:schemeClr val="accent3">
                        <a:lumMod val="75000"/>
                      </a:schemeClr>
                    </a:gs>
                  </a:gsLst>
                  <a:lin ang="5160000" scaled="1"/>
                </a:gradFill>
              </a:ln>
              <a:effectLst/>
            </c:spPr>
          </c:dPt>
          <c:dPt>
            <c:idx val="3"/>
            <c:bubble3D val="0"/>
            <c:spPr>
              <a:gradFill>
                <a:gsLst>
                  <a:gs pos="0">
                    <a:schemeClr val="accent4">
                      <a:hueOff val="-1670000"/>
                    </a:schemeClr>
                  </a:gs>
                  <a:gs pos="100000">
                    <a:schemeClr val="accent4"/>
                  </a:gs>
                </a:gsLst>
                <a:lin ang="5400000" scaled="0"/>
              </a:gradFill>
              <a:ln>
                <a:gradFill>
                  <a:gsLst>
                    <a:gs pos="0">
                      <a:schemeClr val="accent4">
                        <a:lumMod val="75000"/>
                        <a:hueOff val="-1670000"/>
                      </a:schemeClr>
                    </a:gs>
                    <a:gs pos="100000">
                      <a:schemeClr val="accent4">
                        <a:lumMod val="75000"/>
                      </a:schemeClr>
                    </a:gs>
                  </a:gsLst>
                  <a:lin ang="5160000" scaled="1"/>
                </a:gradFill>
              </a:ln>
              <a:effectLst/>
            </c:spPr>
          </c:dPt>
          <c:dLbls>
            <c:dLbl>
              <c:idx val="0"/>
              <c:layout>
                <c:manualLayout>
                  <c:x val="0.0791375335627048"/>
                  <c:y val="0.0036724133805588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180，12</a:t>
                    </a:r>
                    <a:r>
                      <a:rPr lang="en-US" altLang="zh-CN"/>
                      <a:t>.51</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940587109857406"/>
                  <c:y val="0.15178246059765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81.24， </a:t>
                    </a:r>
                    <a:r>
                      <a:rPr lang="en-US" altLang="zh-CN"/>
                      <a:t>5.</a:t>
                    </a:r>
                    <a:r>
                      <a:t>6</a:t>
                    </a:r>
                    <a:r>
                      <a:rPr lang="en-US" altLang="zh-CN"/>
                      <a:t>5</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174483414189668"/>
                  <c:y val="-0.13791536436294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1109.44,，77</a:t>
                    </a:r>
                    <a:r>
                      <a:rPr lang="en-US" altLang="zh-CN"/>
                      <a:t>.12</a:t>
                    </a:r>
                    <a:r>
                      <a:t>%</a:t>
                    </a:r>
                  </a:p>
                </c:rich>
              </c:tx>
              <c:dLblPos val="bestFit"/>
              <c:showLegendKey val="0"/>
              <c:showVal val="1"/>
              <c:showCatName val="0"/>
              <c:showSerName val="0"/>
              <c:showPercent val="1"/>
              <c:showBubbleSize val="0"/>
              <c:extLst>
                <c:ext xmlns:c15="http://schemas.microsoft.com/office/drawing/2012/chart" uri="{CE6537A1-D6FC-4f65-9D91-7224C49458BB}">
                  <c15:layout>
                    <c:manualLayout>
                      <c:w val="0.237631578947368"/>
                      <c:h val="0.125462962962963"/>
                    </c:manualLayout>
                  </c15:layout>
                </c:ext>
              </c:extLst>
            </c:dLbl>
            <c:dLbl>
              <c:idx val="3"/>
              <c:layout>
                <c:manualLayout>
                  <c:x val="-0.200334354800697"/>
                  <c:y val="0.038090783306721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67.91，</a:t>
                    </a:r>
                    <a:r>
                      <a:rPr lang="en-US" altLang="zh-CN"/>
                      <a:t>4.72</a:t>
                    </a:r>
                    <a:r>
                      <a:t>%</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工作表.xlsx]Sheet6'!$G$20:$G$23</c:f>
              <c:strCache>
                <c:ptCount val="4"/>
                <c:pt idx="0">
                  <c:v>教育支出</c:v>
                </c:pt>
                <c:pt idx="1">
                  <c:v>社会保障和就业支出</c:v>
                </c:pt>
                <c:pt idx="2">
                  <c:v>卫生健康支出</c:v>
                </c:pt>
                <c:pt idx="3">
                  <c:v>住房保障支出</c:v>
                </c:pt>
              </c:strCache>
            </c:strRef>
          </c:cat>
          <c:val>
            <c:numRef>
              <c:f>'[新建 XLSX 工作表.xlsx]Sheet6'!$H$20:$H$23</c:f>
              <c:numCache>
                <c:formatCode>General</c:formatCode>
                <c:ptCount val="4"/>
                <c:pt idx="0">
                  <c:v>180</c:v>
                </c:pt>
                <c:pt idx="1">
                  <c:v>81.24</c:v>
                </c:pt>
                <c:pt idx="2">
                  <c:v>1109.44</c:v>
                </c:pt>
                <c:pt idx="3">
                  <c:v>67.91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lumMod val="96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lt1">
          <a:lumMod val="96000"/>
        </a:schemeClr>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hueOff val="-1670000"/>
            </a:schemeClr>
          </a:gs>
          <a:gs pos="100000">
            <a:schemeClr val="phClr"/>
          </a:gs>
        </a:gsLst>
        <a:lin ang="5400000" scaled="0"/>
      </a:gradFill>
      <a:ln>
        <a:gradFill>
          <a:gsLst>
            <a:gs pos="0">
              <a:schemeClr val="phClr">
                <a:lumMod val="75000"/>
                <a:hueOff val="-1670000"/>
              </a:schemeClr>
            </a:gs>
            <a:gs pos="100000">
              <a:schemeClr val="phClr">
                <a:lumMod val="75000"/>
              </a:schemeClr>
            </a:gs>
          </a:gsLst>
          <a:lin ang="5160000" scaled="1"/>
        </a:gra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a:outerShdw blurRad="76200" dist="25400" dir="2700000" algn="tl" rotWithShape="0">
          <a:schemeClr val="phClr">
            <a:lumMod val="50000"/>
            <a:alpha val="30000"/>
          </a:schemeClr>
        </a:outerShdw>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2023-10-13T04:00:10Z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EDCA7E84671941FC8FC9FB6637373036_13</vt:lpwstr>
  </property>
</Properties>
</file>