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96597"/>
      <w:bookmarkStart w:id="1" w:name="_Toc15378441"/>
      <w:bookmarkStart w:id="2" w:name="_Toc15377425"/>
      <w:bookmarkStart w:id="3" w:name="_Toc15396475"/>
      <w:bookmarkStart w:id="4" w:name="_Toc15377193"/>
      <w:bookmarkStart w:id="5"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简体"/>
          <w:sz w:val="72"/>
          <w:szCs w:val="72"/>
        </w:rPr>
      </w:pPr>
      <w:r>
        <w:rPr>
          <w:rFonts w:eastAsia="方正小标宋简体"/>
          <w:sz w:val="72"/>
          <w:szCs w:val="72"/>
        </w:rPr>
        <w:t>2022</w:t>
      </w:r>
      <w:r>
        <w:rPr>
          <w:rFonts w:hAnsi="方正小标宋简体" w:eastAsia="方正小标宋简体"/>
          <w:sz w:val="72"/>
          <w:szCs w:val="72"/>
        </w:rPr>
        <w:t>年度</w:t>
      </w:r>
      <w:bookmarkEnd w:id="0"/>
      <w:bookmarkEnd w:id="1"/>
      <w:bookmarkEnd w:id="2"/>
      <w:bookmarkEnd w:id="3"/>
      <w:bookmarkEnd w:id="4"/>
    </w:p>
    <w:p>
      <w:pPr>
        <w:adjustRightInd w:val="0"/>
        <w:snapToGrid w:val="0"/>
        <w:spacing w:line="360" w:lineRule="auto"/>
        <w:jc w:val="center"/>
        <w:outlineLvl w:val="0"/>
        <w:rPr>
          <w:rFonts w:eastAsia="方正小标宋简体"/>
          <w:sz w:val="72"/>
          <w:szCs w:val="72"/>
        </w:rPr>
      </w:pPr>
      <w:bookmarkStart w:id="6" w:name="_Toc15377194"/>
      <w:bookmarkStart w:id="7" w:name="_Toc15396476"/>
      <w:bookmarkStart w:id="8" w:name="_Toc15396598"/>
      <w:bookmarkStart w:id="9" w:name="_Toc15378442"/>
      <w:bookmarkStart w:id="10" w:name="_Toc15377426"/>
      <w:r>
        <w:rPr>
          <w:rFonts w:hAnsi="方正小标宋简体" w:eastAsia="方正小标宋简体"/>
          <w:sz w:val="72"/>
          <w:szCs w:val="72"/>
        </w:rPr>
        <w:t>四川省</w:t>
      </w:r>
      <w:bookmarkEnd w:id="5"/>
      <w:bookmarkStart w:id="11" w:name="_Toc15306268"/>
      <w:r>
        <w:rPr>
          <w:rFonts w:hAnsi="方正小标宋简体" w:eastAsia="方正小标宋简体"/>
          <w:sz w:val="72"/>
          <w:szCs w:val="72"/>
        </w:rPr>
        <w:t>广元市昭化区妇女联合会部门决算</w:t>
      </w:r>
      <w:bookmarkEnd w:id="6"/>
      <w:bookmarkEnd w:id="7"/>
      <w:bookmarkEnd w:id="8"/>
      <w:bookmarkEnd w:id="9"/>
      <w:bookmarkEnd w:id="10"/>
      <w:bookmarkEnd w:id="11"/>
    </w:p>
    <w:p>
      <w:pPr>
        <w:widowControl/>
        <w:jc w:val="left"/>
        <w:rPr>
          <w:rFonts w:eastAsia="方正小标宋简体"/>
          <w:sz w:val="36"/>
          <w:szCs w:val="36"/>
        </w:rPr>
      </w:pPr>
      <w:r>
        <w:br w:type="page"/>
      </w:r>
    </w:p>
    <w:p>
      <w:pPr>
        <w:widowControl/>
        <w:spacing w:line="576" w:lineRule="exact"/>
        <w:jc w:val="center"/>
        <w:rPr>
          <w:rFonts w:eastAsia="方正小标宋_GBK"/>
          <w:sz w:val="44"/>
          <w:szCs w:val="44"/>
        </w:rPr>
      </w:pPr>
      <w:r>
        <w:br w:type="page"/>
      </w:r>
      <w:r>
        <w:rPr>
          <w:rFonts w:eastAsia="方正小标宋_GBK"/>
          <w:sz w:val="44"/>
          <w:szCs w:val="44"/>
        </w:rPr>
        <w:t>目　　录</w:t>
      </w:r>
    </w:p>
    <w:p>
      <w:pPr>
        <w:widowControl/>
        <w:spacing w:line="576" w:lineRule="exact"/>
        <w:ind w:firstLine="640" w:firstLineChars="200"/>
        <w:jc w:val="center"/>
        <w:rPr>
          <w:rFonts w:eastAsia="黑体"/>
          <w:sz w:val="32"/>
          <w:szCs w:val="32"/>
        </w:rPr>
      </w:pPr>
    </w:p>
    <w:p>
      <w:pPr>
        <w:pStyle w:val="11"/>
        <w:spacing w:before="0" w:line="576" w:lineRule="exact"/>
        <w:rPr>
          <w:rFonts w:ascii="Times New Roman" w:hAnsi="Times New Roman"/>
          <w:sz w:val="32"/>
          <w:szCs w:val="32"/>
        </w:rPr>
      </w:pPr>
      <w:r>
        <w:rPr>
          <w:rFonts w:ascii="Times New Roman"/>
          <w:sz w:val="32"/>
          <w:szCs w:val="32"/>
        </w:rPr>
        <w:t>公开时间：</w:t>
      </w:r>
      <w:r>
        <w:rPr>
          <w:rFonts w:ascii="Times New Roman" w:hAnsi="Times New Roman"/>
          <w:sz w:val="32"/>
          <w:szCs w:val="32"/>
        </w:rPr>
        <w:t>2023</w:t>
      </w:r>
      <w:r>
        <w:rPr>
          <w:rFonts w:ascii="Times New Roman"/>
          <w:sz w:val="32"/>
          <w:szCs w:val="32"/>
        </w:rPr>
        <w:t>年</w:t>
      </w:r>
      <w:r>
        <w:rPr>
          <w:rFonts w:ascii="Times New Roman" w:hAnsi="Times New Roman"/>
          <w:sz w:val="32"/>
          <w:szCs w:val="32"/>
        </w:rPr>
        <w:t>9</w:t>
      </w:r>
      <w:r>
        <w:rPr>
          <w:rFonts w:ascii="Times New Roman"/>
          <w:sz w:val="32"/>
          <w:szCs w:val="32"/>
        </w:rPr>
        <w:t>月</w:t>
      </w:r>
      <w:r>
        <w:rPr>
          <w:rFonts w:hint="eastAsia" w:ascii="Times New Roman" w:hAnsi="Times New Roman"/>
          <w:sz w:val="32"/>
          <w:szCs w:val="32"/>
          <w:lang w:val="en-US" w:eastAsia="zh-CN"/>
        </w:rPr>
        <w:t>26</w:t>
      </w:r>
      <w:r>
        <w:rPr>
          <w:rFonts w:ascii="Times New Roman"/>
          <w:sz w:val="32"/>
          <w:szCs w:val="32"/>
        </w:rPr>
        <w:t>日</w:t>
      </w:r>
    </w:p>
    <w:p>
      <w:pPr>
        <w:spacing w:line="576" w:lineRule="exact"/>
        <w:ind w:firstLine="640" w:firstLineChars="200"/>
        <w:rPr>
          <w:sz w:val="32"/>
          <w:szCs w:val="32"/>
        </w:rPr>
      </w:pPr>
    </w:p>
    <w:p>
      <w:pPr>
        <w:pStyle w:val="11"/>
        <w:tabs>
          <w:tab w:val="right" w:leader="dot" w:pos="8400"/>
          <w:tab w:val="clear" w:pos="8296"/>
        </w:tabs>
        <w:adjustRightInd w:val="0"/>
        <w:snapToGrid w:val="0"/>
        <w:spacing w:before="0" w:line="576" w:lineRule="exact"/>
        <w:ind w:firstLine="640" w:firstLineChars="200"/>
        <w:jc w:val="left"/>
        <w:rPr>
          <w:rFonts w:ascii="Times New Roman" w:hAnsi="Times New Roman" w:eastAsia="黑体"/>
          <w:sz w:val="32"/>
          <w:szCs w:val="32"/>
        </w:rPr>
      </w:pPr>
      <w:r>
        <w:rPr>
          <w:rFonts w:ascii="Times New Roman" w:hAnsi="黑体" w:eastAsia="黑体"/>
          <w:sz w:val="32"/>
          <w:szCs w:val="32"/>
        </w:rPr>
        <w:t>第一部分</w:t>
      </w:r>
      <w:r>
        <w:rPr>
          <w:rFonts w:ascii="Times New Roman" w:hAnsi="Times New Roman" w:eastAsia="黑体"/>
          <w:sz w:val="32"/>
          <w:szCs w:val="32"/>
        </w:rPr>
        <w:t xml:space="preserve"> </w:t>
      </w:r>
      <w:r>
        <w:rPr>
          <w:rFonts w:ascii="Times New Roman" w:hAnsi="黑体" w:eastAsia="黑体"/>
          <w:sz w:val="32"/>
          <w:szCs w:val="32"/>
        </w:rPr>
        <w:t>部门概况</w:t>
      </w:r>
      <w:r>
        <w:rPr>
          <w:rFonts w:hint="eastAsia" w:ascii="Times New Roman" w:hAnsi="黑体" w:eastAsia="黑体"/>
          <w:sz w:val="32"/>
          <w:szCs w:val="32"/>
        </w:rPr>
        <w:tab/>
      </w:r>
      <w:r>
        <w:rPr>
          <w:rFonts w:hint="eastAsia" w:ascii="Times New Roman" w:hAnsi="黑体" w:eastAsia="黑体"/>
          <w:sz w:val="32"/>
          <w:szCs w:val="32"/>
        </w:rPr>
        <w:t>1</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一、部门职责</w:t>
      </w:r>
      <w:r>
        <w:rPr>
          <w:rFonts w:hint="eastAsia" w:eastAsia="楷体_GB2312"/>
          <w:sz w:val="32"/>
          <w:szCs w:val="32"/>
        </w:rPr>
        <w:tab/>
      </w:r>
      <w:r>
        <w:rPr>
          <w:rFonts w:hint="eastAsia" w:eastAsia="楷体_GB2312"/>
          <w:sz w:val="32"/>
          <w:szCs w:val="32"/>
        </w:rPr>
        <w:t>1</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二、机构设置</w:t>
      </w:r>
      <w:r>
        <w:rPr>
          <w:rFonts w:hint="eastAsia" w:eastAsia="楷体_GB2312"/>
          <w:sz w:val="32"/>
          <w:szCs w:val="32"/>
        </w:rPr>
        <w:tab/>
      </w:r>
      <w:r>
        <w:rPr>
          <w:rFonts w:hint="eastAsia" w:eastAsia="楷体_GB2312"/>
          <w:sz w:val="32"/>
          <w:szCs w:val="32"/>
        </w:rPr>
        <w:t>1</w:t>
      </w:r>
    </w:p>
    <w:p>
      <w:pPr>
        <w:pStyle w:val="11"/>
        <w:tabs>
          <w:tab w:val="right" w:leader="dot" w:pos="8400"/>
          <w:tab w:val="clear" w:pos="8296"/>
        </w:tabs>
        <w:adjustRightInd w:val="0"/>
        <w:snapToGrid w:val="0"/>
        <w:spacing w:before="0" w:line="576" w:lineRule="exact"/>
        <w:ind w:firstLine="640" w:firstLineChars="200"/>
        <w:jc w:val="left"/>
        <w:rPr>
          <w:rFonts w:ascii="Times New Roman" w:hAnsi="Times New Roman" w:eastAsia="黑体"/>
          <w:sz w:val="32"/>
          <w:szCs w:val="32"/>
        </w:rPr>
      </w:pPr>
      <w:r>
        <w:rPr>
          <w:rFonts w:ascii="Times New Roman" w:hAnsi="黑体" w:eastAsia="黑体"/>
          <w:sz w:val="32"/>
          <w:szCs w:val="32"/>
        </w:rPr>
        <w:t>第二部分</w:t>
      </w:r>
      <w:r>
        <w:rPr>
          <w:rFonts w:ascii="Times New Roman" w:hAnsi="Times New Roman" w:eastAsia="黑体"/>
          <w:sz w:val="32"/>
          <w:szCs w:val="32"/>
        </w:rPr>
        <w:t xml:space="preserve"> 2022</w:t>
      </w:r>
      <w:r>
        <w:rPr>
          <w:rFonts w:ascii="Times New Roman" w:hAnsi="黑体" w:eastAsia="黑体"/>
          <w:sz w:val="32"/>
          <w:szCs w:val="32"/>
        </w:rPr>
        <w:t>年度部门决算情况说明</w:t>
      </w:r>
      <w:r>
        <w:rPr>
          <w:rFonts w:hint="eastAsia" w:ascii="Times New Roman" w:hAnsi="黑体" w:eastAsia="黑体"/>
          <w:sz w:val="32"/>
          <w:szCs w:val="32"/>
        </w:rPr>
        <w:tab/>
      </w:r>
      <w:r>
        <w:rPr>
          <w:rFonts w:hint="eastAsia" w:ascii="Times New Roman" w:hAnsi="黑体" w:eastAsia="黑体"/>
          <w:sz w:val="32"/>
          <w:szCs w:val="32"/>
        </w:rPr>
        <w:t>2</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一、收入支出决算总体情况说明</w:t>
      </w:r>
      <w:r>
        <w:rPr>
          <w:rFonts w:hint="eastAsia" w:eastAsia="楷体_GB2312"/>
          <w:sz w:val="32"/>
          <w:szCs w:val="32"/>
        </w:rPr>
        <w:tab/>
      </w:r>
      <w:r>
        <w:rPr>
          <w:rFonts w:hint="eastAsia" w:eastAsia="楷体_GB2312"/>
          <w:sz w:val="32"/>
          <w:szCs w:val="32"/>
        </w:rPr>
        <w:t>2</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二、收入决算情况说明</w:t>
      </w:r>
      <w:r>
        <w:rPr>
          <w:rFonts w:hint="eastAsia" w:eastAsia="楷体_GB2312"/>
          <w:sz w:val="32"/>
          <w:szCs w:val="32"/>
        </w:rPr>
        <w:tab/>
      </w:r>
      <w:r>
        <w:rPr>
          <w:rFonts w:hint="eastAsia" w:eastAsia="楷体_GB2312"/>
          <w:sz w:val="32"/>
          <w:szCs w:val="32"/>
        </w:rPr>
        <w:t>2</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三、支出决算情况说明</w:t>
      </w:r>
      <w:r>
        <w:rPr>
          <w:rFonts w:hint="eastAsia" w:eastAsia="楷体_GB2312"/>
          <w:sz w:val="32"/>
          <w:szCs w:val="32"/>
        </w:rPr>
        <w:tab/>
      </w:r>
      <w:r>
        <w:rPr>
          <w:rFonts w:hint="eastAsia" w:eastAsia="楷体_GB2312"/>
          <w:sz w:val="32"/>
          <w:szCs w:val="32"/>
        </w:rPr>
        <w:t>3</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四、财政拨款收入支出决算总体情况说明</w:t>
      </w:r>
      <w:r>
        <w:rPr>
          <w:rFonts w:hint="eastAsia" w:eastAsia="楷体_GB2312"/>
          <w:sz w:val="32"/>
          <w:szCs w:val="32"/>
        </w:rPr>
        <w:tab/>
      </w:r>
      <w:r>
        <w:rPr>
          <w:rFonts w:hint="eastAsia" w:eastAsia="楷体_GB2312"/>
          <w:sz w:val="32"/>
          <w:szCs w:val="32"/>
        </w:rPr>
        <w:t>3</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五、一般公共预算财政拨款支出决算情况说明</w:t>
      </w:r>
      <w:r>
        <w:rPr>
          <w:rFonts w:hint="eastAsia" w:eastAsia="楷体_GB2312"/>
          <w:sz w:val="32"/>
          <w:szCs w:val="32"/>
        </w:rPr>
        <w:tab/>
      </w:r>
      <w:r>
        <w:rPr>
          <w:rFonts w:hint="eastAsia" w:eastAsia="楷体_GB2312"/>
          <w:sz w:val="32"/>
          <w:szCs w:val="32"/>
        </w:rPr>
        <w:t>4</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六、一般公共预算财政拨款基本支出决算情况说明</w:t>
      </w:r>
      <w:r>
        <w:rPr>
          <w:rFonts w:hint="eastAsia" w:eastAsia="楷体_GB2312"/>
          <w:sz w:val="32"/>
          <w:szCs w:val="32"/>
        </w:rPr>
        <w:tab/>
      </w:r>
      <w:r>
        <w:rPr>
          <w:rFonts w:hint="eastAsia" w:eastAsia="楷体_GB2312"/>
          <w:sz w:val="32"/>
          <w:szCs w:val="32"/>
        </w:rPr>
        <w:t>7</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七、财政拨款“三公”经费支出决算情况说明</w:t>
      </w:r>
      <w:r>
        <w:rPr>
          <w:rFonts w:hint="eastAsia" w:eastAsia="楷体_GB2312"/>
          <w:sz w:val="32"/>
          <w:szCs w:val="32"/>
        </w:rPr>
        <w:tab/>
      </w:r>
      <w:r>
        <w:rPr>
          <w:rFonts w:hint="eastAsia" w:eastAsia="楷体_GB2312"/>
          <w:sz w:val="32"/>
          <w:szCs w:val="32"/>
        </w:rPr>
        <w:t>7</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八、政府性基金预算支出决算情况说明</w:t>
      </w:r>
      <w:r>
        <w:rPr>
          <w:rFonts w:hint="eastAsia" w:eastAsia="楷体_GB2312"/>
          <w:sz w:val="32"/>
          <w:szCs w:val="32"/>
        </w:rPr>
        <w:tab/>
      </w:r>
      <w:r>
        <w:rPr>
          <w:rFonts w:hint="eastAsia" w:eastAsia="楷体_GB2312"/>
          <w:sz w:val="32"/>
          <w:szCs w:val="32"/>
        </w:rPr>
        <w:t>9</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九、国有资本经营预算支出决算情况说明</w:t>
      </w:r>
      <w:r>
        <w:rPr>
          <w:rFonts w:hint="eastAsia" w:eastAsia="楷体_GB2312"/>
          <w:sz w:val="32"/>
          <w:szCs w:val="32"/>
        </w:rPr>
        <w:tab/>
      </w:r>
      <w:r>
        <w:rPr>
          <w:rFonts w:hint="eastAsia" w:eastAsia="楷体_GB2312"/>
          <w:sz w:val="32"/>
          <w:szCs w:val="32"/>
        </w:rPr>
        <w:t>9</w:t>
      </w:r>
    </w:p>
    <w:p>
      <w:pPr>
        <w:pStyle w:val="12"/>
        <w:tabs>
          <w:tab w:val="right" w:leader="dot" w:pos="8400"/>
          <w:tab w:val="clear" w:pos="8296"/>
        </w:tabs>
        <w:adjustRightInd w:val="0"/>
        <w:snapToGrid w:val="0"/>
        <w:spacing w:line="576" w:lineRule="exact"/>
        <w:ind w:firstLine="640" w:firstLineChars="200"/>
        <w:jc w:val="left"/>
        <w:rPr>
          <w:rFonts w:eastAsia="楷体_GB2312"/>
          <w:sz w:val="32"/>
          <w:szCs w:val="32"/>
        </w:rPr>
      </w:pPr>
      <w:r>
        <w:rPr>
          <w:rFonts w:eastAsia="楷体_GB2312"/>
          <w:sz w:val="32"/>
          <w:szCs w:val="32"/>
        </w:rPr>
        <w:t>十、其他重要事项的情况说明</w:t>
      </w:r>
      <w:r>
        <w:rPr>
          <w:rFonts w:hint="eastAsia" w:eastAsia="楷体_GB2312"/>
          <w:sz w:val="32"/>
          <w:szCs w:val="32"/>
        </w:rPr>
        <w:tab/>
      </w:r>
      <w:r>
        <w:rPr>
          <w:rFonts w:hint="eastAsia" w:eastAsia="楷体_GB2312"/>
          <w:sz w:val="32"/>
          <w:szCs w:val="32"/>
        </w:rPr>
        <w:t>9</w:t>
      </w:r>
    </w:p>
    <w:p>
      <w:pPr>
        <w:pStyle w:val="11"/>
        <w:tabs>
          <w:tab w:val="right" w:leader="dot" w:pos="8400"/>
          <w:tab w:val="clear" w:pos="8296"/>
        </w:tabs>
        <w:adjustRightInd w:val="0"/>
        <w:snapToGrid w:val="0"/>
        <w:spacing w:before="0" w:line="576" w:lineRule="exact"/>
        <w:ind w:firstLine="640" w:firstLineChars="200"/>
        <w:jc w:val="left"/>
        <w:rPr>
          <w:rFonts w:ascii="Times New Roman" w:hAnsi="Times New Roman" w:eastAsia="黑体"/>
          <w:sz w:val="32"/>
          <w:szCs w:val="32"/>
        </w:rPr>
      </w:pPr>
      <w:r>
        <w:rPr>
          <w:rFonts w:ascii="Times New Roman" w:hAnsi="黑体" w:eastAsia="黑体"/>
          <w:sz w:val="32"/>
          <w:szCs w:val="32"/>
        </w:rPr>
        <w:t>第三部分</w:t>
      </w:r>
      <w:r>
        <w:rPr>
          <w:rFonts w:ascii="Times New Roman" w:hAnsi="Times New Roman" w:eastAsia="黑体"/>
          <w:sz w:val="32"/>
          <w:szCs w:val="32"/>
        </w:rPr>
        <w:t xml:space="preserve"> </w:t>
      </w:r>
      <w:r>
        <w:rPr>
          <w:rFonts w:ascii="Times New Roman" w:hAnsi="黑体" w:eastAsia="黑体"/>
          <w:sz w:val="32"/>
          <w:szCs w:val="32"/>
        </w:rPr>
        <w:t>名词解释</w:t>
      </w:r>
      <w:r>
        <w:rPr>
          <w:rFonts w:hint="eastAsia" w:ascii="Times New Roman" w:hAnsi="黑体" w:eastAsia="黑体"/>
          <w:sz w:val="32"/>
          <w:szCs w:val="32"/>
        </w:rPr>
        <w:tab/>
      </w:r>
      <w:r>
        <w:rPr>
          <w:rFonts w:hint="eastAsia" w:ascii="Times New Roman" w:hAnsi="黑体" w:eastAsia="黑体"/>
          <w:sz w:val="32"/>
          <w:szCs w:val="32"/>
        </w:rPr>
        <w:t>11</w:t>
      </w:r>
    </w:p>
    <w:p>
      <w:pPr>
        <w:pStyle w:val="11"/>
        <w:tabs>
          <w:tab w:val="right" w:leader="dot" w:pos="8400"/>
          <w:tab w:val="clear" w:pos="8296"/>
        </w:tabs>
        <w:adjustRightInd w:val="0"/>
        <w:snapToGrid w:val="0"/>
        <w:spacing w:before="0" w:line="576" w:lineRule="exact"/>
        <w:ind w:firstLine="640" w:firstLineChars="200"/>
        <w:jc w:val="left"/>
        <w:rPr>
          <w:rFonts w:ascii="Times New Roman" w:hAnsi="Times New Roman" w:eastAsia="黑体"/>
          <w:sz w:val="32"/>
          <w:szCs w:val="32"/>
        </w:rPr>
      </w:pPr>
      <w:r>
        <w:rPr>
          <w:rFonts w:ascii="Times New Roman" w:hAnsi="黑体" w:eastAsia="黑体"/>
          <w:sz w:val="32"/>
          <w:szCs w:val="32"/>
        </w:rPr>
        <w:t>第四部分</w:t>
      </w:r>
      <w:r>
        <w:rPr>
          <w:rFonts w:ascii="Times New Roman" w:hAnsi="Times New Roman" w:eastAsia="黑体"/>
          <w:sz w:val="32"/>
          <w:szCs w:val="32"/>
        </w:rPr>
        <w:t xml:space="preserve"> </w:t>
      </w:r>
      <w:r>
        <w:rPr>
          <w:rFonts w:ascii="Times New Roman" w:hAnsi="黑体" w:eastAsia="黑体"/>
          <w:sz w:val="32"/>
          <w:szCs w:val="32"/>
        </w:rPr>
        <w:t>附件</w:t>
      </w:r>
      <w:r>
        <w:rPr>
          <w:rFonts w:hint="eastAsia" w:ascii="Times New Roman" w:hAnsi="黑体" w:eastAsia="黑体"/>
          <w:sz w:val="32"/>
          <w:szCs w:val="32"/>
        </w:rPr>
        <w:tab/>
      </w:r>
      <w:r>
        <w:rPr>
          <w:rFonts w:hint="eastAsia" w:ascii="Times New Roman" w:hAnsi="黑体" w:eastAsia="黑体"/>
          <w:sz w:val="32"/>
          <w:szCs w:val="32"/>
        </w:rPr>
        <w:t>13</w:t>
      </w:r>
    </w:p>
    <w:p>
      <w:pPr>
        <w:pStyle w:val="11"/>
        <w:tabs>
          <w:tab w:val="right" w:leader="dot" w:pos="8400"/>
          <w:tab w:val="clear" w:pos="8296"/>
        </w:tabs>
        <w:adjustRightInd w:val="0"/>
        <w:snapToGrid w:val="0"/>
        <w:spacing w:before="0" w:line="576" w:lineRule="exact"/>
        <w:ind w:firstLine="640" w:firstLineChars="200"/>
        <w:jc w:val="left"/>
        <w:rPr>
          <w:rFonts w:hint="default" w:ascii="Times New Roman" w:hAnsi="Times New Roman" w:eastAsia="黑体"/>
          <w:sz w:val="32"/>
          <w:szCs w:val="32"/>
          <w:lang w:val="en-US" w:eastAsia="zh-CN"/>
        </w:rPr>
      </w:pPr>
      <w:r>
        <w:rPr>
          <w:rFonts w:ascii="Times New Roman" w:hAnsi="黑体" w:eastAsia="黑体"/>
          <w:sz w:val="32"/>
          <w:szCs w:val="32"/>
        </w:rPr>
        <w:t>第五部分</w:t>
      </w:r>
      <w:r>
        <w:rPr>
          <w:rFonts w:ascii="Times New Roman" w:hAnsi="Times New Roman" w:eastAsia="黑体"/>
          <w:sz w:val="32"/>
          <w:szCs w:val="32"/>
        </w:rPr>
        <w:t xml:space="preserve"> </w:t>
      </w:r>
      <w:r>
        <w:rPr>
          <w:rFonts w:ascii="Times New Roman" w:hAnsi="黑体" w:eastAsia="黑体"/>
          <w:sz w:val="32"/>
          <w:szCs w:val="32"/>
        </w:rPr>
        <w:t>附表</w:t>
      </w:r>
      <w:r>
        <w:rPr>
          <w:rFonts w:hint="eastAsia" w:ascii="Times New Roman" w:hAnsi="黑体" w:eastAsia="黑体"/>
          <w:sz w:val="32"/>
          <w:szCs w:val="32"/>
        </w:rPr>
        <w:tab/>
      </w:r>
      <w:r>
        <w:rPr>
          <w:rFonts w:hint="eastAsia" w:ascii="Times New Roman" w:hAnsi="黑体" w:eastAsia="黑体"/>
          <w:sz w:val="32"/>
          <w:szCs w:val="32"/>
        </w:rPr>
        <w:t>2</w:t>
      </w:r>
      <w:r>
        <w:rPr>
          <w:rFonts w:hint="eastAsia" w:ascii="Times New Roman" w:hAnsi="黑体" w:eastAsia="黑体"/>
          <w:sz w:val="32"/>
          <w:szCs w:val="32"/>
          <w:lang w:val="en-US" w:eastAsia="zh-CN"/>
        </w:rPr>
        <w:t>9</w:t>
      </w:r>
    </w:p>
    <w:p>
      <w:pPr>
        <w:pStyle w:val="12"/>
        <w:bidi w:val="0"/>
        <w:ind w:firstLine="640" w:firstLineChars="200"/>
        <w:rPr>
          <w:rFonts w:hint="eastAsia" w:eastAsia="楷体_GB2312"/>
          <w:sz w:val="32"/>
          <w:szCs w:val="32"/>
          <w:lang w:val="en-US" w:eastAsia="zh-CN"/>
        </w:rPr>
      </w:pPr>
      <w:r>
        <w:rPr>
          <w:rFonts w:eastAsia="楷体_GB2312"/>
          <w:sz w:val="32"/>
          <w:szCs w:val="32"/>
        </w:rPr>
        <w:t>一、收入支出决算总表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bidi w:val="0"/>
        <w:ind w:firstLine="640" w:firstLineChars="200"/>
        <w:rPr>
          <w:rFonts w:hint="eastAsia" w:eastAsia="楷体_GB2312"/>
          <w:sz w:val="32"/>
          <w:szCs w:val="32"/>
          <w:lang w:eastAsia="zh-CN"/>
        </w:rPr>
      </w:pPr>
      <w:r>
        <w:rPr>
          <w:rFonts w:eastAsia="楷体_GB2312"/>
          <w:sz w:val="32"/>
          <w:szCs w:val="32"/>
        </w:rPr>
        <w:t>二、收入决算表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val="en-US" w:eastAsia="zh-CN"/>
        </w:rPr>
      </w:pPr>
      <w:r>
        <w:rPr>
          <w:rFonts w:eastAsia="楷体_GB2312"/>
          <w:sz w:val="32"/>
          <w:szCs w:val="32"/>
        </w:rPr>
        <w:t>三、支出决算表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val="en-US" w:eastAsia="zh-CN"/>
        </w:rPr>
      </w:pPr>
      <w:r>
        <w:rPr>
          <w:rFonts w:eastAsia="楷体_GB2312"/>
          <w:sz w:val="32"/>
          <w:szCs w:val="32"/>
        </w:rPr>
        <w:t>四、财政拨款收入支出决算总表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val="en-US" w:eastAsia="zh-CN"/>
        </w:rPr>
      </w:pPr>
      <w:r>
        <w:rPr>
          <w:rFonts w:eastAsia="楷体_GB2312"/>
          <w:sz w:val="32"/>
          <w:szCs w:val="32"/>
        </w:rPr>
        <w:t>五、财政拨款支出决算明细表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val="en-US" w:eastAsia="zh-CN"/>
        </w:rPr>
      </w:pPr>
      <w:r>
        <w:rPr>
          <w:rFonts w:eastAsia="楷体_GB2312"/>
          <w:sz w:val="32"/>
          <w:szCs w:val="32"/>
        </w:rPr>
        <w:t>六、一般公共预算财政拨款支出决算表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eastAsia="zh-CN"/>
        </w:rPr>
      </w:pPr>
      <w:r>
        <w:rPr>
          <w:rFonts w:eastAsia="楷体_GB2312"/>
          <w:sz w:val="32"/>
          <w:szCs w:val="32"/>
        </w:rPr>
        <w:t>七、一般公共预算财政拨款支出决算明细表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eastAsia="zh-CN"/>
        </w:rPr>
      </w:pPr>
      <w:r>
        <w:rPr>
          <w:rFonts w:eastAsia="楷体_GB2312"/>
          <w:sz w:val="32"/>
          <w:szCs w:val="32"/>
        </w:rPr>
        <w:t>八、一般公共预算财政拨款基本支出决算明细表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eastAsia="zh-CN"/>
        </w:rPr>
      </w:pPr>
      <w:r>
        <w:rPr>
          <w:rFonts w:eastAsia="楷体_GB2312"/>
          <w:sz w:val="32"/>
          <w:szCs w:val="32"/>
        </w:rPr>
        <w:t>九、一般公共预算财政拨款项目支出决算表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val="en-US" w:eastAsia="zh-CN"/>
        </w:rPr>
      </w:pPr>
      <w:r>
        <w:rPr>
          <w:rFonts w:eastAsia="楷体_GB2312"/>
          <w:sz w:val="32"/>
          <w:szCs w:val="32"/>
        </w:rPr>
        <w:t>十、政府性基金预算财政拨款收入支出决算表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val="en-US" w:eastAsia="zh-CN"/>
        </w:rPr>
      </w:pPr>
      <w:r>
        <w:rPr>
          <w:rFonts w:eastAsia="楷体_GB2312"/>
          <w:sz w:val="32"/>
          <w:szCs w:val="32"/>
        </w:rPr>
        <w:t>十一、</w:t>
      </w:r>
      <w:r>
        <w:rPr>
          <w:rFonts w:eastAsia="楷体_GB2312"/>
          <w:spacing w:val="-6"/>
          <w:sz w:val="32"/>
          <w:szCs w:val="32"/>
        </w:rPr>
        <w:t>国有资本经营预算财政拨款收入支出决算表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bookmarkStart w:id="73" w:name="_GoBack"/>
      <w:bookmarkEnd w:id="73"/>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eastAsia="zh-CN"/>
        </w:rPr>
      </w:pPr>
      <w:r>
        <w:rPr>
          <w:rFonts w:eastAsia="楷体_GB2312"/>
          <w:sz w:val="32"/>
          <w:szCs w:val="32"/>
        </w:rPr>
        <w:t>十二、国有资本经营预算财政拨款支出决算表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pStyle w:val="12"/>
        <w:tabs>
          <w:tab w:val="right" w:leader="dot" w:pos="8400"/>
          <w:tab w:val="clear" w:pos="8296"/>
        </w:tabs>
        <w:adjustRightInd w:val="0"/>
        <w:snapToGrid w:val="0"/>
        <w:spacing w:line="576" w:lineRule="exact"/>
        <w:ind w:firstLine="640" w:firstLineChars="200"/>
        <w:jc w:val="left"/>
        <w:rPr>
          <w:rFonts w:hint="eastAsia" w:eastAsia="楷体_GB2312"/>
          <w:sz w:val="32"/>
          <w:szCs w:val="32"/>
          <w:lang w:eastAsia="zh-CN"/>
        </w:rPr>
      </w:pPr>
      <w:r>
        <w:rPr>
          <w:rFonts w:eastAsia="楷体_GB2312"/>
          <w:sz w:val="32"/>
          <w:szCs w:val="32"/>
        </w:rPr>
        <w:t>十三、财政拨款“三公”经费支出决算表</w:t>
      </w:r>
      <w:r>
        <w:rPr>
          <w:rFonts w:hint="eastAsia" w:eastAsia="楷体_GB2312"/>
          <w:sz w:val="32"/>
          <w:szCs w:val="32"/>
        </w:rPr>
        <w:tab/>
      </w:r>
      <w:r>
        <w:rPr>
          <w:rFonts w:hint="eastAsia" w:eastAsia="楷体_GB2312"/>
          <w:sz w:val="32"/>
          <w:szCs w:val="32"/>
        </w:rPr>
        <w:t>2</w:t>
      </w:r>
      <w:r>
        <w:rPr>
          <w:rFonts w:hint="eastAsia" w:eastAsia="楷体_GB2312"/>
          <w:sz w:val="32"/>
          <w:szCs w:val="32"/>
          <w:lang w:val="en-US" w:eastAsia="zh-CN"/>
        </w:rPr>
        <w:t>9</w:t>
      </w:r>
    </w:p>
    <w:p>
      <w:pPr>
        <w:widowControl/>
        <w:spacing w:line="576" w:lineRule="exact"/>
        <w:ind w:firstLine="643" w:firstLineChars="200"/>
        <w:jc w:val="left"/>
        <w:rPr>
          <w:rFonts w:eastAsia="楷体_GB2312"/>
          <w:b/>
          <w:sz w:val="32"/>
          <w:szCs w:val="32"/>
        </w:rPr>
      </w:pPr>
      <w:bookmarkStart w:id="12" w:name="_Toc15377196"/>
      <w:bookmarkStart w:id="13" w:name="_Toc15396599"/>
    </w:p>
    <w:p>
      <w:pPr>
        <w:widowControl/>
        <w:spacing w:line="576" w:lineRule="exact"/>
        <w:ind w:firstLine="482" w:firstLineChars="200"/>
        <w:jc w:val="left"/>
        <w:rPr>
          <w:rFonts w:eastAsia="仿宋"/>
          <w:b/>
          <w:sz w:val="24"/>
        </w:rPr>
        <w:sectPr>
          <w:headerReference r:id="rId3" w:type="default"/>
          <w:pgSz w:w="11906" w:h="16838"/>
          <w:pgMar w:top="2098" w:right="1474" w:bottom="1985" w:left="1588" w:header="851" w:footer="1531" w:gutter="0"/>
          <w:pgNumType w:start="1"/>
          <w:cols w:space="425" w:num="1"/>
          <w:titlePg/>
          <w:docGrid w:type="lines" w:linePitch="312" w:charSpace="0"/>
        </w:sectPr>
      </w:pPr>
    </w:p>
    <w:p>
      <w:pPr>
        <w:pStyle w:val="2"/>
        <w:spacing w:before="0" w:after="0" w:line="576" w:lineRule="exact"/>
        <w:jc w:val="center"/>
        <w:rPr>
          <w:rStyle w:val="29"/>
          <w:rFonts w:eastAsia="方正小标宋_GBK"/>
          <w:b/>
          <w:bCs w:val="0"/>
        </w:rPr>
      </w:pPr>
      <w:r>
        <w:rPr>
          <w:rFonts w:eastAsia="方正小标宋_GBK"/>
          <w:b w:val="0"/>
        </w:rPr>
        <w:t>第一部分 　</w:t>
      </w:r>
      <w:r>
        <w:rPr>
          <w:rStyle w:val="29"/>
          <w:rFonts w:eastAsia="方正小标宋_GBK"/>
          <w:b w:val="0"/>
          <w:bCs w:val="0"/>
        </w:rPr>
        <w:t>部门概况</w:t>
      </w:r>
      <w:bookmarkEnd w:id="12"/>
      <w:bookmarkEnd w:id="13"/>
    </w:p>
    <w:p>
      <w:pPr>
        <w:widowControl/>
        <w:spacing w:line="576" w:lineRule="exact"/>
        <w:ind w:firstLine="640" w:firstLineChars="200"/>
        <w:jc w:val="left"/>
        <w:rPr>
          <w:rFonts w:eastAsia="黑体"/>
          <w:sz w:val="32"/>
          <w:szCs w:val="32"/>
        </w:rPr>
      </w:pPr>
    </w:p>
    <w:p>
      <w:pPr>
        <w:pStyle w:val="3"/>
        <w:numPr>
          <w:ilvl w:val="0"/>
          <w:numId w:val="1"/>
        </w:numPr>
        <w:spacing w:before="0" w:after="0" w:line="576" w:lineRule="exact"/>
        <w:ind w:firstLine="640" w:firstLineChars="200"/>
        <w:rPr>
          <w:rFonts w:ascii="Times New Roman" w:hAnsi="Times New Roman" w:eastAsia="黑体" w:cs="Times New Roman"/>
          <w:b w:val="0"/>
        </w:rPr>
      </w:pPr>
      <w:r>
        <w:rPr>
          <w:rFonts w:ascii="Times New Roman" w:hAnsi="黑体" w:eastAsia="黑体" w:cs="Times New Roman"/>
          <w:b w:val="0"/>
        </w:rPr>
        <w:t>部门职责</w:t>
      </w:r>
    </w:p>
    <w:p>
      <w:pPr>
        <w:pStyle w:val="13"/>
        <w:widowControl/>
        <w:shd w:val="clear" w:color="auto" w:fill="FFFFFF"/>
        <w:spacing w:before="0" w:beforeAutospacing="0" w:after="0" w:afterAutospacing="0" w:line="576" w:lineRule="exact"/>
        <w:ind w:firstLine="640" w:firstLineChars="200"/>
        <w:jc w:val="both"/>
      </w:pPr>
      <w:r>
        <w:rPr>
          <w:rFonts w:hAnsi="仿宋_GB2312" w:eastAsia="仿宋_GB2312"/>
          <w:kern w:val="2"/>
          <w:sz w:val="32"/>
          <w:szCs w:val="32"/>
        </w:rPr>
        <w:t>代表和维护妇女权益，促进男女平等。妇联的主要任务是：妇女维权、妇女发展、妇女宣传、儿童工作和组织建设。一是团结、动员广大妇女投身社会主义现代化建设，促进经济发展和社会全面进步。二是教育引导广大妇女发扬自尊、自信、自立、自强的精神，提高综合素质。代表妇女参与国家和社会事务的民主决策、民主管理和民主监督。三是推动妇女儿童纲要的实施，维护妇女儿童合法权益。四是加强与社会各界的联系，协调和推动社会各界为妇女儿童办实事、办好事。</w:t>
      </w:r>
    </w:p>
    <w:p>
      <w:pPr>
        <w:pStyle w:val="3"/>
        <w:spacing w:before="0" w:after="0" w:line="576" w:lineRule="exact"/>
        <w:ind w:firstLine="640" w:firstLineChars="200"/>
        <w:rPr>
          <w:rStyle w:val="30"/>
          <w:rFonts w:ascii="Times New Roman" w:hAnsi="Times New Roman" w:cs="Times New Roman"/>
          <w:b w:val="0"/>
          <w:bCs w:val="0"/>
        </w:rPr>
      </w:pPr>
      <w:bookmarkStart w:id="14" w:name="_Toc15377200"/>
      <w:bookmarkStart w:id="15" w:name="_Toc15396601"/>
      <w:r>
        <w:rPr>
          <w:rFonts w:ascii="Times New Roman" w:hAnsi="Times New Roman" w:eastAsia="黑体" w:cs="Times New Roman"/>
          <w:b w:val="0"/>
        </w:rPr>
        <w:t>二、</w:t>
      </w:r>
      <w:r>
        <w:rPr>
          <w:rFonts w:ascii="Times New Roman" w:hAnsi="黑体" w:eastAsia="黑体" w:cs="Times New Roman"/>
          <w:b w:val="0"/>
        </w:rPr>
        <w:t>机</w:t>
      </w:r>
      <w:r>
        <w:rPr>
          <w:rStyle w:val="30"/>
          <w:rFonts w:ascii="Times New Roman" w:hAnsi="黑体" w:eastAsia="黑体" w:cs="Times New Roman"/>
          <w:b w:val="0"/>
          <w:bCs w:val="0"/>
        </w:rPr>
        <w:t>构设置</w:t>
      </w:r>
      <w:bookmarkEnd w:id="14"/>
      <w:bookmarkEnd w:id="15"/>
    </w:p>
    <w:p>
      <w:pPr>
        <w:spacing w:line="576" w:lineRule="exact"/>
        <w:ind w:firstLine="640" w:firstLineChars="200"/>
        <w:rPr>
          <w:rFonts w:eastAsia="仿宋"/>
          <w:sz w:val="32"/>
          <w:szCs w:val="32"/>
        </w:rPr>
      </w:pPr>
      <w:r>
        <w:rPr>
          <w:rFonts w:eastAsia="仿宋"/>
          <w:sz w:val="32"/>
          <w:szCs w:val="32"/>
        </w:rPr>
        <w:t>1.</w:t>
      </w:r>
      <w:r>
        <w:rPr>
          <w:rFonts w:hAnsi="仿宋" w:eastAsia="仿宋"/>
          <w:sz w:val="32"/>
          <w:szCs w:val="32"/>
        </w:rPr>
        <w:t>区妇联下属二级预算单位</w:t>
      </w:r>
      <w:r>
        <w:rPr>
          <w:rFonts w:eastAsia="仿宋"/>
          <w:sz w:val="32"/>
          <w:szCs w:val="32"/>
        </w:rPr>
        <w:t>1</w:t>
      </w:r>
      <w:r>
        <w:rPr>
          <w:rFonts w:hAnsi="仿宋" w:eastAsia="仿宋"/>
          <w:sz w:val="32"/>
          <w:szCs w:val="32"/>
        </w:rPr>
        <w:t>个，其他事业单位</w:t>
      </w:r>
      <w:r>
        <w:rPr>
          <w:rFonts w:eastAsia="仿宋"/>
          <w:sz w:val="32"/>
          <w:szCs w:val="32"/>
        </w:rPr>
        <w:t>1</w:t>
      </w:r>
      <w:r>
        <w:rPr>
          <w:rFonts w:hAnsi="仿宋" w:eastAsia="仿宋"/>
          <w:sz w:val="32"/>
          <w:szCs w:val="32"/>
        </w:rPr>
        <w:t>个。</w:t>
      </w:r>
    </w:p>
    <w:p>
      <w:pPr>
        <w:pStyle w:val="5"/>
        <w:adjustRightInd w:val="0"/>
        <w:snapToGrid w:val="0"/>
        <w:spacing w:before="93" w:line="576" w:lineRule="exact"/>
        <w:ind w:firstLine="640" w:firstLineChars="200"/>
        <w:outlineLvl w:val="2"/>
        <w:rPr>
          <w:rFonts w:ascii="Times New Roman" w:eastAsia="仿宋"/>
          <w:sz w:val="32"/>
          <w:szCs w:val="32"/>
        </w:rPr>
      </w:pPr>
      <w:r>
        <w:rPr>
          <w:rFonts w:ascii="Times New Roman" w:eastAsia="仿宋"/>
          <w:sz w:val="32"/>
          <w:szCs w:val="32"/>
        </w:rPr>
        <w:t>2.</w:t>
      </w:r>
      <w:r>
        <w:rPr>
          <w:rFonts w:ascii="Times New Roman" w:hAnsi="仿宋" w:eastAsia="仿宋"/>
          <w:sz w:val="32"/>
          <w:szCs w:val="32"/>
        </w:rPr>
        <w:t>纳入区妇联</w:t>
      </w:r>
      <w:r>
        <w:rPr>
          <w:rFonts w:ascii="Times New Roman" w:eastAsia="仿宋"/>
          <w:sz w:val="32"/>
          <w:szCs w:val="32"/>
        </w:rPr>
        <w:t>2022</w:t>
      </w:r>
      <w:r>
        <w:rPr>
          <w:rFonts w:ascii="Times New Roman" w:hAnsi="仿宋" w:eastAsia="仿宋"/>
          <w:sz w:val="32"/>
          <w:szCs w:val="32"/>
        </w:rPr>
        <w:t>年度部门决算编制范围的二级预算单位</w:t>
      </w:r>
      <w:r>
        <w:rPr>
          <w:rFonts w:ascii="Times New Roman" w:eastAsia="仿宋"/>
          <w:sz w:val="32"/>
          <w:szCs w:val="32"/>
        </w:rPr>
        <w:t>0</w:t>
      </w:r>
      <w:r>
        <w:rPr>
          <w:rFonts w:ascii="Times New Roman" w:hAnsi="仿宋" w:eastAsia="仿宋"/>
          <w:sz w:val="32"/>
          <w:szCs w:val="32"/>
        </w:rPr>
        <w:t>个。</w:t>
      </w:r>
    </w:p>
    <w:p>
      <w:pPr>
        <w:widowControl/>
        <w:spacing w:line="576" w:lineRule="exact"/>
        <w:ind w:firstLine="420" w:firstLineChars="200"/>
        <w:rPr>
          <w:rFonts w:eastAsia="仿宋"/>
          <w:kern w:val="0"/>
          <w:sz w:val="32"/>
          <w:szCs w:val="32"/>
        </w:rPr>
      </w:pPr>
      <w:r>
        <w:br w:type="page"/>
      </w:r>
    </w:p>
    <w:p>
      <w:pPr>
        <w:pStyle w:val="2"/>
        <w:numPr>
          <w:ilvl w:val="0"/>
          <w:numId w:val="2"/>
        </w:numPr>
        <w:spacing w:before="0" w:after="0" w:line="576" w:lineRule="exact"/>
        <w:ind w:firstLine="880" w:firstLineChars="200"/>
        <w:rPr>
          <w:rStyle w:val="29"/>
          <w:rFonts w:eastAsia="方正小标宋_GBK"/>
          <w:b w:val="0"/>
          <w:bCs/>
        </w:rPr>
      </w:pPr>
      <w:bookmarkStart w:id="16" w:name="_Toc15396602"/>
      <w:bookmarkStart w:id="17" w:name="_Toc15377204"/>
      <w:r>
        <w:rPr>
          <w:rFonts w:eastAsia="方正小标宋_GBK"/>
          <w:b w:val="0"/>
        </w:rPr>
        <w:t>2022年度</w:t>
      </w:r>
      <w:r>
        <w:rPr>
          <w:rStyle w:val="29"/>
          <w:rFonts w:eastAsia="方正小标宋_GBK"/>
          <w:b w:val="0"/>
          <w:bCs/>
        </w:rPr>
        <w:t>部门决算情况说明</w:t>
      </w:r>
      <w:bookmarkEnd w:id="16"/>
      <w:bookmarkEnd w:id="17"/>
    </w:p>
    <w:p>
      <w:pPr>
        <w:pStyle w:val="28"/>
        <w:spacing w:line="576" w:lineRule="exact"/>
        <w:ind w:firstLine="640"/>
        <w:outlineLvl w:val="1"/>
        <w:rPr>
          <w:rFonts w:eastAsia="黑体"/>
          <w:sz w:val="32"/>
          <w:szCs w:val="32"/>
        </w:rPr>
      </w:pPr>
      <w:bookmarkStart w:id="18" w:name="_Toc15396603"/>
      <w:bookmarkStart w:id="19" w:name="_Toc15377205"/>
    </w:p>
    <w:p>
      <w:pPr>
        <w:pStyle w:val="28"/>
        <w:spacing w:line="576" w:lineRule="exact"/>
        <w:ind w:firstLine="640"/>
        <w:outlineLvl w:val="1"/>
        <w:rPr>
          <w:rStyle w:val="30"/>
          <w:rFonts w:ascii="Times New Roman" w:hAnsi="Times New Roman" w:eastAsia="黑体" w:cs="Times New Roman"/>
          <w:b w:val="0"/>
        </w:rPr>
      </w:pPr>
      <w:r>
        <w:rPr>
          <w:rFonts w:hAnsi="黑体" w:eastAsia="黑体"/>
          <w:sz w:val="32"/>
          <w:szCs w:val="32"/>
        </w:rPr>
        <w:t>一、收</w:t>
      </w:r>
      <w:r>
        <w:rPr>
          <w:rStyle w:val="30"/>
          <w:rFonts w:ascii="Times New Roman" w:hAnsi="黑体" w:eastAsia="黑体" w:cs="Times New Roman"/>
          <w:b w:val="0"/>
        </w:rPr>
        <w:t>入支出决算总体情况说明</w:t>
      </w:r>
      <w:bookmarkEnd w:id="18"/>
      <w:bookmarkEnd w:id="19"/>
    </w:p>
    <w:p>
      <w:pPr>
        <w:spacing w:line="576" w:lineRule="exact"/>
        <w:ind w:firstLine="640" w:firstLineChars="200"/>
        <w:rPr>
          <w:rFonts w:hAnsi="仿宋" w:eastAsia="仿宋"/>
          <w:sz w:val="32"/>
          <w:szCs w:val="32"/>
        </w:rPr>
      </w:pPr>
      <w:r>
        <w:rPr>
          <w:rFonts w:eastAsia="仿宋"/>
          <w:sz w:val="32"/>
          <w:szCs w:val="32"/>
        </w:rPr>
        <w:t>2022</w:t>
      </w:r>
      <w:r>
        <w:rPr>
          <w:rFonts w:hAnsi="仿宋" w:eastAsia="仿宋"/>
          <w:sz w:val="32"/>
          <w:szCs w:val="32"/>
        </w:rPr>
        <w:t>年度收、支总计</w:t>
      </w:r>
      <w:r>
        <w:rPr>
          <w:rFonts w:eastAsia="仿宋"/>
          <w:sz w:val="32"/>
          <w:szCs w:val="32"/>
        </w:rPr>
        <w:t>125.32</w:t>
      </w:r>
      <w:r>
        <w:rPr>
          <w:rFonts w:hAnsi="仿宋" w:eastAsia="仿宋"/>
          <w:sz w:val="32"/>
          <w:szCs w:val="32"/>
        </w:rPr>
        <w:t>万元。与</w:t>
      </w:r>
      <w:r>
        <w:rPr>
          <w:rFonts w:eastAsia="仿宋"/>
          <w:sz w:val="32"/>
          <w:szCs w:val="32"/>
        </w:rPr>
        <w:t>2021</w:t>
      </w:r>
      <w:r>
        <w:rPr>
          <w:rFonts w:hAnsi="仿宋" w:eastAsia="仿宋"/>
          <w:sz w:val="32"/>
          <w:szCs w:val="32"/>
        </w:rPr>
        <w:t>年相比，收、支总计各增加</w:t>
      </w:r>
      <w:r>
        <w:rPr>
          <w:rFonts w:eastAsia="仿宋"/>
          <w:sz w:val="32"/>
          <w:szCs w:val="32"/>
        </w:rPr>
        <w:t>21.25</w:t>
      </w:r>
      <w:r>
        <w:rPr>
          <w:rFonts w:hAnsi="仿宋" w:eastAsia="仿宋"/>
          <w:sz w:val="32"/>
          <w:szCs w:val="32"/>
        </w:rPr>
        <w:t>万元，增长</w:t>
      </w:r>
      <w:r>
        <w:rPr>
          <w:rFonts w:eastAsia="仿宋"/>
          <w:sz w:val="32"/>
          <w:szCs w:val="32"/>
        </w:rPr>
        <w:t>20.42%</w:t>
      </w:r>
      <w:r>
        <w:rPr>
          <w:rFonts w:hAnsi="仿宋" w:eastAsia="仿宋"/>
          <w:sz w:val="32"/>
          <w:szCs w:val="32"/>
        </w:rPr>
        <w:t>。主要变动原因是</w:t>
      </w:r>
      <w:r>
        <w:rPr>
          <w:rFonts w:eastAsia="仿宋"/>
          <w:sz w:val="32"/>
          <w:szCs w:val="32"/>
        </w:rPr>
        <w:t>2022</w:t>
      </w:r>
      <w:r>
        <w:rPr>
          <w:rFonts w:hAnsi="仿宋" w:eastAsia="仿宋"/>
          <w:sz w:val="32"/>
          <w:szCs w:val="32"/>
        </w:rPr>
        <w:t>年部门预算人员中有职级晋升及新增家庭教育项目。</w:t>
      </w:r>
    </w:p>
    <w:p>
      <w:pPr>
        <w:spacing w:line="576" w:lineRule="exact"/>
        <w:ind w:firstLine="640" w:firstLineChars="200"/>
        <w:rPr>
          <w:rFonts w:eastAsia="仿宋"/>
          <w:sz w:val="32"/>
          <w:szCs w:val="32"/>
        </w:rPr>
      </w:pPr>
      <w:r>
        <w:rPr>
          <w:rFonts w:hAnsi="仿宋" w:eastAsia="仿宋"/>
          <w:sz w:val="32"/>
          <w:szCs w:val="32"/>
        </w:rPr>
        <w:t>（图</w:t>
      </w:r>
      <w:r>
        <w:rPr>
          <w:rFonts w:eastAsia="仿宋"/>
          <w:sz w:val="32"/>
          <w:szCs w:val="32"/>
        </w:rPr>
        <w:t>1</w:t>
      </w:r>
      <w:r>
        <w:rPr>
          <w:rFonts w:hAnsi="仿宋" w:eastAsia="仿宋"/>
          <w:sz w:val="32"/>
          <w:szCs w:val="32"/>
        </w:rPr>
        <w:t>：收、支决算总计变动情况图）（柱状图）</w:t>
      </w:r>
    </w:p>
    <w:p>
      <w:pPr>
        <w:jc w:val="center"/>
        <w:rPr>
          <w:rFonts w:eastAsia="仿宋"/>
          <w:sz w:val="32"/>
          <w:szCs w:val="32"/>
        </w:rPr>
      </w:pPr>
      <w:r>
        <w:rPr>
          <w:rFonts w:eastAsia="仿宋"/>
          <w:sz w:val="32"/>
          <w:szCs w:val="32"/>
        </w:rPr>
        <w:drawing>
          <wp:inline distT="0" distB="0" distL="114300" distR="114300">
            <wp:extent cx="5080000" cy="3810000"/>
            <wp:effectExtent l="4445" t="4445" r="20955" b="14605"/>
            <wp:docPr id="284"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8"/>
        <w:spacing w:line="576" w:lineRule="exact"/>
        <w:ind w:firstLine="640"/>
        <w:outlineLvl w:val="1"/>
        <w:rPr>
          <w:rStyle w:val="30"/>
          <w:rFonts w:ascii="Times New Roman" w:hAnsi="Times New Roman" w:eastAsia="黑体" w:cs="Times New Roman"/>
          <w:b w:val="0"/>
        </w:rPr>
      </w:pPr>
      <w:bookmarkStart w:id="20" w:name="_Toc15396604"/>
      <w:bookmarkStart w:id="21" w:name="_Toc15377206"/>
      <w:r>
        <w:rPr>
          <w:rFonts w:hAnsi="黑体" w:eastAsia="黑体"/>
          <w:sz w:val="32"/>
          <w:szCs w:val="32"/>
        </w:rPr>
        <w:t>二、收</w:t>
      </w:r>
      <w:r>
        <w:rPr>
          <w:rStyle w:val="30"/>
          <w:rFonts w:ascii="Times New Roman" w:hAnsi="黑体" w:eastAsia="黑体" w:cs="Times New Roman"/>
          <w:b w:val="0"/>
        </w:rPr>
        <w:t>入决算情况说明</w:t>
      </w:r>
      <w:bookmarkEnd w:id="20"/>
      <w:bookmarkEnd w:id="21"/>
    </w:p>
    <w:p>
      <w:pPr>
        <w:spacing w:line="576" w:lineRule="exact"/>
        <w:ind w:firstLine="640" w:firstLineChars="200"/>
        <w:outlineLvl w:val="1"/>
        <w:rPr>
          <w:rFonts w:eastAsia="仿宋"/>
          <w:sz w:val="32"/>
          <w:szCs w:val="32"/>
        </w:rPr>
      </w:pPr>
      <w:bookmarkStart w:id="22" w:name="_Toc18215"/>
      <w:bookmarkStart w:id="23" w:name="_Toc298"/>
      <w:r>
        <w:rPr>
          <w:rFonts w:eastAsia="仿宋"/>
          <w:sz w:val="32"/>
          <w:szCs w:val="32"/>
        </w:rPr>
        <w:t>2022</w:t>
      </w:r>
      <w:r>
        <w:rPr>
          <w:rFonts w:hAnsi="仿宋" w:eastAsia="仿宋"/>
          <w:sz w:val="32"/>
          <w:szCs w:val="32"/>
        </w:rPr>
        <w:t>年本年收入合计</w:t>
      </w:r>
      <w:r>
        <w:rPr>
          <w:rFonts w:eastAsia="仿宋"/>
          <w:sz w:val="32"/>
          <w:szCs w:val="32"/>
        </w:rPr>
        <w:t>125.32</w:t>
      </w:r>
      <w:r>
        <w:rPr>
          <w:rFonts w:hAnsi="仿宋" w:eastAsia="仿宋"/>
          <w:sz w:val="32"/>
          <w:szCs w:val="32"/>
        </w:rPr>
        <w:t>万元，其中：一般公共预算财政拨款收入</w:t>
      </w:r>
      <w:r>
        <w:rPr>
          <w:rFonts w:eastAsia="仿宋"/>
          <w:sz w:val="32"/>
          <w:szCs w:val="32"/>
        </w:rPr>
        <w:t>125.32</w:t>
      </w:r>
      <w:r>
        <w:rPr>
          <w:rFonts w:hAnsi="仿宋" w:eastAsia="仿宋"/>
          <w:sz w:val="32"/>
          <w:szCs w:val="32"/>
        </w:rPr>
        <w:t>万元，占</w:t>
      </w:r>
      <w:r>
        <w:rPr>
          <w:rFonts w:eastAsia="仿宋"/>
          <w:sz w:val="32"/>
          <w:szCs w:val="32"/>
        </w:rPr>
        <w:t>100%</w:t>
      </w:r>
      <w:bookmarkEnd w:id="22"/>
      <w:bookmarkEnd w:id="23"/>
      <w:r>
        <w:rPr>
          <w:rFonts w:hAnsi="仿宋" w:eastAsia="仿宋"/>
          <w:sz w:val="32"/>
          <w:szCs w:val="32"/>
        </w:rPr>
        <w:t>。</w:t>
      </w:r>
    </w:p>
    <w:p>
      <w:pPr>
        <w:spacing w:line="576" w:lineRule="exact"/>
        <w:ind w:firstLine="640" w:firstLineChars="200"/>
        <w:rPr>
          <w:rFonts w:eastAsia="仿宋"/>
          <w:sz w:val="32"/>
          <w:szCs w:val="32"/>
        </w:rPr>
      </w:pPr>
      <w:r>
        <w:rPr>
          <w:rFonts w:hAnsi="仿宋" w:eastAsia="仿宋"/>
          <w:sz w:val="32"/>
          <w:szCs w:val="32"/>
        </w:rPr>
        <w:t>（图</w:t>
      </w:r>
      <w:r>
        <w:rPr>
          <w:rFonts w:eastAsia="仿宋"/>
          <w:sz w:val="32"/>
          <w:szCs w:val="32"/>
        </w:rPr>
        <w:t>2</w:t>
      </w:r>
      <w:r>
        <w:rPr>
          <w:rFonts w:hAnsi="仿宋" w:eastAsia="仿宋"/>
          <w:sz w:val="32"/>
          <w:szCs w:val="32"/>
        </w:rPr>
        <w:t>：收入决算结构图）（饼状图）</w:t>
      </w:r>
    </w:p>
    <w:p>
      <w:pPr>
        <w:jc w:val="center"/>
        <w:rPr>
          <w:rFonts w:eastAsia="仿宋"/>
          <w:sz w:val="32"/>
          <w:szCs w:val="32"/>
        </w:rPr>
      </w:pPr>
      <w:r>
        <w:rPr>
          <w:rFonts w:eastAsia="仿宋"/>
          <w:sz w:val="32"/>
          <w:szCs w:val="32"/>
        </w:rPr>
        <w:drawing>
          <wp:inline distT="0" distB="0" distL="114300" distR="114300">
            <wp:extent cx="4707890" cy="2444750"/>
            <wp:effectExtent l="4445" t="4445" r="12065" b="8255"/>
            <wp:docPr id="285"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76" w:lineRule="exact"/>
        <w:ind w:firstLine="640" w:firstLineChars="200"/>
        <w:rPr>
          <w:rFonts w:eastAsia="仿宋_GB2312"/>
          <w:sz w:val="32"/>
          <w:szCs w:val="32"/>
        </w:rPr>
      </w:pPr>
    </w:p>
    <w:p>
      <w:pPr>
        <w:pStyle w:val="28"/>
        <w:spacing w:line="576" w:lineRule="exact"/>
        <w:ind w:firstLine="640"/>
        <w:outlineLvl w:val="1"/>
        <w:rPr>
          <w:rStyle w:val="30"/>
          <w:rFonts w:ascii="Times New Roman" w:hAnsi="Times New Roman" w:eastAsia="黑体" w:cs="Times New Roman"/>
          <w:b w:val="0"/>
        </w:rPr>
      </w:pPr>
      <w:bookmarkStart w:id="24" w:name="_Toc15396605"/>
      <w:bookmarkStart w:id="25" w:name="_Toc15377207"/>
      <w:r>
        <w:rPr>
          <w:rFonts w:hAnsi="黑体" w:eastAsia="黑体"/>
          <w:sz w:val="32"/>
          <w:szCs w:val="32"/>
        </w:rPr>
        <w:t>三、支</w:t>
      </w:r>
      <w:r>
        <w:rPr>
          <w:rStyle w:val="30"/>
          <w:rFonts w:ascii="Times New Roman" w:hAnsi="黑体" w:eastAsia="黑体" w:cs="Times New Roman"/>
          <w:b w:val="0"/>
        </w:rPr>
        <w:t>出决算情况说明</w:t>
      </w:r>
      <w:bookmarkEnd w:id="24"/>
      <w:bookmarkEnd w:id="25"/>
    </w:p>
    <w:p>
      <w:pPr>
        <w:spacing w:line="576" w:lineRule="exact"/>
        <w:ind w:firstLine="640" w:firstLineChars="200"/>
        <w:outlineLvl w:val="1"/>
        <w:rPr>
          <w:rFonts w:eastAsia="仿宋"/>
          <w:sz w:val="32"/>
          <w:szCs w:val="32"/>
          <w:shd w:val="pct10" w:color="auto" w:fill="FFFFFF"/>
        </w:rPr>
      </w:pPr>
      <w:bookmarkStart w:id="26" w:name="_Toc31418"/>
      <w:bookmarkStart w:id="27" w:name="_Toc4513"/>
      <w:r>
        <w:rPr>
          <w:rFonts w:eastAsia="仿宋"/>
          <w:sz w:val="32"/>
          <w:szCs w:val="32"/>
        </w:rPr>
        <w:t>2022</w:t>
      </w:r>
      <w:r>
        <w:rPr>
          <w:rFonts w:hAnsi="仿宋" w:eastAsia="仿宋"/>
          <w:sz w:val="32"/>
          <w:szCs w:val="32"/>
        </w:rPr>
        <w:t>年本年支出合计</w:t>
      </w:r>
      <w:r>
        <w:rPr>
          <w:rFonts w:eastAsia="仿宋"/>
          <w:sz w:val="32"/>
          <w:szCs w:val="32"/>
        </w:rPr>
        <w:t>125.32</w:t>
      </w:r>
      <w:r>
        <w:rPr>
          <w:rFonts w:hAnsi="仿宋" w:eastAsia="仿宋"/>
          <w:sz w:val="32"/>
          <w:szCs w:val="32"/>
        </w:rPr>
        <w:t>万元，其中：基本支出</w:t>
      </w:r>
      <w:r>
        <w:rPr>
          <w:rFonts w:eastAsia="仿宋"/>
          <w:sz w:val="32"/>
          <w:szCs w:val="32"/>
        </w:rPr>
        <w:t>76.32</w:t>
      </w:r>
      <w:r>
        <w:rPr>
          <w:rFonts w:hAnsi="仿宋" w:eastAsia="仿宋"/>
          <w:sz w:val="32"/>
          <w:szCs w:val="32"/>
        </w:rPr>
        <w:t>万元，占</w:t>
      </w:r>
      <w:r>
        <w:rPr>
          <w:rFonts w:eastAsia="仿宋"/>
          <w:sz w:val="32"/>
          <w:szCs w:val="32"/>
        </w:rPr>
        <w:t>60.9%</w:t>
      </w:r>
      <w:r>
        <w:rPr>
          <w:rFonts w:hAnsi="仿宋" w:eastAsia="仿宋"/>
          <w:sz w:val="32"/>
          <w:szCs w:val="32"/>
        </w:rPr>
        <w:t>；项目支出</w:t>
      </w:r>
      <w:r>
        <w:rPr>
          <w:rFonts w:eastAsia="仿宋"/>
          <w:sz w:val="32"/>
          <w:szCs w:val="32"/>
        </w:rPr>
        <w:t>49</w:t>
      </w:r>
      <w:r>
        <w:rPr>
          <w:rFonts w:hAnsi="仿宋" w:eastAsia="仿宋"/>
          <w:sz w:val="32"/>
          <w:szCs w:val="32"/>
        </w:rPr>
        <w:t>万元，占</w:t>
      </w:r>
      <w:r>
        <w:rPr>
          <w:rFonts w:eastAsia="仿宋"/>
          <w:sz w:val="32"/>
          <w:szCs w:val="32"/>
        </w:rPr>
        <w:t>39.1%</w:t>
      </w:r>
      <w:r>
        <w:rPr>
          <w:rFonts w:hAnsi="仿宋" w:eastAsia="仿宋"/>
          <w:sz w:val="32"/>
          <w:szCs w:val="32"/>
        </w:rPr>
        <w:t>。</w:t>
      </w:r>
      <w:bookmarkEnd w:id="26"/>
      <w:bookmarkEnd w:id="27"/>
    </w:p>
    <w:p>
      <w:pPr>
        <w:spacing w:line="576" w:lineRule="exact"/>
        <w:ind w:firstLine="640" w:firstLineChars="200"/>
        <w:rPr>
          <w:rFonts w:eastAsia="仿宋"/>
          <w:sz w:val="32"/>
          <w:szCs w:val="32"/>
        </w:rPr>
      </w:pPr>
      <w:r>
        <w:rPr>
          <w:rFonts w:hAnsi="仿宋" w:eastAsia="仿宋"/>
          <w:sz w:val="32"/>
          <w:szCs w:val="32"/>
        </w:rPr>
        <w:t>（图</w:t>
      </w:r>
      <w:r>
        <w:rPr>
          <w:rFonts w:eastAsia="仿宋"/>
          <w:sz w:val="32"/>
          <w:szCs w:val="32"/>
        </w:rPr>
        <w:t>3</w:t>
      </w:r>
      <w:r>
        <w:rPr>
          <w:rFonts w:hAnsi="仿宋" w:eastAsia="仿宋"/>
          <w:sz w:val="32"/>
          <w:szCs w:val="32"/>
        </w:rPr>
        <w:t>：支出决算结构图）（饼状图）</w:t>
      </w:r>
    </w:p>
    <w:p>
      <w:pPr>
        <w:jc w:val="center"/>
        <w:rPr>
          <w:rFonts w:eastAsia="仿宋"/>
          <w:sz w:val="32"/>
          <w:szCs w:val="32"/>
        </w:rPr>
      </w:pPr>
      <w:r>
        <w:rPr>
          <w:rFonts w:eastAsia="仿宋"/>
          <w:sz w:val="32"/>
          <w:szCs w:val="32"/>
        </w:rPr>
        <w:drawing>
          <wp:inline distT="0" distB="0" distL="114300" distR="114300">
            <wp:extent cx="5239385" cy="2172970"/>
            <wp:effectExtent l="4445" t="4445" r="13970" b="13335"/>
            <wp:docPr id="286"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76" w:lineRule="exact"/>
        <w:ind w:firstLine="640" w:firstLineChars="200"/>
        <w:outlineLvl w:val="1"/>
        <w:rPr>
          <w:rStyle w:val="30"/>
          <w:rFonts w:ascii="Times New Roman" w:hAnsi="Times New Roman" w:eastAsia="黑体" w:cs="Times New Roman"/>
          <w:b w:val="0"/>
        </w:rPr>
      </w:pPr>
      <w:bookmarkStart w:id="28" w:name="_Toc15396606"/>
      <w:bookmarkStart w:id="29" w:name="_Toc15377208"/>
      <w:r>
        <w:rPr>
          <w:rFonts w:hAnsi="黑体" w:eastAsia="黑体"/>
          <w:sz w:val="32"/>
          <w:szCs w:val="32"/>
        </w:rPr>
        <w:t>四、财</w:t>
      </w:r>
      <w:r>
        <w:rPr>
          <w:rStyle w:val="30"/>
          <w:rFonts w:ascii="Times New Roman" w:hAnsi="黑体" w:eastAsia="黑体" w:cs="Times New Roman"/>
          <w:b w:val="0"/>
        </w:rPr>
        <w:t>政拨款收入支出决算总体情况说明</w:t>
      </w:r>
      <w:bookmarkEnd w:id="28"/>
      <w:bookmarkEnd w:id="29"/>
    </w:p>
    <w:p>
      <w:pPr>
        <w:spacing w:line="576" w:lineRule="exact"/>
        <w:ind w:firstLine="640" w:firstLineChars="200"/>
        <w:rPr>
          <w:rFonts w:eastAsia="仿宋"/>
          <w:sz w:val="32"/>
          <w:szCs w:val="32"/>
        </w:rPr>
      </w:pPr>
      <w:r>
        <w:rPr>
          <w:rFonts w:eastAsia="仿宋"/>
          <w:sz w:val="32"/>
          <w:szCs w:val="32"/>
        </w:rPr>
        <w:t>2022</w:t>
      </w:r>
      <w:r>
        <w:rPr>
          <w:rFonts w:hAnsi="仿宋" w:eastAsia="仿宋"/>
          <w:sz w:val="32"/>
          <w:szCs w:val="32"/>
        </w:rPr>
        <w:t>年财政拨款收、支总计</w:t>
      </w:r>
      <w:r>
        <w:rPr>
          <w:rFonts w:eastAsia="仿宋"/>
          <w:sz w:val="32"/>
          <w:szCs w:val="32"/>
        </w:rPr>
        <w:t>125.32</w:t>
      </w:r>
      <w:r>
        <w:rPr>
          <w:rFonts w:hAnsi="仿宋" w:eastAsia="仿宋"/>
          <w:sz w:val="32"/>
          <w:szCs w:val="32"/>
        </w:rPr>
        <w:t>万元。与</w:t>
      </w:r>
      <w:r>
        <w:rPr>
          <w:rFonts w:eastAsia="仿宋"/>
          <w:sz w:val="32"/>
          <w:szCs w:val="32"/>
        </w:rPr>
        <w:t>2021</w:t>
      </w:r>
      <w:r>
        <w:rPr>
          <w:rFonts w:hAnsi="仿宋" w:eastAsia="仿宋"/>
          <w:sz w:val="32"/>
          <w:szCs w:val="32"/>
        </w:rPr>
        <w:t>年相比，财政拨款收、支总计各增加</w:t>
      </w:r>
      <w:r>
        <w:rPr>
          <w:rFonts w:eastAsia="仿宋"/>
          <w:sz w:val="32"/>
          <w:szCs w:val="32"/>
        </w:rPr>
        <w:t>21.25</w:t>
      </w:r>
      <w:r>
        <w:rPr>
          <w:rFonts w:hAnsi="仿宋" w:eastAsia="仿宋"/>
          <w:sz w:val="32"/>
          <w:szCs w:val="32"/>
        </w:rPr>
        <w:t>万元，增长</w:t>
      </w:r>
      <w:r>
        <w:rPr>
          <w:rFonts w:eastAsia="仿宋"/>
          <w:sz w:val="32"/>
          <w:szCs w:val="32"/>
        </w:rPr>
        <w:t>20.42%</w:t>
      </w:r>
      <w:r>
        <w:rPr>
          <w:rFonts w:hAnsi="仿宋" w:eastAsia="仿宋"/>
          <w:sz w:val="32"/>
          <w:szCs w:val="32"/>
        </w:rPr>
        <w:t>。主要变动原因是</w:t>
      </w:r>
      <w:r>
        <w:rPr>
          <w:rFonts w:eastAsia="仿宋"/>
          <w:sz w:val="32"/>
          <w:szCs w:val="32"/>
        </w:rPr>
        <w:t>2022</w:t>
      </w:r>
      <w:r>
        <w:rPr>
          <w:rFonts w:hAnsi="仿宋" w:eastAsia="仿宋"/>
          <w:sz w:val="32"/>
          <w:szCs w:val="32"/>
        </w:rPr>
        <w:t>年部门预算人员中有职级晋升及新增家庭教育项目。</w:t>
      </w:r>
    </w:p>
    <w:p>
      <w:pPr>
        <w:spacing w:line="576" w:lineRule="exact"/>
        <w:ind w:firstLine="640" w:firstLineChars="200"/>
        <w:rPr>
          <w:rFonts w:eastAsia="仿宋"/>
          <w:sz w:val="32"/>
          <w:szCs w:val="32"/>
        </w:rPr>
      </w:pPr>
      <w:r>
        <w:rPr>
          <w:rFonts w:hAnsi="仿宋" w:eastAsia="仿宋"/>
          <w:sz w:val="32"/>
          <w:szCs w:val="32"/>
        </w:rPr>
        <w:t>（图</w:t>
      </w:r>
      <w:r>
        <w:rPr>
          <w:rFonts w:eastAsia="仿宋"/>
          <w:sz w:val="32"/>
          <w:szCs w:val="32"/>
        </w:rPr>
        <w:t>4</w:t>
      </w:r>
      <w:r>
        <w:rPr>
          <w:rFonts w:hAnsi="仿宋" w:eastAsia="仿宋"/>
          <w:sz w:val="32"/>
          <w:szCs w:val="32"/>
        </w:rPr>
        <w:t>：财政拨款收、支决算总计变动情况）（柱状图）</w:t>
      </w:r>
    </w:p>
    <w:p>
      <w:pPr>
        <w:jc w:val="center"/>
        <w:rPr>
          <w:rFonts w:eastAsia="仿宋"/>
          <w:sz w:val="32"/>
          <w:szCs w:val="32"/>
        </w:rPr>
      </w:pPr>
      <w:r>
        <w:rPr>
          <w:rFonts w:eastAsia="仿宋"/>
          <w:sz w:val="32"/>
          <w:szCs w:val="32"/>
        </w:rPr>
        <w:drawing>
          <wp:inline distT="0" distB="0" distL="114300" distR="114300">
            <wp:extent cx="5080000" cy="3810000"/>
            <wp:effectExtent l="4445" t="4445" r="20955" b="14605"/>
            <wp:docPr id="287"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76" w:lineRule="exact"/>
        <w:ind w:firstLine="640" w:firstLineChars="200"/>
        <w:rPr>
          <w:rFonts w:eastAsia="仿宋"/>
          <w:b/>
          <w:sz w:val="32"/>
          <w:szCs w:val="32"/>
        </w:rPr>
      </w:pPr>
    </w:p>
    <w:p>
      <w:pPr>
        <w:spacing w:line="576" w:lineRule="exact"/>
        <w:ind w:firstLine="640" w:firstLineChars="200"/>
        <w:outlineLvl w:val="1"/>
        <w:rPr>
          <w:rStyle w:val="30"/>
          <w:rFonts w:ascii="Times New Roman" w:hAnsi="Times New Roman" w:eastAsia="黑体" w:cs="Times New Roman"/>
          <w:b w:val="0"/>
        </w:rPr>
      </w:pPr>
      <w:bookmarkStart w:id="30" w:name="_Toc15396607"/>
      <w:bookmarkStart w:id="31" w:name="_Toc15377209"/>
      <w:r>
        <w:rPr>
          <w:rFonts w:hAnsi="黑体" w:eastAsia="黑体"/>
          <w:sz w:val="32"/>
          <w:szCs w:val="32"/>
        </w:rPr>
        <w:t>五、</w:t>
      </w:r>
      <w:r>
        <w:rPr>
          <w:rFonts w:hAnsi="黑体" w:eastAsia="黑体"/>
          <w:b/>
          <w:sz w:val="32"/>
          <w:szCs w:val="32"/>
        </w:rPr>
        <w:t>一</w:t>
      </w:r>
      <w:r>
        <w:rPr>
          <w:rStyle w:val="30"/>
          <w:rFonts w:ascii="Times New Roman" w:hAnsi="黑体" w:eastAsia="黑体" w:cs="Times New Roman"/>
          <w:b w:val="0"/>
        </w:rPr>
        <w:t>般公共预算财政拨款支出决算情况说明</w:t>
      </w:r>
      <w:bookmarkEnd w:id="30"/>
      <w:bookmarkEnd w:id="31"/>
    </w:p>
    <w:p>
      <w:pPr>
        <w:spacing w:line="576" w:lineRule="exact"/>
        <w:ind w:firstLine="640" w:firstLineChars="200"/>
        <w:rPr>
          <w:rFonts w:eastAsia="仿宋"/>
          <w:sz w:val="32"/>
          <w:szCs w:val="32"/>
        </w:rPr>
      </w:pPr>
      <w:r>
        <w:rPr>
          <w:rFonts w:eastAsia="仿宋"/>
          <w:sz w:val="32"/>
          <w:szCs w:val="32"/>
        </w:rPr>
        <w:t>2022</w:t>
      </w:r>
      <w:r>
        <w:rPr>
          <w:rFonts w:hAnsi="仿宋" w:eastAsia="仿宋"/>
          <w:sz w:val="32"/>
          <w:szCs w:val="32"/>
        </w:rPr>
        <w:t>年一般公共预算财政拨款支出</w:t>
      </w:r>
      <w:r>
        <w:rPr>
          <w:rFonts w:eastAsia="仿宋"/>
          <w:sz w:val="32"/>
          <w:szCs w:val="32"/>
        </w:rPr>
        <w:t>125.32</w:t>
      </w:r>
      <w:r>
        <w:rPr>
          <w:rFonts w:hAnsi="仿宋" w:eastAsia="仿宋"/>
          <w:sz w:val="32"/>
          <w:szCs w:val="32"/>
        </w:rPr>
        <w:t>万元，占本年支出合计的</w:t>
      </w:r>
      <w:r>
        <w:rPr>
          <w:rFonts w:eastAsia="仿宋"/>
          <w:sz w:val="32"/>
          <w:szCs w:val="32"/>
        </w:rPr>
        <w:t>100%</w:t>
      </w:r>
      <w:r>
        <w:rPr>
          <w:rFonts w:hAnsi="仿宋" w:eastAsia="仿宋"/>
          <w:sz w:val="32"/>
          <w:szCs w:val="32"/>
        </w:rPr>
        <w:t>。与</w:t>
      </w:r>
      <w:r>
        <w:rPr>
          <w:rFonts w:eastAsia="仿宋"/>
          <w:sz w:val="32"/>
          <w:szCs w:val="32"/>
        </w:rPr>
        <w:t>2021</w:t>
      </w:r>
      <w:r>
        <w:rPr>
          <w:rFonts w:hAnsi="仿宋" w:eastAsia="仿宋"/>
          <w:sz w:val="32"/>
          <w:szCs w:val="32"/>
        </w:rPr>
        <w:t>年相比，一般公共预算财政拨款支出增</w:t>
      </w:r>
      <w:r>
        <w:rPr>
          <w:rFonts w:hint="eastAsia" w:hAnsi="仿宋" w:eastAsia="仿宋"/>
          <w:sz w:val="32"/>
          <w:szCs w:val="32"/>
          <w:lang w:eastAsia="zh-CN"/>
        </w:rPr>
        <w:t>加</w:t>
      </w:r>
      <w:r>
        <w:rPr>
          <w:rFonts w:eastAsia="仿宋"/>
          <w:sz w:val="32"/>
          <w:szCs w:val="32"/>
        </w:rPr>
        <w:t>1.25</w:t>
      </w:r>
      <w:r>
        <w:rPr>
          <w:rFonts w:hAnsi="仿宋" w:eastAsia="仿宋"/>
          <w:sz w:val="32"/>
          <w:szCs w:val="32"/>
        </w:rPr>
        <w:t>万元，增长</w:t>
      </w:r>
      <w:r>
        <w:rPr>
          <w:rFonts w:eastAsia="仿宋"/>
          <w:sz w:val="32"/>
          <w:szCs w:val="32"/>
        </w:rPr>
        <w:t>20.42%</w:t>
      </w:r>
      <w:r>
        <w:rPr>
          <w:rFonts w:hAnsi="仿宋" w:eastAsia="仿宋"/>
          <w:sz w:val="32"/>
          <w:szCs w:val="32"/>
        </w:rPr>
        <w:t>。主要变动原因是</w:t>
      </w:r>
      <w:r>
        <w:rPr>
          <w:rFonts w:eastAsia="仿宋"/>
          <w:sz w:val="32"/>
          <w:szCs w:val="32"/>
        </w:rPr>
        <w:t>2022</w:t>
      </w:r>
      <w:r>
        <w:rPr>
          <w:rFonts w:hAnsi="仿宋" w:eastAsia="仿宋"/>
          <w:sz w:val="32"/>
          <w:szCs w:val="32"/>
        </w:rPr>
        <w:t>年部门预算人员中有职级晋升及新增家庭教育项目。</w:t>
      </w:r>
    </w:p>
    <w:p>
      <w:pPr>
        <w:spacing w:line="576" w:lineRule="exact"/>
        <w:ind w:firstLine="640" w:firstLineChars="200"/>
        <w:rPr>
          <w:rFonts w:eastAsia="仿宋"/>
          <w:sz w:val="32"/>
          <w:szCs w:val="32"/>
        </w:rPr>
      </w:pPr>
      <w:r>
        <w:rPr>
          <w:rFonts w:hAnsi="仿宋" w:eastAsia="仿宋"/>
          <w:sz w:val="32"/>
          <w:szCs w:val="32"/>
        </w:rPr>
        <w:t>（图</w:t>
      </w:r>
      <w:r>
        <w:rPr>
          <w:rFonts w:eastAsia="仿宋"/>
          <w:sz w:val="32"/>
          <w:szCs w:val="32"/>
        </w:rPr>
        <w:t>5</w:t>
      </w:r>
      <w:r>
        <w:rPr>
          <w:rFonts w:hAnsi="仿宋" w:eastAsia="仿宋"/>
          <w:sz w:val="32"/>
          <w:szCs w:val="32"/>
        </w:rPr>
        <w:t>：一般公共预算财政拨款支出决算变动情况）（柱状图）</w:t>
      </w:r>
    </w:p>
    <w:p>
      <w:pPr>
        <w:jc w:val="center"/>
        <w:rPr>
          <w:rFonts w:eastAsia="仿宋"/>
          <w:sz w:val="32"/>
          <w:szCs w:val="32"/>
        </w:rPr>
      </w:pPr>
      <w:r>
        <w:rPr>
          <w:rFonts w:eastAsia="仿宋"/>
          <w:sz w:val="32"/>
          <w:szCs w:val="32"/>
        </w:rPr>
        <w:drawing>
          <wp:inline distT="0" distB="0" distL="114300" distR="114300">
            <wp:extent cx="5080000" cy="3810000"/>
            <wp:effectExtent l="4445" t="4445" r="20955" b="14605"/>
            <wp:docPr id="288"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76" w:lineRule="exact"/>
        <w:ind w:firstLine="640" w:firstLineChars="200"/>
        <w:rPr>
          <w:rFonts w:eastAsia="仿宋"/>
          <w:sz w:val="32"/>
          <w:szCs w:val="32"/>
        </w:rPr>
      </w:pPr>
    </w:p>
    <w:p>
      <w:pPr>
        <w:spacing w:line="576" w:lineRule="exact"/>
        <w:ind w:firstLine="640" w:firstLineChars="200"/>
        <w:outlineLvl w:val="2"/>
        <w:rPr>
          <w:rFonts w:eastAsia="仿宋"/>
          <w:b/>
          <w:sz w:val="32"/>
          <w:szCs w:val="32"/>
        </w:rPr>
      </w:pPr>
      <w:bookmarkStart w:id="32" w:name="_Toc15377211"/>
      <w:r>
        <w:rPr>
          <w:rFonts w:hAnsi="仿宋" w:eastAsia="仿宋"/>
          <w:b/>
          <w:sz w:val="32"/>
          <w:szCs w:val="32"/>
        </w:rPr>
        <w:t>（二）一般公共预算财政拨款支出决算结构情况</w:t>
      </w:r>
      <w:bookmarkEnd w:id="32"/>
    </w:p>
    <w:p>
      <w:pPr>
        <w:spacing w:line="576" w:lineRule="exact"/>
        <w:ind w:firstLine="640" w:firstLineChars="200"/>
        <w:rPr>
          <w:rFonts w:eastAsia="仿宋"/>
          <w:b/>
          <w:sz w:val="32"/>
          <w:szCs w:val="32"/>
        </w:rPr>
      </w:pPr>
      <w:r>
        <w:rPr>
          <w:rFonts w:eastAsia="仿宋"/>
          <w:sz w:val="32"/>
          <w:szCs w:val="32"/>
        </w:rPr>
        <w:t>2022</w:t>
      </w:r>
      <w:r>
        <w:rPr>
          <w:rFonts w:hAnsi="仿宋" w:eastAsia="仿宋"/>
          <w:sz w:val="32"/>
          <w:szCs w:val="32"/>
        </w:rPr>
        <w:t>年一般公共预算财政拨款支出</w:t>
      </w:r>
      <w:r>
        <w:rPr>
          <w:rFonts w:eastAsia="仿宋"/>
          <w:sz w:val="32"/>
          <w:szCs w:val="32"/>
        </w:rPr>
        <w:t>125.32</w:t>
      </w:r>
      <w:r>
        <w:rPr>
          <w:rFonts w:hAnsi="仿宋" w:eastAsia="仿宋"/>
          <w:sz w:val="32"/>
          <w:szCs w:val="32"/>
        </w:rPr>
        <w:t>万元，主要用于以下方面</w:t>
      </w:r>
      <w:r>
        <w:rPr>
          <w:rFonts w:eastAsia="仿宋"/>
          <w:sz w:val="32"/>
          <w:szCs w:val="32"/>
        </w:rPr>
        <w:t>:</w:t>
      </w:r>
      <w:r>
        <w:rPr>
          <w:rFonts w:hAnsi="仿宋" w:eastAsia="仿宋"/>
          <w:b/>
          <w:sz w:val="32"/>
          <w:szCs w:val="32"/>
        </w:rPr>
        <w:t>一般公共服务（类）</w:t>
      </w:r>
      <w:r>
        <w:rPr>
          <w:rFonts w:hAnsi="仿宋" w:eastAsia="仿宋"/>
          <w:sz w:val="32"/>
          <w:szCs w:val="32"/>
        </w:rPr>
        <w:t>支出</w:t>
      </w:r>
      <w:r>
        <w:rPr>
          <w:rFonts w:eastAsia="仿宋"/>
          <w:sz w:val="32"/>
          <w:szCs w:val="32"/>
        </w:rPr>
        <w:t>97.64</w:t>
      </w:r>
      <w:r>
        <w:rPr>
          <w:rFonts w:hAnsi="仿宋" w:eastAsia="仿宋"/>
          <w:sz w:val="32"/>
          <w:szCs w:val="32"/>
        </w:rPr>
        <w:t>万元，占</w:t>
      </w:r>
      <w:r>
        <w:rPr>
          <w:rFonts w:eastAsia="仿宋"/>
          <w:sz w:val="32"/>
          <w:szCs w:val="32"/>
        </w:rPr>
        <w:t>81%</w:t>
      </w:r>
      <w:r>
        <w:rPr>
          <w:rFonts w:hAnsi="仿宋" w:eastAsia="仿宋"/>
          <w:sz w:val="32"/>
          <w:szCs w:val="32"/>
        </w:rPr>
        <w:t>；</w:t>
      </w:r>
      <w:r>
        <w:rPr>
          <w:rFonts w:hAnsi="仿宋" w:eastAsia="仿宋"/>
          <w:b/>
          <w:sz w:val="32"/>
          <w:szCs w:val="32"/>
        </w:rPr>
        <w:t>社会保障和就业（类）</w:t>
      </w:r>
      <w:r>
        <w:rPr>
          <w:rFonts w:hAnsi="仿宋" w:eastAsia="仿宋"/>
          <w:sz w:val="32"/>
          <w:szCs w:val="32"/>
        </w:rPr>
        <w:t>支出</w:t>
      </w:r>
      <w:r>
        <w:rPr>
          <w:rFonts w:eastAsia="仿宋"/>
          <w:sz w:val="32"/>
          <w:szCs w:val="32"/>
        </w:rPr>
        <w:t>3.21</w:t>
      </w:r>
      <w:r>
        <w:rPr>
          <w:rFonts w:hAnsi="仿宋" w:eastAsia="仿宋"/>
          <w:sz w:val="32"/>
          <w:szCs w:val="32"/>
        </w:rPr>
        <w:t>万元，占</w:t>
      </w:r>
      <w:r>
        <w:rPr>
          <w:rFonts w:eastAsia="仿宋"/>
          <w:sz w:val="32"/>
          <w:szCs w:val="32"/>
        </w:rPr>
        <w:t>3%</w:t>
      </w:r>
      <w:r>
        <w:rPr>
          <w:rFonts w:hAnsi="仿宋" w:eastAsia="仿宋"/>
          <w:sz w:val="32"/>
          <w:szCs w:val="32"/>
        </w:rPr>
        <w:t>；</w:t>
      </w:r>
      <w:r>
        <w:rPr>
          <w:rFonts w:hAnsi="仿宋" w:eastAsia="仿宋"/>
          <w:b/>
          <w:bCs/>
          <w:sz w:val="32"/>
          <w:szCs w:val="32"/>
        </w:rPr>
        <w:t>卫生健康</w:t>
      </w:r>
      <w:r>
        <w:rPr>
          <w:rFonts w:hAnsi="仿宋" w:eastAsia="仿宋"/>
          <w:b/>
          <w:sz w:val="32"/>
          <w:szCs w:val="32"/>
        </w:rPr>
        <w:t>（类）</w:t>
      </w:r>
      <w:r>
        <w:rPr>
          <w:rFonts w:hAnsi="仿宋" w:eastAsia="仿宋"/>
          <w:b/>
          <w:bCs/>
          <w:sz w:val="32"/>
          <w:szCs w:val="32"/>
        </w:rPr>
        <w:t>支出</w:t>
      </w:r>
      <w:r>
        <w:rPr>
          <w:rFonts w:eastAsia="仿宋"/>
          <w:b/>
          <w:bCs/>
          <w:sz w:val="32"/>
          <w:szCs w:val="32"/>
        </w:rPr>
        <w:t>1.64</w:t>
      </w:r>
      <w:r>
        <w:rPr>
          <w:rFonts w:hAnsi="仿宋" w:eastAsia="仿宋"/>
          <w:sz w:val="32"/>
          <w:szCs w:val="32"/>
        </w:rPr>
        <w:t>万元，占</w:t>
      </w:r>
      <w:r>
        <w:rPr>
          <w:rFonts w:eastAsia="仿宋"/>
          <w:sz w:val="32"/>
          <w:szCs w:val="32"/>
        </w:rPr>
        <w:t>1%</w:t>
      </w:r>
      <w:r>
        <w:rPr>
          <w:rFonts w:hAnsi="仿宋" w:eastAsia="仿宋"/>
          <w:sz w:val="32"/>
          <w:szCs w:val="32"/>
        </w:rPr>
        <w:t>；</w:t>
      </w:r>
      <w:r>
        <w:rPr>
          <w:rFonts w:hAnsi="仿宋" w:eastAsia="仿宋"/>
          <w:b/>
          <w:sz w:val="32"/>
          <w:szCs w:val="32"/>
        </w:rPr>
        <w:t>住房保障（类）</w:t>
      </w:r>
      <w:r>
        <w:rPr>
          <w:rFonts w:hAnsi="仿宋" w:eastAsia="仿宋"/>
          <w:sz w:val="32"/>
          <w:szCs w:val="32"/>
        </w:rPr>
        <w:t>支出</w:t>
      </w:r>
      <w:r>
        <w:rPr>
          <w:rFonts w:eastAsia="仿宋"/>
          <w:sz w:val="32"/>
          <w:szCs w:val="32"/>
        </w:rPr>
        <w:t>3.4</w:t>
      </w:r>
      <w:r>
        <w:rPr>
          <w:rFonts w:hAnsi="仿宋" w:eastAsia="仿宋"/>
          <w:sz w:val="32"/>
          <w:szCs w:val="32"/>
        </w:rPr>
        <w:t>万元，占</w:t>
      </w:r>
      <w:r>
        <w:rPr>
          <w:rFonts w:eastAsia="仿宋"/>
          <w:sz w:val="32"/>
          <w:szCs w:val="32"/>
        </w:rPr>
        <w:t>3%</w:t>
      </w:r>
      <w:r>
        <w:rPr>
          <w:rFonts w:hAnsi="仿宋" w:eastAsia="仿宋"/>
          <w:sz w:val="32"/>
          <w:szCs w:val="32"/>
        </w:rPr>
        <w:t>；</w:t>
      </w:r>
      <w:r>
        <w:rPr>
          <w:rFonts w:eastAsia="仿宋"/>
          <w:b/>
          <w:bCs/>
          <w:sz w:val="32"/>
          <w:szCs w:val="32"/>
        </w:rPr>
        <w:t>农林水</w:t>
      </w:r>
      <w:r>
        <w:rPr>
          <w:rFonts w:hAnsi="仿宋" w:eastAsia="仿宋"/>
          <w:b/>
          <w:sz w:val="32"/>
          <w:szCs w:val="32"/>
        </w:rPr>
        <w:t>（类）</w:t>
      </w:r>
      <w:r>
        <w:rPr>
          <w:rFonts w:eastAsia="仿宋"/>
          <w:b/>
          <w:bCs/>
          <w:sz w:val="32"/>
          <w:szCs w:val="32"/>
        </w:rPr>
        <w:t>支出</w:t>
      </w:r>
      <w:r>
        <w:rPr>
          <w:rFonts w:eastAsia="仿宋"/>
          <w:sz w:val="32"/>
          <w:szCs w:val="32"/>
        </w:rPr>
        <w:t>15万元，占12%。</w:t>
      </w:r>
    </w:p>
    <w:p>
      <w:pPr>
        <w:spacing w:line="576" w:lineRule="exact"/>
        <w:ind w:firstLine="640" w:firstLineChars="200"/>
        <w:rPr>
          <w:rFonts w:eastAsia="仿宋"/>
          <w:sz w:val="32"/>
          <w:szCs w:val="32"/>
        </w:rPr>
      </w:pPr>
      <w:r>
        <w:rPr>
          <w:rFonts w:hAnsi="仿宋" w:eastAsia="仿宋"/>
          <w:sz w:val="32"/>
          <w:szCs w:val="32"/>
        </w:rPr>
        <w:t>（图</w:t>
      </w:r>
      <w:r>
        <w:rPr>
          <w:rFonts w:eastAsia="仿宋"/>
          <w:sz w:val="32"/>
          <w:szCs w:val="32"/>
        </w:rPr>
        <w:t>6</w:t>
      </w:r>
      <w:r>
        <w:rPr>
          <w:rFonts w:hAnsi="仿宋" w:eastAsia="仿宋"/>
          <w:sz w:val="32"/>
          <w:szCs w:val="32"/>
        </w:rPr>
        <w:t>：一般公共预算财政拨款支出决算结构）（饼状图）</w:t>
      </w:r>
    </w:p>
    <w:p>
      <w:pPr>
        <w:jc w:val="center"/>
        <w:rPr>
          <w:rFonts w:eastAsia="仿宋"/>
          <w:sz w:val="32"/>
          <w:szCs w:val="32"/>
        </w:rPr>
      </w:pPr>
      <w:r>
        <w:rPr>
          <w:rFonts w:eastAsia="仿宋"/>
          <w:sz w:val="32"/>
          <w:szCs w:val="32"/>
        </w:rPr>
        <w:drawing>
          <wp:inline distT="0" distB="0" distL="114300" distR="114300">
            <wp:extent cx="4904105" cy="2867025"/>
            <wp:effectExtent l="4445" t="4445" r="6350" b="5080"/>
            <wp:docPr id="289" name="图表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33" w:name="_Toc15377212"/>
    </w:p>
    <w:p>
      <w:pPr>
        <w:spacing w:line="576" w:lineRule="exact"/>
        <w:ind w:firstLine="640" w:firstLineChars="200"/>
        <w:outlineLvl w:val="2"/>
        <w:rPr>
          <w:rFonts w:eastAsia="仿宋"/>
          <w:b/>
          <w:sz w:val="32"/>
          <w:szCs w:val="32"/>
        </w:rPr>
      </w:pPr>
      <w:r>
        <w:rPr>
          <w:rFonts w:hAnsi="仿宋" w:eastAsia="仿宋"/>
          <w:b/>
          <w:sz w:val="32"/>
          <w:szCs w:val="32"/>
        </w:rPr>
        <w:t>（三）一般公共预算财政拨款支出决算具体情况</w:t>
      </w:r>
      <w:bookmarkEnd w:id="33"/>
    </w:p>
    <w:p>
      <w:pPr>
        <w:spacing w:line="576" w:lineRule="exact"/>
        <w:ind w:firstLine="640" w:firstLineChars="200"/>
        <w:outlineLvl w:val="1"/>
        <w:rPr>
          <w:rFonts w:eastAsia="仿宋"/>
          <w:sz w:val="32"/>
          <w:szCs w:val="32"/>
        </w:rPr>
      </w:pPr>
      <w:bookmarkStart w:id="34" w:name="_Toc15377213"/>
      <w:bookmarkStart w:id="35" w:name="_Toc15378460"/>
      <w:bookmarkStart w:id="36" w:name="_Toc15377444"/>
      <w:bookmarkStart w:id="37" w:name="_Toc25239"/>
      <w:bookmarkStart w:id="38" w:name="_Toc26555"/>
      <w:r>
        <w:rPr>
          <w:rFonts w:eastAsia="仿宋"/>
          <w:b/>
          <w:sz w:val="32"/>
          <w:szCs w:val="32"/>
        </w:rPr>
        <w:t>2022</w:t>
      </w:r>
      <w:r>
        <w:rPr>
          <w:rFonts w:hAnsi="仿宋" w:eastAsia="仿宋"/>
          <w:b/>
          <w:sz w:val="32"/>
          <w:szCs w:val="32"/>
        </w:rPr>
        <w:t>年一般公共预算支出决算数为</w:t>
      </w:r>
      <w:r>
        <w:rPr>
          <w:rFonts w:eastAsia="仿宋"/>
          <w:sz w:val="32"/>
          <w:szCs w:val="32"/>
        </w:rPr>
        <w:t>125.32</w:t>
      </w:r>
      <w:r>
        <w:rPr>
          <w:rFonts w:hAnsi="仿宋" w:eastAsia="仿宋"/>
          <w:sz w:val="32"/>
          <w:szCs w:val="32"/>
        </w:rPr>
        <w:t>万元，</w:t>
      </w:r>
      <w:r>
        <w:rPr>
          <w:rStyle w:val="17"/>
          <w:rFonts w:hAnsi="仿宋" w:eastAsia="仿宋"/>
          <w:bCs/>
          <w:sz w:val="32"/>
          <w:szCs w:val="32"/>
        </w:rPr>
        <w:t>完成预算</w:t>
      </w:r>
      <w:r>
        <w:rPr>
          <w:rStyle w:val="17"/>
          <w:rFonts w:eastAsia="仿宋"/>
          <w:bCs/>
          <w:sz w:val="32"/>
          <w:szCs w:val="32"/>
        </w:rPr>
        <w:t>100%</w:t>
      </w:r>
      <w:r>
        <w:rPr>
          <w:rStyle w:val="17"/>
          <w:rFonts w:hAnsi="仿宋" w:eastAsia="仿宋"/>
          <w:bCs/>
          <w:sz w:val="32"/>
          <w:szCs w:val="32"/>
        </w:rPr>
        <w:t>。其中：</w:t>
      </w:r>
      <w:bookmarkEnd w:id="34"/>
      <w:bookmarkEnd w:id="35"/>
      <w:bookmarkEnd w:id="36"/>
      <w:bookmarkEnd w:id="37"/>
      <w:bookmarkEnd w:id="38"/>
    </w:p>
    <w:p>
      <w:pPr>
        <w:spacing w:line="576" w:lineRule="exact"/>
        <w:ind w:firstLine="640" w:firstLineChars="200"/>
      </w:pPr>
      <w:r>
        <w:rPr>
          <w:rStyle w:val="17"/>
          <w:rFonts w:eastAsia="仿宋"/>
          <w:bCs/>
          <w:sz w:val="32"/>
          <w:szCs w:val="32"/>
        </w:rPr>
        <w:t>1.</w:t>
      </w:r>
      <w:r>
        <w:rPr>
          <w:rStyle w:val="17"/>
          <w:rFonts w:hAnsi="仿宋" w:eastAsia="仿宋"/>
          <w:bCs/>
          <w:sz w:val="32"/>
          <w:szCs w:val="32"/>
        </w:rPr>
        <w:t>一般公共服务（类）群众团体事务（款）行政运行（项）</w:t>
      </w:r>
      <w:r>
        <w:rPr>
          <w:rStyle w:val="17"/>
          <w:rFonts w:eastAsia="仿宋"/>
          <w:bCs/>
          <w:sz w:val="32"/>
          <w:szCs w:val="32"/>
        </w:rPr>
        <w:t>:</w:t>
      </w:r>
      <w:r>
        <w:rPr>
          <w:rStyle w:val="17"/>
          <w:rFonts w:eastAsia="仿宋"/>
          <w:b w:val="0"/>
          <w:bCs/>
          <w:sz w:val="32"/>
          <w:szCs w:val="32"/>
        </w:rPr>
        <w:t xml:space="preserve"> </w:t>
      </w:r>
      <w:r>
        <w:rPr>
          <w:rStyle w:val="17"/>
          <w:rFonts w:hAnsi="仿宋" w:eastAsia="仿宋"/>
          <w:b w:val="0"/>
          <w:bCs/>
          <w:sz w:val="32"/>
          <w:szCs w:val="32"/>
        </w:rPr>
        <w:t>支出决算为</w:t>
      </w:r>
      <w:r>
        <w:rPr>
          <w:rStyle w:val="17"/>
          <w:rFonts w:eastAsia="仿宋"/>
          <w:b w:val="0"/>
          <w:bCs/>
          <w:sz w:val="32"/>
          <w:szCs w:val="32"/>
        </w:rPr>
        <w:t>51.26</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576" w:lineRule="exact"/>
        <w:ind w:firstLine="640" w:firstLineChars="200"/>
        <w:rPr>
          <w:rFonts w:eastAsia="仿宋"/>
          <w:b/>
          <w:sz w:val="32"/>
          <w:szCs w:val="32"/>
        </w:rPr>
      </w:pPr>
      <w:r>
        <w:rPr>
          <w:rStyle w:val="17"/>
          <w:rFonts w:eastAsia="仿宋"/>
          <w:bCs/>
          <w:sz w:val="32"/>
          <w:szCs w:val="32"/>
        </w:rPr>
        <w:t>2.</w:t>
      </w:r>
      <w:r>
        <w:rPr>
          <w:rStyle w:val="17"/>
          <w:rFonts w:hAnsi="仿宋" w:eastAsia="仿宋"/>
          <w:bCs/>
          <w:sz w:val="32"/>
          <w:szCs w:val="32"/>
        </w:rPr>
        <w:t>一般公共服务（类）群众团体事务（款）事业运行（项）</w:t>
      </w:r>
      <w:r>
        <w:rPr>
          <w:rStyle w:val="17"/>
          <w:rFonts w:eastAsia="仿宋"/>
          <w:bCs/>
          <w:sz w:val="32"/>
          <w:szCs w:val="32"/>
        </w:rPr>
        <w:t>:</w:t>
      </w:r>
      <w:r>
        <w:rPr>
          <w:rStyle w:val="17"/>
          <w:rFonts w:eastAsia="仿宋"/>
          <w:b w:val="0"/>
          <w:bCs/>
          <w:sz w:val="32"/>
          <w:szCs w:val="32"/>
        </w:rPr>
        <w:t xml:space="preserve"> </w:t>
      </w:r>
      <w:r>
        <w:rPr>
          <w:rStyle w:val="17"/>
          <w:rFonts w:hAnsi="仿宋" w:eastAsia="仿宋"/>
          <w:b w:val="0"/>
          <w:bCs/>
          <w:sz w:val="32"/>
          <w:szCs w:val="32"/>
        </w:rPr>
        <w:t>支出决算为</w:t>
      </w:r>
      <w:r>
        <w:rPr>
          <w:rStyle w:val="17"/>
          <w:rFonts w:eastAsia="仿宋"/>
          <w:b w:val="0"/>
          <w:bCs/>
          <w:sz w:val="32"/>
          <w:szCs w:val="32"/>
        </w:rPr>
        <w:t>12.37</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576" w:lineRule="exact"/>
        <w:ind w:firstLine="640" w:firstLineChars="200"/>
        <w:rPr>
          <w:rFonts w:eastAsia="仿宋"/>
          <w:b/>
          <w:sz w:val="32"/>
          <w:szCs w:val="32"/>
        </w:rPr>
      </w:pPr>
      <w:r>
        <w:rPr>
          <w:rStyle w:val="17"/>
          <w:rFonts w:eastAsia="仿宋"/>
          <w:bCs/>
          <w:sz w:val="32"/>
          <w:szCs w:val="32"/>
        </w:rPr>
        <w:t>3.</w:t>
      </w:r>
      <w:r>
        <w:rPr>
          <w:rStyle w:val="17"/>
          <w:rFonts w:hAnsi="仿宋" w:eastAsia="仿宋"/>
          <w:bCs/>
          <w:sz w:val="32"/>
          <w:szCs w:val="32"/>
        </w:rPr>
        <w:t>一般公共服务（类）群众团体事务（款）其他群众团体支出（项）</w:t>
      </w:r>
      <w:r>
        <w:rPr>
          <w:rStyle w:val="17"/>
          <w:rFonts w:eastAsia="仿宋"/>
          <w:bCs/>
          <w:sz w:val="32"/>
          <w:szCs w:val="32"/>
        </w:rPr>
        <w:t>:</w:t>
      </w:r>
      <w:r>
        <w:rPr>
          <w:rStyle w:val="17"/>
          <w:rFonts w:eastAsia="仿宋"/>
          <w:b w:val="0"/>
          <w:bCs/>
          <w:sz w:val="32"/>
          <w:szCs w:val="32"/>
        </w:rPr>
        <w:t xml:space="preserve"> </w:t>
      </w:r>
      <w:r>
        <w:rPr>
          <w:rStyle w:val="17"/>
          <w:rFonts w:hAnsi="仿宋" w:eastAsia="仿宋"/>
          <w:b w:val="0"/>
          <w:bCs/>
          <w:sz w:val="32"/>
          <w:szCs w:val="32"/>
        </w:rPr>
        <w:t>支出决算为</w:t>
      </w:r>
      <w:r>
        <w:rPr>
          <w:rStyle w:val="17"/>
          <w:rFonts w:eastAsia="仿宋"/>
          <w:b w:val="0"/>
          <w:bCs/>
          <w:sz w:val="32"/>
          <w:szCs w:val="32"/>
        </w:rPr>
        <w:t>34</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576" w:lineRule="exact"/>
        <w:ind w:firstLine="640" w:firstLineChars="200"/>
        <w:rPr>
          <w:rStyle w:val="17"/>
          <w:rFonts w:eastAsia="仿宋"/>
          <w:b w:val="0"/>
          <w:bCs/>
          <w:sz w:val="32"/>
          <w:szCs w:val="32"/>
        </w:rPr>
      </w:pPr>
      <w:r>
        <w:rPr>
          <w:rStyle w:val="17"/>
          <w:rFonts w:eastAsia="仿宋"/>
          <w:bCs/>
          <w:sz w:val="32"/>
          <w:szCs w:val="32"/>
        </w:rPr>
        <w:t>4.</w:t>
      </w:r>
      <w:r>
        <w:rPr>
          <w:rStyle w:val="17"/>
          <w:rFonts w:hAnsi="仿宋" w:eastAsia="仿宋"/>
          <w:bCs/>
          <w:sz w:val="32"/>
          <w:szCs w:val="32"/>
        </w:rPr>
        <w:t>社会保障和就业（类）行政事业单位养老支出（款）机关事业单位基本养老保险支出（项）</w:t>
      </w:r>
      <w:r>
        <w:rPr>
          <w:rStyle w:val="17"/>
          <w:rFonts w:eastAsia="仿宋"/>
          <w:bCs/>
          <w:sz w:val="32"/>
          <w:szCs w:val="32"/>
        </w:rPr>
        <w:t>:</w:t>
      </w:r>
      <w:r>
        <w:rPr>
          <w:rStyle w:val="17"/>
          <w:rFonts w:eastAsia="仿宋"/>
          <w:b w:val="0"/>
          <w:bCs/>
          <w:sz w:val="32"/>
          <w:szCs w:val="32"/>
        </w:rPr>
        <w:t xml:space="preserve"> </w:t>
      </w:r>
      <w:r>
        <w:rPr>
          <w:rStyle w:val="17"/>
          <w:rFonts w:hAnsi="仿宋" w:eastAsia="仿宋"/>
          <w:b w:val="0"/>
          <w:bCs/>
          <w:sz w:val="32"/>
          <w:szCs w:val="32"/>
        </w:rPr>
        <w:t>支出决算为</w:t>
      </w:r>
      <w:r>
        <w:rPr>
          <w:rStyle w:val="17"/>
          <w:rFonts w:eastAsia="仿宋"/>
          <w:b w:val="0"/>
          <w:bCs/>
          <w:sz w:val="32"/>
          <w:szCs w:val="32"/>
        </w:rPr>
        <w:t>1.3</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576" w:lineRule="exact"/>
        <w:ind w:firstLine="640" w:firstLineChars="200"/>
      </w:pPr>
      <w:r>
        <w:rPr>
          <w:rStyle w:val="17"/>
          <w:rFonts w:eastAsia="仿宋"/>
          <w:bCs/>
          <w:sz w:val="32"/>
          <w:szCs w:val="32"/>
        </w:rPr>
        <w:t>5.</w:t>
      </w:r>
      <w:r>
        <w:rPr>
          <w:rStyle w:val="17"/>
          <w:rFonts w:hAnsi="仿宋" w:eastAsia="仿宋"/>
          <w:bCs/>
          <w:sz w:val="32"/>
          <w:szCs w:val="32"/>
        </w:rPr>
        <w:t>社会保障和就业（类）其他社会保障就业支出（款）其他社会保障就业支出（项）</w:t>
      </w:r>
      <w:r>
        <w:rPr>
          <w:rStyle w:val="17"/>
          <w:rFonts w:eastAsia="仿宋"/>
          <w:bCs/>
          <w:sz w:val="32"/>
          <w:szCs w:val="32"/>
        </w:rPr>
        <w:t>:</w:t>
      </w:r>
      <w:r>
        <w:rPr>
          <w:rStyle w:val="17"/>
          <w:rFonts w:eastAsia="仿宋"/>
          <w:b w:val="0"/>
          <w:bCs/>
          <w:sz w:val="32"/>
          <w:szCs w:val="32"/>
        </w:rPr>
        <w:t xml:space="preserve"> </w:t>
      </w:r>
      <w:r>
        <w:rPr>
          <w:rStyle w:val="17"/>
          <w:rFonts w:hAnsi="仿宋" w:eastAsia="仿宋"/>
          <w:b w:val="0"/>
          <w:bCs/>
          <w:sz w:val="32"/>
          <w:szCs w:val="32"/>
        </w:rPr>
        <w:t>支出决算为</w:t>
      </w:r>
      <w:r>
        <w:rPr>
          <w:rStyle w:val="17"/>
          <w:rFonts w:eastAsia="仿宋"/>
          <w:b w:val="0"/>
          <w:bCs/>
          <w:sz w:val="32"/>
          <w:szCs w:val="32"/>
        </w:rPr>
        <w:t>1.8</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576" w:lineRule="exact"/>
        <w:ind w:firstLine="640" w:firstLineChars="200"/>
        <w:rPr>
          <w:rStyle w:val="17"/>
          <w:rFonts w:eastAsia="仿宋"/>
          <w:b w:val="0"/>
          <w:bCs/>
          <w:sz w:val="32"/>
          <w:szCs w:val="32"/>
        </w:rPr>
      </w:pPr>
      <w:r>
        <w:rPr>
          <w:rStyle w:val="17"/>
          <w:rFonts w:eastAsia="仿宋"/>
          <w:bCs/>
          <w:sz w:val="32"/>
          <w:szCs w:val="32"/>
        </w:rPr>
        <w:t>6.</w:t>
      </w:r>
      <w:r>
        <w:rPr>
          <w:rFonts w:hAnsi="仿宋" w:eastAsia="仿宋"/>
          <w:b/>
          <w:bCs/>
          <w:sz w:val="32"/>
          <w:szCs w:val="32"/>
        </w:rPr>
        <w:t>卫生健康</w:t>
      </w:r>
      <w:r>
        <w:rPr>
          <w:rStyle w:val="17"/>
          <w:rFonts w:hAnsi="仿宋" w:eastAsia="仿宋"/>
          <w:bCs/>
          <w:sz w:val="32"/>
          <w:szCs w:val="32"/>
        </w:rPr>
        <w:t>（类）行政事业单位医疗（款）行政单位医疗（项）</w:t>
      </w:r>
      <w:r>
        <w:rPr>
          <w:rStyle w:val="17"/>
          <w:rFonts w:eastAsia="仿宋"/>
          <w:bCs/>
          <w:sz w:val="32"/>
          <w:szCs w:val="32"/>
        </w:rPr>
        <w:t>:</w:t>
      </w:r>
      <w:r>
        <w:rPr>
          <w:rStyle w:val="17"/>
          <w:rFonts w:hAnsi="仿宋" w:eastAsia="仿宋"/>
          <w:b w:val="0"/>
          <w:bCs/>
          <w:sz w:val="32"/>
          <w:szCs w:val="32"/>
        </w:rPr>
        <w:t>支出决算为</w:t>
      </w:r>
      <w:r>
        <w:rPr>
          <w:rStyle w:val="17"/>
          <w:rFonts w:eastAsia="仿宋"/>
          <w:b w:val="0"/>
          <w:bCs/>
          <w:sz w:val="32"/>
          <w:szCs w:val="32"/>
        </w:rPr>
        <w:t>1.1</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576" w:lineRule="exact"/>
        <w:ind w:firstLine="640" w:firstLineChars="200"/>
        <w:rPr>
          <w:rStyle w:val="17"/>
          <w:rFonts w:eastAsia="仿宋"/>
          <w:b w:val="0"/>
          <w:bCs/>
          <w:sz w:val="32"/>
          <w:szCs w:val="32"/>
        </w:rPr>
      </w:pPr>
      <w:r>
        <w:rPr>
          <w:rStyle w:val="17"/>
          <w:rFonts w:eastAsia="仿宋"/>
          <w:bCs/>
          <w:sz w:val="32"/>
          <w:szCs w:val="32"/>
        </w:rPr>
        <w:t>7.</w:t>
      </w:r>
      <w:r>
        <w:rPr>
          <w:rFonts w:hAnsi="仿宋" w:eastAsia="仿宋"/>
          <w:b/>
          <w:bCs/>
          <w:sz w:val="32"/>
          <w:szCs w:val="32"/>
        </w:rPr>
        <w:t>卫生健康</w:t>
      </w:r>
      <w:r>
        <w:rPr>
          <w:rStyle w:val="17"/>
          <w:rFonts w:hAnsi="仿宋" w:eastAsia="仿宋"/>
          <w:bCs/>
          <w:sz w:val="32"/>
          <w:szCs w:val="32"/>
        </w:rPr>
        <w:t>（类）行政事业单位医疗（款）事业单位医疗（项）</w:t>
      </w:r>
      <w:r>
        <w:rPr>
          <w:rStyle w:val="17"/>
          <w:rFonts w:eastAsia="仿宋"/>
          <w:bCs/>
          <w:sz w:val="32"/>
          <w:szCs w:val="32"/>
        </w:rPr>
        <w:t>:</w:t>
      </w:r>
      <w:r>
        <w:rPr>
          <w:rStyle w:val="17"/>
          <w:rFonts w:hAnsi="仿宋" w:eastAsia="仿宋"/>
          <w:b w:val="0"/>
          <w:bCs/>
          <w:sz w:val="32"/>
          <w:szCs w:val="32"/>
        </w:rPr>
        <w:t>支出决算为</w:t>
      </w:r>
      <w:r>
        <w:rPr>
          <w:rStyle w:val="17"/>
          <w:rFonts w:eastAsia="仿宋"/>
          <w:b w:val="0"/>
          <w:bCs/>
          <w:sz w:val="32"/>
          <w:szCs w:val="32"/>
        </w:rPr>
        <w:t>0.5</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576" w:lineRule="exact"/>
        <w:ind w:firstLine="640" w:firstLineChars="200"/>
      </w:pPr>
      <w:r>
        <w:rPr>
          <w:rFonts w:eastAsia="仿宋"/>
          <w:b/>
          <w:sz w:val="32"/>
          <w:szCs w:val="32"/>
        </w:rPr>
        <w:t>8.</w:t>
      </w:r>
      <w:r>
        <w:rPr>
          <w:rFonts w:hAnsi="仿宋" w:eastAsia="仿宋"/>
          <w:b/>
          <w:sz w:val="32"/>
          <w:szCs w:val="32"/>
        </w:rPr>
        <w:t>农林水（类）扶贫（款）其他扶贫支出（项）：</w:t>
      </w:r>
      <w:r>
        <w:rPr>
          <w:rStyle w:val="17"/>
          <w:rFonts w:hAnsi="仿宋" w:eastAsia="仿宋"/>
          <w:b w:val="0"/>
          <w:bCs/>
          <w:sz w:val="32"/>
          <w:szCs w:val="32"/>
        </w:rPr>
        <w:t>支出决算为</w:t>
      </w:r>
      <w:r>
        <w:rPr>
          <w:rStyle w:val="17"/>
          <w:rFonts w:eastAsia="仿宋"/>
          <w:b w:val="0"/>
          <w:bCs/>
          <w:sz w:val="32"/>
          <w:szCs w:val="32"/>
        </w:rPr>
        <w:t>15</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color w:val="000000"/>
          <w:sz w:val="32"/>
          <w:szCs w:val="32"/>
        </w:rPr>
        <w:t>。</w:t>
      </w:r>
    </w:p>
    <w:p>
      <w:pPr>
        <w:spacing w:line="576" w:lineRule="exact"/>
        <w:ind w:firstLine="640" w:firstLineChars="200"/>
        <w:rPr>
          <w:rFonts w:eastAsia="仿宋"/>
          <w:b/>
          <w:sz w:val="32"/>
          <w:szCs w:val="32"/>
        </w:rPr>
      </w:pPr>
      <w:r>
        <w:rPr>
          <w:rFonts w:eastAsia="仿宋"/>
          <w:b/>
          <w:bCs/>
          <w:sz w:val="32"/>
          <w:szCs w:val="32"/>
        </w:rPr>
        <w:t>9.</w:t>
      </w:r>
      <w:r>
        <w:rPr>
          <w:rFonts w:hAnsi="仿宋" w:eastAsia="仿宋"/>
          <w:b/>
          <w:bCs/>
          <w:sz w:val="32"/>
          <w:szCs w:val="32"/>
        </w:rPr>
        <w:t>住房保障（类）住房改革（款）住房公积金（项）：</w:t>
      </w:r>
      <w:r>
        <w:rPr>
          <w:rStyle w:val="17"/>
          <w:rFonts w:hAnsi="仿宋" w:eastAsia="仿宋"/>
          <w:b w:val="0"/>
          <w:bCs/>
          <w:sz w:val="32"/>
          <w:szCs w:val="32"/>
        </w:rPr>
        <w:t>支出决算为</w:t>
      </w:r>
      <w:r>
        <w:rPr>
          <w:rStyle w:val="17"/>
          <w:rFonts w:eastAsia="仿宋"/>
          <w:b w:val="0"/>
          <w:bCs/>
          <w:sz w:val="32"/>
          <w:szCs w:val="32"/>
        </w:rPr>
        <w:t>3.4</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tabs>
          <w:tab w:val="right" w:pos="8306"/>
        </w:tabs>
        <w:spacing w:line="576" w:lineRule="exact"/>
        <w:ind w:firstLine="640" w:firstLineChars="200"/>
        <w:outlineLvl w:val="1"/>
        <w:rPr>
          <w:rStyle w:val="30"/>
          <w:rFonts w:ascii="Times New Roman" w:hAnsi="Times New Roman" w:cs="Times New Roman"/>
        </w:rPr>
      </w:pPr>
      <w:bookmarkStart w:id="39" w:name="_Toc15377214"/>
      <w:bookmarkStart w:id="40" w:name="_Toc15396608"/>
      <w:r>
        <w:rPr>
          <w:rFonts w:eastAsia="黑体"/>
          <w:sz w:val="32"/>
          <w:szCs w:val="32"/>
        </w:rPr>
        <w:t>六</w:t>
      </w:r>
      <w:r>
        <w:rPr>
          <w:rFonts w:eastAsia="黑体"/>
          <w:b/>
          <w:sz w:val="32"/>
          <w:szCs w:val="32"/>
        </w:rPr>
        <w:t>、</w:t>
      </w:r>
      <w:r>
        <w:rPr>
          <w:rFonts w:hAnsi="黑体" w:eastAsia="黑体"/>
          <w:b/>
          <w:sz w:val="32"/>
          <w:szCs w:val="32"/>
        </w:rPr>
        <w:t>一</w:t>
      </w:r>
      <w:r>
        <w:rPr>
          <w:rStyle w:val="30"/>
          <w:rFonts w:ascii="Times New Roman" w:hAnsi="黑体" w:eastAsia="黑体" w:cs="Times New Roman"/>
          <w:b w:val="0"/>
        </w:rPr>
        <w:t>般公共预算财政拨款基本支出决算情况说明</w:t>
      </w:r>
      <w:bookmarkEnd w:id="39"/>
      <w:bookmarkEnd w:id="40"/>
    </w:p>
    <w:p>
      <w:pPr>
        <w:spacing w:line="576" w:lineRule="exact"/>
        <w:ind w:firstLine="640" w:firstLineChars="200"/>
        <w:rPr>
          <w:rFonts w:eastAsia="仿宋"/>
          <w:sz w:val="32"/>
          <w:szCs w:val="32"/>
        </w:rPr>
      </w:pPr>
      <w:r>
        <w:rPr>
          <w:rFonts w:eastAsia="仿宋"/>
          <w:sz w:val="32"/>
          <w:szCs w:val="32"/>
        </w:rPr>
        <w:t>2022</w:t>
      </w:r>
      <w:r>
        <w:rPr>
          <w:rFonts w:hAnsi="仿宋" w:eastAsia="仿宋"/>
          <w:sz w:val="32"/>
          <w:szCs w:val="32"/>
        </w:rPr>
        <w:t>年一般公共预算财政拨款基本支出</w:t>
      </w:r>
      <w:r>
        <w:rPr>
          <w:rFonts w:eastAsia="仿宋"/>
          <w:sz w:val="32"/>
          <w:szCs w:val="32"/>
        </w:rPr>
        <w:t>71.89</w:t>
      </w:r>
      <w:r>
        <w:rPr>
          <w:rFonts w:hAnsi="仿宋" w:eastAsia="仿宋"/>
          <w:sz w:val="32"/>
          <w:szCs w:val="32"/>
        </w:rPr>
        <w:t>万元，其中：</w:t>
      </w:r>
    </w:p>
    <w:p>
      <w:pPr>
        <w:spacing w:line="576" w:lineRule="exact"/>
        <w:ind w:firstLine="640" w:firstLineChars="200"/>
        <w:rPr>
          <w:rFonts w:eastAsia="仿宋"/>
          <w:sz w:val="32"/>
          <w:szCs w:val="32"/>
        </w:rPr>
      </w:pPr>
      <w:r>
        <w:rPr>
          <w:rFonts w:hAnsi="仿宋" w:eastAsia="仿宋"/>
          <w:sz w:val="32"/>
          <w:szCs w:val="32"/>
        </w:rPr>
        <w:t>人员经费</w:t>
      </w:r>
      <w:r>
        <w:rPr>
          <w:rFonts w:eastAsia="仿宋"/>
          <w:sz w:val="32"/>
          <w:szCs w:val="32"/>
        </w:rPr>
        <w:t>42.15</w:t>
      </w:r>
      <w:r>
        <w:rPr>
          <w:rFonts w:hAnsi="仿宋" w:eastAsia="仿宋"/>
          <w:sz w:val="32"/>
          <w:szCs w:val="32"/>
        </w:rPr>
        <w:t>万元，主要包括：基本工资、津贴补贴、奖金、绩效工资、机关事业单位基本养老保险缴费、职业年金缴费、其他社会保障缴费、其他工资福利支出、生活补助、医疗费补助、奖励金、住房公积金、其他对个人和家庭的补助支出等。</w:t>
      </w:r>
    </w:p>
    <w:p>
      <w:pPr>
        <w:spacing w:line="576" w:lineRule="exact"/>
        <w:ind w:firstLine="640" w:firstLineChars="200"/>
        <w:rPr>
          <w:rFonts w:eastAsia="黑体"/>
          <w:sz w:val="32"/>
          <w:szCs w:val="32"/>
        </w:rPr>
      </w:pPr>
      <w:r>
        <w:rPr>
          <w:rFonts w:hAnsi="仿宋" w:eastAsia="仿宋"/>
          <w:sz w:val="32"/>
          <w:szCs w:val="32"/>
        </w:rPr>
        <w:t>公用经费</w:t>
      </w:r>
      <w:r>
        <w:rPr>
          <w:rFonts w:eastAsia="仿宋"/>
          <w:sz w:val="32"/>
          <w:szCs w:val="32"/>
        </w:rPr>
        <w:t>29.74</w:t>
      </w:r>
      <w:r>
        <w:rPr>
          <w:rFonts w:hAnsi="仿宋" w:eastAsia="仿宋"/>
          <w:sz w:val="32"/>
          <w:szCs w:val="32"/>
        </w:rPr>
        <w:t>万元，主要包括：办公费、印刷费、手续费、水费、电费、邮电费、物业管理费、差旅费、维修（护）费、租赁费、会议费、培训费、公务接待费、劳务费、工会经费、福利费、其他交通费、税金及附加费用、其他商品和服务支出</w:t>
      </w:r>
      <w:r>
        <w:rPr>
          <w:rFonts w:eastAsia="仿宋"/>
          <w:sz w:val="32"/>
          <w:szCs w:val="32"/>
        </w:rPr>
        <w:t>,</w:t>
      </w:r>
      <w:r>
        <w:rPr>
          <w:rFonts w:hAnsi="仿宋" w:eastAsia="仿宋"/>
          <w:sz w:val="32"/>
          <w:szCs w:val="32"/>
        </w:rPr>
        <w:t>资本性支出（基本建设）中的办公设备购置</w:t>
      </w:r>
      <w:r>
        <w:rPr>
          <w:rFonts w:eastAsia="仿宋"/>
          <w:sz w:val="32"/>
          <w:szCs w:val="32"/>
        </w:rPr>
        <w:t>,</w:t>
      </w:r>
      <w:r>
        <w:rPr>
          <w:rFonts w:hAnsi="仿宋" w:eastAsia="仿宋"/>
          <w:sz w:val="32"/>
          <w:szCs w:val="32"/>
        </w:rPr>
        <w:t>专用设备购置。</w:t>
      </w:r>
      <w:bookmarkStart w:id="41" w:name="_Toc15396609"/>
      <w:bookmarkStart w:id="42" w:name="_Toc15377215"/>
    </w:p>
    <w:p>
      <w:pPr>
        <w:spacing w:line="576" w:lineRule="exact"/>
        <w:ind w:firstLine="640" w:firstLineChars="200"/>
        <w:outlineLvl w:val="1"/>
        <w:rPr>
          <w:rStyle w:val="30"/>
          <w:rFonts w:ascii="Times New Roman" w:hAnsi="Times New Roman" w:eastAsia="黑体" w:cs="Times New Roman"/>
          <w:b w:val="0"/>
        </w:rPr>
      </w:pPr>
      <w:r>
        <w:rPr>
          <w:rFonts w:eastAsia="黑体"/>
          <w:sz w:val="32"/>
          <w:szCs w:val="32"/>
        </w:rPr>
        <w:t>七、</w:t>
      </w:r>
      <w:r>
        <w:rPr>
          <w:rStyle w:val="30"/>
          <w:rFonts w:ascii="Times New Roman" w:hAnsi="黑体" w:eastAsia="黑体" w:cs="Times New Roman"/>
          <w:b w:val="0"/>
        </w:rPr>
        <w:t>财政拨款</w:t>
      </w:r>
      <w:r>
        <w:rPr>
          <w:rStyle w:val="30"/>
          <w:rFonts w:ascii="Times New Roman" w:hAnsi="Times New Roman" w:eastAsia="黑体" w:cs="Times New Roman"/>
        </w:rPr>
        <w:t>“</w:t>
      </w:r>
      <w:r>
        <w:rPr>
          <w:rStyle w:val="30"/>
          <w:rFonts w:ascii="Times New Roman" w:hAnsi="黑体" w:eastAsia="黑体" w:cs="Times New Roman"/>
          <w:b w:val="0"/>
        </w:rPr>
        <w:t>三公</w:t>
      </w:r>
      <w:r>
        <w:rPr>
          <w:rStyle w:val="30"/>
          <w:rFonts w:ascii="Times New Roman" w:hAnsi="Times New Roman" w:eastAsia="黑体" w:cs="Times New Roman"/>
          <w:b w:val="0"/>
        </w:rPr>
        <w:t>”</w:t>
      </w:r>
      <w:r>
        <w:rPr>
          <w:rStyle w:val="30"/>
          <w:rFonts w:ascii="Times New Roman" w:hAnsi="黑体" w:eastAsia="黑体" w:cs="Times New Roman"/>
          <w:b w:val="0"/>
        </w:rPr>
        <w:t>经费支出决算情况说明</w:t>
      </w:r>
      <w:bookmarkEnd w:id="41"/>
      <w:bookmarkEnd w:id="42"/>
    </w:p>
    <w:p>
      <w:pPr>
        <w:spacing w:line="576" w:lineRule="exact"/>
        <w:ind w:firstLine="640" w:firstLineChars="200"/>
        <w:outlineLvl w:val="2"/>
        <w:rPr>
          <w:rFonts w:eastAsia="仿宋"/>
          <w:b/>
          <w:sz w:val="32"/>
          <w:szCs w:val="32"/>
        </w:rPr>
      </w:pPr>
      <w:bookmarkStart w:id="43" w:name="_Toc15377216"/>
      <w:r>
        <w:rPr>
          <w:rFonts w:hAnsi="仿宋" w:eastAsia="仿宋"/>
          <w:b/>
          <w:sz w:val="32"/>
          <w:szCs w:val="32"/>
        </w:rPr>
        <w:t>（一）</w:t>
      </w:r>
      <w:r>
        <w:rPr>
          <w:rFonts w:eastAsia="仿宋"/>
          <w:b/>
          <w:sz w:val="32"/>
          <w:szCs w:val="32"/>
        </w:rPr>
        <w:t>“</w:t>
      </w:r>
      <w:r>
        <w:rPr>
          <w:rFonts w:hAnsi="仿宋" w:eastAsia="仿宋"/>
          <w:b/>
          <w:sz w:val="32"/>
          <w:szCs w:val="32"/>
        </w:rPr>
        <w:t>三公</w:t>
      </w:r>
      <w:r>
        <w:rPr>
          <w:rFonts w:eastAsia="仿宋"/>
          <w:b/>
          <w:sz w:val="32"/>
          <w:szCs w:val="32"/>
        </w:rPr>
        <w:t>”</w:t>
      </w:r>
      <w:r>
        <w:rPr>
          <w:rFonts w:hAnsi="仿宋" w:eastAsia="仿宋"/>
          <w:b/>
          <w:sz w:val="32"/>
          <w:szCs w:val="32"/>
        </w:rPr>
        <w:t>经费财政拨款支出决算总体情况说明</w:t>
      </w:r>
      <w:bookmarkEnd w:id="43"/>
    </w:p>
    <w:p>
      <w:pPr>
        <w:spacing w:line="576" w:lineRule="exact"/>
        <w:ind w:firstLine="640" w:firstLineChars="200"/>
        <w:rPr>
          <w:rFonts w:eastAsia="仿宋"/>
          <w:sz w:val="32"/>
          <w:szCs w:val="32"/>
        </w:rPr>
      </w:pPr>
      <w:r>
        <w:rPr>
          <w:rFonts w:eastAsia="仿宋"/>
          <w:sz w:val="32"/>
          <w:szCs w:val="32"/>
        </w:rPr>
        <w:t>2022</w:t>
      </w:r>
      <w:r>
        <w:rPr>
          <w:rFonts w:hAnsi="仿宋" w:eastAsia="仿宋"/>
          <w:sz w:val="32"/>
          <w:szCs w:val="32"/>
        </w:rPr>
        <w:t>年</w:t>
      </w:r>
      <w:r>
        <w:rPr>
          <w:rFonts w:eastAsia="仿宋"/>
          <w:sz w:val="32"/>
          <w:szCs w:val="32"/>
        </w:rPr>
        <w:t>“</w:t>
      </w:r>
      <w:r>
        <w:rPr>
          <w:rFonts w:hAnsi="仿宋" w:eastAsia="仿宋"/>
          <w:sz w:val="32"/>
          <w:szCs w:val="32"/>
        </w:rPr>
        <w:t>三公</w:t>
      </w:r>
      <w:r>
        <w:rPr>
          <w:rFonts w:eastAsia="仿宋"/>
          <w:sz w:val="32"/>
          <w:szCs w:val="32"/>
        </w:rPr>
        <w:t>”</w:t>
      </w:r>
      <w:r>
        <w:rPr>
          <w:rFonts w:hAnsi="仿宋" w:eastAsia="仿宋"/>
          <w:sz w:val="32"/>
          <w:szCs w:val="32"/>
        </w:rPr>
        <w:t>经费财政拨款支出决算为</w:t>
      </w:r>
      <w:r>
        <w:rPr>
          <w:rFonts w:eastAsia="仿宋"/>
          <w:sz w:val="32"/>
          <w:szCs w:val="32"/>
        </w:rPr>
        <w:t>0.64</w:t>
      </w:r>
      <w:r>
        <w:rPr>
          <w:rFonts w:hAnsi="仿宋" w:eastAsia="仿宋"/>
          <w:sz w:val="32"/>
          <w:szCs w:val="32"/>
        </w:rPr>
        <w:t>万元，完成预算</w:t>
      </w:r>
      <w:r>
        <w:rPr>
          <w:rFonts w:eastAsia="仿宋"/>
          <w:sz w:val="32"/>
          <w:szCs w:val="32"/>
        </w:rPr>
        <w:t>100%</w:t>
      </w:r>
      <w:r>
        <w:rPr>
          <w:rFonts w:hAnsi="仿宋" w:eastAsia="仿宋"/>
          <w:sz w:val="32"/>
          <w:szCs w:val="32"/>
        </w:rPr>
        <w:t>。较上年增加</w:t>
      </w:r>
      <w:r>
        <w:rPr>
          <w:rFonts w:eastAsia="仿宋"/>
          <w:sz w:val="32"/>
          <w:szCs w:val="32"/>
        </w:rPr>
        <w:t>0.3</w:t>
      </w:r>
      <w:r>
        <w:rPr>
          <w:rFonts w:hAnsi="仿宋" w:eastAsia="仿宋"/>
          <w:sz w:val="32"/>
          <w:szCs w:val="32"/>
        </w:rPr>
        <w:t>万元，增长</w:t>
      </w:r>
      <w:r>
        <w:rPr>
          <w:rFonts w:eastAsia="仿宋"/>
          <w:sz w:val="32"/>
          <w:szCs w:val="32"/>
        </w:rPr>
        <w:t>88%</w:t>
      </w:r>
      <w:r>
        <w:rPr>
          <w:rFonts w:hAnsi="仿宋" w:eastAsia="仿宋"/>
          <w:sz w:val="32"/>
          <w:szCs w:val="32"/>
        </w:rPr>
        <w:t>。决算数小于预算数的主要原因是三公经费进行了一次压减。</w:t>
      </w:r>
    </w:p>
    <w:p>
      <w:pPr>
        <w:spacing w:line="576" w:lineRule="exact"/>
        <w:ind w:firstLine="640" w:firstLineChars="200"/>
        <w:outlineLvl w:val="2"/>
        <w:rPr>
          <w:rFonts w:eastAsia="仿宋"/>
          <w:b/>
          <w:sz w:val="32"/>
          <w:szCs w:val="32"/>
        </w:rPr>
      </w:pPr>
      <w:bookmarkStart w:id="44" w:name="_Toc15377217"/>
      <w:r>
        <w:rPr>
          <w:rFonts w:hAnsi="仿宋" w:eastAsia="仿宋"/>
          <w:b/>
          <w:sz w:val="32"/>
          <w:szCs w:val="32"/>
        </w:rPr>
        <w:t>（二）</w:t>
      </w:r>
      <w:r>
        <w:rPr>
          <w:rFonts w:eastAsia="仿宋"/>
          <w:b/>
          <w:sz w:val="32"/>
          <w:szCs w:val="32"/>
        </w:rPr>
        <w:t>“</w:t>
      </w:r>
      <w:r>
        <w:rPr>
          <w:rFonts w:hAnsi="仿宋" w:eastAsia="仿宋"/>
          <w:b/>
          <w:sz w:val="32"/>
          <w:szCs w:val="32"/>
        </w:rPr>
        <w:t>三公</w:t>
      </w:r>
      <w:r>
        <w:rPr>
          <w:rFonts w:eastAsia="仿宋"/>
          <w:b/>
          <w:sz w:val="32"/>
          <w:szCs w:val="32"/>
        </w:rPr>
        <w:t>”</w:t>
      </w:r>
      <w:r>
        <w:rPr>
          <w:rFonts w:hAnsi="仿宋" w:eastAsia="仿宋"/>
          <w:b/>
          <w:sz w:val="32"/>
          <w:szCs w:val="32"/>
        </w:rPr>
        <w:t>经费财政拨款支出决算具体情况说明</w:t>
      </w:r>
      <w:bookmarkEnd w:id="44"/>
    </w:p>
    <w:p>
      <w:pPr>
        <w:spacing w:line="576" w:lineRule="exact"/>
        <w:ind w:firstLine="640" w:firstLineChars="200"/>
        <w:rPr>
          <w:rFonts w:eastAsia="仿宋"/>
          <w:sz w:val="32"/>
          <w:szCs w:val="32"/>
        </w:rPr>
      </w:pPr>
      <w:r>
        <w:rPr>
          <w:rFonts w:eastAsia="仿宋"/>
          <w:sz w:val="32"/>
          <w:szCs w:val="32"/>
        </w:rPr>
        <w:t>2022</w:t>
      </w:r>
      <w:r>
        <w:rPr>
          <w:rFonts w:hAnsi="仿宋" w:eastAsia="仿宋"/>
          <w:sz w:val="32"/>
          <w:szCs w:val="32"/>
        </w:rPr>
        <w:t>年</w:t>
      </w:r>
      <w:r>
        <w:rPr>
          <w:rFonts w:eastAsia="仿宋"/>
          <w:sz w:val="32"/>
          <w:szCs w:val="32"/>
        </w:rPr>
        <w:t>“</w:t>
      </w:r>
      <w:r>
        <w:rPr>
          <w:rFonts w:hAnsi="仿宋" w:eastAsia="仿宋"/>
          <w:sz w:val="32"/>
          <w:szCs w:val="32"/>
        </w:rPr>
        <w:t>三公</w:t>
      </w:r>
      <w:r>
        <w:rPr>
          <w:rFonts w:eastAsia="仿宋"/>
          <w:sz w:val="32"/>
          <w:szCs w:val="32"/>
        </w:rPr>
        <w:t>”</w:t>
      </w:r>
      <w:r>
        <w:rPr>
          <w:rFonts w:hAnsi="仿宋" w:eastAsia="仿宋"/>
          <w:sz w:val="32"/>
          <w:szCs w:val="32"/>
        </w:rPr>
        <w:t>经费财政拨款支出决算中，因公出国（境）费支出决算</w:t>
      </w:r>
      <w:r>
        <w:rPr>
          <w:rFonts w:eastAsia="仿宋"/>
          <w:sz w:val="32"/>
          <w:szCs w:val="32"/>
        </w:rPr>
        <w:t>0</w:t>
      </w:r>
      <w:r>
        <w:rPr>
          <w:rFonts w:hAnsi="仿宋" w:eastAsia="仿宋"/>
          <w:sz w:val="32"/>
          <w:szCs w:val="32"/>
        </w:rPr>
        <w:t>万元，占</w:t>
      </w:r>
      <w:r>
        <w:rPr>
          <w:rFonts w:eastAsia="仿宋"/>
          <w:sz w:val="32"/>
          <w:szCs w:val="32"/>
        </w:rPr>
        <w:t>0%</w:t>
      </w:r>
      <w:r>
        <w:rPr>
          <w:rFonts w:hAnsi="仿宋" w:eastAsia="仿宋"/>
          <w:sz w:val="32"/>
          <w:szCs w:val="32"/>
        </w:rPr>
        <w:t>；公务用车购置及运行维护费支出决算</w:t>
      </w:r>
      <w:r>
        <w:rPr>
          <w:rFonts w:eastAsia="仿宋"/>
          <w:sz w:val="32"/>
          <w:szCs w:val="32"/>
        </w:rPr>
        <w:t>0</w:t>
      </w:r>
      <w:r>
        <w:rPr>
          <w:rFonts w:hAnsi="仿宋" w:eastAsia="仿宋"/>
          <w:sz w:val="32"/>
          <w:szCs w:val="32"/>
        </w:rPr>
        <w:t>万元，占</w:t>
      </w:r>
      <w:r>
        <w:rPr>
          <w:rFonts w:eastAsia="仿宋"/>
          <w:sz w:val="32"/>
          <w:szCs w:val="32"/>
        </w:rPr>
        <w:t>0%</w:t>
      </w:r>
      <w:r>
        <w:rPr>
          <w:rFonts w:hAnsi="仿宋" w:eastAsia="仿宋"/>
          <w:sz w:val="32"/>
          <w:szCs w:val="32"/>
        </w:rPr>
        <w:t>；公务接待费支出决算</w:t>
      </w:r>
      <w:r>
        <w:rPr>
          <w:rStyle w:val="17"/>
          <w:rFonts w:eastAsia="仿宋"/>
          <w:b w:val="0"/>
          <w:bCs/>
          <w:sz w:val="32"/>
          <w:szCs w:val="32"/>
        </w:rPr>
        <w:t>0.64</w:t>
      </w:r>
      <w:r>
        <w:rPr>
          <w:rFonts w:hAnsi="仿宋" w:eastAsia="仿宋"/>
          <w:sz w:val="32"/>
          <w:szCs w:val="32"/>
        </w:rPr>
        <w:t>万元，占</w:t>
      </w:r>
      <w:r>
        <w:rPr>
          <w:rFonts w:eastAsia="仿宋"/>
          <w:sz w:val="32"/>
          <w:szCs w:val="32"/>
        </w:rPr>
        <w:t>100%</w:t>
      </w:r>
      <w:r>
        <w:rPr>
          <w:rFonts w:hAnsi="仿宋" w:eastAsia="仿宋"/>
          <w:sz w:val="32"/>
          <w:szCs w:val="32"/>
        </w:rPr>
        <w:t>。具体情况如下：</w:t>
      </w:r>
    </w:p>
    <w:p>
      <w:pPr>
        <w:spacing w:line="576" w:lineRule="exact"/>
        <w:ind w:firstLine="640" w:firstLineChars="200"/>
        <w:rPr>
          <w:rFonts w:eastAsia="仿宋"/>
          <w:sz w:val="32"/>
          <w:szCs w:val="32"/>
        </w:rPr>
      </w:pPr>
      <w:r>
        <w:rPr>
          <w:rFonts w:hAnsi="仿宋" w:eastAsia="仿宋"/>
          <w:sz w:val="32"/>
          <w:szCs w:val="32"/>
        </w:rPr>
        <w:t>（图</w:t>
      </w:r>
      <w:r>
        <w:rPr>
          <w:rFonts w:eastAsia="仿宋"/>
          <w:sz w:val="32"/>
          <w:szCs w:val="32"/>
        </w:rPr>
        <w:t>7</w:t>
      </w:r>
      <w:r>
        <w:rPr>
          <w:rFonts w:hAnsi="仿宋" w:eastAsia="仿宋"/>
          <w:sz w:val="32"/>
          <w:szCs w:val="32"/>
        </w:rPr>
        <w:t>：</w:t>
      </w:r>
      <w:r>
        <w:rPr>
          <w:rFonts w:eastAsia="仿宋"/>
          <w:sz w:val="32"/>
          <w:szCs w:val="32"/>
        </w:rPr>
        <w:t>“</w:t>
      </w:r>
      <w:r>
        <w:rPr>
          <w:rFonts w:hAnsi="仿宋" w:eastAsia="仿宋"/>
          <w:sz w:val="32"/>
          <w:szCs w:val="32"/>
        </w:rPr>
        <w:t>三公</w:t>
      </w:r>
      <w:r>
        <w:rPr>
          <w:rFonts w:eastAsia="仿宋"/>
          <w:sz w:val="32"/>
          <w:szCs w:val="32"/>
        </w:rPr>
        <w:t>”</w:t>
      </w:r>
      <w:r>
        <w:rPr>
          <w:rFonts w:hAnsi="仿宋" w:eastAsia="仿宋"/>
          <w:sz w:val="32"/>
          <w:szCs w:val="32"/>
        </w:rPr>
        <w:t>经费财政拨款支出结构）（饼状图）</w:t>
      </w:r>
    </w:p>
    <w:p>
      <w:pPr>
        <w:jc w:val="center"/>
        <w:rPr>
          <w:rFonts w:eastAsia="仿宋"/>
          <w:sz w:val="32"/>
          <w:szCs w:val="32"/>
        </w:rPr>
      </w:pPr>
      <w:r>
        <w:rPr>
          <w:rFonts w:eastAsia="仿宋"/>
          <w:sz w:val="32"/>
          <w:szCs w:val="32"/>
        </w:rPr>
        <w:drawing>
          <wp:inline distT="0" distB="0" distL="114300" distR="114300">
            <wp:extent cx="5221605" cy="2080895"/>
            <wp:effectExtent l="4445" t="4445" r="12700" b="10160"/>
            <wp:docPr id="290"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76" w:lineRule="exact"/>
        <w:ind w:firstLine="640" w:firstLineChars="200"/>
      </w:pPr>
      <w:bookmarkStart w:id="45" w:name="_Toc15396610"/>
      <w:bookmarkStart w:id="46" w:name="_Toc15377218"/>
      <w:r>
        <w:rPr>
          <w:rFonts w:eastAsia="仿宋_GB2312"/>
          <w:b/>
          <w:sz w:val="32"/>
          <w:szCs w:val="32"/>
        </w:rPr>
        <w:t>1.因公出国（境）经费支出</w:t>
      </w:r>
      <w:r>
        <w:rPr>
          <w:rFonts w:eastAsia="仿宋_GB2312"/>
          <w:sz w:val="32"/>
          <w:szCs w:val="32"/>
        </w:rPr>
        <w:t>0万元，年初未安排预算，因公出国（境）支出决算较2021年无变化。</w:t>
      </w:r>
    </w:p>
    <w:p>
      <w:pPr>
        <w:spacing w:line="576" w:lineRule="exact"/>
        <w:ind w:firstLine="640" w:firstLineChars="200"/>
        <w:rPr>
          <w:rFonts w:eastAsia="仿宋_GB2312"/>
          <w:b/>
          <w:sz w:val="32"/>
          <w:szCs w:val="32"/>
        </w:rPr>
      </w:pPr>
      <w:r>
        <w:rPr>
          <w:rFonts w:eastAsia="仿宋_GB2312"/>
          <w:b/>
          <w:sz w:val="32"/>
          <w:szCs w:val="32"/>
        </w:rPr>
        <w:t>2.公务用车购置及运行维护费支出0</w:t>
      </w:r>
      <w:r>
        <w:rPr>
          <w:rFonts w:eastAsia="仿宋_GB2312"/>
          <w:sz w:val="32"/>
          <w:szCs w:val="32"/>
        </w:rPr>
        <w:t>万元,年初未安排预算，公务用车购置及运行维护费支出决算较2021年无变化。</w:t>
      </w:r>
    </w:p>
    <w:p>
      <w:pPr>
        <w:spacing w:line="576" w:lineRule="exact"/>
        <w:ind w:firstLine="640" w:firstLineChars="200"/>
        <w:rPr>
          <w:rFonts w:eastAsia="仿宋_GB2312"/>
          <w:sz w:val="32"/>
          <w:szCs w:val="32"/>
        </w:rPr>
      </w:pPr>
      <w:r>
        <w:rPr>
          <w:rFonts w:eastAsia="仿宋_GB2312"/>
          <w:sz w:val="32"/>
          <w:szCs w:val="32"/>
        </w:rPr>
        <w:t>其中：</w:t>
      </w:r>
      <w:r>
        <w:rPr>
          <w:rFonts w:eastAsia="仿宋_GB2312"/>
          <w:b/>
          <w:sz w:val="32"/>
          <w:szCs w:val="32"/>
        </w:rPr>
        <w:t>公务用车购置支出0</w:t>
      </w:r>
      <w:r>
        <w:rPr>
          <w:rFonts w:eastAsia="仿宋_GB2312"/>
          <w:sz w:val="32"/>
          <w:szCs w:val="32"/>
        </w:rPr>
        <w:t>万元。全年按规定更新购置公务用车0辆。在公务用车制度改革后，不允许单位购买公务用车。因公出差向机关事务局申请公务用车，公务用车有保障。</w:t>
      </w:r>
    </w:p>
    <w:p>
      <w:pPr>
        <w:spacing w:line="576" w:lineRule="exact"/>
        <w:ind w:firstLine="640" w:firstLineChars="200"/>
        <w:rPr>
          <w:rFonts w:eastAsia="仿宋_GB2312"/>
          <w:sz w:val="32"/>
          <w:szCs w:val="32"/>
        </w:rPr>
      </w:pPr>
      <w:r>
        <w:rPr>
          <w:rFonts w:eastAsia="仿宋_GB2312"/>
          <w:b/>
          <w:sz w:val="32"/>
          <w:szCs w:val="32"/>
        </w:rPr>
        <w:t>公务用车运行维护费支出0</w:t>
      </w:r>
      <w:r>
        <w:rPr>
          <w:rFonts w:eastAsia="仿宋_GB2312"/>
          <w:sz w:val="32"/>
          <w:szCs w:val="32"/>
        </w:rPr>
        <w:t>万元。</w:t>
      </w:r>
    </w:p>
    <w:p>
      <w:pPr>
        <w:spacing w:line="576" w:lineRule="exact"/>
        <w:ind w:firstLine="640" w:firstLineChars="200"/>
        <w:rPr>
          <w:rStyle w:val="17"/>
          <w:rFonts w:eastAsia="仿宋"/>
          <w:b w:val="0"/>
          <w:bCs/>
          <w:sz w:val="32"/>
          <w:szCs w:val="32"/>
        </w:rPr>
      </w:pPr>
      <w:r>
        <w:rPr>
          <w:rFonts w:eastAsia="仿宋_GB2312"/>
          <w:b/>
          <w:sz w:val="32"/>
          <w:szCs w:val="32"/>
        </w:rPr>
        <w:t>3.公务接待费支出</w:t>
      </w:r>
      <w:r>
        <w:rPr>
          <w:rFonts w:eastAsia="仿宋_GB2312"/>
          <w:sz w:val="32"/>
          <w:szCs w:val="32"/>
        </w:rPr>
        <w:t>0.64万元，</w:t>
      </w:r>
      <w:r>
        <w:rPr>
          <w:rStyle w:val="17"/>
          <w:rFonts w:hAnsi="仿宋" w:eastAsia="仿宋"/>
          <w:b w:val="0"/>
          <w:bCs/>
          <w:sz w:val="32"/>
          <w:szCs w:val="32"/>
        </w:rPr>
        <w:t>完成预算</w:t>
      </w:r>
      <w:r>
        <w:rPr>
          <w:rStyle w:val="17"/>
          <w:rFonts w:eastAsia="仿宋"/>
          <w:b w:val="0"/>
          <w:bCs/>
          <w:sz w:val="32"/>
          <w:szCs w:val="32"/>
        </w:rPr>
        <w:t>100%</w:t>
      </w:r>
      <w:r>
        <w:rPr>
          <w:rStyle w:val="17"/>
          <w:rFonts w:hAnsi="仿宋" w:eastAsia="仿宋"/>
          <w:b w:val="0"/>
          <w:bCs/>
          <w:sz w:val="32"/>
          <w:szCs w:val="32"/>
        </w:rPr>
        <w:t>。</w:t>
      </w:r>
      <w:r>
        <w:rPr>
          <w:rFonts w:eastAsia="仿宋_GB2312"/>
          <w:sz w:val="32"/>
          <w:szCs w:val="32"/>
        </w:rPr>
        <w:t>公务接待费支出决算比2021年增加0.3万元，增加88%。</w:t>
      </w:r>
      <w:r>
        <w:rPr>
          <w:rStyle w:val="17"/>
          <w:rFonts w:hAnsi="仿宋" w:eastAsia="仿宋"/>
          <w:b w:val="0"/>
          <w:bCs/>
          <w:sz w:val="32"/>
          <w:szCs w:val="32"/>
        </w:rPr>
        <w:t>增加的主要原因是招商引资及市级调研的任务加重。</w:t>
      </w:r>
    </w:p>
    <w:p>
      <w:pPr>
        <w:spacing w:line="576" w:lineRule="exact"/>
        <w:ind w:firstLine="640" w:firstLineChars="200"/>
        <w:rPr>
          <w:rFonts w:eastAsia="仿宋_GB2312"/>
          <w:sz w:val="32"/>
          <w:szCs w:val="32"/>
        </w:rPr>
      </w:pPr>
      <w:r>
        <w:rPr>
          <w:rFonts w:eastAsia="仿宋_GB2312"/>
          <w:sz w:val="32"/>
          <w:szCs w:val="32"/>
        </w:rPr>
        <w:t>其中：</w:t>
      </w:r>
    </w:p>
    <w:p>
      <w:pPr>
        <w:spacing w:line="576" w:lineRule="exact"/>
        <w:ind w:firstLine="640" w:firstLineChars="200"/>
        <w:rPr>
          <w:rFonts w:eastAsia="仿宋_GB2312"/>
          <w:sz w:val="32"/>
          <w:szCs w:val="32"/>
        </w:rPr>
      </w:pPr>
      <w:r>
        <w:rPr>
          <w:rFonts w:hAnsi="仿宋" w:eastAsia="仿宋"/>
          <w:b/>
          <w:sz w:val="32"/>
          <w:szCs w:val="32"/>
        </w:rPr>
        <w:t>国内公务接待支出</w:t>
      </w:r>
      <w:r>
        <w:rPr>
          <w:rFonts w:eastAsia="仿宋"/>
          <w:sz w:val="32"/>
          <w:szCs w:val="32"/>
        </w:rPr>
        <w:t>0.64</w:t>
      </w:r>
      <w:r>
        <w:rPr>
          <w:rFonts w:eastAsia="仿宋_GB2312"/>
          <w:sz w:val="32"/>
          <w:szCs w:val="32"/>
        </w:rPr>
        <w:t>万元，主要用于执行公务、开展招商引资业务活动开支的交通费、住宿费、用餐费等。国内公务接待10批次，90人次（不包括陪同人员），共计支出0.64万元。</w:t>
      </w:r>
    </w:p>
    <w:p>
      <w:pPr>
        <w:spacing w:line="576" w:lineRule="exact"/>
        <w:ind w:firstLine="640" w:firstLineChars="200"/>
        <w:rPr>
          <w:rFonts w:eastAsia="黑体"/>
          <w:sz w:val="32"/>
          <w:szCs w:val="32"/>
        </w:rPr>
      </w:pPr>
      <w:r>
        <w:rPr>
          <w:rFonts w:hAnsi="仿宋" w:eastAsia="仿宋"/>
          <w:b/>
          <w:sz w:val="32"/>
          <w:szCs w:val="32"/>
        </w:rPr>
        <w:t>外事接待支出</w:t>
      </w:r>
      <w:r>
        <w:rPr>
          <w:rFonts w:eastAsia="仿宋"/>
          <w:b/>
          <w:sz w:val="32"/>
          <w:szCs w:val="32"/>
        </w:rPr>
        <w:t>0</w:t>
      </w:r>
      <w:r>
        <w:rPr>
          <w:rFonts w:eastAsia="仿宋_GB2312"/>
          <w:sz w:val="32"/>
          <w:szCs w:val="32"/>
        </w:rPr>
        <w:t>万元，外事接待0批次，0人，共计支出0万元。</w:t>
      </w:r>
    </w:p>
    <w:p>
      <w:pPr>
        <w:spacing w:line="576" w:lineRule="exact"/>
        <w:ind w:firstLine="640" w:firstLineChars="200"/>
        <w:outlineLvl w:val="1"/>
        <w:rPr>
          <w:rStyle w:val="30"/>
          <w:rFonts w:ascii="Times New Roman" w:hAnsi="Times New Roman" w:eastAsia="黑体" w:cs="Times New Roman"/>
        </w:rPr>
      </w:pPr>
      <w:r>
        <w:rPr>
          <w:rFonts w:eastAsia="黑体"/>
          <w:sz w:val="32"/>
          <w:szCs w:val="32"/>
        </w:rPr>
        <w:t>八、</w:t>
      </w:r>
      <w:r>
        <w:rPr>
          <w:rStyle w:val="30"/>
          <w:rFonts w:ascii="Times New Roman" w:hAnsi="黑体" w:eastAsia="黑体" w:cs="Times New Roman"/>
          <w:b w:val="0"/>
        </w:rPr>
        <w:t>政府性基金预算支出决算情况说明</w:t>
      </w:r>
      <w:bookmarkEnd w:id="45"/>
      <w:bookmarkEnd w:id="46"/>
    </w:p>
    <w:p>
      <w:pPr>
        <w:spacing w:line="576" w:lineRule="exact"/>
        <w:ind w:firstLine="640" w:firstLineChars="200"/>
        <w:rPr>
          <w:rFonts w:eastAsia="仿宋_GB2312"/>
          <w:sz w:val="32"/>
          <w:szCs w:val="32"/>
        </w:rPr>
      </w:pPr>
      <w:bookmarkStart w:id="47" w:name="_Toc15396611"/>
      <w:bookmarkStart w:id="48" w:name="_Toc15377219"/>
      <w:r>
        <w:rPr>
          <w:rFonts w:eastAsia="仿宋_GB2312"/>
          <w:sz w:val="32"/>
          <w:szCs w:val="32"/>
        </w:rPr>
        <w:t>2022年政府性基金预算财政拨款支出0万元。</w:t>
      </w:r>
    </w:p>
    <w:p>
      <w:pPr>
        <w:numPr>
          <w:ilvl w:val="0"/>
          <w:numId w:val="3"/>
        </w:numPr>
        <w:spacing w:line="576" w:lineRule="exact"/>
        <w:ind w:firstLine="640" w:firstLineChars="200"/>
        <w:outlineLvl w:val="1"/>
        <w:rPr>
          <w:rStyle w:val="30"/>
          <w:rFonts w:ascii="Times New Roman" w:hAnsi="Times New Roman" w:eastAsia="黑体" w:cs="Times New Roman"/>
          <w:b w:val="0"/>
        </w:rPr>
      </w:pPr>
      <w:r>
        <w:rPr>
          <w:rStyle w:val="30"/>
          <w:rFonts w:ascii="Times New Roman" w:hAnsi="黑体" w:eastAsia="黑体" w:cs="Times New Roman"/>
          <w:b w:val="0"/>
        </w:rPr>
        <w:t>国有资本经营预算支出决算情况说明</w:t>
      </w:r>
      <w:bookmarkEnd w:id="47"/>
      <w:bookmarkEnd w:id="48"/>
    </w:p>
    <w:p>
      <w:pPr>
        <w:spacing w:line="576" w:lineRule="exact"/>
        <w:ind w:firstLine="640" w:firstLineChars="200"/>
        <w:rPr>
          <w:rFonts w:eastAsia="方正小标宋简体"/>
          <w:sz w:val="44"/>
          <w:szCs w:val="44"/>
        </w:rPr>
      </w:pPr>
      <w:r>
        <w:rPr>
          <w:rFonts w:eastAsia="仿宋_GB2312"/>
          <w:sz w:val="32"/>
          <w:szCs w:val="32"/>
        </w:rPr>
        <w:t>2022年国有资本经营预算财政拨款支出0万元。</w:t>
      </w:r>
    </w:p>
    <w:p>
      <w:pPr>
        <w:numPr>
          <w:ilvl w:val="0"/>
          <w:numId w:val="3"/>
        </w:numPr>
        <w:spacing w:line="576" w:lineRule="exact"/>
        <w:ind w:firstLine="640" w:firstLineChars="200"/>
        <w:outlineLvl w:val="1"/>
        <w:rPr>
          <w:rStyle w:val="30"/>
          <w:rFonts w:ascii="Times New Roman" w:hAnsi="Times New Roman" w:eastAsia="黑体" w:cs="Times New Roman"/>
          <w:b w:val="0"/>
        </w:rPr>
      </w:pPr>
      <w:bookmarkStart w:id="49" w:name="_Toc15396612"/>
      <w:bookmarkStart w:id="50" w:name="_Toc15377221"/>
      <w:r>
        <w:rPr>
          <w:rStyle w:val="30"/>
          <w:rFonts w:ascii="Times New Roman" w:hAnsi="黑体" w:eastAsia="黑体" w:cs="Times New Roman"/>
          <w:b w:val="0"/>
        </w:rPr>
        <w:t>其他重要事项的情况说明</w:t>
      </w:r>
      <w:bookmarkEnd w:id="49"/>
      <w:bookmarkEnd w:id="50"/>
    </w:p>
    <w:p>
      <w:pPr>
        <w:spacing w:line="576" w:lineRule="exact"/>
        <w:ind w:firstLine="640" w:firstLineChars="200"/>
        <w:outlineLvl w:val="2"/>
        <w:rPr>
          <w:rFonts w:eastAsia="仿宋"/>
          <w:sz w:val="32"/>
          <w:szCs w:val="32"/>
        </w:rPr>
      </w:pPr>
      <w:bookmarkStart w:id="51" w:name="_Toc15377222"/>
      <w:r>
        <w:rPr>
          <w:rFonts w:hAnsi="仿宋" w:eastAsia="仿宋"/>
          <w:b/>
          <w:sz w:val="32"/>
          <w:szCs w:val="32"/>
        </w:rPr>
        <w:t>（一）机关运行经费支出情况</w:t>
      </w:r>
      <w:bookmarkEnd w:id="51"/>
    </w:p>
    <w:p>
      <w:pPr>
        <w:spacing w:line="576" w:lineRule="exact"/>
        <w:ind w:firstLine="640" w:firstLineChars="200"/>
        <w:rPr>
          <w:rFonts w:eastAsia="仿宋"/>
          <w:b/>
          <w:sz w:val="32"/>
          <w:szCs w:val="32"/>
        </w:rPr>
      </w:pPr>
      <w:r>
        <w:rPr>
          <w:rFonts w:eastAsia="仿宋_GB2312"/>
          <w:sz w:val="32"/>
          <w:szCs w:val="32"/>
        </w:rPr>
        <w:t>2022年，区妇联机关运行经费支出29.74万元，比2021年增加2.27万元，上升0.8%。主要原因是新增家庭教育工作经费支出。</w:t>
      </w:r>
    </w:p>
    <w:p>
      <w:pPr>
        <w:autoSpaceDE w:val="0"/>
        <w:autoSpaceDN w:val="0"/>
        <w:adjustRightInd w:val="0"/>
        <w:spacing w:line="576" w:lineRule="exact"/>
        <w:ind w:firstLine="640" w:firstLineChars="200"/>
        <w:outlineLvl w:val="2"/>
        <w:rPr>
          <w:rFonts w:eastAsia="仿宋"/>
          <w:b/>
          <w:sz w:val="32"/>
          <w:szCs w:val="32"/>
        </w:rPr>
      </w:pPr>
      <w:bookmarkStart w:id="52" w:name="_Toc15377223"/>
      <w:r>
        <w:rPr>
          <w:rFonts w:hAnsi="仿宋" w:eastAsia="仿宋"/>
          <w:b/>
          <w:sz w:val="32"/>
          <w:szCs w:val="32"/>
        </w:rPr>
        <w:t>（二）政府采购支出情况</w:t>
      </w:r>
      <w:bookmarkEnd w:id="52"/>
    </w:p>
    <w:p>
      <w:pPr>
        <w:spacing w:line="576" w:lineRule="exact"/>
        <w:ind w:firstLine="640" w:firstLineChars="200"/>
        <w:rPr>
          <w:rFonts w:eastAsia="仿宋"/>
          <w:b/>
          <w:sz w:val="32"/>
          <w:szCs w:val="32"/>
        </w:rPr>
      </w:pPr>
      <w:r>
        <w:rPr>
          <w:rFonts w:eastAsia="仿宋_GB2312"/>
          <w:sz w:val="32"/>
          <w:szCs w:val="32"/>
        </w:rPr>
        <w:t>2022年，我会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576" w:lineRule="exact"/>
        <w:ind w:firstLine="640" w:firstLineChars="200"/>
        <w:outlineLvl w:val="2"/>
        <w:rPr>
          <w:rFonts w:eastAsia="仿宋"/>
          <w:b/>
          <w:sz w:val="32"/>
          <w:szCs w:val="32"/>
        </w:rPr>
      </w:pPr>
      <w:bookmarkStart w:id="53" w:name="_Toc15377224"/>
      <w:r>
        <w:rPr>
          <w:rFonts w:hAnsi="仿宋" w:eastAsia="仿宋"/>
          <w:b/>
          <w:sz w:val="32"/>
          <w:szCs w:val="32"/>
        </w:rPr>
        <w:t>（三）国有资产占有使用情况</w:t>
      </w:r>
      <w:bookmarkEnd w:id="53"/>
    </w:p>
    <w:p>
      <w:pPr>
        <w:autoSpaceDE w:val="0"/>
        <w:autoSpaceDN w:val="0"/>
        <w:adjustRightInd w:val="0"/>
        <w:spacing w:line="576" w:lineRule="exact"/>
        <w:ind w:firstLine="640" w:firstLineChars="200"/>
        <w:rPr>
          <w:rFonts w:eastAsia="仿宋"/>
          <w:b/>
          <w:sz w:val="32"/>
          <w:szCs w:val="32"/>
        </w:rPr>
      </w:pPr>
      <w:r>
        <w:rPr>
          <w:rFonts w:eastAsia="仿宋_GB2312"/>
          <w:sz w:val="32"/>
          <w:szCs w:val="32"/>
        </w:rPr>
        <w:t>截至2022年12月31日，我会共有车辆0辆，其中：主要领导干部用车0辆、机要通信用车0辆、应急保障用车0辆、其他用车0辆，单价50万元以上通用设备0台（套），单价100万元以上专用设备0台（套）。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576" w:lineRule="exact"/>
        <w:ind w:firstLine="640" w:firstLineChars="200"/>
        <w:outlineLvl w:val="2"/>
        <w:rPr>
          <w:rFonts w:eastAsia="仿宋"/>
          <w:b/>
          <w:sz w:val="32"/>
          <w:szCs w:val="32"/>
        </w:rPr>
      </w:pPr>
      <w:r>
        <w:rPr>
          <w:rFonts w:hAnsi="仿宋" w:eastAsia="仿宋"/>
          <w:b/>
          <w:sz w:val="32"/>
          <w:szCs w:val="32"/>
        </w:rPr>
        <w:t>（四）预算绩效管理情况</w:t>
      </w:r>
    </w:p>
    <w:p>
      <w:pPr>
        <w:widowControl/>
        <w:spacing w:line="576" w:lineRule="exact"/>
        <w:ind w:firstLine="640" w:firstLineChars="200"/>
        <w:rPr>
          <w:rFonts w:eastAsia="仿宋_GB2312"/>
          <w:sz w:val="32"/>
          <w:szCs w:val="32"/>
        </w:rPr>
      </w:pPr>
      <w:r>
        <w:rPr>
          <w:rFonts w:hAnsi="仿宋_GB2312" w:eastAsia="仿宋_GB2312"/>
          <w:sz w:val="32"/>
          <w:szCs w:val="32"/>
        </w:rPr>
        <w:t>根据预算绩效管理要求，本单位在</w:t>
      </w:r>
      <w:r>
        <w:rPr>
          <w:rFonts w:eastAsia="仿宋_GB2312"/>
          <w:sz w:val="32"/>
          <w:szCs w:val="32"/>
        </w:rPr>
        <w:t>2022</w:t>
      </w:r>
      <w:r>
        <w:rPr>
          <w:rFonts w:hAnsi="仿宋_GB2312" w:eastAsia="仿宋_GB2312"/>
          <w:sz w:val="32"/>
          <w:szCs w:val="32"/>
        </w:rPr>
        <w:t>年度预算编制阶段，组织对东西部协作</w:t>
      </w:r>
      <w:r>
        <w:rPr>
          <w:rFonts w:eastAsia="仿宋_GB2312"/>
          <w:sz w:val="32"/>
          <w:szCs w:val="32"/>
        </w:rPr>
        <w:t>“</w:t>
      </w:r>
      <w:r>
        <w:rPr>
          <w:rFonts w:hAnsi="仿宋_GB2312" w:eastAsia="仿宋_GB2312"/>
          <w:sz w:val="32"/>
          <w:szCs w:val="32"/>
        </w:rPr>
        <w:t>来料加工</w:t>
      </w:r>
      <w:r>
        <w:rPr>
          <w:rFonts w:eastAsia="仿宋_GB2312"/>
          <w:sz w:val="32"/>
          <w:szCs w:val="32"/>
        </w:rPr>
        <w:t>”</w:t>
      </w:r>
      <w:r>
        <w:rPr>
          <w:rFonts w:hAnsi="仿宋_GB2312" w:eastAsia="仿宋_GB2312"/>
          <w:sz w:val="32"/>
          <w:szCs w:val="32"/>
        </w:rPr>
        <w:t>车间项目</w:t>
      </w:r>
      <w:r>
        <w:rPr>
          <w:rFonts w:eastAsia="仿宋_GB2312"/>
          <w:sz w:val="32"/>
          <w:szCs w:val="32"/>
        </w:rPr>
        <w:t>1</w:t>
      </w:r>
      <w:r>
        <w:rPr>
          <w:rFonts w:hAnsi="仿宋_GB2312" w:eastAsia="仿宋_GB2312"/>
          <w:sz w:val="32"/>
          <w:szCs w:val="32"/>
        </w:rPr>
        <w:t>个项目开展了预算事前绩效评估，对</w:t>
      </w:r>
      <w:r>
        <w:rPr>
          <w:rFonts w:eastAsia="仿宋_GB2312"/>
          <w:sz w:val="32"/>
          <w:szCs w:val="32"/>
        </w:rPr>
        <w:t>1</w:t>
      </w:r>
      <w:r>
        <w:rPr>
          <w:rFonts w:hAnsi="仿宋_GB2312" w:eastAsia="仿宋_GB2312"/>
          <w:sz w:val="32"/>
          <w:szCs w:val="32"/>
        </w:rPr>
        <w:t>个项目编制了绩效目标，预算执行过程中，选取</w:t>
      </w:r>
      <w:r>
        <w:rPr>
          <w:rFonts w:eastAsia="仿宋_GB2312"/>
          <w:sz w:val="32"/>
          <w:szCs w:val="32"/>
        </w:rPr>
        <w:t>1</w:t>
      </w:r>
      <w:r>
        <w:rPr>
          <w:rFonts w:hAnsi="仿宋_GB2312" w:eastAsia="仿宋_GB2312"/>
          <w:sz w:val="32"/>
          <w:szCs w:val="32"/>
        </w:rPr>
        <w:t>个项目开展绩效监控，年终执行完毕后，对</w:t>
      </w:r>
      <w:r>
        <w:rPr>
          <w:rFonts w:eastAsia="仿宋_GB2312"/>
          <w:sz w:val="32"/>
          <w:szCs w:val="32"/>
        </w:rPr>
        <w:t>1</w:t>
      </w:r>
      <w:r>
        <w:rPr>
          <w:rFonts w:hAnsi="仿宋_GB2312" w:eastAsia="仿宋_GB2312"/>
          <w:sz w:val="32"/>
          <w:szCs w:val="32"/>
        </w:rPr>
        <w:t>个项目开展了绩效自评，绩效自评报告详见附件。</w:t>
      </w:r>
    </w:p>
    <w:p>
      <w:pPr>
        <w:pStyle w:val="5"/>
        <w:spacing w:before="93" w:line="576" w:lineRule="exact"/>
        <w:ind w:firstLine="640" w:firstLineChars="200"/>
        <w:rPr>
          <w:rFonts w:ascii="Times New Roman"/>
          <w:sz w:val="32"/>
          <w:szCs w:val="32"/>
        </w:rPr>
      </w:pPr>
    </w:p>
    <w:p>
      <w:pPr>
        <w:pStyle w:val="5"/>
        <w:spacing w:before="93" w:line="576" w:lineRule="exact"/>
        <w:ind w:firstLine="640" w:firstLineChars="200"/>
        <w:rPr>
          <w:rFonts w:ascii="Times New Roman"/>
          <w:sz w:val="32"/>
          <w:szCs w:val="32"/>
        </w:rPr>
      </w:pPr>
    </w:p>
    <w:p>
      <w:pPr>
        <w:pStyle w:val="5"/>
        <w:spacing w:before="93" w:line="576" w:lineRule="exact"/>
        <w:ind w:firstLine="640" w:firstLineChars="200"/>
        <w:rPr>
          <w:rFonts w:ascii="Times New Roman"/>
          <w:sz w:val="32"/>
          <w:szCs w:val="32"/>
        </w:rPr>
      </w:pPr>
    </w:p>
    <w:p>
      <w:pPr>
        <w:spacing w:line="576" w:lineRule="exact"/>
        <w:ind w:firstLine="640" w:firstLineChars="200"/>
        <w:rPr>
          <w:rFonts w:eastAsia="仿宋_GB2312"/>
          <w:sz w:val="32"/>
          <w:szCs w:val="32"/>
        </w:rPr>
      </w:pPr>
    </w:p>
    <w:p>
      <w:pPr>
        <w:pStyle w:val="5"/>
        <w:spacing w:before="93" w:line="576" w:lineRule="exact"/>
        <w:ind w:firstLine="600" w:firstLineChars="200"/>
        <w:rPr>
          <w:rFonts w:ascii="Times New Roman"/>
        </w:rPr>
      </w:pPr>
    </w:p>
    <w:p>
      <w:pPr>
        <w:widowControl/>
        <w:jc w:val="left"/>
        <w:rPr>
          <w:rFonts w:hAnsi="黑体" w:eastAsia="黑体"/>
          <w:sz w:val="44"/>
          <w:szCs w:val="44"/>
        </w:rPr>
      </w:pPr>
      <w:bookmarkStart w:id="54" w:name="_Toc1843"/>
      <w:bookmarkStart w:id="55" w:name="_Toc15396613"/>
      <w:bookmarkStart w:id="56" w:name="_Toc15377225"/>
      <w:r>
        <w:br w:type="page"/>
      </w:r>
    </w:p>
    <w:p>
      <w:pPr>
        <w:numPr>
          <w:ilvl w:val="0"/>
          <w:numId w:val="4"/>
        </w:numPr>
        <w:spacing w:line="550" w:lineRule="exact"/>
        <w:jc w:val="center"/>
        <w:outlineLvl w:val="0"/>
        <w:rPr>
          <w:rStyle w:val="29"/>
          <w:rFonts w:eastAsia="黑体"/>
          <w:b w:val="0"/>
        </w:rPr>
      </w:pPr>
      <w:r>
        <w:rPr>
          <w:rFonts w:hAnsi="黑体" w:eastAsia="黑体"/>
          <w:sz w:val="44"/>
          <w:szCs w:val="44"/>
        </w:rPr>
        <w:t>名</w:t>
      </w:r>
      <w:r>
        <w:rPr>
          <w:rStyle w:val="29"/>
          <w:rFonts w:hAnsi="黑体" w:eastAsia="黑体"/>
          <w:b w:val="0"/>
        </w:rPr>
        <w:t>词解释</w:t>
      </w:r>
      <w:bookmarkEnd w:id="54"/>
      <w:bookmarkEnd w:id="55"/>
      <w:bookmarkEnd w:id="56"/>
    </w:p>
    <w:p>
      <w:pPr>
        <w:spacing w:line="550" w:lineRule="exact"/>
        <w:ind w:firstLine="880" w:firstLineChars="200"/>
        <w:rPr>
          <w:b/>
          <w:sz w:val="44"/>
          <w:szCs w:val="44"/>
        </w:rPr>
      </w:pPr>
    </w:p>
    <w:p>
      <w:pPr>
        <w:pStyle w:val="27"/>
        <w:spacing w:line="55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spacing w:line="550" w:lineRule="exact"/>
        <w:ind w:firstLine="640" w:firstLineChars="200"/>
        <w:rPr>
          <w:rFonts w:eastAsia="仿宋_GB2312"/>
          <w:kern w:val="0"/>
          <w:sz w:val="32"/>
          <w:szCs w:val="32"/>
        </w:rPr>
      </w:pPr>
      <w:r>
        <w:rPr>
          <w:rFonts w:eastAsia="仿宋_GB2312"/>
          <w:kern w:val="0"/>
          <w:sz w:val="32"/>
          <w:szCs w:val="32"/>
        </w:rPr>
        <w:t>2.一般公共服务（类）群众团体事务（款）行政运行（项）：指行政单位的基本支出。</w:t>
      </w:r>
    </w:p>
    <w:p>
      <w:pPr>
        <w:spacing w:line="550" w:lineRule="exact"/>
        <w:ind w:firstLine="640" w:firstLineChars="200"/>
        <w:rPr>
          <w:rFonts w:eastAsia="仿宋_GB2312"/>
          <w:kern w:val="0"/>
          <w:sz w:val="32"/>
          <w:szCs w:val="32"/>
        </w:rPr>
      </w:pPr>
      <w:r>
        <w:rPr>
          <w:rFonts w:eastAsia="仿宋_GB2312"/>
          <w:kern w:val="0"/>
          <w:sz w:val="32"/>
          <w:szCs w:val="32"/>
        </w:rPr>
        <w:t>3.一般公共服务（类）群众团体事务（款）事业运行（项）: 指事业单位的基本支出，不包括行政单位（包括实行公务员管理的事业单位）后勤服务中心、医务室等附属事业单位。</w:t>
      </w:r>
    </w:p>
    <w:p>
      <w:pPr>
        <w:spacing w:line="550" w:lineRule="exact"/>
        <w:ind w:firstLine="640" w:firstLineChars="200"/>
        <w:rPr>
          <w:rFonts w:eastAsia="仿宋_GB2312"/>
          <w:kern w:val="0"/>
          <w:sz w:val="32"/>
          <w:szCs w:val="32"/>
        </w:rPr>
      </w:pPr>
      <w:r>
        <w:rPr>
          <w:rFonts w:eastAsia="仿宋_GB2312"/>
          <w:kern w:val="0"/>
          <w:sz w:val="32"/>
          <w:szCs w:val="32"/>
        </w:rPr>
        <w:t>4.社会保障和就业（类）行政事业单位养老支出（款）机关事业单位基本养老保险缴费支出（项）:指机关事业单位实施养老保险制度由单位缴纳的基本养老保险费支出。</w:t>
      </w:r>
    </w:p>
    <w:p>
      <w:pPr>
        <w:spacing w:line="550" w:lineRule="exact"/>
        <w:ind w:firstLine="640" w:firstLineChars="200"/>
        <w:rPr>
          <w:rFonts w:eastAsia="仿宋_GB2312"/>
          <w:kern w:val="0"/>
          <w:sz w:val="32"/>
          <w:szCs w:val="32"/>
        </w:rPr>
      </w:pPr>
      <w:r>
        <w:rPr>
          <w:rFonts w:eastAsia="仿宋_GB2312"/>
          <w:kern w:val="0"/>
          <w:sz w:val="32"/>
          <w:szCs w:val="32"/>
        </w:rPr>
        <w:t>5.社会保障和就业（类）其他社会保障和就业支出（款）其他社会保障和就业支出（项）:指除上述项目</w:t>
      </w:r>
      <w:r>
        <w:rPr>
          <w:rFonts w:hint="eastAsia" w:eastAsia="仿宋_GB2312"/>
          <w:kern w:val="0"/>
          <w:sz w:val="32"/>
          <w:szCs w:val="32"/>
          <w:lang w:eastAsia="zh-CN"/>
        </w:rPr>
        <w:t>以外</w:t>
      </w:r>
      <w:r>
        <w:rPr>
          <w:rFonts w:eastAsia="仿宋_GB2312"/>
          <w:kern w:val="0"/>
          <w:sz w:val="32"/>
          <w:szCs w:val="32"/>
        </w:rPr>
        <w:t>其他用于社会保障和就业方面的支出。</w:t>
      </w:r>
    </w:p>
    <w:p>
      <w:pPr>
        <w:spacing w:line="550" w:lineRule="exact"/>
        <w:ind w:firstLine="640" w:firstLineChars="200"/>
        <w:rPr>
          <w:rFonts w:eastAsia="仿宋_GB2312"/>
          <w:kern w:val="0"/>
          <w:sz w:val="32"/>
          <w:szCs w:val="32"/>
        </w:rPr>
      </w:pPr>
      <w:r>
        <w:rPr>
          <w:rFonts w:eastAsia="仿宋_GB2312"/>
          <w:kern w:val="0"/>
          <w:sz w:val="32"/>
          <w:szCs w:val="32"/>
        </w:rPr>
        <w:t>6.卫生健康（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spacing w:line="550" w:lineRule="exact"/>
        <w:ind w:firstLine="640" w:firstLineChars="200"/>
        <w:rPr>
          <w:rFonts w:eastAsia="仿宋_GB2312"/>
          <w:kern w:val="0"/>
          <w:sz w:val="32"/>
          <w:szCs w:val="32"/>
        </w:rPr>
      </w:pPr>
      <w:r>
        <w:rPr>
          <w:rFonts w:eastAsia="仿宋_GB2312"/>
          <w:kern w:val="0"/>
          <w:sz w:val="32"/>
          <w:szCs w:val="32"/>
        </w:rPr>
        <w:t>7.卫生健康（类）行政事业单位医疗（款）事业单位医疗（项）:指财政部门安排的事业单位基本医疗保险缴费经费，未参加医疗保险的事业单位的公费医疗经费，按国家规定享受离休人员待遇的医疗经费。</w:t>
      </w:r>
    </w:p>
    <w:p>
      <w:pPr>
        <w:spacing w:line="550" w:lineRule="exact"/>
        <w:ind w:firstLine="640" w:firstLineChars="200"/>
        <w:rPr>
          <w:rFonts w:eastAsia="仿宋_GB2312"/>
          <w:kern w:val="0"/>
          <w:sz w:val="32"/>
          <w:szCs w:val="32"/>
        </w:rPr>
      </w:pPr>
      <w:r>
        <w:rPr>
          <w:rFonts w:eastAsia="仿宋_GB2312"/>
          <w:kern w:val="0"/>
          <w:sz w:val="32"/>
          <w:szCs w:val="32"/>
        </w:rPr>
        <w:t>8.农林水（类）扶贫（款）其他扶贫支出（项）：指除化解债务支出以外其他用于农林水方面的支出。</w:t>
      </w:r>
    </w:p>
    <w:p>
      <w:pPr>
        <w:spacing w:line="550" w:lineRule="exact"/>
        <w:ind w:firstLine="640" w:firstLineChars="200"/>
        <w:rPr>
          <w:rFonts w:eastAsia="仿宋_GB2312"/>
          <w:kern w:val="0"/>
          <w:sz w:val="32"/>
          <w:szCs w:val="32"/>
        </w:rPr>
      </w:pPr>
      <w:r>
        <w:rPr>
          <w:rFonts w:eastAsia="仿宋_GB2312"/>
          <w:kern w:val="0"/>
          <w:sz w:val="32"/>
          <w:szCs w:val="32"/>
        </w:rPr>
        <w:t>9.住房保障（类）住房改革（款）住房公积金（项）：指行政事业单位按人力资源和社会保障部、财政部规定的基本工资和津贴补贴以及规定比例为职工缴纳的住房公积金。</w:t>
      </w:r>
    </w:p>
    <w:p>
      <w:pPr>
        <w:spacing w:line="550" w:lineRule="exact"/>
        <w:ind w:firstLine="640" w:firstLineChars="200"/>
        <w:rPr>
          <w:rFonts w:eastAsia="仿宋_GB2312"/>
          <w:sz w:val="32"/>
          <w:szCs w:val="32"/>
        </w:rPr>
      </w:pPr>
      <w:r>
        <w:rPr>
          <w:rFonts w:eastAsia="仿宋_GB2312"/>
          <w:kern w:val="0"/>
          <w:sz w:val="32"/>
          <w:szCs w:val="32"/>
        </w:rPr>
        <w:t>10.基本支出：指为保障机构</w:t>
      </w:r>
      <w:r>
        <w:rPr>
          <w:rFonts w:eastAsia="仿宋_GB2312"/>
          <w:sz w:val="32"/>
          <w:szCs w:val="32"/>
        </w:rPr>
        <w:t>正常运转、完成日常工作任务而发生的人员支出和公用支出。</w:t>
      </w:r>
    </w:p>
    <w:p>
      <w:pPr>
        <w:spacing w:line="550" w:lineRule="exact"/>
        <w:ind w:firstLine="640" w:firstLineChars="200"/>
        <w:rPr>
          <w:rFonts w:eastAsia="仿宋_GB2312"/>
          <w:sz w:val="32"/>
          <w:szCs w:val="32"/>
        </w:rPr>
      </w:pPr>
      <w:r>
        <w:rPr>
          <w:rFonts w:eastAsia="仿宋_GB2312"/>
          <w:sz w:val="32"/>
          <w:szCs w:val="32"/>
        </w:rPr>
        <w:t>11.项目支出：指在基本支出之外为完成特定行政任务和事业发展目标所发生的支出。</w:t>
      </w:r>
    </w:p>
    <w:p>
      <w:pPr>
        <w:pStyle w:val="27"/>
        <w:spacing w:line="55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辆购置支出（含车辆购置税）及租用费、燃料费、维修费、过路过桥费、保险费等支出；公务接待费反映单位按规定开支的各类公务接待（含外宾接待）支出。</w:t>
      </w:r>
    </w:p>
    <w:p>
      <w:pPr>
        <w:pStyle w:val="27"/>
        <w:spacing w:line="55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jc w:val="left"/>
        <w:rPr>
          <w:rFonts w:eastAsia="黑体"/>
          <w:sz w:val="44"/>
          <w:szCs w:val="44"/>
        </w:rPr>
      </w:pPr>
      <w:bookmarkStart w:id="57" w:name="_Toc15396614"/>
      <w:bookmarkStart w:id="58" w:name="_Toc15377226"/>
      <w:r>
        <w:br w:type="page"/>
      </w:r>
    </w:p>
    <w:p>
      <w:pPr>
        <w:spacing w:line="576" w:lineRule="exact"/>
        <w:jc w:val="center"/>
        <w:outlineLvl w:val="0"/>
        <w:rPr>
          <w:rStyle w:val="29"/>
          <w:rFonts w:eastAsia="黑体"/>
          <w:b w:val="0"/>
        </w:rPr>
      </w:pPr>
      <w:r>
        <w:rPr>
          <w:rFonts w:hAnsi="黑体" w:eastAsia="黑体"/>
          <w:sz w:val="44"/>
          <w:szCs w:val="44"/>
        </w:rPr>
        <w:t>第</w:t>
      </w:r>
      <w:r>
        <w:rPr>
          <w:rStyle w:val="29"/>
          <w:rFonts w:hAnsi="黑体" w:eastAsia="黑体"/>
          <w:b w:val="0"/>
        </w:rPr>
        <w:t>四部分</w:t>
      </w:r>
      <w:r>
        <w:rPr>
          <w:rStyle w:val="29"/>
          <w:rFonts w:eastAsia="黑体"/>
          <w:b w:val="0"/>
        </w:rPr>
        <w:t xml:space="preserve"> </w:t>
      </w:r>
      <w:r>
        <w:rPr>
          <w:rStyle w:val="29"/>
          <w:rFonts w:hAnsi="黑体" w:eastAsia="黑体"/>
          <w:b w:val="0"/>
        </w:rPr>
        <w:t>附件</w:t>
      </w:r>
      <w:bookmarkEnd w:id="57"/>
    </w:p>
    <w:p>
      <w:pPr>
        <w:spacing w:line="576" w:lineRule="exact"/>
        <w:ind w:firstLine="880" w:firstLineChars="200"/>
        <w:outlineLvl w:val="0"/>
        <w:rPr>
          <w:rFonts w:eastAsia="方正小标宋简体"/>
          <w:sz w:val="44"/>
          <w:szCs w:val="44"/>
        </w:rPr>
      </w:pPr>
    </w:p>
    <w:p>
      <w:pPr>
        <w:spacing w:line="576" w:lineRule="exact"/>
        <w:jc w:val="center"/>
        <w:outlineLvl w:val="0"/>
        <w:rPr>
          <w:rFonts w:eastAsia="方正小标宋简体"/>
          <w:sz w:val="44"/>
          <w:szCs w:val="44"/>
        </w:rPr>
      </w:pPr>
      <w:r>
        <w:rPr>
          <w:rFonts w:eastAsia="方正小标宋简体"/>
          <w:sz w:val="44"/>
          <w:szCs w:val="44"/>
        </w:rPr>
        <w:t>广元市昭化区妇女联合会</w:t>
      </w:r>
    </w:p>
    <w:p>
      <w:pPr>
        <w:spacing w:line="576" w:lineRule="exact"/>
        <w:jc w:val="center"/>
        <w:rPr>
          <w:rFonts w:eastAsia="方正小标宋简体"/>
          <w:sz w:val="44"/>
          <w:szCs w:val="44"/>
        </w:rPr>
      </w:pPr>
      <w:r>
        <w:rPr>
          <w:rFonts w:eastAsia="方正小标宋简体"/>
          <w:sz w:val="44"/>
          <w:szCs w:val="44"/>
        </w:rPr>
        <w:t>2022年部门整体支出绩效自评报告</w:t>
      </w:r>
    </w:p>
    <w:p>
      <w:pPr>
        <w:spacing w:line="576" w:lineRule="exact"/>
        <w:ind w:firstLine="640" w:firstLineChars="200"/>
        <w:rPr>
          <w:rFonts w:eastAsia="仿宋_GB2312"/>
          <w:sz w:val="32"/>
          <w:szCs w:val="32"/>
        </w:rPr>
      </w:pPr>
    </w:p>
    <w:p>
      <w:pPr>
        <w:spacing w:line="576" w:lineRule="exact"/>
        <w:ind w:firstLine="640" w:firstLineChars="200"/>
        <w:rPr>
          <w:rFonts w:eastAsia="黑体"/>
          <w:sz w:val="32"/>
          <w:szCs w:val="32"/>
        </w:rPr>
      </w:pPr>
      <w:r>
        <w:rPr>
          <w:rFonts w:hAnsi="黑体" w:eastAsia="黑体"/>
          <w:sz w:val="32"/>
          <w:szCs w:val="32"/>
        </w:rPr>
        <w:t>一、预算单位概况</w:t>
      </w:r>
    </w:p>
    <w:p>
      <w:pPr>
        <w:spacing w:line="576" w:lineRule="exact"/>
        <w:ind w:firstLine="640" w:firstLineChars="200"/>
        <w:rPr>
          <w:rFonts w:eastAsia="楷体_GB2312"/>
          <w:sz w:val="32"/>
          <w:szCs w:val="32"/>
        </w:rPr>
      </w:pPr>
      <w:r>
        <w:rPr>
          <w:rFonts w:eastAsia="楷体_GB2312"/>
          <w:sz w:val="32"/>
          <w:szCs w:val="32"/>
        </w:rPr>
        <w:t>（一）组织机构</w:t>
      </w:r>
    </w:p>
    <w:p>
      <w:pPr>
        <w:spacing w:line="576" w:lineRule="exact"/>
        <w:ind w:firstLine="640" w:firstLineChars="200"/>
        <w:rPr>
          <w:rFonts w:eastAsia="仿宋_GB2312"/>
          <w:sz w:val="32"/>
          <w:szCs w:val="32"/>
        </w:rPr>
      </w:pPr>
      <w:r>
        <w:rPr>
          <w:rFonts w:eastAsia="仿宋_GB2312"/>
          <w:sz w:val="32"/>
          <w:szCs w:val="32"/>
        </w:rPr>
        <w:t>广元市昭化区妇女联合会（简称区妇联）内设办公室、妇女儿童服务中心、妇儿工委办公室。</w:t>
      </w:r>
    </w:p>
    <w:p>
      <w:pPr>
        <w:spacing w:line="576" w:lineRule="exact"/>
        <w:ind w:firstLine="640" w:firstLineChars="200"/>
        <w:rPr>
          <w:rFonts w:eastAsia="楷体_GB2312"/>
          <w:sz w:val="32"/>
          <w:szCs w:val="32"/>
        </w:rPr>
      </w:pPr>
      <w:r>
        <w:rPr>
          <w:rFonts w:eastAsia="楷体_GB2312"/>
          <w:sz w:val="32"/>
          <w:szCs w:val="32"/>
        </w:rPr>
        <w:t>（二）机构职能</w:t>
      </w:r>
    </w:p>
    <w:p>
      <w:pPr>
        <w:spacing w:line="576" w:lineRule="exact"/>
        <w:ind w:firstLine="640" w:firstLineChars="200"/>
        <w:rPr>
          <w:rFonts w:eastAsia="仿宋_GB2312"/>
          <w:sz w:val="32"/>
          <w:szCs w:val="32"/>
        </w:rPr>
      </w:pPr>
      <w:r>
        <w:rPr>
          <w:rFonts w:eastAsia="仿宋_GB2312"/>
          <w:sz w:val="32"/>
          <w:szCs w:val="32"/>
        </w:rPr>
        <w:t>代表和维护妇女权益，促进男女平等。妇联的主要任务是：妇女维权、妇女发展、妇女宣传、儿童工作和组织建设。一是团结、动员广大妇女投身社会主义现代化建设，促进经济发展和社会全面进步。二是教育引导广大妇女发扬自尊、自信、自立、自强的精神，提高综合素质。代表妇女参与国家和社会事务的民主决策、民主管理和民主监督。三是推动妇女儿童纲要的实施，维护妇女儿童合法权益。四是加强与社会各界的联系，协调和推动社会各界为妇女儿童办实事、办好事。</w:t>
      </w:r>
    </w:p>
    <w:p>
      <w:pPr>
        <w:spacing w:line="576" w:lineRule="exact"/>
        <w:ind w:firstLine="640" w:firstLineChars="200"/>
        <w:rPr>
          <w:rFonts w:eastAsia="楷体_GB2312"/>
          <w:sz w:val="32"/>
          <w:szCs w:val="32"/>
        </w:rPr>
      </w:pPr>
      <w:r>
        <w:rPr>
          <w:rFonts w:eastAsia="楷体_GB2312"/>
          <w:sz w:val="32"/>
          <w:szCs w:val="32"/>
        </w:rPr>
        <w:t>（三）人员概况</w:t>
      </w:r>
    </w:p>
    <w:p>
      <w:pPr>
        <w:spacing w:line="576" w:lineRule="exact"/>
        <w:ind w:firstLine="640" w:firstLineChars="200"/>
        <w:rPr>
          <w:rFonts w:eastAsia="仿宋_GB2312"/>
          <w:sz w:val="32"/>
          <w:szCs w:val="32"/>
        </w:rPr>
      </w:pPr>
      <w:r>
        <w:rPr>
          <w:rFonts w:eastAsia="仿宋_GB2312"/>
          <w:sz w:val="32"/>
          <w:szCs w:val="32"/>
        </w:rPr>
        <w:t>区妇联财务一级预算党群部门，1个下属单位（妇女儿童服务中心），挂靠部门１个（区政府妇女儿童工作委员会办公室）。核定行政编制1个，事业编制4个，年末实有在职人数为行政编制2人，事业编制1人，退休人员1人，西部计划志愿者1人。</w:t>
      </w:r>
    </w:p>
    <w:p>
      <w:pPr>
        <w:spacing w:line="576" w:lineRule="exact"/>
        <w:ind w:firstLine="640" w:firstLineChars="200"/>
        <w:rPr>
          <w:rFonts w:eastAsia="黑体"/>
          <w:sz w:val="32"/>
          <w:szCs w:val="32"/>
        </w:rPr>
      </w:pPr>
      <w:r>
        <w:rPr>
          <w:rFonts w:hAnsi="黑体" w:eastAsia="黑体"/>
          <w:sz w:val="32"/>
          <w:szCs w:val="32"/>
        </w:rPr>
        <w:t>二、预算单位财政收支情况</w:t>
      </w:r>
    </w:p>
    <w:p>
      <w:pPr>
        <w:spacing w:line="576" w:lineRule="exact"/>
        <w:ind w:firstLine="640" w:firstLineChars="200"/>
        <w:rPr>
          <w:rFonts w:eastAsia="楷体_GB2312"/>
          <w:sz w:val="32"/>
          <w:szCs w:val="32"/>
        </w:rPr>
      </w:pPr>
      <w:r>
        <w:rPr>
          <w:rFonts w:eastAsia="楷体_GB2312"/>
          <w:sz w:val="32"/>
          <w:szCs w:val="32"/>
        </w:rPr>
        <w:t>（一）单位财政资金收入情况</w:t>
      </w:r>
    </w:p>
    <w:p>
      <w:pPr>
        <w:spacing w:line="576" w:lineRule="exact"/>
        <w:ind w:firstLine="640" w:firstLineChars="200"/>
        <w:rPr>
          <w:rFonts w:eastAsia="仿宋_GB2312"/>
          <w:sz w:val="32"/>
          <w:szCs w:val="32"/>
        </w:rPr>
      </w:pPr>
      <w:r>
        <w:rPr>
          <w:rFonts w:eastAsia="仿宋_GB2312"/>
          <w:sz w:val="32"/>
          <w:szCs w:val="32"/>
        </w:rPr>
        <w:t>2022年年初预算收入69.70万元，其中一般公共预算收入69.70万元。执行过程追加人员经费2.7万元，其他运转类经费4.54万元，特定项目经费49万元；追减三公经费0.16万元，人员经费0.46万元，年终决算收入125.32万元。</w:t>
      </w:r>
    </w:p>
    <w:p>
      <w:pPr>
        <w:spacing w:line="576" w:lineRule="exact"/>
        <w:ind w:firstLine="640" w:firstLineChars="200"/>
        <w:rPr>
          <w:rFonts w:eastAsia="楷体_GB2312"/>
          <w:sz w:val="32"/>
          <w:szCs w:val="32"/>
        </w:rPr>
      </w:pPr>
      <w:r>
        <w:rPr>
          <w:rFonts w:eastAsia="楷体_GB2312"/>
          <w:sz w:val="32"/>
          <w:szCs w:val="32"/>
        </w:rPr>
        <w:t>（二）单位财政支出情况</w:t>
      </w:r>
    </w:p>
    <w:p>
      <w:pPr>
        <w:spacing w:line="576" w:lineRule="exact"/>
        <w:ind w:firstLine="640" w:firstLineChars="200"/>
        <w:rPr>
          <w:rFonts w:eastAsia="仿宋_GB2312"/>
          <w:sz w:val="32"/>
          <w:szCs w:val="32"/>
        </w:rPr>
      </w:pPr>
      <w:r>
        <w:rPr>
          <w:rFonts w:eastAsia="仿宋_GB2312"/>
          <w:sz w:val="32"/>
          <w:szCs w:val="32"/>
        </w:rPr>
        <w:t>2022年安排预算支出69.70万元（基本支出45.70万元，项目支出24万元）。年终决算支出125.32万元，其中2021年儿童之家项目资金34万元在2021年已拨付，2022年追加了相应指标。</w:t>
      </w:r>
    </w:p>
    <w:p>
      <w:pPr>
        <w:spacing w:line="576" w:lineRule="exact"/>
        <w:ind w:firstLine="640" w:firstLineChars="200"/>
        <w:rPr>
          <w:rFonts w:eastAsia="黑体"/>
          <w:sz w:val="32"/>
          <w:szCs w:val="32"/>
        </w:rPr>
      </w:pPr>
      <w:r>
        <w:rPr>
          <w:rFonts w:hAnsi="黑体" w:eastAsia="黑体"/>
          <w:sz w:val="32"/>
          <w:szCs w:val="32"/>
        </w:rPr>
        <w:t>三、部门整体预算绩效管理情况</w:t>
      </w:r>
    </w:p>
    <w:p>
      <w:pPr>
        <w:spacing w:line="576" w:lineRule="exact"/>
        <w:ind w:firstLine="640" w:firstLineChars="200"/>
        <w:rPr>
          <w:rFonts w:eastAsia="楷体_GB2312"/>
          <w:sz w:val="32"/>
          <w:szCs w:val="32"/>
        </w:rPr>
      </w:pPr>
      <w:r>
        <w:rPr>
          <w:rFonts w:eastAsia="楷体_GB2312"/>
          <w:sz w:val="32"/>
          <w:szCs w:val="32"/>
        </w:rPr>
        <w:t>（一）部门预算项目绩效管理</w:t>
      </w:r>
    </w:p>
    <w:p>
      <w:pPr>
        <w:spacing w:line="576" w:lineRule="exact"/>
        <w:ind w:firstLine="640" w:firstLineChars="200"/>
        <w:rPr>
          <w:rFonts w:eastAsia="仿宋_GB2312"/>
          <w:sz w:val="32"/>
          <w:szCs w:val="32"/>
        </w:rPr>
      </w:pPr>
      <w:r>
        <w:rPr>
          <w:rFonts w:eastAsia="仿宋_GB2312"/>
          <w:sz w:val="32"/>
          <w:szCs w:val="32"/>
        </w:rPr>
        <w:t>1.部门绩效目标制定</w:t>
      </w:r>
    </w:p>
    <w:p>
      <w:pPr>
        <w:spacing w:line="576" w:lineRule="exact"/>
        <w:ind w:firstLine="640" w:firstLineChars="200"/>
        <w:rPr>
          <w:rFonts w:eastAsia="仿宋_GB2312"/>
          <w:sz w:val="32"/>
          <w:szCs w:val="32"/>
        </w:rPr>
      </w:pPr>
      <w:r>
        <w:rPr>
          <w:rFonts w:eastAsia="仿宋_GB2312"/>
          <w:sz w:val="32"/>
          <w:szCs w:val="32"/>
        </w:rPr>
        <w:t>区妇联2022年度主要目标有以下5个内容，1、开展“百千万巾帼大宣讲”活动10余场，认真做好“三八”妇女节、“六一”儿童节、女儿节等节日文化活动，评选表彰“三八”红旗手等各类先进典型50余人；2、找准家庭教育切入点，探索创新开展家庭教育，建立家庭教育指导机构，新建家风家教示范基地1个，开展家庭教育讲座6余场，提高家庭教育知晓率，开展“五好家庭”“平安家庭”创建，常态化开展寻找“最美家庭”活动评选各类优秀家庭50户；3、深化普法宣传教育、关爱妇女儿童工作，开展各类维权普法活动60余场，制作宣传资料7万余册，实施“两癌”救助等项目工作，做好困境妇女儿童关心关爱工作，做好依法治区、综治维稳、防邪、防艾、禁毒、大调解、扫黑除恶等工作；4、全面加强党的建设，做好党建、党风廉政建设、意识形态等工作；5、妇女维权、妇女发展、妇女宣传、儿童工作和组织建设。</w:t>
      </w:r>
    </w:p>
    <w:p>
      <w:pPr>
        <w:spacing w:line="576" w:lineRule="exact"/>
        <w:ind w:firstLine="640" w:firstLineChars="200"/>
        <w:rPr>
          <w:rFonts w:eastAsia="仿宋_GB2312"/>
          <w:sz w:val="32"/>
          <w:szCs w:val="32"/>
        </w:rPr>
      </w:pPr>
      <w:r>
        <w:rPr>
          <w:rFonts w:eastAsia="仿宋_GB2312"/>
          <w:sz w:val="32"/>
          <w:szCs w:val="32"/>
        </w:rPr>
        <w:t>2.目标实现</w:t>
      </w:r>
    </w:p>
    <w:p>
      <w:pPr>
        <w:spacing w:line="576" w:lineRule="exact"/>
        <w:ind w:firstLine="640" w:firstLineChars="200"/>
        <w:rPr>
          <w:rFonts w:eastAsia="仿宋_GB2312"/>
          <w:sz w:val="32"/>
          <w:szCs w:val="32"/>
        </w:rPr>
      </w:pPr>
      <w:r>
        <w:rPr>
          <w:rFonts w:eastAsia="仿宋_GB2312"/>
          <w:sz w:val="32"/>
          <w:szCs w:val="32"/>
        </w:rPr>
        <w:t>（1）人员类</w:t>
      </w:r>
    </w:p>
    <w:p>
      <w:pPr>
        <w:spacing w:line="576" w:lineRule="exact"/>
        <w:ind w:firstLine="640" w:firstLineChars="200"/>
        <w:rPr>
          <w:rFonts w:eastAsia="仿宋_GB2312"/>
          <w:sz w:val="32"/>
          <w:szCs w:val="32"/>
        </w:rPr>
      </w:pPr>
      <w:r>
        <w:rPr>
          <w:rFonts w:eastAsia="仿宋_GB2312"/>
          <w:sz w:val="32"/>
          <w:szCs w:val="32"/>
        </w:rPr>
        <w:t>我会2022年人员类经费支出42.15万元，每月按时发放在职人员工资、奖金以及缴纳各类保险，偏离度9.56%，原因是有人员职务变动及晋升，财政追加人员经费2.7万元，人员类支出增加。</w:t>
      </w:r>
    </w:p>
    <w:p>
      <w:pPr>
        <w:spacing w:line="576" w:lineRule="exact"/>
        <w:ind w:firstLine="640" w:firstLineChars="200"/>
        <w:rPr>
          <w:rFonts w:eastAsia="仿宋_GB2312"/>
          <w:sz w:val="32"/>
          <w:szCs w:val="32"/>
        </w:rPr>
      </w:pPr>
      <w:r>
        <w:rPr>
          <w:rFonts w:eastAsia="仿宋_GB2312"/>
          <w:sz w:val="32"/>
          <w:szCs w:val="32"/>
        </w:rPr>
        <w:t>（2）其他运转类</w:t>
      </w:r>
    </w:p>
    <w:p>
      <w:pPr>
        <w:spacing w:line="576" w:lineRule="exact"/>
        <w:ind w:firstLine="640" w:firstLineChars="200"/>
        <w:rPr>
          <w:rFonts w:eastAsia="仿宋_GB2312"/>
          <w:sz w:val="32"/>
          <w:szCs w:val="32"/>
        </w:rPr>
      </w:pPr>
      <w:r>
        <w:rPr>
          <w:rFonts w:eastAsia="仿宋_GB2312"/>
          <w:sz w:val="32"/>
          <w:szCs w:val="32"/>
        </w:rPr>
        <w:t>妇女儿童工作经费项目服务全区妇女儿童人数2000人次，开展相关活动、会议、培训30场次，全区妇女儿童满意度90%，费用支出11万元，该项目按月推进，年度全面完成，执行率100%。</w:t>
      </w:r>
    </w:p>
    <w:p>
      <w:pPr>
        <w:spacing w:line="576" w:lineRule="exact"/>
        <w:ind w:firstLine="640" w:firstLineChars="200"/>
        <w:rPr>
          <w:rFonts w:eastAsia="仿宋_GB2312"/>
          <w:sz w:val="32"/>
          <w:szCs w:val="32"/>
        </w:rPr>
      </w:pPr>
      <w:r>
        <w:rPr>
          <w:rFonts w:eastAsia="仿宋_GB2312"/>
          <w:sz w:val="32"/>
          <w:szCs w:val="32"/>
        </w:rPr>
        <w:t>妇女儿童两纲工作经费项目全年召开6次工作会议；专业业务培训4次；组织相关调研工作4次；制作性别平等、新论两纲手册5万册。费用支出8万元，该项目按月推进，年度全面完成，执行率100%。</w:t>
      </w:r>
    </w:p>
    <w:p>
      <w:pPr>
        <w:spacing w:line="576" w:lineRule="exact"/>
        <w:ind w:firstLine="640" w:firstLineChars="200"/>
        <w:rPr>
          <w:rFonts w:eastAsia="仿宋_GB2312"/>
          <w:sz w:val="32"/>
          <w:szCs w:val="32"/>
        </w:rPr>
      </w:pPr>
      <w:r>
        <w:rPr>
          <w:rFonts w:eastAsia="仿宋_GB2312"/>
          <w:sz w:val="32"/>
          <w:szCs w:val="32"/>
        </w:rPr>
        <w:t>家庭教育工作经费项目全年</w:t>
      </w:r>
      <w:r>
        <w:rPr>
          <w:rFonts w:hint="eastAsia" w:eastAsia="仿宋_GB2312"/>
          <w:sz w:val="32"/>
          <w:szCs w:val="32"/>
          <w:lang w:eastAsia="zh-CN"/>
        </w:rPr>
        <w:t>开</w:t>
      </w:r>
      <w:r>
        <w:rPr>
          <w:rFonts w:eastAsia="仿宋_GB2312"/>
          <w:sz w:val="32"/>
          <w:szCs w:val="32"/>
        </w:rPr>
        <w:t>展线上线下家庭教育讲座6场；制作《</w:t>
      </w:r>
      <w:r>
        <w:rPr>
          <w:rFonts w:hint="eastAsia" w:eastAsia="仿宋_GB2312"/>
          <w:sz w:val="32"/>
          <w:szCs w:val="32"/>
          <w:lang w:eastAsia="zh-CN"/>
        </w:rPr>
        <w:t>中华人民共和国</w:t>
      </w:r>
      <w:r>
        <w:rPr>
          <w:rFonts w:eastAsia="仿宋_GB2312"/>
          <w:sz w:val="32"/>
          <w:szCs w:val="32"/>
        </w:rPr>
        <w:t>家庭教育促进法》宣传手册2万册。费用支出2万元，该项目按月推进，年度全面完成，执行率100%。</w:t>
      </w:r>
    </w:p>
    <w:p>
      <w:pPr>
        <w:spacing w:line="576" w:lineRule="exact"/>
        <w:ind w:firstLine="640" w:firstLineChars="200"/>
        <w:rPr>
          <w:rFonts w:eastAsia="仿宋_GB2312"/>
          <w:sz w:val="32"/>
          <w:szCs w:val="32"/>
        </w:rPr>
      </w:pPr>
      <w:r>
        <w:rPr>
          <w:rFonts w:eastAsia="仿宋_GB2312"/>
          <w:sz w:val="32"/>
          <w:szCs w:val="32"/>
        </w:rPr>
        <w:t>3.8妇女节、6.1儿童节、小额信贷工作经费项目在3.8妇女节、6.1儿童节期间，召开会议4次专题会议，全区慰问妇女100名，儿童500名。费用支出3万元，该项目按月推进，年度全面完成，执行率100%。</w:t>
      </w:r>
    </w:p>
    <w:p>
      <w:pPr>
        <w:spacing w:line="576" w:lineRule="exact"/>
        <w:ind w:firstLine="640" w:firstLineChars="200"/>
        <w:rPr>
          <w:rFonts w:eastAsia="仿宋_GB2312"/>
          <w:sz w:val="32"/>
          <w:szCs w:val="32"/>
        </w:rPr>
      </w:pPr>
      <w:r>
        <w:rPr>
          <w:rFonts w:eastAsia="仿宋_GB2312"/>
          <w:sz w:val="32"/>
          <w:szCs w:val="32"/>
        </w:rPr>
        <w:t>（3）特定目标类项目</w:t>
      </w:r>
    </w:p>
    <w:p>
      <w:pPr>
        <w:spacing w:line="576" w:lineRule="exact"/>
        <w:ind w:firstLine="640" w:firstLineChars="200"/>
        <w:rPr>
          <w:rFonts w:eastAsia="仿宋_GB2312"/>
          <w:sz w:val="32"/>
          <w:szCs w:val="32"/>
        </w:rPr>
      </w:pPr>
      <w:r>
        <w:rPr>
          <w:rFonts w:eastAsia="仿宋_GB2312"/>
          <w:sz w:val="32"/>
          <w:szCs w:val="32"/>
        </w:rPr>
        <w:t>2022年东西部协作稳岗就业促进项目，我会在射箭镇明觉社区建设妇女居家灵活就业示范基地1个，技能培训25人，吸纳21人在车间稳定就业，其中管理人员1名，平车15人，手工编织5人。费用支出15万元，该项目按月推进，年度全面完成，执行率100%。</w:t>
      </w:r>
    </w:p>
    <w:p>
      <w:pPr>
        <w:spacing w:line="576" w:lineRule="exact"/>
        <w:ind w:firstLine="640" w:firstLineChars="200"/>
        <w:rPr>
          <w:rFonts w:eastAsia="仿宋_GB2312"/>
          <w:sz w:val="32"/>
          <w:szCs w:val="32"/>
        </w:rPr>
      </w:pPr>
      <w:r>
        <w:rPr>
          <w:rFonts w:eastAsia="仿宋_GB2312"/>
          <w:sz w:val="32"/>
          <w:szCs w:val="32"/>
        </w:rPr>
        <w:t>3.支出控制</w:t>
      </w:r>
    </w:p>
    <w:p>
      <w:pPr>
        <w:spacing w:line="576" w:lineRule="exact"/>
        <w:ind w:firstLine="640" w:firstLineChars="200"/>
        <w:rPr>
          <w:rFonts w:eastAsia="仿宋_GB2312"/>
          <w:sz w:val="32"/>
          <w:szCs w:val="32"/>
        </w:rPr>
      </w:pPr>
      <w:r>
        <w:rPr>
          <w:rFonts w:eastAsia="仿宋_GB2312"/>
          <w:sz w:val="32"/>
          <w:szCs w:val="32"/>
        </w:rPr>
        <w:t>日常公用经费4.2万元，无偏离度。其中 “三公”经费支出为0.64万元，无偏离度。</w:t>
      </w:r>
    </w:p>
    <w:p>
      <w:pPr>
        <w:spacing w:line="576" w:lineRule="exact"/>
        <w:ind w:firstLine="640" w:firstLineChars="200"/>
        <w:rPr>
          <w:rFonts w:eastAsia="仿宋_GB2312"/>
          <w:sz w:val="32"/>
          <w:szCs w:val="32"/>
        </w:rPr>
      </w:pPr>
      <w:r>
        <w:rPr>
          <w:rFonts w:eastAsia="仿宋_GB2312"/>
          <w:sz w:val="32"/>
          <w:szCs w:val="32"/>
        </w:rPr>
        <w:t>项目经费支出项目支出73万元，年初预算项目支出（其他公用经费）24万元，其中妇女儿童工作经费11万元，妇女儿童两纲工作经费8万元，家庭教育工作经费2万元，3.8妇女节、6.1儿童节、小额信贷工作经费3万元，执行率100%；执行过程中追加项目经费49万元，其中东西部协作项目经费15万元，执行率100%，2021年儿童之家项目经费34万元，已在2021年全额拨付，执行率100%。</w:t>
      </w:r>
    </w:p>
    <w:p>
      <w:pPr>
        <w:spacing w:line="576" w:lineRule="exact"/>
        <w:ind w:firstLine="640" w:firstLineChars="200"/>
        <w:rPr>
          <w:rFonts w:eastAsia="仿宋_GB2312"/>
          <w:sz w:val="32"/>
          <w:szCs w:val="32"/>
        </w:rPr>
      </w:pPr>
      <w:r>
        <w:rPr>
          <w:rFonts w:eastAsia="仿宋_GB2312"/>
          <w:sz w:val="32"/>
          <w:szCs w:val="32"/>
        </w:rPr>
        <w:t>4.及时处置</w:t>
      </w:r>
    </w:p>
    <w:p>
      <w:pPr>
        <w:spacing w:line="576" w:lineRule="exact"/>
        <w:ind w:firstLine="640" w:firstLineChars="200"/>
        <w:rPr>
          <w:rFonts w:eastAsia="仿宋_GB2312"/>
          <w:sz w:val="32"/>
          <w:szCs w:val="32"/>
        </w:rPr>
      </w:pPr>
      <w:r>
        <w:rPr>
          <w:rFonts w:eastAsia="仿宋_GB2312"/>
          <w:sz w:val="32"/>
          <w:szCs w:val="32"/>
        </w:rPr>
        <w:t>我会2022年度部门绩效监控调整取消额和结余注销额为0万元。</w:t>
      </w:r>
    </w:p>
    <w:p>
      <w:pPr>
        <w:spacing w:line="576" w:lineRule="exact"/>
        <w:ind w:firstLine="640" w:firstLineChars="200"/>
        <w:rPr>
          <w:rFonts w:eastAsia="仿宋_GB2312"/>
          <w:sz w:val="32"/>
          <w:szCs w:val="32"/>
        </w:rPr>
      </w:pPr>
      <w:r>
        <w:rPr>
          <w:rFonts w:eastAsia="仿宋_GB2312"/>
          <w:sz w:val="32"/>
          <w:szCs w:val="32"/>
        </w:rPr>
        <w:t>5.执行进度</w:t>
      </w:r>
    </w:p>
    <w:p>
      <w:pPr>
        <w:spacing w:line="576" w:lineRule="exact"/>
        <w:ind w:firstLine="640" w:firstLineChars="200"/>
        <w:rPr>
          <w:rFonts w:eastAsia="仿宋_GB2312"/>
          <w:sz w:val="32"/>
          <w:szCs w:val="32"/>
        </w:rPr>
      </w:pPr>
      <w:r>
        <w:rPr>
          <w:rFonts w:eastAsia="仿宋_GB2312"/>
          <w:sz w:val="32"/>
          <w:szCs w:val="32"/>
        </w:rPr>
        <w:t>我会2022年度1-6月支出36.52万元,预算执行进度52%,1-9月支出59.65万元，预算执行进度86%，1-12月支出117.51万元，预算执行进度94%。</w:t>
      </w:r>
    </w:p>
    <w:p>
      <w:pPr>
        <w:spacing w:line="576" w:lineRule="exact"/>
        <w:ind w:firstLine="640" w:firstLineChars="200"/>
        <w:rPr>
          <w:rFonts w:eastAsia="仿宋_GB2312"/>
          <w:sz w:val="32"/>
          <w:szCs w:val="32"/>
        </w:rPr>
      </w:pPr>
      <w:r>
        <w:rPr>
          <w:rFonts w:eastAsia="仿宋_GB2312"/>
          <w:sz w:val="32"/>
          <w:szCs w:val="32"/>
        </w:rPr>
        <w:t>6.预算完成情况</w:t>
      </w:r>
    </w:p>
    <w:p>
      <w:pPr>
        <w:spacing w:line="576" w:lineRule="exact"/>
        <w:ind w:firstLine="640" w:firstLineChars="200"/>
        <w:rPr>
          <w:rFonts w:eastAsia="仿宋_GB2312"/>
          <w:sz w:val="32"/>
          <w:szCs w:val="32"/>
        </w:rPr>
      </w:pPr>
      <w:r>
        <w:rPr>
          <w:rFonts w:eastAsia="仿宋_GB2312"/>
          <w:sz w:val="32"/>
          <w:szCs w:val="32"/>
        </w:rPr>
        <w:t>2022年12月预算执行进度94%。</w:t>
      </w:r>
    </w:p>
    <w:p>
      <w:pPr>
        <w:spacing w:line="576" w:lineRule="exact"/>
        <w:ind w:firstLine="640" w:firstLineChars="200"/>
        <w:rPr>
          <w:rFonts w:eastAsia="仿宋_GB2312"/>
          <w:sz w:val="32"/>
          <w:szCs w:val="32"/>
        </w:rPr>
      </w:pPr>
      <w:r>
        <w:rPr>
          <w:rFonts w:eastAsia="仿宋_GB2312"/>
          <w:sz w:val="32"/>
          <w:szCs w:val="32"/>
        </w:rPr>
        <w:t>7.资金结余</w:t>
      </w:r>
    </w:p>
    <w:p>
      <w:pPr>
        <w:spacing w:line="576" w:lineRule="exact"/>
        <w:ind w:firstLine="640" w:firstLineChars="200"/>
        <w:rPr>
          <w:rFonts w:eastAsia="仿宋_GB2312"/>
          <w:sz w:val="32"/>
          <w:szCs w:val="32"/>
        </w:rPr>
      </w:pPr>
      <w:r>
        <w:rPr>
          <w:rFonts w:eastAsia="仿宋_GB2312"/>
          <w:sz w:val="32"/>
          <w:szCs w:val="32"/>
        </w:rPr>
        <w:t>我会2022年招商引资经费项目支出0万元，结余1.75万元，执行度0%；争取项目资金项目支出0元，结余2.79万元，执行度0%；原因是项目指标年底追加，无法完成支付结转到下一年度使用。</w:t>
      </w:r>
    </w:p>
    <w:p>
      <w:pPr>
        <w:spacing w:line="576" w:lineRule="exact"/>
        <w:ind w:firstLine="640" w:firstLineChars="200"/>
        <w:rPr>
          <w:rFonts w:eastAsia="仿宋_GB2312"/>
          <w:sz w:val="32"/>
          <w:szCs w:val="32"/>
        </w:rPr>
      </w:pPr>
      <w:r>
        <w:rPr>
          <w:rFonts w:eastAsia="仿宋_GB2312"/>
          <w:sz w:val="32"/>
          <w:szCs w:val="32"/>
        </w:rPr>
        <w:t>8.违规记录</w:t>
      </w:r>
    </w:p>
    <w:p>
      <w:pPr>
        <w:spacing w:line="576" w:lineRule="exact"/>
        <w:ind w:firstLine="640" w:firstLineChars="200"/>
        <w:rPr>
          <w:rFonts w:eastAsia="仿宋_GB2312"/>
          <w:sz w:val="32"/>
          <w:szCs w:val="32"/>
        </w:rPr>
      </w:pPr>
      <w:r>
        <w:rPr>
          <w:rFonts w:eastAsia="仿宋_GB2312"/>
          <w:sz w:val="32"/>
          <w:szCs w:val="32"/>
        </w:rPr>
        <w:t>我会2022年无违规记录。</w:t>
      </w:r>
    </w:p>
    <w:p>
      <w:pPr>
        <w:spacing w:line="576" w:lineRule="exact"/>
        <w:ind w:firstLine="640" w:firstLineChars="200"/>
        <w:rPr>
          <w:rFonts w:eastAsia="楷体_GB2312"/>
          <w:sz w:val="32"/>
          <w:szCs w:val="32"/>
        </w:rPr>
      </w:pPr>
      <w:r>
        <w:rPr>
          <w:rFonts w:eastAsia="楷体_GB2312"/>
          <w:sz w:val="32"/>
          <w:szCs w:val="32"/>
        </w:rPr>
        <w:t>（二）结果应用公开情况</w:t>
      </w:r>
    </w:p>
    <w:p>
      <w:pPr>
        <w:spacing w:line="576" w:lineRule="exact"/>
        <w:ind w:firstLine="640" w:firstLineChars="200"/>
        <w:rPr>
          <w:rFonts w:eastAsia="仿宋_GB2312"/>
          <w:sz w:val="32"/>
          <w:szCs w:val="32"/>
        </w:rPr>
      </w:pPr>
      <w:r>
        <w:rPr>
          <w:rFonts w:eastAsia="仿宋_GB2312"/>
          <w:sz w:val="32"/>
          <w:szCs w:val="32"/>
        </w:rPr>
        <w:t>1.内部应用</w:t>
      </w:r>
    </w:p>
    <w:p>
      <w:pPr>
        <w:spacing w:line="576" w:lineRule="exact"/>
        <w:ind w:firstLine="640" w:firstLineChars="200"/>
        <w:rPr>
          <w:rFonts w:eastAsia="仿宋_GB2312"/>
          <w:sz w:val="32"/>
          <w:szCs w:val="32"/>
        </w:rPr>
      </w:pPr>
      <w:r>
        <w:rPr>
          <w:rFonts w:eastAsia="仿宋_GB2312"/>
          <w:sz w:val="32"/>
          <w:szCs w:val="32"/>
        </w:rPr>
        <w:t>我会召开专题内控制度建立会议，成立了</w:t>
      </w:r>
      <w:r>
        <w:rPr>
          <w:rFonts w:hint="eastAsia" w:eastAsia="仿宋_GB2312"/>
          <w:sz w:val="32"/>
          <w:szCs w:val="32"/>
          <w:lang w:eastAsia="zh-CN"/>
        </w:rPr>
        <w:t>以</w:t>
      </w:r>
      <w:r>
        <w:rPr>
          <w:rFonts w:eastAsia="仿宋_GB2312"/>
          <w:sz w:val="32"/>
          <w:szCs w:val="32"/>
        </w:rPr>
        <w:t>单位一把手为组长的领导小组，将内控监督设在办公室，妇女儿童工作纳入考核体系，建立对内设机构预算与绩效挂钩机制。</w:t>
      </w:r>
    </w:p>
    <w:p>
      <w:pPr>
        <w:spacing w:line="576" w:lineRule="exact"/>
        <w:ind w:firstLine="640" w:firstLineChars="200"/>
        <w:rPr>
          <w:rFonts w:eastAsia="仿宋_GB2312"/>
          <w:sz w:val="32"/>
          <w:szCs w:val="32"/>
        </w:rPr>
      </w:pPr>
      <w:r>
        <w:rPr>
          <w:rFonts w:eastAsia="仿宋_GB2312"/>
          <w:sz w:val="32"/>
          <w:szCs w:val="32"/>
        </w:rPr>
        <w:t>2.自评公开</w:t>
      </w:r>
    </w:p>
    <w:p>
      <w:pPr>
        <w:spacing w:line="576" w:lineRule="exact"/>
        <w:ind w:firstLine="640" w:firstLineChars="200"/>
        <w:rPr>
          <w:rFonts w:eastAsia="仿宋_GB2312"/>
          <w:sz w:val="32"/>
          <w:szCs w:val="32"/>
        </w:rPr>
      </w:pPr>
      <w:r>
        <w:rPr>
          <w:rFonts w:eastAsia="仿宋_GB2312"/>
          <w:sz w:val="32"/>
          <w:szCs w:val="32"/>
        </w:rPr>
        <w:t>按照《中共中央国务院关于全面实施预算绩效管理的意见》（中发〔2018〕34号）、《广元市昭化区预算绩效管理工作考核办法的通知》的通知（昭府办函〔2021〕号）文件要求，我会在2022年年末全体干部职工会经过分管领导卫艳审核，党组书记、主席李欣审阅，由财务处在预决算公开时一起公开，规范工作要求，做好宣传引导，主动接受社会监督。</w:t>
      </w:r>
    </w:p>
    <w:p>
      <w:pPr>
        <w:spacing w:line="576" w:lineRule="exact"/>
        <w:ind w:firstLine="640" w:firstLineChars="200"/>
        <w:rPr>
          <w:rFonts w:eastAsia="仿宋_GB2312"/>
          <w:sz w:val="32"/>
          <w:szCs w:val="32"/>
        </w:rPr>
      </w:pPr>
      <w:r>
        <w:rPr>
          <w:rFonts w:eastAsia="仿宋_GB2312"/>
          <w:sz w:val="32"/>
          <w:szCs w:val="32"/>
        </w:rPr>
        <w:t>3.问题整改</w:t>
      </w:r>
    </w:p>
    <w:p>
      <w:pPr>
        <w:spacing w:line="576" w:lineRule="exact"/>
        <w:ind w:firstLine="640" w:firstLineChars="200"/>
        <w:rPr>
          <w:rFonts w:eastAsia="仿宋_GB2312"/>
          <w:sz w:val="32"/>
          <w:szCs w:val="32"/>
        </w:rPr>
      </w:pPr>
      <w:r>
        <w:rPr>
          <w:rFonts w:eastAsia="仿宋_GB2312"/>
          <w:sz w:val="32"/>
          <w:szCs w:val="32"/>
        </w:rPr>
        <w:t>（1）加强预算执行进度管理。我单位加强与业务部门工作对接，加快预算的执行进度，狠抓项目建设的实效性，从实际工作入手，统筹兼顾整体支出所有指标和预算执行面，分清主次均衡实施项目，确保全年项目资金实现均衡支出。</w:t>
      </w:r>
    </w:p>
    <w:p>
      <w:pPr>
        <w:spacing w:line="576" w:lineRule="exact"/>
        <w:ind w:firstLine="640" w:firstLineChars="200"/>
        <w:rPr>
          <w:rFonts w:eastAsia="仿宋_GB2312"/>
          <w:sz w:val="32"/>
          <w:szCs w:val="32"/>
        </w:rPr>
      </w:pPr>
      <w:r>
        <w:rPr>
          <w:rFonts w:eastAsia="仿宋_GB2312"/>
          <w:sz w:val="32"/>
          <w:szCs w:val="32"/>
        </w:rPr>
        <w:t>（2）加强预算绩效管理意识。建立健全部门绩效管理办法，落实好项目事前绩效评估工作，搭建部门绩效指标体系，认真做好部门整体支出绩效评估和各个指标的科学设置工作。</w:t>
      </w:r>
    </w:p>
    <w:p>
      <w:pPr>
        <w:spacing w:line="576" w:lineRule="exact"/>
        <w:ind w:firstLine="640" w:firstLineChars="200"/>
        <w:rPr>
          <w:rFonts w:eastAsia="仿宋_GB2312"/>
          <w:sz w:val="32"/>
          <w:szCs w:val="32"/>
        </w:rPr>
      </w:pPr>
      <w:r>
        <w:rPr>
          <w:rFonts w:eastAsia="仿宋_GB2312"/>
          <w:sz w:val="32"/>
          <w:szCs w:val="32"/>
        </w:rPr>
        <w:t>4.应用反馈</w:t>
      </w:r>
    </w:p>
    <w:p>
      <w:pPr>
        <w:spacing w:line="576" w:lineRule="exact"/>
        <w:ind w:firstLine="640" w:firstLineChars="200"/>
        <w:rPr>
          <w:rFonts w:eastAsia="仿宋_GB2312"/>
          <w:sz w:val="32"/>
          <w:szCs w:val="32"/>
        </w:rPr>
      </w:pPr>
      <w:r>
        <w:rPr>
          <w:rFonts w:eastAsia="仿宋_GB2312"/>
          <w:sz w:val="32"/>
          <w:szCs w:val="32"/>
        </w:rPr>
        <w:t>我会2022年度在规定时间内积极向财政部门反馈应用绩效结果报告。</w:t>
      </w:r>
    </w:p>
    <w:p>
      <w:pPr>
        <w:spacing w:line="576" w:lineRule="exact"/>
        <w:ind w:firstLine="640" w:firstLineChars="200"/>
        <w:rPr>
          <w:rFonts w:eastAsia="楷体_GB2312"/>
          <w:sz w:val="32"/>
          <w:szCs w:val="32"/>
        </w:rPr>
      </w:pPr>
      <w:r>
        <w:rPr>
          <w:rFonts w:eastAsia="楷体_GB2312"/>
          <w:sz w:val="32"/>
          <w:szCs w:val="32"/>
        </w:rPr>
        <w:t>（三）自评质量</w:t>
      </w:r>
    </w:p>
    <w:p>
      <w:pPr>
        <w:spacing w:line="576" w:lineRule="exact"/>
        <w:ind w:firstLine="640" w:firstLineChars="200"/>
        <w:rPr>
          <w:rFonts w:eastAsia="仿宋_GB2312"/>
          <w:sz w:val="32"/>
          <w:szCs w:val="32"/>
        </w:rPr>
      </w:pPr>
      <w:r>
        <w:rPr>
          <w:rFonts w:eastAsia="仿宋_GB2312"/>
          <w:sz w:val="32"/>
          <w:szCs w:val="32"/>
        </w:rPr>
        <w:t>本单位严格按照区财政局的要求，对2022年部门整体支出绩效中的目标制定、目标实现、支出控制、执行进度、预算完成等方面开展了自评，自评范围全面、客观、准确。</w:t>
      </w:r>
    </w:p>
    <w:p>
      <w:pPr>
        <w:spacing w:line="576" w:lineRule="exact"/>
        <w:ind w:firstLine="640" w:firstLineChars="200"/>
        <w:rPr>
          <w:rFonts w:eastAsia="黑体"/>
          <w:sz w:val="32"/>
          <w:szCs w:val="32"/>
        </w:rPr>
      </w:pPr>
      <w:r>
        <w:rPr>
          <w:rFonts w:hAnsi="黑体" w:eastAsia="黑体"/>
          <w:sz w:val="32"/>
          <w:szCs w:val="32"/>
        </w:rPr>
        <w:t>四、评价结论及建议</w:t>
      </w:r>
    </w:p>
    <w:p>
      <w:pPr>
        <w:spacing w:line="576" w:lineRule="exact"/>
        <w:ind w:firstLine="640" w:firstLineChars="200"/>
        <w:rPr>
          <w:rFonts w:eastAsia="楷体_GB2312"/>
          <w:sz w:val="32"/>
          <w:szCs w:val="32"/>
        </w:rPr>
      </w:pPr>
      <w:r>
        <w:rPr>
          <w:rFonts w:eastAsia="楷体_GB2312"/>
          <w:sz w:val="32"/>
          <w:szCs w:val="32"/>
        </w:rPr>
        <w:t>（一）自评结论</w:t>
      </w:r>
    </w:p>
    <w:p>
      <w:pPr>
        <w:spacing w:line="576" w:lineRule="exact"/>
        <w:ind w:firstLine="640" w:firstLineChars="200"/>
        <w:rPr>
          <w:rFonts w:eastAsia="仿宋_GB2312"/>
          <w:sz w:val="32"/>
          <w:szCs w:val="32"/>
        </w:rPr>
      </w:pPr>
      <w:r>
        <w:rPr>
          <w:rFonts w:eastAsia="仿宋_GB2312"/>
          <w:sz w:val="32"/>
          <w:szCs w:val="32"/>
        </w:rPr>
        <w:t>我会2022年度按照年初绩效目标高质高效完成财政支出，根据财政部门绩效评价办法制定本单位绩效评价制度和细则，积极主动接受、配合各层级开展绩效评价相关工作，按要求公开重点绩效评价报告，自评得分95分。</w:t>
      </w:r>
    </w:p>
    <w:p>
      <w:pPr>
        <w:spacing w:line="576" w:lineRule="exact"/>
        <w:ind w:firstLine="640" w:firstLineChars="200"/>
        <w:rPr>
          <w:rFonts w:eastAsia="楷体_GB2312"/>
          <w:sz w:val="32"/>
          <w:szCs w:val="32"/>
        </w:rPr>
      </w:pPr>
      <w:r>
        <w:rPr>
          <w:rFonts w:eastAsia="楷体_GB2312"/>
          <w:sz w:val="32"/>
          <w:szCs w:val="32"/>
        </w:rPr>
        <w:t>（二）存在问题</w:t>
      </w:r>
    </w:p>
    <w:p>
      <w:pPr>
        <w:spacing w:line="576" w:lineRule="exact"/>
        <w:ind w:firstLine="640" w:firstLineChars="200"/>
        <w:rPr>
          <w:rFonts w:eastAsia="仿宋_GB2312"/>
          <w:sz w:val="32"/>
          <w:szCs w:val="32"/>
        </w:rPr>
      </w:pPr>
      <w:r>
        <w:rPr>
          <w:rFonts w:eastAsia="仿宋_GB2312"/>
          <w:sz w:val="32"/>
          <w:szCs w:val="32"/>
        </w:rPr>
        <w:t>1.财政科学化、精细化管理水平有待进一步提高。</w:t>
      </w:r>
    </w:p>
    <w:p>
      <w:pPr>
        <w:spacing w:line="576" w:lineRule="exact"/>
        <w:ind w:firstLine="640" w:firstLineChars="200"/>
        <w:rPr>
          <w:rFonts w:eastAsia="仿宋_GB2312"/>
          <w:sz w:val="32"/>
          <w:szCs w:val="32"/>
        </w:rPr>
      </w:pPr>
      <w:r>
        <w:rPr>
          <w:rFonts w:eastAsia="仿宋_GB2312"/>
          <w:sz w:val="32"/>
          <w:szCs w:val="32"/>
        </w:rPr>
        <w:t>2.财政资源配置作用有待进一步加强。</w:t>
      </w:r>
    </w:p>
    <w:p>
      <w:pPr>
        <w:spacing w:line="576" w:lineRule="exact"/>
        <w:ind w:firstLine="640" w:firstLineChars="200"/>
        <w:rPr>
          <w:rFonts w:eastAsia="楷体_GB2312"/>
          <w:sz w:val="32"/>
          <w:szCs w:val="32"/>
        </w:rPr>
      </w:pPr>
      <w:r>
        <w:rPr>
          <w:rFonts w:eastAsia="楷体_GB2312"/>
          <w:sz w:val="32"/>
          <w:szCs w:val="32"/>
        </w:rPr>
        <w:t>（三）改进建议</w:t>
      </w:r>
    </w:p>
    <w:p>
      <w:pPr>
        <w:spacing w:line="576" w:lineRule="exact"/>
        <w:ind w:firstLine="640" w:firstLineChars="200"/>
        <w:rPr>
          <w:rFonts w:eastAsia="仿宋_GB2312"/>
          <w:sz w:val="32"/>
          <w:szCs w:val="32"/>
        </w:rPr>
      </w:pPr>
      <w:r>
        <w:rPr>
          <w:rFonts w:eastAsia="仿宋_GB2312"/>
          <w:sz w:val="32"/>
          <w:szCs w:val="32"/>
        </w:rPr>
        <w:t>1.不断完善部门预算编制工作，在规范制度、细化编制、严格执行等方面下功夫，切实提高预算管理全过程的科学化和精细化水平。</w:t>
      </w:r>
    </w:p>
    <w:p>
      <w:pPr>
        <w:spacing w:line="576" w:lineRule="exact"/>
        <w:ind w:firstLine="640" w:firstLineChars="200"/>
        <w:rPr>
          <w:rFonts w:eastAsia="仿宋_GB2312"/>
          <w:sz w:val="32"/>
          <w:szCs w:val="32"/>
        </w:rPr>
      </w:pPr>
      <w:r>
        <w:rPr>
          <w:rFonts w:eastAsia="仿宋_GB2312"/>
          <w:sz w:val="32"/>
          <w:szCs w:val="32"/>
        </w:rPr>
        <w:t>2.优化支出结构，统筹运用财力，合理调度财政资金，确保正常运转和社会稳定。加强财政监督，完善监督制约机制，特别是加强项目资金管理，做到专款专用，不断提高财政资金的使用效益。</w:t>
      </w:r>
    </w:p>
    <w:p>
      <w:pPr>
        <w:pStyle w:val="14"/>
        <w:spacing w:after="0" w:line="576" w:lineRule="exact"/>
        <w:ind w:left="0" w:leftChars="0" w:firstLine="640"/>
        <w:rPr>
          <w:rFonts w:hint="eastAsia" w:ascii="Times New Roman" w:hAnsi="仿宋_GB2312" w:eastAsia="仿宋_GB2312"/>
          <w:sz w:val="32"/>
          <w:lang w:val="zh-CN"/>
        </w:rPr>
      </w:pPr>
    </w:p>
    <w:p>
      <w:pPr>
        <w:pStyle w:val="14"/>
        <w:spacing w:after="0" w:line="576" w:lineRule="exact"/>
        <w:ind w:left="0" w:leftChars="0" w:firstLine="640"/>
        <w:rPr>
          <w:rFonts w:ascii="Times New Roman" w:eastAsia="仿宋_GB2312"/>
          <w:sz w:val="32"/>
          <w:lang w:val="zh-CN"/>
        </w:rPr>
      </w:pPr>
      <w:r>
        <w:rPr>
          <w:rFonts w:ascii="Times New Roman" w:hAnsi="仿宋_GB2312" w:eastAsia="仿宋_GB2312"/>
          <w:sz w:val="32"/>
          <w:lang w:val="zh-CN"/>
        </w:rPr>
        <w:t>附表：</w:t>
      </w:r>
      <w:r>
        <w:rPr>
          <w:rFonts w:ascii="Times New Roman" w:hAnsi="仿宋_GB2312" w:eastAsia="仿宋_GB2312"/>
          <w:sz w:val="32"/>
        </w:rPr>
        <w:t>部门预算项目支出绩效自评表（</w:t>
      </w:r>
      <w:r>
        <w:rPr>
          <w:rFonts w:ascii="Times New Roman" w:eastAsia="仿宋_GB2312"/>
          <w:sz w:val="32"/>
        </w:rPr>
        <w:t>2022</w:t>
      </w:r>
      <w:r>
        <w:rPr>
          <w:rFonts w:ascii="Times New Roman" w:hAnsi="仿宋_GB2312" w:eastAsia="仿宋_GB2312"/>
          <w:sz w:val="32"/>
        </w:rPr>
        <w:t>年度）</w:t>
      </w:r>
    </w:p>
    <w:p>
      <w:pPr>
        <w:spacing w:line="576" w:lineRule="exact"/>
        <w:ind w:firstLine="640" w:firstLineChars="200"/>
        <w:rPr>
          <w:rFonts w:eastAsia="仿宋_GB2312"/>
          <w:sz w:val="32"/>
          <w:szCs w:val="32"/>
        </w:rPr>
      </w:pPr>
    </w:p>
    <w:p>
      <w:pPr>
        <w:spacing w:line="576" w:lineRule="exact"/>
        <w:ind w:firstLine="640" w:firstLineChars="200"/>
        <w:rPr>
          <w:rFonts w:eastAsia="仿宋_GB2312"/>
          <w:sz w:val="32"/>
          <w:szCs w:val="32"/>
        </w:rPr>
      </w:pPr>
    </w:p>
    <w:p>
      <w:pPr>
        <w:spacing w:line="576" w:lineRule="exact"/>
        <w:ind w:firstLine="1984" w:firstLineChars="620"/>
        <w:jc w:val="center"/>
        <w:rPr>
          <w:rFonts w:eastAsia="仿宋_GB2312"/>
          <w:sz w:val="32"/>
          <w:szCs w:val="32"/>
        </w:rPr>
      </w:pPr>
      <w:r>
        <w:rPr>
          <w:rFonts w:eastAsia="仿宋_GB2312"/>
          <w:sz w:val="32"/>
          <w:szCs w:val="32"/>
        </w:rPr>
        <w:t>广元市昭化区妇女联合会</w:t>
      </w:r>
    </w:p>
    <w:p>
      <w:pPr>
        <w:spacing w:line="576" w:lineRule="exact"/>
        <w:ind w:firstLine="1984" w:firstLineChars="620"/>
        <w:jc w:val="center"/>
        <w:rPr>
          <w:sz w:val="32"/>
          <w:szCs w:val="32"/>
          <w:shd w:val="clear" w:color="auto" w:fill="FFFFFF"/>
          <w:lang w:val="zh-CN"/>
        </w:rPr>
      </w:pPr>
      <w:r>
        <w:rPr>
          <w:rFonts w:eastAsia="仿宋_GB2312"/>
          <w:sz w:val="32"/>
          <w:szCs w:val="32"/>
        </w:rPr>
        <w:t>2023年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26</w:t>
      </w:r>
      <w:r>
        <w:rPr>
          <w:rFonts w:eastAsia="仿宋_GB2312"/>
          <w:sz w:val="32"/>
          <w:szCs w:val="32"/>
        </w:rPr>
        <w:t>日</w:t>
      </w:r>
    </w:p>
    <w:p>
      <w:pPr>
        <w:spacing w:line="576" w:lineRule="exact"/>
        <w:ind w:firstLine="640" w:firstLineChars="200"/>
        <w:rPr>
          <w:kern w:val="0"/>
          <w:sz w:val="32"/>
          <w:szCs w:val="32"/>
          <w:shd w:val="clear" w:color="auto" w:fill="FFFFFF"/>
          <w:lang w:val="zh-CN"/>
        </w:rPr>
        <w:sectPr>
          <w:footerReference r:id="rId5" w:type="first"/>
          <w:footerReference r:id="rId4" w:type="default"/>
          <w:pgSz w:w="11906" w:h="16838"/>
          <w:pgMar w:top="2098" w:right="1474" w:bottom="1985" w:left="1588" w:header="851" w:footer="1531" w:gutter="0"/>
          <w:pgNumType w:start="1"/>
          <w:cols w:space="425" w:num="1"/>
          <w:titlePg/>
          <w:docGrid w:type="linesAndChars" w:linePitch="312" w:charSpace="0"/>
        </w:sectPr>
      </w:pPr>
    </w:p>
    <w:p>
      <w:pPr>
        <w:spacing w:line="576" w:lineRule="exact"/>
        <w:rPr>
          <w:rFonts w:ascii="黑体" w:hAnsi="黑体" w:eastAsia="黑体"/>
          <w:sz w:val="32"/>
          <w:szCs w:val="32"/>
        </w:rPr>
      </w:pPr>
      <w:r>
        <w:rPr>
          <w:rFonts w:ascii="黑体" w:hAnsi="黑体" w:eastAsia="黑体"/>
          <w:sz w:val="32"/>
          <w:szCs w:val="32"/>
        </w:rPr>
        <w:t>附表</w:t>
      </w:r>
    </w:p>
    <w:p>
      <w:pPr>
        <w:spacing w:line="576" w:lineRule="exact"/>
        <w:jc w:val="center"/>
        <w:rPr>
          <w:rFonts w:eastAsia="方正小标宋_GBK"/>
          <w:sz w:val="36"/>
          <w:szCs w:val="36"/>
        </w:rPr>
      </w:pPr>
      <w:r>
        <w:rPr>
          <w:rFonts w:eastAsia="方正小标宋_GBK"/>
          <w:sz w:val="36"/>
          <w:szCs w:val="36"/>
        </w:rPr>
        <w:t>广元市昭化区部门整体支出绩效目标自评表</w:t>
      </w:r>
    </w:p>
    <w:p>
      <w:pPr>
        <w:spacing w:line="576" w:lineRule="exact"/>
        <w:jc w:val="center"/>
      </w:pPr>
      <w:r>
        <w:drawing>
          <wp:anchor distT="0" distB="0" distL="114300" distR="114300" simplePos="0" relativeHeight="251659264" behindDoc="0" locked="0" layoutInCell="1" allowOverlap="0">
            <wp:simplePos x="0" y="0"/>
            <wp:positionH relativeFrom="page">
              <wp:posOffset>6576060</wp:posOffset>
            </wp:positionH>
            <wp:positionV relativeFrom="page">
              <wp:posOffset>10021570</wp:posOffset>
            </wp:positionV>
            <wp:extent cx="3175" cy="3175"/>
            <wp:effectExtent l="0" t="0" r="0" b="0"/>
            <wp:wrapSquare wrapText="bothSides"/>
            <wp:docPr id="291" name="Picture 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4670"/>
                    <pic:cNvPicPr>
                      <a:picLocks noChangeAspect="1"/>
                    </pic:cNvPicPr>
                  </pic:nvPicPr>
                  <pic:blipFill>
                    <a:blip r:embed="rId14"/>
                    <a:stretch>
                      <a:fillRect/>
                    </a:stretch>
                  </pic:blipFill>
                  <pic:spPr>
                    <a:xfrm>
                      <a:off x="0" y="0"/>
                      <a:ext cx="3238" cy="3238"/>
                    </a:xfrm>
                    <a:prstGeom prst="rect">
                      <a:avLst/>
                    </a:prstGeom>
                  </pic:spPr>
                </pic:pic>
              </a:graphicData>
            </a:graphic>
          </wp:anchor>
        </w:drawing>
      </w:r>
      <w:r>
        <w:drawing>
          <wp:anchor distT="0" distB="0" distL="114300" distR="114300" simplePos="0" relativeHeight="251660288" behindDoc="0" locked="0" layoutInCell="1" allowOverlap="0">
            <wp:simplePos x="0" y="0"/>
            <wp:positionH relativeFrom="page">
              <wp:posOffset>6576060</wp:posOffset>
            </wp:positionH>
            <wp:positionV relativeFrom="page">
              <wp:posOffset>10034270</wp:posOffset>
            </wp:positionV>
            <wp:extent cx="3175" cy="6350"/>
            <wp:effectExtent l="0" t="0" r="0" b="0"/>
            <wp:wrapSquare wrapText="bothSides"/>
            <wp:docPr id="292" name="Picture 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4671"/>
                    <pic:cNvPicPr>
                      <a:picLocks noChangeAspect="1"/>
                    </pic:cNvPicPr>
                  </pic:nvPicPr>
                  <pic:blipFill>
                    <a:blip r:embed="rId15"/>
                    <a:stretch>
                      <a:fillRect/>
                    </a:stretch>
                  </pic:blipFill>
                  <pic:spPr>
                    <a:xfrm>
                      <a:off x="0" y="0"/>
                      <a:ext cx="3238" cy="6477"/>
                    </a:xfrm>
                    <a:prstGeom prst="rect">
                      <a:avLst/>
                    </a:prstGeom>
                  </pic:spPr>
                </pic:pic>
              </a:graphicData>
            </a:graphic>
          </wp:anchor>
        </w:drawing>
      </w:r>
      <w:r>
        <w:drawing>
          <wp:anchor distT="0" distB="0" distL="114300" distR="114300" simplePos="0" relativeHeight="251661312" behindDoc="0" locked="0" layoutInCell="1" allowOverlap="0">
            <wp:simplePos x="0" y="0"/>
            <wp:positionH relativeFrom="page">
              <wp:posOffset>6837680</wp:posOffset>
            </wp:positionH>
            <wp:positionV relativeFrom="page">
              <wp:posOffset>10040620</wp:posOffset>
            </wp:positionV>
            <wp:extent cx="6350" cy="3175"/>
            <wp:effectExtent l="0" t="0" r="0" b="0"/>
            <wp:wrapSquare wrapText="bothSides"/>
            <wp:docPr id="293" name="Picture 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4672"/>
                    <pic:cNvPicPr>
                      <a:picLocks noChangeAspect="1"/>
                    </pic:cNvPicPr>
                  </pic:nvPicPr>
                  <pic:blipFill>
                    <a:blip r:embed="rId16"/>
                    <a:stretch>
                      <a:fillRect/>
                    </a:stretch>
                  </pic:blipFill>
                  <pic:spPr>
                    <a:xfrm>
                      <a:off x="0" y="0"/>
                      <a:ext cx="6477" cy="3238"/>
                    </a:xfrm>
                    <a:prstGeom prst="rect">
                      <a:avLst/>
                    </a:prstGeom>
                  </pic:spPr>
                </pic:pic>
              </a:graphicData>
            </a:graphic>
          </wp:anchor>
        </w:drawing>
      </w:r>
      <w:r>
        <w:rPr>
          <w:rFonts w:hint="eastAsia" w:eastAsia="微软雅黑"/>
          <w:sz w:val="20"/>
        </w:rPr>
        <w:t>（2022</w:t>
      </w:r>
      <w:r>
        <w:rPr>
          <w:rFonts w:hAnsi="微软雅黑" w:eastAsia="微软雅黑"/>
          <w:sz w:val="20"/>
        </w:rPr>
        <w:t>年度）</w:t>
      </w:r>
    </w:p>
    <w:tbl>
      <w:tblPr>
        <w:tblStyle w:val="36"/>
        <w:tblW w:w="977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4" w:type="dxa"/>
          <w:left w:w="0" w:type="dxa"/>
          <w:bottom w:w="0" w:type="dxa"/>
          <w:right w:w="30" w:type="dxa"/>
        </w:tblCellMar>
      </w:tblPr>
      <w:tblGrid>
        <w:gridCol w:w="797"/>
        <w:gridCol w:w="831"/>
        <w:gridCol w:w="1148"/>
        <w:gridCol w:w="1068"/>
        <w:gridCol w:w="1316"/>
        <w:gridCol w:w="1396"/>
        <w:gridCol w:w="1395"/>
        <w:gridCol w:w="1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310" w:hRule="atLeast"/>
          <w:jc w:val="center"/>
        </w:trPr>
        <w:tc>
          <w:tcPr>
            <w:tcW w:w="1628"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主管部门</w:t>
            </w:r>
          </w:p>
        </w:tc>
        <w:tc>
          <w:tcPr>
            <w:tcW w:w="3532" w:type="dxa"/>
            <w:gridSpan w:val="3"/>
            <w:vAlign w:val="center"/>
          </w:tcPr>
          <w:p>
            <w:pPr>
              <w:jc w:val="center"/>
              <w:rPr>
                <w:rFonts w:asciiTheme="majorEastAsia" w:hAnsiTheme="majorEastAsia" w:eastAsiaTheme="majorEastAsia"/>
                <w:szCs w:val="21"/>
              </w:rPr>
            </w:pPr>
            <w:r>
              <w:rPr>
                <w:rFonts w:asciiTheme="majorEastAsia" w:hAnsiTheme="majorEastAsia" w:eastAsiaTheme="majorEastAsia"/>
                <w:szCs w:val="21"/>
              </w:rPr>
              <w:t>广元市昭化区妇女联合会</w:t>
            </w:r>
          </w:p>
        </w:tc>
        <w:tc>
          <w:tcPr>
            <w:tcW w:w="139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实施单位</w:t>
            </w:r>
          </w:p>
        </w:tc>
        <w:tc>
          <w:tcPr>
            <w:tcW w:w="3217"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广元市昭化区妇女联合会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1628" w:type="dxa"/>
            <w:gridSpan w:val="2"/>
            <w:vMerge w:val="restart"/>
            <w:vAlign w:val="center"/>
          </w:tcPr>
          <w:p>
            <w:pPr>
              <w:jc w:val="center"/>
              <w:rPr>
                <w:rFonts w:asciiTheme="majorEastAsia" w:hAnsiTheme="majorEastAsia" w:eastAsiaTheme="majorEastAsia"/>
                <w:szCs w:val="21"/>
              </w:rPr>
            </w:pPr>
            <w:r>
              <w:rPr>
                <w:rFonts w:asciiTheme="majorEastAsia" w:hAnsiTheme="majorEastAsia" w:eastAsiaTheme="majorEastAsia"/>
                <w:szCs w:val="21"/>
              </w:rPr>
              <w:t>项目（政策）资金（万元）</w:t>
            </w:r>
          </w:p>
        </w:tc>
        <w:tc>
          <w:tcPr>
            <w:tcW w:w="2216" w:type="dxa"/>
            <w:gridSpan w:val="2"/>
            <w:vAlign w:val="center"/>
          </w:tcPr>
          <w:p>
            <w:pPr>
              <w:jc w:val="center"/>
              <w:rPr>
                <w:rFonts w:asciiTheme="majorEastAsia" w:hAnsiTheme="majorEastAsia" w:eastAsiaTheme="majorEastAsia"/>
                <w:szCs w:val="21"/>
              </w:rPr>
            </w:pPr>
          </w:p>
        </w:tc>
        <w:tc>
          <w:tcPr>
            <w:tcW w:w="131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年初预算数</w:t>
            </w:r>
          </w:p>
        </w:tc>
        <w:tc>
          <w:tcPr>
            <w:tcW w:w="139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全年预算数</w:t>
            </w:r>
          </w:p>
        </w:tc>
        <w:tc>
          <w:tcPr>
            <w:tcW w:w="1395"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全年执行数</w:t>
            </w:r>
          </w:p>
        </w:tc>
        <w:tc>
          <w:tcPr>
            <w:tcW w:w="1822"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执行率(%)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59" w:hRule="atLeast"/>
          <w:jc w:val="center"/>
        </w:trPr>
        <w:tc>
          <w:tcPr>
            <w:tcW w:w="1628" w:type="dxa"/>
            <w:gridSpan w:val="2"/>
            <w:vMerge w:val="continue"/>
            <w:vAlign w:val="center"/>
          </w:tcPr>
          <w:p>
            <w:pPr>
              <w:jc w:val="center"/>
              <w:rPr>
                <w:rFonts w:asciiTheme="majorEastAsia" w:hAnsiTheme="majorEastAsia" w:eastAsiaTheme="majorEastAsia"/>
                <w:szCs w:val="21"/>
              </w:rPr>
            </w:pPr>
          </w:p>
        </w:tc>
        <w:tc>
          <w:tcPr>
            <w:tcW w:w="2216"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年度资金总额</w:t>
            </w:r>
          </w:p>
        </w:tc>
        <w:tc>
          <w:tcPr>
            <w:tcW w:w="131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69.70</w:t>
            </w:r>
          </w:p>
        </w:tc>
        <w:tc>
          <w:tcPr>
            <w:tcW w:w="139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125.32</w:t>
            </w:r>
          </w:p>
        </w:tc>
        <w:tc>
          <w:tcPr>
            <w:tcW w:w="1395"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125.32</w:t>
            </w:r>
          </w:p>
        </w:tc>
        <w:tc>
          <w:tcPr>
            <w:tcW w:w="1822"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1628" w:type="dxa"/>
            <w:gridSpan w:val="2"/>
            <w:vMerge w:val="continue"/>
            <w:vAlign w:val="center"/>
          </w:tcPr>
          <w:p>
            <w:pPr>
              <w:jc w:val="center"/>
              <w:rPr>
                <w:rFonts w:asciiTheme="majorEastAsia" w:hAnsiTheme="majorEastAsia" w:eastAsiaTheme="majorEastAsia"/>
                <w:szCs w:val="21"/>
              </w:rPr>
            </w:pPr>
          </w:p>
        </w:tc>
        <w:tc>
          <w:tcPr>
            <w:tcW w:w="2216"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（一）财政拨款小计</w:t>
            </w:r>
          </w:p>
        </w:tc>
        <w:tc>
          <w:tcPr>
            <w:tcW w:w="131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69.70</w:t>
            </w:r>
          </w:p>
        </w:tc>
        <w:tc>
          <w:tcPr>
            <w:tcW w:w="139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125.32</w:t>
            </w:r>
          </w:p>
        </w:tc>
        <w:tc>
          <w:tcPr>
            <w:tcW w:w="1395"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125.32</w:t>
            </w:r>
          </w:p>
        </w:tc>
        <w:tc>
          <w:tcPr>
            <w:tcW w:w="1822"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69" w:hRule="atLeast"/>
          <w:jc w:val="center"/>
        </w:trPr>
        <w:tc>
          <w:tcPr>
            <w:tcW w:w="1628" w:type="dxa"/>
            <w:gridSpan w:val="2"/>
            <w:vMerge w:val="continue"/>
            <w:vAlign w:val="center"/>
          </w:tcPr>
          <w:p>
            <w:pPr>
              <w:jc w:val="center"/>
              <w:rPr>
                <w:rFonts w:asciiTheme="majorEastAsia" w:hAnsiTheme="majorEastAsia" w:eastAsiaTheme="majorEastAsia"/>
                <w:szCs w:val="21"/>
              </w:rPr>
            </w:pPr>
          </w:p>
        </w:tc>
        <w:tc>
          <w:tcPr>
            <w:tcW w:w="2216"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1.一般公共预算</w:t>
            </w:r>
          </w:p>
        </w:tc>
        <w:tc>
          <w:tcPr>
            <w:tcW w:w="131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69.70</w:t>
            </w:r>
          </w:p>
        </w:tc>
        <w:tc>
          <w:tcPr>
            <w:tcW w:w="139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125.32</w:t>
            </w:r>
          </w:p>
        </w:tc>
        <w:tc>
          <w:tcPr>
            <w:tcW w:w="1395"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125.32</w:t>
            </w:r>
          </w:p>
        </w:tc>
        <w:tc>
          <w:tcPr>
            <w:tcW w:w="1822"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319" w:hRule="atLeast"/>
          <w:jc w:val="center"/>
        </w:trPr>
        <w:tc>
          <w:tcPr>
            <w:tcW w:w="1628" w:type="dxa"/>
            <w:gridSpan w:val="2"/>
            <w:vMerge w:val="continue"/>
            <w:vAlign w:val="center"/>
          </w:tcPr>
          <w:p>
            <w:pPr>
              <w:jc w:val="center"/>
              <w:rPr>
                <w:rFonts w:asciiTheme="majorEastAsia" w:hAnsiTheme="majorEastAsia" w:eastAsiaTheme="majorEastAsia"/>
                <w:szCs w:val="21"/>
              </w:rPr>
            </w:pPr>
          </w:p>
        </w:tc>
        <w:tc>
          <w:tcPr>
            <w:tcW w:w="2216"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2.政府性基金</w:t>
            </w:r>
          </w:p>
        </w:tc>
        <w:tc>
          <w:tcPr>
            <w:tcW w:w="1316" w:type="dxa"/>
            <w:vAlign w:val="center"/>
          </w:tcPr>
          <w:p>
            <w:pPr>
              <w:jc w:val="center"/>
              <w:rPr>
                <w:rFonts w:asciiTheme="majorEastAsia" w:hAnsiTheme="majorEastAsia" w:eastAsiaTheme="majorEastAsia"/>
                <w:szCs w:val="21"/>
              </w:rPr>
            </w:pPr>
          </w:p>
        </w:tc>
        <w:tc>
          <w:tcPr>
            <w:tcW w:w="1396" w:type="dxa"/>
            <w:vAlign w:val="center"/>
          </w:tcPr>
          <w:p>
            <w:pPr>
              <w:jc w:val="center"/>
              <w:rPr>
                <w:rFonts w:asciiTheme="majorEastAsia" w:hAnsiTheme="majorEastAsia" w:eastAsiaTheme="majorEastAsia"/>
                <w:szCs w:val="21"/>
              </w:rPr>
            </w:pPr>
          </w:p>
        </w:tc>
        <w:tc>
          <w:tcPr>
            <w:tcW w:w="1395" w:type="dxa"/>
            <w:vAlign w:val="center"/>
          </w:tcPr>
          <w:p>
            <w:pPr>
              <w:jc w:val="center"/>
              <w:rPr>
                <w:rFonts w:asciiTheme="majorEastAsia" w:hAnsiTheme="majorEastAsia" w:eastAsiaTheme="majorEastAsia"/>
                <w:szCs w:val="21"/>
              </w:rPr>
            </w:pP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1628" w:type="dxa"/>
            <w:gridSpan w:val="2"/>
            <w:vMerge w:val="continue"/>
            <w:vAlign w:val="center"/>
          </w:tcPr>
          <w:p>
            <w:pPr>
              <w:jc w:val="center"/>
              <w:rPr>
                <w:rFonts w:asciiTheme="majorEastAsia" w:hAnsiTheme="majorEastAsia" w:eastAsiaTheme="majorEastAsia"/>
                <w:szCs w:val="21"/>
              </w:rPr>
            </w:pPr>
          </w:p>
        </w:tc>
        <w:tc>
          <w:tcPr>
            <w:tcW w:w="2216"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3.国有资本经营预算</w:t>
            </w:r>
          </w:p>
        </w:tc>
        <w:tc>
          <w:tcPr>
            <w:tcW w:w="1316" w:type="dxa"/>
            <w:vAlign w:val="center"/>
          </w:tcPr>
          <w:p>
            <w:pPr>
              <w:jc w:val="center"/>
              <w:rPr>
                <w:rFonts w:asciiTheme="majorEastAsia" w:hAnsiTheme="majorEastAsia" w:eastAsiaTheme="majorEastAsia"/>
                <w:szCs w:val="21"/>
              </w:rPr>
            </w:pPr>
          </w:p>
        </w:tc>
        <w:tc>
          <w:tcPr>
            <w:tcW w:w="1396" w:type="dxa"/>
            <w:vAlign w:val="center"/>
          </w:tcPr>
          <w:p>
            <w:pPr>
              <w:jc w:val="center"/>
              <w:rPr>
                <w:rFonts w:asciiTheme="majorEastAsia" w:hAnsiTheme="majorEastAsia" w:eastAsiaTheme="majorEastAsia"/>
                <w:szCs w:val="21"/>
              </w:rPr>
            </w:pPr>
          </w:p>
        </w:tc>
        <w:tc>
          <w:tcPr>
            <w:tcW w:w="1395" w:type="dxa"/>
            <w:vAlign w:val="center"/>
          </w:tcPr>
          <w:p>
            <w:pPr>
              <w:jc w:val="center"/>
              <w:rPr>
                <w:rFonts w:asciiTheme="majorEastAsia" w:hAnsiTheme="majorEastAsia" w:eastAsiaTheme="majorEastAsia"/>
                <w:szCs w:val="21"/>
              </w:rPr>
            </w:pP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1628" w:type="dxa"/>
            <w:gridSpan w:val="2"/>
            <w:vMerge w:val="continue"/>
            <w:vAlign w:val="center"/>
          </w:tcPr>
          <w:p>
            <w:pPr>
              <w:jc w:val="center"/>
              <w:rPr>
                <w:rFonts w:asciiTheme="majorEastAsia" w:hAnsiTheme="majorEastAsia" w:eastAsiaTheme="majorEastAsia"/>
                <w:szCs w:val="21"/>
              </w:rPr>
            </w:pPr>
          </w:p>
        </w:tc>
        <w:tc>
          <w:tcPr>
            <w:tcW w:w="2216"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4.社保基金</w:t>
            </w:r>
          </w:p>
        </w:tc>
        <w:tc>
          <w:tcPr>
            <w:tcW w:w="1316" w:type="dxa"/>
            <w:vAlign w:val="center"/>
          </w:tcPr>
          <w:p>
            <w:pPr>
              <w:jc w:val="center"/>
              <w:rPr>
                <w:rFonts w:asciiTheme="majorEastAsia" w:hAnsiTheme="majorEastAsia" w:eastAsiaTheme="majorEastAsia"/>
                <w:szCs w:val="21"/>
              </w:rPr>
            </w:pPr>
          </w:p>
        </w:tc>
        <w:tc>
          <w:tcPr>
            <w:tcW w:w="1396" w:type="dxa"/>
            <w:vAlign w:val="center"/>
          </w:tcPr>
          <w:p>
            <w:pPr>
              <w:jc w:val="center"/>
              <w:rPr>
                <w:rFonts w:asciiTheme="majorEastAsia" w:hAnsiTheme="majorEastAsia" w:eastAsiaTheme="majorEastAsia"/>
                <w:szCs w:val="21"/>
              </w:rPr>
            </w:pPr>
          </w:p>
        </w:tc>
        <w:tc>
          <w:tcPr>
            <w:tcW w:w="1395" w:type="dxa"/>
            <w:vAlign w:val="center"/>
          </w:tcPr>
          <w:p>
            <w:pPr>
              <w:jc w:val="center"/>
              <w:rPr>
                <w:rFonts w:asciiTheme="majorEastAsia" w:hAnsiTheme="majorEastAsia" w:eastAsiaTheme="majorEastAsia"/>
                <w:szCs w:val="21"/>
              </w:rPr>
            </w:pP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1628" w:type="dxa"/>
            <w:gridSpan w:val="2"/>
            <w:vMerge w:val="continue"/>
            <w:vAlign w:val="center"/>
          </w:tcPr>
          <w:p>
            <w:pPr>
              <w:jc w:val="center"/>
              <w:rPr>
                <w:rFonts w:asciiTheme="majorEastAsia" w:hAnsiTheme="majorEastAsia" w:eastAsiaTheme="majorEastAsia"/>
                <w:szCs w:val="21"/>
              </w:rPr>
            </w:pPr>
          </w:p>
        </w:tc>
        <w:tc>
          <w:tcPr>
            <w:tcW w:w="2216"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〈二）其他资金</w:t>
            </w:r>
          </w:p>
        </w:tc>
        <w:tc>
          <w:tcPr>
            <w:tcW w:w="1316" w:type="dxa"/>
            <w:vAlign w:val="center"/>
          </w:tcPr>
          <w:p>
            <w:pPr>
              <w:jc w:val="center"/>
              <w:rPr>
                <w:rFonts w:asciiTheme="majorEastAsia" w:hAnsiTheme="majorEastAsia" w:eastAsiaTheme="majorEastAsia"/>
                <w:szCs w:val="21"/>
              </w:rPr>
            </w:pPr>
          </w:p>
        </w:tc>
        <w:tc>
          <w:tcPr>
            <w:tcW w:w="1396" w:type="dxa"/>
            <w:vAlign w:val="center"/>
          </w:tcPr>
          <w:p>
            <w:pPr>
              <w:jc w:val="center"/>
              <w:rPr>
                <w:rFonts w:asciiTheme="majorEastAsia" w:hAnsiTheme="majorEastAsia" w:eastAsiaTheme="majorEastAsia"/>
                <w:szCs w:val="21"/>
              </w:rPr>
            </w:pPr>
          </w:p>
        </w:tc>
        <w:tc>
          <w:tcPr>
            <w:tcW w:w="1395" w:type="dxa"/>
            <w:vAlign w:val="center"/>
          </w:tcPr>
          <w:p>
            <w:pPr>
              <w:jc w:val="center"/>
              <w:rPr>
                <w:rFonts w:asciiTheme="majorEastAsia" w:hAnsiTheme="majorEastAsia" w:eastAsiaTheme="majorEastAsia"/>
                <w:szCs w:val="21"/>
              </w:rPr>
            </w:pP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restart"/>
            <w:vAlign w:val="center"/>
          </w:tcPr>
          <w:p>
            <w:pPr>
              <w:jc w:val="center"/>
              <w:rPr>
                <w:rFonts w:asciiTheme="majorEastAsia" w:hAnsiTheme="majorEastAsia" w:eastAsiaTheme="majorEastAsia"/>
                <w:szCs w:val="21"/>
              </w:rPr>
            </w:pPr>
            <w:r>
              <w:rPr>
                <w:rFonts w:asciiTheme="majorEastAsia" w:hAnsiTheme="majorEastAsia" w:eastAsiaTheme="majorEastAsia"/>
                <w:szCs w:val="21"/>
              </w:rPr>
              <w:t>整体</w:t>
            </w:r>
          </w:p>
          <w:p>
            <w:pPr>
              <w:jc w:val="center"/>
              <w:rPr>
                <w:rFonts w:asciiTheme="majorEastAsia" w:hAnsiTheme="majorEastAsia" w:eastAsiaTheme="majorEastAsia"/>
                <w:szCs w:val="21"/>
              </w:rPr>
            </w:pPr>
            <w:r>
              <w:rPr>
                <w:rFonts w:asciiTheme="majorEastAsia" w:hAnsiTheme="majorEastAsia" w:eastAsiaTheme="majorEastAsia"/>
                <w:szCs w:val="21"/>
              </w:rPr>
              <w:t>目标</w:t>
            </w:r>
          </w:p>
        </w:tc>
        <w:tc>
          <w:tcPr>
            <w:tcW w:w="4363" w:type="dxa"/>
            <w:gridSpan w:val="4"/>
            <w:vAlign w:val="center"/>
          </w:tcPr>
          <w:p>
            <w:pPr>
              <w:jc w:val="center"/>
              <w:rPr>
                <w:rFonts w:asciiTheme="majorEastAsia" w:hAnsiTheme="majorEastAsia" w:eastAsiaTheme="majorEastAsia"/>
                <w:szCs w:val="21"/>
              </w:rPr>
            </w:pPr>
            <w:r>
              <w:rPr>
                <w:rFonts w:asciiTheme="majorEastAsia" w:hAnsiTheme="majorEastAsia" w:eastAsiaTheme="majorEastAsia"/>
                <w:szCs w:val="21"/>
              </w:rPr>
              <w:t>年度目标</w:t>
            </w:r>
          </w:p>
        </w:tc>
        <w:tc>
          <w:tcPr>
            <w:tcW w:w="1396" w:type="dxa"/>
            <w:vAlign w:val="center"/>
          </w:tcPr>
          <w:p>
            <w:pPr>
              <w:jc w:val="center"/>
              <w:rPr>
                <w:rFonts w:asciiTheme="majorEastAsia" w:hAnsiTheme="majorEastAsia" w:eastAsiaTheme="majorEastAsia"/>
                <w:szCs w:val="21"/>
              </w:rPr>
            </w:pPr>
          </w:p>
        </w:tc>
        <w:tc>
          <w:tcPr>
            <w:tcW w:w="3217"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7122" w:hRule="atLeast"/>
          <w:jc w:val="center"/>
        </w:trPr>
        <w:tc>
          <w:tcPr>
            <w:tcW w:w="797" w:type="dxa"/>
            <w:vMerge w:val="continue"/>
            <w:vAlign w:val="center"/>
          </w:tcPr>
          <w:p>
            <w:pPr>
              <w:jc w:val="center"/>
              <w:rPr>
                <w:rFonts w:asciiTheme="majorEastAsia" w:hAnsiTheme="majorEastAsia" w:eastAsiaTheme="majorEastAsia"/>
                <w:szCs w:val="21"/>
              </w:rPr>
            </w:pPr>
          </w:p>
        </w:tc>
        <w:tc>
          <w:tcPr>
            <w:tcW w:w="5759" w:type="dxa"/>
            <w:gridSpan w:val="5"/>
            <w:vAlign w:val="center"/>
          </w:tcPr>
          <w:p>
            <w:pPr>
              <w:rPr>
                <w:rFonts w:asciiTheme="majorEastAsia" w:hAnsiTheme="majorEastAsia" w:eastAsiaTheme="majorEastAsia"/>
                <w:szCs w:val="21"/>
              </w:rPr>
            </w:pPr>
            <w:r>
              <w:rPr>
                <w:rFonts w:asciiTheme="majorEastAsia" w:hAnsiTheme="majorEastAsia" w:eastAsiaTheme="majorEastAsia"/>
                <w:szCs w:val="21"/>
              </w:rPr>
              <w:t>我会代表和维护妇女权益，促进男女平等，确实为全区妇女儿童做好服务，办好实事。2022年主要围绕以下5个方面开展工作；1、开展“百千万巾帼大宣讲”活动10余场，认真做好“三八”妇女节、“六一”儿童节、女儿节等节日文化活动，评选表彰“三八”红旗手等各类先进典型50余人。2、找准家庭教育切入点，探索创新开展家庭教育，建立家庭教育指导机构，新建家风家教示范基地1个。开展家庭教育讲座6余场，提高家庭教育知晓率；开展“五好家庭”“平安家庭”创建，常态化开展寻找“最美家庭”活动评选各类优秀家庭50户。3、深化普法宣传教育、关爱妇女儿童工作，开展各类维权普法活动60余场，制作宣传资料7万余册；实施“两癌”救助等项目工作，做好困境妇女儿童关心关爱工作，做好依法治区、综治维稳、防邪、防艾、禁毒、大调解、扫黑除恶等工作。4、全面加强党的建设，做好党建、党风廉政建设、意识形态等工作。5、妇女维权、妇女发展、妇女宣传、儿童工作和组织建设。切实加强镇、村（社区）妇联班子队伍建设，进一步提升基层妇女干部队伍在新时代的服务水平和履职能力。做好非公企业建妇联组织工作，织密妇联组织网络，延长妇联工作“手臂”。</w:t>
            </w:r>
          </w:p>
        </w:tc>
        <w:tc>
          <w:tcPr>
            <w:tcW w:w="3217"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我会严格按照年初目标计划开展工作，完成“百千万巾帼大宣讲”活动10场，3.8节6.1儿童节活动筹划，评选各类先进典型50人；金印社区建设家风家教示范基地1搞个，常态化开展活动6场次，评选“平安家庭”30户，“最美家庭”20户；开展法治宣传活动80余场次，发放相关宣传资料1000余册，接受群众现场咨询300人次，开展青少年心理健康教育讲座2场次，发放心理健康调查问卷200余份；为5200余名适龄妇女开展免费“两癌”筛查，救助“两癌”低收入妇女19名，发放救助金19万；开展寒假、暑假儿童关爱服务活动，慰问</w:t>
            </w:r>
            <w:r>
              <w:rPr>
                <w:rFonts w:hint="eastAsia" w:asciiTheme="majorEastAsia" w:hAnsiTheme="majorEastAsia" w:eastAsiaTheme="majorEastAsia"/>
                <w:szCs w:val="21"/>
                <w:lang w:eastAsia="zh-CN"/>
              </w:rPr>
              <w:t>困</w:t>
            </w:r>
            <w:r>
              <w:rPr>
                <w:rFonts w:asciiTheme="majorEastAsia" w:hAnsiTheme="majorEastAsia" w:eastAsiaTheme="majorEastAsia"/>
                <w:szCs w:val="21"/>
              </w:rPr>
              <w:t>难儿童800名，长期爱心助学20名；编制新一轮两纲；全区两新组织64个，其中，建妇委会24个（含联合妇委会2个）、妇女之家15个、妇女微家25个，全面完成建设任务，做到了应建尽建。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restart"/>
            <w:vAlign w:val="center"/>
          </w:tcPr>
          <w:p>
            <w:pPr>
              <w:jc w:val="center"/>
              <w:rPr>
                <w:rFonts w:asciiTheme="majorEastAsia" w:hAnsiTheme="majorEastAsia" w:eastAsiaTheme="majorEastAsia"/>
                <w:szCs w:val="21"/>
              </w:rPr>
            </w:pPr>
            <w:r>
              <w:rPr>
                <w:rFonts w:asciiTheme="majorEastAsia" w:hAnsiTheme="majorEastAsia" w:eastAsiaTheme="majorEastAsia"/>
                <w:szCs w:val="21"/>
              </w:rPr>
              <w:t>部门整体绩效指标</w:t>
            </w:r>
          </w:p>
        </w:tc>
        <w:tc>
          <w:tcPr>
            <w:tcW w:w="831"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一级指标</w:t>
            </w:r>
          </w:p>
        </w:tc>
        <w:tc>
          <w:tcPr>
            <w:tcW w:w="1148"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二级指标</w:t>
            </w:r>
          </w:p>
        </w:tc>
        <w:tc>
          <w:tcPr>
            <w:tcW w:w="2384" w:type="dxa"/>
            <w:gridSpan w:val="2"/>
            <w:vAlign w:val="center"/>
          </w:tcPr>
          <w:p>
            <w:pPr>
              <w:jc w:val="center"/>
              <w:rPr>
                <w:rFonts w:asciiTheme="majorEastAsia" w:hAnsiTheme="majorEastAsia" w:eastAsiaTheme="majorEastAsia"/>
                <w:szCs w:val="21"/>
              </w:rPr>
            </w:pPr>
            <w:r>
              <w:rPr>
                <w:rFonts w:asciiTheme="majorEastAsia" w:hAnsiTheme="majorEastAsia" w:eastAsiaTheme="majorEastAsia"/>
                <w:szCs w:val="21"/>
              </w:rPr>
              <w:t>三级指标</w:t>
            </w:r>
          </w:p>
        </w:tc>
        <w:tc>
          <w:tcPr>
            <w:tcW w:w="1396"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年度指标值</w:t>
            </w:r>
          </w:p>
        </w:tc>
        <w:tc>
          <w:tcPr>
            <w:tcW w:w="1395"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实际完成值</w:t>
            </w:r>
          </w:p>
        </w:tc>
        <w:tc>
          <w:tcPr>
            <w:tcW w:w="1822"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偏差原因分析及改进措施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309"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restart"/>
            <w:vAlign w:val="center"/>
          </w:tcPr>
          <w:p>
            <w:pPr>
              <w:jc w:val="center"/>
              <w:rPr>
                <w:rFonts w:asciiTheme="majorEastAsia" w:hAnsiTheme="majorEastAsia" w:eastAsiaTheme="majorEastAsia"/>
                <w:szCs w:val="21"/>
              </w:rPr>
            </w:pPr>
            <w:r>
              <w:rPr>
                <w:rFonts w:asciiTheme="majorEastAsia" w:hAnsiTheme="majorEastAsia" w:eastAsiaTheme="majorEastAsia"/>
                <w:szCs w:val="21"/>
              </w:rPr>
              <w:t>产出指标</w:t>
            </w:r>
          </w:p>
        </w:tc>
        <w:tc>
          <w:tcPr>
            <w:tcW w:w="1148" w:type="dxa"/>
            <w:vMerge w:val="restart"/>
            <w:vAlign w:val="center"/>
          </w:tcPr>
          <w:p>
            <w:pPr>
              <w:jc w:val="center"/>
              <w:rPr>
                <w:rFonts w:asciiTheme="majorEastAsia" w:hAnsiTheme="majorEastAsia" w:eastAsiaTheme="majorEastAsia"/>
                <w:szCs w:val="21"/>
              </w:rPr>
            </w:pPr>
            <w:r>
              <w:rPr>
                <w:rFonts w:asciiTheme="majorEastAsia" w:hAnsiTheme="majorEastAsia" w:eastAsiaTheme="majorEastAsia"/>
                <w:szCs w:val="21"/>
              </w:rPr>
              <w:t>数量指标</w:t>
            </w: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指标1.单位职工人数</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Merge w:val="continue"/>
            <w:vAlign w:val="center"/>
          </w:tcPr>
          <w:p>
            <w:pPr>
              <w:jc w:val="center"/>
              <w:rPr>
                <w:rFonts w:asciiTheme="majorEastAsia" w:hAnsiTheme="majorEastAsia" w:eastAsiaTheme="majorEastAsia"/>
                <w:szCs w:val="21"/>
              </w:rPr>
            </w:pP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指标2：会议（活动、讲座、培训）场次</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60</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92</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9"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Merge w:val="continue"/>
            <w:vAlign w:val="center"/>
          </w:tcPr>
          <w:p>
            <w:pPr>
              <w:jc w:val="center"/>
              <w:rPr>
                <w:rFonts w:asciiTheme="majorEastAsia" w:hAnsiTheme="majorEastAsia" w:eastAsiaTheme="majorEastAsia"/>
                <w:szCs w:val="21"/>
              </w:rPr>
            </w:pP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指标3：慰问人数</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700人</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839人</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质量指标</w:t>
            </w: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指标1：工作能力提升</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良</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优</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Merge w:val="restart"/>
            <w:vAlign w:val="center"/>
          </w:tcPr>
          <w:p>
            <w:pPr>
              <w:jc w:val="center"/>
              <w:rPr>
                <w:rFonts w:asciiTheme="majorEastAsia" w:hAnsiTheme="majorEastAsia" w:eastAsiaTheme="majorEastAsia"/>
                <w:szCs w:val="21"/>
              </w:rPr>
            </w:pPr>
            <w:r>
              <w:rPr>
                <w:rFonts w:asciiTheme="majorEastAsia" w:hAnsiTheme="majorEastAsia" w:eastAsiaTheme="majorEastAsia"/>
                <w:szCs w:val="21"/>
              </w:rPr>
              <w:t>时效指标</w:t>
            </w: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指标1：兑现支付时效率</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100%</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100%</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Merge w:val="continue"/>
            <w:vAlign w:val="center"/>
          </w:tcPr>
          <w:p>
            <w:pPr>
              <w:jc w:val="center"/>
              <w:rPr>
                <w:rFonts w:asciiTheme="majorEastAsia" w:hAnsiTheme="majorEastAsia" w:eastAsiaTheme="majorEastAsia"/>
                <w:szCs w:val="21"/>
              </w:rPr>
            </w:pP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指标2：工作计划完成进度</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95%</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100%</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Merge w:val="restart"/>
            <w:vAlign w:val="center"/>
          </w:tcPr>
          <w:p>
            <w:pPr>
              <w:jc w:val="center"/>
              <w:rPr>
                <w:rFonts w:asciiTheme="majorEastAsia" w:hAnsiTheme="majorEastAsia" w:eastAsiaTheme="majorEastAsia"/>
                <w:szCs w:val="21"/>
              </w:rPr>
            </w:pPr>
            <w:r>
              <w:rPr>
                <w:rFonts w:asciiTheme="majorEastAsia" w:hAnsiTheme="majorEastAsia" w:eastAsiaTheme="majorEastAsia"/>
                <w:szCs w:val="21"/>
              </w:rPr>
              <w:t>成本指标</w:t>
            </w: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指标1：单位干部</w:t>
            </w:r>
            <w:r>
              <w:rPr>
                <w:rFonts w:hint="eastAsia"/>
                <w:lang w:eastAsia="zh-CN"/>
              </w:rPr>
              <w:t>职工</w:t>
            </w:r>
            <w:r>
              <w:rPr>
                <w:rFonts w:asciiTheme="majorEastAsia" w:hAnsiTheme="majorEastAsia" w:eastAsiaTheme="majorEastAsia"/>
                <w:szCs w:val="21"/>
              </w:rPr>
              <w:t>基本</w:t>
            </w:r>
            <w:r>
              <w:rPr>
                <w:rFonts w:hint="eastAsia" w:asciiTheme="majorEastAsia" w:hAnsiTheme="majorEastAsia" w:eastAsiaTheme="majorEastAsia"/>
                <w:szCs w:val="21"/>
                <w:lang w:eastAsia="zh-CN"/>
              </w:rPr>
              <w:t>运行</w:t>
            </w:r>
            <w:r>
              <w:rPr>
                <w:rFonts w:asciiTheme="majorEastAsia" w:hAnsiTheme="majorEastAsia" w:eastAsiaTheme="majorEastAsia"/>
                <w:szCs w:val="21"/>
              </w:rPr>
              <w:t>保障</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41.49万元</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48.12万元</w:t>
            </w:r>
          </w:p>
        </w:tc>
        <w:tc>
          <w:tcPr>
            <w:tcW w:w="1822"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有人员的增加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Merge w:val="continue"/>
            <w:vAlign w:val="center"/>
          </w:tcPr>
          <w:p>
            <w:pPr>
              <w:jc w:val="center"/>
              <w:rPr>
                <w:rFonts w:asciiTheme="majorEastAsia" w:hAnsiTheme="majorEastAsia" w:eastAsiaTheme="majorEastAsia"/>
                <w:szCs w:val="21"/>
              </w:rPr>
            </w:pP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指标2：开展妇女儿童、两纲等工作成本</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24万元</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73万元</w:t>
            </w:r>
          </w:p>
        </w:tc>
        <w:tc>
          <w:tcPr>
            <w:tcW w:w="1822"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新增两个项目资金，东西部协作15万元，2021年儿童之家建设资金34万元（2021年已支付资金，2022年年底追加的指标）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Merge w:val="continue"/>
            <w:vAlign w:val="center"/>
          </w:tcPr>
          <w:p>
            <w:pPr>
              <w:jc w:val="center"/>
              <w:rPr>
                <w:rFonts w:asciiTheme="majorEastAsia" w:hAnsiTheme="majorEastAsia" w:eastAsiaTheme="majorEastAsia"/>
                <w:szCs w:val="21"/>
              </w:rPr>
            </w:pP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指标3：日常工作运转成本</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4.2万元</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4.2万元</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Merge w:val="continue"/>
            <w:vAlign w:val="center"/>
          </w:tcPr>
          <w:p>
            <w:pPr>
              <w:jc w:val="center"/>
              <w:rPr>
                <w:rFonts w:asciiTheme="majorEastAsia" w:hAnsiTheme="majorEastAsia" w:eastAsiaTheme="majorEastAsia"/>
                <w:szCs w:val="21"/>
              </w:rPr>
            </w:pPr>
          </w:p>
        </w:tc>
        <w:tc>
          <w:tcPr>
            <w:tcW w:w="1148"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社会效益</w:t>
            </w:r>
          </w:p>
          <w:p>
            <w:pPr>
              <w:jc w:val="center"/>
              <w:rPr>
                <w:rFonts w:asciiTheme="majorEastAsia" w:hAnsiTheme="majorEastAsia" w:eastAsiaTheme="majorEastAsia"/>
                <w:szCs w:val="21"/>
              </w:rPr>
            </w:pPr>
            <w:r>
              <w:rPr>
                <w:rFonts w:asciiTheme="majorEastAsia" w:hAnsiTheme="majorEastAsia" w:eastAsiaTheme="majorEastAsia"/>
                <w:szCs w:val="21"/>
              </w:rPr>
              <w:t>指标</w:t>
            </w: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指标1：宣传知晓率</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95%</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95%</w:t>
            </w:r>
          </w:p>
        </w:tc>
        <w:tc>
          <w:tcPr>
            <w:tcW w:w="1822" w:type="dxa"/>
            <w:vAlign w:val="center"/>
          </w:tcPr>
          <w:p>
            <w:pPr>
              <w:jc w:val="center"/>
              <w:rPr>
                <w:rFonts w:asciiTheme="majorEastAsia" w:hAnsiTheme="majorEastAsia" w:eastAsiaTheme="maj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4" w:type="dxa"/>
            <w:left w:w="0" w:type="dxa"/>
            <w:bottom w:w="0" w:type="dxa"/>
            <w:right w:w="30" w:type="dxa"/>
          </w:tblCellMar>
        </w:tblPrEx>
        <w:trPr>
          <w:trHeight w:val="20" w:hRule="atLeast"/>
          <w:jc w:val="center"/>
        </w:trPr>
        <w:tc>
          <w:tcPr>
            <w:tcW w:w="797" w:type="dxa"/>
            <w:vMerge w:val="continue"/>
            <w:vAlign w:val="center"/>
          </w:tcPr>
          <w:p>
            <w:pPr>
              <w:jc w:val="center"/>
              <w:rPr>
                <w:rFonts w:asciiTheme="majorEastAsia" w:hAnsiTheme="majorEastAsia" w:eastAsiaTheme="majorEastAsia"/>
                <w:szCs w:val="21"/>
              </w:rPr>
            </w:pPr>
          </w:p>
        </w:tc>
        <w:tc>
          <w:tcPr>
            <w:tcW w:w="831"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满意度指标</w:t>
            </w:r>
          </w:p>
        </w:tc>
        <w:tc>
          <w:tcPr>
            <w:tcW w:w="1148" w:type="dxa"/>
            <w:vAlign w:val="center"/>
          </w:tcPr>
          <w:p>
            <w:pPr>
              <w:jc w:val="center"/>
              <w:rPr>
                <w:rFonts w:asciiTheme="majorEastAsia" w:hAnsiTheme="majorEastAsia" w:eastAsiaTheme="majorEastAsia"/>
                <w:szCs w:val="21"/>
              </w:rPr>
            </w:pPr>
            <w:r>
              <w:rPr>
                <w:rFonts w:asciiTheme="majorEastAsia" w:hAnsiTheme="majorEastAsia" w:eastAsiaTheme="majorEastAsia"/>
                <w:szCs w:val="21"/>
              </w:rPr>
              <w:t>服务对象满意度指标</w:t>
            </w:r>
          </w:p>
        </w:tc>
        <w:tc>
          <w:tcPr>
            <w:tcW w:w="2384" w:type="dxa"/>
            <w:gridSpan w:val="2"/>
            <w:vAlign w:val="center"/>
          </w:tcPr>
          <w:p>
            <w:pPr>
              <w:rPr>
                <w:rFonts w:asciiTheme="majorEastAsia" w:hAnsiTheme="majorEastAsia" w:eastAsiaTheme="majorEastAsia"/>
                <w:szCs w:val="21"/>
              </w:rPr>
            </w:pPr>
            <w:r>
              <w:rPr>
                <w:rFonts w:asciiTheme="majorEastAsia" w:hAnsiTheme="majorEastAsia" w:eastAsiaTheme="majorEastAsia"/>
                <w:szCs w:val="21"/>
              </w:rPr>
              <w:t>指标1：全区妇女儿童服务满意度</w:t>
            </w:r>
          </w:p>
        </w:tc>
        <w:tc>
          <w:tcPr>
            <w:tcW w:w="1396"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95%</w:t>
            </w:r>
          </w:p>
        </w:tc>
        <w:tc>
          <w:tcPr>
            <w:tcW w:w="1395" w:type="dxa"/>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98%</w:t>
            </w:r>
          </w:p>
        </w:tc>
        <w:tc>
          <w:tcPr>
            <w:tcW w:w="1822" w:type="dxa"/>
            <w:vAlign w:val="center"/>
          </w:tcPr>
          <w:p>
            <w:pPr>
              <w:jc w:val="center"/>
              <w:rPr>
                <w:rFonts w:asciiTheme="majorEastAsia" w:hAnsiTheme="majorEastAsia" w:eastAsiaTheme="majorEastAsia"/>
                <w:szCs w:val="21"/>
              </w:rPr>
            </w:pPr>
          </w:p>
        </w:tc>
      </w:tr>
    </w:tbl>
    <w:p>
      <w:pPr>
        <w:pStyle w:val="5"/>
        <w:spacing w:before="93" w:line="576" w:lineRule="exact"/>
        <w:ind w:firstLine="640" w:firstLineChars="200"/>
        <w:rPr>
          <w:rFonts w:ascii="Times New Roman"/>
          <w:sz w:val="32"/>
          <w:szCs w:val="32"/>
          <w:shd w:val="clear" w:color="auto" w:fill="FFFFFF"/>
          <w:lang w:val="zh-CN"/>
        </w:rPr>
      </w:pPr>
    </w:p>
    <w:p>
      <w:pPr>
        <w:pStyle w:val="5"/>
        <w:spacing w:before="93" w:line="576" w:lineRule="exact"/>
        <w:ind w:firstLine="640" w:firstLineChars="200"/>
        <w:rPr>
          <w:rFonts w:ascii="Times New Roman"/>
          <w:sz w:val="32"/>
          <w:szCs w:val="32"/>
          <w:shd w:val="clear" w:color="auto" w:fill="FFFFFF"/>
          <w:lang w:val="zh-CN"/>
        </w:rPr>
        <w:sectPr>
          <w:pgSz w:w="11906" w:h="16838"/>
          <w:pgMar w:top="2098" w:right="1474" w:bottom="1985" w:left="1588" w:header="851" w:footer="1531" w:gutter="0"/>
          <w:cols w:space="425" w:num="1"/>
          <w:titlePg/>
          <w:docGrid w:type="linesAndChars" w:linePitch="312" w:charSpace="0"/>
        </w:sectPr>
      </w:pPr>
    </w:p>
    <w:p>
      <w:pPr>
        <w:pStyle w:val="5"/>
        <w:spacing w:before="93" w:line="576" w:lineRule="exact"/>
        <w:rPr>
          <w:rFonts w:hint="eastAsia" w:ascii="黑体" w:hAnsi="黑体" w:eastAsia="黑体"/>
          <w:sz w:val="32"/>
          <w:szCs w:val="32"/>
          <w:shd w:val="clear" w:color="auto" w:fill="FFFFFF"/>
        </w:rPr>
      </w:pPr>
      <w:r>
        <w:rPr>
          <w:rFonts w:ascii="黑体" w:hAnsi="黑体" w:eastAsia="黑体"/>
          <w:sz w:val="32"/>
          <w:szCs w:val="32"/>
          <w:shd w:val="clear" w:color="auto" w:fill="FFFFFF"/>
          <w:lang w:val="zh-CN"/>
        </w:rPr>
        <w:t>附件</w:t>
      </w:r>
      <w:r>
        <w:rPr>
          <w:rFonts w:ascii="黑体" w:hAnsi="黑体" w:eastAsia="黑体"/>
          <w:sz w:val="32"/>
          <w:szCs w:val="32"/>
          <w:shd w:val="clear" w:color="auto" w:fill="FFFFFF"/>
        </w:rPr>
        <w:t>2</w:t>
      </w:r>
    </w:p>
    <w:p/>
    <w:p>
      <w:pPr>
        <w:spacing w:line="576" w:lineRule="exact"/>
        <w:jc w:val="center"/>
        <w:rPr>
          <w:rFonts w:eastAsia="方正小标宋简体"/>
          <w:sz w:val="44"/>
          <w:szCs w:val="44"/>
        </w:rPr>
      </w:pPr>
      <w:r>
        <w:rPr>
          <w:rFonts w:eastAsia="方正小标宋简体"/>
          <w:sz w:val="44"/>
          <w:szCs w:val="44"/>
        </w:rPr>
        <w:t>广元市昭化区妇女联合会</w:t>
      </w:r>
    </w:p>
    <w:p>
      <w:pPr>
        <w:spacing w:line="576" w:lineRule="exact"/>
        <w:jc w:val="center"/>
        <w:rPr>
          <w:rFonts w:eastAsia="方正小标宋简体"/>
          <w:sz w:val="44"/>
          <w:szCs w:val="44"/>
        </w:rPr>
      </w:pPr>
      <w:r>
        <w:rPr>
          <w:rFonts w:eastAsia="方正小标宋简体"/>
          <w:sz w:val="44"/>
          <w:szCs w:val="44"/>
        </w:rPr>
        <w:t>关于2022年东西部协作稳岗就业促进项目</w:t>
      </w:r>
    </w:p>
    <w:p>
      <w:pPr>
        <w:spacing w:line="576" w:lineRule="exact"/>
        <w:jc w:val="center"/>
        <w:rPr>
          <w:rFonts w:eastAsia="方正小标宋简体"/>
          <w:sz w:val="44"/>
          <w:szCs w:val="44"/>
        </w:rPr>
      </w:pPr>
      <w:r>
        <w:rPr>
          <w:rFonts w:eastAsia="方正小标宋简体"/>
          <w:sz w:val="44"/>
          <w:szCs w:val="44"/>
        </w:rPr>
        <w:t>支出绩效自评报告</w:t>
      </w:r>
    </w:p>
    <w:p>
      <w:pPr>
        <w:spacing w:line="576" w:lineRule="exact"/>
        <w:ind w:firstLine="640" w:firstLineChars="200"/>
        <w:rPr>
          <w:rFonts w:eastAsia="仿宋_GB2312"/>
          <w:sz w:val="32"/>
          <w:szCs w:val="32"/>
        </w:rPr>
      </w:pPr>
    </w:p>
    <w:p>
      <w:pPr>
        <w:spacing w:line="576" w:lineRule="exact"/>
        <w:ind w:firstLine="640" w:firstLineChars="200"/>
        <w:rPr>
          <w:rFonts w:eastAsia="黑体"/>
          <w:sz w:val="32"/>
          <w:szCs w:val="32"/>
        </w:rPr>
      </w:pPr>
      <w:r>
        <w:rPr>
          <w:rFonts w:eastAsia="黑体"/>
          <w:sz w:val="32"/>
          <w:szCs w:val="32"/>
        </w:rPr>
        <w:t>一、项目概况</w:t>
      </w:r>
    </w:p>
    <w:p>
      <w:pPr>
        <w:spacing w:line="576" w:lineRule="exact"/>
        <w:ind w:firstLine="640" w:firstLineChars="200"/>
        <w:rPr>
          <w:rFonts w:eastAsia="楷体_GB2312"/>
          <w:sz w:val="32"/>
          <w:szCs w:val="32"/>
        </w:rPr>
      </w:pPr>
      <w:r>
        <w:rPr>
          <w:rFonts w:eastAsia="楷体_GB2312"/>
          <w:sz w:val="32"/>
          <w:szCs w:val="32"/>
        </w:rPr>
        <w:t>（一）项目资金申报及批复情况</w:t>
      </w:r>
    </w:p>
    <w:p>
      <w:pPr>
        <w:spacing w:line="576" w:lineRule="exact"/>
        <w:ind w:firstLine="640" w:firstLineChars="200"/>
        <w:rPr>
          <w:rFonts w:eastAsia="仿宋_GB2312"/>
          <w:sz w:val="32"/>
          <w:szCs w:val="32"/>
        </w:rPr>
      </w:pPr>
      <w:r>
        <w:rPr>
          <w:rFonts w:eastAsia="仿宋_GB2312"/>
          <w:sz w:val="32"/>
          <w:szCs w:val="32"/>
        </w:rPr>
        <w:t>我会2022年初向区乡村振兴局申报2022年东西部协作稳岗就业促进项目“归雁工程”来料加工车间，经区委区政府审核，批复了该项目，并下达东</w:t>
      </w:r>
      <w:r>
        <w:rPr>
          <w:rFonts w:hint="eastAsia" w:eastAsia="仿宋_GB2312"/>
          <w:sz w:val="32"/>
          <w:szCs w:val="32"/>
          <w:lang w:eastAsia="zh-CN"/>
        </w:rPr>
        <w:t>西</w:t>
      </w:r>
      <w:r>
        <w:rPr>
          <w:rFonts w:eastAsia="仿宋_GB2312"/>
          <w:sz w:val="32"/>
          <w:szCs w:val="32"/>
        </w:rPr>
        <w:t>部协作专项资金15万元。</w:t>
      </w:r>
    </w:p>
    <w:p>
      <w:pPr>
        <w:spacing w:line="576" w:lineRule="exact"/>
        <w:ind w:firstLine="640" w:firstLineChars="200"/>
        <w:rPr>
          <w:rFonts w:eastAsia="楷体_GB2312"/>
          <w:sz w:val="32"/>
          <w:szCs w:val="32"/>
        </w:rPr>
      </w:pPr>
      <w:r>
        <w:rPr>
          <w:rFonts w:eastAsia="楷体_GB2312"/>
          <w:sz w:val="32"/>
          <w:szCs w:val="32"/>
        </w:rPr>
        <w:t>（二）项目绩效目标</w:t>
      </w:r>
    </w:p>
    <w:p>
      <w:pPr>
        <w:spacing w:line="576" w:lineRule="exact"/>
        <w:ind w:firstLine="640" w:firstLineChars="200"/>
        <w:rPr>
          <w:rFonts w:eastAsia="仿宋_GB2312"/>
          <w:sz w:val="32"/>
          <w:szCs w:val="32"/>
        </w:rPr>
      </w:pPr>
      <w:r>
        <w:rPr>
          <w:rFonts w:eastAsia="仿宋_GB2312"/>
          <w:sz w:val="32"/>
          <w:szCs w:val="32"/>
        </w:rPr>
        <w:t>近年来，我区“归雁工程”来料加工业的经济和社会效益逐步显现，为农村留守妇女增收提供了一条“新路子”，为实现家门口就业增添了一个“新机会”，为乡村振兴发展注入了一种“新活力”，广大妇女群众获得感、幸福感和成就感日益增强。为满足更多的农村妇女就近就业需求，实现“顾家与挣钱”两不误，我会在射箭镇明觉社区建设了妇女居家灵活就业示范基地。组织25人开展技能培训，共培养21人在车间稳定就业，管理人员1名，平车15人，手工编织5人。</w:t>
      </w:r>
    </w:p>
    <w:p>
      <w:pPr>
        <w:spacing w:line="576" w:lineRule="exact"/>
        <w:ind w:firstLine="640" w:firstLineChars="200"/>
        <w:rPr>
          <w:rFonts w:eastAsia="楷体_GB2312"/>
          <w:sz w:val="32"/>
          <w:szCs w:val="32"/>
        </w:rPr>
      </w:pPr>
      <w:r>
        <w:rPr>
          <w:rFonts w:eastAsia="楷体_GB2312"/>
          <w:sz w:val="32"/>
          <w:szCs w:val="32"/>
        </w:rPr>
        <w:t>（三）项目资金申报相符性</w:t>
      </w:r>
    </w:p>
    <w:p>
      <w:pPr>
        <w:spacing w:line="576" w:lineRule="exact"/>
        <w:ind w:firstLine="640" w:firstLineChars="200"/>
        <w:rPr>
          <w:rFonts w:eastAsia="仿宋_GB2312"/>
          <w:sz w:val="32"/>
          <w:szCs w:val="32"/>
        </w:rPr>
      </w:pPr>
      <w:r>
        <w:rPr>
          <w:rFonts w:eastAsia="仿宋_GB2312"/>
          <w:sz w:val="32"/>
          <w:szCs w:val="32"/>
        </w:rPr>
        <w:t>资金申报完全按照项目实施内容及东西部协作专项资金管理办法实施，资金申报合理，操作性强，可行性高。我会结合资金性质及用途，有预见性、前瞻性地开展工作，对项目实施未产生任何影响。</w:t>
      </w:r>
    </w:p>
    <w:p>
      <w:pPr>
        <w:spacing w:line="576" w:lineRule="exact"/>
        <w:ind w:firstLine="640" w:firstLineChars="200"/>
        <w:rPr>
          <w:rFonts w:eastAsia="楷体_GB2312"/>
          <w:sz w:val="32"/>
          <w:szCs w:val="32"/>
        </w:rPr>
      </w:pPr>
      <w:r>
        <w:rPr>
          <w:rFonts w:eastAsia="楷体_GB2312"/>
          <w:sz w:val="32"/>
          <w:szCs w:val="32"/>
        </w:rPr>
        <w:t>（四）自评步骤及方法</w:t>
      </w:r>
    </w:p>
    <w:p>
      <w:pPr>
        <w:spacing w:line="576" w:lineRule="exact"/>
        <w:ind w:firstLine="640" w:firstLineChars="200"/>
        <w:rPr>
          <w:rFonts w:eastAsia="仿宋_GB2312"/>
          <w:sz w:val="32"/>
          <w:szCs w:val="32"/>
        </w:rPr>
      </w:pPr>
      <w:r>
        <w:rPr>
          <w:rFonts w:eastAsia="仿宋_GB2312"/>
          <w:sz w:val="32"/>
          <w:szCs w:val="32"/>
        </w:rPr>
        <w:t>按照区财政局的安排部署，我会成立自评小组，采用比较法、成本效益分析法等展开了单位自评。首先对年初下达的预算批复和年初项目绩效进行了全面梳理，分类清理了各项目一年来绩效目标完成情况、资金使用情况、项目达到的效果等，然后逐一对各项目绩效情况进行分析总结。</w:t>
      </w:r>
    </w:p>
    <w:p>
      <w:pPr>
        <w:spacing w:line="576" w:lineRule="exact"/>
        <w:ind w:firstLine="640" w:firstLineChars="200"/>
        <w:rPr>
          <w:rFonts w:eastAsia="黑体"/>
          <w:sz w:val="32"/>
          <w:szCs w:val="32"/>
        </w:rPr>
      </w:pPr>
      <w:r>
        <w:rPr>
          <w:rFonts w:eastAsia="黑体"/>
          <w:sz w:val="32"/>
          <w:szCs w:val="32"/>
        </w:rPr>
        <w:t>二、项目实施及管理情况</w:t>
      </w:r>
    </w:p>
    <w:p>
      <w:pPr>
        <w:spacing w:line="576" w:lineRule="exact"/>
        <w:ind w:firstLine="640" w:firstLineChars="200"/>
        <w:rPr>
          <w:rFonts w:eastAsia="仿宋_GB2312"/>
          <w:sz w:val="32"/>
          <w:szCs w:val="32"/>
        </w:rPr>
      </w:pPr>
      <w:r>
        <w:rPr>
          <w:rFonts w:eastAsia="楷体_GB2312"/>
          <w:sz w:val="32"/>
          <w:szCs w:val="32"/>
        </w:rPr>
        <w:t>（一）资金计划、到位及使用情况</w:t>
      </w:r>
      <w:r>
        <w:rPr>
          <w:rFonts w:eastAsia="仿宋_GB2312"/>
          <w:sz w:val="32"/>
          <w:szCs w:val="32"/>
        </w:rPr>
        <w:t>。2022年东西部协作稳岗就业促进项目资金于2022年6月下达至区财政局，区财政局及时将资金计划申报划拨至本单位。因工作推</w:t>
      </w:r>
      <w:r>
        <w:rPr>
          <w:rFonts w:hint="eastAsia" w:eastAsia="仿宋_GB2312"/>
          <w:sz w:val="32"/>
          <w:szCs w:val="32"/>
          <w:lang w:eastAsia="zh-CN"/>
        </w:rPr>
        <w:t>进</w:t>
      </w:r>
      <w:r>
        <w:rPr>
          <w:rFonts w:eastAsia="仿宋_GB2312"/>
          <w:sz w:val="32"/>
          <w:szCs w:val="32"/>
        </w:rPr>
        <w:t>进度，该项目于2022年7月开始实施，至12月底已全面完成，项目实施支出所有经费分3次支付完成。</w:t>
      </w:r>
    </w:p>
    <w:p>
      <w:pPr>
        <w:spacing w:line="576" w:lineRule="exact"/>
        <w:ind w:firstLine="640" w:firstLineChars="200"/>
        <w:rPr>
          <w:rFonts w:eastAsia="仿宋_GB2312"/>
          <w:sz w:val="32"/>
          <w:szCs w:val="32"/>
        </w:rPr>
      </w:pPr>
      <w:r>
        <w:rPr>
          <w:rFonts w:eastAsia="楷体_GB2312"/>
          <w:sz w:val="32"/>
          <w:szCs w:val="32"/>
        </w:rPr>
        <w:t>（二）项目财务管理情况</w:t>
      </w:r>
      <w:r>
        <w:rPr>
          <w:rFonts w:eastAsia="仿宋_GB2312"/>
          <w:sz w:val="32"/>
          <w:szCs w:val="32"/>
        </w:rPr>
        <w:t>。该项目为乡村振兴专项资金，由财政局直接支付。具体操作流程为：实施单位先规划实施方案，由镇、区妇联审核后再组织实施；实施单位按进度实施完成后将相关票据填报报销单，由镇、区妇联、区乡村振兴局、主管部门领导签字盖章，上报区妇联财务室审核，最后填报直接支付审批单上报区财政局进行资金支付。项目完结后，由乡村振兴局进行审计。</w:t>
      </w:r>
    </w:p>
    <w:p>
      <w:pPr>
        <w:spacing w:line="576" w:lineRule="exact"/>
        <w:ind w:firstLine="640" w:firstLineChars="200"/>
        <w:rPr>
          <w:rFonts w:eastAsia="楷体_GB2312"/>
          <w:sz w:val="32"/>
          <w:szCs w:val="32"/>
        </w:rPr>
      </w:pPr>
      <w:r>
        <w:rPr>
          <w:rFonts w:eastAsia="楷体_GB2312"/>
          <w:sz w:val="32"/>
          <w:szCs w:val="32"/>
        </w:rPr>
        <w:t>（三）项目的组织实施情况。</w:t>
      </w:r>
    </w:p>
    <w:p>
      <w:pPr>
        <w:spacing w:line="576" w:lineRule="exact"/>
        <w:ind w:firstLine="640" w:firstLineChars="200"/>
        <w:rPr>
          <w:rFonts w:eastAsia="仿宋_GB2312"/>
          <w:sz w:val="32"/>
          <w:szCs w:val="32"/>
        </w:rPr>
      </w:pPr>
      <w:r>
        <w:rPr>
          <w:rFonts w:eastAsia="仿宋_GB2312"/>
          <w:sz w:val="32"/>
          <w:szCs w:val="32"/>
        </w:rPr>
        <w:t>我会高度重视，制定了切实可行的工作实施方案，坚持“建一个成一个用一个”的原则，通过实地走访、调研座谈、综合评估等选定项目建设地点。明觉社区地处射箭镇西南部，东与卫子镇梅树村相邻，南邻红岩镇广吉村，西与射箭镇前锋村相连，北与射箭镇帽壳村接壤，广永公路穿</w:t>
      </w:r>
      <w:r>
        <w:rPr>
          <w:rFonts w:hint="eastAsia" w:eastAsia="仿宋_GB2312"/>
          <w:sz w:val="32"/>
          <w:szCs w:val="32"/>
          <w:lang w:eastAsia="zh-CN"/>
        </w:rPr>
        <w:t>境</w:t>
      </w:r>
      <w:r>
        <w:rPr>
          <w:rFonts w:eastAsia="仿宋_GB2312"/>
          <w:sz w:val="32"/>
          <w:szCs w:val="32"/>
        </w:rPr>
        <w:t>而过，距昭化城区35公里，距广元市区30公里。紧邻广南高速龙潭收费站和“千里嘉陵第一港”广元港。</w:t>
      </w:r>
      <w:r>
        <w:rPr>
          <w:rFonts w:hint="eastAsia" w:eastAsia="仿宋_GB2312"/>
          <w:sz w:val="32"/>
          <w:szCs w:val="32"/>
          <w:lang w:eastAsia="zh-CN"/>
        </w:rPr>
        <w:t>辖区面</w:t>
      </w:r>
      <w:r>
        <w:rPr>
          <w:rFonts w:eastAsia="仿宋_GB2312"/>
          <w:sz w:val="32"/>
          <w:szCs w:val="32"/>
        </w:rPr>
        <w:t>积11.2平方公里。明觉社区现办公驻地位于原明觉镇镇政府，交通便利，妇女总数为856人，在家有劳动力的妇女为400余名，符合项目建设要求。该项目按总体规划方案实施，为专项资金的使用提供了坚强的组织保障。项目资金的使用严格按照程序化、制度化、公开化、透明化实施。新建来料加工扶贫车间1个，举办技能培训班1期，培训妇女25人。开发或承接来料加工订单，实现21名以上妇女长期在车间就业，获取加工费。</w:t>
      </w:r>
    </w:p>
    <w:p>
      <w:pPr>
        <w:spacing w:line="576" w:lineRule="exact"/>
        <w:ind w:firstLine="640" w:firstLineChars="200"/>
        <w:rPr>
          <w:rFonts w:eastAsia="黑体"/>
          <w:sz w:val="32"/>
          <w:szCs w:val="32"/>
        </w:rPr>
      </w:pPr>
      <w:r>
        <w:rPr>
          <w:rFonts w:eastAsia="黑体"/>
          <w:sz w:val="32"/>
          <w:szCs w:val="32"/>
        </w:rPr>
        <w:t>三、项目绩效情况</w:t>
      </w:r>
    </w:p>
    <w:p>
      <w:pPr>
        <w:spacing w:line="576" w:lineRule="exact"/>
        <w:ind w:firstLine="640" w:firstLineChars="200"/>
        <w:rPr>
          <w:rFonts w:eastAsia="仿宋_GB2312"/>
          <w:sz w:val="32"/>
          <w:szCs w:val="32"/>
        </w:rPr>
      </w:pPr>
      <w:r>
        <w:rPr>
          <w:rFonts w:eastAsia="楷体_GB2312"/>
          <w:sz w:val="32"/>
          <w:szCs w:val="32"/>
        </w:rPr>
        <w:t>（一）妇女技能得到提升</w:t>
      </w:r>
      <w:r>
        <w:rPr>
          <w:rFonts w:eastAsia="仿宋_GB2312"/>
          <w:sz w:val="32"/>
          <w:szCs w:val="32"/>
        </w:rPr>
        <w:t>。通过精心组织，强化技能培训，做到了扶智与扶志相结合。共开展平车操作技能培训班1期，通过浙江企业专业教师专业、线上线下、车间传帮带等多种培训方式，共25名妇女参加技能技术培训。通过不同妇女对不同岗位需求，培训平车操作15名，手工编织5名。通过培训切实让妇女掌握一项致富技术和门路，自身获得感、成就感、幸福感不断增强。</w:t>
      </w:r>
    </w:p>
    <w:p>
      <w:pPr>
        <w:spacing w:line="576" w:lineRule="exact"/>
        <w:ind w:firstLine="640" w:firstLineChars="200"/>
        <w:rPr>
          <w:rFonts w:eastAsia="仿宋_GB2312"/>
          <w:sz w:val="32"/>
          <w:szCs w:val="32"/>
        </w:rPr>
      </w:pPr>
      <w:r>
        <w:rPr>
          <w:rFonts w:eastAsia="楷体_GB2312"/>
          <w:sz w:val="32"/>
          <w:szCs w:val="32"/>
        </w:rPr>
        <w:t>（二）闲散劳动力得到有效利用</w:t>
      </w:r>
      <w:r>
        <w:rPr>
          <w:rFonts w:eastAsia="仿宋_GB2312"/>
          <w:sz w:val="32"/>
          <w:szCs w:val="32"/>
        </w:rPr>
        <w:t>。来料加工扶贫车间塞绵、编制等工序一般外发，集镇在家劳动力和一些无劳动力老人可利用休闲时间制作，一方面有利于解决“闲得慌”和“无钱挣”的问题，另一方面还可给老人提供一个老有所用、老有所乐的场所，提高他们的生活质量和经济收入。</w:t>
      </w:r>
    </w:p>
    <w:p>
      <w:pPr>
        <w:spacing w:line="576" w:lineRule="exact"/>
        <w:ind w:firstLine="640" w:firstLineChars="200"/>
        <w:rPr>
          <w:rFonts w:eastAsia="仿宋_GB2312"/>
          <w:sz w:val="32"/>
          <w:szCs w:val="32"/>
        </w:rPr>
      </w:pPr>
      <w:r>
        <w:rPr>
          <w:rFonts w:eastAsia="楷体_GB2312"/>
          <w:sz w:val="32"/>
          <w:szCs w:val="32"/>
        </w:rPr>
        <w:t>（三）订单保障收入高</w:t>
      </w:r>
      <w:r>
        <w:rPr>
          <w:rFonts w:eastAsia="仿宋_GB2312"/>
          <w:sz w:val="32"/>
          <w:szCs w:val="32"/>
        </w:rPr>
        <w:t>。通过深化政企合作，引进浙江省龙泉市企业发展订单生产，为车间提供加工订单。目前，共培养21人在车间务工，管理人员1名，平车15人，手工编织5人，完成订单收入3批次，发放加工费5.2万余元。</w:t>
      </w:r>
    </w:p>
    <w:p>
      <w:pPr>
        <w:spacing w:line="576" w:lineRule="exact"/>
        <w:ind w:firstLine="640" w:firstLineChars="200"/>
        <w:rPr>
          <w:rFonts w:eastAsia="黑体"/>
          <w:sz w:val="32"/>
          <w:szCs w:val="32"/>
        </w:rPr>
      </w:pPr>
      <w:r>
        <w:rPr>
          <w:rFonts w:eastAsia="黑体"/>
          <w:sz w:val="32"/>
          <w:szCs w:val="32"/>
        </w:rPr>
        <w:t>四、评价结论及问题建议</w:t>
      </w:r>
    </w:p>
    <w:p>
      <w:pPr>
        <w:spacing w:line="576" w:lineRule="exact"/>
        <w:ind w:firstLine="640" w:firstLineChars="200"/>
        <w:rPr>
          <w:rFonts w:eastAsia="仿宋_GB2312"/>
          <w:sz w:val="32"/>
          <w:szCs w:val="32"/>
        </w:rPr>
      </w:pPr>
      <w:r>
        <w:rPr>
          <w:rFonts w:eastAsia="楷体_GB2312"/>
          <w:sz w:val="32"/>
          <w:szCs w:val="32"/>
        </w:rPr>
        <w:t>（一）评价结论</w:t>
      </w:r>
      <w:r>
        <w:rPr>
          <w:rFonts w:eastAsia="仿宋_GB2312"/>
          <w:sz w:val="32"/>
          <w:szCs w:val="32"/>
        </w:rPr>
        <w:t>。一是可实现良好经济效益。参加平车操作人员在半年后，可望人均月收入1500元以上，并逐步提高；参加手工编织人员可把材料带回家，利用空闲时间，挣取一定的加工费，补贴家用。村集体也会有一定的经济收入。二是可实现良好社会效益。广大农村女性通过参加生产经营不仅能增加家庭收入，还能改变自身家庭地位，平衡家庭照顾与工作追求之间关系，充分激活她们发展内生动力，客观上维持乡村社会稳定与发展，主动融入乡村治理，促进乡村全面振兴。三是全面盘活利用涉改村公有资产，切实提升公有资产管理使用绩效，全面落实做好两项改革“后半篇”文章。评估结果为自评得分97分，项目取得了很好的效果和社会影响。</w:t>
      </w:r>
    </w:p>
    <w:p>
      <w:pPr>
        <w:spacing w:line="576" w:lineRule="exact"/>
        <w:ind w:firstLine="640" w:firstLineChars="200"/>
        <w:rPr>
          <w:rFonts w:eastAsia="仿宋_GB2312"/>
          <w:sz w:val="32"/>
          <w:szCs w:val="32"/>
        </w:rPr>
      </w:pPr>
      <w:r>
        <w:rPr>
          <w:rFonts w:eastAsia="楷体_GB2312"/>
          <w:sz w:val="32"/>
          <w:szCs w:val="32"/>
        </w:rPr>
        <w:t>（二）存在的问题</w:t>
      </w:r>
      <w:r>
        <w:rPr>
          <w:rFonts w:eastAsia="仿宋_GB2312"/>
          <w:sz w:val="32"/>
          <w:szCs w:val="32"/>
        </w:rPr>
        <w:t>。一是车间管理还存在差距,缺乏管理配套相关制度；二是由于刚培训不久，员工技术不熟练,加工费和管理费收入还比较低。</w:t>
      </w:r>
    </w:p>
    <w:p>
      <w:pPr>
        <w:spacing w:line="576" w:lineRule="exact"/>
        <w:ind w:firstLine="640" w:firstLineChars="200"/>
        <w:rPr>
          <w:rFonts w:eastAsia="仿宋_GB2312"/>
          <w:sz w:val="32"/>
          <w:szCs w:val="32"/>
        </w:rPr>
      </w:pPr>
      <w:r>
        <w:rPr>
          <w:rFonts w:eastAsia="楷体_GB2312"/>
          <w:sz w:val="32"/>
          <w:szCs w:val="32"/>
        </w:rPr>
        <w:t>（三）相关措施建议</w:t>
      </w:r>
      <w:r>
        <w:rPr>
          <w:rFonts w:eastAsia="仿宋_GB2312"/>
          <w:sz w:val="32"/>
          <w:szCs w:val="32"/>
        </w:rPr>
        <w:t>。一方面加强车间日常管理，随时掌握了解妇女思想动态，加强宣传，引导妇女长足长远发展，实现稳定就业，定期对扶贫车间的运行情况开展监测统计，动态掌握车间经营状况、从业人员收入，及时发现问题及时整改，稳定和扩大扶贫车间就业规模；另一方面争取资金扶持相关政策。</w:t>
      </w:r>
    </w:p>
    <w:p>
      <w:pPr>
        <w:spacing w:line="576" w:lineRule="exact"/>
        <w:ind w:firstLine="640" w:firstLineChars="200"/>
        <w:rPr>
          <w:rFonts w:eastAsia="仿宋_GB2312"/>
          <w:sz w:val="32"/>
          <w:szCs w:val="32"/>
        </w:rPr>
      </w:pPr>
    </w:p>
    <w:p>
      <w:pPr>
        <w:pStyle w:val="14"/>
        <w:spacing w:after="0" w:line="576" w:lineRule="exact"/>
        <w:ind w:left="0" w:leftChars="0" w:firstLine="0" w:firstLineChars="0"/>
        <w:rPr>
          <w:rFonts w:ascii="Times New Roman" w:eastAsia="仿宋_GB2312"/>
          <w:sz w:val="32"/>
          <w:lang w:val="zh-CN"/>
        </w:rPr>
      </w:pPr>
      <w:r>
        <w:rPr>
          <w:rFonts w:ascii="Times New Roman" w:hAnsi="仿宋_GB2312" w:eastAsia="仿宋_GB2312"/>
          <w:sz w:val="32"/>
          <w:lang w:val="zh-CN"/>
        </w:rPr>
        <w:t>附表：</w:t>
      </w:r>
      <w:r>
        <w:rPr>
          <w:rFonts w:hint="eastAsia" w:ascii="Times New Roman" w:hAnsi="仿宋_GB2312" w:eastAsia="仿宋_GB2312"/>
          <w:sz w:val="32"/>
          <w:lang w:val="zh-CN" w:eastAsia="zh-CN"/>
        </w:rPr>
        <w:t>2022年东西部协作稳岗就业促进</w:t>
      </w:r>
      <w:r>
        <w:rPr>
          <w:rFonts w:ascii="Times New Roman" w:hAnsi="仿宋_GB2312" w:eastAsia="仿宋_GB2312"/>
          <w:sz w:val="32"/>
        </w:rPr>
        <w:t>项目支出绩效自评表</w:t>
      </w:r>
    </w:p>
    <w:p>
      <w:pPr>
        <w:spacing w:line="576" w:lineRule="exact"/>
        <w:ind w:firstLine="640" w:firstLineChars="200"/>
        <w:rPr>
          <w:rFonts w:eastAsia="仿宋_GB2312"/>
          <w:sz w:val="32"/>
          <w:szCs w:val="32"/>
        </w:rPr>
      </w:pPr>
    </w:p>
    <w:p>
      <w:pPr>
        <w:spacing w:line="576" w:lineRule="exact"/>
        <w:ind w:firstLine="640" w:firstLineChars="200"/>
        <w:rPr>
          <w:rFonts w:eastAsia="仿宋_GB2312"/>
          <w:sz w:val="32"/>
          <w:szCs w:val="32"/>
        </w:rPr>
      </w:pPr>
    </w:p>
    <w:p>
      <w:pPr>
        <w:spacing w:line="576" w:lineRule="exact"/>
        <w:ind w:firstLine="3968" w:firstLineChars="1240"/>
        <w:jc w:val="center"/>
        <w:rPr>
          <w:rFonts w:eastAsia="仿宋_GB2312"/>
          <w:sz w:val="32"/>
          <w:szCs w:val="32"/>
        </w:rPr>
      </w:pPr>
      <w:r>
        <w:rPr>
          <w:rFonts w:eastAsia="仿宋_GB2312"/>
          <w:sz w:val="32"/>
          <w:szCs w:val="32"/>
        </w:rPr>
        <w:t>广元市昭化区妇女联合会</w:t>
      </w:r>
    </w:p>
    <w:p>
      <w:pPr>
        <w:spacing w:line="576" w:lineRule="exact"/>
        <w:ind w:firstLine="3968" w:firstLineChars="1240"/>
        <w:jc w:val="center"/>
        <w:rPr>
          <w:rFonts w:eastAsia="仿宋_GB2312"/>
          <w:sz w:val="32"/>
          <w:szCs w:val="32"/>
        </w:rPr>
      </w:pPr>
      <w:r>
        <w:rPr>
          <w:rFonts w:eastAsia="仿宋_GB2312"/>
          <w:sz w:val="32"/>
          <w:szCs w:val="32"/>
        </w:rPr>
        <w:t>2023年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26</w:t>
      </w:r>
      <w:r>
        <w:rPr>
          <w:rFonts w:eastAsia="仿宋_GB2312"/>
          <w:sz w:val="32"/>
          <w:szCs w:val="32"/>
        </w:rPr>
        <w:t>日</w:t>
      </w:r>
    </w:p>
    <w:p>
      <w:pPr>
        <w:spacing w:line="576" w:lineRule="exact"/>
        <w:ind w:firstLine="880" w:firstLineChars="200"/>
        <w:rPr>
          <w:rStyle w:val="29"/>
          <w:rFonts w:eastAsia="黑体"/>
          <w:b w:val="0"/>
        </w:rPr>
      </w:pPr>
    </w:p>
    <w:p>
      <w:pPr>
        <w:spacing w:line="576" w:lineRule="exact"/>
        <w:ind w:firstLine="880" w:firstLineChars="200"/>
        <w:rPr>
          <w:rStyle w:val="29"/>
          <w:rFonts w:eastAsia="黑体"/>
          <w:b w:val="0"/>
        </w:rPr>
      </w:pPr>
    </w:p>
    <w:p>
      <w:pPr>
        <w:spacing w:line="576" w:lineRule="exact"/>
        <w:ind w:firstLine="880" w:firstLineChars="200"/>
        <w:rPr>
          <w:rStyle w:val="29"/>
          <w:rFonts w:eastAsia="黑体"/>
          <w:b w:val="0"/>
        </w:rPr>
      </w:pPr>
    </w:p>
    <w:p>
      <w:pPr>
        <w:spacing w:line="576" w:lineRule="exact"/>
        <w:ind w:firstLine="880" w:firstLineChars="200"/>
        <w:rPr>
          <w:rStyle w:val="29"/>
          <w:rFonts w:eastAsia="黑体"/>
          <w:b w:val="0"/>
        </w:rPr>
      </w:pPr>
    </w:p>
    <w:p>
      <w:pPr>
        <w:spacing w:line="576" w:lineRule="exact"/>
        <w:ind w:firstLine="880" w:firstLineChars="200"/>
        <w:rPr>
          <w:rStyle w:val="29"/>
          <w:rFonts w:eastAsia="黑体"/>
          <w:b w:val="0"/>
        </w:rPr>
      </w:pPr>
    </w:p>
    <w:p>
      <w:pPr>
        <w:spacing w:line="576" w:lineRule="exact"/>
        <w:ind w:firstLine="880" w:firstLineChars="200"/>
        <w:rPr>
          <w:rStyle w:val="29"/>
          <w:rFonts w:eastAsia="黑体"/>
          <w:b w:val="0"/>
        </w:rPr>
      </w:pPr>
    </w:p>
    <w:p>
      <w:pPr>
        <w:spacing w:line="576" w:lineRule="exact"/>
        <w:ind w:firstLine="880" w:firstLineChars="200"/>
        <w:rPr>
          <w:rStyle w:val="29"/>
          <w:rFonts w:eastAsia="黑体"/>
          <w:b w:val="0"/>
        </w:rPr>
      </w:pPr>
    </w:p>
    <w:p>
      <w:pPr>
        <w:spacing w:line="576" w:lineRule="exact"/>
        <w:ind w:firstLine="880" w:firstLineChars="200"/>
        <w:rPr>
          <w:rStyle w:val="29"/>
          <w:rFonts w:eastAsia="黑体"/>
          <w:b w:val="0"/>
        </w:rPr>
      </w:pPr>
    </w:p>
    <w:tbl>
      <w:tblPr>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36"/>
        <w:gridCol w:w="708"/>
        <w:gridCol w:w="1140"/>
        <w:gridCol w:w="1140"/>
        <w:gridCol w:w="1296"/>
        <w:gridCol w:w="1764"/>
        <w:gridCol w:w="1644"/>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1644" w:type="dxa"/>
            <w:gridSpan w:val="2"/>
            <w:tcBorders>
              <w:top w:val="nil"/>
              <w:left w:val="nil"/>
              <w:bottom w:val="nil"/>
              <w:right w:val="nil"/>
            </w:tcBorders>
            <w:shd w:val="clear"/>
            <w:noWrap/>
            <w:vAlign w:val="center"/>
          </w:tcPr>
          <w:p>
            <w:pPr>
              <w:keepNext w:val="0"/>
              <w:keepLines w:val="0"/>
              <w:widowControl/>
              <w:suppressLineNumbers w:val="0"/>
              <w:jc w:val="left"/>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bdr w:val="none" w:color="auto" w:sz="0" w:space="0"/>
                <w:lang w:val="en-US" w:eastAsia="zh-CN" w:bidi="ar"/>
              </w:rPr>
              <w:t>附件7</w:t>
            </w:r>
          </w:p>
        </w:tc>
        <w:tc>
          <w:tcPr>
            <w:tcW w:w="114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14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296"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764"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644"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332"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60" w:type="dxa"/>
            <w:gridSpan w:val="8"/>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960" w:type="dxa"/>
            <w:gridSpan w:val="8"/>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项目（政策）名称</w:t>
            </w:r>
          </w:p>
        </w:tc>
        <w:tc>
          <w:tcPr>
            <w:tcW w:w="83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2022年东西部协作稳岗就业促进项目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主管部门</w:t>
            </w:r>
          </w:p>
        </w:tc>
        <w:tc>
          <w:tcPr>
            <w:tcW w:w="35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广元市昭化区妇女联合会</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实施单位</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射箭镇明觉社区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项目（政策）资金（万元）</w:t>
            </w:r>
          </w:p>
        </w:tc>
        <w:tc>
          <w:tcPr>
            <w:tcW w:w="2280" w:type="dxa"/>
            <w:gridSpan w:val="2"/>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29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年初预算数</w:t>
            </w:r>
          </w:p>
        </w:tc>
        <w:tc>
          <w:tcPr>
            <w:tcW w:w="176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全年预算数</w:t>
            </w:r>
          </w:p>
        </w:tc>
        <w:tc>
          <w:tcPr>
            <w:tcW w:w="164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全年执行数</w:t>
            </w:r>
          </w:p>
        </w:tc>
        <w:tc>
          <w:tcPr>
            <w:tcW w:w="1332"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332"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（一）财政拨款小计</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332"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1.一般公共预算</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332"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2.政府性基金</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644"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3.国有资本经营预算</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4.社保基金</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644"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2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（二）其他资金</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年度总体目标</w:t>
            </w:r>
          </w:p>
        </w:tc>
        <w:tc>
          <w:tcPr>
            <w:tcW w:w="619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预期目标</w:t>
            </w:r>
          </w:p>
        </w:tc>
        <w:tc>
          <w:tcPr>
            <w:tcW w:w="29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92"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2022年该项目的总体目标是新建来料加工车间1个，组织开展50人以上的技能培训，吸纳50人以上稳定就业。</w:t>
            </w:r>
          </w:p>
        </w:tc>
        <w:tc>
          <w:tcPr>
            <w:tcW w:w="29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2022年年底项目完成情况是在射箭镇明觉社区新建立了来料加工车间1个，组织开展了1期培训，培训人员共计25人，最后稳定长期就业人数为21人。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绩效指标</w:t>
            </w:r>
          </w:p>
        </w:tc>
        <w:tc>
          <w:tcPr>
            <w:tcW w:w="8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一级指标</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二级指标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三级指标</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年度指标值</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实际完成值</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产出指标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数量指标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新建车间</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培训人数</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50人</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25人</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由于疫情影响，不能开展第二期培训。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质量指标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培训人员合格率</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成本指标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新建车间成本</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12万元</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12万元</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培训费成本</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3万元</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3万元</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效益指标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经济效益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社会效益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新增妇女就业人数</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由于疫情影响，培训人数缩减到25人，最后稳定就业人数21人。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生态效益</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可持续影响指标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FF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8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满意度</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服务对象满意度指标</w:t>
            </w:r>
          </w:p>
        </w:tc>
        <w:tc>
          <w:tcPr>
            <w:tcW w:w="24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就业妇女满意度</w:t>
            </w:r>
          </w:p>
        </w:tc>
        <w:tc>
          <w:tcPr>
            <w:tcW w:w="17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6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1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bl>
    <w:p>
      <w:pPr>
        <w:spacing w:line="576" w:lineRule="exact"/>
        <w:ind w:firstLine="880" w:firstLineChars="200"/>
        <w:rPr>
          <w:rStyle w:val="29"/>
          <w:rFonts w:eastAsia="黑体"/>
          <w:b w:val="0"/>
        </w:rPr>
      </w:pPr>
    </w:p>
    <w:p>
      <w:pPr>
        <w:widowControl/>
        <w:spacing w:line="576" w:lineRule="exact"/>
        <w:ind w:firstLine="420" w:firstLineChars="200"/>
        <w:rPr>
          <w:rStyle w:val="29"/>
          <w:rFonts w:eastAsia="黑体"/>
          <w:b w:val="0"/>
        </w:rPr>
      </w:pPr>
      <w:r>
        <w:br w:type="page"/>
      </w:r>
    </w:p>
    <w:p>
      <w:pPr>
        <w:spacing w:line="576" w:lineRule="exact"/>
        <w:jc w:val="center"/>
        <w:outlineLvl w:val="0"/>
        <w:rPr>
          <w:rStyle w:val="29"/>
          <w:rFonts w:hint="eastAsia" w:eastAsia="黑体"/>
          <w:b w:val="0"/>
        </w:rPr>
      </w:pPr>
      <w:bookmarkStart w:id="59" w:name="_Toc15396618"/>
      <w:r>
        <w:rPr>
          <w:rFonts w:eastAsia="黑体"/>
          <w:sz w:val="44"/>
          <w:szCs w:val="44"/>
        </w:rPr>
        <w:t>第</w:t>
      </w:r>
      <w:r>
        <w:rPr>
          <w:rStyle w:val="29"/>
          <w:rFonts w:eastAsia="黑体"/>
          <w:b w:val="0"/>
        </w:rPr>
        <w:t>五部分 附表</w:t>
      </w:r>
      <w:bookmarkEnd w:id="58"/>
      <w:bookmarkEnd w:id="59"/>
      <w:bookmarkStart w:id="60" w:name="_Toc15396619"/>
    </w:p>
    <w:p>
      <w:pPr>
        <w:spacing w:line="576" w:lineRule="exact"/>
        <w:ind w:firstLine="420" w:firstLineChars="200"/>
        <w:outlineLvl w:val="0"/>
        <w:rPr>
          <w:rFonts w:eastAsia="仿宋"/>
        </w:rPr>
      </w:pPr>
    </w:p>
    <w:p>
      <w:pPr>
        <w:pStyle w:val="3"/>
        <w:spacing w:before="0" w:after="0" w:line="576" w:lineRule="exact"/>
        <w:ind w:firstLine="640" w:firstLineChars="200"/>
        <w:rPr>
          <w:rFonts w:ascii="Times New Roman" w:hAnsi="Times New Roman" w:eastAsia="仿宋" w:cs="Times New Roman"/>
        </w:rPr>
      </w:pPr>
      <w:r>
        <w:rPr>
          <w:rFonts w:ascii="Times New Roman" w:hAnsi="Times New Roman" w:eastAsia="仿宋" w:cs="Times New Roman"/>
          <w:b w:val="0"/>
        </w:rPr>
        <w:t>一、收</w:t>
      </w:r>
      <w:r>
        <w:rPr>
          <w:rStyle w:val="30"/>
          <w:rFonts w:ascii="Times New Roman" w:hAnsi="Times New Roman" w:eastAsia="仿宋" w:cs="Times New Roman"/>
          <w:b w:val="0"/>
          <w:bCs w:val="0"/>
        </w:rPr>
        <w:t>入支出决算总表</w:t>
      </w:r>
      <w:bookmarkEnd w:id="60"/>
    </w:p>
    <w:p>
      <w:pPr>
        <w:pStyle w:val="3"/>
        <w:spacing w:before="0" w:after="0" w:line="576" w:lineRule="exact"/>
        <w:ind w:firstLine="640" w:firstLineChars="200"/>
        <w:rPr>
          <w:rFonts w:ascii="Times New Roman" w:hAnsi="Times New Roman" w:eastAsia="仿宋" w:cs="Times New Roman"/>
        </w:rPr>
      </w:pPr>
      <w:bookmarkStart w:id="61" w:name="_Toc15396620"/>
      <w:r>
        <w:rPr>
          <w:rFonts w:ascii="Times New Roman" w:hAnsi="Times New Roman" w:eastAsia="仿宋" w:cs="Times New Roman"/>
          <w:b w:val="0"/>
        </w:rPr>
        <w:t>二、收</w:t>
      </w:r>
      <w:r>
        <w:rPr>
          <w:rStyle w:val="30"/>
          <w:rFonts w:ascii="Times New Roman" w:hAnsi="Times New Roman" w:eastAsia="仿宋" w:cs="Times New Roman"/>
          <w:b w:val="0"/>
          <w:bCs w:val="0"/>
        </w:rPr>
        <w:t>入决算表</w:t>
      </w:r>
      <w:bookmarkEnd w:id="61"/>
    </w:p>
    <w:p>
      <w:pPr>
        <w:pStyle w:val="3"/>
        <w:spacing w:before="0" w:after="0" w:line="576" w:lineRule="exact"/>
        <w:ind w:firstLine="640" w:firstLineChars="200"/>
        <w:rPr>
          <w:rFonts w:ascii="Times New Roman" w:hAnsi="Times New Roman" w:eastAsia="仿宋" w:cs="Times New Roman"/>
        </w:rPr>
      </w:pPr>
      <w:bookmarkStart w:id="62" w:name="_Toc15396621"/>
      <w:r>
        <w:rPr>
          <w:rStyle w:val="30"/>
          <w:rFonts w:ascii="Times New Roman" w:hAnsi="Times New Roman" w:eastAsia="仿宋" w:cs="Times New Roman"/>
          <w:b w:val="0"/>
          <w:bCs w:val="0"/>
        </w:rPr>
        <w:t>三、</w:t>
      </w:r>
      <w:r>
        <w:rPr>
          <w:rFonts w:ascii="Times New Roman" w:hAnsi="Times New Roman" w:eastAsia="仿宋" w:cs="Times New Roman"/>
          <w:b w:val="0"/>
        </w:rPr>
        <w:t>支</w:t>
      </w:r>
      <w:r>
        <w:rPr>
          <w:rStyle w:val="30"/>
          <w:rFonts w:ascii="Times New Roman" w:hAnsi="Times New Roman" w:eastAsia="仿宋" w:cs="Times New Roman"/>
          <w:b w:val="0"/>
          <w:bCs w:val="0"/>
        </w:rPr>
        <w:t>出决算表</w:t>
      </w:r>
      <w:bookmarkEnd w:id="62"/>
    </w:p>
    <w:p>
      <w:pPr>
        <w:pStyle w:val="3"/>
        <w:spacing w:before="0" w:after="0" w:line="576" w:lineRule="exact"/>
        <w:ind w:firstLine="640" w:firstLineChars="200"/>
        <w:rPr>
          <w:rFonts w:ascii="Times New Roman" w:hAnsi="Times New Roman" w:eastAsia="仿宋" w:cs="Times New Roman"/>
          <w:b w:val="0"/>
        </w:rPr>
      </w:pPr>
      <w:bookmarkStart w:id="63" w:name="_Toc15396622"/>
      <w:r>
        <w:rPr>
          <w:rStyle w:val="30"/>
          <w:rFonts w:ascii="Times New Roman" w:hAnsi="Times New Roman" w:eastAsia="仿宋" w:cs="Times New Roman"/>
          <w:b w:val="0"/>
          <w:bCs w:val="0"/>
        </w:rPr>
        <w:t>四、</w:t>
      </w:r>
      <w:r>
        <w:rPr>
          <w:rFonts w:ascii="Times New Roman" w:hAnsi="Times New Roman" w:eastAsia="仿宋" w:cs="Times New Roman"/>
          <w:b w:val="0"/>
        </w:rPr>
        <w:t>财</w:t>
      </w:r>
      <w:r>
        <w:rPr>
          <w:rStyle w:val="30"/>
          <w:rFonts w:ascii="Times New Roman" w:hAnsi="Times New Roman" w:eastAsia="仿宋" w:cs="Times New Roman"/>
          <w:b w:val="0"/>
          <w:bCs w:val="0"/>
        </w:rPr>
        <w:t>政拨款收入支出决算总表</w:t>
      </w:r>
      <w:bookmarkEnd w:id="63"/>
    </w:p>
    <w:p>
      <w:pPr>
        <w:pStyle w:val="3"/>
        <w:spacing w:before="0" w:after="0" w:line="576" w:lineRule="exact"/>
        <w:ind w:firstLine="640" w:firstLineChars="200"/>
        <w:rPr>
          <w:rStyle w:val="30"/>
          <w:rFonts w:ascii="Times New Roman" w:hAnsi="Times New Roman" w:eastAsia="仿宋" w:cs="Times New Roman"/>
          <w:b w:val="0"/>
          <w:bCs w:val="0"/>
        </w:rPr>
      </w:pPr>
      <w:bookmarkStart w:id="64" w:name="_Toc15396623"/>
      <w:r>
        <w:rPr>
          <w:rStyle w:val="30"/>
          <w:rFonts w:ascii="Times New Roman" w:hAnsi="Times New Roman" w:eastAsia="仿宋" w:cs="Times New Roman"/>
          <w:b w:val="0"/>
          <w:bCs w:val="0"/>
        </w:rPr>
        <w:t>五、</w:t>
      </w:r>
      <w:r>
        <w:rPr>
          <w:rFonts w:ascii="Times New Roman" w:hAnsi="Times New Roman" w:eastAsia="仿宋" w:cs="Times New Roman"/>
          <w:b w:val="0"/>
        </w:rPr>
        <w:t>财</w:t>
      </w:r>
      <w:r>
        <w:rPr>
          <w:rStyle w:val="30"/>
          <w:rFonts w:ascii="Times New Roman" w:hAnsi="Times New Roman" w:eastAsia="仿宋" w:cs="Times New Roman"/>
          <w:b w:val="0"/>
          <w:bCs w:val="0"/>
        </w:rPr>
        <w:t>政拨款支出决算明细表</w:t>
      </w:r>
      <w:bookmarkEnd w:id="64"/>
      <w:bookmarkStart w:id="65" w:name="_Toc15396624"/>
    </w:p>
    <w:p>
      <w:pPr>
        <w:pStyle w:val="3"/>
        <w:spacing w:before="0" w:after="0" w:line="576" w:lineRule="exact"/>
        <w:ind w:firstLine="640" w:firstLineChars="200"/>
        <w:rPr>
          <w:rFonts w:ascii="Times New Roman" w:hAnsi="Times New Roman" w:eastAsia="仿宋" w:cs="Times New Roman"/>
        </w:rPr>
      </w:pPr>
      <w:r>
        <w:rPr>
          <w:rStyle w:val="30"/>
          <w:rFonts w:ascii="Times New Roman" w:hAnsi="Times New Roman" w:eastAsia="仿宋" w:cs="Times New Roman"/>
          <w:b w:val="0"/>
          <w:bCs w:val="0"/>
        </w:rPr>
        <w:t>六、</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般公共预算财政拨款支出决算表</w:t>
      </w:r>
      <w:bookmarkEnd w:id="65"/>
    </w:p>
    <w:p>
      <w:pPr>
        <w:pStyle w:val="3"/>
        <w:spacing w:before="0" w:after="0" w:line="576" w:lineRule="exact"/>
        <w:ind w:firstLine="640" w:firstLineChars="200"/>
        <w:rPr>
          <w:rFonts w:ascii="Times New Roman" w:hAnsi="Times New Roman" w:eastAsia="仿宋" w:cs="Times New Roman"/>
        </w:rPr>
      </w:pPr>
      <w:bookmarkStart w:id="66" w:name="_Toc15396625"/>
      <w:r>
        <w:rPr>
          <w:rStyle w:val="30"/>
          <w:rFonts w:ascii="Times New Roman" w:hAnsi="Times New Roman" w:eastAsia="仿宋" w:cs="Times New Roman"/>
          <w:b w:val="0"/>
          <w:bCs w:val="0"/>
        </w:rPr>
        <w:t>七、</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般公共预算财政拨款支出决算明细表</w:t>
      </w:r>
      <w:bookmarkEnd w:id="66"/>
    </w:p>
    <w:p>
      <w:pPr>
        <w:pStyle w:val="3"/>
        <w:spacing w:before="0" w:after="0" w:line="576" w:lineRule="exact"/>
        <w:ind w:firstLine="640" w:firstLineChars="200"/>
        <w:rPr>
          <w:rFonts w:ascii="Times New Roman" w:hAnsi="Times New Roman" w:eastAsia="仿宋" w:cs="Times New Roman"/>
        </w:rPr>
      </w:pPr>
      <w:bookmarkStart w:id="67" w:name="_Toc15396626"/>
      <w:r>
        <w:rPr>
          <w:rStyle w:val="30"/>
          <w:rFonts w:ascii="Times New Roman" w:hAnsi="Times New Roman" w:eastAsia="仿宋" w:cs="Times New Roman"/>
          <w:b w:val="0"/>
          <w:bCs w:val="0"/>
        </w:rPr>
        <w:t>八、</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般公共预算财政拨款基本支出决算表</w:t>
      </w:r>
      <w:bookmarkEnd w:id="67"/>
    </w:p>
    <w:p>
      <w:pPr>
        <w:pStyle w:val="3"/>
        <w:spacing w:before="0" w:after="0" w:line="576" w:lineRule="exact"/>
        <w:ind w:firstLine="640" w:firstLineChars="200"/>
        <w:rPr>
          <w:rFonts w:ascii="Times New Roman" w:hAnsi="Times New Roman" w:eastAsia="仿宋" w:cs="Times New Roman"/>
        </w:rPr>
      </w:pPr>
      <w:bookmarkStart w:id="68" w:name="_Toc15396627"/>
      <w:r>
        <w:rPr>
          <w:rStyle w:val="30"/>
          <w:rFonts w:ascii="Times New Roman" w:hAnsi="Times New Roman" w:eastAsia="仿宋" w:cs="Times New Roman"/>
          <w:b w:val="0"/>
          <w:bCs w:val="0"/>
        </w:rPr>
        <w:t>九、</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般公共预算财政拨款项目支出决算表</w:t>
      </w:r>
      <w:bookmarkEnd w:id="68"/>
    </w:p>
    <w:p>
      <w:pPr>
        <w:pStyle w:val="3"/>
        <w:spacing w:before="0" w:after="0" w:line="576" w:lineRule="exact"/>
        <w:ind w:firstLine="640" w:firstLineChars="200"/>
        <w:rPr>
          <w:rFonts w:ascii="Times New Roman" w:hAnsi="Times New Roman" w:eastAsia="仿宋" w:cs="Times New Roman"/>
        </w:rPr>
      </w:pPr>
      <w:bookmarkStart w:id="69" w:name="_Toc15396628"/>
      <w:r>
        <w:rPr>
          <w:rStyle w:val="30"/>
          <w:rFonts w:ascii="Times New Roman" w:hAnsi="Times New Roman" w:eastAsia="仿宋" w:cs="Times New Roman"/>
          <w:b w:val="0"/>
          <w:bCs w:val="0"/>
        </w:rPr>
        <w:t>十、</w:t>
      </w:r>
      <w:bookmarkEnd w:id="69"/>
      <w:r>
        <w:rPr>
          <w:rFonts w:ascii="Times New Roman" w:hAnsi="Times New Roman" w:eastAsia="仿宋" w:cs="Times New Roman"/>
          <w:b w:val="0"/>
        </w:rPr>
        <w:t>政</w:t>
      </w:r>
      <w:r>
        <w:rPr>
          <w:rStyle w:val="30"/>
          <w:rFonts w:ascii="Times New Roman" w:hAnsi="Times New Roman" w:eastAsia="仿宋" w:cs="Times New Roman"/>
          <w:b w:val="0"/>
          <w:bCs w:val="0"/>
        </w:rPr>
        <w:t>府性基金预算财政拨款收入支出决算表</w:t>
      </w:r>
    </w:p>
    <w:p>
      <w:pPr>
        <w:pStyle w:val="3"/>
        <w:spacing w:before="0" w:after="0" w:line="576" w:lineRule="exact"/>
        <w:ind w:firstLine="640" w:firstLineChars="200"/>
        <w:rPr>
          <w:rFonts w:ascii="Times New Roman" w:hAnsi="Times New Roman" w:eastAsia="仿宋" w:cs="Times New Roman"/>
        </w:rPr>
      </w:pPr>
      <w:bookmarkStart w:id="70" w:name="_Toc15396629"/>
      <w:r>
        <w:rPr>
          <w:rStyle w:val="30"/>
          <w:rFonts w:ascii="Times New Roman" w:hAnsi="Times New Roman" w:eastAsia="仿宋" w:cs="Times New Roman"/>
          <w:b w:val="0"/>
          <w:bCs w:val="0"/>
        </w:rPr>
        <w:t>十一、</w:t>
      </w:r>
      <w:bookmarkEnd w:id="70"/>
      <w:r>
        <w:rPr>
          <w:rFonts w:ascii="Times New Roman" w:hAnsi="Times New Roman" w:eastAsia="仿宋" w:cs="Times New Roman"/>
          <w:b w:val="0"/>
        </w:rPr>
        <w:t>国</w:t>
      </w:r>
      <w:r>
        <w:rPr>
          <w:rStyle w:val="30"/>
          <w:rFonts w:ascii="Times New Roman" w:hAnsi="Times New Roman" w:eastAsia="仿宋" w:cs="Times New Roman"/>
          <w:b w:val="0"/>
          <w:bCs w:val="0"/>
        </w:rPr>
        <w:t>有资本经营预算财政拨款收入支出决算表</w:t>
      </w:r>
    </w:p>
    <w:p>
      <w:pPr>
        <w:pStyle w:val="3"/>
        <w:spacing w:before="0" w:after="0" w:line="576" w:lineRule="exact"/>
        <w:ind w:firstLine="640" w:firstLineChars="200"/>
        <w:rPr>
          <w:rFonts w:ascii="Times New Roman" w:hAnsi="Times New Roman" w:eastAsia="仿宋" w:cs="Times New Roman"/>
        </w:rPr>
      </w:pPr>
      <w:bookmarkStart w:id="71" w:name="_Toc15396630"/>
      <w:r>
        <w:rPr>
          <w:rStyle w:val="30"/>
          <w:rFonts w:ascii="Times New Roman" w:hAnsi="Times New Roman" w:eastAsia="仿宋" w:cs="Times New Roman"/>
          <w:b w:val="0"/>
          <w:bCs w:val="0"/>
        </w:rPr>
        <w:t>十二、</w:t>
      </w:r>
      <w:bookmarkEnd w:id="71"/>
      <w:r>
        <w:rPr>
          <w:rStyle w:val="30"/>
          <w:rFonts w:ascii="Times New Roman" w:hAnsi="Times New Roman" w:eastAsia="仿宋" w:cs="Times New Roman"/>
          <w:b w:val="0"/>
          <w:bCs w:val="0"/>
        </w:rPr>
        <w:t>国有资本经营预算财政拨款支出决算表</w:t>
      </w:r>
    </w:p>
    <w:p>
      <w:pPr>
        <w:pStyle w:val="3"/>
        <w:spacing w:before="0" w:after="0" w:line="576" w:lineRule="exact"/>
        <w:ind w:firstLine="640" w:firstLineChars="200"/>
        <w:rPr>
          <w:rFonts w:ascii="Times New Roman" w:hAnsi="Times New Roman" w:eastAsia="仿宋" w:cs="Times New Roman"/>
        </w:rPr>
      </w:pPr>
      <w:bookmarkStart w:id="72" w:name="_Toc15396631"/>
      <w:r>
        <w:rPr>
          <w:rStyle w:val="30"/>
          <w:rFonts w:ascii="Times New Roman" w:hAnsi="Times New Roman" w:eastAsia="仿宋" w:cs="Times New Roman"/>
          <w:b w:val="0"/>
          <w:bCs w:val="0"/>
        </w:rPr>
        <w:t>十三、</w:t>
      </w:r>
      <w:bookmarkEnd w:id="72"/>
      <w:r>
        <w:rPr>
          <w:rStyle w:val="30"/>
          <w:rFonts w:ascii="Times New Roman" w:hAnsi="Times New Roman" w:eastAsia="仿宋" w:cs="Times New Roman"/>
          <w:b w:val="0"/>
          <w:bCs w:val="0"/>
        </w:rPr>
        <w:t>财政拨款“三公”经费支出决算表</w:t>
      </w:r>
    </w:p>
    <w:sectPr>
      <w:pgSz w:w="11906" w:h="16838"/>
      <w:pgMar w:top="2098" w:right="1474" w:bottom="1985" w:left="1588" w:header="851" w:footer="1531"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25950833"/>
      <w:docPartObj>
        <w:docPartGallery w:val="autotext"/>
      </w:docPartObj>
    </w:sdtPr>
    <w:sdtEndPr>
      <w:rPr>
        <w:rFonts w:hint="eastAsia" w:ascii="宋体" w:hAnsi="宋体"/>
        <w:sz w:val="28"/>
        <w:szCs w:val="28"/>
      </w:rPr>
    </w:sdtEndPr>
    <w:sdtContent>
      <w:p>
        <w:pPr>
          <w:pStyle w:val="9"/>
          <w:framePr w:wrap="around" w:vAnchor="text" w:hAnchor="margin" w:xAlign="outside" w:y="1"/>
          <w:ind w:left="210" w:leftChars="100" w:right="210" w:rightChars="100"/>
          <w:rPr>
            <w:rStyle w:val="18"/>
            <w:rFonts w:ascii="宋体" w:hAnsi="宋体"/>
            <w:sz w:val="28"/>
            <w:szCs w:val="28"/>
          </w:rPr>
        </w:pPr>
        <w:r>
          <w:rPr>
            <w:rFonts w:hint="eastAsia" w:ascii="宋体" w:hAnsi="宋体"/>
            <w:sz w:val="28"/>
            <w:szCs w:val="28"/>
          </w:rPr>
          <w:t xml:space="preserve">— </w:t>
        </w:r>
        <w:r>
          <w:rPr>
            <w:rStyle w:val="18"/>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2</w:t>
        </w:r>
        <w:r>
          <w:rPr>
            <w:rFonts w:ascii="宋体" w:hAnsi="宋体"/>
            <w:sz w:val="28"/>
            <w:szCs w:val="28"/>
          </w:rPr>
          <w:fldChar w:fldCharType="end"/>
        </w:r>
        <w:r>
          <w:rPr>
            <w:rFonts w:hint="eastAsia" w:ascii="宋体" w:hAnsi="宋体"/>
            <w:sz w:val="28"/>
            <w:szCs w:val="28"/>
          </w:rPr>
          <w:t xml:space="preserve"> —</w:t>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25950825"/>
      <w:docPartObj>
        <w:docPartGallery w:val="autotext"/>
      </w:docPartObj>
    </w:sdtPr>
    <w:sdtEndPr>
      <w:rPr>
        <w:rFonts w:hint="eastAsia" w:ascii="宋体" w:hAnsi="宋体"/>
        <w:sz w:val="28"/>
        <w:szCs w:val="28"/>
      </w:rPr>
    </w:sdtEndPr>
    <w:sdtContent>
      <w:p>
        <w:pPr>
          <w:pStyle w:val="9"/>
          <w:framePr w:wrap="around" w:vAnchor="text" w:hAnchor="margin" w:xAlign="outside" w:y="1"/>
          <w:ind w:left="210" w:leftChars="100" w:right="210" w:rightChars="100"/>
          <w:rPr>
            <w:rStyle w:val="18"/>
            <w:rFonts w:ascii="宋体" w:hAnsi="宋体"/>
            <w:sz w:val="28"/>
            <w:szCs w:val="28"/>
          </w:rPr>
        </w:pPr>
        <w:r>
          <w:rPr>
            <w:rFonts w:hint="eastAsia" w:ascii="宋体" w:hAnsi="宋体"/>
            <w:sz w:val="28"/>
            <w:szCs w:val="28"/>
          </w:rPr>
          <w:t xml:space="preserve">— </w:t>
        </w:r>
        <w:r>
          <w:rPr>
            <w:rStyle w:val="18"/>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3"/>
      <w:numFmt w:val="chineseCounting"/>
      <w:suff w:val="space"/>
      <w:lvlText w:val="第%1部分"/>
      <w:lvlJc w:val="left"/>
      <w:rPr>
        <w:rFonts w:hint="eastAsia"/>
      </w:rPr>
    </w:lvl>
  </w:abstractNum>
  <w:abstractNum w:abstractNumId="1">
    <w:nsid w:val="CF092B84"/>
    <w:multiLevelType w:val="singleLevel"/>
    <w:tmpl w:val="CF092B84"/>
    <w:lvl w:ilvl="0" w:tentative="0">
      <w:start w:val="2"/>
      <w:numFmt w:val="chineseCounting"/>
      <w:suff w:val="space"/>
      <w:lvlText w:val="第%1部分"/>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rPr>
        <w:rFonts w:hint="eastAsia"/>
      </w:rPr>
    </w:lvl>
  </w:abstractNum>
  <w:abstractNum w:abstractNumId="3">
    <w:nsid w:val="59ADCABA"/>
    <w:multiLevelType w:val="singleLevel"/>
    <w:tmpl w:val="59ADCABA"/>
    <w:lvl w:ilvl="0" w:tentative="0">
      <w:start w:val="9"/>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MmRlMzQyMDBlY2I2ODNlNjc3ZmJlNWQ1N2IwYmJhMWEifQ=="/>
  </w:docVars>
  <w:rsids>
    <w:rsidRoot w:val="00000000"/>
    <w:rsid w:val="038D3451"/>
    <w:rsid w:val="08850B9A"/>
    <w:rsid w:val="12CC1965"/>
    <w:rsid w:val="14215C1B"/>
    <w:rsid w:val="19874772"/>
    <w:rsid w:val="1A2C027D"/>
    <w:rsid w:val="37CE75B8"/>
    <w:rsid w:val="38F66DC7"/>
    <w:rsid w:val="394E275F"/>
    <w:rsid w:val="411C1395"/>
    <w:rsid w:val="427604D6"/>
    <w:rsid w:val="570F1328"/>
    <w:rsid w:val="6B0B0436"/>
    <w:rsid w:val="6D8E5F3C"/>
    <w:rsid w:val="7FD12D6F"/>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link w:val="24"/>
    <w:qFormat/>
    <w:uiPriority w:val="0"/>
    <w:pPr>
      <w:tabs>
        <w:tab w:val="center" w:pos="4153"/>
        <w:tab w:val="right" w:pos="8306"/>
      </w:tabs>
      <w:snapToGrid w:val="0"/>
      <w:jc w:val="left"/>
    </w:pPr>
    <w:rPr>
      <w:rFonts w:ascii="Calibri" w:hAnsi="Calibri"/>
      <w:kern w:val="0"/>
      <w:sz w:val="18"/>
      <w:szCs w:val="18"/>
    </w:rPr>
  </w:style>
  <w:style w:type="paragraph" w:styleId="10">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page number"/>
    <w:basedOn w:val="16"/>
    <w:qFormat/>
    <w:uiPriority w:val="0"/>
  </w:style>
  <w:style w:type="character" w:styleId="19">
    <w:name w:val="Hyperlink"/>
    <w:basedOn w:val="16"/>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Char"/>
    <w:link w:val="10"/>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Char"/>
    <w:link w:val="9"/>
    <w:qFormat/>
    <w:locked/>
    <w:uiPriority w:val="0"/>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6"/>
    <w:link w:val="2"/>
    <w:qFormat/>
    <w:uiPriority w:val="9"/>
    <w:rPr>
      <w:rFonts w:ascii="Times New Roman" w:hAnsi="Times New Roman"/>
      <w:b/>
      <w:bCs/>
      <w:kern w:val="44"/>
      <w:sz w:val="44"/>
      <w:szCs w:val="44"/>
    </w:rPr>
  </w:style>
  <w:style w:type="character" w:customStyle="1" w:styleId="30">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6"/>
    <w:link w:val="8"/>
    <w:semiHidden/>
    <w:qFormat/>
    <w:uiPriority w:val="99"/>
    <w:rPr>
      <w:rFonts w:ascii="Times New Roman" w:hAnsi="Times New Roman"/>
      <w:kern w:val="2"/>
      <w:sz w:val="18"/>
      <w:szCs w:val="18"/>
    </w:rPr>
  </w:style>
  <w:style w:type="character" w:customStyle="1" w:styleId="33">
    <w:name w:val="标题 3 Char"/>
    <w:basedOn w:val="16"/>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table" w:customStyle="1" w:styleId="36">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104.07</c:v>
                </c:pt>
                <c:pt idx="1">
                  <c:v>125.32</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104.07</c:v>
                </c:pt>
                <c:pt idx="1">
                  <c:v>125.32</c:v>
                </c:pt>
              </c:numCache>
            </c:numRef>
          </c:val>
        </c:ser>
        <c:dLbls>
          <c:showLegendKey val="0"/>
          <c:showVal val="0"/>
          <c:showCatName val="0"/>
          <c:showSerName val="0"/>
          <c:showPercent val="0"/>
          <c:showBubbleSize val="0"/>
        </c:dLbls>
        <c:gapWidth val="219"/>
        <c:overlap val="-27"/>
        <c:axId val="232355328"/>
        <c:axId val="336658432"/>
      </c:barChart>
      <c:catAx>
        <c:axId val="2323553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658432"/>
        <c:crosses val="autoZero"/>
        <c:auto val="1"/>
        <c:lblAlgn val="ctr"/>
        <c:lblOffset val="100"/>
        <c:noMultiLvlLbl val="0"/>
      </c:catAx>
      <c:valAx>
        <c:axId val="33665843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0" spcFirstLastPara="0" vertOverflow="ellipsis" vert="wordArt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altLang="zh-CN"/>
                  <a:t>单位：万元</a:t>
                </a:r>
                <a:endParaRPr altLang="zh-CN"/>
              </a:p>
            </c:rich>
          </c:tx>
          <c:layout>
            <c:manualLayout>
              <c:xMode val="edge"/>
              <c:yMode val="edge"/>
              <c:x val="0.0275"/>
              <c:y val="0.392616666666667"/>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3553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spPr>
              <a:solidFill>
                <a:schemeClr val="accent1"/>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c:f>
              <c:strCache>
                <c:ptCount val="1"/>
                <c:pt idx="0">
                  <c:v>一般公共预算财政拨款收入</c:v>
                </c:pt>
              </c:strCache>
            </c:strRef>
          </c:cat>
          <c:val>
            <c:numRef>
              <c:f>Sheet1!$B$2</c:f>
              <c:numCache>
                <c:formatCode>0%</c:formatCode>
                <c:ptCount val="1"/>
                <c:pt idx="0">
                  <c:v>1</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比例</c:v>
                </c:pt>
              </c:strCache>
            </c:strRef>
          </c:tx>
          <c:explosion val="0"/>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0.609</c:v>
                </c:pt>
                <c:pt idx="1">
                  <c:v>0.391</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104.07</c:v>
                </c:pt>
                <c:pt idx="1">
                  <c:v>125.32</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104.07</c:v>
                </c:pt>
                <c:pt idx="1">
                  <c:v>125.32</c:v>
                </c:pt>
              </c:numCache>
            </c:numRef>
          </c:val>
        </c:ser>
        <c:dLbls>
          <c:showLegendKey val="0"/>
          <c:showVal val="0"/>
          <c:showCatName val="0"/>
          <c:showSerName val="0"/>
          <c:showPercent val="0"/>
          <c:showBubbleSize val="0"/>
        </c:dLbls>
        <c:gapWidth val="219"/>
        <c:overlap val="-27"/>
        <c:axId val="391158016"/>
        <c:axId val="391168768"/>
      </c:barChart>
      <c:catAx>
        <c:axId val="3911580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168768"/>
        <c:crosses val="autoZero"/>
        <c:auto val="1"/>
        <c:lblAlgn val="ctr"/>
        <c:lblOffset val="100"/>
        <c:noMultiLvlLbl val="0"/>
      </c:catAx>
      <c:valAx>
        <c:axId val="39116876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0" spcFirstLastPara="0" vertOverflow="ellipsis" vert="wordArt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altLang="zh-CN"/>
                  <a:t>单位：万元</a:t>
                </a:r>
                <a:endParaRPr altLang="zh-CN"/>
              </a:p>
            </c:rich>
          </c:tx>
          <c:layout>
            <c:manualLayout>
              <c:xMode val="edge"/>
              <c:yMode val="edge"/>
              <c:x val="0.0275"/>
              <c:y val="0.392616666666667"/>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158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Sheet1!#REF!</c:f>
              <c:numCache>
                <c:formatCode>General</c:formatCode>
                <c:ptCount val="1"/>
                <c:pt idx="0">
                  <c:v>1</c:v>
                </c:pt>
              </c:numCache>
            </c:numRef>
          </c:val>
        </c:ser>
        <c:ser>
          <c:idx val="1"/>
          <c:order val="1"/>
          <c:tx>
            <c:strRef>
              <c:f>Sheet1!$B$1</c:f>
              <c:strCache>
                <c:ptCount val="1"/>
                <c:pt idx="0">
                  <c:v>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104.07</c:v>
                </c:pt>
                <c:pt idx="1">
                  <c:v>125.32</c:v>
                </c:pt>
              </c:numCache>
            </c:numRef>
          </c:val>
        </c:ser>
        <c:dLbls>
          <c:showLegendKey val="0"/>
          <c:showVal val="0"/>
          <c:showCatName val="0"/>
          <c:showSerName val="0"/>
          <c:showPercent val="0"/>
          <c:showBubbleSize val="0"/>
        </c:dLbls>
        <c:gapWidth val="219"/>
        <c:overlap val="-27"/>
        <c:axId val="428850176"/>
        <c:axId val="390796032"/>
      </c:barChart>
      <c:catAx>
        <c:axId val="4288501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0796032"/>
        <c:crosses val="autoZero"/>
        <c:auto val="1"/>
        <c:lblAlgn val="ctr"/>
        <c:lblOffset val="100"/>
        <c:noMultiLvlLbl val="0"/>
      </c:catAx>
      <c:valAx>
        <c:axId val="390796032"/>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0" spcFirstLastPara="0" vertOverflow="ellipsis" vert="wordArtVert"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altLang="zh-CN"/>
                  <a:t>单位：万元</a:t>
                </a:r>
                <a:endParaRPr altLang="zh-CN"/>
              </a:p>
            </c:rich>
          </c:tx>
          <c:layout>
            <c:manualLayout>
              <c:xMode val="edge"/>
              <c:yMode val="edge"/>
              <c:x val="0.0275"/>
              <c:y val="0.392616666666667"/>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8501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Sheet1!$A$2:$A$6</c:f>
              <c:strCache>
                <c:ptCount val="5"/>
                <c:pt idx="0">
                  <c:v>一般公共服务（类）支出</c:v>
                </c:pt>
                <c:pt idx="1">
                  <c:v>社会保障和就业（类）支出</c:v>
                </c:pt>
                <c:pt idx="2">
                  <c:v>卫生健康支出</c:v>
                </c:pt>
                <c:pt idx="3">
                  <c:v>住房保障支出</c:v>
                </c:pt>
                <c:pt idx="4">
                  <c:v>农林水支出</c:v>
                </c:pt>
              </c:strCache>
            </c:strRef>
          </c:cat>
          <c:val>
            <c:numRef>
              <c:f>Sheet1!$B$2:$B$6</c:f>
              <c:numCache>
                <c:formatCode>General</c:formatCode>
                <c:ptCount val="5"/>
                <c:pt idx="0">
                  <c:v>97.64</c:v>
                </c:pt>
                <c:pt idx="1">
                  <c:v>3.2</c:v>
                </c:pt>
                <c:pt idx="2">
                  <c:v>1.64</c:v>
                </c:pt>
                <c:pt idx="3">
                  <c:v>3.4</c:v>
                </c:pt>
                <c:pt idx="4">
                  <c:v>15</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0.34</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0C9AFFAC1144459DB4ED2D95715CC06F_13</vt:lpwstr>
  </property>
</Properties>
</file>

<file path=customXml/item2.xml><?xml version="1.0" encoding="utf-8"?>
<Properties xmlns="http://schemas.openxmlformats.org/officeDocument/2006/extended-properties" xmlns:vt="http://schemas.openxmlformats.org/officeDocument/2006/docPropsVTypes">
  <Template>Normal.dotm</Template>
  <TotalTime>14</TotalTime>
  <Pages>31</Pages>
  <Words>1808</Words>
  <Characters>10309</Characters>
  <Application>Microsoft Office Word</Application>
  <DocSecurity>0</DocSecurity>
  <Lines>85</Lines>
  <Paragraphs>24</Paragraphs>
  <ScaleCrop>false</ScaleCrop>
  <Company>四川省财政厅</Company>
  <LinksUpToDate>false</LinksUpToDate>
  <CharactersWithSpaces>12093</CharactersWithSpaces>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35</cp:revision>
  <cp:lastPrinted>2023-07-31T02:35:00Z</cp:lastPrinted>
  <dcterms:created xsi:type="dcterms:W3CDTF">2020-08-05T01:49:00Z</dcterms:created>
  <dcterms:modified xsi:type="dcterms:W3CDTF">2023-09-25T08:20:00Z</dcterms:modified>
</cp:coreProperties>
</file>

<file path=customXml/itemProps1.xml><?xml version="1.0" encoding="utf-8"?>
<ds:datastoreItem xmlns:ds="http://schemas.openxmlformats.org/officeDocument/2006/customXml" ds:itemID="{0ecf6af5-e4ab-4fa5-9029-25070c88c552}">
  <ds:schemaRefs/>
</ds:datastoreItem>
</file>

<file path=customXml/itemProps2.xml><?xml version="1.0" encoding="utf-8"?>
<ds:datastoreItem xmlns:ds="http://schemas.openxmlformats.org/officeDocument/2006/customXml" ds:itemID="{d29df876-0fb2-435c-a61d-8eb154c61bec}">
  <ds:schemaRefs/>
</ds:datastoreItem>
</file>

<file path=customXml/itemProps3.xml><?xml version="1.0" encoding="utf-8"?>
<ds:datastoreItem xmlns:ds="http://schemas.openxmlformats.org/officeDocument/2006/customXml" ds:itemID="{88f55069-7687-4e6a-b860-073a1f50fa53}">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1808</Words>
  <Characters>10309</Characters>
  <Lines>85</Lines>
  <Paragraphs>24</Paragraphs>
  <TotalTime>9</TotalTime>
  <ScaleCrop>false</ScaleCrop>
  <LinksUpToDate>false</LinksUpToDate>
  <CharactersWithSpaces>12093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囧</cp:lastModifiedBy>
  <cp:lastPrinted>2023-07-31T02:35:00Z</cp:lastPrinted>
  <dcterms:modified xsi:type="dcterms:W3CDTF">2023-09-26T06:49:34Z</dcterms:modified>
  <dc:title>四川省_x002A__x002A__x002A_</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7C3A2E2712E14B51A45F005879238664_13</vt:lpwstr>
  </property>
</Properties>
</file>