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8622"/>
      <w:bookmarkStart w:id="2" w:name="_Toc21776"/>
      <w:bookmarkStart w:id="3" w:name="_Toc15377193"/>
      <w:bookmarkStart w:id="4" w:name="_Toc29441"/>
      <w:bookmarkStart w:id="5" w:name="_Toc15396597"/>
      <w:bookmarkStart w:id="6" w:name="_Toc15377"/>
      <w:bookmarkStart w:id="7" w:name="_Toc15396475"/>
      <w:bookmarkStart w:id="8" w:name="_Toc15377425"/>
      <w:bookmarkStart w:id="9" w:name="_Toc11402"/>
      <w:bookmarkStart w:id="10" w:name="_Toc15378441"/>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bookmarkEnd w:id="8"/>
      <w:bookmarkEnd w:id="9"/>
      <w:bookmarkEnd w:id="10"/>
      <w:bookmarkStart w:id="213" w:name="_GoBack"/>
      <w:bookmarkEnd w:id="213"/>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1" w:name="_Toc27714"/>
      <w:bookmarkStart w:id="12" w:name="_Toc15377194"/>
      <w:bookmarkStart w:id="13" w:name="_Toc3990"/>
      <w:bookmarkStart w:id="14" w:name="_Toc32284"/>
      <w:bookmarkStart w:id="15" w:name="_Toc15378442"/>
      <w:bookmarkStart w:id="16" w:name="_Toc18497"/>
      <w:bookmarkStart w:id="17" w:name="_Toc15396598"/>
      <w:bookmarkStart w:id="18" w:name="_Toc17759"/>
      <w:bookmarkStart w:id="19" w:name="_Toc15396476"/>
      <w:bookmarkStart w:id="20" w:name="_Toc15377426"/>
      <w:r>
        <w:rPr>
          <w:rFonts w:hint="eastAsia" w:ascii="方正小标宋简体" w:hAnsi="方正小标宋简体" w:eastAsia="方正小标宋简体" w:cs="方正小标宋简体"/>
          <w:color w:val="auto"/>
          <w:sz w:val="72"/>
          <w:szCs w:val="72"/>
          <w:highlight w:val="none"/>
        </w:rPr>
        <w:t>四川省</w:t>
      </w:r>
      <w:bookmarkEnd w:id="0"/>
      <w:bookmarkStart w:id="21" w:name="_Toc15306268"/>
      <w:r>
        <w:rPr>
          <w:rFonts w:hint="eastAsia" w:ascii="方正小标宋简体" w:hAnsi="方正小标宋简体" w:eastAsia="方正小标宋简体" w:cs="方正小标宋简体"/>
          <w:color w:val="auto"/>
          <w:sz w:val="72"/>
          <w:szCs w:val="72"/>
          <w:highlight w:val="none"/>
        </w:rPr>
        <w:t>广元市昭化区卫生执法监督大队</w:t>
      </w: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11"/>
      <w:bookmarkEnd w:id="12"/>
      <w:bookmarkEnd w:id="13"/>
      <w:bookmarkEnd w:id="14"/>
      <w:bookmarkEnd w:id="15"/>
      <w:bookmarkEnd w:id="16"/>
      <w:bookmarkEnd w:id="17"/>
      <w:bookmarkEnd w:id="18"/>
      <w:bookmarkEnd w:id="19"/>
      <w:bookmarkEnd w:id="20"/>
      <w:bookmarkEnd w:id="21"/>
    </w:p>
    <w:p>
      <w:pPr>
        <w:rPr>
          <w:color w:val="auto"/>
          <w:highlight w:val="none"/>
        </w:rPr>
      </w:pPr>
      <w:r>
        <w:rPr>
          <w:rFonts w:ascii="方正小标宋简体" w:hAnsi="宋体" w:eastAsia="方正小标宋简体"/>
          <w:color w:val="auto"/>
          <w:sz w:val="36"/>
          <w:szCs w:val="36"/>
          <w:highlight w:val="none"/>
        </w:rPr>
        <w:br w:type="page"/>
      </w:r>
    </w:p>
    <w:sdt>
      <w:sdtPr>
        <w:rPr>
          <w:rFonts w:ascii="宋体" w:hAnsi="宋体" w:eastAsia="宋体" w:cs="Times New Roman"/>
          <w:kern w:val="2"/>
          <w:sz w:val="21"/>
          <w:szCs w:val="24"/>
          <w:lang w:val="en-US" w:eastAsia="zh-CN" w:bidi="ar-SA"/>
        </w:rPr>
        <w:id w:val="147454662"/>
        <w15:color w:val="DBDBDB"/>
        <w:docPartObj>
          <w:docPartGallery w:val="Table of Contents"/>
          <w:docPartUnique/>
        </w:docPartObj>
      </w:sdtPr>
      <w:sdtEndPr>
        <w:rPr>
          <w:rFonts w:ascii="Times New Roman" w:hAnsi="Times New Roman" w:eastAsia="宋体" w:cs="Times New Roman"/>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Times New Roman"/>
              <w:color w:val="auto"/>
              <w:sz w:val="48"/>
              <w:szCs w:val="48"/>
              <w:highlight w:val="none"/>
            </w:rPr>
          </w:pPr>
          <w:r>
            <w:rPr>
              <w:rFonts w:hint="eastAsia" w:ascii="黑体" w:hAnsi="黑体" w:eastAsia="黑体" w:cs="Times New Roman"/>
              <w:color w:val="auto"/>
              <w:sz w:val="48"/>
              <w:szCs w:val="48"/>
              <w:highlight w:val="none"/>
            </w:rPr>
            <w:t>目</w:t>
          </w:r>
          <w:r>
            <w:rPr>
              <w:rFonts w:hint="eastAsia" w:ascii="黑体" w:hAnsi="黑体" w:eastAsia="黑体" w:cs="Times New Roman"/>
              <w:color w:val="auto"/>
              <w:sz w:val="48"/>
              <w:szCs w:val="48"/>
              <w:highlight w:val="none"/>
              <w:lang w:val="en-US" w:eastAsia="zh-CN"/>
            </w:rPr>
            <w:t xml:space="preserve"> </w:t>
          </w:r>
          <w:r>
            <w:rPr>
              <w:rFonts w:hint="eastAsia" w:ascii="黑体" w:hAnsi="黑体" w:eastAsia="黑体" w:cs="Times New Roman"/>
              <w:color w:val="auto"/>
              <w:sz w:val="48"/>
              <w:szCs w:val="48"/>
              <w:highlight w:val="none"/>
            </w:rPr>
            <w:t>录</w:t>
          </w:r>
        </w:p>
        <w:p>
          <w:pPr>
            <w:pStyle w:val="7"/>
            <w:jc w:val="center"/>
            <w:rPr>
              <w:rFonts w:hint="eastAsia"/>
            </w:rPr>
          </w:pPr>
          <w:r>
            <w:rPr>
              <w:rFonts w:hint="eastAsia" w:ascii="仿宋" w:hAnsi="仿宋" w:eastAsia="仿宋" w:cs="Times New Roman"/>
              <w:b w:val="0"/>
              <w:bCs/>
              <w:kern w:val="2"/>
              <w:sz w:val="28"/>
              <w:szCs w:val="28"/>
              <w:highlight w:val="none"/>
              <w:lang w:val="en-US" w:eastAsia="zh-CN" w:bidi="ar-SA"/>
            </w:rPr>
            <w:t>公开时间：2022年 9月30日</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TOC \o "1-2" \h \u </w:instrText>
          </w:r>
          <w:r>
            <w:rPr>
              <w:rFonts w:hint="eastAsia"/>
              <w:color w:val="auto"/>
              <w:sz w:val="24"/>
              <w:highlight w:val="none"/>
            </w:rPr>
            <w:fldChar w:fldCharType="separate"/>
          </w:r>
        </w:p>
        <w:p>
          <w:pPr>
            <w:pStyle w:val="12"/>
            <w:adjustRightInd w:val="0"/>
            <w:snapToGrid w:val="0"/>
            <w:spacing w:before="0"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_Toc22472 </w:instrText>
          </w:r>
          <w:r>
            <w:rPr>
              <w:rFonts w:hint="eastAsia"/>
              <w:color w:val="auto"/>
              <w:sz w:val="24"/>
              <w:highlight w:val="none"/>
            </w:rPr>
            <w:fldChar w:fldCharType="separate"/>
          </w:r>
          <w:r>
            <w:rPr>
              <w:rFonts w:hint="eastAsia"/>
              <w:color w:val="auto"/>
              <w:sz w:val="24"/>
              <w:highlight w:val="none"/>
            </w:rPr>
            <w:t xml:space="preserve">第一部分 </w:t>
          </w:r>
          <w:r>
            <w:rPr>
              <w:rFonts w:hint="eastAsia"/>
              <w:color w:val="auto"/>
              <w:sz w:val="24"/>
              <w:highlight w:val="none"/>
              <w:lang w:eastAsia="zh-CN"/>
            </w:rPr>
            <w:t>单位</w:t>
          </w:r>
          <w:r>
            <w:rPr>
              <w:rFonts w:hint="eastAsia"/>
              <w:color w:val="auto"/>
              <w:sz w:val="24"/>
              <w:highlight w:val="none"/>
            </w:rPr>
            <w:t>概况</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_Toc22472 \h </w:instrText>
          </w:r>
          <w:r>
            <w:rPr>
              <w:rFonts w:hint="eastAsia"/>
              <w:color w:val="auto"/>
              <w:sz w:val="24"/>
              <w:highlight w:val="none"/>
            </w:rPr>
            <w:fldChar w:fldCharType="separate"/>
          </w:r>
          <w:r>
            <w:rPr>
              <w:rFonts w:hint="eastAsia"/>
              <w:color w:val="auto"/>
              <w:sz w:val="24"/>
              <w:highlight w:val="none"/>
            </w:rPr>
            <w:t>4</w:t>
          </w:r>
          <w:r>
            <w:rPr>
              <w:rFonts w:hint="eastAsia"/>
              <w:color w:val="auto"/>
              <w:sz w:val="24"/>
              <w:highlight w:val="none"/>
            </w:rPr>
            <w:fldChar w:fldCharType="end"/>
          </w:r>
          <w:r>
            <w:rPr>
              <w:rFonts w:hint="eastAsia"/>
              <w:color w:val="auto"/>
              <w:sz w:val="24"/>
              <w:highlight w:val="none"/>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_Toc27798 </w:instrText>
          </w:r>
          <w:r>
            <w:rPr>
              <w:rFonts w:hint="eastAsia"/>
              <w:color w:val="auto"/>
              <w:sz w:val="24"/>
              <w:highlight w:val="none"/>
            </w:rPr>
            <w:fldChar w:fldCharType="separate"/>
          </w:r>
          <w:r>
            <w:rPr>
              <w:rFonts w:hint="eastAsia"/>
              <w:color w:val="auto"/>
              <w:sz w:val="24"/>
              <w:highlight w:val="none"/>
              <w:lang w:eastAsia="zh-CN"/>
            </w:rPr>
            <w:t xml:space="preserve">一、 </w:t>
          </w:r>
          <w:r>
            <w:rPr>
              <w:rFonts w:hint="eastAsia"/>
              <w:color w:val="auto"/>
              <w:sz w:val="24"/>
              <w:highlight w:val="none"/>
            </w:rPr>
            <w:t>职能</w:t>
          </w:r>
          <w:r>
            <w:rPr>
              <w:rFonts w:hint="eastAsia"/>
              <w:color w:val="auto"/>
              <w:sz w:val="24"/>
              <w:highlight w:val="none"/>
              <w:lang w:eastAsia="zh-CN"/>
            </w:rPr>
            <w:t>简介</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_Toc27798 \h </w:instrText>
          </w:r>
          <w:r>
            <w:rPr>
              <w:rFonts w:hint="eastAsia"/>
              <w:color w:val="auto"/>
              <w:sz w:val="24"/>
              <w:highlight w:val="none"/>
            </w:rPr>
            <w:fldChar w:fldCharType="separate"/>
          </w:r>
          <w:r>
            <w:rPr>
              <w:rFonts w:hint="eastAsia"/>
              <w:color w:val="auto"/>
              <w:sz w:val="24"/>
              <w:highlight w:val="none"/>
            </w:rPr>
            <w:t>4</w:t>
          </w:r>
          <w:r>
            <w:rPr>
              <w:rFonts w:hint="eastAsia"/>
              <w:color w:val="auto"/>
              <w:sz w:val="24"/>
              <w:highlight w:val="none"/>
            </w:rPr>
            <w:fldChar w:fldCharType="end"/>
          </w:r>
          <w:r>
            <w:rPr>
              <w:rFonts w:hint="eastAsia"/>
              <w:color w:val="auto"/>
              <w:sz w:val="24"/>
              <w:highlight w:val="none"/>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_Toc10236 </w:instrText>
          </w:r>
          <w:r>
            <w:rPr>
              <w:rFonts w:hint="eastAsia"/>
              <w:color w:val="auto"/>
              <w:sz w:val="24"/>
              <w:highlight w:val="none"/>
            </w:rPr>
            <w:fldChar w:fldCharType="separate"/>
          </w:r>
          <w:r>
            <w:rPr>
              <w:rFonts w:hint="eastAsia"/>
              <w:color w:val="auto"/>
              <w:sz w:val="24"/>
              <w:highlight w:val="none"/>
              <w:lang w:val="en-US" w:eastAsia="zh-CN"/>
            </w:rPr>
            <w:t>二、2021年重点</w:t>
          </w:r>
          <w:r>
            <w:rPr>
              <w:rFonts w:hint="eastAsia"/>
              <w:color w:val="auto"/>
              <w:sz w:val="24"/>
              <w:highlight w:val="none"/>
            </w:rPr>
            <w:t>工作</w:t>
          </w:r>
          <w:r>
            <w:rPr>
              <w:rFonts w:hint="eastAsia"/>
              <w:color w:val="auto"/>
              <w:sz w:val="24"/>
              <w:highlight w:val="none"/>
              <w:lang w:eastAsia="zh-CN"/>
            </w:rPr>
            <w:t>完成情况</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_Toc10236 \h </w:instrText>
          </w:r>
          <w:r>
            <w:rPr>
              <w:rFonts w:hint="eastAsia"/>
              <w:color w:val="auto"/>
              <w:sz w:val="24"/>
              <w:highlight w:val="none"/>
            </w:rPr>
            <w:fldChar w:fldCharType="separate"/>
          </w:r>
          <w:r>
            <w:rPr>
              <w:rFonts w:hint="eastAsia"/>
              <w:color w:val="auto"/>
              <w:sz w:val="24"/>
              <w:highlight w:val="none"/>
            </w:rPr>
            <w:t>4</w:t>
          </w:r>
          <w:r>
            <w:rPr>
              <w:rFonts w:hint="eastAsia"/>
              <w:color w:val="auto"/>
              <w:sz w:val="24"/>
              <w:highlight w:val="none"/>
            </w:rPr>
            <w:fldChar w:fldCharType="end"/>
          </w:r>
          <w:r>
            <w:rPr>
              <w:rFonts w:hint="eastAsia"/>
              <w:color w:val="auto"/>
              <w:sz w:val="24"/>
              <w:highlight w:val="none"/>
            </w:rPr>
            <w:fldChar w:fldCharType="end"/>
          </w:r>
        </w:p>
        <w:p>
          <w:pPr>
            <w:pStyle w:val="12"/>
            <w:adjustRightInd w:val="0"/>
            <w:snapToGrid w:val="0"/>
            <w:spacing w:before="0"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_Toc18564 </w:instrText>
          </w:r>
          <w:r>
            <w:rPr>
              <w:rFonts w:hint="eastAsia"/>
              <w:color w:val="auto"/>
              <w:sz w:val="24"/>
              <w:highlight w:val="none"/>
            </w:rPr>
            <w:fldChar w:fldCharType="separate"/>
          </w:r>
          <w:r>
            <w:rPr>
              <w:rFonts w:hint="eastAsia"/>
              <w:color w:val="auto"/>
              <w:sz w:val="24"/>
              <w:highlight w:val="none"/>
            </w:rPr>
            <w:t xml:space="preserve">第二部分 </w:t>
          </w:r>
          <w:r>
            <w:rPr>
              <w:rFonts w:hint="eastAsia"/>
              <w:color w:val="auto"/>
              <w:sz w:val="24"/>
              <w:highlight w:val="none"/>
              <w:lang w:val="en-US" w:eastAsia="zh-CN"/>
            </w:rPr>
            <w:t>2021年度</w:t>
          </w:r>
          <w:r>
            <w:rPr>
              <w:rFonts w:hint="eastAsia"/>
              <w:color w:val="auto"/>
              <w:sz w:val="24"/>
              <w:highlight w:val="none"/>
              <w:lang w:eastAsia="zh-CN"/>
            </w:rPr>
            <w:t>单位</w:t>
          </w:r>
          <w:r>
            <w:rPr>
              <w:rFonts w:hint="eastAsia"/>
              <w:color w:val="auto"/>
              <w:sz w:val="24"/>
              <w:highlight w:val="none"/>
            </w:rPr>
            <w:t>决算情况说明</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_Toc18564 \h </w:instrText>
          </w:r>
          <w:r>
            <w:rPr>
              <w:rFonts w:hint="eastAsia"/>
              <w:color w:val="auto"/>
              <w:sz w:val="24"/>
              <w:highlight w:val="none"/>
            </w:rPr>
            <w:fldChar w:fldCharType="separate"/>
          </w:r>
          <w:r>
            <w:rPr>
              <w:rFonts w:hint="eastAsia"/>
              <w:color w:val="auto"/>
              <w:sz w:val="24"/>
              <w:highlight w:val="none"/>
            </w:rPr>
            <w:t>14</w:t>
          </w:r>
          <w:r>
            <w:rPr>
              <w:rFonts w:hint="eastAsia"/>
              <w:color w:val="auto"/>
              <w:sz w:val="24"/>
              <w:highlight w:val="none"/>
            </w:rPr>
            <w:fldChar w:fldCharType="end"/>
          </w:r>
          <w:r>
            <w:rPr>
              <w:rFonts w:hint="eastAsia"/>
              <w:color w:val="auto"/>
              <w:sz w:val="24"/>
              <w:highlight w:val="none"/>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_Toc28209 </w:instrText>
          </w:r>
          <w:r>
            <w:rPr>
              <w:rFonts w:hint="eastAsia"/>
              <w:color w:val="auto"/>
              <w:sz w:val="24"/>
              <w:highlight w:val="none"/>
            </w:rPr>
            <w:fldChar w:fldCharType="separate"/>
          </w:r>
          <w:r>
            <w:rPr>
              <w:rFonts w:hint="default"/>
              <w:color w:val="auto"/>
              <w:sz w:val="24"/>
              <w:highlight w:val="none"/>
            </w:rPr>
            <w:t xml:space="preserve">一、 </w:t>
          </w:r>
          <w:r>
            <w:rPr>
              <w:rFonts w:hint="eastAsia"/>
              <w:color w:val="auto"/>
              <w:sz w:val="24"/>
              <w:highlight w:val="none"/>
            </w:rPr>
            <w:t>收入支出决算总体情况说明</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_Toc28209 \h </w:instrText>
          </w:r>
          <w:r>
            <w:rPr>
              <w:rFonts w:hint="eastAsia"/>
              <w:color w:val="auto"/>
              <w:sz w:val="24"/>
              <w:highlight w:val="none"/>
            </w:rPr>
            <w:fldChar w:fldCharType="separate"/>
          </w:r>
          <w:r>
            <w:rPr>
              <w:rFonts w:hint="eastAsia"/>
              <w:color w:val="auto"/>
              <w:sz w:val="24"/>
              <w:highlight w:val="none"/>
            </w:rPr>
            <w:t>14</w:t>
          </w:r>
          <w:r>
            <w:rPr>
              <w:rFonts w:hint="eastAsia"/>
              <w:color w:val="auto"/>
              <w:sz w:val="24"/>
              <w:highlight w:val="none"/>
            </w:rPr>
            <w:fldChar w:fldCharType="end"/>
          </w:r>
          <w:r>
            <w:rPr>
              <w:rFonts w:hint="eastAsia"/>
              <w:color w:val="auto"/>
              <w:sz w:val="24"/>
              <w:highlight w:val="none"/>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_Toc10508 </w:instrText>
          </w:r>
          <w:r>
            <w:rPr>
              <w:rFonts w:hint="eastAsia"/>
              <w:color w:val="auto"/>
              <w:sz w:val="24"/>
              <w:highlight w:val="none"/>
            </w:rPr>
            <w:fldChar w:fldCharType="separate"/>
          </w:r>
          <w:r>
            <w:rPr>
              <w:rFonts w:hint="default"/>
              <w:color w:val="auto"/>
              <w:sz w:val="24"/>
              <w:highlight w:val="none"/>
            </w:rPr>
            <w:t xml:space="preserve">二、 </w:t>
          </w:r>
          <w:r>
            <w:rPr>
              <w:rFonts w:hint="eastAsia"/>
              <w:color w:val="auto"/>
              <w:sz w:val="24"/>
              <w:highlight w:val="none"/>
            </w:rPr>
            <w:t>收入决算情况说明</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_Toc10508 \h </w:instrText>
          </w:r>
          <w:r>
            <w:rPr>
              <w:rFonts w:hint="eastAsia"/>
              <w:color w:val="auto"/>
              <w:sz w:val="24"/>
              <w:highlight w:val="none"/>
            </w:rPr>
            <w:fldChar w:fldCharType="separate"/>
          </w:r>
          <w:r>
            <w:rPr>
              <w:rFonts w:hint="eastAsia"/>
              <w:color w:val="auto"/>
              <w:sz w:val="24"/>
              <w:highlight w:val="none"/>
            </w:rPr>
            <w:t>14</w:t>
          </w:r>
          <w:r>
            <w:rPr>
              <w:rFonts w:hint="eastAsia"/>
              <w:color w:val="auto"/>
              <w:sz w:val="24"/>
              <w:highlight w:val="none"/>
            </w:rPr>
            <w:fldChar w:fldCharType="end"/>
          </w:r>
          <w:r>
            <w:rPr>
              <w:rFonts w:hint="eastAsia"/>
              <w:color w:val="auto"/>
              <w:sz w:val="24"/>
              <w:highlight w:val="none"/>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_Toc28615 </w:instrText>
          </w:r>
          <w:r>
            <w:rPr>
              <w:rFonts w:hint="eastAsia"/>
              <w:color w:val="auto"/>
              <w:sz w:val="24"/>
              <w:highlight w:val="none"/>
            </w:rPr>
            <w:fldChar w:fldCharType="separate"/>
          </w:r>
          <w:r>
            <w:rPr>
              <w:rFonts w:hint="default"/>
              <w:color w:val="auto"/>
              <w:sz w:val="24"/>
              <w:highlight w:val="none"/>
            </w:rPr>
            <w:t xml:space="preserve">三、 </w:t>
          </w:r>
          <w:r>
            <w:rPr>
              <w:rFonts w:hint="eastAsia"/>
              <w:color w:val="auto"/>
              <w:sz w:val="24"/>
              <w:highlight w:val="none"/>
            </w:rPr>
            <w:t>支出决算情况说明</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_Toc28615 \h </w:instrText>
          </w:r>
          <w:r>
            <w:rPr>
              <w:rFonts w:hint="eastAsia"/>
              <w:color w:val="auto"/>
              <w:sz w:val="24"/>
              <w:highlight w:val="none"/>
            </w:rPr>
            <w:fldChar w:fldCharType="separate"/>
          </w:r>
          <w:r>
            <w:rPr>
              <w:rFonts w:hint="eastAsia"/>
              <w:color w:val="auto"/>
              <w:sz w:val="24"/>
              <w:highlight w:val="none"/>
            </w:rPr>
            <w:t>15</w:t>
          </w:r>
          <w:r>
            <w:rPr>
              <w:rFonts w:hint="eastAsia"/>
              <w:color w:val="auto"/>
              <w:sz w:val="24"/>
              <w:highlight w:val="none"/>
            </w:rPr>
            <w:fldChar w:fldCharType="end"/>
          </w:r>
          <w:r>
            <w:rPr>
              <w:rFonts w:hint="eastAsia"/>
              <w:color w:val="auto"/>
              <w:sz w:val="24"/>
              <w:highlight w:val="none"/>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_Toc1255 </w:instrText>
          </w:r>
          <w:r>
            <w:rPr>
              <w:rFonts w:hint="eastAsia"/>
              <w:color w:val="auto"/>
              <w:sz w:val="24"/>
              <w:highlight w:val="none"/>
            </w:rPr>
            <w:fldChar w:fldCharType="separate"/>
          </w:r>
          <w:r>
            <w:rPr>
              <w:rFonts w:hint="eastAsia"/>
              <w:color w:val="auto"/>
              <w:sz w:val="24"/>
              <w:highlight w:val="none"/>
            </w:rPr>
            <w:t>四、财政拨款收入支出决算总体情况说明</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_Toc1255 \h </w:instrText>
          </w:r>
          <w:r>
            <w:rPr>
              <w:rFonts w:hint="eastAsia"/>
              <w:color w:val="auto"/>
              <w:sz w:val="24"/>
              <w:highlight w:val="none"/>
            </w:rPr>
            <w:fldChar w:fldCharType="separate"/>
          </w:r>
          <w:r>
            <w:rPr>
              <w:rFonts w:hint="eastAsia"/>
              <w:color w:val="auto"/>
              <w:sz w:val="24"/>
              <w:highlight w:val="none"/>
            </w:rPr>
            <w:t>15</w:t>
          </w:r>
          <w:r>
            <w:rPr>
              <w:rFonts w:hint="eastAsia"/>
              <w:color w:val="auto"/>
              <w:sz w:val="24"/>
              <w:highlight w:val="none"/>
            </w:rPr>
            <w:fldChar w:fldCharType="end"/>
          </w:r>
          <w:r>
            <w:rPr>
              <w:rFonts w:hint="eastAsia"/>
              <w:color w:val="auto"/>
              <w:sz w:val="24"/>
              <w:highlight w:val="none"/>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_Toc23552 </w:instrText>
          </w:r>
          <w:r>
            <w:rPr>
              <w:rFonts w:hint="eastAsia"/>
              <w:color w:val="auto"/>
              <w:sz w:val="24"/>
              <w:highlight w:val="none"/>
            </w:rPr>
            <w:fldChar w:fldCharType="separate"/>
          </w:r>
          <w:r>
            <w:rPr>
              <w:rFonts w:hint="eastAsia"/>
              <w:color w:val="auto"/>
              <w:sz w:val="24"/>
              <w:highlight w:val="none"/>
            </w:rPr>
            <w:t>五、一般公共预算财政拨款支出决算情况说明</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_Toc23552 \h </w:instrText>
          </w:r>
          <w:r>
            <w:rPr>
              <w:rFonts w:hint="eastAsia"/>
              <w:color w:val="auto"/>
              <w:sz w:val="24"/>
              <w:highlight w:val="none"/>
            </w:rPr>
            <w:fldChar w:fldCharType="separate"/>
          </w:r>
          <w:r>
            <w:rPr>
              <w:rFonts w:hint="eastAsia"/>
              <w:color w:val="auto"/>
              <w:sz w:val="24"/>
              <w:highlight w:val="none"/>
            </w:rPr>
            <w:t>16</w:t>
          </w:r>
          <w:r>
            <w:rPr>
              <w:rFonts w:hint="eastAsia"/>
              <w:color w:val="auto"/>
              <w:sz w:val="24"/>
              <w:highlight w:val="none"/>
            </w:rPr>
            <w:fldChar w:fldCharType="end"/>
          </w:r>
          <w:r>
            <w:rPr>
              <w:rFonts w:hint="eastAsia"/>
              <w:color w:val="auto"/>
              <w:sz w:val="24"/>
              <w:highlight w:val="none"/>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_Toc23543 </w:instrText>
          </w:r>
          <w:r>
            <w:rPr>
              <w:rFonts w:hint="eastAsia"/>
              <w:color w:val="auto"/>
              <w:sz w:val="24"/>
              <w:highlight w:val="none"/>
            </w:rPr>
            <w:fldChar w:fldCharType="separate"/>
          </w:r>
          <w:r>
            <w:rPr>
              <w:rFonts w:hint="eastAsia"/>
              <w:color w:val="auto"/>
              <w:sz w:val="24"/>
              <w:highlight w:val="none"/>
            </w:rPr>
            <w:t>六、一般公共预算财政拨款基本支出决算情况说明</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_Toc23543 \h </w:instrText>
          </w:r>
          <w:r>
            <w:rPr>
              <w:rFonts w:hint="eastAsia"/>
              <w:color w:val="auto"/>
              <w:sz w:val="24"/>
              <w:highlight w:val="none"/>
            </w:rPr>
            <w:fldChar w:fldCharType="separate"/>
          </w:r>
          <w:r>
            <w:rPr>
              <w:rFonts w:hint="eastAsia"/>
              <w:color w:val="auto"/>
              <w:sz w:val="24"/>
              <w:highlight w:val="none"/>
            </w:rPr>
            <w:t>18</w:t>
          </w:r>
          <w:r>
            <w:rPr>
              <w:rFonts w:hint="eastAsia"/>
              <w:color w:val="auto"/>
              <w:sz w:val="24"/>
              <w:highlight w:val="none"/>
            </w:rPr>
            <w:fldChar w:fldCharType="end"/>
          </w:r>
          <w:r>
            <w:rPr>
              <w:rFonts w:hint="eastAsia"/>
              <w:color w:val="auto"/>
              <w:sz w:val="24"/>
              <w:highlight w:val="none"/>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_Toc12863 </w:instrText>
          </w:r>
          <w:r>
            <w:rPr>
              <w:rFonts w:hint="eastAsia"/>
              <w:color w:val="auto"/>
              <w:sz w:val="24"/>
              <w:highlight w:val="none"/>
            </w:rPr>
            <w:fldChar w:fldCharType="separate"/>
          </w:r>
          <w:r>
            <w:rPr>
              <w:rFonts w:hint="eastAsia"/>
              <w:color w:val="auto"/>
              <w:sz w:val="24"/>
              <w:highlight w:val="none"/>
            </w:rPr>
            <w:t>七、“三公”经费财政拨款支出决算情况说明</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_Toc12863 \h </w:instrText>
          </w:r>
          <w:r>
            <w:rPr>
              <w:rFonts w:hint="eastAsia"/>
              <w:color w:val="auto"/>
              <w:sz w:val="24"/>
              <w:highlight w:val="none"/>
            </w:rPr>
            <w:fldChar w:fldCharType="separate"/>
          </w:r>
          <w:r>
            <w:rPr>
              <w:rFonts w:hint="eastAsia"/>
              <w:color w:val="auto"/>
              <w:sz w:val="24"/>
              <w:highlight w:val="none"/>
            </w:rPr>
            <w:t>19</w:t>
          </w:r>
          <w:r>
            <w:rPr>
              <w:rFonts w:hint="eastAsia"/>
              <w:color w:val="auto"/>
              <w:sz w:val="24"/>
              <w:highlight w:val="none"/>
            </w:rPr>
            <w:fldChar w:fldCharType="end"/>
          </w:r>
          <w:r>
            <w:rPr>
              <w:rFonts w:hint="eastAsia"/>
              <w:color w:val="auto"/>
              <w:sz w:val="24"/>
              <w:highlight w:val="none"/>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_Toc15117 </w:instrText>
          </w:r>
          <w:r>
            <w:rPr>
              <w:rFonts w:hint="eastAsia"/>
              <w:color w:val="auto"/>
              <w:sz w:val="24"/>
              <w:highlight w:val="none"/>
            </w:rPr>
            <w:fldChar w:fldCharType="separate"/>
          </w:r>
          <w:r>
            <w:rPr>
              <w:rFonts w:hint="eastAsia"/>
              <w:color w:val="auto"/>
              <w:sz w:val="24"/>
              <w:highlight w:val="none"/>
            </w:rPr>
            <w:t>八、政府性基金预算支出决算情况说明</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_Toc15117 \h </w:instrText>
          </w:r>
          <w:r>
            <w:rPr>
              <w:rFonts w:hint="eastAsia"/>
              <w:color w:val="auto"/>
              <w:sz w:val="24"/>
              <w:highlight w:val="none"/>
            </w:rPr>
            <w:fldChar w:fldCharType="separate"/>
          </w:r>
          <w:r>
            <w:rPr>
              <w:rFonts w:hint="eastAsia"/>
              <w:color w:val="auto"/>
              <w:sz w:val="24"/>
              <w:highlight w:val="none"/>
            </w:rPr>
            <w:t>19</w:t>
          </w:r>
          <w:r>
            <w:rPr>
              <w:rFonts w:hint="eastAsia"/>
              <w:color w:val="auto"/>
              <w:sz w:val="24"/>
              <w:highlight w:val="none"/>
            </w:rPr>
            <w:fldChar w:fldCharType="end"/>
          </w:r>
          <w:r>
            <w:rPr>
              <w:rFonts w:hint="eastAsia"/>
              <w:color w:val="auto"/>
              <w:sz w:val="24"/>
              <w:highlight w:val="none"/>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_Toc4895 </w:instrText>
          </w:r>
          <w:r>
            <w:rPr>
              <w:rFonts w:hint="eastAsia"/>
              <w:color w:val="auto"/>
              <w:sz w:val="24"/>
              <w:highlight w:val="none"/>
            </w:rPr>
            <w:fldChar w:fldCharType="separate"/>
          </w:r>
          <w:r>
            <w:rPr>
              <w:rFonts w:hint="eastAsia"/>
              <w:color w:val="auto"/>
              <w:sz w:val="24"/>
              <w:highlight w:val="none"/>
            </w:rPr>
            <w:t>九、 国有资本经营预算支出决算情况说明</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_Toc4895 \h </w:instrText>
          </w:r>
          <w:r>
            <w:rPr>
              <w:rFonts w:hint="eastAsia"/>
              <w:color w:val="auto"/>
              <w:sz w:val="24"/>
              <w:highlight w:val="none"/>
            </w:rPr>
            <w:fldChar w:fldCharType="separate"/>
          </w:r>
          <w:r>
            <w:rPr>
              <w:rFonts w:hint="eastAsia"/>
              <w:color w:val="auto"/>
              <w:sz w:val="24"/>
              <w:highlight w:val="none"/>
            </w:rPr>
            <w:t>20</w:t>
          </w:r>
          <w:r>
            <w:rPr>
              <w:rFonts w:hint="eastAsia"/>
              <w:color w:val="auto"/>
              <w:sz w:val="24"/>
              <w:highlight w:val="none"/>
            </w:rPr>
            <w:fldChar w:fldCharType="end"/>
          </w:r>
          <w:r>
            <w:rPr>
              <w:rFonts w:hint="eastAsia"/>
              <w:color w:val="auto"/>
              <w:sz w:val="24"/>
              <w:highlight w:val="none"/>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_Toc13094 </w:instrText>
          </w:r>
          <w:r>
            <w:rPr>
              <w:rFonts w:hint="eastAsia"/>
              <w:color w:val="auto"/>
              <w:sz w:val="24"/>
              <w:highlight w:val="none"/>
            </w:rPr>
            <w:fldChar w:fldCharType="separate"/>
          </w:r>
          <w:r>
            <w:rPr>
              <w:rFonts w:hint="eastAsia"/>
              <w:color w:val="auto"/>
              <w:sz w:val="24"/>
              <w:highlight w:val="none"/>
            </w:rPr>
            <w:t xml:space="preserve">十、 </w:t>
          </w:r>
          <w:r>
            <w:rPr>
              <w:rFonts w:hint="eastAsia"/>
              <w:color w:val="auto"/>
              <w:sz w:val="24"/>
              <w:highlight w:val="none"/>
              <w:lang w:val="en-US" w:eastAsia="zh-CN"/>
            </w:rPr>
            <w:t>预算绩效管理情况</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_Toc13094 \h </w:instrText>
          </w:r>
          <w:r>
            <w:rPr>
              <w:rFonts w:hint="eastAsia"/>
              <w:color w:val="auto"/>
              <w:sz w:val="24"/>
              <w:highlight w:val="none"/>
            </w:rPr>
            <w:fldChar w:fldCharType="separate"/>
          </w:r>
          <w:r>
            <w:rPr>
              <w:rFonts w:hint="eastAsia"/>
              <w:color w:val="auto"/>
              <w:sz w:val="24"/>
              <w:highlight w:val="none"/>
            </w:rPr>
            <w:t>20</w:t>
          </w:r>
          <w:r>
            <w:rPr>
              <w:rFonts w:hint="eastAsia"/>
              <w:color w:val="auto"/>
              <w:sz w:val="24"/>
              <w:highlight w:val="none"/>
            </w:rPr>
            <w:fldChar w:fldCharType="end"/>
          </w:r>
          <w:r>
            <w:rPr>
              <w:rFonts w:hint="eastAsia"/>
              <w:color w:val="auto"/>
              <w:sz w:val="24"/>
              <w:highlight w:val="none"/>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_Toc6990 </w:instrText>
          </w:r>
          <w:r>
            <w:rPr>
              <w:rFonts w:hint="eastAsia"/>
              <w:color w:val="auto"/>
              <w:sz w:val="24"/>
              <w:highlight w:val="none"/>
            </w:rPr>
            <w:fldChar w:fldCharType="separate"/>
          </w:r>
          <w:r>
            <w:rPr>
              <w:rFonts w:hint="eastAsia"/>
              <w:color w:val="auto"/>
              <w:sz w:val="24"/>
              <w:highlight w:val="none"/>
            </w:rPr>
            <w:t>十一、 其他重要事项的情况说明</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_Toc6990 \h </w:instrText>
          </w:r>
          <w:r>
            <w:rPr>
              <w:rFonts w:hint="eastAsia"/>
              <w:color w:val="auto"/>
              <w:sz w:val="24"/>
              <w:highlight w:val="none"/>
            </w:rPr>
            <w:fldChar w:fldCharType="separate"/>
          </w:r>
          <w:r>
            <w:rPr>
              <w:rFonts w:hint="eastAsia"/>
              <w:color w:val="auto"/>
              <w:sz w:val="24"/>
              <w:highlight w:val="none"/>
            </w:rPr>
            <w:t>21</w:t>
          </w:r>
          <w:r>
            <w:rPr>
              <w:rFonts w:hint="eastAsia"/>
              <w:color w:val="auto"/>
              <w:sz w:val="24"/>
              <w:highlight w:val="none"/>
            </w:rPr>
            <w:fldChar w:fldCharType="end"/>
          </w:r>
          <w:r>
            <w:rPr>
              <w:rFonts w:hint="eastAsia"/>
              <w:color w:val="auto"/>
              <w:sz w:val="24"/>
              <w:highlight w:val="none"/>
            </w:rPr>
            <w:fldChar w:fldCharType="end"/>
          </w:r>
        </w:p>
        <w:p>
          <w:pPr>
            <w:pStyle w:val="12"/>
            <w:adjustRightInd w:val="0"/>
            <w:snapToGrid w:val="0"/>
            <w:spacing w:before="0"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_Toc1868 </w:instrText>
          </w:r>
          <w:r>
            <w:rPr>
              <w:rFonts w:hint="eastAsia"/>
              <w:color w:val="auto"/>
              <w:sz w:val="24"/>
              <w:highlight w:val="none"/>
            </w:rPr>
            <w:fldChar w:fldCharType="separate"/>
          </w:r>
          <w:r>
            <w:rPr>
              <w:rFonts w:hint="eastAsia"/>
              <w:color w:val="auto"/>
              <w:sz w:val="24"/>
              <w:highlight w:val="none"/>
            </w:rPr>
            <w:t>第三部分 名词解释</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_Toc1868 \h </w:instrText>
          </w:r>
          <w:r>
            <w:rPr>
              <w:rFonts w:hint="eastAsia"/>
              <w:color w:val="auto"/>
              <w:sz w:val="24"/>
              <w:highlight w:val="none"/>
            </w:rPr>
            <w:fldChar w:fldCharType="separate"/>
          </w:r>
          <w:r>
            <w:rPr>
              <w:rFonts w:hint="eastAsia"/>
              <w:color w:val="auto"/>
              <w:sz w:val="24"/>
              <w:highlight w:val="none"/>
            </w:rPr>
            <w:t>22</w:t>
          </w:r>
          <w:r>
            <w:rPr>
              <w:rFonts w:hint="eastAsia"/>
              <w:color w:val="auto"/>
              <w:sz w:val="24"/>
              <w:highlight w:val="none"/>
            </w:rPr>
            <w:fldChar w:fldCharType="end"/>
          </w:r>
          <w:r>
            <w:rPr>
              <w:rFonts w:hint="eastAsia"/>
              <w:color w:val="auto"/>
              <w:sz w:val="24"/>
              <w:highlight w:val="none"/>
            </w:rPr>
            <w:fldChar w:fldCharType="end"/>
          </w:r>
        </w:p>
        <w:p>
          <w:pPr>
            <w:pStyle w:val="12"/>
            <w:adjustRightInd w:val="0"/>
            <w:snapToGrid w:val="0"/>
            <w:spacing w:before="0"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_Toc7773 </w:instrText>
          </w:r>
          <w:r>
            <w:rPr>
              <w:rFonts w:hint="eastAsia"/>
              <w:color w:val="auto"/>
              <w:sz w:val="24"/>
              <w:highlight w:val="none"/>
            </w:rPr>
            <w:fldChar w:fldCharType="separate"/>
          </w:r>
          <w:r>
            <w:rPr>
              <w:rFonts w:hint="eastAsia"/>
              <w:color w:val="auto"/>
              <w:sz w:val="24"/>
              <w:highlight w:val="none"/>
            </w:rPr>
            <w:t>第四部分 附件</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_Toc7773 \h </w:instrText>
          </w:r>
          <w:r>
            <w:rPr>
              <w:rFonts w:hint="eastAsia"/>
              <w:color w:val="auto"/>
              <w:sz w:val="24"/>
              <w:highlight w:val="none"/>
            </w:rPr>
            <w:fldChar w:fldCharType="separate"/>
          </w:r>
          <w:r>
            <w:rPr>
              <w:rFonts w:hint="eastAsia"/>
              <w:color w:val="auto"/>
              <w:sz w:val="24"/>
              <w:highlight w:val="none"/>
            </w:rPr>
            <w:t>24</w:t>
          </w:r>
          <w:r>
            <w:rPr>
              <w:rFonts w:hint="eastAsia"/>
              <w:color w:val="auto"/>
              <w:sz w:val="24"/>
              <w:highlight w:val="none"/>
            </w:rPr>
            <w:fldChar w:fldCharType="end"/>
          </w:r>
          <w:r>
            <w:rPr>
              <w:rFonts w:hint="eastAsia"/>
              <w:color w:val="auto"/>
              <w:sz w:val="24"/>
              <w:highlight w:val="none"/>
            </w:rPr>
            <w:fldChar w:fldCharType="end"/>
          </w:r>
        </w:p>
        <w:p>
          <w:pPr>
            <w:pStyle w:val="12"/>
            <w:adjustRightInd w:val="0"/>
            <w:snapToGrid w:val="0"/>
            <w:spacing w:before="0"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_Toc2267 </w:instrText>
          </w:r>
          <w:r>
            <w:rPr>
              <w:rFonts w:hint="eastAsia"/>
              <w:color w:val="auto"/>
              <w:sz w:val="24"/>
              <w:highlight w:val="none"/>
            </w:rPr>
            <w:fldChar w:fldCharType="separate"/>
          </w:r>
          <w:r>
            <w:rPr>
              <w:rFonts w:hint="eastAsia"/>
              <w:color w:val="auto"/>
              <w:sz w:val="24"/>
              <w:highlight w:val="none"/>
            </w:rPr>
            <w:t>第</w:t>
          </w:r>
          <w:r>
            <w:rPr>
              <w:rFonts w:hint="eastAsia"/>
              <w:color w:val="auto"/>
              <w:sz w:val="24"/>
              <w:highlight w:val="none"/>
              <w:lang w:val="en-US" w:eastAsia="zh-CN"/>
            </w:rPr>
            <w:t>五</w:t>
          </w:r>
          <w:r>
            <w:rPr>
              <w:rFonts w:hint="eastAsia"/>
              <w:color w:val="auto"/>
              <w:sz w:val="24"/>
              <w:highlight w:val="none"/>
            </w:rPr>
            <w:t>部分 附表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_Toc2267 \h </w:instrText>
          </w:r>
          <w:r>
            <w:rPr>
              <w:rFonts w:hint="eastAsia"/>
              <w:color w:val="auto"/>
              <w:sz w:val="24"/>
              <w:highlight w:val="none"/>
            </w:rPr>
            <w:fldChar w:fldCharType="separate"/>
          </w:r>
          <w:r>
            <w:rPr>
              <w:rFonts w:hint="eastAsia"/>
              <w:color w:val="auto"/>
              <w:sz w:val="24"/>
              <w:highlight w:val="none"/>
            </w:rPr>
            <w:t>25</w:t>
          </w:r>
          <w:r>
            <w:rPr>
              <w:rFonts w:hint="eastAsia"/>
              <w:color w:val="auto"/>
              <w:sz w:val="24"/>
              <w:highlight w:val="none"/>
            </w:rPr>
            <w:fldChar w:fldCharType="end"/>
          </w:r>
          <w:r>
            <w:rPr>
              <w:rFonts w:hint="eastAsia"/>
              <w:color w:val="auto"/>
              <w:sz w:val="24"/>
              <w:highlight w:val="none"/>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_Toc29953 </w:instrText>
          </w:r>
          <w:r>
            <w:rPr>
              <w:rFonts w:hint="eastAsia"/>
              <w:color w:val="auto"/>
              <w:sz w:val="24"/>
              <w:highlight w:val="none"/>
            </w:rPr>
            <w:fldChar w:fldCharType="separate"/>
          </w:r>
          <w:r>
            <w:rPr>
              <w:rFonts w:hint="eastAsia"/>
              <w:color w:val="auto"/>
              <w:sz w:val="24"/>
              <w:highlight w:val="none"/>
            </w:rPr>
            <w:t>一、收入支出决算总表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_Toc29953 \h </w:instrText>
          </w:r>
          <w:r>
            <w:rPr>
              <w:rFonts w:hint="eastAsia"/>
              <w:color w:val="auto"/>
              <w:sz w:val="24"/>
              <w:highlight w:val="none"/>
            </w:rPr>
            <w:fldChar w:fldCharType="separate"/>
          </w:r>
          <w:r>
            <w:rPr>
              <w:rFonts w:hint="eastAsia"/>
              <w:color w:val="auto"/>
              <w:sz w:val="24"/>
              <w:highlight w:val="none"/>
            </w:rPr>
            <w:t>25</w:t>
          </w:r>
          <w:r>
            <w:rPr>
              <w:rFonts w:hint="eastAsia"/>
              <w:color w:val="auto"/>
              <w:sz w:val="24"/>
              <w:highlight w:val="none"/>
            </w:rPr>
            <w:fldChar w:fldCharType="end"/>
          </w:r>
          <w:r>
            <w:rPr>
              <w:rFonts w:hint="eastAsia"/>
              <w:color w:val="auto"/>
              <w:sz w:val="24"/>
              <w:highlight w:val="none"/>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_Toc11377 </w:instrText>
          </w:r>
          <w:r>
            <w:rPr>
              <w:rFonts w:hint="eastAsia"/>
              <w:color w:val="auto"/>
              <w:sz w:val="24"/>
              <w:highlight w:val="none"/>
            </w:rPr>
            <w:fldChar w:fldCharType="separate"/>
          </w:r>
          <w:r>
            <w:rPr>
              <w:rFonts w:hint="eastAsia"/>
              <w:color w:val="auto"/>
              <w:sz w:val="24"/>
              <w:highlight w:val="none"/>
            </w:rPr>
            <w:t>二、收入决算表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_Toc11377 \h </w:instrText>
          </w:r>
          <w:r>
            <w:rPr>
              <w:rFonts w:hint="eastAsia"/>
              <w:color w:val="auto"/>
              <w:sz w:val="24"/>
              <w:highlight w:val="none"/>
            </w:rPr>
            <w:fldChar w:fldCharType="separate"/>
          </w:r>
          <w:r>
            <w:rPr>
              <w:rFonts w:hint="eastAsia"/>
              <w:color w:val="auto"/>
              <w:sz w:val="24"/>
              <w:highlight w:val="none"/>
            </w:rPr>
            <w:t>25</w:t>
          </w:r>
          <w:r>
            <w:rPr>
              <w:rFonts w:hint="eastAsia"/>
              <w:color w:val="auto"/>
              <w:sz w:val="24"/>
              <w:highlight w:val="none"/>
            </w:rPr>
            <w:fldChar w:fldCharType="end"/>
          </w:r>
          <w:r>
            <w:rPr>
              <w:rFonts w:hint="eastAsia"/>
              <w:color w:val="auto"/>
              <w:sz w:val="24"/>
              <w:highlight w:val="none"/>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_Toc4133 </w:instrText>
          </w:r>
          <w:r>
            <w:rPr>
              <w:rFonts w:hint="eastAsia"/>
              <w:color w:val="auto"/>
              <w:sz w:val="24"/>
              <w:highlight w:val="none"/>
            </w:rPr>
            <w:fldChar w:fldCharType="separate"/>
          </w:r>
          <w:r>
            <w:rPr>
              <w:rFonts w:hint="eastAsia"/>
              <w:color w:val="auto"/>
              <w:sz w:val="24"/>
              <w:highlight w:val="none"/>
            </w:rPr>
            <w:t>三、支出决算表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_Toc4133 \h </w:instrText>
          </w:r>
          <w:r>
            <w:rPr>
              <w:rFonts w:hint="eastAsia"/>
              <w:color w:val="auto"/>
              <w:sz w:val="24"/>
              <w:highlight w:val="none"/>
            </w:rPr>
            <w:fldChar w:fldCharType="separate"/>
          </w:r>
          <w:r>
            <w:rPr>
              <w:rFonts w:hint="eastAsia"/>
              <w:color w:val="auto"/>
              <w:sz w:val="24"/>
              <w:highlight w:val="none"/>
            </w:rPr>
            <w:t>25</w:t>
          </w:r>
          <w:r>
            <w:rPr>
              <w:rFonts w:hint="eastAsia"/>
              <w:color w:val="auto"/>
              <w:sz w:val="24"/>
              <w:highlight w:val="none"/>
            </w:rPr>
            <w:fldChar w:fldCharType="end"/>
          </w:r>
          <w:r>
            <w:rPr>
              <w:rFonts w:hint="eastAsia"/>
              <w:color w:val="auto"/>
              <w:sz w:val="24"/>
              <w:highlight w:val="none"/>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_Toc3563 </w:instrText>
          </w:r>
          <w:r>
            <w:rPr>
              <w:rFonts w:hint="eastAsia"/>
              <w:color w:val="auto"/>
              <w:sz w:val="24"/>
              <w:highlight w:val="none"/>
            </w:rPr>
            <w:fldChar w:fldCharType="separate"/>
          </w:r>
          <w:r>
            <w:rPr>
              <w:rFonts w:hint="eastAsia"/>
              <w:color w:val="auto"/>
              <w:sz w:val="24"/>
              <w:highlight w:val="none"/>
            </w:rPr>
            <w:t>四、财政拨款收入支出决算总表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_Toc3563 \h </w:instrText>
          </w:r>
          <w:r>
            <w:rPr>
              <w:rFonts w:hint="eastAsia"/>
              <w:color w:val="auto"/>
              <w:sz w:val="24"/>
              <w:highlight w:val="none"/>
            </w:rPr>
            <w:fldChar w:fldCharType="separate"/>
          </w:r>
          <w:r>
            <w:rPr>
              <w:rFonts w:hint="eastAsia"/>
              <w:color w:val="auto"/>
              <w:sz w:val="24"/>
              <w:highlight w:val="none"/>
            </w:rPr>
            <w:t>25</w:t>
          </w:r>
          <w:r>
            <w:rPr>
              <w:rFonts w:hint="eastAsia"/>
              <w:color w:val="auto"/>
              <w:sz w:val="24"/>
              <w:highlight w:val="none"/>
            </w:rPr>
            <w:fldChar w:fldCharType="end"/>
          </w:r>
          <w:r>
            <w:rPr>
              <w:rFonts w:hint="eastAsia"/>
              <w:color w:val="auto"/>
              <w:sz w:val="24"/>
              <w:highlight w:val="none"/>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_Toc1319 </w:instrText>
          </w:r>
          <w:r>
            <w:rPr>
              <w:rFonts w:hint="eastAsia"/>
              <w:color w:val="auto"/>
              <w:sz w:val="24"/>
              <w:highlight w:val="none"/>
            </w:rPr>
            <w:fldChar w:fldCharType="separate"/>
          </w:r>
          <w:r>
            <w:rPr>
              <w:rFonts w:hint="eastAsia"/>
              <w:color w:val="auto"/>
              <w:sz w:val="24"/>
              <w:highlight w:val="none"/>
            </w:rPr>
            <w:t>五、财政拨款支出决算明细表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_Toc1319 \h </w:instrText>
          </w:r>
          <w:r>
            <w:rPr>
              <w:rFonts w:hint="eastAsia"/>
              <w:color w:val="auto"/>
              <w:sz w:val="24"/>
              <w:highlight w:val="none"/>
            </w:rPr>
            <w:fldChar w:fldCharType="separate"/>
          </w:r>
          <w:r>
            <w:rPr>
              <w:rFonts w:hint="eastAsia"/>
              <w:color w:val="auto"/>
              <w:sz w:val="24"/>
              <w:highlight w:val="none"/>
            </w:rPr>
            <w:t>25</w:t>
          </w:r>
          <w:r>
            <w:rPr>
              <w:rFonts w:hint="eastAsia"/>
              <w:color w:val="auto"/>
              <w:sz w:val="24"/>
              <w:highlight w:val="none"/>
            </w:rPr>
            <w:fldChar w:fldCharType="end"/>
          </w:r>
          <w:r>
            <w:rPr>
              <w:rFonts w:hint="eastAsia"/>
              <w:color w:val="auto"/>
              <w:sz w:val="24"/>
              <w:highlight w:val="none"/>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_Toc19516 </w:instrText>
          </w:r>
          <w:r>
            <w:rPr>
              <w:rFonts w:hint="eastAsia"/>
              <w:color w:val="auto"/>
              <w:sz w:val="24"/>
              <w:highlight w:val="none"/>
            </w:rPr>
            <w:fldChar w:fldCharType="separate"/>
          </w:r>
          <w:r>
            <w:rPr>
              <w:rFonts w:hint="eastAsia"/>
              <w:color w:val="auto"/>
              <w:sz w:val="24"/>
              <w:highlight w:val="none"/>
            </w:rPr>
            <w:t>六、一般公共预算财政拨款支出决算表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_Toc19516 \h </w:instrText>
          </w:r>
          <w:r>
            <w:rPr>
              <w:rFonts w:hint="eastAsia"/>
              <w:color w:val="auto"/>
              <w:sz w:val="24"/>
              <w:highlight w:val="none"/>
            </w:rPr>
            <w:fldChar w:fldCharType="separate"/>
          </w:r>
          <w:r>
            <w:rPr>
              <w:rFonts w:hint="eastAsia"/>
              <w:color w:val="auto"/>
              <w:sz w:val="24"/>
              <w:highlight w:val="none"/>
            </w:rPr>
            <w:t>25</w:t>
          </w:r>
          <w:r>
            <w:rPr>
              <w:rFonts w:hint="eastAsia"/>
              <w:color w:val="auto"/>
              <w:sz w:val="24"/>
              <w:highlight w:val="none"/>
            </w:rPr>
            <w:fldChar w:fldCharType="end"/>
          </w:r>
          <w:r>
            <w:rPr>
              <w:rFonts w:hint="eastAsia"/>
              <w:color w:val="auto"/>
              <w:sz w:val="24"/>
              <w:highlight w:val="none"/>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_Toc13647 </w:instrText>
          </w:r>
          <w:r>
            <w:rPr>
              <w:rFonts w:hint="eastAsia"/>
              <w:color w:val="auto"/>
              <w:sz w:val="24"/>
              <w:highlight w:val="none"/>
            </w:rPr>
            <w:fldChar w:fldCharType="separate"/>
          </w:r>
          <w:r>
            <w:rPr>
              <w:rFonts w:hint="eastAsia"/>
              <w:color w:val="auto"/>
              <w:sz w:val="24"/>
              <w:highlight w:val="none"/>
            </w:rPr>
            <w:t>七、一般公共预算财政拨款支出决算明细表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_Toc13647 \h </w:instrText>
          </w:r>
          <w:r>
            <w:rPr>
              <w:rFonts w:hint="eastAsia"/>
              <w:color w:val="auto"/>
              <w:sz w:val="24"/>
              <w:highlight w:val="none"/>
            </w:rPr>
            <w:fldChar w:fldCharType="separate"/>
          </w:r>
          <w:r>
            <w:rPr>
              <w:rFonts w:hint="eastAsia"/>
              <w:color w:val="auto"/>
              <w:sz w:val="24"/>
              <w:highlight w:val="none"/>
            </w:rPr>
            <w:t>25</w:t>
          </w:r>
          <w:r>
            <w:rPr>
              <w:rFonts w:hint="eastAsia"/>
              <w:color w:val="auto"/>
              <w:sz w:val="24"/>
              <w:highlight w:val="none"/>
            </w:rPr>
            <w:fldChar w:fldCharType="end"/>
          </w:r>
          <w:r>
            <w:rPr>
              <w:rFonts w:hint="eastAsia"/>
              <w:color w:val="auto"/>
              <w:sz w:val="24"/>
              <w:highlight w:val="none"/>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_Toc12556 </w:instrText>
          </w:r>
          <w:r>
            <w:rPr>
              <w:rFonts w:hint="eastAsia"/>
              <w:color w:val="auto"/>
              <w:sz w:val="24"/>
              <w:highlight w:val="none"/>
            </w:rPr>
            <w:fldChar w:fldCharType="separate"/>
          </w:r>
          <w:r>
            <w:rPr>
              <w:rFonts w:hint="eastAsia"/>
              <w:color w:val="auto"/>
              <w:sz w:val="24"/>
              <w:highlight w:val="none"/>
            </w:rPr>
            <w:t>八、一般公共预算财政拨款基本支出决算表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_Toc12556 \h </w:instrText>
          </w:r>
          <w:r>
            <w:rPr>
              <w:rFonts w:hint="eastAsia"/>
              <w:color w:val="auto"/>
              <w:sz w:val="24"/>
              <w:highlight w:val="none"/>
            </w:rPr>
            <w:fldChar w:fldCharType="separate"/>
          </w:r>
          <w:r>
            <w:rPr>
              <w:rFonts w:hint="eastAsia"/>
              <w:color w:val="auto"/>
              <w:sz w:val="24"/>
              <w:highlight w:val="none"/>
            </w:rPr>
            <w:t>25</w:t>
          </w:r>
          <w:r>
            <w:rPr>
              <w:rFonts w:hint="eastAsia"/>
              <w:color w:val="auto"/>
              <w:sz w:val="24"/>
              <w:highlight w:val="none"/>
            </w:rPr>
            <w:fldChar w:fldCharType="end"/>
          </w:r>
          <w:r>
            <w:rPr>
              <w:rFonts w:hint="eastAsia"/>
              <w:color w:val="auto"/>
              <w:sz w:val="24"/>
              <w:highlight w:val="none"/>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_Toc808 </w:instrText>
          </w:r>
          <w:r>
            <w:rPr>
              <w:rFonts w:hint="eastAsia"/>
              <w:color w:val="auto"/>
              <w:sz w:val="24"/>
              <w:highlight w:val="none"/>
            </w:rPr>
            <w:fldChar w:fldCharType="separate"/>
          </w:r>
          <w:r>
            <w:rPr>
              <w:rFonts w:hint="eastAsia"/>
              <w:color w:val="auto"/>
              <w:sz w:val="24"/>
              <w:highlight w:val="none"/>
            </w:rPr>
            <w:t>九、一般公共预算财政拨款项目支出决算表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_Toc808 \h </w:instrText>
          </w:r>
          <w:r>
            <w:rPr>
              <w:rFonts w:hint="eastAsia"/>
              <w:color w:val="auto"/>
              <w:sz w:val="24"/>
              <w:highlight w:val="none"/>
            </w:rPr>
            <w:fldChar w:fldCharType="separate"/>
          </w:r>
          <w:r>
            <w:rPr>
              <w:rFonts w:hint="eastAsia"/>
              <w:color w:val="auto"/>
              <w:sz w:val="24"/>
              <w:highlight w:val="none"/>
            </w:rPr>
            <w:t>25</w:t>
          </w:r>
          <w:r>
            <w:rPr>
              <w:rFonts w:hint="eastAsia"/>
              <w:color w:val="auto"/>
              <w:sz w:val="24"/>
              <w:highlight w:val="none"/>
            </w:rPr>
            <w:fldChar w:fldCharType="end"/>
          </w:r>
          <w:r>
            <w:rPr>
              <w:rFonts w:hint="eastAsia"/>
              <w:color w:val="auto"/>
              <w:sz w:val="24"/>
              <w:highlight w:val="none"/>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_Toc15951 </w:instrText>
          </w:r>
          <w:r>
            <w:rPr>
              <w:rFonts w:hint="eastAsia"/>
              <w:color w:val="auto"/>
              <w:sz w:val="24"/>
              <w:highlight w:val="none"/>
            </w:rPr>
            <w:fldChar w:fldCharType="separate"/>
          </w:r>
          <w:r>
            <w:rPr>
              <w:rFonts w:hint="eastAsia"/>
              <w:color w:val="auto"/>
              <w:sz w:val="24"/>
              <w:highlight w:val="none"/>
            </w:rPr>
            <w:t>十、一般公共预算财政拨款“三公”经费支出决算表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_Toc15951 \h </w:instrText>
          </w:r>
          <w:r>
            <w:rPr>
              <w:rFonts w:hint="eastAsia"/>
              <w:color w:val="auto"/>
              <w:sz w:val="24"/>
              <w:highlight w:val="none"/>
            </w:rPr>
            <w:fldChar w:fldCharType="separate"/>
          </w:r>
          <w:r>
            <w:rPr>
              <w:rFonts w:hint="eastAsia"/>
              <w:color w:val="auto"/>
              <w:sz w:val="24"/>
              <w:highlight w:val="none"/>
            </w:rPr>
            <w:t>25</w:t>
          </w:r>
          <w:r>
            <w:rPr>
              <w:rFonts w:hint="eastAsia"/>
              <w:color w:val="auto"/>
              <w:sz w:val="24"/>
              <w:highlight w:val="none"/>
            </w:rPr>
            <w:fldChar w:fldCharType="end"/>
          </w:r>
          <w:r>
            <w:rPr>
              <w:rFonts w:hint="eastAsia"/>
              <w:color w:val="auto"/>
              <w:sz w:val="24"/>
              <w:highlight w:val="none"/>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_Toc13335 </w:instrText>
          </w:r>
          <w:r>
            <w:rPr>
              <w:rFonts w:hint="eastAsia"/>
              <w:color w:val="auto"/>
              <w:sz w:val="24"/>
              <w:highlight w:val="none"/>
            </w:rPr>
            <w:fldChar w:fldCharType="separate"/>
          </w:r>
          <w:r>
            <w:rPr>
              <w:rFonts w:hint="eastAsia"/>
              <w:color w:val="auto"/>
              <w:sz w:val="24"/>
              <w:highlight w:val="none"/>
            </w:rPr>
            <w:t>十一、政府性基金预算财政拨款收入支出决算表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_Toc13335 \h </w:instrText>
          </w:r>
          <w:r>
            <w:rPr>
              <w:rFonts w:hint="eastAsia"/>
              <w:color w:val="auto"/>
              <w:sz w:val="24"/>
              <w:highlight w:val="none"/>
            </w:rPr>
            <w:fldChar w:fldCharType="separate"/>
          </w:r>
          <w:r>
            <w:rPr>
              <w:rFonts w:hint="eastAsia"/>
              <w:color w:val="auto"/>
              <w:sz w:val="24"/>
              <w:highlight w:val="none"/>
            </w:rPr>
            <w:t>25</w:t>
          </w:r>
          <w:r>
            <w:rPr>
              <w:rFonts w:hint="eastAsia"/>
              <w:color w:val="auto"/>
              <w:sz w:val="24"/>
              <w:highlight w:val="none"/>
            </w:rPr>
            <w:fldChar w:fldCharType="end"/>
          </w:r>
          <w:r>
            <w:rPr>
              <w:rFonts w:hint="eastAsia"/>
              <w:color w:val="auto"/>
              <w:sz w:val="24"/>
              <w:highlight w:val="none"/>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_Toc27123 </w:instrText>
          </w:r>
          <w:r>
            <w:rPr>
              <w:rFonts w:hint="eastAsia"/>
              <w:color w:val="auto"/>
              <w:sz w:val="24"/>
              <w:highlight w:val="none"/>
            </w:rPr>
            <w:fldChar w:fldCharType="separate"/>
          </w:r>
          <w:r>
            <w:rPr>
              <w:rFonts w:hint="eastAsia"/>
              <w:color w:val="auto"/>
              <w:sz w:val="24"/>
              <w:highlight w:val="none"/>
            </w:rPr>
            <w:t>十二、政府性基金预算财政拨款“三公”经费支出决算表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_Toc27123 \h </w:instrText>
          </w:r>
          <w:r>
            <w:rPr>
              <w:rFonts w:hint="eastAsia"/>
              <w:color w:val="auto"/>
              <w:sz w:val="24"/>
              <w:highlight w:val="none"/>
            </w:rPr>
            <w:fldChar w:fldCharType="separate"/>
          </w:r>
          <w:r>
            <w:rPr>
              <w:rFonts w:hint="eastAsia"/>
              <w:color w:val="auto"/>
              <w:sz w:val="24"/>
              <w:highlight w:val="none"/>
            </w:rPr>
            <w:t>25</w:t>
          </w:r>
          <w:r>
            <w:rPr>
              <w:rFonts w:hint="eastAsia"/>
              <w:color w:val="auto"/>
              <w:sz w:val="24"/>
              <w:highlight w:val="none"/>
            </w:rPr>
            <w:fldChar w:fldCharType="end"/>
          </w:r>
          <w:r>
            <w:rPr>
              <w:rFonts w:hint="eastAsia"/>
              <w:color w:val="auto"/>
              <w:sz w:val="24"/>
              <w:highlight w:val="none"/>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_Toc7154 </w:instrText>
          </w:r>
          <w:r>
            <w:rPr>
              <w:rFonts w:hint="eastAsia"/>
              <w:color w:val="auto"/>
              <w:sz w:val="24"/>
              <w:highlight w:val="none"/>
            </w:rPr>
            <w:fldChar w:fldCharType="separate"/>
          </w: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_Toc7154 \h </w:instrText>
          </w:r>
          <w:r>
            <w:rPr>
              <w:rFonts w:hint="eastAsia"/>
              <w:color w:val="auto"/>
              <w:sz w:val="24"/>
              <w:highlight w:val="none"/>
            </w:rPr>
            <w:fldChar w:fldCharType="separate"/>
          </w:r>
          <w:r>
            <w:rPr>
              <w:rFonts w:hint="eastAsia"/>
              <w:color w:val="auto"/>
              <w:sz w:val="24"/>
              <w:highlight w:val="none"/>
            </w:rPr>
            <w:t>25</w:t>
          </w:r>
          <w:r>
            <w:rPr>
              <w:rFonts w:hint="eastAsia"/>
              <w:color w:val="auto"/>
              <w:sz w:val="24"/>
              <w:highlight w:val="none"/>
            </w:rPr>
            <w:fldChar w:fldCharType="end"/>
          </w:r>
          <w:r>
            <w:rPr>
              <w:rFonts w:hint="eastAsia"/>
              <w:color w:val="auto"/>
              <w:sz w:val="24"/>
              <w:highlight w:val="none"/>
            </w:rPr>
            <w:fldChar w:fldCharType="end"/>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fldChar w:fldCharType="begin"/>
          </w:r>
          <w:r>
            <w:rPr>
              <w:rFonts w:hint="eastAsia"/>
              <w:color w:val="auto"/>
              <w:sz w:val="24"/>
              <w:highlight w:val="none"/>
            </w:rPr>
            <w:instrText xml:space="preserve"> HYPERLINK \l _Toc32685 </w:instrText>
          </w:r>
          <w:r>
            <w:rPr>
              <w:rFonts w:hint="eastAsia"/>
              <w:color w:val="auto"/>
              <w:sz w:val="24"/>
              <w:highlight w:val="none"/>
            </w:rPr>
            <w:fldChar w:fldCharType="separate"/>
          </w:r>
          <w:r>
            <w:rPr>
              <w:rFonts w:hint="eastAsia"/>
              <w:color w:val="auto"/>
              <w:sz w:val="24"/>
              <w:highlight w:val="none"/>
              <w:lang w:eastAsia="zh-CN"/>
            </w:rPr>
            <w:t>十四、国有资本经营预算财政拨款支出决算表</w:t>
          </w:r>
          <w:r>
            <w:rPr>
              <w:rFonts w:hint="eastAsia"/>
              <w:color w:val="auto"/>
              <w:sz w:val="24"/>
              <w:highlight w:val="none"/>
            </w:rPr>
            <w:tab/>
          </w:r>
          <w:r>
            <w:rPr>
              <w:rFonts w:hint="eastAsia"/>
              <w:color w:val="auto"/>
              <w:sz w:val="24"/>
              <w:highlight w:val="none"/>
            </w:rPr>
            <w:fldChar w:fldCharType="begin"/>
          </w:r>
          <w:r>
            <w:rPr>
              <w:rFonts w:hint="eastAsia"/>
              <w:color w:val="auto"/>
              <w:sz w:val="24"/>
              <w:highlight w:val="none"/>
            </w:rPr>
            <w:instrText xml:space="preserve"> PAGEREF _Toc32685 \h </w:instrText>
          </w:r>
          <w:r>
            <w:rPr>
              <w:rFonts w:hint="eastAsia"/>
              <w:color w:val="auto"/>
              <w:sz w:val="24"/>
              <w:highlight w:val="none"/>
            </w:rPr>
            <w:fldChar w:fldCharType="separate"/>
          </w:r>
          <w:r>
            <w:rPr>
              <w:rFonts w:hint="eastAsia"/>
              <w:color w:val="auto"/>
              <w:sz w:val="24"/>
              <w:highlight w:val="none"/>
            </w:rPr>
            <w:t>25</w:t>
          </w:r>
          <w:r>
            <w:rPr>
              <w:rFonts w:hint="eastAsia"/>
              <w:color w:val="auto"/>
              <w:sz w:val="24"/>
              <w:highlight w:val="none"/>
            </w:rPr>
            <w:fldChar w:fldCharType="end"/>
          </w:r>
          <w:r>
            <w:rPr>
              <w:rFonts w:hint="eastAsia"/>
              <w:color w:val="auto"/>
              <w:sz w:val="24"/>
              <w:highlight w:val="none"/>
            </w:rPr>
            <w:fldChar w:fldCharType="end"/>
          </w:r>
        </w:p>
        <w:p>
          <w:pPr>
            <w:pStyle w:val="13"/>
            <w:adjustRightInd w:val="0"/>
            <w:snapToGrid w:val="0"/>
            <w:spacing w:line="440" w:lineRule="exact"/>
            <w:jc w:val="left"/>
            <w:rPr>
              <w:rFonts w:hint="eastAsia" w:ascii="黑体" w:hAnsi="黑体" w:eastAsia="黑体"/>
              <w:b w:val="0"/>
              <w:color w:val="auto"/>
              <w:highlight w:val="none"/>
            </w:rPr>
          </w:pPr>
          <w:r>
            <w:rPr>
              <w:rFonts w:hint="eastAsia"/>
              <w:color w:val="auto"/>
              <w:sz w:val="24"/>
              <w:highlight w:val="none"/>
            </w:rPr>
            <w:fldChar w:fldCharType="end"/>
          </w:r>
          <w:bookmarkStart w:id="22" w:name="_Toc20807"/>
          <w:bookmarkStart w:id="23" w:name="_Toc2725"/>
          <w:bookmarkStart w:id="24" w:name="_Toc21385"/>
        </w:p>
      </w:sdtContent>
    </w:sdt>
    <w:p>
      <w:pPr>
        <w:pStyle w:val="3"/>
        <w:jc w:val="center"/>
        <w:rPr>
          <w:rFonts w:hint="eastAsia" w:ascii="黑体" w:hAnsi="黑体" w:eastAsia="黑体"/>
          <w:b w:val="0"/>
          <w:color w:val="auto"/>
          <w:highlight w:val="none"/>
        </w:rPr>
      </w:pPr>
    </w:p>
    <w:p>
      <w:pPr>
        <w:pStyle w:val="3"/>
        <w:jc w:val="center"/>
        <w:rPr>
          <w:rFonts w:hint="eastAsia" w:ascii="黑体" w:hAnsi="黑体" w:eastAsia="黑体"/>
          <w:b w:val="0"/>
          <w:color w:val="auto"/>
          <w:highlight w:val="none"/>
        </w:rPr>
      </w:pPr>
    </w:p>
    <w:p>
      <w:pPr>
        <w:pStyle w:val="3"/>
        <w:jc w:val="center"/>
        <w:rPr>
          <w:rFonts w:hint="eastAsia" w:ascii="黑体" w:hAnsi="黑体" w:eastAsia="黑体"/>
          <w:b w:val="0"/>
          <w:color w:val="auto"/>
          <w:highlight w:val="none"/>
        </w:rPr>
      </w:pPr>
    </w:p>
    <w:p>
      <w:pPr>
        <w:pStyle w:val="3"/>
        <w:jc w:val="center"/>
        <w:rPr>
          <w:rFonts w:hint="eastAsia" w:ascii="黑体" w:hAnsi="黑体" w:eastAsia="黑体"/>
          <w:b w:val="0"/>
          <w:color w:val="auto"/>
          <w:highlight w:val="none"/>
        </w:rPr>
      </w:pPr>
    </w:p>
    <w:p>
      <w:pPr>
        <w:pStyle w:val="3"/>
        <w:jc w:val="center"/>
        <w:rPr>
          <w:rFonts w:hint="eastAsia" w:ascii="黑体" w:hAnsi="黑体" w:eastAsia="黑体"/>
          <w:b w:val="0"/>
          <w:color w:val="auto"/>
          <w:highlight w:val="none"/>
        </w:rPr>
      </w:pPr>
    </w:p>
    <w:p>
      <w:pPr>
        <w:pStyle w:val="3"/>
        <w:jc w:val="center"/>
        <w:rPr>
          <w:rFonts w:hint="eastAsia" w:ascii="黑体" w:hAnsi="黑体" w:eastAsia="黑体"/>
          <w:b w:val="0"/>
          <w:color w:val="auto"/>
          <w:highlight w:val="none"/>
        </w:rPr>
      </w:pPr>
    </w:p>
    <w:p>
      <w:pPr>
        <w:pStyle w:val="3"/>
        <w:jc w:val="center"/>
        <w:rPr>
          <w:rFonts w:hint="eastAsia" w:ascii="黑体" w:hAnsi="黑体" w:eastAsia="黑体"/>
          <w:b w:val="0"/>
          <w:color w:val="auto"/>
          <w:highlight w:val="none"/>
        </w:rPr>
      </w:pPr>
    </w:p>
    <w:p>
      <w:pPr>
        <w:pStyle w:val="3"/>
        <w:jc w:val="both"/>
        <w:rPr>
          <w:rFonts w:hint="eastAsia" w:ascii="黑体" w:hAnsi="黑体" w:eastAsia="黑体"/>
          <w:b w:val="0"/>
          <w:color w:val="auto"/>
          <w:highlight w:val="none"/>
        </w:rPr>
      </w:pPr>
    </w:p>
    <w:p>
      <w:pPr>
        <w:rPr>
          <w:rFonts w:hint="eastAsia" w:ascii="黑体" w:hAnsi="黑体" w:eastAsia="黑体"/>
          <w:b w:val="0"/>
          <w:color w:val="auto"/>
          <w:highlight w:val="none"/>
        </w:rPr>
      </w:pPr>
    </w:p>
    <w:p>
      <w:pPr>
        <w:pStyle w:val="7"/>
        <w:rPr>
          <w:rFonts w:hint="eastAsia"/>
        </w:rPr>
      </w:pPr>
    </w:p>
    <w:p>
      <w:pPr>
        <w:rPr>
          <w:rFonts w:hint="eastAsia"/>
        </w:rPr>
      </w:pPr>
    </w:p>
    <w:p>
      <w:pPr>
        <w:pStyle w:val="7"/>
        <w:rPr>
          <w:rFonts w:hint="eastAsia"/>
        </w:rPr>
      </w:pPr>
    </w:p>
    <w:p>
      <w:pPr>
        <w:pStyle w:val="3"/>
        <w:jc w:val="center"/>
        <w:rPr>
          <w:rStyle w:val="27"/>
          <w:rFonts w:ascii="黑体" w:hAnsi="黑体" w:eastAsia="黑体"/>
          <w:b/>
          <w:bCs w:val="0"/>
          <w:color w:val="auto"/>
          <w:highlight w:val="none"/>
        </w:rPr>
      </w:pPr>
      <w:bookmarkStart w:id="25" w:name="_Toc22472"/>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7"/>
          <w:rFonts w:hint="eastAsia" w:ascii="黑体" w:hAnsi="黑体" w:eastAsia="黑体"/>
          <w:b w:val="0"/>
          <w:bCs w:val="0"/>
          <w:color w:val="auto"/>
          <w:highlight w:val="none"/>
        </w:rPr>
        <w:t>概况</w:t>
      </w:r>
      <w:bookmarkEnd w:id="22"/>
      <w:bookmarkEnd w:id="23"/>
      <w:bookmarkEnd w:id="24"/>
      <w:bookmarkEnd w:id="25"/>
    </w:p>
    <w:p>
      <w:pPr>
        <w:widowControl/>
        <w:jc w:val="left"/>
        <w:rPr>
          <w:rFonts w:ascii="黑体" w:eastAsia="黑体"/>
          <w:color w:val="auto"/>
          <w:sz w:val="32"/>
          <w:szCs w:val="32"/>
          <w:highlight w:val="none"/>
        </w:rPr>
      </w:pPr>
    </w:p>
    <w:p>
      <w:pPr>
        <w:pStyle w:val="4"/>
        <w:numPr>
          <w:ilvl w:val="0"/>
          <w:numId w:val="1"/>
        </w:numPr>
        <w:rPr>
          <w:rStyle w:val="28"/>
          <w:rFonts w:hint="eastAsia" w:ascii="黑体" w:hAnsi="黑体" w:eastAsia="黑体"/>
          <w:b w:val="0"/>
          <w:bCs w:val="0"/>
          <w:color w:val="auto"/>
          <w:highlight w:val="none"/>
          <w:lang w:eastAsia="zh-CN"/>
        </w:rPr>
      </w:pPr>
      <w:bookmarkStart w:id="26" w:name="_Toc27798"/>
      <w:bookmarkStart w:id="27" w:name="_Toc4029"/>
      <w:bookmarkStart w:id="28" w:name="_Toc23123"/>
      <w:bookmarkStart w:id="29" w:name="_Toc13155"/>
      <w:bookmarkStart w:id="30" w:name="_Toc15396600"/>
      <w:bookmarkStart w:id="31" w:name="_Toc15377197"/>
      <w:r>
        <w:rPr>
          <w:rStyle w:val="28"/>
          <w:rFonts w:hint="eastAsia" w:ascii="黑体" w:hAnsi="黑体" w:eastAsia="黑体"/>
          <w:b w:val="0"/>
          <w:bCs w:val="0"/>
          <w:color w:val="auto"/>
          <w:highlight w:val="none"/>
        </w:rPr>
        <w:t>职能</w:t>
      </w:r>
      <w:r>
        <w:rPr>
          <w:rStyle w:val="28"/>
          <w:rFonts w:hint="eastAsia" w:ascii="黑体" w:hAnsi="黑体" w:eastAsia="黑体"/>
          <w:b w:val="0"/>
          <w:bCs w:val="0"/>
          <w:color w:val="auto"/>
          <w:highlight w:val="none"/>
          <w:lang w:eastAsia="zh-CN"/>
        </w:rPr>
        <w:t>简介</w:t>
      </w:r>
      <w:bookmarkEnd w:id="26"/>
      <w:bookmarkEnd w:id="27"/>
      <w:bookmarkEnd w:id="28"/>
      <w:bookmarkEnd w:id="29"/>
    </w:p>
    <w:p>
      <w:pPr>
        <w:spacing w:line="600" w:lineRule="exact"/>
        <w:ind w:firstLine="640"/>
        <w:rPr>
          <w:rFonts w:hint="eastAsia" w:ascii="仿宋" w:hAnsi="仿宋" w:eastAsia="仿宋" w:cs="Times New Roman"/>
          <w:color w:val="auto"/>
          <w:sz w:val="32"/>
          <w:szCs w:val="32"/>
          <w:highlight w:val="none"/>
          <w:lang w:val="en-US" w:eastAsia="zh-CN"/>
        </w:rPr>
      </w:pPr>
      <w:r>
        <w:rPr>
          <w:rFonts w:hint="eastAsia"/>
          <w:lang w:val="en-US" w:eastAsia="zh-CN"/>
        </w:rPr>
        <w:t xml:space="preserve"> </w:t>
      </w:r>
      <w:r>
        <w:rPr>
          <w:rFonts w:hint="eastAsia" w:ascii="仿宋" w:hAnsi="仿宋" w:eastAsia="仿宋" w:cs="Times New Roman"/>
          <w:color w:val="auto"/>
          <w:sz w:val="32"/>
          <w:szCs w:val="32"/>
          <w:highlight w:val="none"/>
          <w:lang w:val="en-US" w:eastAsia="zh-CN"/>
        </w:rPr>
        <w:t>为人民身体健康提供卫生监督保障。有效地实施卫生监督管理，卫生法制宣传，卫生许可证审核，卫生监督人员培训与管理等。</w:t>
      </w:r>
    </w:p>
    <w:p>
      <w:pPr>
        <w:spacing w:line="600" w:lineRule="exact"/>
        <w:ind w:firstLine="640"/>
        <w:rPr>
          <w:rFonts w:hint="default" w:ascii="仿宋" w:hAnsi="仿宋" w:eastAsia="仿宋" w:cs="Times New Roman"/>
          <w:color w:val="auto"/>
          <w:sz w:val="32"/>
          <w:szCs w:val="32"/>
          <w:highlight w:val="none"/>
          <w:lang w:val="en-US" w:eastAsia="zh-CN"/>
        </w:rPr>
      </w:pPr>
      <w:r>
        <w:rPr>
          <w:rFonts w:hint="eastAsia" w:ascii="仿宋" w:hAnsi="仿宋" w:eastAsia="仿宋" w:cs="Times New Roman"/>
          <w:color w:val="auto"/>
          <w:sz w:val="32"/>
          <w:szCs w:val="32"/>
          <w:highlight w:val="none"/>
          <w:lang w:val="en-US" w:eastAsia="zh-CN"/>
        </w:rPr>
        <w:t>主要职责：承担制订全市卫生健康执法体系建设发展规划并组织实施。宣传党和国家卫生健康方针政策、法律法规和发展成果。负责医疗机构、公共卫生机构、消毒服务机构、消毒产品及生产企业、生活饮用水、健康相关产品（涉水产品）、学校卫生、公共场所卫生、放射卫生和职业卫生的监督检查，查处违法违规行为。承担各项专项整治工作和国家“双随机”抽检工作。负责全市重大活动、突发公共卫生事件的卫生监督执法工作，参与相关公共卫生事件的应急处置工作。负责全市卫生健康大案要案和投诉举报的查处。负责对全市卫生健康行政执法工作的监督检查和指导。</w:t>
      </w:r>
    </w:p>
    <w:p>
      <w:pPr>
        <w:pStyle w:val="4"/>
        <w:numPr>
          <w:ilvl w:val="0"/>
          <w:numId w:val="0"/>
        </w:numPr>
        <w:rPr>
          <w:rFonts w:hint="eastAsia" w:ascii="黑体" w:hAnsi="黑体" w:eastAsia="黑体"/>
          <w:b w:val="0"/>
          <w:color w:val="auto"/>
          <w:highlight w:val="none"/>
        </w:rPr>
      </w:pPr>
      <w:bookmarkStart w:id="32" w:name="_Toc14393"/>
      <w:bookmarkStart w:id="33" w:name="_Toc8311"/>
      <w:bookmarkStart w:id="34" w:name="_Toc10236"/>
      <w:bookmarkStart w:id="35" w:name="_Toc15144"/>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30"/>
      <w:bookmarkEnd w:id="31"/>
      <w:r>
        <w:rPr>
          <w:rFonts w:hint="eastAsia" w:ascii="黑体" w:hAnsi="黑体" w:eastAsia="黑体"/>
          <w:b w:val="0"/>
          <w:color w:val="auto"/>
          <w:highlight w:val="none"/>
          <w:lang w:eastAsia="zh-CN"/>
        </w:rPr>
        <w:t>完成情况</w:t>
      </w:r>
      <w:bookmarkEnd w:id="32"/>
      <w:bookmarkEnd w:id="33"/>
      <w:bookmarkEnd w:id="34"/>
      <w:bookmarkEnd w:id="35"/>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Times New Roman"/>
          <w:color w:val="auto"/>
          <w:sz w:val="32"/>
          <w:szCs w:val="32"/>
          <w:highlight w:val="none"/>
          <w:lang w:val="en-US" w:eastAsia="zh-CN"/>
        </w:rPr>
      </w:pPr>
      <w:r>
        <w:rPr>
          <w:rFonts w:hint="eastAsia" w:ascii="仿宋" w:hAnsi="仿宋" w:eastAsia="仿宋" w:cs="Times New Roman"/>
          <w:color w:val="auto"/>
          <w:sz w:val="32"/>
          <w:szCs w:val="32"/>
          <w:highlight w:val="none"/>
          <w:lang w:val="en-US" w:eastAsia="zh-CN"/>
        </w:rPr>
        <w:t>全年全方位开展新冠肺炎的疫情防控，完成了“局队合一”的机构改革，做好脱贫攻坚与乡村振兴发展有效衔接，出色完成国卫复审任务，积极开展第七届文明城市创建工作，配合完成了环保督查，强力打击非法行医，着力推进“双随机一公开”检查模式。共出动监督人员765人次，车辆203台次，下达监督意见书776份，办理案件51件（其中在办案件4件，移交法院1件，一般程序行政处罚14件，简易程序行政处罚37件），处罚150850元（已履行68400元），没收非法物品、器械共计135公斤。</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1.着力疫情防控的监督筑坚强屏障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依照国家、省、市、区疫情防控的要求和我区疫情防控的实际，围绕“早发现、防院感、重救治、强防护”为重点，监督所有医疗机构执行好“六项制度”（首问负责制度、预检分诊制度、普通病区管理制度、陪护管理制度、出入口管理制度、哨点诊室管理制度），加强三区两通道的管理。一年来我大队与局督查组先后配合或独立检查督查320人次，下达监督意见书350份，办理案件20件，行政警告17家，罚款1.6万元，停业整改6家，医疗机构与医务人员不良记分3人次，出专业性的督查通报32期，出台了《关于近期八起违反疫情防控政策典型案例的通报》（昭卫健发〔2021〕64号），特别是要注重指导民营医疗机构、个体诊所、村卫生室、学校、公共场所、景区景点等的疫情防控措施的落地落实，打造了民营医疗机构、个体诊所、村卫生室等疫情常态化防控的氛围，统一标准、统一标志标示、统一制度、统一表册。指导好了柳桥、晋贤、曲回、卫子、黄龙、丁家、紫云等医学集中留观点的规范留观。积极参与了“5.25”我区境外人员返乡输入病例的防控活动。在新冠肺炎疫苗接种期间，指导了接种时段的疫情控制同时监督做好不良反应的应急处置，包清水镇等的接种任务，做到了应接尽接，筑牢了疫情防控屏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负责了疫情防控转运组的具体转运任务，全年共转运境内外的密接、次密接、重点管控人员643人次，全部进行了集中医学观察或居家留观。</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2.打击非法行医持续给力</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在疫情防控紧张的形势下，打击非法行医丝毫没有松懈，全年继续在太公、王家、卫子等场镇巡逻，巩固原有打击非法行医的成果，形成震慑。8月份办理高某某非法行医案，共处罚没收入50000元（已履行10000元），没收非法物品、器械共计61公斤。9月份办理了区公安局退回的冯某某非法行医案件，处罚10000元，9月份办理了区市场监管局移交的李某某在文村场镇的非法行医案件，处罚20300元（已履行10000元），将刘某某在红岩场镇案件移交法院强制执行未履行罚款40050元以及加处罚款8107.50元，有效地维护了《中华人民共和国基本医疗卫生与健康促进法》的权威，保障了正常的医疗秩序。</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3.着力创新“双随机一公开”监督模式</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2021年如期完成国家级、省级、市级、区级“双随机”检查工作任务，全年开展抽查13次，其中联合抽查8次，实际抽查检查对象196个，其中联合抽查检查81个。陪同市、青川县卫生执法队伍进行了8家企业职业病防治工作进行检查，陪同区教育局、区市场监管局、区应急管理局对学校疫情防控以及食品安全进行检查。全年在“双随机一公开”监督中，对5家医疗机构进行了警告与罚款，对10家企业进行了警告与罚款，5个村卫生室警告与罚款，一人不良记分2分。一是重点查传染病防治工作，对医疗机构、学校卫生实现监督覆盖率100%。汇同系统纪检组对全体医务人员进行疫情防控知识进行了考试，还检查区疾控中心、医疗保健机构等疫情网络报告情况，防止隐瞒、缓报疫情，造成传染病扩散传播的事件发生。二是环保问题整改落实情况，特别是8家集中医学观察点，做好医疗废物分类收集、暂存、消毒、运送、处置流程，公立医疗机构纳入医废在线监测系统运行情况，医疗废水的运行监管，确保达到预排放标准。三是对“双随机”检查中活动情况全部在昭化门户网站上和省级卫生监督平台上向社会公示。</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4.着力公共场所防控的卫生监督</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2021年对公共场所的卫生监督以疫情防控为重点，一是公共场所（含景区景点）严格执行疫情防控的管理，对重点公共场所进行了全面的防控指导、检查，特别是人员的口罩佩戴、体温检测、一码三查（健康码、行程码、接种信息）、人员的流向调查、规范消毒、规范记录等责任落实；在春季、秋季开学前对学校的疫情防控前后进行了全面的指导、督查，保障了学校的开学；又联合区教育局、区疾控中心、区市场监管局，进一步落实各类培训机构疫情防控工作，督促校外培训机构做好疫情防控工作；坚决落实柳桥、明觉、丁家、射箭学校卫生“回头看”整改任务，区教育局、区卫健局三次同市、区疾控中心、广元天平环境检测公司技术人员到四所学校进行现场检测，投入资金约11万元，完成四所学习采光、照明、课桌椅、空气质量等学校卫生达标，下半年又投入近20万元对射箭、虎跳、三小等进行了学校卫生的全面整改达标。二是全面开展公共场所“双随机”工作，确保国抽任务落实。严格对公共场所“三证”持证、卫生管理组织机构建立、卫生设施设备配备与使用等情况进行监督检查。三是加强对我区的公共场所的监管力度，指导、检查我区旅游景区、民宿点等公共场所，昭化镇成功创建乡村文化振兴试点镇，办理案件17件，罚款2000元，四是对农村生活饮用水集中式供水进行监督检查，对新华水厂使用未取得健康证明人员进行了行政处罚，同区疾控中心对我区生活饮用水微生物超标的情况进行报告并约谈相关单位。</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5.着力企业职业病质的防控监管力度</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对全区存在职业危害且生产状态正常的用人单位65家，职业病危害作业点115个，接触职业病危害因素的人员536人，结合我区中小企业《2020年职业病危害因素现状评价报告》反馈的问题，共出动执法车辆23台次，出动检查人员75人次，共检查31户，下达卫生监督意见书31份，现场给予10家企业行政处罚，罚款4000元。一是摸排到了职业病患者236人，现存活196人，分布在12个镇，主要集中在元坝镇。二是逐步着力技改防治，提高粉尘治理能力，反复宣传、指导，张家三红砖厂新购买了吸尘罩，张明涛石材厂等5家都安装了喷淋设施，中纺粮油（广元）公司的生产车间都安装了纱窗，2家砂石厂的操作室加装了密封间，商混企业的装料间都安装了喷淋设备，中控室远离了粉尘区域，从根本上减少了粉尘的危害。三是区疾控中心聘请第三方公司定期对24家职业危害因数严重类的企业进行了检测。四是对已确诊的职业病患者，各镇人民政府及用人单位建立基础数据台账及人员档案，一人一档，并实施动态管理。五是区工业园区办公室密切配合，依照中国西部绿色家具产业城的建设规划，要坚持职业病防治设施项目与主体工程同时设计、同时施工、同时投入生产和使用的“三同时”原则，从源头上控制好职业病的危害。</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6.扎实推进“医疗三监管”“医废”“互联网+医疗”监管。</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按照《基本医疗卫生与健康促进法》等，加强对医务人员宣传和教育培训，一直持续抓好规范医务人员、医疗机构、医疗行为，对6—9月份在“三医”监管平台上发现的问题，进行了梳理，对12家医疗机构、23位医务人员进行了通报批评，对信息不对称人员导致监管平台显示违规行为进行了限时整改，减少了“医疗三监管”平台上的预警信息。对“医废监管”区政府在昭化、卫子、虎跳投入3台医废专用车，聘请了3名驾驶员专职转运医疗废物，除了平台监督外，还注重线下实地监管，特别是8家集中医学隔离点，多次现场指导，包括织物类的清洗消毒，记录规范记录表。尝试性地监督现代医疗技术的推广使用，大数据、云计算、自媒体的运用，“互联网+”智慧医院、医联体建设、影像区域中心、东西部医疗协作帮扶、远程视频医疗、微信视频问诊、网络医疗、网购药品器具、医疗健康服务快车等新业态的监管，自觉维护规范医疗行为，确保医疗安全，维护好人民的健康。</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7.完成好中心工作、专项工作的监督保障</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一是高质量完成2021年度国卫复审任务，完成公共场所586人从业人员免费健康体检，为95家经营单位上门服务，为21家提供办理卫生许可的要件并办理了卫生许可证，统一免费定制了公共场所卫生公示栏，张贴卫生制度130余张，禁烟标志300多幅，免费发放安全套5000余套；二是完成好了“建党百年”、“国庆”“高考、中考”等好的疫情防控和医疗保障任务；三是完成分配的清水镇等疫苗接种任务；四是在设备落后的情况下，取得了全市职业卫生监督监测设备技能竞赛第二名的好成绩；五是完成了投诉、举报以及医患纠纷的调处，共接投诉、举报8件，全面进行了面对面或书面回复，7件满意，一件起诉到人民法院。六是出色地完成杭州市拱墅区援助昭化区开展中医适宜技术培训班的培训，各中医师、村卫生室村医等50多人参加了培训。杭州市与拱墅区5位主任中医师来教课，通过“理论教学+实操培训”相结合的方式，就毫针刺法治疗颈椎病、腰椎病、中风病；艾灸法在常见病症治疗中的运用；常见病症刮痧疗法、刮痧防治感冒、失眠技术、拔罐疗法在常见病症治疗中的运用；小儿推拿技术；常见病症熏洗疗法；温针灸联合坐位调膝法治疗膝骨关节炎贴棉法治疗带状疱疹等14个专题进行专业授课和现场教学，着力提升全区医务人员在传承与发扬中医适宜技术上的能力，收到了前所未有的赞誉。七是信息上报任务，昭化电视台、广元电视台分别播放了两次新闻，在广元日报刊发日常监督图文信息简讯三期，四川省卫生监督网站采纳宣传信息4篇，今日头条采纳宣传信息4篇，充分展示了我大队在打击非法行医工作的执法风采。八是完成了各平台的学习任务，国家级监督网站上的学习任务线上、线下如期完成，学习强国网站学习活跃度一直居高不下。九是各种平台如期传送数据，智慧卫监系统运行良好，行权平台稳定运行，“双随机一公开”的所有要求监督数据并在区政府门户网站实时公布等。</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8.搞好廉政建设，确保纪录严明</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一是认真学习习近平总书记重要讲话精神，以高度的政治责任感把廉政教育抓实抓细抓到位，多形式、全方位开展主题党日活动，廉政警示教育活动，集中研讨交流，通过扎实推进学习教育，实现风清气正。二是认真参加“党史”教育活动，按时参与系统党工委、机关党支部组织的学“党史”活动及其党建任务，做到了见人见事见思想，牢固树立了“学史明理、学史增信、学史崇德、学史力行”的目标。三是积极参与全市纪录作风整顿活动，每位卫生监督员都从12个方面查找了问题与不足，建立了整改台账，持续加强力整改，做到了服务人们健康的初心本质，服务态度、服务质量、服务能力有了较大幅度的提升。四是持续深化“放管服”改革发力，一方面破立并举，打破以往从业人员健康体检收费惯例，给予昭化区内餐饮业、住宿业、美容美发业等公共场所从业人员持有效身份证前往昭化区人民医院、妇幼保健院、中医院及12家中心卫生院进行从业人员健康标准项目的免费体检，经体检合格以后出具有效健康证明；二方面上门服务，卫生监督员主动上门服务，启动现场承诺办证，实现半小时内证件办理，证照快递“一点就到家”，一站受理全程代办送证上门。全年无人被处分、通报、约谈，无人被投诉、举报。</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7"/>
          <w:rFonts w:ascii="黑体" w:hAnsi="黑体" w:eastAsia="黑体"/>
          <w:b w:val="0"/>
          <w:bCs/>
          <w:color w:val="auto"/>
          <w:highlight w:val="none"/>
        </w:rPr>
      </w:pPr>
      <w:bookmarkStart w:id="36" w:name="_Toc11192"/>
      <w:bookmarkStart w:id="37" w:name="_Toc18564"/>
      <w:bookmarkStart w:id="38" w:name="_Toc17459"/>
      <w:bookmarkStart w:id="39" w:name="_Toc15377204"/>
      <w:bookmarkStart w:id="40" w:name="_Toc13293"/>
      <w:bookmarkStart w:id="41"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7"/>
          <w:rFonts w:hint="eastAsia" w:ascii="黑体" w:hAnsi="黑体" w:eastAsia="黑体"/>
          <w:b w:val="0"/>
          <w:bCs/>
          <w:color w:val="auto"/>
          <w:highlight w:val="none"/>
          <w:lang w:eastAsia="zh-CN"/>
        </w:rPr>
        <w:t>单位</w:t>
      </w:r>
      <w:r>
        <w:rPr>
          <w:rStyle w:val="27"/>
          <w:rFonts w:hint="eastAsia" w:ascii="黑体" w:hAnsi="黑体" w:eastAsia="黑体"/>
          <w:b w:val="0"/>
          <w:bCs/>
          <w:color w:val="auto"/>
          <w:highlight w:val="none"/>
        </w:rPr>
        <w:t>决算情况说明</w:t>
      </w:r>
      <w:bookmarkEnd w:id="36"/>
      <w:bookmarkEnd w:id="37"/>
      <w:bookmarkEnd w:id="38"/>
      <w:bookmarkEnd w:id="39"/>
      <w:bookmarkEnd w:id="40"/>
      <w:bookmarkEnd w:id="41"/>
    </w:p>
    <w:p>
      <w:pPr>
        <w:rPr>
          <w:color w:val="auto"/>
          <w:highlight w:val="none"/>
        </w:rPr>
      </w:pP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42" w:name="_Toc26754"/>
      <w:bookmarkStart w:id="43" w:name="_Toc31754"/>
      <w:bookmarkStart w:id="44" w:name="_Toc28209"/>
      <w:bookmarkStart w:id="45" w:name="_Toc15377205"/>
      <w:bookmarkStart w:id="46" w:name="_Toc15396603"/>
      <w:bookmarkStart w:id="47" w:name="_Toc22737"/>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入支出决算总体情况说明</w:t>
      </w:r>
      <w:bookmarkEnd w:id="42"/>
      <w:bookmarkEnd w:id="43"/>
      <w:bookmarkEnd w:id="44"/>
      <w:bookmarkEnd w:id="45"/>
      <w:bookmarkEnd w:id="46"/>
      <w:bookmarkEnd w:id="47"/>
    </w:p>
    <w:p>
      <w:pPr>
        <w:pStyle w:val="2"/>
        <w:ind w:firstLine="640" w:firstLineChars="200"/>
        <w:rPr>
          <w:rFonts w:hint="default"/>
          <w:lang w:val="en-US" w:eastAsia="zh-CN"/>
        </w:rPr>
      </w:pPr>
      <w:r>
        <w:rPr>
          <w:rFonts w:hint="eastAsia" w:ascii="仿宋" w:hAnsi="仿宋" w:eastAsia="仿宋" w:cs="仿宋"/>
          <w:color w:val="auto"/>
          <w:sz w:val="32"/>
          <w:szCs w:val="32"/>
          <w:lang w:val="en-US" w:eastAsia="zh-CN"/>
        </w:rPr>
        <w:t>2021年度收、支总计114.99万元。与2020年相比，收、支总计各减少19.92万元，减少14.77%。2021年收入主要变动原因是2021年人员经费投入增加了0.91万元,2021年结余资金相比去年减少了20.83万元。2021年支出主要变动的原因是社会保障和就业支出增加了2.62万元，卫生健康支出减少了5.25万元，住房保障支出增加了0.79万元，结余资金相比去年减少了18.08万元。</w:t>
      </w:r>
    </w:p>
    <w:p>
      <w:pPr>
        <w:spacing w:line="600" w:lineRule="exact"/>
        <w:ind w:firstLine="640" w:firstLineChars="200"/>
        <w:rPr>
          <w:rFonts w:hint="eastAsia" w:ascii="仿宋" w:hAnsi="仿宋" w:eastAsia="仿宋" w:cs="仿宋"/>
          <w:color w:val="000000"/>
          <w:sz w:val="32"/>
          <w:szCs w:val="32"/>
          <w:lang w:val="en-US" w:eastAsia="zh-CN"/>
        </w:rPr>
      </w:pPr>
    </w:p>
    <w:p>
      <w:pPr>
        <w:pStyle w:val="7"/>
        <w:rPr>
          <w:rFonts w:hint="eastAsia"/>
        </w:rPr>
      </w:pPr>
    </w:p>
    <w:p>
      <w:pPr>
        <w:pStyle w:val="2"/>
      </w:pPr>
      <w:r>
        <w:rPr>
          <w:rFonts w:hint="eastAsia"/>
          <w:lang w:val="en-US" w:eastAsia="zh-CN"/>
        </w:rPr>
        <w:t xml:space="preserve">     </w:t>
      </w:r>
      <w:r>
        <w:drawing>
          <wp:inline distT="0" distB="0" distL="114300" distR="114300">
            <wp:extent cx="3792855" cy="2143125"/>
            <wp:effectExtent l="4445" t="4445" r="12700" b="5080"/>
            <wp:docPr id="1082"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jc w:val="left"/>
        <w:rPr>
          <w:rFonts w:ascii="仿宋_GB2312" w:eastAsia="仿宋_GB2312"/>
          <w:color w:val="auto"/>
          <w:sz w:val="32"/>
          <w:szCs w:val="32"/>
          <w:highlight w:val="none"/>
        </w:rPr>
      </w:pP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48" w:name="_Toc25074"/>
      <w:bookmarkStart w:id="49" w:name="_Toc15396604"/>
      <w:bookmarkStart w:id="50" w:name="_Toc10508"/>
      <w:bookmarkStart w:id="51" w:name="_Toc27996"/>
      <w:bookmarkStart w:id="52" w:name="_Toc15377206"/>
      <w:bookmarkStart w:id="53" w:name="_Toc7098"/>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入决算情况说明</w:t>
      </w:r>
      <w:bookmarkEnd w:id="48"/>
      <w:bookmarkEnd w:id="49"/>
      <w:bookmarkEnd w:id="50"/>
      <w:bookmarkEnd w:id="51"/>
      <w:bookmarkEnd w:id="52"/>
      <w:bookmarkEnd w:id="53"/>
    </w:p>
    <w:p>
      <w:pPr>
        <w:spacing w:line="600" w:lineRule="exact"/>
        <w:ind w:firstLine="640" w:firstLineChars="200"/>
        <w:rPr>
          <w:rFonts w:hint="eastAsia" w:ascii="仿宋" w:hAnsi="仿宋" w:eastAsia="仿宋" w:cs="Times New Roman"/>
          <w:color w:val="auto"/>
          <w:sz w:val="32"/>
          <w:szCs w:val="32"/>
          <w:highlight w:val="none"/>
        </w:rPr>
      </w:pPr>
      <w:bookmarkStart w:id="54" w:name="_Toc26033"/>
      <w:bookmarkStart w:id="55" w:name="_Toc21414"/>
      <w:bookmarkStart w:id="56" w:name="_Toc30103"/>
      <w:r>
        <w:rPr>
          <w:rFonts w:hint="eastAsia" w:ascii="仿宋" w:hAnsi="仿宋" w:eastAsia="仿宋" w:cs="Times New Roman"/>
          <w:color w:val="auto"/>
          <w:sz w:val="32"/>
          <w:szCs w:val="32"/>
          <w:highlight w:val="none"/>
        </w:rPr>
        <w:t>20</w:t>
      </w:r>
      <w:r>
        <w:rPr>
          <w:rFonts w:hint="eastAsia" w:ascii="仿宋" w:hAnsi="仿宋" w:eastAsia="仿宋" w:cs="Times New Roman"/>
          <w:color w:val="auto"/>
          <w:sz w:val="32"/>
          <w:szCs w:val="32"/>
          <w:highlight w:val="none"/>
          <w:lang w:val="en-US" w:eastAsia="zh-CN"/>
        </w:rPr>
        <w:t>21</w:t>
      </w:r>
      <w:r>
        <w:rPr>
          <w:rFonts w:hint="eastAsia" w:ascii="仿宋" w:hAnsi="仿宋" w:eastAsia="仿宋" w:cs="Times New Roman"/>
          <w:color w:val="auto"/>
          <w:sz w:val="32"/>
          <w:szCs w:val="32"/>
          <w:highlight w:val="none"/>
        </w:rPr>
        <w:t>年本年收入合计</w:t>
      </w:r>
      <w:r>
        <w:rPr>
          <w:rFonts w:hint="eastAsia" w:ascii="仿宋" w:hAnsi="仿宋" w:eastAsia="仿宋" w:cs="Times New Roman"/>
          <w:color w:val="auto"/>
          <w:sz w:val="32"/>
          <w:szCs w:val="32"/>
          <w:highlight w:val="none"/>
          <w:lang w:val="en-US" w:eastAsia="zh-CN"/>
        </w:rPr>
        <w:t>114.99</w:t>
      </w:r>
      <w:r>
        <w:rPr>
          <w:rFonts w:hint="eastAsia" w:ascii="仿宋" w:hAnsi="仿宋" w:eastAsia="仿宋" w:cs="Times New Roman"/>
          <w:color w:val="auto"/>
          <w:sz w:val="32"/>
          <w:szCs w:val="32"/>
          <w:highlight w:val="none"/>
        </w:rPr>
        <w:t>万元，其中：一般公共预算财政拨款收入</w:t>
      </w:r>
      <w:r>
        <w:rPr>
          <w:rFonts w:hint="eastAsia" w:ascii="仿宋" w:hAnsi="仿宋" w:eastAsia="仿宋" w:cs="Times New Roman"/>
          <w:color w:val="auto"/>
          <w:sz w:val="32"/>
          <w:szCs w:val="32"/>
          <w:highlight w:val="none"/>
          <w:lang w:val="en-US" w:eastAsia="zh-CN"/>
        </w:rPr>
        <w:t>114.99</w:t>
      </w:r>
      <w:r>
        <w:rPr>
          <w:rFonts w:hint="eastAsia" w:ascii="仿宋" w:hAnsi="仿宋" w:eastAsia="仿宋" w:cs="Times New Roman"/>
          <w:color w:val="auto"/>
          <w:sz w:val="32"/>
          <w:szCs w:val="32"/>
          <w:highlight w:val="none"/>
        </w:rPr>
        <w:t>万元，占</w:t>
      </w:r>
      <w:r>
        <w:rPr>
          <w:rFonts w:hint="eastAsia" w:ascii="仿宋" w:hAnsi="仿宋" w:eastAsia="仿宋" w:cs="Times New Roman"/>
          <w:color w:val="auto"/>
          <w:sz w:val="32"/>
          <w:szCs w:val="32"/>
          <w:highlight w:val="none"/>
          <w:lang w:val="en-US" w:eastAsia="zh-CN"/>
        </w:rPr>
        <w:t>100</w:t>
      </w:r>
      <w:r>
        <w:rPr>
          <w:rFonts w:hint="eastAsia" w:ascii="仿宋" w:hAnsi="仿宋" w:eastAsia="仿宋" w:cs="Times New Roman"/>
          <w:color w:val="auto"/>
          <w:sz w:val="32"/>
          <w:szCs w:val="32"/>
          <w:highlight w:val="none"/>
        </w:rPr>
        <w:t>%。</w:t>
      </w:r>
      <w:bookmarkEnd w:id="54"/>
      <w:bookmarkEnd w:id="55"/>
      <w:bookmarkEnd w:id="56"/>
    </w:p>
    <w:p>
      <w:pPr>
        <w:pStyle w:val="7"/>
      </w:pPr>
      <w:r>
        <w:drawing>
          <wp:inline distT="0" distB="0" distL="114300" distR="114300">
            <wp:extent cx="3364230" cy="2276475"/>
            <wp:effectExtent l="4445" t="4445" r="22225" b="5080"/>
            <wp:docPr id="108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_GB2312" w:eastAsia="仿宋_GB2312"/>
          <w:color w:val="auto"/>
          <w:sz w:val="32"/>
          <w:szCs w:val="32"/>
          <w:highlight w:val="none"/>
        </w:rPr>
      </w:pPr>
    </w:p>
    <w:p>
      <w:pPr>
        <w:pStyle w:val="26"/>
        <w:numPr>
          <w:ilvl w:val="0"/>
          <w:numId w:val="2"/>
        </w:numPr>
        <w:spacing w:line="600" w:lineRule="exact"/>
        <w:ind w:firstLineChars="0"/>
        <w:outlineLvl w:val="1"/>
        <w:rPr>
          <w:rStyle w:val="28"/>
          <w:rFonts w:ascii="黑体" w:hAnsi="黑体" w:eastAsia="黑体"/>
          <w:b w:val="0"/>
          <w:color w:val="auto"/>
          <w:highlight w:val="none"/>
        </w:rPr>
      </w:pPr>
      <w:bookmarkStart w:id="57" w:name="_Toc28615"/>
      <w:bookmarkStart w:id="58" w:name="_Toc10628"/>
      <w:bookmarkStart w:id="59" w:name="_Toc3767"/>
      <w:bookmarkStart w:id="60" w:name="_Toc15396605"/>
      <w:bookmarkStart w:id="61" w:name="_Toc20903"/>
      <w:bookmarkStart w:id="62" w:name="_Toc15377207"/>
      <w:r>
        <w:rPr>
          <w:rFonts w:hint="eastAsia" w:ascii="黑体" w:hAnsi="黑体" w:eastAsia="黑体"/>
          <w:color w:val="auto"/>
          <w:sz w:val="32"/>
          <w:szCs w:val="32"/>
          <w:highlight w:val="none"/>
        </w:rPr>
        <w:t>支</w:t>
      </w:r>
      <w:r>
        <w:rPr>
          <w:rStyle w:val="28"/>
          <w:rFonts w:hint="eastAsia" w:ascii="黑体" w:hAnsi="黑体" w:eastAsia="黑体"/>
          <w:b w:val="0"/>
          <w:color w:val="auto"/>
          <w:highlight w:val="none"/>
        </w:rPr>
        <w:t>出决算情况说明</w:t>
      </w:r>
      <w:bookmarkEnd w:id="57"/>
      <w:bookmarkEnd w:id="58"/>
      <w:bookmarkEnd w:id="59"/>
      <w:bookmarkEnd w:id="60"/>
      <w:bookmarkEnd w:id="61"/>
      <w:bookmarkEnd w:id="62"/>
    </w:p>
    <w:p>
      <w:pPr>
        <w:spacing w:line="600" w:lineRule="exact"/>
        <w:ind w:firstLine="640" w:firstLineChars="200"/>
        <w:rPr>
          <w:rFonts w:hint="eastAsia" w:ascii="仿宋" w:hAnsi="仿宋" w:eastAsia="仿宋" w:cs="Times New Roman"/>
          <w:color w:val="auto"/>
          <w:sz w:val="32"/>
          <w:szCs w:val="32"/>
          <w:highlight w:val="none"/>
        </w:rPr>
      </w:pPr>
      <w:bookmarkStart w:id="63" w:name="_Toc25226"/>
      <w:bookmarkStart w:id="64" w:name="_Toc29684"/>
      <w:bookmarkStart w:id="65" w:name="_Toc18085"/>
      <w:r>
        <w:rPr>
          <w:rFonts w:hint="eastAsia" w:ascii="仿宋" w:hAnsi="仿宋" w:eastAsia="仿宋" w:cs="Times New Roman"/>
          <w:color w:val="auto"/>
          <w:sz w:val="32"/>
          <w:szCs w:val="32"/>
          <w:highlight w:val="none"/>
        </w:rPr>
        <w:t>20</w:t>
      </w:r>
      <w:r>
        <w:rPr>
          <w:rFonts w:hint="eastAsia" w:ascii="仿宋" w:hAnsi="仿宋" w:eastAsia="仿宋" w:cs="Times New Roman"/>
          <w:color w:val="auto"/>
          <w:sz w:val="32"/>
          <w:szCs w:val="32"/>
          <w:highlight w:val="none"/>
          <w:lang w:val="en-US" w:eastAsia="zh-CN"/>
        </w:rPr>
        <w:t>21</w:t>
      </w:r>
      <w:r>
        <w:rPr>
          <w:rFonts w:hint="eastAsia" w:ascii="仿宋" w:hAnsi="仿宋" w:eastAsia="仿宋" w:cs="Times New Roman"/>
          <w:color w:val="auto"/>
          <w:sz w:val="32"/>
          <w:szCs w:val="32"/>
          <w:highlight w:val="none"/>
        </w:rPr>
        <w:t>年本年支出合计</w:t>
      </w:r>
      <w:r>
        <w:rPr>
          <w:rFonts w:hint="eastAsia" w:ascii="仿宋" w:hAnsi="仿宋" w:eastAsia="仿宋" w:cs="Times New Roman"/>
          <w:color w:val="auto"/>
          <w:sz w:val="32"/>
          <w:szCs w:val="32"/>
          <w:highlight w:val="none"/>
          <w:lang w:val="en-US" w:eastAsia="zh-CN"/>
        </w:rPr>
        <w:t>114.99</w:t>
      </w:r>
      <w:r>
        <w:rPr>
          <w:rFonts w:hint="eastAsia" w:ascii="仿宋" w:hAnsi="仿宋" w:eastAsia="仿宋" w:cs="Times New Roman"/>
          <w:color w:val="auto"/>
          <w:sz w:val="32"/>
          <w:szCs w:val="32"/>
          <w:highlight w:val="none"/>
        </w:rPr>
        <w:t>万元，其中：基本支出</w:t>
      </w:r>
      <w:r>
        <w:rPr>
          <w:rFonts w:hint="eastAsia" w:ascii="仿宋" w:hAnsi="仿宋" w:eastAsia="仿宋" w:cs="Times New Roman"/>
          <w:color w:val="auto"/>
          <w:sz w:val="32"/>
          <w:szCs w:val="32"/>
          <w:highlight w:val="none"/>
          <w:lang w:val="en-US" w:eastAsia="zh-CN"/>
        </w:rPr>
        <w:t>106.99</w:t>
      </w:r>
      <w:r>
        <w:rPr>
          <w:rFonts w:hint="eastAsia" w:ascii="仿宋" w:hAnsi="仿宋" w:eastAsia="仿宋" w:cs="Times New Roman"/>
          <w:color w:val="auto"/>
          <w:sz w:val="32"/>
          <w:szCs w:val="32"/>
          <w:highlight w:val="none"/>
        </w:rPr>
        <w:t>万元，占</w:t>
      </w:r>
      <w:r>
        <w:rPr>
          <w:rFonts w:hint="eastAsia" w:ascii="仿宋" w:hAnsi="仿宋" w:eastAsia="仿宋" w:cs="Times New Roman"/>
          <w:color w:val="auto"/>
          <w:sz w:val="32"/>
          <w:szCs w:val="32"/>
          <w:highlight w:val="none"/>
          <w:lang w:val="en-US" w:eastAsia="zh-CN"/>
        </w:rPr>
        <w:t>93.04</w:t>
      </w:r>
      <w:r>
        <w:rPr>
          <w:rFonts w:hint="eastAsia" w:ascii="仿宋" w:hAnsi="仿宋" w:eastAsia="仿宋" w:cs="Times New Roman"/>
          <w:color w:val="auto"/>
          <w:sz w:val="32"/>
          <w:szCs w:val="32"/>
          <w:highlight w:val="none"/>
        </w:rPr>
        <w:t>%；项目支出</w:t>
      </w:r>
      <w:r>
        <w:rPr>
          <w:rFonts w:hint="eastAsia" w:ascii="仿宋" w:hAnsi="仿宋" w:eastAsia="仿宋" w:cs="Times New Roman"/>
          <w:color w:val="auto"/>
          <w:sz w:val="32"/>
          <w:szCs w:val="32"/>
          <w:highlight w:val="none"/>
          <w:lang w:val="en-US" w:eastAsia="zh-CN"/>
        </w:rPr>
        <w:t>8</w:t>
      </w:r>
      <w:r>
        <w:rPr>
          <w:rFonts w:hint="eastAsia" w:ascii="仿宋" w:hAnsi="仿宋" w:eastAsia="仿宋" w:cs="Times New Roman"/>
          <w:color w:val="auto"/>
          <w:sz w:val="32"/>
          <w:szCs w:val="32"/>
          <w:highlight w:val="none"/>
        </w:rPr>
        <w:t>万元，占</w:t>
      </w:r>
      <w:r>
        <w:rPr>
          <w:rFonts w:hint="eastAsia" w:ascii="仿宋" w:hAnsi="仿宋" w:eastAsia="仿宋" w:cs="Times New Roman"/>
          <w:color w:val="auto"/>
          <w:sz w:val="32"/>
          <w:szCs w:val="32"/>
          <w:highlight w:val="none"/>
          <w:lang w:val="en-US" w:eastAsia="zh-CN"/>
        </w:rPr>
        <w:t>6.96</w:t>
      </w:r>
      <w:r>
        <w:rPr>
          <w:rFonts w:hint="eastAsia" w:ascii="仿宋" w:hAnsi="仿宋" w:eastAsia="仿宋" w:cs="Times New Roman"/>
          <w:color w:val="auto"/>
          <w:sz w:val="32"/>
          <w:szCs w:val="32"/>
          <w:highlight w:val="none"/>
        </w:rPr>
        <w:t>%。</w:t>
      </w:r>
      <w:bookmarkEnd w:id="63"/>
      <w:bookmarkEnd w:id="64"/>
      <w:bookmarkEnd w:id="65"/>
    </w:p>
    <w:p>
      <w:pPr>
        <w:pStyle w:val="7"/>
      </w:pPr>
      <w:r>
        <w:drawing>
          <wp:inline distT="0" distB="0" distL="114300" distR="114300">
            <wp:extent cx="3495675" cy="1915795"/>
            <wp:effectExtent l="4445" t="4445" r="5080" b="22860"/>
            <wp:docPr id="1084"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8"/>
          <w:rFonts w:ascii="黑体" w:hAnsi="黑体" w:eastAsia="黑体"/>
          <w:b w:val="0"/>
          <w:color w:val="auto"/>
          <w:highlight w:val="none"/>
        </w:rPr>
      </w:pPr>
      <w:bookmarkStart w:id="66" w:name="_Toc2732"/>
      <w:bookmarkStart w:id="67" w:name="_Toc20292"/>
      <w:bookmarkStart w:id="68" w:name="_Toc15396606"/>
      <w:bookmarkStart w:id="69" w:name="_Toc5358"/>
      <w:bookmarkStart w:id="70" w:name="_Toc15377208"/>
      <w:bookmarkStart w:id="71" w:name="_Toc1255"/>
      <w:r>
        <w:rPr>
          <w:rFonts w:hint="eastAsia" w:ascii="黑体" w:hAnsi="黑体" w:eastAsia="黑体"/>
          <w:color w:val="auto"/>
          <w:sz w:val="32"/>
          <w:szCs w:val="32"/>
          <w:highlight w:val="none"/>
        </w:rPr>
        <w:t>四、财</w:t>
      </w:r>
      <w:r>
        <w:rPr>
          <w:rStyle w:val="28"/>
          <w:rFonts w:hint="eastAsia" w:ascii="黑体" w:hAnsi="黑体" w:eastAsia="黑体"/>
          <w:b w:val="0"/>
          <w:color w:val="auto"/>
          <w:highlight w:val="none"/>
        </w:rPr>
        <w:t>政拨款收入支出决算总体情况说明</w:t>
      </w:r>
      <w:bookmarkEnd w:id="66"/>
      <w:bookmarkEnd w:id="67"/>
      <w:bookmarkEnd w:id="68"/>
      <w:bookmarkEnd w:id="69"/>
      <w:bookmarkEnd w:id="70"/>
      <w:bookmarkEnd w:id="71"/>
    </w:p>
    <w:p>
      <w:pPr>
        <w:pStyle w:val="2"/>
        <w:ind w:firstLine="640" w:firstLineChars="200"/>
        <w:rPr>
          <w:rFonts w:hint="default"/>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114.99</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w:t>
      </w:r>
      <w:r>
        <w:rPr>
          <w:rFonts w:hint="eastAsia" w:ascii="仿宋" w:hAnsi="仿宋" w:eastAsia="仿宋"/>
          <w:color w:val="auto"/>
          <w:sz w:val="32"/>
          <w:szCs w:val="32"/>
          <w:highlight w:val="none"/>
          <w:lang w:eastAsia="zh-CN"/>
        </w:rPr>
        <w:t>减少</w:t>
      </w:r>
      <w:r>
        <w:rPr>
          <w:rFonts w:hint="eastAsia" w:ascii="仿宋" w:hAnsi="仿宋" w:eastAsia="仿宋" w:cs="仿宋"/>
          <w:color w:val="auto"/>
          <w:sz w:val="32"/>
          <w:szCs w:val="32"/>
          <w:lang w:val="en-US" w:eastAsia="zh-CN"/>
        </w:rPr>
        <w:t>19.92万元，减少14.77%</w:t>
      </w:r>
      <w:r>
        <w:rPr>
          <w:rFonts w:hint="eastAsia" w:ascii="仿宋" w:hAnsi="仿宋" w:eastAsia="仿宋"/>
          <w:color w:val="auto"/>
          <w:sz w:val="32"/>
          <w:szCs w:val="32"/>
          <w:highlight w:val="none"/>
        </w:rPr>
        <w:t>。</w:t>
      </w:r>
      <w:r>
        <w:rPr>
          <w:rFonts w:hint="eastAsia" w:ascii="仿宋" w:hAnsi="仿宋" w:eastAsia="仿宋" w:cs="仿宋"/>
          <w:color w:val="auto"/>
          <w:sz w:val="32"/>
          <w:szCs w:val="32"/>
          <w:lang w:val="en-US" w:eastAsia="zh-CN"/>
        </w:rPr>
        <w:t>2021年</w:t>
      </w:r>
      <w:r>
        <w:rPr>
          <w:rFonts w:hint="eastAsia" w:ascii="仿宋" w:hAnsi="仿宋" w:eastAsia="仿宋"/>
          <w:color w:val="auto"/>
          <w:sz w:val="32"/>
          <w:szCs w:val="32"/>
          <w:highlight w:val="none"/>
        </w:rPr>
        <w:t>财政拨款</w:t>
      </w:r>
      <w:r>
        <w:rPr>
          <w:rFonts w:hint="eastAsia" w:ascii="仿宋" w:hAnsi="仿宋" w:eastAsia="仿宋" w:cs="仿宋"/>
          <w:color w:val="auto"/>
          <w:sz w:val="32"/>
          <w:szCs w:val="32"/>
          <w:lang w:val="en-US" w:eastAsia="zh-CN"/>
        </w:rPr>
        <w:t>收入</w:t>
      </w:r>
      <w:r>
        <w:rPr>
          <w:rFonts w:hint="eastAsia" w:ascii="仿宋" w:hAnsi="仿宋" w:eastAsia="仿宋"/>
          <w:color w:val="auto"/>
          <w:sz w:val="32"/>
          <w:szCs w:val="32"/>
          <w:highlight w:val="none"/>
        </w:rPr>
        <w:t>主要变动原因是</w:t>
      </w:r>
      <w:r>
        <w:rPr>
          <w:rFonts w:hint="eastAsia" w:ascii="仿宋" w:hAnsi="仿宋" w:eastAsia="仿宋" w:cs="仿宋"/>
          <w:color w:val="auto"/>
          <w:sz w:val="32"/>
          <w:szCs w:val="32"/>
          <w:lang w:val="en-US" w:eastAsia="zh-CN"/>
        </w:rPr>
        <w:t>2021年人员经费投入增加了0.91万元,2021年结余资金相比去年减少了20.83万元。2021年</w:t>
      </w:r>
      <w:r>
        <w:rPr>
          <w:rFonts w:hint="eastAsia" w:ascii="仿宋" w:hAnsi="仿宋" w:eastAsia="仿宋"/>
          <w:color w:val="auto"/>
          <w:sz w:val="32"/>
          <w:szCs w:val="32"/>
          <w:highlight w:val="none"/>
        </w:rPr>
        <w:t>财政拨款</w:t>
      </w:r>
      <w:r>
        <w:rPr>
          <w:rFonts w:hint="eastAsia" w:ascii="仿宋" w:hAnsi="仿宋" w:eastAsia="仿宋" w:cs="仿宋"/>
          <w:color w:val="auto"/>
          <w:sz w:val="32"/>
          <w:szCs w:val="32"/>
          <w:lang w:val="en-US" w:eastAsia="zh-CN"/>
        </w:rPr>
        <w:t>支出主要变动的原因是社会保障和就业支出增加了2.62万元，卫生健康支出减少了5.25万元，住房保障支出增加了0.79万元，结余资金相比去年减少了18.08万元。</w:t>
      </w:r>
    </w:p>
    <w:p>
      <w:pPr>
        <w:spacing w:line="600" w:lineRule="exact"/>
        <w:ind w:firstLine="640" w:firstLineChars="200"/>
        <w:rPr>
          <w:rFonts w:hint="eastAsia" w:ascii="仿宋" w:hAnsi="仿宋" w:eastAsia="仿宋" w:cs="仿宋"/>
          <w:color w:val="000000"/>
          <w:sz w:val="32"/>
          <w:szCs w:val="32"/>
          <w:lang w:val="en-US" w:eastAsia="zh-CN"/>
        </w:rPr>
      </w:pPr>
    </w:p>
    <w:p>
      <w:pPr>
        <w:spacing w:line="600" w:lineRule="exact"/>
        <w:ind w:firstLine="640"/>
        <w:rPr>
          <w:rFonts w:ascii="仿宋" w:hAnsi="仿宋" w:eastAsia="仿宋"/>
          <w:color w:val="auto"/>
          <w:sz w:val="32"/>
          <w:szCs w:val="32"/>
          <w:highlight w:val="none"/>
        </w:rPr>
      </w:pPr>
    </w:p>
    <w:p>
      <w:pPr>
        <w:pStyle w:val="7"/>
      </w:pPr>
      <w:r>
        <w:drawing>
          <wp:inline distT="0" distB="0" distL="114300" distR="114300">
            <wp:extent cx="3477260" cy="1943735"/>
            <wp:effectExtent l="4445" t="4445" r="23495" b="13970"/>
            <wp:docPr id="1085"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8"/>
          <w:rFonts w:ascii="黑体" w:hAnsi="黑体" w:eastAsia="黑体"/>
          <w:b w:val="0"/>
          <w:color w:val="auto"/>
          <w:highlight w:val="none"/>
        </w:rPr>
      </w:pPr>
      <w:bookmarkStart w:id="72" w:name="_Toc1437"/>
      <w:bookmarkStart w:id="73" w:name="_Toc17815"/>
      <w:bookmarkStart w:id="74" w:name="_Toc15377209"/>
      <w:bookmarkStart w:id="75" w:name="_Toc15396607"/>
      <w:bookmarkStart w:id="76" w:name="_Toc23552"/>
      <w:bookmarkStart w:id="77" w:name="_Toc25743"/>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般公共预算财政拨款支出决算情况说明</w:t>
      </w:r>
      <w:bookmarkEnd w:id="72"/>
      <w:bookmarkEnd w:id="73"/>
      <w:bookmarkEnd w:id="74"/>
      <w:bookmarkEnd w:id="75"/>
      <w:bookmarkEnd w:id="76"/>
      <w:bookmarkEnd w:id="77"/>
    </w:p>
    <w:p>
      <w:pPr>
        <w:spacing w:line="600" w:lineRule="exact"/>
        <w:ind w:firstLine="643" w:firstLineChars="200"/>
        <w:outlineLvl w:val="2"/>
        <w:rPr>
          <w:rFonts w:ascii="仿宋" w:hAnsi="仿宋" w:eastAsia="仿宋"/>
          <w:b/>
          <w:color w:val="auto"/>
          <w:sz w:val="32"/>
          <w:szCs w:val="32"/>
          <w:highlight w:val="none"/>
        </w:rPr>
      </w:pPr>
      <w:bookmarkStart w:id="78" w:name="_Toc15377210"/>
      <w:bookmarkStart w:id="79" w:name="_Toc946"/>
      <w:r>
        <w:rPr>
          <w:rFonts w:hint="eastAsia" w:ascii="仿宋" w:hAnsi="仿宋" w:eastAsia="仿宋"/>
          <w:b/>
          <w:color w:val="auto"/>
          <w:sz w:val="32"/>
          <w:szCs w:val="32"/>
          <w:highlight w:val="none"/>
        </w:rPr>
        <w:t>（一）一般公共预算财政拨款支出决算总体情况</w:t>
      </w:r>
      <w:bookmarkEnd w:id="78"/>
      <w:bookmarkEnd w:id="79"/>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114.99</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0.91</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0.80</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s="仿宋"/>
          <w:color w:val="auto"/>
          <w:sz w:val="32"/>
          <w:szCs w:val="32"/>
          <w:lang w:val="en-US" w:eastAsia="zh-CN"/>
        </w:rPr>
        <w:t>人员经费投入增加了0.91万元。</w:t>
      </w:r>
    </w:p>
    <w:p>
      <w:pPr>
        <w:spacing w:line="600" w:lineRule="exact"/>
        <w:ind w:firstLine="640" w:firstLineChars="200"/>
        <w:rPr>
          <w:rFonts w:hint="eastAsia" w:ascii="仿宋" w:hAnsi="仿宋" w:eastAsia="仿宋"/>
          <w:color w:val="auto"/>
          <w:sz w:val="32"/>
          <w:szCs w:val="32"/>
          <w:highlight w:val="none"/>
        </w:rPr>
      </w:pPr>
    </w:p>
    <w:p>
      <w:pPr>
        <w:pStyle w:val="7"/>
        <w:rPr>
          <w:rFonts w:ascii="仿宋" w:hAnsi="仿宋" w:eastAsia="仿宋"/>
          <w:color w:val="000000"/>
          <w:sz w:val="32"/>
          <w:szCs w:val="32"/>
          <w:highlight w:val="none"/>
          <w14:textFill>
            <w14:solidFill>
              <w14:srgbClr w14:val="000000">
                <w14:alpha w14:val="0"/>
              </w14:srgbClr>
            </w14:solidFill>
          </w14:textFill>
        </w:rPr>
      </w:pPr>
      <w:r>
        <w:drawing>
          <wp:inline distT="0" distB="0" distL="114300" distR="114300">
            <wp:extent cx="3097530" cy="2247900"/>
            <wp:effectExtent l="4445" t="4445" r="22225" b="14605"/>
            <wp:docPr id="108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80" w:name="_Toc15377211"/>
      <w:bookmarkStart w:id="81" w:name="_Toc29925"/>
      <w:r>
        <w:rPr>
          <w:rFonts w:hint="eastAsia" w:ascii="仿宋" w:hAnsi="仿宋" w:eastAsia="仿宋"/>
          <w:b/>
          <w:color w:val="auto"/>
          <w:sz w:val="32"/>
          <w:szCs w:val="32"/>
          <w:highlight w:val="none"/>
        </w:rPr>
        <w:t>（二）一般公共预算财政拨款支出决算结构情况</w:t>
      </w:r>
      <w:bookmarkEnd w:id="80"/>
      <w:bookmarkEnd w:id="81"/>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114.99</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7.62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6.63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b w:val="0"/>
          <w:bCs w:val="0"/>
          <w:color w:val="auto"/>
          <w:sz w:val="32"/>
          <w:szCs w:val="32"/>
          <w:highlight w:val="none"/>
          <w:lang w:val="en-US" w:eastAsia="zh-CN"/>
        </w:rPr>
        <w:t>99.04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86.13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8.33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7.24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7"/>
      </w:pPr>
      <w:r>
        <w:drawing>
          <wp:inline distT="0" distB="0" distL="114300" distR="114300">
            <wp:extent cx="3933190" cy="2143125"/>
            <wp:effectExtent l="4445" t="4445" r="5715" b="5080"/>
            <wp:docPr id="1087"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82" w:name="_Toc2917"/>
      <w:bookmarkStart w:id="83" w:name="_Toc15377212"/>
      <w:r>
        <w:rPr>
          <w:rFonts w:hint="eastAsia" w:ascii="仿宋" w:hAnsi="仿宋" w:eastAsia="仿宋"/>
          <w:b/>
          <w:color w:val="auto"/>
          <w:sz w:val="32"/>
          <w:szCs w:val="32"/>
          <w:highlight w:val="none"/>
        </w:rPr>
        <w:t>（三）一般公共预算财政拨款支出决算具体情况</w:t>
      </w:r>
      <w:bookmarkEnd w:id="82"/>
      <w:bookmarkEnd w:id="83"/>
    </w:p>
    <w:p>
      <w:pPr>
        <w:spacing w:line="600" w:lineRule="exact"/>
        <w:ind w:firstLine="643" w:firstLineChars="200"/>
        <w:outlineLvl w:val="2"/>
        <w:rPr>
          <w:rFonts w:ascii="仿宋" w:hAnsi="仿宋" w:eastAsia="仿宋"/>
          <w:color w:val="auto"/>
          <w:sz w:val="32"/>
          <w:szCs w:val="32"/>
          <w:highlight w:val="none"/>
        </w:rPr>
      </w:pPr>
      <w:bookmarkStart w:id="84" w:name="_Toc15378460"/>
      <w:bookmarkStart w:id="85" w:name="_Toc18376"/>
      <w:bookmarkStart w:id="86" w:name="_Toc15377444"/>
      <w:bookmarkStart w:id="87"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114.99万元</w:t>
      </w:r>
      <w:r>
        <w:rPr>
          <w:rFonts w:hint="eastAsia" w:ascii="仿宋" w:hAnsi="仿宋" w:eastAsia="仿宋"/>
          <w:color w:val="auto"/>
          <w:sz w:val="32"/>
          <w:szCs w:val="32"/>
          <w:highlight w:val="none"/>
        </w:rPr>
        <w:t>，</w:t>
      </w:r>
      <w:r>
        <w:rPr>
          <w:rStyle w:val="17"/>
          <w:rFonts w:hint="eastAsia" w:ascii="仿宋" w:hAnsi="仿宋" w:eastAsia="仿宋"/>
          <w:bCs/>
          <w:color w:val="auto"/>
          <w:sz w:val="32"/>
          <w:szCs w:val="32"/>
          <w:highlight w:val="none"/>
        </w:rPr>
        <w:t>完成预算</w:t>
      </w:r>
      <w:r>
        <w:rPr>
          <w:rStyle w:val="17"/>
          <w:rFonts w:hint="eastAsia" w:ascii="仿宋" w:hAnsi="仿宋" w:eastAsia="仿宋"/>
          <w:bCs/>
          <w:color w:val="auto"/>
          <w:sz w:val="32"/>
          <w:szCs w:val="32"/>
          <w:highlight w:val="none"/>
          <w:lang w:val="en-US" w:eastAsia="zh-CN"/>
        </w:rPr>
        <w:t>100</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。其中：</w:t>
      </w:r>
      <w:bookmarkEnd w:id="84"/>
      <w:bookmarkEnd w:id="85"/>
      <w:bookmarkEnd w:id="86"/>
      <w:bookmarkEnd w:id="87"/>
    </w:p>
    <w:p>
      <w:pPr>
        <w:numPr>
          <w:ilvl w:val="0"/>
          <w:numId w:val="0"/>
        </w:numPr>
        <w:spacing w:line="600" w:lineRule="exact"/>
        <w:ind w:firstLine="643" w:firstLineChars="200"/>
        <w:rPr>
          <w:rStyle w:val="17"/>
          <w:rFonts w:hint="eastAsia" w:ascii="仿宋" w:hAnsi="仿宋" w:eastAsia="仿宋"/>
          <w:b w:val="0"/>
          <w:bCs/>
          <w:color w:val="auto"/>
          <w:sz w:val="32"/>
          <w:szCs w:val="32"/>
          <w:highlight w:val="none"/>
          <w:lang w:eastAsia="zh-CN"/>
        </w:rPr>
      </w:pPr>
      <w:r>
        <w:rPr>
          <w:rStyle w:val="17"/>
          <w:rFonts w:hint="eastAsia" w:ascii="仿宋" w:hAnsi="仿宋" w:eastAsia="仿宋"/>
          <w:bCs/>
          <w:color w:val="auto"/>
          <w:sz w:val="32"/>
          <w:szCs w:val="32"/>
          <w:highlight w:val="none"/>
          <w:lang w:val="en-US" w:eastAsia="zh-CN"/>
        </w:rPr>
        <w:t>1.</w:t>
      </w:r>
      <w:r>
        <w:rPr>
          <w:rStyle w:val="17"/>
          <w:rFonts w:hint="eastAsia" w:ascii="仿宋" w:hAnsi="仿宋" w:eastAsia="仿宋"/>
          <w:bCs/>
          <w:color w:val="auto"/>
          <w:sz w:val="32"/>
          <w:szCs w:val="32"/>
          <w:highlight w:val="none"/>
        </w:rPr>
        <w:t>社会保障和就业（类）行政事业单位养老支出（款）机关事业单位基本养老保险缴费支出（项）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7.62</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。决算数等于预算数的主要原因是收支持平。</w:t>
      </w:r>
    </w:p>
    <w:p>
      <w:pPr>
        <w:numPr>
          <w:ilvl w:val="0"/>
          <w:numId w:val="0"/>
        </w:numPr>
        <w:spacing w:line="600" w:lineRule="exact"/>
        <w:ind w:firstLine="643" w:firstLineChars="200"/>
        <w:rPr>
          <w:rStyle w:val="17"/>
          <w:rFonts w:hint="eastAsia" w:ascii="仿宋" w:hAnsi="仿宋" w:eastAsia="仿宋"/>
          <w:b w:val="0"/>
          <w:bCs/>
          <w:color w:val="auto"/>
          <w:sz w:val="32"/>
          <w:szCs w:val="32"/>
          <w:highlight w:val="none"/>
          <w:lang w:eastAsia="zh-CN"/>
        </w:rPr>
      </w:pPr>
      <w:r>
        <w:rPr>
          <w:rStyle w:val="17"/>
          <w:rFonts w:hint="eastAsia" w:ascii="仿宋" w:hAnsi="仿宋" w:eastAsia="仿宋"/>
          <w:bCs/>
          <w:color w:val="auto"/>
          <w:sz w:val="32"/>
          <w:szCs w:val="32"/>
          <w:highlight w:val="none"/>
          <w:lang w:val="en-US" w:eastAsia="zh-CN"/>
        </w:rPr>
        <w:t>2.</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（类）公共卫生（款）卫生监督机构（项）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86.27</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决算数等于预算数的主要原因是收支持平。</w:t>
      </w:r>
    </w:p>
    <w:p>
      <w:pPr>
        <w:spacing w:line="600" w:lineRule="exact"/>
        <w:ind w:firstLine="643" w:firstLineChars="200"/>
        <w:rPr>
          <w:rStyle w:val="17"/>
          <w:rFonts w:hint="eastAsia" w:ascii="仿宋" w:hAnsi="仿宋" w:eastAsia="仿宋"/>
          <w:b w:val="0"/>
          <w:bCs/>
          <w:color w:val="auto"/>
          <w:sz w:val="32"/>
          <w:szCs w:val="32"/>
          <w:highlight w:val="none"/>
        </w:rPr>
      </w:pPr>
      <w:r>
        <w:rPr>
          <w:rStyle w:val="17"/>
          <w:rFonts w:ascii="仿宋" w:hAnsi="仿宋" w:eastAsia="仿宋"/>
          <w:bCs/>
          <w:color w:val="auto"/>
          <w:sz w:val="32"/>
          <w:szCs w:val="32"/>
          <w:highlight w:val="none"/>
        </w:rPr>
        <w:t>3.</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（类）公共卫生（款）基本公共卫生服务（项）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8.00</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决算数等于预算数的主要原因是收支持平。</w:t>
      </w:r>
    </w:p>
    <w:p>
      <w:pPr>
        <w:ind w:firstLine="643" w:firstLineChars="200"/>
        <w:rPr>
          <w:rFonts w:hint="default"/>
          <w:lang w:val="en-US" w:eastAsia="zh-CN"/>
        </w:rPr>
      </w:pPr>
      <w:r>
        <w:rPr>
          <w:rStyle w:val="17"/>
          <w:rFonts w:hint="eastAsia" w:ascii="仿宋" w:hAnsi="仿宋" w:eastAsia="仿宋"/>
          <w:bCs/>
          <w:color w:val="auto"/>
          <w:sz w:val="32"/>
          <w:szCs w:val="32"/>
          <w:highlight w:val="none"/>
          <w:lang w:val="en-US" w:eastAsia="zh-CN"/>
        </w:rPr>
        <w:t>4</w:t>
      </w:r>
      <w:r>
        <w:rPr>
          <w:rStyle w:val="17"/>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7"/>
          <w:rFonts w:hint="eastAsia" w:ascii="仿宋" w:hAnsi="仿宋" w:eastAsia="仿宋"/>
          <w:bCs/>
          <w:color w:val="auto"/>
          <w:sz w:val="32"/>
          <w:szCs w:val="32"/>
          <w:highlight w:val="none"/>
        </w:rPr>
        <w:t>（类）行政事业单位医疗（款）事业单位医疗（项）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4.77</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决算数等于预算数的主要原因是收支持平。</w:t>
      </w:r>
    </w:p>
    <w:p>
      <w:pPr>
        <w:spacing w:line="600" w:lineRule="exact"/>
        <w:ind w:firstLine="643" w:firstLineChars="200"/>
        <w:rPr>
          <w:rFonts w:ascii="仿宋" w:hAnsi="仿宋" w:eastAsia="仿宋"/>
          <w:b/>
          <w:color w:val="auto"/>
          <w:sz w:val="32"/>
          <w:szCs w:val="32"/>
          <w:highlight w:val="none"/>
        </w:rPr>
      </w:pPr>
      <w:r>
        <w:rPr>
          <w:rStyle w:val="17"/>
          <w:rFonts w:hint="eastAsia" w:ascii="仿宋" w:hAnsi="仿宋" w:eastAsia="仿宋"/>
          <w:bCs/>
          <w:color w:val="auto"/>
          <w:sz w:val="32"/>
          <w:szCs w:val="32"/>
          <w:highlight w:val="none"/>
          <w:lang w:val="en-US" w:eastAsia="zh-CN"/>
        </w:rPr>
        <w:t>5</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住房保障（类）住房改革支出（款）住房公积金（项）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8.33</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决算数等于预算数的主要原因是收支持平。</w:t>
      </w:r>
    </w:p>
    <w:p>
      <w:pPr>
        <w:spacing w:line="600" w:lineRule="exact"/>
        <w:rPr>
          <w:rFonts w:ascii="仿宋" w:hAnsi="仿宋" w:eastAsia="仿宋"/>
          <w:b/>
          <w:color w:val="auto"/>
          <w:sz w:val="32"/>
          <w:szCs w:val="32"/>
          <w:highlight w:val="none"/>
        </w:rPr>
      </w:pPr>
    </w:p>
    <w:p>
      <w:pPr>
        <w:tabs>
          <w:tab w:val="right" w:pos="8306"/>
        </w:tabs>
        <w:spacing w:line="600" w:lineRule="exact"/>
        <w:ind w:firstLine="640"/>
        <w:outlineLvl w:val="1"/>
        <w:rPr>
          <w:rStyle w:val="28"/>
          <w:color w:val="auto"/>
          <w:highlight w:val="none"/>
        </w:rPr>
      </w:pPr>
      <w:bookmarkStart w:id="88" w:name="_Toc6248"/>
      <w:bookmarkStart w:id="89" w:name="_Toc15396608"/>
      <w:bookmarkStart w:id="90" w:name="_Toc7393"/>
      <w:bookmarkStart w:id="91" w:name="_Toc23543"/>
      <w:bookmarkStart w:id="92" w:name="_Toc15377214"/>
      <w:bookmarkStart w:id="93" w:name="_Toc247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般公共预算财政拨款基本支出决算情况说明</w:t>
      </w:r>
      <w:bookmarkEnd w:id="88"/>
      <w:bookmarkEnd w:id="89"/>
      <w:bookmarkEnd w:id="90"/>
      <w:bookmarkEnd w:id="91"/>
      <w:bookmarkEnd w:id="92"/>
      <w:bookmarkEnd w:id="93"/>
      <w:r>
        <w:rPr>
          <w:rStyle w:val="28"/>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106.99</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85.48</w:t>
      </w:r>
      <w:r>
        <w:rPr>
          <w:rFonts w:hint="eastAsia" w:ascii="仿宋" w:hAnsi="仿宋" w:eastAsia="仿宋"/>
          <w:color w:val="auto"/>
          <w:sz w:val="32"/>
          <w:szCs w:val="32"/>
          <w:highlight w:val="none"/>
        </w:rPr>
        <w:t>万元，主要包括：基本工资</w:t>
      </w:r>
      <w:r>
        <w:rPr>
          <w:rFonts w:hint="eastAsia" w:ascii="仿宋" w:hAnsi="仿宋" w:eastAsia="仿宋"/>
          <w:color w:val="auto"/>
          <w:sz w:val="32"/>
          <w:szCs w:val="32"/>
          <w:highlight w:val="none"/>
          <w:lang w:val="en-US" w:eastAsia="zh-CN"/>
        </w:rPr>
        <w:t>85.48万元</w:t>
      </w:r>
      <w:r>
        <w:rPr>
          <w:rFonts w:hint="eastAsia" w:ascii="仿宋" w:hAnsi="仿宋" w:eastAsia="仿宋"/>
          <w:color w:val="auto"/>
          <w:sz w:val="32"/>
          <w:szCs w:val="32"/>
          <w:highlight w:val="none"/>
        </w:rPr>
        <w:t>、津贴补贴</w:t>
      </w:r>
      <w:r>
        <w:rPr>
          <w:rFonts w:hint="eastAsia" w:ascii="仿宋" w:hAnsi="仿宋" w:eastAsia="仿宋"/>
          <w:color w:val="auto"/>
          <w:sz w:val="32"/>
          <w:szCs w:val="32"/>
          <w:highlight w:val="none"/>
          <w:lang w:val="en-US" w:eastAsia="zh-CN"/>
        </w:rPr>
        <w:t>2.45万元</w:t>
      </w:r>
      <w:r>
        <w:rPr>
          <w:rFonts w:hint="eastAsia" w:ascii="仿宋" w:hAnsi="仿宋" w:eastAsia="仿宋"/>
          <w:color w:val="auto"/>
          <w:sz w:val="32"/>
          <w:szCs w:val="32"/>
          <w:highlight w:val="none"/>
        </w:rPr>
        <w:t>、绩效工资</w:t>
      </w:r>
      <w:r>
        <w:rPr>
          <w:rFonts w:hint="eastAsia" w:ascii="仿宋" w:hAnsi="仿宋" w:eastAsia="仿宋"/>
          <w:color w:val="auto"/>
          <w:sz w:val="32"/>
          <w:szCs w:val="32"/>
          <w:highlight w:val="none"/>
          <w:lang w:val="en-US" w:eastAsia="zh-CN"/>
        </w:rPr>
        <w:t>30.03万元</w:t>
      </w:r>
      <w:r>
        <w:rPr>
          <w:rFonts w:hint="eastAsia" w:ascii="仿宋" w:hAnsi="仿宋" w:eastAsia="仿宋"/>
          <w:color w:val="auto"/>
          <w:sz w:val="32"/>
          <w:szCs w:val="32"/>
          <w:highlight w:val="none"/>
        </w:rPr>
        <w:t>、机关事业单位基本养老保险缴费</w:t>
      </w:r>
      <w:r>
        <w:rPr>
          <w:rFonts w:hint="eastAsia" w:ascii="仿宋" w:hAnsi="仿宋" w:eastAsia="仿宋"/>
          <w:color w:val="auto"/>
          <w:sz w:val="32"/>
          <w:szCs w:val="32"/>
          <w:highlight w:val="none"/>
          <w:lang w:val="en-US" w:eastAsia="zh-CN"/>
        </w:rPr>
        <w:t>7.62万元</w:t>
      </w:r>
      <w:r>
        <w:rPr>
          <w:rFonts w:hint="eastAsia" w:ascii="仿宋" w:hAnsi="仿宋" w:eastAsia="仿宋"/>
          <w:color w:val="auto"/>
          <w:sz w:val="32"/>
          <w:szCs w:val="32"/>
          <w:highlight w:val="none"/>
        </w:rPr>
        <w:t>、职工基本医疗保险缴费</w:t>
      </w:r>
      <w:r>
        <w:rPr>
          <w:rFonts w:hint="eastAsia" w:ascii="仿宋" w:hAnsi="仿宋" w:eastAsia="仿宋"/>
          <w:color w:val="auto"/>
          <w:sz w:val="32"/>
          <w:szCs w:val="32"/>
          <w:highlight w:val="none"/>
          <w:lang w:val="en-US" w:eastAsia="zh-CN"/>
        </w:rPr>
        <w:t>4.77万元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住房公积金</w:t>
      </w:r>
      <w:r>
        <w:rPr>
          <w:rFonts w:hint="eastAsia" w:ascii="仿宋" w:hAnsi="仿宋" w:eastAsia="仿宋"/>
          <w:color w:val="auto"/>
          <w:sz w:val="32"/>
          <w:szCs w:val="32"/>
          <w:highlight w:val="none"/>
          <w:lang w:val="en-US" w:eastAsia="zh-CN"/>
        </w:rPr>
        <w:t>8.33万元</w:t>
      </w:r>
      <w:r>
        <w:rPr>
          <w:rFonts w:hint="eastAsia" w:ascii="仿宋" w:hAnsi="仿宋" w:eastAsia="仿宋"/>
          <w:color w:val="auto"/>
          <w:sz w:val="32"/>
          <w:szCs w:val="32"/>
          <w:highlight w:val="none"/>
        </w:rPr>
        <w:t>。</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21.51</w:t>
      </w:r>
      <w:r>
        <w:rPr>
          <w:rFonts w:hint="eastAsia" w:ascii="仿宋" w:hAnsi="仿宋" w:eastAsia="仿宋"/>
          <w:color w:val="auto"/>
          <w:sz w:val="32"/>
          <w:szCs w:val="32"/>
          <w:highlight w:val="none"/>
        </w:rPr>
        <w:t>万元，主要包括：办公费</w:t>
      </w:r>
      <w:r>
        <w:rPr>
          <w:rFonts w:hint="eastAsia" w:ascii="仿宋" w:hAnsi="仿宋" w:eastAsia="仿宋"/>
          <w:color w:val="auto"/>
          <w:sz w:val="32"/>
          <w:szCs w:val="32"/>
          <w:highlight w:val="none"/>
          <w:lang w:val="en-US" w:eastAsia="zh-CN"/>
        </w:rPr>
        <w:t>1.11万元</w:t>
      </w:r>
      <w:r>
        <w:rPr>
          <w:rFonts w:hint="eastAsia" w:ascii="仿宋" w:hAnsi="仿宋" w:eastAsia="仿宋"/>
          <w:color w:val="auto"/>
          <w:sz w:val="32"/>
          <w:szCs w:val="32"/>
          <w:highlight w:val="none"/>
        </w:rPr>
        <w:t>、印刷费</w:t>
      </w:r>
      <w:r>
        <w:rPr>
          <w:rFonts w:hint="eastAsia" w:ascii="仿宋" w:hAnsi="仿宋" w:eastAsia="仿宋"/>
          <w:color w:val="auto"/>
          <w:sz w:val="32"/>
          <w:szCs w:val="32"/>
          <w:highlight w:val="none"/>
          <w:lang w:val="en-US" w:eastAsia="zh-CN"/>
        </w:rPr>
        <w:t>0.13万元</w:t>
      </w:r>
      <w:r>
        <w:rPr>
          <w:rFonts w:hint="eastAsia" w:ascii="仿宋" w:hAnsi="仿宋" w:eastAsia="仿宋"/>
          <w:color w:val="auto"/>
          <w:sz w:val="32"/>
          <w:szCs w:val="32"/>
          <w:highlight w:val="none"/>
        </w:rPr>
        <w:t>、水费</w:t>
      </w:r>
      <w:r>
        <w:rPr>
          <w:rFonts w:hint="eastAsia" w:ascii="仿宋" w:hAnsi="仿宋" w:eastAsia="仿宋"/>
          <w:color w:val="auto"/>
          <w:sz w:val="32"/>
          <w:szCs w:val="32"/>
          <w:highlight w:val="none"/>
          <w:lang w:val="en-US" w:eastAsia="zh-CN"/>
        </w:rPr>
        <w:t>0.05万元</w:t>
      </w:r>
      <w:r>
        <w:rPr>
          <w:rFonts w:hint="eastAsia" w:ascii="仿宋" w:hAnsi="仿宋" w:eastAsia="仿宋"/>
          <w:color w:val="auto"/>
          <w:sz w:val="32"/>
          <w:szCs w:val="32"/>
          <w:highlight w:val="none"/>
        </w:rPr>
        <w:t>、电费</w:t>
      </w:r>
      <w:r>
        <w:rPr>
          <w:rFonts w:hint="eastAsia" w:ascii="仿宋" w:hAnsi="仿宋" w:eastAsia="仿宋"/>
          <w:color w:val="auto"/>
          <w:sz w:val="32"/>
          <w:szCs w:val="32"/>
          <w:highlight w:val="none"/>
          <w:lang w:val="en-US" w:eastAsia="zh-CN"/>
        </w:rPr>
        <w:t>0.29万元</w:t>
      </w:r>
      <w:r>
        <w:rPr>
          <w:rFonts w:hint="eastAsia" w:ascii="仿宋" w:hAnsi="仿宋" w:eastAsia="仿宋"/>
          <w:color w:val="auto"/>
          <w:sz w:val="32"/>
          <w:szCs w:val="32"/>
          <w:highlight w:val="none"/>
        </w:rPr>
        <w:t>、邮电费</w:t>
      </w:r>
      <w:r>
        <w:rPr>
          <w:rFonts w:hint="eastAsia" w:ascii="仿宋" w:hAnsi="仿宋" w:eastAsia="仿宋"/>
          <w:color w:val="auto"/>
          <w:sz w:val="32"/>
          <w:szCs w:val="32"/>
          <w:highlight w:val="none"/>
          <w:lang w:val="en-US" w:eastAsia="zh-CN"/>
        </w:rPr>
        <w:t>1.80万元</w:t>
      </w:r>
      <w:r>
        <w:rPr>
          <w:rFonts w:hint="eastAsia" w:ascii="仿宋" w:hAnsi="仿宋" w:eastAsia="仿宋"/>
          <w:color w:val="auto"/>
          <w:sz w:val="32"/>
          <w:szCs w:val="32"/>
          <w:highlight w:val="none"/>
        </w:rPr>
        <w:t>、差旅费</w:t>
      </w:r>
      <w:r>
        <w:rPr>
          <w:rFonts w:hint="eastAsia" w:ascii="仿宋" w:hAnsi="仿宋" w:eastAsia="仿宋"/>
          <w:color w:val="auto"/>
          <w:sz w:val="32"/>
          <w:szCs w:val="32"/>
          <w:highlight w:val="none"/>
          <w:lang w:val="en-US" w:eastAsia="zh-CN"/>
        </w:rPr>
        <w:t>4.84万元</w:t>
      </w:r>
      <w:r>
        <w:rPr>
          <w:rFonts w:hint="eastAsia" w:ascii="仿宋" w:hAnsi="仿宋" w:eastAsia="仿宋"/>
          <w:color w:val="auto"/>
          <w:sz w:val="32"/>
          <w:szCs w:val="32"/>
          <w:highlight w:val="none"/>
        </w:rPr>
        <w:t>、劳务费</w:t>
      </w:r>
      <w:r>
        <w:rPr>
          <w:rFonts w:hint="eastAsia" w:ascii="仿宋" w:hAnsi="仿宋" w:eastAsia="仿宋"/>
          <w:color w:val="auto"/>
          <w:sz w:val="32"/>
          <w:szCs w:val="32"/>
          <w:highlight w:val="none"/>
          <w:lang w:val="en-US" w:eastAsia="zh-CN"/>
        </w:rPr>
        <w:t>4.55万元</w:t>
      </w:r>
      <w:r>
        <w:rPr>
          <w:rFonts w:hint="eastAsia" w:ascii="仿宋" w:hAnsi="仿宋" w:eastAsia="仿宋"/>
          <w:color w:val="auto"/>
          <w:sz w:val="32"/>
          <w:szCs w:val="32"/>
          <w:highlight w:val="none"/>
        </w:rPr>
        <w:t>、其他交通费</w:t>
      </w:r>
      <w:r>
        <w:rPr>
          <w:rFonts w:hint="eastAsia" w:ascii="仿宋" w:hAnsi="仿宋" w:eastAsia="仿宋"/>
          <w:color w:val="auto"/>
          <w:sz w:val="32"/>
          <w:szCs w:val="32"/>
          <w:highlight w:val="none"/>
          <w:lang w:val="en-US" w:eastAsia="zh-CN"/>
        </w:rPr>
        <w:t>6.99万元</w:t>
      </w:r>
      <w:r>
        <w:rPr>
          <w:rFonts w:hint="eastAsia" w:ascii="仿宋" w:hAnsi="仿宋" w:eastAsia="仿宋"/>
          <w:color w:val="auto"/>
          <w:sz w:val="32"/>
          <w:szCs w:val="32"/>
          <w:highlight w:val="none"/>
        </w:rPr>
        <w:t>、其他商品和服务支出</w:t>
      </w:r>
      <w:r>
        <w:rPr>
          <w:rFonts w:hint="eastAsia" w:ascii="仿宋" w:hAnsi="仿宋" w:eastAsia="仿宋"/>
          <w:color w:val="auto"/>
          <w:sz w:val="32"/>
          <w:szCs w:val="32"/>
          <w:highlight w:val="none"/>
          <w:lang w:val="en-US" w:eastAsia="zh-CN"/>
        </w:rPr>
        <w:t>1.76万元</w:t>
      </w:r>
      <w:r>
        <w:rPr>
          <w:rFonts w:hint="eastAsia" w:ascii="仿宋" w:hAnsi="仿宋" w:eastAsia="仿宋"/>
          <w:color w:val="auto"/>
          <w:sz w:val="32"/>
          <w:szCs w:val="32"/>
          <w:highlight w:val="none"/>
        </w:rPr>
        <w:t>。</w:t>
      </w:r>
    </w:p>
    <w:p>
      <w:pPr>
        <w:spacing w:line="600" w:lineRule="exact"/>
        <w:ind w:firstLine="640"/>
        <w:outlineLvl w:val="1"/>
        <w:rPr>
          <w:rStyle w:val="28"/>
          <w:rFonts w:ascii="黑体" w:hAnsi="黑体" w:eastAsia="黑体"/>
          <w:b w:val="0"/>
          <w:color w:val="auto"/>
          <w:highlight w:val="none"/>
        </w:rPr>
      </w:pPr>
      <w:bookmarkStart w:id="94" w:name="_Toc19105"/>
      <w:bookmarkStart w:id="95" w:name="_Toc15377215"/>
      <w:bookmarkStart w:id="96" w:name="_Toc11930"/>
      <w:bookmarkStart w:id="97" w:name="_Toc17631"/>
      <w:bookmarkStart w:id="98" w:name="_Toc15396609"/>
      <w:bookmarkStart w:id="99" w:name="_Toc12863"/>
      <w:r>
        <w:rPr>
          <w:rFonts w:hint="eastAsia" w:ascii="黑体" w:eastAsia="黑体"/>
          <w:color w:val="auto"/>
          <w:sz w:val="32"/>
          <w:szCs w:val="32"/>
          <w:highlight w:val="none"/>
        </w:rPr>
        <w:t>七、</w:t>
      </w:r>
      <w:r>
        <w:rPr>
          <w:rStyle w:val="28"/>
          <w:rFonts w:hint="eastAsia" w:ascii="黑体" w:hAnsi="黑体" w:eastAsia="黑体"/>
          <w:color w:val="auto"/>
          <w:highlight w:val="none"/>
        </w:rPr>
        <w:t>“</w:t>
      </w:r>
      <w:r>
        <w:rPr>
          <w:rStyle w:val="28"/>
          <w:rFonts w:hint="eastAsia" w:ascii="黑体" w:hAnsi="黑体" w:eastAsia="黑体"/>
          <w:b w:val="0"/>
          <w:color w:val="auto"/>
          <w:highlight w:val="none"/>
        </w:rPr>
        <w:t>三公”经费财政拨款支出决算情况说明</w:t>
      </w:r>
      <w:bookmarkEnd w:id="94"/>
      <w:bookmarkEnd w:id="95"/>
      <w:bookmarkEnd w:id="96"/>
      <w:bookmarkEnd w:id="97"/>
      <w:bookmarkEnd w:id="98"/>
      <w:bookmarkEnd w:id="99"/>
    </w:p>
    <w:p>
      <w:pPr>
        <w:spacing w:line="600" w:lineRule="exact"/>
        <w:ind w:firstLine="640"/>
        <w:outlineLvl w:val="2"/>
        <w:rPr>
          <w:rFonts w:ascii="仿宋" w:hAnsi="仿宋" w:eastAsia="仿宋"/>
          <w:b/>
          <w:color w:val="auto"/>
          <w:sz w:val="32"/>
          <w:szCs w:val="32"/>
          <w:highlight w:val="none"/>
        </w:rPr>
      </w:pPr>
      <w:bookmarkStart w:id="100" w:name="_Toc5477"/>
      <w:bookmarkStart w:id="101" w:name="_Toc15377216"/>
      <w:r>
        <w:rPr>
          <w:rFonts w:hint="eastAsia" w:ascii="仿宋" w:hAnsi="仿宋" w:eastAsia="仿宋"/>
          <w:b/>
          <w:color w:val="auto"/>
          <w:sz w:val="32"/>
          <w:szCs w:val="32"/>
          <w:highlight w:val="none"/>
        </w:rPr>
        <w:t>（一）“三公”经费财政拨款支出决算总体情况说明</w:t>
      </w:r>
      <w:bookmarkEnd w:id="100"/>
      <w:bookmarkEnd w:id="101"/>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102" w:name="_Toc15377217"/>
      <w:bookmarkStart w:id="103" w:name="_Toc20294"/>
      <w:r>
        <w:rPr>
          <w:rFonts w:hint="eastAsia" w:ascii="仿宋" w:hAnsi="仿宋" w:eastAsia="仿宋"/>
          <w:b/>
          <w:color w:val="auto"/>
          <w:sz w:val="32"/>
          <w:szCs w:val="32"/>
          <w:highlight w:val="none"/>
        </w:rPr>
        <w:t>（二）“三公”经费财政拨款支出决算具体情况说明</w:t>
      </w:r>
      <w:bookmarkEnd w:id="102"/>
      <w:bookmarkEnd w:id="103"/>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万元，年初未安排预算；公务用车购置及运行维护费支出决算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万元，年初未安排预算；公务接待费支出决算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万元，年初未安排预算。具体情况如下：</w:t>
      </w:r>
    </w:p>
    <w:p>
      <w:pPr>
        <w:spacing w:line="600" w:lineRule="exact"/>
        <w:ind w:firstLine="640"/>
        <w:rPr>
          <w:rFonts w:hint="eastAsia"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Style w:val="17"/>
          <w:rFonts w:hint="eastAsia" w:ascii="仿宋" w:hAnsi="仿宋" w:eastAsia="仿宋"/>
          <w:b w:val="0"/>
          <w:bCs/>
          <w:color w:val="auto"/>
          <w:sz w:val="32"/>
          <w:szCs w:val="32"/>
          <w:highlight w:val="none"/>
        </w:rPr>
        <w:t>。</w:t>
      </w:r>
    </w:p>
    <w:p>
      <w:pPr>
        <w:ind w:firstLine="643" w:firstLineChars="200"/>
        <w:rPr>
          <w:rStyle w:val="17"/>
          <w:rFonts w:hint="eastAsia" w:ascii="仿宋" w:hAnsi="仿宋" w:eastAsia="仿宋"/>
          <w:b w:val="0"/>
          <w:bCs/>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年初未安排预算</w:t>
      </w:r>
      <w:r>
        <w:rPr>
          <w:rStyle w:val="17"/>
          <w:rFonts w:hint="eastAsia" w:ascii="仿宋" w:hAnsi="仿宋" w:eastAsia="仿宋"/>
          <w:b w:val="0"/>
          <w:bCs/>
          <w:color w:val="auto"/>
          <w:sz w:val="32"/>
          <w:szCs w:val="32"/>
          <w:highlight w:val="none"/>
        </w:rPr>
        <w:t>。</w:t>
      </w:r>
    </w:p>
    <w:p>
      <w:pPr>
        <w:ind w:firstLine="640" w:firstLineChars="200"/>
        <w:rPr>
          <w:rFonts w:hint="eastAsia" w:eastAsia="仿宋_GB2312"/>
          <w:lang w:eastAsia="zh-CN"/>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p>
    <w:p>
      <w:pPr>
        <w:ind w:firstLine="643" w:firstLineChars="200"/>
        <w:rPr>
          <w:rFonts w:ascii="仿宋_GB2312" w:eastAsia="仿宋_GB2312"/>
          <w:b/>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Style w:val="17"/>
          <w:rFonts w:hint="eastAsia" w:ascii="仿宋" w:hAnsi="仿宋" w:eastAsia="仿宋"/>
          <w:b w:val="0"/>
          <w:bCs/>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Style w:val="17"/>
          <w:rFonts w:hint="eastAsia" w:ascii="仿宋" w:hAnsi="仿宋" w:eastAsia="仿宋"/>
          <w:b w:val="0"/>
          <w:bCs/>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Fonts w:hint="eastAsia" w:ascii="仿宋_GB2312" w:eastAsia="仿宋_GB2312"/>
          <w:color w:val="auto"/>
          <w:sz w:val="32"/>
          <w:szCs w:val="32"/>
          <w:highlight w:val="none"/>
        </w:rPr>
        <w:t>。</w:t>
      </w:r>
    </w:p>
    <w:p>
      <w:pPr>
        <w:spacing w:line="600" w:lineRule="exact"/>
        <w:ind w:firstLine="643" w:firstLineChars="200"/>
        <w:rPr>
          <w:rFonts w:hint="default" w:ascii="仿宋_GB2312" w:eastAsia="仿宋_GB2312"/>
          <w:color w:val="auto"/>
          <w:sz w:val="32"/>
          <w:szCs w:val="32"/>
          <w:highlight w:val="none"/>
          <w:lang w:val="en-US"/>
        </w:rPr>
      </w:pPr>
      <w:r>
        <w:rPr>
          <w:rFonts w:hint="eastAsia" w:ascii="仿宋" w:hAnsi="仿宋" w:eastAsia="仿宋"/>
          <w:b/>
          <w:color w:val="auto"/>
          <w:sz w:val="32"/>
          <w:szCs w:val="32"/>
          <w:highlight w:val="none"/>
        </w:rPr>
        <w:t>外事接待支出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p>
    <w:p>
      <w:pPr>
        <w:spacing w:line="600" w:lineRule="exact"/>
        <w:ind w:firstLine="640"/>
        <w:outlineLvl w:val="9"/>
        <w:rPr>
          <w:rFonts w:ascii="黑体" w:eastAsia="黑体"/>
          <w:color w:val="auto"/>
          <w:sz w:val="32"/>
          <w:szCs w:val="32"/>
          <w:highlight w:val="none"/>
        </w:rPr>
      </w:pPr>
      <w:bookmarkStart w:id="104" w:name="_Toc15396610"/>
      <w:bookmarkStart w:id="105" w:name="_Toc15377218"/>
    </w:p>
    <w:p>
      <w:pPr>
        <w:spacing w:line="600" w:lineRule="exact"/>
        <w:ind w:firstLine="640"/>
        <w:outlineLvl w:val="1"/>
        <w:rPr>
          <w:rStyle w:val="28"/>
          <w:rFonts w:ascii="黑体" w:hAnsi="黑体" w:eastAsia="黑体"/>
          <w:color w:val="auto"/>
          <w:highlight w:val="none"/>
        </w:rPr>
      </w:pPr>
      <w:bookmarkStart w:id="106" w:name="_Toc15117"/>
      <w:bookmarkStart w:id="107" w:name="_Toc16847"/>
      <w:bookmarkStart w:id="108" w:name="_Toc8084"/>
      <w:bookmarkStart w:id="109" w:name="_Toc22457"/>
      <w:r>
        <w:rPr>
          <w:rFonts w:hint="eastAsia" w:ascii="黑体" w:eastAsia="黑体"/>
          <w:color w:val="auto"/>
          <w:sz w:val="32"/>
          <w:szCs w:val="32"/>
          <w:highlight w:val="none"/>
        </w:rPr>
        <w:t>八、</w:t>
      </w:r>
      <w:r>
        <w:rPr>
          <w:rStyle w:val="28"/>
          <w:rFonts w:hint="eastAsia" w:ascii="黑体" w:hAnsi="黑体" w:eastAsia="黑体"/>
          <w:b w:val="0"/>
          <w:color w:val="auto"/>
          <w:highlight w:val="none"/>
        </w:rPr>
        <w:t>政府性基金预算支出决算情况说明</w:t>
      </w:r>
      <w:bookmarkEnd w:id="104"/>
      <w:bookmarkEnd w:id="105"/>
      <w:bookmarkEnd w:id="106"/>
      <w:bookmarkEnd w:id="107"/>
      <w:bookmarkEnd w:id="108"/>
      <w:bookmarkEnd w:id="109"/>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3"/>
        </w:numPr>
        <w:spacing w:line="600" w:lineRule="exact"/>
        <w:ind w:firstLine="640"/>
        <w:outlineLvl w:val="1"/>
        <w:rPr>
          <w:rStyle w:val="28"/>
          <w:rFonts w:ascii="黑体" w:hAnsi="黑体" w:eastAsia="黑体"/>
          <w:b w:val="0"/>
          <w:color w:val="auto"/>
          <w:highlight w:val="none"/>
        </w:rPr>
      </w:pPr>
      <w:bookmarkStart w:id="110" w:name="_Toc15396611"/>
      <w:bookmarkStart w:id="111" w:name="_Toc4895"/>
      <w:bookmarkStart w:id="112" w:name="_Toc13005"/>
      <w:bookmarkStart w:id="113" w:name="_Toc5158"/>
      <w:bookmarkStart w:id="114" w:name="_Toc15377219"/>
      <w:bookmarkStart w:id="115" w:name="_Toc18728"/>
      <w:r>
        <w:rPr>
          <w:rStyle w:val="28"/>
          <w:rFonts w:hint="eastAsia" w:ascii="黑体" w:hAnsi="黑体" w:eastAsia="黑体"/>
          <w:b w:val="0"/>
          <w:color w:val="auto"/>
          <w:highlight w:val="none"/>
        </w:rPr>
        <w:t>国有资本经营预算支出决算情况说明</w:t>
      </w:r>
      <w:bookmarkEnd w:id="110"/>
      <w:bookmarkEnd w:id="111"/>
      <w:bookmarkEnd w:id="112"/>
      <w:bookmarkEnd w:id="113"/>
      <w:bookmarkEnd w:id="114"/>
      <w:bookmarkEnd w:id="115"/>
    </w:p>
    <w:p>
      <w:pPr>
        <w:spacing w:line="600" w:lineRule="exact"/>
        <w:ind w:firstLine="640"/>
        <w:rPr>
          <w:rFonts w:hint="eastAsia"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Style w:val="7"/>
      </w:pPr>
    </w:p>
    <w:p>
      <w:pPr>
        <w:numPr>
          <w:ilvl w:val="0"/>
          <w:numId w:val="3"/>
        </w:numPr>
        <w:spacing w:line="600" w:lineRule="exact"/>
        <w:ind w:firstLine="640"/>
        <w:outlineLvl w:val="1"/>
        <w:rPr>
          <w:rStyle w:val="28"/>
          <w:rFonts w:hint="eastAsia" w:ascii="黑体" w:hAnsi="黑体" w:eastAsia="黑体"/>
          <w:b w:val="0"/>
          <w:color w:val="auto"/>
          <w:highlight w:val="none"/>
        </w:rPr>
      </w:pPr>
      <w:bookmarkStart w:id="116" w:name="_Toc13094"/>
      <w:bookmarkStart w:id="117" w:name="_Toc15377221"/>
      <w:bookmarkStart w:id="118" w:name="_Toc15396612"/>
      <w:r>
        <w:rPr>
          <w:rStyle w:val="28"/>
          <w:rFonts w:hint="eastAsia" w:ascii="黑体" w:hAnsi="黑体" w:eastAsia="黑体"/>
          <w:b w:val="0"/>
          <w:color w:val="auto"/>
          <w:highlight w:val="none"/>
          <w:lang w:val="en-US" w:eastAsia="zh-CN"/>
        </w:rPr>
        <w:t>预算绩效管理情况</w:t>
      </w:r>
      <w:bookmarkEnd w:id="116"/>
    </w:p>
    <w:p>
      <w:pPr>
        <w:pStyle w:val="7"/>
        <w:rPr>
          <w:rFonts w:hint="default" w:ascii="仿宋_GB2312" w:hAnsi="仿宋_GB2312" w:eastAsia="仿宋_GB2312" w:cs="仿宋_GB2312"/>
          <w:sz w:val="32"/>
          <w:szCs w:val="32"/>
          <w:lang w:val="en-US"/>
        </w:rPr>
      </w:pPr>
      <w:r>
        <w:rPr>
          <w:rFonts w:hint="eastAsia" w:ascii="仿宋_GB2312" w:hAnsi="仿宋_GB2312" w:eastAsia="仿宋_GB2312" w:cs="仿宋_GB2312"/>
          <w:b w:val="0"/>
          <w:bCs/>
          <w:color w:val="auto"/>
          <w:kern w:val="2"/>
          <w:sz w:val="32"/>
          <w:szCs w:val="32"/>
          <w:highlight w:val="none"/>
          <w:lang w:val="en-US" w:eastAsia="zh-CN" w:bidi="ar-SA"/>
        </w:rPr>
        <w:t>本</w:t>
      </w:r>
      <w:r>
        <w:rPr>
          <w:rFonts w:hint="eastAsia" w:ascii="仿宋_GB2312" w:hAnsi="仿宋_GB2312" w:cs="仿宋_GB2312"/>
          <w:b w:val="0"/>
          <w:bCs/>
          <w:color w:val="auto"/>
          <w:kern w:val="2"/>
          <w:sz w:val="32"/>
          <w:szCs w:val="32"/>
          <w:highlight w:val="none"/>
          <w:lang w:val="en-US" w:eastAsia="zh-CN" w:bidi="ar-SA"/>
        </w:rPr>
        <w:t>单位</w:t>
      </w:r>
      <w:r>
        <w:rPr>
          <w:rFonts w:hint="eastAsia" w:ascii="仿宋_GB2312" w:hAnsi="仿宋_GB2312" w:eastAsia="仿宋_GB2312" w:cs="仿宋_GB2312"/>
          <w:b w:val="0"/>
          <w:bCs/>
          <w:color w:val="auto"/>
          <w:kern w:val="2"/>
          <w:sz w:val="32"/>
          <w:szCs w:val="32"/>
          <w:highlight w:val="none"/>
          <w:lang w:val="en-US" w:eastAsia="zh-CN" w:bidi="ar-SA"/>
        </w:rPr>
        <w:t>按要求对202</w:t>
      </w:r>
      <w:r>
        <w:rPr>
          <w:rFonts w:hint="eastAsia" w:ascii="仿宋_GB2312" w:hAnsi="仿宋_GB2312" w:cs="仿宋_GB2312"/>
          <w:b w:val="0"/>
          <w:bCs/>
          <w:color w:val="auto"/>
          <w:kern w:val="2"/>
          <w:sz w:val="32"/>
          <w:szCs w:val="32"/>
          <w:highlight w:val="none"/>
          <w:lang w:val="en-US" w:eastAsia="zh-CN" w:bidi="ar-SA"/>
        </w:rPr>
        <w:t>1</w:t>
      </w:r>
      <w:r>
        <w:rPr>
          <w:rFonts w:hint="eastAsia" w:ascii="仿宋_GB2312" w:hAnsi="仿宋_GB2312" w:eastAsia="仿宋_GB2312" w:cs="仿宋_GB2312"/>
          <w:b w:val="0"/>
          <w:bCs/>
          <w:color w:val="auto"/>
          <w:kern w:val="2"/>
          <w:sz w:val="32"/>
          <w:szCs w:val="32"/>
          <w:highlight w:val="none"/>
          <w:lang w:val="en-US" w:eastAsia="zh-CN" w:bidi="ar-SA"/>
        </w:rPr>
        <w:t>年</w:t>
      </w:r>
      <w:r>
        <w:rPr>
          <w:rFonts w:hint="eastAsia" w:ascii="仿宋_GB2312" w:hAnsi="仿宋_GB2312" w:cs="仿宋_GB2312"/>
          <w:b w:val="0"/>
          <w:bCs/>
          <w:color w:val="auto"/>
          <w:kern w:val="2"/>
          <w:sz w:val="32"/>
          <w:szCs w:val="32"/>
          <w:highlight w:val="none"/>
          <w:lang w:val="en-US" w:eastAsia="zh-CN" w:bidi="ar-SA"/>
        </w:rPr>
        <w:t>单位</w:t>
      </w:r>
      <w:r>
        <w:rPr>
          <w:rFonts w:hint="eastAsia" w:ascii="仿宋_GB2312" w:hAnsi="仿宋_GB2312" w:eastAsia="仿宋_GB2312" w:cs="仿宋_GB2312"/>
          <w:b w:val="0"/>
          <w:bCs/>
          <w:color w:val="auto"/>
          <w:kern w:val="2"/>
          <w:sz w:val="32"/>
          <w:szCs w:val="32"/>
          <w:highlight w:val="none"/>
          <w:lang w:val="en-US" w:eastAsia="zh-CN" w:bidi="ar-SA"/>
        </w:rPr>
        <w:t>整体支出开展绩效自评，从评价情况来看预算支出未发现无预算、超预算支出，未发现虚列支出和预算科目间相互挤占问题，所有财政资金支出均履行了严格审批手续，未发现挤占、挪用、转移财政资金行为。基本支出严格执行国家有关政策及规定，无擅自扩大开支范围和提高开支标准，单位津补贴、奖金和福利均按照国家或地方的规定发放，项目支出均按照批准的项目和用途以及项目实施方案执行，无自行改变项目内容，扩大支出范围现象。无自行调整项目支出预算问题，所有项目支出均合理合规。未发现利用财政或自有资金对外借、贷款问题。本</w:t>
      </w:r>
      <w:r>
        <w:rPr>
          <w:rFonts w:hint="eastAsia" w:ascii="仿宋_GB2312" w:hAnsi="仿宋_GB2312" w:cs="仿宋_GB2312"/>
          <w:b w:val="0"/>
          <w:bCs/>
          <w:color w:val="auto"/>
          <w:kern w:val="2"/>
          <w:sz w:val="32"/>
          <w:szCs w:val="32"/>
          <w:highlight w:val="none"/>
          <w:lang w:val="en-US" w:eastAsia="zh-CN" w:bidi="ar-SA"/>
        </w:rPr>
        <w:t>单位</w:t>
      </w:r>
      <w:r>
        <w:rPr>
          <w:rFonts w:hint="eastAsia" w:ascii="仿宋_GB2312" w:hAnsi="仿宋_GB2312" w:eastAsia="仿宋_GB2312" w:cs="仿宋_GB2312"/>
          <w:b w:val="0"/>
          <w:bCs/>
          <w:color w:val="auto"/>
          <w:kern w:val="2"/>
          <w:sz w:val="32"/>
          <w:szCs w:val="32"/>
          <w:highlight w:val="none"/>
          <w:lang w:val="en-US" w:eastAsia="zh-CN" w:bidi="ar-SA"/>
        </w:rPr>
        <w:t>还自行组织了项目绩效评价，从评价情况来看我</w:t>
      </w:r>
      <w:r>
        <w:rPr>
          <w:rFonts w:hint="eastAsia" w:ascii="仿宋_GB2312" w:hAnsi="仿宋_GB2312" w:cs="仿宋_GB2312"/>
          <w:b w:val="0"/>
          <w:bCs/>
          <w:color w:val="auto"/>
          <w:kern w:val="2"/>
          <w:sz w:val="32"/>
          <w:szCs w:val="32"/>
          <w:highlight w:val="none"/>
          <w:lang w:val="en-US" w:eastAsia="zh-CN" w:bidi="ar-SA"/>
        </w:rPr>
        <w:t>单位</w:t>
      </w:r>
      <w:r>
        <w:rPr>
          <w:rFonts w:hint="eastAsia" w:ascii="仿宋_GB2312" w:hAnsi="仿宋_GB2312" w:eastAsia="仿宋_GB2312" w:cs="仿宋_GB2312"/>
          <w:b w:val="0"/>
          <w:bCs/>
          <w:color w:val="auto"/>
          <w:kern w:val="2"/>
          <w:sz w:val="32"/>
          <w:szCs w:val="32"/>
          <w:highlight w:val="none"/>
          <w:lang w:val="en-US" w:eastAsia="zh-CN" w:bidi="ar-SA"/>
        </w:rPr>
        <w:t>对项目资金加强使用管理，明确了项目内容、目标任务及工作措施。在实施过程中，经常召开专项会议，及时调度项目进度，研究解决项目工作中的具体问题，并根据专项资金文件规定的申报、审核、支付、管理流程，基本按照相关文件的规定审核支付资金，资金的支付范围、支付标准基本合规合法，支付依据充分，做到了专款专用。</w:t>
      </w:r>
    </w:p>
    <w:p>
      <w:pPr>
        <w:pStyle w:val="2"/>
        <w:rPr>
          <w:rFonts w:hint="eastAsia"/>
        </w:rPr>
      </w:pPr>
    </w:p>
    <w:p>
      <w:pPr>
        <w:numPr>
          <w:ilvl w:val="0"/>
          <w:numId w:val="3"/>
        </w:numPr>
        <w:spacing w:line="600" w:lineRule="exact"/>
        <w:ind w:firstLine="640"/>
        <w:outlineLvl w:val="1"/>
        <w:rPr>
          <w:rStyle w:val="28"/>
          <w:rFonts w:hint="eastAsia" w:ascii="黑体" w:hAnsi="黑体" w:eastAsia="黑体"/>
          <w:b w:val="0"/>
          <w:color w:val="auto"/>
          <w:highlight w:val="none"/>
        </w:rPr>
      </w:pPr>
      <w:bookmarkStart w:id="119" w:name="_Toc22785"/>
      <w:bookmarkStart w:id="120" w:name="_Toc6990"/>
      <w:bookmarkStart w:id="121" w:name="_Toc2106"/>
      <w:bookmarkStart w:id="122" w:name="_Toc11909"/>
      <w:r>
        <w:rPr>
          <w:rStyle w:val="28"/>
          <w:rFonts w:hint="eastAsia" w:ascii="黑体" w:hAnsi="黑体" w:eastAsia="黑体"/>
          <w:b w:val="0"/>
          <w:color w:val="auto"/>
          <w:highlight w:val="none"/>
        </w:rPr>
        <w:t>其他重要事项的情况说明</w:t>
      </w:r>
      <w:bookmarkEnd w:id="117"/>
      <w:bookmarkEnd w:id="118"/>
      <w:bookmarkEnd w:id="119"/>
      <w:bookmarkEnd w:id="120"/>
      <w:bookmarkEnd w:id="121"/>
      <w:bookmarkEnd w:id="122"/>
    </w:p>
    <w:p>
      <w:pPr>
        <w:spacing w:line="600" w:lineRule="exact"/>
        <w:ind w:firstLine="643" w:firstLineChars="200"/>
        <w:outlineLvl w:val="2"/>
        <w:rPr>
          <w:rFonts w:ascii="仿宋" w:hAnsi="仿宋" w:eastAsia="仿宋"/>
          <w:color w:val="auto"/>
          <w:sz w:val="32"/>
          <w:szCs w:val="32"/>
          <w:highlight w:val="none"/>
        </w:rPr>
      </w:pPr>
      <w:bookmarkStart w:id="123" w:name="_Toc15377222"/>
      <w:bookmarkStart w:id="124" w:name="_Toc15071"/>
      <w:r>
        <w:rPr>
          <w:rFonts w:hint="eastAsia" w:ascii="仿宋" w:hAnsi="仿宋" w:eastAsia="仿宋"/>
          <w:b/>
          <w:color w:val="auto"/>
          <w:sz w:val="32"/>
          <w:szCs w:val="32"/>
          <w:highlight w:val="none"/>
        </w:rPr>
        <w:t>（一）机关运行经费支出情况</w:t>
      </w:r>
      <w:bookmarkEnd w:id="123"/>
      <w:bookmarkEnd w:id="124"/>
    </w:p>
    <w:p>
      <w:pPr>
        <w:spacing w:line="600" w:lineRule="exact"/>
        <w:ind w:firstLine="640" w:firstLineChars="200"/>
        <w:rPr>
          <w:rFonts w:hint="eastAsia" w:ascii="仿宋_GB2312" w:eastAsia="仿宋_GB2312"/>
          <w:color w:val="auto"/>
          <w:sz w:val="32"/>
          <w:szCs w:val="32"/>
          <w:highlight w:val="none"/>
          <w:lang w:eastAsia="zh-CN"/>
        </w:rPr>
      </w:pPr>
      <w:bookmarkStart w:id="125" w:name="_Toc12434"/>
      <w:bookmarkStart w:id="126" w:name="_Toc15377223"/>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年，四川省广元市昭化区</w:t>
      </w:r>
      <w:r>
        <w:rPr>
          <w:rFonts w:hint="eastAsia" w:ascii="仿宋_GB2312" w:eastAsia="仿宋_GB2312"/>
          <w:color w:val="auto"/>
          <w:sz w:val="32"/>
          <w:szCs w:val="32"/>
          <w:highlight w:val="none"/>
          <w:lang w:eastAsia="zh-CN"/>
        </w:rPr>
        <w:t>卫生执法监督大队</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21.51</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1.25</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5.49</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办公费及差旅费相比去年减少。</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（二）政府采购支出情况</w:t>
      </w:r>
      <w:bookmarkEnd w:id="125"/>
      <w:bookmarkEnd w:id="126"/>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年，四川省广元市昭化区</w:t>
      </w:r>
      <w:r>
        <w:rPr>
          <w:rFonts w:hint="eastAsia" w:ascii="仿宋_GB2312" w:eastAsia="仿宋_GB2312"/>
          <w:color w:val="auto"/>
          <w:sz w:val="32"/>
          <w:szCs w:val="32"/>
          <w:highlight w:val="none"/>
          <w:lang w:eastAsia="zh-CN"/>
        </w:rPr>
        <w:t>卫生执法监督大队</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127" w:name="_Toc15377224"/>
      <w:bookmarkStart w:id="128" w:name="_Toc23942"/>
      <w:r>
        <w:rPr>
          <w:rFonts w:hint="eastAsia" w:ascii="仿宋" w:hAnsi="仿宋" w:eastAsia="仿宋"/>
          <w:b/>
          <w:color w:val="auto"/>
          <w:sz w:val="32"/>
          <w:szCs w:val="32"/>
          <w:highlight w:val="none"/>
        </w:rPr>
        <w:t>（三）国有资产占有使用情况</w:t>
      </w:r>
      <w:bookmarkEnd w:id="127"/>
      <w:bookmarkEnd w:id="12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日，四川省广元市昭化区</w:t>
      </w:r>
      <w:r>
        <w:rPr>
          <w:rFonts w:hint="eastAsia" w:ascii="仿宋_GB2312" w:eastAsia="仿宋_GB2312"/>
          <w:color w:val="auto"/>
          <w:sz w:val="32"/>
          <w:szCs w:val="32"/>
          <w:highlight w:val="none"/>
          <w:lang w:eastAsia="zh-CN"/>
        </w:rPr>
        <w:t>卫生执法监督大队</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rPr>
          <w:rFonts w:ascii="仿宋" w:hAnsi="仿宋" w:eastAsia="仿宋"/>
          <w:b/>
          <w:color w:val="auto"/>
          <w:sz w:val="32"/>
          <w:szCs w:val="32"/>
          <w:highlight w:val="none"/>
        </w:rPr>
      </w:pPr>
    </w:p>
    <w:p>
      <w:pPr>
        <w:pStyle w:val="2"/>
        <w:rPr>
          <w:rFonts w:ascii="仿宋" w:hAnsi="仿宋" w:eastAsia="仿宋"/>
          <w:b/>
          <w:color w:val="auto"/>
          <w:sz w:val="32"/>
          <w:szCs w:val="32"/>
          <w:highlight w:val="none"/>
        </w:rPr>
      </w:pPr>
    </w:p>
    <w:p>
      <w:pPr>
        <w:pStyle w:val="2"/>
        <w:rPr>
          <w:rFonts w:ascii="仿宋" w:hAnsi="仿宋" w:eastAsia="仿宋"/>
          <w:b/>
          <w:color w:val="auto"/>
          <w:sz w:val="32"/>
          <w:szCs w:val="32"/>
          <w:highlight w:val="none"/>
        </w:rPr>
      </w:pPr>
    </w:p>
    <w:p>
      <w:pPr>
        <w:pStyle w:val="2"/>
        <w:rPr>
          <w:rFonts w:ascii="仿宋" w:hAnsi="仿宋" w:eastAsia="仿宋"/>
          <w:b/>
          <w:color w:val="auto"/>
          <w:sz w:val="32"/>
          <w:szCs w:val="32"/>
          <w:highlight w:val="none"/>
        </w:rPr>
      </w:pPr>
    </w:p>
    <w:p>
      <w:pPr>
        <w:pStyle w:val="2"/>
        <w:rPr>
          <w:rFonts w:ascii="仿宋" w:hAnsi="仿宋" w:eastAsia="仿宋"/>
          <w:b/>
          <w:color w:val="auto"/>
          <w:sz w:val="32"/>
          <w:szCs w:val="32"/>
          <w:highlight w:val="none"/>
        </w:rPr>
      </w:pPr>
    </w:p>
    <w:p>
      <w:pPr>
        <w:pStyle w:val="2"/>
        <w:rPr>
          <w:rFonts w:ascii="仿宋" w:hAnsi="仿宋" w:eastAsia="仿宋"/>
          <w:b/>
          <w:color w:val="auto"/>
          <w:sz w:val="32"/>
          <w:szCs w:val="32"/>
          <w:highlight w:val="none"/>
        </w:rPr>
      </w:pPr>
    </w:p>
    <w:p>
      <w:pPr>
        <w:pStyle w:val="2"/>
        <w:rPr>
          <w:rFonts w:ascii="仿宋" w:hAnsi="仿宋" w:eastAsia="仿宋"/>
          <w:b/>
          <w:color w:val="auto"/>
          <w:sz w:val="32"/>
          <w:szCs w:val="32"/>
          <w:highlight w:val="none"/>
        </w:rPr>
      </w:pPr>
    </w:p>
    <w:p>
      <w:pPr>
        <w:pStyle w:val="7"/>
        <w:ind w:left="0" w:leftChars="0" w:firstLine="0" w:firstLineChars="0"/>
      </w:pPr>
    </w:p>
    <w:p>
      <w:pPr>
        <w:numPr>
          <w:ilvl w:val="0"/>
          <w:numId w:val="4"/>
        </w:numPr>
        <w:spacing w:line="600" w:lineRule="exact"/>
        <w:ind w:firstLine="660" w:firstLineChars="150"/>
        <w:jc w:val="center"/>
        <w:outlineLvl w:val="0"/>
        <w:rPr>
          <w:rStyle w:val="27"/>
          <w:rFonts w:ascii="黑体" w:hAnsi="黑体" w:eastAsia="黑体"/>
          <w:b w:val="0"/>
          <w:color w:val="auto"/>
          <w:highlight w:val="none"/>
        </w:rPr>
      </w:pPr>
      <w:bookmarkStart w:id="129" w:name="_Toc15377225"/>
      <w:bookmarkStart w:id="130" w:name="_Toc15396613"/>
      <w:bookmarkStart w:id="131" w:name="_Toc18356"/>
      <w:bookmarkStart w:id="132" w:name="_Toc6668"/>
      <w:bookmarkStart w:id="133" w:name="_Toc1868"/>
      <w:bookmarkStart w:id="134" w:name="_Toc7716"/>
      <w:r>
        <w:rPr>
          <w:rFonts w:hint="eastAsia" w:ascii="黑体" w:hAnsi="黑体" w:eastAsia="黑体"/>
          <w:color w:val="auto"/>
          <w:sz w:val="44"/>
          <w:szCs w:val="44"/>
          <w:highlight w:val="none"/>
        </w:rPr>
        <w:t>名</w:t>
      </w:r>
      <w:r>
        <w:rPr>
          <w:rStyle w:val="27"/>
          <w:rFonts w:hint="eastAsia" w:ascii="黑体" w:hAnsi="黑体" w:eastAsia="黑体"/>
          <w:b w:val="0"/>
          <w:color w:val="auto"/>
          <w:highlight w:val="none"/>
        </w:rPr>
        <w:t>词解释</w:t>
      </w:r>
      <w:bookmarkEnd w:id="129"/>
      <w:bookmarkEnd w:id="130"/>
      <w:bookmarkEnd w:id="131"/>
      <w:bookmarkEnd w:id="132"/>
      <w:bookmarkEnd w:id="133"/>
      <w:bookmarkEnd w:id="134"/>
    </w:p>
    <w:p>
      <w:pPr>
        <w:spacing w:line="600" w:lineRule="exact"/>
        <w:jc w:val="left"/>
        <w:rPr>
          <w:rFonts w:ascii="宋体"/>
          <w:b/>
          <w:color w:val="auto"/>
          <w:sz w:val="44"/>
          <w:szCs w:val="44"/>
          <w:highlight w:val="none"/>
        </w:rPr>
      </w:pPr>
    </w:p>
    <w:p>
      <w:pPr>
        <w:pStyle w:val="25"/>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其他收入：指单位取得的除上述收入以外的各项收入。主要是</w:t>
      </w:r>
      <w:r>
        <w:rPr>
          <w:rFonts w:hint="eastAsia" w:ascii="仿宋_GB2312" w:eastAsia="仿宋_GB2312"/>
          <w:color w:val="auto"/>
          <w:sz w:val="32"/>
          <w:szCs w:val="32"/>
          <w:highlight w:val="none"/>
          <w:lang w:eastAsia="zh-CN"/>
        </w:rPr>
        <w:t>利息收入</w:t>
      </w:r>
      <w:r>
        <w:rPr>
          <w:rFonts w:hint="eastAsia" w:ascii="仿宋_GB2312" w:eastAsia="仿宋_GB2312"/>
          <w:color w:val="auto"/>
          <w:sz w:val="32"/>
          <w:szCs w:val="32"/>
          <w:highlight w:val="none"/>
        </w:rPr>
        <w:t>等。</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、年末结转和结余：指单位按有关规定结转到下年或以后年度继续使用的资金。</w:t>
      </w:r>
    </w:p>
    <w:p>
      <w:pPr>
        <w:numPr>
          <w:ilvl w:val="0"/>
          <w:numId w:val="0"/>
        </w:numPr>
        <w:spacing w:line="600" w:lineRule="exact"/>
        <w:ind w:firstLine="640" w:firstLineChars="200"/>
        <w:rPr>
          <w:rFonts w:hint="eastAsia" w:eastAsia="仿宋_GB2312"/>
          <w:lang w:val="en-US" w:eastAsia="zh-CN"/>
        </w:rPr>
      </w:pPr>
      <w:r>
        <w:rPr>
          <w:rFonts w:hint="eastAsia" w:ascii="仿宋_GB2312" w:eastAsia="仿宋_GB2312"/>
          <w:b w:val="0"/>
          <w:bCs w:val="0"/>
          <w:color w:val="000000"/>
          <w:sz w:val="32"/>
          <w:szCs w:val="32"/>
          <w:lang w:val="en-US" w:eastAsia="zh-CN"/>
        </w:rPr>
        <w:t>7</w:t>
      </w:r>
      <w:r>
        <w:rPr>
          <w:rFonts w:hint="eastAsia" w:ascii="仿宋_GB2312" w:eastAsia="仿宋_GB2312"/>
          <w:b w:val="0"/>
          <w:bCs w:val="0"/>
          <w:color w:val="000000"/>
          <w:sz w:val="32"/>
          <w:szCs w:val="32"/>
        </w:rPr>
        <w:t>.卫生健康（类）公共卫生（款）卫生监督机构（项）:反映</w:t>
      </w:r>
      <w:r>
        <w:rPr>
          <w:rFonts w:hint="eastAsia" w:ascii="仿宋" w:hAnsi="仿宋" w:eastAsia="仿宋"/>
          <w:b w:val="0"/>
          <w:bCs w:val="0"/>
          <w:color w:val="000000"/>
          <w:sz w:val="32"/>
          <w:szCs w:val="32"/>
        </w:rPr>
        <w:t>卫生健康</w:t>
      </w:r>
      <w:r>
        <w:rPr>
          <w:rFonts w:hint="eastAsia" w:ascii="仿宋_GB2312" w:eastAsia="仿宋_GB2312"/>
          <w:b w:val="0"/>
          <w:bCs w:val="0"/>
          <w:color w:val="000000"/>
          <w:sz w:val="32"/>
          <w:szCs w:val="32"/>
        </w:rPr>
        <w:t>部门所属卫生监督机构的支出</w:t>
      </w:r>
      <w:r>
        <w:rPr>
          <w:rFonts w:hint="eastAsia" w:ascii="仿宋_GB2312" w:eastAsia="仿宋_GB2312"/>
          <w:b w:val="0"/>
          <w:bCs w:val="0"/>
          <w:color w:val="000000"/>
          <w:sz w:val="32"/>
          <w:szCs w:val="32"/>
          <w:lang w:eastAsia="zh-CN"/>
        </w:rPr>
        <w:t>。</w:t>
      </w:r>
    </w:p>
    <w:p>
      <w:pPr>
        <w:ind w:firstLine="640" w:firstLineChars="200"/>
        <w:rPr>
          <w:rFonts w:hint="eastAsia" w:ascii="仿宋_GB2312" w:eastAsia="仿宋_GB2312"/>
          <w:b w:val="0"/>
          <w:bCs w:val="0"/>
          <w:color w:val="000000"/>
          <w:sz w:val="32"/>
          <w:szCs w:val="32"/>
          <w:lang w:eastAsia="zh-CN"/>
        </w:rPr>
      </w:pPr>
      <w:r>
        <w:rPr>
          <w:rFonts w:hint="eastAsia" w:ascii="仿宋_GB2312" w:eastAsia="仿宋_GB2312"/>
          <w:b w:val="0"/>
          <w:bCs w:val="0"/>
          <w:color w:val="000000"/>
          <w:sz w:val="32"/>
          <w:szCs w:val="32"/>
          <w:lang w:val="en-US" w:eastAsia="zh-CN"/>
        </w:rPr>
        <w:t>8.</w:t>
      </w:r>
      <w:r>
        <w:rPr>
          <w:rStyle w:val="17"/>
          <w:rFonts w:hint="eastAsia" w:ascii="仿宋_GB2312" w:eastAsia="仿宋_GB2312"/>
          <w:b w:val="0"/>
          <w:bCs w:val="0"/>
          <w:color w:val="000000"/>
          <w:sz w:val="32"/>
          <w:szCs w:val="32"/>
          <w:highlight w:val="none"/>
          <w:lang w:eastAsia="zh-CN"/>
        </w:rPr>
        <w:t>卫生健康支出（类）</w:t>
      </w:r>
      <w:r>
        <w:rPr>
          <w:rStyle w:val="17"/>
          <w:rFonts w:hint="eastAsia" w:ascii="仿宋_GB2312" w:eastAsia="仿宋_GB2312"/>
          <w:b w:val="0"/>
          <w:bCs w:val="0"/>
          <w:color w:val="000000"/>
          <w:sz w:val="32"/>
          <w:szCs w:val="32"/>
          <w:highlight w:val="none"/>
        </w:rPr>
        <w:t>公共卫生</w:t>
      </w:r>
      <w:r>
        <w:rPr>
          <w:rStyle w:val="17"/>
          <w:rFonts w:hint="eastAsia" w:ascii="仿宋_GB2312" w:eastAsia="仿宋_GB2312"/>
          <w:b w:val="0"/>
          <w:bCs w:val="0"/>
          <w:color w:val="000000"/>
          <w:sz w:val="32"/>
          <w:szCs w:val="32"/>
          <w:highlight w:val="none"/>
          <w:lang w:eastAsia="zh-CN"/>
        </w:rPr>
        <w:t>（款）</w:t>
      </w:r>
      <w:r>
        <w:rPr>
          <w:rStyle w:val="17"/>
          <w:rFonts w:hint="eastAsia" w:ascii="仿宋_GB2312" w:eastAsia="仿宋_GB2312"/>
          <w:b w:val="0"/>
          <w:bCs w:val="0"/>
          <w:color w:val="000000"/>
          <w:sz w:val="32"/>
          <w:szCs w:val="32"/>
          <w:highlight w:val="none"/>
        </w:rPr>
        <w:t>基本公共卫生服务（</w:t>
      </w:r>
      <w:r>
        <w:rPr>
          <w:rStyle w:val="17"/>
          <w:rFonts w:hint="eastAsia" w:ascii="仿宋_GB2312" w:eastAsia="仿宋_GB2312"/>
          <w:b w:val="0"/>
          <w:bCs w:val="0"/>
          <w:color w:val="000000"/>
          <w:sz w:val="32"/>
          <w:szCs w:val="32"/>
          <w:highlight w:val="none"/>
          <w:lang w:eastAsia="zh-CN"/>
        </w:rPr>
        <w:t>项</w:t>
      </w:r>
      <w:r>
        <w:rPr>
          <w:rStyle w:val="17"/>
          <w:rFonts w:hint="eastAsia" w:ascii="仿宋_GB2312" w:eastAsia="仿宋_GB2312"/>
          <w:b w:val="0"/>
          <w:bCs w:val="0"/>
          <w:color w:val="000000"/>
          <w:sz w:val="32"/>
          <w:szCs w:val="32"/>
          <w:highlight w:val="none"/>
        </w:rPr>
        <w:t>）</w:t>
      </w:r>
      <w:r>
        <w:rPr>
          <w:rFonts w:hint="eastAsia" w:ascii="仿宋_GB2312" w:eastAsia="仿宋_GB2312"/>
          <w:b w:val="0"/>
          <w:bCs w:val="0"/>
          <w:color w:val="000000"/>
          <w:sz w:val="32"/>
          <w:szCs w:val="32"/>
        </w:rPr>
        <w:t>：反映</w:t>
      </w:r>
      <w:r>
        <w:rPr>
          <w:rFonts w:hint="eastAsia" w:ascii="仿宋_GB2312" w:eastAsia="仿宋_GB2312"/>
          <w:b w:val="0"/>
          <w:bCs w:val="0"/>
          <w:color w:val="000000"/>
          <w:sz w:val="32"/>
          <w:szCs w:val="32"/>
          <w:lang w:eastAsia="zh-CN"/>
        </w:rPr>
        <w:t>乡镇卫生院、社区卫生机构开展</w:t>
      </w:r>
      <w:r>
        <w:rPr>
          <w:rFonts w:hint="eastAsia" w:ascii="仿宋_GB2312" w:eastAsia="仿宋_GB2312"/>
          <w:b w:val="0"/>
          <w:bCs w:val="0"/>
          <w:color w:val="000000"/>
          <w:sz w:val="32"/>
          <w:szCs w:val="32"/>
        </w:rPr>
        <w:t>基本公共卫生服务</w:t>
      </w:r>
      <w:r>
        <w:rPr>
          <w:rFonts w:hint="eastAsia" w:ascii="仿宋_GB2312" w:eastAsia="仿宋_GB2312"/>
          <w:b w:val="0"/>
          <w:bCs w:val="0"/>
          <w:color w:val="000000"/>
          <w:sz w:val="32"/>
          <w:szCs w:val="32"/>
          <w:lang w:eastAsia="zh-CN"/>
        </w:rPr>
        <w:t>的</w:t>
      </w:r>
      <w:r>
        <w:rPr>
          <w:rFonts w:hint="eastAsia" w:ascii="仿宋_GB2312" w:eastAsia="仿宋_GB2312"/>
          <w:b w:val="0"/>
          <w:bCs w:val="0"/>
          <w:color w:val="000000"/>
          <w:sz w:val="32"/>
          <w:szCs w:val="32"/>
        </w:rPr>
        <w:t>支出</w:t>
      </w:r>
      <w:r>
        <w:rPr>
          <w:rFonts w:hint="eastAsia" w:ascii="仿宋_GB2312" w:eastAsia="仿宋_GB2312"/>
          <w:b w:val="0"/>
          <w:bCs w:val="0"/>
          <w:color w:val="000000"/>
          <w:sz w:val="32"/>
          <w:szCs w:val="32"/>
          <w:lang w:eastAsia="zh-CN"/>
        </w:rPr>
        <w:t>。</w:t>
      </w:r>
    </w:p>
    <w:p>
      <w:pPr>
        <w:ind w:firstLine="640" w:firstLineChars="200"/>
        <w:rPr>
          <w:rStyle w:val="17"/>
          <w:rFonts w:hint="eastAsia" w:ascii="仿宋_GB2312" w:eastAsia="仿宋_GB2312"/>
          <w:b w:val="0"/>
          <w:bCs w:val="0"/>
          <w:color w:val="000000"/>
          <w:sz w:val="32"/>
          <w:szCs w:val="32"/>
        </w:rPr>
      </w:pPr>
      <w:r>
        <w:rPr>
          <w:rStyle w:val="17"/>
          <w:rFonts w:hint="eastAsia" w:ascii="仿宋_GB2312" w:eastAsia="仿宋_GB2312"/>
          <w:b w:val="0"/>
          <w:bCs w:val="0"/>
          <w:color w:val="000000"/>
          <w:sz w:val="32"/>
          <w:szCs w:val="32"/>
          <w:highlight w:val="none"/>
          <w:lang w:val="en-US" w:eastAsia="zh-CN"/>
        </w:rPr>
        <w:t>9.</w:t>
      </w:r>
      <w:r>
        <w:rPr>
          <w:rStyle w:val="17"/>
          <w:rFonts w:hint="eastAsia" w:ascii="仿宋_GB2312" w:eastAsia="仿宋_GB2312"/>
          <w:b w:val="0"/>
          <w:bCs w:val="0"/>
          <w:color w:val="000000"/>
          <w:sz w:val="32"/>
          <w:szCs w:val="32"/>
          <w:highlight w:val="none"/>
          <w:lang w:eastAsia="zh-CN"/>
        </w:rPr>
        <w:t>卫生健康支出</w:t>
      </w:r>
      <w:r>
        <w:rPr>
          <w:rStyle w:val="17"/>
          <w:rFonts w:hint="eastAsia" w:ascii="仿宋_GB2312" w:eastAsia="仿宋_GB2312"/>
          <w:b w:val="0"/>
          <w:bCs w:val="0"/>
          <w:color w:val="000000"/>
          <w:sz w:val="32"/>
          <w:szCs w:val="32"/>
          <w:lang w:eastAsia="zh-CN"/>
        </w:rPr>
        <w:t>（类）</w:t>
      </w:r>
      <w:r>
        <w:rPr>
          <w:rStyle w:val="17"/>
          <w:rFonts w:hint="eastAsia" w:ascii="仿宋_GB2312" w:eastAsia="仿宋_GB2312"/>
          <w:b w:val="0"/>
          <w:bCs w:val="0"/>
          <w:color w:val="000000"/>
          <w:sz w:val="32"/>
          <w:szCs w:val="32"/>
        </w:rPr>
        <w:t>行政事业单位医疗</w:t>
      </w:r>
      <w:r>
        <w:rPr>
          <w:rFonts w:hint="eastAsia" w:ascii="仿宋_GB2312" w:eastAsia="仿宋_GB2312"/>
          <w:b w:val="0"/>
          <w:bCs w:val="0"/>
          <w:color w:val="000000"/>
          <w:sz w:val="32"/>
          <w:szCs w:val="32"/>
          <w:highlight w:val="none"/>
          <w:lang w:eastAsia="zh-CN"/>
        </w:rPr>
        <w:t>（款）</w:t>
      </w:r>
      <w:r>
        <w:rPr>
          <w:rFonts w:hint="eastAsia" w:ascii="仿宋_GB2312" w:eastAsia="仿宋_GB2312"/>
          <w:b w:val="0"/>
          <w:bCs w:val="0"/>
          <w:color w:val="000000"/>
          <w:sz w:val="32"/>
          <w:szCs w:val="32"/>
          <w:highlight w:val="none"/>
        </w:rPr>
        <w:t>事业单位医疗（</w:t>
      </w:r>
      <w:r>
        <w:rPr>
          <w:rFonts w:hint="eastAsia" w:ascii="仿宋_GB2312" w:eastAsia="仿宋_GB2312"/>
          <w:b w:val="0"/>
          <w:bCs w:val="0"/>
          <w:color w:val="000000"/>
          <w:sz w:val="32"/>
          <w:szCs w:val="32"/>
          <w:highlight w:val="none"/>
          <w:lang w:eastAsia="zh-CN"/>
        </w:rPr>
        <w:t>项</w:t>
      </w:r>
      <w:r>
        <w:rPr>
          <w:rFonts w:hint="eastAsia" w:ascii="仿宋_GB2312" w:eastAsia="仿宋_GB2312"/>
          <w:b w:val="0"/>
          <w:bCs w:val="0"/>
          <w:color w:val="000000"/>
          <w:sz w:val="32"/>
          <w:szCs w:val="32"/>
          <w:highlight w:val="none"/>
        </w:rPr>
        <w:t>）</w:t>
      </w:r>
      <w:r>
        <w:rPr>
          <w:rStyle w:val="17"/>
          <w:rFonts w:hint="eastAsia" w:ascii="仿宋_GB2312" w:eastAsia="仿宋_GB2312"/>
          <w:b w:val="0"/>
          <w:bCs w:val="0"/>
          <w:color w:val="000000"/>
          <w:sz w:val="32"/>
          <w:szCs w:val="32"/>
        </w:rPr>
        <w:t>:</w:t>
      </w:r>
      <w:r>
        <w:rPr>
          <w:rStyle w:val="17"/>
          <w:rFonts w:hint="eastAsia" w:ascii="仿宋_GB2312" w:eastAsia="仿宋_GB2312"/>
          <w:b w:val="0"/>
          <w:bCs w:val="0"/>
          <w:color w:val="auto"/>
          <w:sz w:val="32"/>
          <w:szCs w:val="32"/>
        </w:rPr>
        <w:t>反映</w:t>
      </w:r>
      <w:r>
        <w:rPr>
          <w:rStyle w:val="17"/>
          <w:rFonts w:hint="eastAsia" w:ascii="仿宋_GB2312" w:eastAsia="仿宋_GB2312"/>
          <w:b w:val="0"/>
          <w:bCs w:val="0"/>
          <w:color w:val="000000"/>
          <w:sz w:val="32"/>
          <w:szCs w:val="32"/>
          <w:highlight w:val="none"/>
          <w:lang w:eastAsia="zh-CN"/>
        </w:rPr>
        <w:t>卫生健康支出中的在职人员医疗保险。</w:t>
      </w:r>
    </w:p>
    <w:p>
      <w:pPr>
        <w:pStyle w:val="7"/>
        <w:rPr>
          <w:rFonts w:hint="eastAsia" w:ascii="仿宋_GB2312" w:eastAsia="仿宋_GB2312"/>
          <w:b w:val="0"/>
          <w:bCs/>
          <w:color w:val="000000"/>
          <w:sz w:val="32"/>
          <w:szCs w:val="32"/>
          <w:lang w:eastAsia="zh-CN"/>
        </w:rPr>
      </w:pPr>
      <w:r>
        <w:rPr>
          <w:rFonts w:hint="eastAsia" w:ascii="仿宋_GB2312" w:hAnsi="Calibri" w:cs="仿宋"/>
          <w:b w:val="0"/>
          <w:bCs/>
          <w:color w:val="auto"/>
          <w:sz w:val="32"/>
          <w:szCs w:val="32"/>
          <w:highlight w:val="none"/>
          <w:lang w:val="en-US" w:eastAsia="zh-CN" w:bidi="ar-SA"/>
        </w:rPr>
        <w:t>10.</w:t>
      </w:r>
      <w:r>
        <w:rPr>
          <w:rFonts w:hint="eastAsia" w:ascii="仿宋_GB2312" w:hAnsi="Calibri" w:eastAsia="仿宋_GB2312" w:cs="仿宋"/>
          <w:b w:val="0"/>
          <w:bCs/>
          <w:color w:val="auto"/>
          <w:sz w:val="32"/>
          <w:szCs w:val="32"/>
          <w:highlight w:val="none"/>
          <w:lang w:val="en-US" w:eastAsia="zh-CN" w:bidi="ar-SA"/>
        </w:rPr>
        <w:t xml:space="preserve">社会保障和就业（类）行政事业单位养老支出（款）机关事业单位基本养老保险缴费支出（项）: </w:t>
      </w:r>
      <w:r>
        <w:rPr>
          <w:rFonts w:hint="eastAsia" w:ascii="仿宋_GB2312" w:eastAsia="仿宋_GB2312"/>
          <w:b w:val="0"/>
          <w:bCs/>
          <w:color w:val="000000"/>
          <w:sz w:val="32"/>
          <w:szCs w:val="32"/>
          <w:lang w:eastAsia="zh-CN"/>
        </w:rPr>
        <w:t>主要用于在职在编人员基本养老保险支出</w:t>
      </w:r>
      <w:r>
        <w:rPr>
          <w:rFonts w:hint="eastAsia" w:ascii="仿宋_GB2312"/>
          <w:b w:val="0"/>
          <w:bCs/>
          <w:color w:val="000000"/>
          <w:sz w:val="32"/>
          <w:szCs w:val="32"/>
          <w:lang w:eastAsia="zh-CN"/>
        </w:rPr>
        <w:t>。</w:t>
      </w:r>
    </w:p>
    <w:p>
      <w:pPr>
        <w:ind w:firstLine="640" w:firstLineChars="200"/>
        <w:rPr>
          <w:rFonts w:hint="eastAsia" w:ascii="仿宋" w:hAnsi="仿宋" w:eastAsia="仿宋" w:cs="仿宋"/>
          <w:sz w:val="32"/>
          <w:szCs w:val="32"/>
          <w:lang w:val="en-US" w:eastAsia="zh-CN" w:bidi="ar"/>
        </w:rPr>
      </w:pPr>
      <w:r>
        <w:rPr>
          <w:rFonts w:hint="eastAsia" w:ascii="仿宋" w:hAnsi="仿宋" w:eastAsia="仿宋" w:cs="仿宋"/>
          <w:sz w:val="32"/>
          <w:szCs w:val="32"/>
          <w:lang w:val="en-US" w:eastAsia="zh-CN" w:bidi="ar"/>
        </w:rPr>
        <w:t>11.</w:t>
      </w:r>
      <w:r>
        <w:rPr>
          <w:rFonts w:hint="eastAsia" w:ascii="仿宋_GB2312" w:hAnsi="Calibri" w:eastAsia="仿宋_GB2312" w:cs="仿宋"/>
          <w:b w:val="0"/>
          <w:bCs/>
          <w:color w:val="auto"/>
          <w:sz w:val="32"/>
          <w:szCs w:val="32"/>
          <w:highlight w:val="none"/>
          <w:lang w:val="en-US" w:eastAsia="zh-CN" w:bidi="ar-SA"/>
        </w:rPr>
        <w:t>住房保障（类）住房改革支出（款）住房公积金（项）</w:t>
      </w:r>
      <w:r>
        <w:rPr>
          <w:rFonts w:hint="eastAsia" w:ascii="仿宋" w:hAnsi="仿宋" w:eastAsia="仿宋" w:cs="仿宋"/>
          <w:sz w:val="32"/>
          <w:szCs w:val="32"/>
          <w:lang w:val="en-US" w:eastAsia="zh-CN" w:bidi="ar"/>
        </w:rPr>
        <w:t>：反映行政事业单位按人力资源和社会保障部、财政部规定的基本工资和津贴补贴以及规定比例为职工缴纳的住房公积金。</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13</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5"/>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14</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仿宋_GB2312" w:eastAsia="仿宋_GB2312" w:cs="黑体"/>
          <w:color w:val="auto"/>
          <w:sz w:val="32"/>
          <w:szCs w:val="32"/>
          <w:highlight w:val="none"/>
        </w:rPr>
      </w:pPr>
      <w:r>
        <w:rPr>
          <w:rFonts w:hint="eastAsia" w:ascii="仿宋_GB2312" w:eastAsia="仿宋_GB2312"/>
          <w:color w:val="auto"/>
          <w:sz w:val="32"/>
          <w:szCs w:val="32"/>
          <w:highlight w:val="none"/>
          <w:lang w:val="en-US" w:eastAsia="zh-CN"/>
        </w:rPr>
        <w:t>15</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7"/>
          <w:rFonts w:ascii="黑体" w:hAnsi="黑体" w:eastAsia="黑体"/>
          <w:b w:val="0"/>
          <w:color w:val="auto"/>
          <w:highlight w:val="none"/>
        </w:rPr>
      </w:pPr>
      <w:bookmarkStart w:id="135" w:name="_Toc7773"/>
      <w:bookmarkStart w:id="136" w:name="_Toc15396614"/>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四部分 附件</w:t>
      </w:r>
      <w:bookmarkEnd w:id="135"/>
      <w:bookmarkEnd w:id="136"/>
    </w:p>
    <w:p>
      <w:pPr>
        <w:keepNext w:val="0"/>
        <w:keepLines w:val="0"/>
        <w:pageBreakBefore w:val="0"/>
        <w:kinsoku/>
        <w:wordWrap/>
        <w:overflowPunct/>
        <w:topLinePunct w:val="0"/>
        <w:autoSpaceDE/>
        <w:autoSpaceDN/>
        <w:bidi w:val="0"/>
        <w:spacing w:line="572" w:lineRule="exact"/>
        <w:jc w:val="left"/>
        <w:textAlignment w:val="auto"/>
        <w:outlineLvl w:val="0"/>
        <w:rPr>
          <w:rFonts w:hint="default" w:ascii="仿宋_GB2312" w:hAnsi="仿宋_GB2312" w:eastAsia="黑体" w:cs="仿宋_GB2312"/>
          <w:color w:val="auto"/>
          <w:sz w:val="32"/>
          <w:szCs w:val="32"/>
          <w:highlight w:val="none"/>
          <w:lang w:val="en-US" w:eastAsia="zh-CN"/>
        </w:rPr>
      </w:pPr>
      <w:bookmarkStart w:id="137" w:name="_Toc11963"/>
      <w:r>
        <w:rPr>
          <w:rFonts w:hint="eastAsia" w:ascii="黑体" w:hAnsi="黑体" w:eastAsia="黑体" w:cs="黑体"/>
          <w:color w:val="auto"/>
          <w:sz w:val="32"/>
          <w:szCs w:val="32"/>
          <w:highlight w:val="none"/>
        </w:rPr>
        <w:t>附件</w:t>
      </w:r>
      <w:bookmarkEnd w:id="137"/>
    </w:p>
    <w:p>
      <w:pPr>
        <w:pStyle w:val="25"/>
        <w:spacing w:line="560" w:lineRule="exact"/>
        <w:ind w:firstLine="640" w:firstLineChars="200"/>
        <w:rPr>
          <w:rFonts w:ascii="仿宋_GB2312" w:eastAsia="仿宋_GB2312" w:cs="黑体"/>
          <w:color w:val="auto"/>
          <w:sz w:val="32"/>
          <w:szCs w:val="32"/>
          <w:highlight w:val="none"/>
        </w:rPr>
      </w:pPr>
    </w:p>
    <w:p>
      <w:pPr>
        <w:pStyle w:val="25"/>
        <w:spacing w:line="560" w:lineRule="exact"/>
        <w:ind w:firstLine="640" w:firstLineChars="200"/>
        <w:rPr>
          <w:rFonts w:ascii="仿宋_GB2312" w:eastAsia="仿宋_GB2312" w:cs="黑体"/>
          <w:color w:val="auto"/>
          <w:sz w:val="32"/>
          <w:szCs w:val="32"/>
          <w:highlight w:val="none"/>
        </w:rPr>
      </w:pPr>
    </w:p>
    <w:p>
      <w:pPr>
        <w:pStyle w:val="25"/>
        <w:spacing w:line="560" w:lineRule="exact"/>
        <w:ind w:firstLine="640" w:firstLineChars="200"/>
        <w:rPr>
          <w:rFonts w:hint="eastAsia" w:ascii="仿宋" w:hAnsi="仿宋" w:eastAsia="仿宋" w:cs="Times New Roman"/>
          <w:color w:val="auto"/>
          <w:kern w:val="2"/>
          <w:sz w:val="32"/>
          <w:szCs w:val="32"/>
          <w:highlight w:val="none"/>
          <w:lang w:val="en-US" w:eastAsia="zh-CN" w:bidi="ar-SA"/>
        </w:rPr>
      </w:pPr>
      <w:r>
        <w:rPr>
          <w:rFonts w:hint="eastAsia" w:ascii="仿宋" w:hAnsi="仿宋" w:eastAsia="仿宋" w:cs="Times New Roman"/>
          <w:color w:val="auto"/>
          <w:kern w:val="2"/>
          <w:sz w:val="32"/>
          <w:szCs w:val="32"/>
          <w:highlight w:val="none"/>
          <w:lang w:val="en-US" w:eastAsia="zh-CN" w:bidi="ar-SA"/>
        </w:rPr>
        <w:t>本单位无项目预算，无项目绩效目标自评表</w:t>
      </w:r>
    </w:p>
    <w:p>
      <w:pPr>
        <w:pStyle w:val="25"/>
        <w:spacing w:line="560" w:lineRule="exact"/>
        <w:ind w:firstLine="640" w:firstLineChars="200"/>
        <w:rPr>
          <w:rFonts w:ascii="仿宋_GB2312" w:eastAsia="仿宋_GB2312" w:cs="黑体"/>
          <w:color w:val="auto"/>
          <w:sz w:val="32"/>
          <w:szCs w:val="32"/>
          <w:highlight w:val="none"/>
        </w:rPr>
      </w:pPr>
    </w:p>
    <w:p>
      <w:pPr>
        <w:pStyle w:val="25"/>
        <w:spacing w:line="560" w:lineRule="exact"/>
        <w:ind w:firstLine="640" w:firstLineChars="200"/>
        <w:rPr>
          <w:rFonts w:ascii="仿宋_GB2312" w:eastAsia="仿宋_GB2312" w:cs="黑体"/>
          <w:color w:val="auto"/>
          <w:sz w:val="32"/>
          <w:szCs w:val="32"/>
          <w:highlight w:val="none"/>
        </w:rPr>
      </w:pPr>
    </w:p>
    <w:p>
      <w:pPr>
        <w:pStyle w:val="25"/>
        <w:spacing w:line="560" w:lineRule="exact"/>
        <w:ind w:firstLine="640" w:firstLineChars="200"/>
        <w:rPr>
          <w:rFonts w:ascii="仿宋_GB2312" w:eastAsia="仿宋_GB2312" w:cs="黑体"/>
          <w:color w:val="auto"/>
          <w:sz w:val="32"/>
          <w:szCs w:val="32"/>
          <w:highlight w:val="none"/>
        </w:rPr>
      </w:pPr>
    </w:p>
    <w:p>
      <w:pPr>
        <w:pStyle w:val="25"/>
        <w:spacing w:line="560" w:lineRule="exact"/>
        <w:ind w:firstLine="640" w:firstLineChars="200"/>
        <w:rPr>
          <w:rFonts w:ascii="仿宋_GB2312" w:eastAsia="仿宋_GB2312" w:cs="黑体"/>
          <w:color w:val="auto"/>
          <w:sz w:val="32"/>
          <w:szCs w:val="32"/>
          <w:highlight w:val="none"/>
        </w:rPr>
      </w:pPr>
    </w:p>
    <w:p>
      <w:pPr>
        <w:pStyle w:val="25"/>
        <w:spacing w:line="560" w:lineRule="exact"/>
        <w:ind w:firstLine="640" w:firstLineChars="200"/>
        <w:rPr>
          <w:rFonts w:ascii="仿宋_GB2312" w:eastAsia="仿宋_GB2312" w:cs="黑体"/>
          <w:color w:val="auto"/>
          <w:sz w:val="32"/>
          <w:szCs w:val="32"/>
          <w:highlight w:val="none"/>
        </w:rPr>
      </w:pPr>
    </w:p>
    <w:p>
      <w:pPr>
        <w:pStyle w:val="25"/>
        <w:spacing w:line="560" w:lineRule="exact"/>
        <w:ind w:firstLine="640" w:firstLineChars="200"/>
        <w:rPr>
          <w:rFonts w:ascii="仿宋_GB2312" w:eastAsia="仿宋_GB2312" w:cs="黑体"/>
          <w:color w:val="auto"/>
          <w:sz w:val="32"/>
          <w:szCs w:val="32"/>
          <w:highlight w:val="none"/>
        </w:rPr>
      </w:pPr>
    </w:p>
    <w:p>
      <w:pPr>
        <w:pStyle w:val="25"/>
        <w:spacing w:line="560" w:lineRule="exact"/>
        <w:ind w:firstLine="640" w:firstLineChars="200"/>
        <w:rPr>
          <w:rFonts w:ascii="仿宋_GB2312" w:eastAsia="仿宋_GB2312" w:cs="黑体"/>
          <w:color w:val="auto"/>
          <w:sz w:val="32"/>
          <w:szCs w:val="32"/>
          <w:highlight w:val="none"/>
        </w:rPr>
      </w:pPr>
    </w:p>
    <w:p>
      <w:pPr>
        <w:pStyle w:val="25"/>
        <w:spacing w:line="560" w:lineRule="exact"/>
        <w:ind w:firstLine="640" w:firstLineChars="200"/>
        <w:rPr>
          <w:rFonts w:ascii="仿宋_GB2312" w:eastAsia="仿宋_GB2312" w:cs="黑体"/>
          <w:color w:val="auto"/>
          <w:sz w:val="32"/>
          <w:szCs w:val="32"/>
          <w:highlight w:val="none"/>
        </w:rPr>
      </w:pPr>
    </w:p>
    <w:p>
      <w:pPr>
        <w:pStyle w:val="25"/>
        <w:spacing w:line="560" w:lineRule="exact"/>
        <w:ind w:firstLine="640" w:firstLineChars="200"/>
        <w:rPr>
          <w:rFonts w:ascii="仿宋_GB2312" w:eastAsia="仿宋_GB2312" w:cs="黑体"/>
          <w:color w:val="auto"/>
          <w:sz w:val="32"/>
          <w:szCs w:val="32"/>
          <w:highlight w:val="none"/>
        </w:rPr>
      </w:pPr>
    </w:p>
    <w:p>
      <w:pPr>
        <w:pStyle w:val="25"/>
        <w:spacing w:line="560" w:lineRule="exact"/>
        <w:ind w:firstLine="640" w:firstLineChars="200"/>
        <w:rPr>
          <w:rFonts w:ascii="仿宋_GB2312" w:eastAsia="仿宋_GB2312" w:cs="黑体"/>
          <w:color w:val="auto"/>
          <w:sz w:val="32"/>
          <w:szCs w:val="32"/>
          <w:highlight w:val="none"/>
        </w:rPr>
      </w:pPr>
    </w:p>
    <w:p>
      <w:pPr>
        <w:pStyle w:val="25"/>
        <w:spacing w:line="560" w:lineRule="exact"/>
        <w:ind w:firstLine="640" w:firstLineChars="200"/>
        <w:rPr>
          <w:rFonts w:ascii="仿宋_GB2312" w:eastAsia="仿宋_GB2312" w:cs="黑体"/>
          <w:color w:val="auto"/>
          <w:sz w:val="32"/>
          <w:szCs w:val="32"/>
          <w:highlight w:val="none"/>
        </w:rPr>
      </w:pPr>
    </w:p>
    <w:p>
      <w:pPr>
        <w:pStyle w:val="25"/>
        <w:spacing w:line="560" w:lineRule="exact"/>
        <w:ind w:firstLine="640" w:firstLineChars="200"/>
        <w:rPr>
          <w:rFonts w:ascii="仿宋_GB2312" w:eastAsia="仿宋_GB2312" w:cs="黑体"/>
          <w:color w:val="auto"/>
          <w:sz w:val="32"/>
          <w:szCs w:val="32"/>
          <w:highlight w:val="none"/>
        </w:rPr>
      </w:pPr>
    </w:p>
    <w:p>
      <w:pPr>
        <w:pStyle w:val="25"/>
        <w:spacing w:line="560" w:lineRule="exact"/>
        <w:ind w:firstLine="640" w:firstLineChars="200"/>
        <w:rPr>
          <w:rFonts w:ascii="仿宋_GB2312" w:eastAsia="仿宋_GB2312" w:cs="黑体"/>
          <w:color w:val="auto"/>
          <w:sz w:val="32"/>
          <w:szCs w:val="32"/>
          <w:highlight w:val="none"/>
        </w:rPr>
      </w:pPr>
    </w:p>
    <w:p>
      <w:pPr>
        <w:pStyle w:val="25"/>
        <w:spacing w:line="560" w:lineRule="exact"/>
        <w:ind w:firstLine="640" w:firstLineChars="200"/>
        <w:rPr>
          <w:rFonts w:ascii="仿宋_GB2312" w:eastAsia="仿宋_GB2312" w:cs="黑体"/>
          <w:color w:val="auto"/>
          <w:sz w:val="32"/>
          <w:szCs w:val="32"/>
          <w:highlight w:val="none"/>
        </w:rPr>
      </w:pPr>
    </w:p>
    <w:p>
      <w:pPr>
        <w:pStyle w:val="25"/>
        <w:spacing w:line="560" w:lineRule="exact"/>
        <w:ind w:firstLine="640" w:firstLineChars="200"/>
        <w:rPr>
          <w:rFonts w:ascii="仿宋_GB2312" w:eastAsia="仿宋_GB2312" w:cs="黑体"/>
          <w:color w:val="auto"/>
          <w:sz w:val="32"/>
          <w:szCs w:val="32"/>
          <w:highlight w:val="none"/>
        </w:rPr>
      </w:pPr>
    </w:p>
    <w:p>
      <w:pPr>
        <w:pStyle w:val="25"/>
        <w:spacing w:line="560" w:lineRule="exact"/>
        <w:ind w:firstLine="640" w:firstLineChars="200"/>
        <w:rPr>
          <w:rFonts w:ascii="仿宋_GB2312" w:eastAsia="仿宋_GB2312" w:cs="黑体"/>
          <w:color w:val="auto"/>
          <w:sz w:val="32"/>
          <w:szCs w:val="32"/>
          <w:highlight w:val="none"/>
        </w:rPr>
      </w:pPr>
    </w:p>
    <w:p>
      <w:pPr>
        <w:pStyle w:val="25"/>
        <w:spacing w:line="560" w:lineRule="exact"/>
        <w:ind w:firstLine="640" w:firstLineChars="200"/>
        <w:rPr>
          <w:rFonts w:ascii="仿宋_GB2312" w:eastAsia="仿宋_GB2312" w:cs="黑体"/>
          <w:color w:val="auto"/>
          <w:sz w:val="32"/>
          <w:szCs w:val="32"/>
          <w:highlight w:val="none"/>
        </w:rPr>
      </w:pPr>
    </w:p>
    <w:p>
      <w:pPr>
        <w:pStyle w:val="25"/>
        <w:spacing w:line="560" w:lineRule="exact"/>
        <w:ind w:firstLine="640" w:firstLineChars="200"/>
        <w:rPr>
          <w:rFonts w:ascii="仿宋_GB2312" w:eastAsia="仿宋_GB2312" w:cs="黑体"/>
          <w:color w:val="auto"/>
          <w:sz w:val="32"/>
          <w:szCs w:val="32"/>
          <w:highlight w:val="none"/>
        </w:rPr>
      </w:pPr>
    </w:p>
    <w:p>
      <w:pPr>
        <w:spacing w:line="600" w:lineRule="exact"/>
        <w:jc w:val="both"/>
        <w:outlineLvl w:val="9"/>
        <w:rPr>
          <w:rFonts w:hint="eastAsia" w:ascii="黑体" w:hAnsi="黑体" w:eastAsia="黑体"/>
          <w:color w:val="auto"/>
          <w:sz w:val="44"/>
          <w:szCs w:val="44"/>
          <w:highlight w:val="none"/>
        </w:rPr>
      </w:pPr>
      <w:bookmarkStart w:id="138" w:name="_Toc15377226"/>
      <w:bookmarkStart w:id="139" w:name="_Toc15396618"/>
    </w:p>
    <w:p>
      <w:pPr>
        <w:spacing w:line="600" w:lineRule="exact"/>
        <w:jc w:val="center"/>
        <w:outlineLvl w:val="0"/>
        <w:rPr>
          <w:rFonts w:hint="eastAsia" w:ascii="仿宋" w:hAnsi="仿宋" w:eastAsia="仿宋"/>
          <w:b w:val="0"/>
          <w:color w:val="auto"/>
          <w:highlight w:val="none"/>
        </w:rPr>
      </w:pPr>
      <w:bookmarkStart w:id="140" w:name="_Toc1474"/>
      <w:bookmarkStart w:id="141" w:name="_Toc2267"/>
      <w:bookmarkStart w:id="142" w:name="_Toc23957"/>
      <w:bookmarkStart w:id="143" w:name="_Toc20892"/>
      <w:r>
        <w:rPr>
          <w:rFonts w:hint="eastAsia" w:ascii="黑体" w:hAnsi="黑体" w:eastAsia="黑体"/>
          <w:color w:val="auto"/>
          <w:sz w:val="44"/>
          <w:szCs w:val="44"/>
          <w:highlight w:val="none"/>
        </w:rPr>
        <w:t>第</w:t>
      </w:r>
      <w:r>
        <w:rPr>
          <w:rFonts w:hint="eastAsia" w:ascii="黑体" w:hAnsi="黑体" w:eastAsia="黑体"/>
          <w:color w:val="auto"/>
          <w:sz w:val="44"/>
          <w:szCs w:val="44"/>
          <w:highlight w:val="none"/>
          <w:lang w:val="en-US" w:eastAsia="zh-CN"/>
        </w:rPr>
        <w:t>五</w:t>
      </w:r>
      <w:r>
        <w:rPr>
          <w:rStyle w:val="27"/>
          <w:rFonts w:hint="eastAsia" w:ascii="黑体" w:hAnsi="黑体" w:eastAsia="黑体"/>
          <w:b w:val="0"/>
          <w:color w:val="auto"/>
          <w:highlight w:val="none"/>
        </w:rPr>
        <w:t>部分 附表</w:t>
      </w:r>
      <w:bookmarkEnd w:id="138"/>
      <w:bookmarkEnd w:id="139"/>
      <w:bookmarkEnd w:id="140"/>
      <w:bookmarkEnd w:id="141"/>
      <w:bookmarkEnd w:id="142"/>
      <w:bookmarkEnd w:id="143"/>
      <w:bookmarkStart w:id="144" w:name="_Toc15396619"/>
    </w:p>
    <w:p>
      <w:pPr>
        <w:pStyle w:val="4"/>
        <w:rPr>
          <w:rFonts w:ascii="仿宋" w:hAnsi="仿宋" w:eastAsia="仿宋"/>
          <w:color w:val="auto"/>
          <w:highlight w:val="none"/>
        </w:rPr>
      </w:pPr>
      <w:bookmarkStart w:id="145" w:name="_Toc11672"/>
      <w:bookmarkStart w:id="146" w:name="_Toc27956"/>
      <w:bookmarkStart w:id="147" w:name="_Toc13169"/>
      <w:bookmarkStart w:id="148" w:name="_Toc29953"/>
      <w:r>
        <w:rPr>
          <w:rFonts w:hint="eastAsia" w:ascii="仿宋" w:hAnsi="仿宋" w:eastAsia="仿宋"/>
          <w:b w:val="0"/>
          <w:color w:val="auto"/>
          <w:highlight w:val="none"/>
        </w:rPr>
        <w:t>一、收</w:t>
      </w:r>
      <w:r>
        <w:rPr>
          <w:rStyle w:val="28"/>
          <w:rFonts w:hint="eastAsia" w:ascii="仿宋" w:hAnsi="仿宋" w:eastAsia="仿宋"/>
          <w:b w:val="0"/>
          <w:bCs w:val="0"/>
          <w:color w:val="auto"/>
          <w:highlight w:val="none"/>
        </w:rPr>
        <w:t>入支出决算总表</w:t>
      </w:r>
      <w:bookmarkEnd w:id="144"/>
      <w:bookmarkEnd w:id="145"/>
      <w:bookmarkEnd w:id="146"/>
      <w:bookmarkEnd w:id="147"/>
      <w:bookmarkEnd w:id="148"/>
    </w:p>
    <w:p>
      <w:pPr>
        <w:pStyle w:val="4"/>
        <w:rPr>
          <w:rFonts w:ascii="仿宋" w:hAnsi="仿宋" w:eastAsia="仿宋"/>
          <w:color w:val="auto"/>
          <w:highlight w:val="none"/>
        </w:rPr>
      </w:pPr>
      <w:bookmarkStart w:id="149" w:name="_Toc15396620"/>
      <w:bookmarkStart w:id="150" w:name="_Toc11377"/>
      <w:bookmarkStart w:id="151" w:name="_Toc5562"/>
      <w:bookmarkStart w:id="152" w:name="_Toc5678"/>
      <w:bookmarkStart w:id="153" w:name="_Toc18037"/>
      <w:r>
        <w:rPr>
          <w:rFonts w:hint="eastAsia" w:ascii="仿宋" w:hAnsi="仿宋" w:eastAsia="仿宋"/>
          <w:b w:val="0"/>
          <w:color w:val="auto"/>
          <w:highlight w:val="none"/>
        </w:rPr>
        <w:t>二、收</w:t>
      </w:r>
      <w:r>
        <w:rPr>
          <w:rStyle w:val="28"/>
          <w:rFonts w:hint="eastAsia" w:ascii="仿宋" w:hAnsi="仿宋" w:eastAsia="仿宋"/>
          <w:b w:val="0"/>
          <w:bCs w:val="0"/>
          <w:color w:val="auto"/>
          <w:highlight w:val="none"/>
        </w:rPr>
        <w:t>入决算表</w:t>
      </w:r>
      <w:bookmarkEnd w:id="149"/>
      <w:bookmarkEnd w:id="150"/>
      <w:bookmarkEnd w:id="151"/>
      <w:bookmarkEnd w:id="152"/>
      <w:bookmarkEnd w:id="153"/>
    </w:p>
    <w:p>
      <w:pPr>
        <w:pStyle w:val="4"/>
        <w:rPr>
          <w:rFonts w:ascii="仿宋" w:hAnsi="仿宋" w:eastAsia="仿宋"/>
          <w:color w:val="auto"/>
          <w:highlight w:val="none"/>
        </w:rPr>
      </w:pPr>
      <w:bookmarkStart w:id="154" w:name="_Toc15396621"/>
      <w:bookmarkStart w:id="155" w:name="_Toc19525"/>
      <w:bookmarkStart w:id="156" w:name="_Toc29956"/>
      <w:bookmarkStart w:id="157" w:name="_Toc4133"/>
      <w:bookmarkStart w:id="158" w:name="_Toc5713"/>
      <w:r>
        <w:rPr>
          <w:rStyle w:val="28"/>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8"/>
          <w:rFonts w:hint="eastAsia" w:ascii="仿宋" w:hAnsi="仿宋" w:eastAsia="仿宋"/>
          <w:b w:val="0"/>
          <w:bCs w:val="0"/>
          <w:color w:val="auto"/>
          <w:highlight w:val="none"/>
        </w:rPr>
        <w:t>出决算表</w:t>
      </w:r>
      <w:bookmarkEnd w:id="154"/>
      <w:bookmarkEnd w:id="155"/>
      <w:bookmarkEnd w:id="156"/>
      <w:bookmarkEnd w:id="157"/>
      <w:bookmarkEnd w:id="158"/>
    </w:p>
    <w:p>
      <w:pPr>
        <w:pStyle w:val="4"/>
        <w:rPr>
          <w:rFonts w:ascii="仿宋" w:hAnsi="仿宋" w:eastAsia="仿宋"/>
          <w:b w:val="0"/>
          <w:color w:val="auto"/>
          <w:highlight w:val="none"/>
        </w:rPr>
      </w:pPr>
      <w:bookmarkStart w:id="159" w:name="_Toc1292"/>
      <w:bookmarkStart w:id="160" w:name="_Toc6599"/>
      <w:bookmarkStart w:id="161" w:name="_Toc28549"/>
      <w:bookmarkStart w:id="162" w:name="_Toc15396622"/>
      <w:bookmarkStart w:id="163" w:name="_Toc3563"/>
      <w:r>
        <w:rPr>
          <w:rStyle w:val="28"/>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政拨款收入支出决算总表</w:t>
      </w:r>
      <w:bookmarkEnd w:id="159"/>
      <w:bookmarkEnd w:id="160"/>
      <w:bookmarkEnd w:id="161"/>
      <w:bookmarkEnd w:id="162"/>
      <w:bookmarkEnd w:id="163"/>
    </w:p>
    <w:p>
      <w:pPr>
        <w:pStyle w:val="4"/>
        <w:rPr>
          <w:rStyle w:val="28"/>
          <w:rFonts w:ascii="仿宋" w:hAnsi="仿宋" w:eastAsia="仿宋"/>
          <w:b w:val="0"/>
          <w:bCs w:val="0"/>
          <w:color w:val="auto"/>
          <w:highlight w:val="none"/>
        </w:rPr>
      </w:pPr>
      <w:bookmarkStart w:id="164" w:name="_Toc19699"/>
      <w:bookmarkStart w:id="165" w:name="_Toc15396623"/>
      <w:bookmarkStart w:id="166" w:name="_Toc1319"/>
      <w:bookmarkStart w:id="167" w:name="_Toc16195"/>
      <w:bookmarkStart w:id="168" w:name="_Toc22684"/>
      <w:r>
        <w:rPr>
          <w:rStyle w:val="28"/>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政拨款支出决算明细表</w:t>
      </w:r>
      <w:bookmarkEnd w:id="164"/>
      <w:bookmarkEnd w:id="165"/>
      <w:bookmarkEnd w:id="166"/>
      <w:bookmarkEnd w:id="167"/>
      <w:bookmarkEnd w:id="168"/>
      <w:bookmarkStart w:id="169" w:name="_Toc15396624"/>
    </w:p>
    <w:p>
      <w:pPr>
        <w:pStyle w:val="4"/>
        <w:rPr>
          <w:rFonts w:ascii="仿宋" w:hAnsi="仿宋" w:eastAsia="仿宋"/>
          <w:color w:val="auto"/>
          <w:highlight w:val="none"/>
        </w:rPr>
      </w:pPr>
      <w:bookmarkStart w:id="170" w:name="_Toc22893"/>
      <w:bookmarkStart w:id="171" w:name="_Toc28281"/>
      <w:bookmarkStart w:id="172" w:name="_Toc24371"/>
      <w:bookmarkStart w:id="173" w:name="_Toc19516"/>
      <w:r>
        <w:rPr>
          <w:rStyle w:val="28"/>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般公共预算财政拨款支出决算表</w:t>
      </w:r>
      <w:bookmarkEnd w:id="169"/>
      <w:bookmarkEnd w:id="170"/>
      <w:bookmarkEnd w:id="171"/>
      <w:bookmarkEnd w:id="172"/>
      <w:bookmarkEnd w:id="173"/>
    </w:p>
    <w:p>
      <w:pPr>
        <w:pStyle w:val="4"/>
        <w:rPr>
          <w:rFonts w:ascii="仿宋" w:hAnsi="仿宋" w:eastAsia="仿宋"/>
          <w:color w:val="auto"/>
          <w:highlight w:val="none"/>
        </w:rPr>
      </w:pPr>
      <w:bookmarkStart w:id="174" w:name="_Toc15396625"/>
      <w:bookmarkStart w:id="175" w:name="_Toc3377"/>
      <w:bookmarkStart w:id="176" w:name="_Toc14294"/>
      <w:bookmarkStart w:id="177" w:name="_Toc13647"/>
      <w:bookmarkStart w:id="178" w:name="_Toc26795"/>
      <w:r>
        <w:rPr>
          <w:rStyle w:val="28"/>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般公共预算财政拨款支出决算明细表</w:t>
      </w:r>
      <w:bookmarkEnd w:id="174"/>
      <w:bookmarkEnd w:id="175"/>
      <w:bookmarkEnd w:id="176"/>
      <w:bookmarkEnd w:id="177"/>
      <w:bookmarkEnd w:id="178"/>
    </w:p>
    <w:p>
      <w:pPr>
        <w:pStyle w:val="4"/>
        <w:rPr>
          <w:rFonts w:ascii="仿宋" w:hAnsi="仿宋" w:eastAsia="仿宋"/>
          <w:color w:val="auto"/>
          <w:highlight w:val="none"/>
        </w:rPr>
      </w:pPr>
      <w:bookmarkStart w:id="179" w:name="_Toc15396626"/>
      <w:bookmarkStart w:id="180" w:name="_Toc5391"/>
      <w:bookmarkStart w:id="181" w:name="_Toc1978"/>
      <w:bookmarkStart w:id="182" w:name="_Toc31015"/>
      <w:bookmarkStart w:id="183" w:name="_Toc12556"/>
      <w:r>
        <w:rPr>
          <w:rStyle w:val="28"/>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般公共预算财政拨款基本支出决算表</w:t>
      </w:r>
      <w:bookmarkEnd w:id="179"/>
      <w:bookmarkEnd w:id="180"/>
      <w:bookmarkEnd w:id="181"/>
      <w:bookmarkEnd w:id="182"/>
      <w:bookmarkEnd w:id="183"/>
    </w:p>
    <w:p>
      <w:pPr>
        <w:pStyle w:val="4"/>
        <w:rPr>
          <w:rFonts w:ascii="仿宋" w:hAnsi="仿宋" w:eastAsia="仿宋"/>
          <w:color w:val="auto"/>
          <w:highlight w:val="none"/>
        </w:rPr>
      </w:pPr>
      <w:bookmarkStart w:id="184" w:name="_Toc15396627"/>
      <w:bookmarkStart w:id="185" w:name="_Toc808"/>
      <w:bookmarkStart w:id="186" w:name="_Toc22053"/>
      <w:bookmarkStart w:id="187" w:name="_Toc29482"/>
      <w:bookmarkStart w:id="188" w:name="_Toc13015"/>
      <w:r>
        <w:rPr>
          <w:rStyle w:val="28"/>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般公共预算财政拨款项目支出决算表</w:t>
      </w:r>
      <w:bookmarkEnd w:id="184"/>
      <w:bookmarkEnd w:id="185"/>
      <w:bookmarkEnd w:id="186"/>
      <w:bookmarkEnd w:id="187"/>
      <w:bookmarkEnd w:id="188"/>
    </w:p>
    <w:p>
      <w:pPr>
        <w:pStyle w:val="4"/>
        <w:rPr>
          <w:rFonts w:ascii="仿宋" w:hAnsi="仿宋" w:eastAsia="仿宋"/>
          <w:color w:val="auto"/>
          <w:highlight w:val="none"/>
        </w:rPr>
      </w:pPr>
      <w:bookmarkStart w:id="189" w:name="_Toc15951"/>
      <w:bookmarkStart w:id="190" w:name="_Toc580"/>
      <w:bookmarkStart w:id="191" w:name="_Toc18600"/>
      <w:bookmarkStart w:id="192" w:name="_Toc15396628"/>
      <w:bookmarkStart w:id="193" w:name="_Toc10382"/>
      <w:r>
        <w:rPr>
          <w:rStyle w:val="28"/>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般公共预算财政拨款“三公”经费支出决算表</w:t>
      </w:r>
      <w:bookmarkEnd w:id="189"/>
      <w:bookmarkEnd w:id="190"/>
      <w:bookmarkEnd w:id="191"/>
      <w:bookmarkEnd w:id="192"/>
      <w:bookmarkEnd w:id="193"/>
    </w:p>
    <w:p>
      <w:pPr>
        <w:pStyle w:val="4"/>
        <w:rPr>
          <w:rFonts w:ascii="仿宋" w:hAnsi="仿宋" w:eastAsia="仿宋"/>
          <w:color w:val="auto"/>
          <w:highlight w:val="none"/>
        </w:rPr>
      </w:pPr>
      <w:bookmarkStart w:id="194" w:name="_Toc15396629"/>
      <w:bookmarkStart w:id="195" w:name="_Toc884"/>
      <w:bookmarkStart w:id="196" w:name="_Toc19438"/>
      <w:bookmarkStart w:id="197" w:name="_Toc13335"/>
      <w:bookmarkStart w:id="198" w:name="_Toc27597"/>
      <w:r>
        <w:rPr>
          <w:rStyle w:val="28"/>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府性基金预算财政拨款收入支出决算表</w:t>
      </w:r>
      <w:bookmarkEnd w:id="194"/>
      <w:bookmarkEnd w:id="195"/>
      <w:bookmarkEnd w:id="196"/>
      <w:bookmarkEnd w:id="197"/>
      <w:bookmarkEnd w:id="198"/>
    </w:p>
    <w:p>
      <w:pPr>
        <w:pStyle w:val="4"/>
        <w:rPr>
          <w:rFonts w:ascii="仿宋" w:hAnsi="仿宋" w:eastAsia="仿宋"/>
          <w:color w:val="auto"/>
          <w:highlight w:val="none"/>
        </w:rPr>
      </w:pPr>
      <w:bookmarkStart w:id="199" w:name="_Toc15396630"/>
      <w:bookmarkStart w:id="200" w:name="_Toc13357"/>
      <w:bookmarkStart w:id="201" w:name="_Toc27123"/>
      <w:bookmarkStart w:id="202" w:name="_Toc3313"/>
      <w:bookmarkStart w:id="203" w:name="_Toc22324"/>
      <w:r>
        <w:rPr>
          <w:rStyle w:val="28"/>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府性基金预算财政拨款“三公”经费支出决算表</w:t>
      </w:r>
      <w:bookmarkEnd w:id="199"/>
      <w:bookmarkEnd w:id="200"/>
      <w:bookmarkEnd w:id="201"/>
      <w:bookmarkEnd w:id="202"/>
      <w:bookmarkEnd w:id="203"/>
    </w:p>
    <w:p>
      <w:pPr>
        <w:pStyle w:val="4"/>
        <w:rPr>
          <w:rStyle w:val="28"/>
          <w:rFonts w:hint="eastAsia" w:ascii="仿宋" w:hAnsi="仿宋" w:eastAsia="仿宋"/>
          <w:b w:val="0"/>
          <w:bCs w:val="0"/>
          <w:color w:val="auto"/>
          <w:highlight w:val="none"/>
        </w:rPr>
      </w:pPr>
      <w:bookmarkStart w:id="204" w:name="_Toc3172"/>
      <w:bookmarkStart w:id="205" w:name="_Toc30291"/>
      <w:bookmarkStart w:id="206" w:name="_Toc15396631"/>
      <w:bookmarkStart w:id="207" w:name="_Toc27001"/>
      <w:bookmarkStart w:id="208" w:name="_Toc7154"/>
      <w:r>
        <w:rPr>
          <w:rStyle w:val="28"/>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8"/>
          <w:rFonts w:hint="eastAsia" w:ascii="仿宋" w:hAnsi="仿宋" w:eastAsia="仿宋"/>
          <w:b w:val="0"/>
          <w:bCs w:val="0"/>
          <w:color w:val="auto"/>
          <w:highlight w:val="none"/>
        </w:rPr>
        <w:t>有资本经营预算</w:t>
      </w:r>
      <w:r>
        <w:rPr>
          <w:rStyle w:val="28"/>
          <w:rFonts w:hint="eastAsia" w:ascii="仿宋" w:hAnsi="仿宋" w:eastAsia="仿宋"/>
          <w:b w:val="0"/>
          <w:bCs w:val="0"/>
          <w:color w:val="auto"/>
          <w:highlight w:val="none"/>
          <w:lang w:eastAsia="zh-CN"/>
        </w:rPr>
        <w:t>财政拨款收入</w:t>
      </w:r>
      <w:r>
        <w:rPr>
          <w:rStyle w:val="28"/>
          <w:rFonts w:hint="eastAsia" w:ascii="仿宋" w:hAnsi="仿宋" w:eastAsia="仿宋"/>
          <w:b w:val="0"/>
          <w:bCs w:val="0"/>
          <w:color w:val="auto"/>
          <w:highlight w:val="none"/>
        </w:rPr>
        <w:t>支出决算表</w:t>
      </w:r>
      <w:bookmarkEnd w:id="204"/>
      <w:bookmarkEnd w:id="205"/>
      <w:bookmarkEnd w:id="206"/>
      <w:bookmarkEnd w:id="207"/>
      <w:bookmarkEnd w:id="208"/>
    </w:p>
    <w:p>
      <w:pPr>
        <w:rPr>
          <w:rFonts w:hint="eastAsia" w:eastAsia="仿宋"/>
          <w:color w:val="auto"/>
          <w:highlight w:val="none"/>
          <w:lang w:eastAsia="zh-CN"/>
        </w:rPr>
      </w:pPr>
      <w:bookmarkStart w:id="209" w:name="_Toc32685"/>
      <w:bookmarkStart w:id="210" w:name="_Toc8032"/>
      <w:bookmarkStart w:id="211" w:name="_Toc13560"/>
      <w:bookmarkStart w:id="212" w:name="_Toc570"/>
      <w:r>
        <w:rPr>
          <w:rStyle w:val="28"/>
          <w:rFonts w:hint="eastAsia" w:ascii="仿宋" w:hAnsi="仿宋" w:eastAsia="仿宋"/>
          <w:b w:val="0"/>
          <w:bCs w:val="0"/>
          <w:color w:val="auto"/>
          <w:highlight w:val="none"/>
          <w:lang w:eastAsia="zh-CN"/>
        </w:rPr>
        <w:t>十四、国有资本经营预算财政拨款支出决算表</w:t>
      </w:r>
      <w:bookmarkEnd w:id="209"/>
      <w:bookmarkEnd w:id="210"/>
      <w:bookmarkEnd w:id="211"/>
      <w:bookmarkEnd w:id="21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5C6C3DB"/>
    <w:multiLevelType w:val="singleLevel"/>
    <w:tmpl w:val="15C6C3DB"/>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1OTUxNWViZjAyMTZjZjgxYjJhMWU4ZTVhYzllOD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4748CC"/>
    <w:rsid w:val="01D134FA"/>
    <w:rsid w:val="03B03352"/>
    <w:rsid w:val="0475016D"/>
    <w:rsid w:val="048900BC"/>
    <w:rsid w:val="050D2A9B"/>
    <w:rsid w:val="06182533"/>
    <w:rsid w:val="06D4263C"/>
    <w:rsid w:val="07784198"/>
    <w:rsid w:val="0845320A"/>
    <w:rsid w:val="0A2032A3"/>
    <w:rsid w:val="0B216786"/>
    <w:rsid w:val="0B8A37D8"/>
    <w:rsid w:val="0BFF5230"/>
    <w:rsid w:val="0C994C14"/>
    <w:rsid w:val="0CEA30FF"/>
    <w:rsid w:val="0E2D73DA"/>
    <w:rsid w:val="0E2E40B0"/>
    <w:rsid w:val="0F84395A"/>
    <w:rsid w:val="0F960BE4"/>
    <w:rsid w:val="10C055FF"/>
    <w:rsid w:val="118107EC"/>
    <w:rsid w:val="11DD6519"/>
    <w:rsid w:val="13EA3780"/>
    <w:rsid w:val="14AE3227"/>
    <w:rsid w:val="15E258B6"/>
    <w:rsid w:val="15F5110D"/>
    <w:rsid w:val="16353AB9"/>
    <w:rsid w:val="16BB723D"/>
    <w:rsid w:val="17B82D77"/>
    <w:rsid w:val="18015F3F"/>
    <w:rsid w:val="193F6988"/>
    <w:rsid w:val="1990438D"/>
    <w:rsid w:val="19C77095"/>
    <w:rsid w:val="1A5A3E34"/>
    <w:rsid w:val="1AE91FFD"/>
    <w:rsid w:val="1BE8440E"/>
    <w:rsid w:val="1C0876C1"/>
    <w:rsid w:val="1D155CEE"/>
    <w:rsid w:val="1DC73E13"/>
    <w:rsid w:val="1F8A441C"/>
    <w:rsid w:val="20F57F95"/>
    <w:rsid w:val="225100AF"/>
    <w:rsid w:val="240371BF"/>
    <w:rsid w:val="25C741E6"/>
    <w:rsid w:val="25CE197B"/>
    <w:rsid w:val="273D7508"/>
    <w:rsid w:val="27842671"/>
    <w:rsid w:val="282D5CD2"/>
    <w:rsid w:val="28B74948"/>
    <w:rsid w:val="29FD04D3"/>
    <w:rsid w:val="2A2C7F1D"/>
    <w:rsid w:val="2A750617"/>
    <w:rsid w:val="2ABE7A3E"/>
    <w:rsid w:val="2C2045B2"/>
    <w:rsid w:val="2C5E7F8B"/>
    <w:rsid w:val="2CC017A0"/>
    <w:rsid w:val="2CEF46B1"/>
    <w:rsid w:val="2E937756"/>
    <w:rsid w:val="2EFA178C"/>
    <w:rsid w:val="30B46D73"/>
    <w:rsid w:val="30C65728"/>
    <w:rsid w:val="319F7F4E"/>
    <w:rsid w:val="335A2AA0"/>
    <w:rsid w:val="343A71EA"/>
    <w:rsid w:val="34733E19"/>
    <w:rsid w:val="34DF14AF"/>
    <w:rsid w:val="371A5D75"/>
    <w:rsid w:val="376C2D9C"/>
    <w:rsid w:val="39AE70AB"/>
    <w:rsid w:val="3A053765"/>
    <w:rsid w:val="3C0C0783"/>
    <w:rsid w:val="3CB054DF"/>
    <w:rsid w:val="3CFF16A1"/>
    <w:rsid w:val="3F2D692F"/>
    <w:rsid w:val="3F795B0E"/>
    <w:rsid w:val="3F9F3A96"/>
    <w:rsid w:val="44103433"/>
    <w:rsid w:val="44B40A4F"/>
    <w:rsid w:val="47507FEA"/>
    <w:rsid w:val="47AC3CBC"/>
    <w:rsid w:val="47C127AB"/>
    <w:rsid w:val="493C27E9"/>
    <w:rsid w:val="496F39ED"/>
    <w:rsid w:val="49FF41D3"/>
    <w:rsid w:val="4A185DC8"/>
    <w:rsid w:val="4B95421D"/>
    <w:rsid w:val="4BE068DB"/>
    <w:rsid w:val="4BF6002B"/>
    <w:rsid w:val="4DA772AA"/>
    <w:rsid w:val="4ECE2238"/>
    <w:rsid w:val="4EF23C63"/>
    <w:rsid w:val="50E579F5"/>
    <w:rsid w:val="51DB4B86"/>
    <w:rsid w:val="528D4A5E"/>
    <w:rsid w:val="5314011E"/>
    <w:rsid w:val="53FA37B7"/>
    <w:rsid w:val="54921C42"/>
    <w:rsid w:val="54A53AD0"/>
    <w:rsid w:val="55333C3E"/>
    <w:rsid w:val="56AB2C45"/>
    <w:rsid w:val="58271621"/>
    <w:rsid w:val="588F5610"/>
    <w:rsid w:val="5A41048B"/>
    <w:rsid w:val="5D560700"/>
    <w:rsid w:val="619B1F2A"/>
    <w:rsid w:val="64CA39A1"/>
    <w:rsid w:val="667721BD"/>
    <w:rsid w:val="69382960"/>
    <w:rsid w:val="69BB533F"/>
    <w:rsid w:val="6C3513D9"/>
    <w:rsid w:val="6C3D48C5"/>
    <w:rsid w:val="6C4A05C8"/>
    <w:rsid w:val="6D450839"/>
    <w:rsid w:val="6D8E5431"/>
    <w:rsid w:val="6DAE6408"/>
    <w:rsid w:val="6F1A6664"/>
    <w:rsid w:val="701557A9"/>
    <w:rsid w:val="71F25676"/>
    <w:rsid w:val="72734D90"/>
    <w:rsid w:val="72C00EB0"/>
    <w:rsid w:val="736A5E0C"/>
    <w:rsid w:val="746C1710"/>
    <w:rsid w:val="74E366CA"/>
    <w:rsid w:val="7553467E"/>
    <w:rsid w:val="766D176F"/>
    <w:rsid w:val="76C55A04"/>
    <w:rsid w:val="784415FA"/>
    <w:rsid w:val="78E66A6F"/>
    <w:rsid w:val="794E2166"/>
    <w:rsid w:val="799F657D"/>
    <w:rsid w:val="79E7B28D"/>
    <w:rsid w:val="7AB160CE"/>
    <w:rsid w:val="7C817D22"/>
    <w:rsid w:val="7D052701"/>
    <w:rsid w:val="7D366D5F"/>
    <w:rsid w:val="7DA168CE"/>
    <w:rsid w:val="7E2A4CD9"/>
    <w:rsid w:val="7F574A92"/>
    <w:rsid w:val="7F587460"/>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qFormat/>
    <w:uiPriority w:val="99"/>
    <w:pPr>
      <w:spacing w:beforeLines="30"/>
    </w:pPr>
    <w:rPr>
      <w:rFonts w:ascii="仿宋_GB2312" w:eastAsia="仿宋_GB2312"/>
      <w:kern w:val="0"/>
      <w:sz w:val="30"/>
    </w:rPr>
  </w:style>
  <w:style w:type="paragraph" w:styleId="6">
    <w:name w:val="Body Text Indent"/>
    <w:basedOn w:val="1"/>
    <w:next w:val="7"/>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outlineLvl w:val="9"/>
    </w:pPr>
    <w:rPr>
      <w:rFonts w:ascii="Times New Roman" w:hAnsi="Times New Roman" w:eastAsia="仿宋_GB2312" w:cs="宋体"/>
      <w:b/>
      <w:snapToGrid/>
      <w:color w:val="000000"/>
      <w:spacing w:val="0"/>
      <w:w w:val="100"/>
      <w:kern w:val="2"/>
      <w:position w:val="0"/>
      <w:sz w:val="32"/>
      <w:szCs w:val="24"/>
      <w:u w:val="none" w:color="auto"/>
      <w:vertAlign w:val="baseline"/>
      <w:lang w:val="en-US" w:eastAsia="zh-CN" w:bidi="ar-SA"/>
    </w:rPr>
  </w:style>
  <w:style w:type="paragraph" w:styleId="7">
    <w:name w:val="Body Text First Indent 2"/>
    <w:basedOn w:val="6"/>
    <w:next w:val="1"/>
    <w:qFormat/>
    <w:uiPriority w:val="0"/>
    <w:pPr>
      <w:ind w:firstLine="420" w:firstLineChars="200"/>
    </w:p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spacing w:beforeAutospacing="1" w:afterAutospacing="1"/>
      <w:jc w:val="left"/>
    </w:pPr>
    <w:rPr>
      <w:rFonts w:ascii="Calibri" w:hAnsi="Calibri" w:eastAsia="宋体"/>
      <w:kern w:val="0"/>
      <w:sz w:val="24"/>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3"/>
    <w:qFormat/>
    <w:uiPriority w:val="9"/>
    <w:rPr>
      <w:rFonts w:ascii="Times New Roman" w:hAnsi="Times New Roman"/>
      <w:b/>
      <w:bCs/>
      <w:kern w:val="44"/>
      <w:sz w:val="44"/>
      <w:szCs w:val="44"/>
    </w:rPr>
  </w:style>
  <w:style w:type="character" w:customStyle="1" w:styleId="28">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6"/>
    <w:link w:val="9"/>
    <w:semiHidden/>
    <w:qFormat/>
    <w:uiPriority w:val="99"/>
    <w:rPr>
      <w:rFonts w:ascii="Times New Roman" w:hAnsi="Times New Roman"/>
      <w:kern w:val="2"/>
      <w:sz w:val="18"/>
      <w:szCs w:val="18"/>
    </w:rPr>
  </w:style>
  <w:style w:type="character" w:customStyle="1" w:styleId="31">
    <w:name w:val="标题 3 Char"/>
    <w:basedOn w:val="16"/>
    <w:link w:val="5"/>
    <w:qFormat/>
    <w:uiPriority w:val="9"/>
    <w:rPr>
      <w:rFonts w:ascii="Times New Roman" w:hAnsi="Times New Roman"/>
      <w:b/>
      <w:bCs/>
      <w:kern w:val="2"/>
      <w:sz w:val="32"/>
      <w:szCs w:val="32"/>
    </w:rPr>
  </w:style>
  <w:style w:type="paragraph" w:customStyle="1" w:styleId="32">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WPSOffice手动目录 2"/>
    <w:qFormat/>
    <w:uiPriority w:val="0"/>
    <w:pPr>
      <w:ind w:leftChars="200"/>
    </w:pPr>
    <w:rPr>
      <w:rFonts w:ascii="Times New Roman" w:hAnsi="Times New Roman" w:eastAsia="宋体" w:cs="Times New Roman"/>
      <w:sz w:val="20"/>
      <w:szCs w:val="20"/>
    </w:rPr>
  </w:style>
  <w:style w:type="paragraph" w:customStyle="1" w:styleId="35">
    <w:name w:val="WPSOffice手动目录 3"/>
    <w:qFormat/>
    <w:uiPriority w:val="0"/>
    <w:pPr>
      <w:ind w:leftChars="400"/>
    </w:pPr>
    <w:rPr>
      <w:rFonts w:ascii="Times New Roman" w:hAnsi="Times New Roman" w:eastAsia="宋体" w:cs="Times New Roman"/>
      <w:sz w:val="20"/>
      <w:szCs w:val="20"/>
    </w:rPr>
  </w:style>
  <w:style w:type="character" w:customStyle="1" w:styleId="36">
    <w:name w:val="font131"/>
    <w:basedOn w:val="16"/>
    <w:qFormat/>
    <w:uiPriority w:val="0"/>
    <w:rPr>
      <w:rFonts w:hint="eastAsia" w:ascii="宋体" w:hAnsi="宋体" w:eastAsia="宋体" w:cs="宋体"/>
      <w:color w:val="000000"/>
      <w:sz w:val="20"/>
      <w:szCs w:val="20"/>
      <w:u w:val="none"/>
    </w:rPr>
  </w:style>
  <w:style w:type="character" w:customStyle="1" w:styleId="37">
    <w:name w:val="font01"/>
    <w:basedOn w:val="16"/>
    <w:qFormat/>
    <w:uiPriority w:val="0"/>
    <w:rPr>
      <w:rFonts w:hint="eastAsia" w:ascii="宋体" w:hAnsi="宋体" w:eastAsia="宋体" w:cs="宋体"/>
      <w:color w:val="000000"/>
      <w:sz w:val="20"/>
      <w:szCs w:val="20"/>
      <w:u w:val="none"/>
    </w:rPr>
  </w:style>
  <w:style w:type="character" w:customStyle="1" w:styleId="38">
    <w:name w:val="font141"/>
    <w:basedOn w:val="1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265327921384"/>
          <c:y val="0.0654761904761905"/>
          <c:w val="0.83794061098056"/>
          <c:h val="0.65577380952381"/>
        </c:manualLayout>
      </c:layout>
      <c:barChart>
        <c:barDir val="col"/>
        <c:grouping val="clustered"/>
        <c:varyColors val="0"/>
        <c:ser>
          <c:idx val="0"/>
          <c:order val="0"/>
          <c:tx>
            <c:strRef>
              <c:f>'[新建 XLS 工作表.xls]Sheet1'!$K$7</c:f>
              <c:strCache>
                <c:ptCount val="1"/>
                <c:pt idx="0">
                  <c:v>2020年</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'[新建 XLS 工作表.xls]Sheet1'!$L$6:$M$6</c:f>
              <c:strCache>
                <c:ptCount val="2"/>
                <c:pt idx="0">
                  <c:v>收入</c:v>
                </c:pt>
                <c:pt idx="1">
                  <c:v>支出</c:v>
                </c:pt>
              </c:strCache>
            </c:strRef>
          </c:cat>
          <c:val>
            <c:numRef>
              <c:f>'[新建 XLS 工作表.xls]Sheet1'!$L$7:$M$7</c:f>
              <c:numCache>
                <c:formatCode>General</c:formatCode>
                <c:ptCount val="2"/>
                <c:pt idx="0">
                  <c:v>134.91</c:v>
                </c:pt>
                <c:pt idx="1">
                  <c:v>134.91</c:v>
                </c:pt>
              </c:numCache>
            </c:numRef>
          </c:val>
        </c:ser>
        <c:ser>
          <c:idx val="1"/>
          <c:order val="1"/>
          <c:tx>
            <c:strRef>
              <c:f>'[新建 XLS 工作表.xls]Sheet1'!$K$8</c:f>
              <c:strCache>
                <c:ptCount val="1"/>
                <c:pt idx="0">
                  <c:v>2021年</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'[新建 XLS 工作表.xls]Sheet1'!$L$6:$M$6</c:f>
              <c:strCache>
                <c:ptCount val="2"/>
                <c:pt idx="0">
                  <c:v>收入</c:v>
                </c:pt>
                <c:pt idx="1">
                  <c:v>支出</c:v>
                </c:pt>
              </c:strCache>
            </c:strRef>
          </c:cat>
          <c:val>
            <c:numRef>
              <c:f>'[新建 XLS 工作表.xls]Sheet1'!$L$8:$M$8</c:f>
              <c:numCache>
                <c:formatCode>General</c:formatCode>
                <c:ptCount val="2"/>
                <c:pt idx="0">
                  <c:v>114.99</c:v>
                </c:pt>
                <c:pt idx="1">
                  <c:v>114.99</c:v>
                </c:pt>
              </c:numCache>
            </c:numRef>
          </c:val>
        </c:ser>
        <c:dLbls>
          <c:showLegendKey val="0"/>
          <c:showVal val="0"/>
          <c:showCatName val="0"/>
          <c:showSerName val="0"/>
          <c:showPercent val="0"/>
          <c:showBubbleSize val="0"/>
        </c:dLbls>
        <c:gapWidth val="219"/>
        <c:overlap val="-27"/>
        <c:axId val="224998262"/>
        <c:axId val="35952740"/>
      </c:barChart>
      <c:catAx>
        <c:axId val="22499826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952740"/>
        <c:crosses val="autoZero"/>
        <c:auto val="1"/>
        <c:lblAlgn val="ctr"/>
        <c:lblOffset val="100"/>
        <c:noMultiLvlLbl val="0"/>
      </c:catAx>
      <c:valAx>
        <c:axId val="3595274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499826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000000">
                          <a:alpha val="100000"/>
                        </a:srgbClr>
                      </a:solidFill>
                      <a:prstDash val="solid"/>
                      <a:round/>
                    </a:ln>
                  </c:spPr>
                </c15:leaderLines>
              </c:ext>
            </c:extLst>
          </c:dLbls>
          <c:cat>
            <c:strRef>
              <c:f>'[新建 XLS 工作表.xls]Sheet1'!$A$18:$A$19</c:f>
              <c:strCache>
                <c:ptCount val="2"/>
                <c:pt idx="0">
                  <c:v>财政拨款收入</c:v>
                </c:pt>
              </c:strCache>
            </c:strRef>
          </c:cat>
          <c:val>
            <c:numRef>
              <c:f>'[新建 XLS 工作表.xls]Sheet1'!$B$18:$B$20</c:f>
              <c:numCache>
                <c:formatCode>General</c:formatCode>
                <c:ptCount val="3"/>
                <c:pt idx="0">
                  <c:v>114.89</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'[新建 XLS 工作表.xls]Sheet1'!$A$3:$A$4</c:f>
              <c:strCache>
                <c:ptCount val="2"/>
                <c:pt idx="0">
                  <c:v>基本支出</c:v>
                </c:pt>
                <c:pt idx="1">
                  <c:v>项目支出</c:v>
                </c:pt>
              </c:strCache>
            </c:strRef>
          </c:cat>
          <c:val>
            <c:numRef>
              <c:f>'[新建 XLS 工作表.xls]Sheet1'!$B$3:$B$4</c:f>
              <c:numCache>
                <c:formatCode>General</c:formatCode>
                <c:ptCount val="2"/>
                <c:pt idx="0">
                  <c:v>106.99</c:v>
                </c:pt>
                <c:pt idx="1">
                  <c:v>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'[新建 XLS 工作表.xls]Sheet1'!$A$41</c:f>
              <c:strCache>
                <c:ptCount val="1"/>
                <c:pt idx="0">
                  <c:v>财政拨款收入</c:v>
                </c:pt>
              </c:strCache>
            </c:strRef>
          </c:tx>
          <c:spPr>
            <a:solidFill>
              <a:schemeClr val="accent1"/>
            </a:solidFill>
            <a:ln>
              <a:noFill/>
            </a:ln>
            <a:effectLst/>
          </c:spPr>
          <c:invertIfNegative val="0"/>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'[新建 XLS 工作表.xls]Sheet1'!$B$41:$C$41</c:f>
              <c:strCache>
                <c:ptCount val="2"/>
                <c:pt idx="0">
                  <c:v>2020年</c:v>
                </c:pt>
                <c:pt idx="1">
                  <c:v>2021年</c:v>
                </c:pt>
              </c:strCache>
            </c:strRef>
          </c:cat>
          <c:val>
            <c:numRef>
              <c:f>'[新建 XLS 工作表.xls]Sheet1'!$B$42:$C$42</c:f>
              <c:numCache>
                <c:formatCode>General</c:formatCode>
                <c:ptCount val="2"/>
                <c:pt idx="0">
                  <c:v>134.91</c:v>
                </c:pt>
                <c:pt idx="1">
                  <c:v>114.99</c:v>
                </c:pt>
              </c:numCache>
            </c:numRef>
          </c:val>
        </c:ser>
        <c:ser>
          <c:idx val="1"/>
          <c:order val="1"/>
          <c:tx>
            <c:strRef>
              <c:f>'[新建 XLS 工作表.xls]Sheet1'!$A$42</c:f>
              <c:strCache>
                <c:ptCount val="1"/>
                <c:pt idx="0">
                  <c:v>财政拨款支出</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'[新建 XLS 工作表.xls]Sheet1'!$B$41:$C$41</c:f>
              <c:strCache>
                <c:ptCount val="2"/>
                <c:pt idx="0">
                  <c:v>2020年</c:v>
                </c:pt>
                <c:pt idx="1">
                  <c:v>2021年</c:v>
                </c:pt>
              </c:strCache>
            </c:strRef>
          </c:cat>
          <c:val>
            <c:numRef>
              <c:f>'[新建 XLS 工作表.xls]Sheet1'!$B$43:$C$43</c:f>
              <c:numCache>
                <c:formatCode>General</c:formatCode>
                <c:ptCount val="2"/>
                <c:pt idx="0">
                  <c:v>134.91</c:v>
                </c:pt>
                <c:pt idx="1">
                  <c:v>114.99</c:v>
                </c:pt>
              </c:numCache>
            </c:numRef>
          </c:val>
        </c:ser>
        <c:dLbls>
          <c:showLegendKey val="0"/>
          <c:showVal val="0"/>
          <c:showCatName val="0"/>
          <c:showSerName val="0"/>
          <c:showPercent val="0"/>
          <c:showBubbleSize val="0"/>
        </c:dLbls>
        <c:gapWidth val="75"/>
        <c:overlap val="40"/>
        <c:axId val="300511088"/>
        <c:axId val="47996009"/>
      </c:barChart>
      <c:catAx>
        <c:axId val="30051108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996009"/>
        <c:crosses val="autoZero"/>
        <c:auto val="1"/>
        <c:lblAlgn val="ctr"/>
        <c:lblOffset val="100"/>
        <c:noMultiLvlLbl val="0"/>
      </c:catAx>
      <c:valAx>
        <c:axId val="47996009"/>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0511088"/>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'[新建 XLS 工作表.xls]Sheet1'!$A$54</c:f>
              <c:strCache>
                <c:ptCount val="1"/>
                <c:pt idx="0">
                  <c:v>一般公共预算财政拨款支出</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'[新建 XLS 工作表.xls]Sheet1'!$B$54:$C$54</c:f>
              <c:strCache>
                <c:ptCount val="2"/>
                <c:pt idx="0">
                  <c:v>2020年</c:v>
                </c:pt>
                <c:pt idx="1">
                  <c:v>2021年</c:v>
                </c:pt>
              </c:strCache>
            </c:strRef>
          </c:cat>
          <c:val>
            <c:numRef>
              <c:f>'[新建 XLS 工作表.xls]Sheet1'!$B$55:$C$55</c:f>
              <c:numCache>
                <c:formatCode>General</c:formatCode>
                <c:ptCount val="2"/>
                <c:pt idx="0">
                  <c:v>114.08</c:v>
                </c:pt>
                <c:pt idx="1">
                  <c:v>114.99</c:v>
                </c:pt>
              </c:numCache>
            </c:numRef>
          </c:val>
        </c:ser>
        <c:dLbls>
          <c:showLegendKey val="0"/>
          <c:showVal val="0"/>
          <c:showCatName val="0"/>
          <c:showSerName val="0"/>
          <c:showPercent val="0"/>
          <c:showBubbleSize val="0"/>
        </c:dLbls>
        <c:gapWidth val="75"/>
        <c:overlap val="40"/>
        <c:axId val="929353324"/>
        <c:axId val="889983167"/>
      </c:barChart>
      <c:catAx>
        <c:axId val="92935332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89983167"/>
        <c:crosses val="autoZero"/>
        <c:auto val="1"/>
        <c:lblAlgn val="ctr"/>
        <c:lblOffset val="100"/>
        <c:noMultiLvlLbl val="0"/>
      </c:catAx>
      <c:valAx>
        <c:axId val="889983167"/>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9353324"/>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'[新建 XLS 工作表.xls]Sheet1'!$F$52:$F$54</c:f>
              <c:strCache>
                <c:ptCount val="3"/>
                <c:pt idx="0">
                  <c:v>社会保障和就业支出</c:v>
                </c:pt>
                <c:pt idx="1">
                  <c:v>卫生健康支出</c:v>
                </c:pt>
                <c:pt idx="2">
                  <c:v>住房保障支出</c:v>
                </c:pt>
              </c:strCache>
            </c:strRef>
          </c:cat>
          <c:val>
            <c:numRef>
              <c:f>'[新建 XLS 工作表.xls]Sheet1'!$G$52:$G$54</c:f>
              <c:numCache>
                <c:formatCode>General</c:formatCode>
                <c:ptCount val="3"/>
                <c:pt idx="0">
                  <c:v>7.62</c:v>
                </c:pt>
                <c:pt idx="1">
                  <c:v>99.04</c:v>
                </c:pt>
                <c:pt idx="2">
                  <c:v>8.33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25</Pages>
  <Words>8444</Words>
  <Characters>8968</Characters>
  <Lines>61</Lines>
  <Paragraphs>17</Paragraphs>
  <TotalTime>1</TotalTime>
  <ScaleCrop>false</ScaleCrop>
  <LinksUpToDate>false</LinksUpToDate>
  <CharactersWithSpaces>9098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2022-08-06T02:23:00Z</cp:lastPrinted>
  <dcterms:modified xsi:type="dcterms:W3CDTF">2022-10-08T13:00:11Z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18C4299B72334D3095585539B3212D20</vt:lpwstr>
  </property>
</Properties>
</file>