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bookmarkEnd w:id="0"/>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 w:name="_Toc15378441"/>
      <w:bookmarkStart w:id="2" w:name="_Toc11402"/>
      <w:bookmarkStart w:id="3" w:name="_Toc8622"/>
      <w:bookmarkStart w:id="4" w:name="_Toc15396475"/>
      <w:bookmarkStart w:id="5" w:name="_Toc15396597"/>
      <w:bookmarkStart w:id="6" w:name="_Toc10066"/>
      <w:bookmarkStart w:id="7" w:name="_Toc16569"/>
      <w:bookmarkStart w:id="8" w:name="_Toc32310"/>
      <w:bookmarkStart w:id="9" w:name="_Toc15377425"/>
      <w:bookmarkStart w:id="10" w:name="_Toc502"/>
      <w:bookmarkStart w:id="11" w:name="_Toc15377"/>
      <w:bookmarkStart w:id="12" w:name="_Toc15377193"/>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21</w:t>
      </w:r>
      <w:r>
        <w:rPr>
          <w:rFonts w:hint="eastAsia" w:ascii="方正小标宋简体" w:hAnsi="方正小标宋简体" w:eastAsia="方正小标宋简体" w:cs="方正小标宋简体"/>
          <w:b/>
          <w:bCs/>
          <w:color w:val="auto"/>
          <w:sz w:val="72"/>
          <w:szCs w:val="72"/>
          <w:highlight w:val="none"/>
        </w:rPr>
        <w:t>年度</w:t>
      </w:r>
      <w:bookmarkEnd w:id="1"/>
      <w:bookmarkEnd w:id="2"/>
      <w:bookmarkEnd w:id="3"/>
      <w:bookmarkEnd w:id="4"/>
      <w:bookmarkEnd w:id="5"/>
      <w:bookmarkEnd w:id="6"/>
      <w:bookmarkEnd w:id="7"/>
      <w:bookmarkEnd w:id="8"/>
      <w:bookmarkEnd w:id="9"/>
      <w:bookmarkEnd w:id="10"/>
      <w:bookmarkEnd w:id="11"/>
      <w:bookmarkEnd w:id="12"/>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3" w:name="_Toc15377426"/>
      <w:bookmarkStart w:id="14" w:name="_Toc15378442"/>
      <w:bookmarkStart w:id="15" w:name="_Toc15396476"/>
      <w:bookmarkStart w:id="16" w:name="_Toc3990"/>
      <w:bookmarkStart w:id="17" w:name="_Toc15785"/>
      <w:bookmarkStart w:id="18" w:name="_Toc19972"/>
      <w:bookmarkStart w:id="19" w:name="_Toc15396598"/>
      <w:bookmarkStart w:id="20" w:name="_Toc18497"/>
      <w:bookmarkStart w:id="21" w:name="_Toc17759"/>
      <w:bookmarkStart w:id="22" w:name="_Toc15377194"/>
      <w:bookmarkStart w:id="23" w:name="_Toc14544"/>
      <w:bookmarkStart w:id="24" w:name="_Toc2396"/>
      <w:r>
        <w:rPr>
          <w:rFonts w:hint="eastAsia" w:ascii="方正小标宋简体" w:hAnsi="方正小标宋简体" w:eastAsia="方正小标宋简体" w:cs="方正小标宋简体"/>
          <w:b/>
          <w:bCs/>
          <w:color w:val="auto"/>
          <w:sz w:val="72"/>
          <w:szCs w:val="72"/>
          <w:highlight w:val="none"/>
        </w:rPr>
        <w:t>四川省</w:t>
      </w:r>
      <w:bookmarkStart w:id="25" w:name="_Toc15306268"/>
      <w:r>
        <w:rPr>
          <w:rFonts w:hint="eastAsia" w:ascii="宋体" w:hAnsi="宋体" w:eastAsia="宋体" w:cs="宋体"/>
          <w:b/>
          <w:bCs/>
          <w:sz w:val="72"/>
          <w:szCs w:val="72"/>
          <w:lang w:val="en-US" w:eastAsia="zh-CN"/>
        </w:rPr>
        <w:t>广元市昭化区妇幼保健院</w:t>
      </w:r>
      <w:r>
        <w:rPr>
          <w:rFonts w:hint="eastAsia" w:ascii="方正小标宋简体" w:hAnsi="方正小标宋简体" w:eastAsia="方正小标宋简体" w:cs="方正小标宋简体"/>
          <w:b/>
          <w:bCs/>
          <w:color w:val="auto"/>
          <w:sz w:val="72"/>
          <w:szCs w:val="72"/>
          <w:highlight w:val="none"/>
          <w:lang w:eastAsia="zh-CN"/>
        </w:rPr>
        <w:t>单位</w:t>
      </w:r>
      <w:r>
        <w:rPr>
          <w:rFonts w:hint="eastAsia" w:ascii="方正小标宋简体" w:hAnsi="方正小标宋简体" w:eastAsia="方正小标宋简体" w:cs="方正小标宋简体"/>
          <w:b/>
          <w:bCs/>
          <w:color w:val="auto"/>
          <w:sz w:val="72"/>
          <w:szCs w:val="72"/>
          <w:highlight w:val="none"/>
        </w:rPr>
        <w:t>决算</w:t>
      </w:r>
      <w:bookmarkEnd w:id="13"/>
      <w:bookmarkEnd w:id="14"/>
      <w:bookmarkEnd w:id="15"/>
      <w:bookmarkEnd w:id="16"/>
      <w:bookmarkEnd w:id="17"/>
      <w:bookmarkEnd w:id="18"/>
      <w:bookmarkEnd w:id="19"/>
      <w:bookmarkEnd w:id="20"/>
      <w:bookmarkEnd w:id="21"/>
      <w:bookmarkEnd w:id="22"/>
      <w:bookmarkEnd w:id="23"/>
      <w:bookmarkEnd w:id="24"/>
      <w:bookmarkEnd w:id="25"/>
    </w:p>
    <w:p>
      <w:pPr>
        <w:widowControl/>
        <w:jc w:val="center"/>
        <w:rPr>
          <w:color w:val="auto"/>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sdt>
      <w:sdtPr>
        <w:rPr>
          <w:rFonts w:ascii="宋体" w:hAnsi="宋体" w:eastAsia="宋体" w:cs="Times New Roman"/>
          <w:kern w:val="2"/>
          <w:sz w:val="21"/>
          <w:szCs w:val="24"/>
          <w:lang w:val="en-US" w:eastAsia="zh-CN" w:bidi="ar-SA"/>
        </w:rPr>
        <w:id w:val="147451561"/>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pStyle w:val="7"/>
            <w:jc w:val="center"/>
          </w:pPr>
          <w:r>
            <w:rPr>
              <w:rFonts w:hint="eastAsia" w:ascii="仿宋" w:hAnsi="仿宋" w:eastAsia="仿宋" w:cs="Times New Roman"/>
              <w:b w:val="0"/>
              <w:bCs/>
              <w:kern w:val="2"/>
              <w:sz w:val="28"/>
              <w:szCs w:val="28"/>
              <w:highlight w:val="none"/>
              <w:lang w:val="en-US" w:eastAsia="zh-CN" w:bidi="ar-SA"/>
            </w:rPr>
            <w:t>公开时间：2022年 9月30日</w:t>
          </w:r>
          <w:r>
            <w:fldChar w:fldCharType="begin"/>
          </w:r>
          <w:r>
            <w:instrText xml:space="preserve">TOC \o "1-2" \h \u </w:instrText>
          </w:r>
          <w:r>
            <w:fldChar w:fldCharType="separate"/>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_Toc19350 </w:instrText>
          </w:r>
          <w:r>
            <w:rPr>
              <w:rFonts w:hint="eastAsia"/>
              <w:color w:val="auto"/>
              <w:sz w:val="24"/>
              <w:highlight w:val="none"/>
              <w:lang w:val="en-US" w:eastAsia="zh-CN"/>
            </w:rPr>
            <w:fldChar w:fldCharType="separate"/>
          </w:r>
          <w:r>
            <w:rPr>
              <w:rFonts w:hint="eastAsia"/>
              <w:color w:val="auto"/>
              <w:sz w:val="24"/>
              <w:highlight w:val="none"/>
              <w:lang w:val="en-US" w:eastAsia="zh-CN"/>
            </w:rPr>
            <w:t>第一部分 单位概况</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_Toc19350 \h </w:instrText>
          </w:r>
          <w:r>
            <w:rPr>
              <w:rFonts w:hint="eastAsia"/>
              <w:color w:val="auto"/>
              <w:sz w:val="24"/>
              <w:highlight w:val="none"/>
              <w:lang w:val="en-US" w:eastAsia="zh-CN"/>
            </w:rPr>
            <w:fldChar w:fldCharType="separate"/>
          </w:r>
          <w:r>
            <w:rPr>
              <w:rFonts w:hint="eastAsia"/>
              <w:color w:val="auto"/>
              <w:sz w:val="24"/>
              <w:highlight w:val="none"/>
              <w:lang w:val="en-US" w:eastAsia="zh-CN"/>
            </w:rPr>
            <w:t>4</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_Toc12407 </w:instrText>
          </w:r>
          <w:r>
            <w:rPr>
              <w:rFonts w:hint="eastAsia"/>
              <w:color w:val="auto"/>
              <w:sz w:val="24"/>
              <w:highlight w:val="none"/>
              <w:lang w:val="en-US" w:eastAsia="zh-CN"/>
            </w:rPr>
            <w:fldChar w:fldCharType="separate"/>
          </w:r>
          <w:r>
            <w:rPr>
              <w:rFonts w:hint="eastAsia"/>
              <w:color w:val="auto"/>
              <w:sz w:val="24"/>
              <w:highlight w:val="none"/>
              <w:lang w:val="en-US" w:eastAsia="zh-CN"/>
            </w:rPr>
            <w:t>一、 职能简介</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_Toc12407 \h </w:instrText>
          </w:r>
          <w:r>
            <w:rPr>
              <w:rFonts w:hint="eastAsia"/>
              <w:color w:val="auto"/>
              <w:sz w:val="24"/>
              <w:highlight w:val="none"/>
              <w:lang w:val="en-US" w:eastAsia="zh-CN"/>
            </w:rPr>
            <w:fldChar w:fldCharType="separate"/>
          </w:r>
          <w:r>
            <w:rPr>
              <w:rFonts w:hint="eastAsia"/>
              <w:color w:val="auto"/>
              <w:sz w:val="24"/>
              <w:highlight w:val="none"/>
              <w:lang w:val="en-US" w:eastAsia="zh-CN"/>
            </w:rPr>
            <w:t>4</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_Toc15211 </w:instrText>
          </w:r>
          <w:r>
            <w:rPr>
              <w:rFonts w:hint="eastAsia"/>
              <w:color w:val="auto"/>
              <w:sz w:val="24"/>
              <w:highlight w:val="none"/>
              <w:lang w:val="en-US" w:eastAsia="zh-CN"/>
            </w:rPr>
            <w:fldChar w:fldCharType="separate"/>
          </w:r>
          <w:r>
            <w:rPr>
              <w:rFonts w:hint="eastAsia"/>
              <w:color w:val="auto"/>
              <w:sz w:val="24"/>
              <w:highlight w:val="none"/>
              <w:lang w:val="en-US" w:eastAsia="zh-CN"/>
            </w:rPr>
            <w:t>二、2021年重点工作完成情况</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_Toc15211 \h </w:instrText>
          </w:r>
          <w:r>
            <w:rPr>
              <w:rFonts w:hint="eastAsia"/>
              <w:color w:val="auto"/>
              <w:sz w:val="24"/>
              <w:highlight w:val="none"/>
              <w:lang w:val="en-US" w:eastAsia="zh-CN"/>
            </w:rPr>
            <w:fldChar w:fldCharType="separate"/>
          </w:r>
          <w:r>
            <w:rPr>
              <w:rFonts w:hint="eastAsia"/>
              <w:color w:val="auto"/>
              <w:sz w:val="24"/>
              <w:highlight w:val="none"/>
              <w:lang w:val="en-US" w:eastAsia="zh-CN"/>
            </w:rPr>
            <w:t>4</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_Toc31286 </w:instrText>
          </w:r>
          <w:r>
            <w:rPr>
              <w:rFonts w:hint="eastAsia"/>
              <w:color w:val="auto"/>
              <w:sz w:val="24"/>
              <w:highlight w:val="none"/>
              <w:lang w:val="en-US" w:eastAsia="zh-CN"/>
            </w:rPr>
            <w:fldChar w:fldCharType="separate"/>
          </w:r>
          <w:r>
            <w:rPr>
              <w:rFonts w:hint="eastAsia"/>
              <w:color w:val="auto"/>
              <w:sz w:val="24"/>
              <w:highlight w:val="none"/>
              <w:lang w:val="en-US" w:eastAsia="zh-CN"/>
            </w:rPr>
            <w:t>第二部分 2021年度单位决算情况说明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_Toc31286 \h </w:instrText>
          </w:r>
          <w:r>
            <w:rPr>
              <w:rFonts w:hint="eastAsia"/>
              <w:color w:val="auto"/>
              <w:sz w:val="24"/>
              <w:highlight w:val="none"/>
              <w:lang w:val="en-US" w:eastAsia="zh-CN"/>
            </w:rPr>
            <w:fldChar w:fldCharType="separate"/>
          </w:r>
          <w:r>
            <w:rPr>
              <w:rFonts w:hint="eastAsia"/>
              <w:color w:val="auto"/>
              <w:sz w:val="24"/>
              <w:highlight w:val="none"/>
              <w:lang w:val="en-US" w:eastAsia="zh-CN"/>
            </w:rPr>
            <w:t>6</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_Toc14737 </w:instrText>
          </w:r>
          <w:r>
            <w:rPr>
              <w:rFonts w:hint="eastAsia"/>
              <w:color w:val="auto"/>
              <w:sz w:val="24"/>
              <w:highlight w:val="none"/>
              <w:lang w:val="en-US" w:eastAsia="zh-CN"/>
            </w:rPr>
            <w:fldChar w:fldCharType="separate"/>
          </w:r>
          <w:r>
            <w:rPr>
              <w:rFonts w:hint="default"/>
              <w:color w:val="auto"/>
              <w:sz w:val="24"/>
              <w:highlight w:val="none"/>
              <w:lang w:val="en-US" w:eastAsia="zh-CN"/>
            </w:rPr>
            <w:t xml:space="preserve">一、 </w:t>
          </w:r>
          <w:r>
            <w:rPr>
              <w:rFonts w:hint="eastAsia"/>
              <w:color w:val="auto"/>
              <w:sz w:val="24"/>
              <w:highlight w:val="none"/>
              <w:lang w:val="en-US" w:eastAsia="zh-CN"/>
            </w:rPr>
            <w:t>收入支出决算总体情况说明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_Toc14737 \h </w:instrText>
          </w:r>
          <w:r>
            <w:rPr>
              <w:rFonts w:hint="eastAsia"/>
              <w:color w:val="auto"/>
              <w:sz w:val="24"/>
              <w:highlight w:val="none"/>
              <w:lang w:val="en-US" w:eastAsia="zh-CN"/>
            </w:rPr>
            <w:fldChar w:fldCharType="separate"/>
          </w:r>
          <w:r>
            <w:rPr>
              <w:rFonts w:hint="eastAsia"/>
              <w:color w:val="auto"/>
              <w:sz w:val="24"/>
              <w:highlight w:val="none"/>
              <w:lang w:val="en-US" w:eastAsia="zh-CN"/>
            </w:rPr>
            <w:t>6</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_Toc30783 </w:instrText>
          </w:r>
          <w:r>
            <w:rPr>
              <w:rFonts w:hint="eastAsia"/>
              <w:color w:val="auto"/>
              <w:sz w:val="24"/>
              <w:highlight w:val="none"/>
              <w:lang w:val="en-US" w:eastAsia="zh-CN"/>
            </w:rPr>
            <w:fldChar w:fldCharType="separate"/>
          </w:r>
          <w:r>
            <w:rPr>
              <w:rFonts w:hint="default"/>
              <w:color w:val="auto"/>
              <w:sz w:val="24"/>
              <w:highlight w:val="none"/>
              <w:lang w:val="en-US" w:eastAsia="zh-CN"/>
            </w:rPr>
            <w:t xml:space="preserve">二、 </w:t>
          </w:r>
          <w:r>
            <w:rPr>
              <w:rFonts w:hint="eastAsia"/>
              <w:color w:val="auto"/>
              <w:sz w:val="24"/>
              <w:highlight w:val="none"/>
              <w:lang w:val="en-US" w:eastAsia="zh-CN"/>
            </w:rPr>
            <w:t>收入决算情况说明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_Toc30783 \h </w:instrText>
          </w:r>
          <w:r>
            <w:rPr>
              <w:rFonts w:hint="eastAsia"/>
              <w:color w:val="auto"/>
              <w:sz w:val="24"/>
              <w:highlight w:val="none"/>
              <w:lang w:val="en-US" w:eastAsia="zh-CN"/>
            </w:rPr>
            <w:fldChar w:fldCharType="separate"/>
          </w:r>
          <w:r>
            <w:rPr>
              <w:rFonts w:hint="eastAsia"/>
              <w:color w:val="auto"/>
              <w:sz w:val="24"/>
              <w:highlight w:val="none"/>
              <w:lang w:val="en-US" w:eastAsia="zh-CN"/>
            </w:rPr>
            <w:t>6</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_Toc13865 </w:instrText>
          </w:r>
          <w:r>
            <w:rPr>
              <w:rFonts w:hint="eastAsia"/>
              <w:color w:val="auto"/>
              <w:sz w:val="24"/>
              <w:highlight w:val="none"/>
              <w:lang w:val="en-US" w:eastAsia="zh-CN"/>
            </w:rPr>
            <w:fldChar w:fldCharType="separate"/>
          </w:r>
          <w:r>
            <w:rPr>
              <w:rFonts w:hint="default"/>
              <w:color w:val="auto"/>
              <w:sz w:val="24"/>
              <w:highlight w:val="none"/>
              <w:lang w:val="en-US" w:eastAsia="zh-CN"/>
            </w:rPr>
            <w:t xml:space="preserve">三、 </w:t>
          </w:r>
          <w:r>
            <w:rPr>
              <w:rFonts w:hint="eastAsia"/>
              <w:color w:val="auto"/>
              <w:sz w:val="24"/>
              <w:highlight w:val="none"/>
              <w:lang w:val="en-US" w:eastAsia="zh-CN"/>
            </w:rPr>
            <w:t>支出决算情况说明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_Toc13865 \h </w:instrText>
          </w:r>
          <w:r>
            <w:rPr>
              <w:rFonts w:hint="eastAsia"/>
              <w:color w:val="auto"/>
              <w:sz w:val="24"/>
              <w:highlight w:val="none"/>
              <w:lang w:val="en-US" w:eastAsia="zh-CN"/>
            </w:rPr>
            <w:fldChar w:fldCharType="separate"/>
          </w:r>
          <w:r>
            <w:rPr>
              <w:rFonts w:hint="eastAsia"/>
              <w:color w:val="auto"/>
              <w:sz w:val="24"/>
              <w:highlight w:val="none"/>
              <w:lang w:val="en-US" w:eastAsia="zh-CN"/>
            </w:rPr>
            <w:t>7</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_Toc32252 </w:instrText>
          </w:r>
          <w:r>
            <w:rPr>
              <w:rFonts w:hint="eastAsia"/>
              <w:color w:val="auto"/>
              <w:sz w:val="24"/>
              <w:highlight w:val="none"/>
              <w:lang w:val="en-US" w:eastAsia="zh-CN"/>
            </w:rPr>
            <w:fldChar w:fldCharType="separate"/>
          </w:r>
          <w:r>
            <w:rPr>
              <w:rFonts w:hint="eastAsia"/>
              <w:color w:val="auto"/>
              <w:sz w:val="24"/>
              <w:highlight w:val="none"/>
              <w:lang w:val="en-US" w:eastAsia="zh-CN"/>
            </w:rPr>
            <w:t>四、财政拨款收入支出决算总体情况说明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_Toc32252 \h </w:instrText>
          </w:r>
          <w:r>
            <w:rPr>
              <w:rFonts w:hint="eastAsia"/>
              <w:color w:val="auto"/>
              <w:sz w:val="24"/>
              <w:highlight w:val="none"/>
              <w:lang w:val="en-US" w:eastAsia="zh-CN"/>
            </w:rPr>
            <w:fldChar w:fldCharType="separate"/>
          </w:r>
          <w:r>
            <w:rPr>
              <w:rFonts w:hint="eastAsia"/>
              <w:color w:val="auto"/>
              <w:sz w:val="24"/>
              <w:highlight w:val="none"/>
              <w:lang w:val="en-US" w:eastAsia="zh-CN"/>
            </w:rPr>
            <w:t>7</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_Toc4993 </w:instrText>
          </w:r>
          <w:r>
            <w:rPr>
              <w:rFonts w:hint="eastAsia"/>
              <w:color w:val="auto"/>
              <w:sz w:val="24"/>
              <w:highlight w:val="none"/>
              <w:lang w:val="en-US" w:eastAsia="zh-CN"/>
            </w:rPr>
            <w:fldChar w:fldCharType="separate"/>
          </w:r>
          <w:r>
            <w:rPr>
              <w:rFonts w:hint="eastAsia"/>
              <w:color w:val="auto"/>
              <w:sz w:val="24"/>
              <w:highlight w:val="none"/>
              <w:lang w:val="en-US" w:eastAsia="zh-CN"/>
            </w:rPr>
            <w:t>五、一般公共预算财政拨款支出决算情况说明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_Toc4993 \h </w:instrText>
          </w:r>
          <w:r>
            <w:rPr>
              <w:rFonts w:hint="eastAsia"/>
              <w:color w:val="auto"/>
              <w:sz w:val="24"/>
              <w:highlight w:val="none"/>
              <w:lang w:val="en-US" w:eastAsia="zh-CN"/>
            </w:rPr>
            <w:fldChar w:fldCharType="separate"/>
          </w:r>
          <w:r>
            <w:rPr>
              <w:rFonts w:hint="eastAsia"/>
              <w:color w:val="auto"/>
              <w:sz w:val="24"/>
              <w:highlight w:val="none"/>
              <w:lang w:val="en-US" w:eastAsia="zh-CN"/>
            </w:rPr>
            <w:t>8</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_Toc30439 </w:instrText>
          </w:r>
          <w:r>
            <w:rPr>
              <w:rFonts w:hint="eastAsia"/>
              <w:color w:val="auto"/>
              <w:sz w:val="24"/>
              <w:highlight w:val="none"/>
              <w:lang w:val="en-US" w:eastAsia="zh-CN"/>
            </w:rPr>
            <w:fldChar w:fldCharType="separate"/>
          </w:r>
          <w:r>
            <w:rPr>
              <w:rFonts w:hint="eastAsia"/>
              <w:color w:val="auto"/>
              <w:sz w:val="24"/>
              <w:highlight w:val="none"/>
              <w:lang w:val="en-US" w:eastAsia="zh-CN"/>
            </w:rPr>
            <w:t>六、一般公共预算财政拨款基本支出决算情况说明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_Toc30439 \h </w:instrText>
          </w:r>
          <w:r>
            <w:rPr>
              <w:rFonts w:hint="eastAsia"/>
              <w:color w:val="auto"/>
              <w:sz w:val="24"/>
              <w:highlight w:val="none"/>
              <w:lang w:val="en-US" w:eastAsia="zh-CN"/>
            </w:rPr>
            <w:fldChar w:fldCharType="separate"/>
          </w:r>
          <w:r>
            <w:rPr>
              <w:rFonts w:hint="eastAsia"/>
              <w:color w:val="auto"/>
              <w:sz w:val="24"/>
              <w:highlight w:val="none"/>
              <w:lang w:val="en-US" w:eastAsia="zh-CN"/>
            </w:rPr>
            <w:t>10</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_Toc24580 </w:instrText>
          </w:r>
          <w:r>
            <w:rPr>
              <w:rFonts w:hint="eastAsia"/>
              <w:color w:val="auto"/>
              <w:sz w:val="24"/>
              <w:highlight w:val="none"/>
              <w:lang w:val="en-US" w:eastAsia="zh-CN"/>
            </w:rPr>
            <w:fldChar w:fldCharType="separate"/>
          </w:r>
          <w:r>
            <w:rPr>
              <w:rFonts w:hint="eastAsia"/>
              <w:color w:val="auto"/>
              <w:sz w:val="24"/>
              <w:highlight w:val="none"/>
              <w:lang w:val="en-US" w:eastAsia="zh-CN"/>
            </w:rPr>
            <w:t>七、“三公”经费财政拨款支出决算情况说明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_Toc24580 \h </w:instrText>
          </w:r>
          <w:r>
            <w:rPr>
              <w:rFonts w:hint="eastAsia"/>
              <w:color w:val="auto"/>
              <w:sz w:val="24"/>
              <w:highlight w:val="none"/>
              <w:lang w:val="en-US" w:eastAsia="zh-CN"/>
            </w:rPr>
            <w:fldChar w:fldCharType="separate"/>
          </w:r>
          <w:r>
            <w:rPr>
              <w:rFonts w:hint="eastAsia"/>
              <w:color w:val="auto"/>
              <w:sz w:val="24"/>
              <w:highlight w:val="none"/>
              <w:lang w:val="en-US" w:eastAsia="zh-CN"/>
            </w:rPr>
            <w:t>11</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_Toc11570 </w:instrText>
          </w:r>
          <w:r>
            <w:rPr>
              <w:rFonts w:hint="eastAsia"/>
              <w:color w:val="auto"/>
              <w:sz w:val="24"/>
              <w:highlight w:val="none"/>
              <w:lang w:val="en-US" w:eastAsia="zh-CN"/>
            </w:rPr>
            <w:fldChar w:fldCharType="separate"/>
          </w:r>
          <w:r>
            <w:rPr>
              <w:rFonts w:hint="eastAsia"/>
              <w:color w:val="auto"/>
              <w:sz w:val="24"/>
              <w:highlight w:val="none"/>
              <w:lang w:val="en-US" w:eastAsia="zh-CN"/>
            </w:rPr>
            <w:t>八、政府性基金预算支出决算情况说明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_Toc11570 \h </w:instrText>
          </w:r>
          <w:r>
            <w:rPr>
              <w:rFonts w:hint="eastAsia"/>
              <w:color w:val="auto"/>
              <w:sz w:val="24"/>
              <w:highlight w:val="none"/>
              <w:lang w:val="en-US" w:eastAsia="zh-CN"/>
            </w:rPr>
            <w:fldChar w:fldCharType="separate"/>
          </w:r>
          <w:r>
            <w:rPr>
              <w:rFonts w:hint="eastAsia"/>
              <w:color w:val="auto"/>
              <w:sz w:val="24"/>
              <w:highlight w:val="none"/>
              <w:lang w:val="en-US" w:eastAsia="zh-CN"/>
            </w:rPr>
            <w:t>12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_Toc9415 </w:instrText>
          </w:r>
          <w:r>
            <w:rPr>
              <w:rFonts w:hint="eastAsia"/>
              <w:color w:val="auto"/>
              <w:sz w:val="24"/>
              <w:highlight w:val="none"/>
              <w:lang w:val="en-US" w:eastAsia="zh-CN"/>
            </w:rPr>
            <w:fldChar w:fldCharType="separate"/>
          </w:r>
          <w:r>
            <w:rPr>
              <w:rFonts w:hint="eastAsia"/>
              <w:color w:val="auto"/>
              <w:sz w:val="24"/>
              <w:highlight w:val="none"/>
              <w:lang w:val="en-US" w:eastAsia="zh-CN"/>
            </w:rPr>
            <w:t>九、 国有资本经营预算支出决算情况说明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_Toc9415 \h </w:instrText>
          </w:r>
          <w:r>
            <w:rPr>
              <w:rFonts w:hint="eastAsia"/>
              <w:color w:val="auto"/>
              <w:sz w:val="24"/>
              <w:highlight w:val="none"/>
              <w:lang w:val="en-US" w:eastAsia="zh-CN"/>
            </w:rPr>
            <w:fldChar w:fldCharType="separate"/>
          </w:r>
          <w:r>
            <w:rPr>
              <w:rFonts w:hint="eastAsia"/>
              <w:color w:val="auto"/>
              <w:sz w:val="24"/>
              <w:highlight w:val="none"/>
              <w:lang w:val="en-US" w:eastAsia="zh-CN"/>
            </w:rPr>
            <w:t>12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_Toc30370 </w:instrText>
          </w:r>
          <w:r>
            <w:rPr>
              <w:rFonts w:hint="eastAsia"/>
              <w:color w:val="auto"/>
              <w:sz w:val="24"/>
              <w:highlight w:val="none"/>
              <w:lang w:val="en-US" w:eastAsia="zh-CN"/>
            </w:rPr>
            <w:fldChar w:fldCharType="separate"/>
          </w:r>
          <w:r>
            <w:rPr>
              <w:rFonts w:hint="eastAsia"/>
              <w:color w:val="auto"/>
              <w:sz w:val="24"/>
              <w:highlight w:val="none"/>
              <w:lang w:val="en-US" w:eastAsia="zh-CN"/>
            </w:rPr>
            <w:t>十、 预算绩效管理情况</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_Toc30370 \h </w:instrText>
          </w:r>
          <w:r>
            <w:rPr>
              <w:rFonts w:hint="eastAsia"/>
              <w:color w:val="auto"/>
              <w:sz w:val="24"/>
              <w:highlight w:val="none"/>
              <w:lang w:val="en-US" w:eastAsia="zh-CN"/>
            </w:rPr>
            <w:fldChar w:fldCharType="separate"/>
          </w:r>
          <w:r>
            <w:rPr>
              <w:rFonts w:hint="eastAsia"/>
              <w:color w:val="auto"/>
              <w:sz w:val="24"/>
              <w:highlight w:val="none"/>
              <w:lang w:val="en-US" w:eastAsia="zh-CN"/>
            </w:rPr>
            <w:t>12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_Toc5491 </w:instrText>
          </w:r>
          <w:r>
            <w:rPr>
              <w:rFonts w:hint="eastAsia"/>
              <w:color w:val="auto"/>
              <w:sz w:val="24"/>
              <w:highlight w:val="none"/>
              <w:lang w:val="en-US" w:eastAsia="zh-CN"/>
            </w:rPr>
            <w:fldChar w:fldCharType="separate"/>
          </w:r>
          <w:r>
            <w:rPr>
              <w:rFonts w:hint="eastAsia"/>
              <w:color w:val="auto"/>
              <w:sz w:val="24"/>
              <w:highlight w:val="none"/>
              <w:lang w:val="en-US" w:eastAsia="zh-CN"/>
            </w:rPr>
            <w:t>十一、 其他重要事项的情况说明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_Toc5491 \h </w:instrText>
          </w:r>
          <w:r>
            <w:rPr>
              <w:rFonts w:hint="eastAsia"/>
              <w:color w:val="auto"/>
              <w:sz w:val="24"/>
              <w:highlight w:val="none"/>
              <w:lang w:val="en-US" w:eastAsia="zh-CN"/>
            </w:rPr>
            <w:fldChar w:fldCharType="separate"/>
          </w:r>
          <w:r>
            <w:rPr>
              <w:rFonts w:hint="eastAsia"/>
              <w:color w:val="auto"/>
              <w:sz w:val="24"/>
              <w:highlight w:val="none"/>
              <w:lang w:val="en-US" w:eastAsia="zh-CN"/>
            </w:rPr>
            <w:t>14</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_Toc327 </w:instrText>
          </w:r>
          <w:r>
            <w:rPr>
              <w:rFonts w:hint="eastAsia"/>
              <w:color w:val="auto"/>
              <w:sz w:val="24"/>
              <w:highlight w:val="none"/>
              <w:lang w:val="en-US" w:eastAsia="zh-CN"/>
            </w:rPr>
            <w:fldChar w:fldCharType="separate"/>
          </w:r>
          <w:r>
            <w:rPr>
              <w:rFonts w:hint="eastAsia"/>
              <w:color w:val="auto"/>
              <w:sz w:val="24"/>
              <w:highlight w:val="none"/>
              <w:lang w:val="en-US" w:eastAsia="zh-CN"/>
            </w:rPr>
            <w:t>第三部分 名词解释</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_Toc327 \h </w:instrText>
          </w:r>
          <w:r>
            <w:rPr>
              <w:rFonts w:hint="eastAsia"/>
              <w:color w:val="auto"/>
              <w:sz w:val="24"/>
              <w:highlight w:val="none"/>
              <w:lang w:val="en-US" w:eastAsia="zh-CN"/>
            </w:rPr>
            <w:fldChar w:fldCharType="separate"/>
          </w:r>
          <w:r>
            <w:rPr>
              <w:rFonts w:hint="eastAsia"/>
              <w:color w:val="auto"/>
              <w:sz w:val="24"/>
              <w:highlight w:val="none"/>
              <w:lang w:val="en-US" w:eastAsia="zh-CN"/>
            </w:rPr>
            <w:t>16</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_Toc5281 </w:instrText>
          </w:r>
          <w:r>
            <w:rPr>
              <w:rFonts w:hint="eastAsia"/>
              <w:color w:val="auto"/>
              <w:sz w:val="24"/>
              <w:highlight w:val="none"/>
              <w:lang w:val="en-US" w:eastAsia="zh-CN"/>
            </w:rPr>
            <w:fldChar w:fldCharType="separate"/>
          </w:r>
          <w:r>
            <w:rPr>
              <w:rFonts w:hint="eastAsia"/>
              <w:color w:val="auto"/>
              <w:sz w:val="24"/>
              <w:highlight w:val="none"/>
              <w:lang w:val="en-US" w:eastAsia="zh-CN"/>
            </w:rPr>
            <w:t>第四部分 附件</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_Toc5281 \h </w:instrText>
          </w:r>
          <w:r>
            <w:rPr>
              <w:rFonts w:hint="eastAsia"/>
              <w:color w:val="auto"/>
              <w:sz w:val="24"/>
              <w:highlight w:val="none"/>
              <w:lang w:val="en-US" w:eastAsia="zh-CN"/>
            </w:rPr>
            <w:fldChar w:fldCharType="separate"/>
          </w:r>
          <w:r>
            <w:rPr>
              <w:rFonts w:hint="eastAsia"/>
              <w:color w:val="auto"/>
              <w:sz w:val="24"/>
              <w:highlight w:val="none"/>
              <w:lang w:val="en-US" w:eastAsia="zh-CN"/>
            </w:rPr>
            <w:t>18</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_Toc22494 </w:instrText>
          </w:r>
          <w:r>
            <w:rPr>
              <w:rFonts w:hint="eastAsia"/>
              <w:color w:val="auto"/>
              <w:sz w:val="24"/>
              <w:highlight w:val="none"/>
              <w:lang w:val="en-US" w:eastAsia="zh-CN"/>
            </w:rPr>
            <w:fldChar w:fldCharType="separate"/>
          </w:r>
          <w:r>
            <w:rPr>
              <w:rFonts w:hint="eastAsia"/>
              <w:color w:val="auto"/>
              <w:sz w:val="24"/>
              <w:highlight w:val="none"/>
              <w:lang w:val="en-US" w:eastAsia="zh-CN"/>
            </w:rPr>
            <w:t>第五部分 附表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_Toc22494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_Toc9680 </w:instrText>
          </w:r>
          <w:r>
            <w:rPr>
              <w:rFonts w:hint="eastAsia"/>
              <w:color w:val="auto"/>
              <w:sz w:val="24"/>
              <w:highlight w:val="none"/>
              <w:lang w:val="en-US" w:eastAsia="zh-CN"/>
            </w:rPr>
            <w:fldChar w:fldCharType="separate"/>
          </w:r>
          <w:r>
            <w:rPr>
              <w:rFonts w:hint="eastAsia"/>
              <w:color w:val="auto"/>
              <w:sz w:val="24"/>
              <w:highlight w:val="none"/>
              <w:lang w:val="en-US" w:eastAsia="zh-CN"/>
            </w:rPr>
            <w:t>一、收入支出决算总表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_Toc9680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_Toc4329 </w:instrText>
          </w:r>
          <w:r>
            <w:rPr>
              <w:rFonts w:hint="eastAsia"/>
              <w:color w:val="auto"/>
              <w:sz w:val="24"/>
              <w:highlight w:val="none"/>
              <w:lang w:val="en-US" w:eastAsia="zh-CN"/>
            </w:rPr>
            <w:fldChar w:fldCharType="separate"/>
          </w:r>
          <w:r>
            <w:rPr>
              <w:rFonts w:hint="eastAsia"/>
              <w:color w:val="auto"/>
              <w:sz w:val="24"/>
              <w:highlight w:val="none"/>
              <w:lang w:val="en-US" w:eastAsia="zh-CN"/>
            </w:rPr>
            <w:t>二、收入决算表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_Toc4329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_Toc19650 </w:instrText>
          </w:r>
          <w:r>
            <w:rPr>
              <w:rFonts w:hint="eastAsia"/>
              <w:color w:val="auto"/>
              <w:sz w:val="24"/>
              <w:highlight w:val="none"/>
              <w:lang w:val="en-US" w:eastAsia="zh-CN"/>
            </w:rPr>
            <w:fldChar w:fldCharType="separate"/>
          </w:r>
          <w:r>
            <w:rPr>
              <w:rFonts w:hint="eastAsia"/>
              <w:color w:val="auto"/>
              <w:sz w:val="24"/>
              <w:highlight w:val="none"/>
              <w:lang w:val="en-US" w:eastAsia="zh-CN"/>
            </w:rPr>
            <w:t>三、支出决算表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_Toc19650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_Toc28152 </w:instrText>
          </w:r>
          <w:r>
            <w:rPr>
              <w:rFonts w:hint="eastAsia"/>
              <w:color w:val="auto"/>
              <w:sz w:val="24"/>
              <w:highlight w:val="none"/>
              <w:lang w:val="en-US" w:eastAsia="zh-CN"/>
            </w:rPr>
            <w:fldChar w:fldCharType="separate"/>
          </w:r>
          <w:r>
            <w:rPr>
              <w:rFonts w:hint="eastAsia"/>
              <w:color w:val="auto"/>
              <w:sz w:val="24"/>
              <w:highlight w:val="none"/>
              <w:lang w:val="en-US" w:eastAsia="zh-CN"/>
            </w:rPr>
            <w:t>四、财政拨款收入支出决算总表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_Toc28152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_Toc26501 </w:instrText>
          </w:r>
          <w:r>
            <w:rPr>
              <w:rFonts w:hint="eastAsia"/>
              <w:color w:val="auto"/>
              <w:sz w:val="24"/>
              <w:highlight w:val="none"/>
              <w:lang w:val="en-US" w:eastAsia="zh-CN"/>
            </w:rPr>
            <w:fldChar w:fldCharType="separate"/>
          </w:r>
          <w:r>
            <w:rPr>
              <w:rFonts w:hint="eastAsia"/>
              <w:color w:val="auto"/>
              <w:sz w:val="24"/>
              <w:highlight w:val="none"/>
              <w:lang w:val="en-US" w:eastAsia="zh-CN"/>
            </w:rPr>
            <w:t>五、财政拨款支出决算明细表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_Toc26501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_Toc4352 </w:instrText>
          </w:r>
          <w:r>
            <w:rPr>
              <w:rFonts w:hint="eastAsia"/>
              <w:color w:val="auto"/>
              <w:sz w:val="24"/>
              <w:highlight w:val="none"/>
              <w:lang w:val="en-US" w:eastAsia="zh-CN"/>
            </w:rPr>
            <w:fldChar w:fldCharType="separate"/>
          </w:r>
          <w:r>
            <w:rPr>
              <w:rFonts w:hint="eastAsia"/>
              <w:color w:val="auto"/>
              <w:sz w:val="24"/>
              <w:highlight w:val="none"/>
              <w:lang w:val="en-US" w:eastAsia="zh-CN"/>
            </w:rPr>
            <w:t>六、一般公共预算财政拨款支出决算表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_Toc4352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_Toc2332 </w:instrText>
          </w:r>
          <w:r>
            <w:rPr>
              <w:rFonts w:hint="eastAsia"/>
              <w:color w:val="auto"/>
              <w:sz w:val="24"/>
              <w:highlight w:val="none"/>
              <w:lang w:val="en-US" w:eastAsia="zh-CN"/>
            </w:rPr>
            <w:fldChar w:fldCharType="separate"/>
          </w:r>
          <w:r>
            <w:rPr>
              <w:rFonts w:hint="eastAsia"/>
              <w:color w:val="auto"/>
              <w:sz w:val="24"/>
              <w:highlight w:val="none"/>
              <w:lang w:val="en-US" w:eastAsia="zh-CN"/>
            </w:rPr>
            <w:t>七、一般公共预算财政拨款支出决算明细表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_Toc2332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_Toc24143 </w:instrText>
          </w:r>
          <w:r>
            <w:rPr>
              <w:rFonts w:hint="eastAsia"/>
              <w:color w:val="auto"/>
              <w:sz w:val="24"/>
              <w:highlight w:val="none"/>
              <w:lang w:val="en-US" w:eastAsia="zh-CN"/>
            </w:rPr>
            <w:fldChar w:fldCharType="separate"/>
          </w:r>
          <w:r>
            <w:rPr>
              <w:rFonts w:hint="eastAsia"/>
              <w:color w:val="auto"/>
              <w:sz w:val="24"/>
              <w:highlight w:val="none"/>
              <w:lang w:val="en-US" w:eastAsia="zh-CN"/>
            </w:rPr>
            <w:t>八、一般公共预算财政拨款基本支出决算表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_Toc24143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_Toc5260 </w:instrText>
          </w:r>
          <w:r>
            <w:rPr>
              <w:rFonts w:hint="eastAsia"/>
              <w:color w:val="auto"/>
              <w:sz w:val="24"/>
              <w:highlight w:val="none"/>
              <w:lang w:val="en-US" w:eastAsia="zh-CN"/>
            </w:rPr>
            <w:fldChar w:fldCharType="separate"/>
          </w:r>
          <w:r>
            <w:rPr>
              <w:rFonts w:hint="eastAsia"/>
              <w:color w:val="auto"/>
              <w:sz w:val="24"/>
              <w:highlight w:val="none"/>
              <w:lang w:val="en-US" w:eastAsia="zh-CN"/>
            </w:rPr>
            <w:t>九、一般公共预算财政拨款项目支出决算表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_Toc5260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_Toc17669 </w:instrText>
          </w:r>
          <w:r>
            <w:rPr>
              <w:rFonts w:hint="eastAsia"/>
              <w:color w:val="auto"/>
              <w:sz w:val="24"/>
              <w:highlight w:val="none"/>
              <w:lang w:val="en-US" w:eastAsia="zh-CN"/>
            </w:rPr>
            <w:fldChar w:fldCharType="separate"/>
          </w:r>
          <w:r>
            <w:rPr>
              <w:rFonts w:hint="eastAsia"/>
              <w:color w:val="auto"/>
              <w:sz w:val="24"/>
              <w:highlight w:val="none"/>
              <w:lang w:val="en-US" w:eastAsia="zh-CN"/>
            </w:rPr>
            <w:t>十、一般公共预算财政拨款“三公”经费支出决算表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_Toc17669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_Toc7165 </w:instrText>
          </w:r>
          <w:r>
            <w:rPr>
              <w:rFonts w:hint="eastAsia"/>
              <w:color w:val="auto"/>
              <w:sz w:val="24"/>
              <w:highlight w:val="none"/>
              <w:lang w:val="en-US" w:eastAsia="zh-CN"/>
            </w:rPr>
            <w:fldChar w:fldCharType="separate"/>
          </w:r>
          <w:r>
            <w:rPr>
              <w:rFonts w:hint="eastAsia"/>
              <w:color w:val="auto"/>
              <w:sz w:val="24"/>
              <w:highlight w:val="none"/>
              <w:lang w:val="en-US" w:eastAsia="zh-CN"/>
            </w:rPr>
            <w:t>十一、政府性基金预算财政拨款收入支出决算表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_Toc7165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_Toc30754 </w:instrText>
          </w:r>
          <w:r>
            <w:rPr>
              <w:rFonts w:hint="eastAsia"/>
              <w:color w:val="auto"/>
              <w:sz w:val="24"/>
              <w:highlight w:val="none"/>
              <w:lang w:val="en-US" w:eastAsia="zh-CN"/>
            </w:rPr>
            <w:fldChar w:fldCharType="separate"/>
          </w:r>
          <w:r>
            <w:rPr>
              <w:rFonts w:hint="eastAsia"/>
              <w:color w:val="auto"/>
              <w:sz w:val="24"/>
              <w:highlight w:val="none"/>
              <w:lang w:val="en-US" w:eastAsia="zh-CN"/>
            </w:rPr>
            <w:t>十二、政府性基金预算财政拨款“三公”经费支出决算表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_Toc30754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_Toc12795 </w:instrText>
          </w:r>
          <w:r>
            <w:rPr>
              <w:rFonts w:hint="eastAsia"/>
              <w:color w:val="auto"/>
              <w:sz w:val="24"/>
              <w:highlight w:val="none"/>
              <w:lang w:val="en-US" w:eastAsia="zh-CN"/>
            </w:rPr>
            <w:fldChar w:fldCharType="separate"/>
          </w:r>
          <w:r>
            <w:rPr>
              <w:rFonts w:hint="eastAsia"/>
              <w:color w:val="auto"/>
              <w:sz w:val="24"/>
              <w:highlight w:val="none"/>
              <w:lang w:val="en-US" w:eastAsia="zh-CN"/>
            </w:rPr>
            <w:t>十三、国有资本经营预算财政拨款收入支出决算表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_Toc12795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_Toc1354 </w:instrText>
          </w:r>
          <w:r>
            <w:rPr>
              <w:rFonts w:hint="eastAsia"/>
              <w:color w:val="auto"/>
              <w:sz w:val="24"/>
              <w:highlight w:val="none"/>
              <w:lang w:val="en-US" w:eastAsia="zh-CN"/>
            </w:rPr>
            <w:fldChar w:fldCharType="separate"/>
          </w:r>
          <w:r>
            <w:rPr>
              <w:rFonts w:hint="eastAsia"/>
              <w:color w:val="auto"/>
              <w:sz w:val="24"/>
              <w:highlight w:val="none"/>
              <w:lang w:val="en-US" w:eastAsia="zh-CN"/>
            </w:rPr>
            <w:t>十四、国有资本经营预算财政拨款支出决算表</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_Toc1354 \h </w:instrText>
          </w:r>
          <w:r>
            <w:rPr>
              <w:rFonts w:hint="eastAsia"/>
              <w:color w:val="auto"/>
              <w:sz w:val="24"/>
              <w:highlight w:val="none"/>
              <w:lang w:val="en-US" w:eastAsia="zh-CN"/>
            </w:rPr>
            <w:fldChar w:fldCharType="separate"/>
          </w:r>
          <w:r>
            <w:rPr>
              <w:rFonts w:hint="eastAsia"/>
              <w:color w:val="auto"/>
              <w:sz w:val="24"/>
              <w:highlight w:val="none"/>
              <w:lang w:val="en-US" w:eastAsia="zh-CN"/>
            </w:rPr>
            <w:t>22</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r>
            <w:fldChar w:fldCharType="end"/>
          </w:r>
        </w:p>
      </w:sdtContent>
    </w:sdt>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jc w:val="center"/>
        <w:rPr>
          <w:rFonts w:ascii="黑体" w:eastAsia="黑体"/>
          <w:color w:val="auto"/>
          <w:sz w:val="32"/>
          <w:szCs w:val="32"/>
          <w:highlight w:val="none"/>
        </w:rPr>
      </w:pPr>
      <w:bookmarkStart w:id="26" w:name="_Toc19350"/>
      <w:bookmarkStart w:id="27" w:name="_Toc15396599"/>
      <w:bookmarkStart w:id="28" w:name="_Toc1537719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26"/>
      <w:bookmarkEnd w:id="27"/>
      <w:bookmarkEnd w:id="28"/>
    </w:p>
    <w:p>
      <w:pPr>
        <w:pStyle w:val="4"/>
        <w:numPr>
          <w:ilvl w:val="0"/>
          <w:numId w:val="1"/>
        </w:numPr>
        <w:rPr>
          <w:rStyle w:val="27"/>
          <w:rFonts w:hint="eastAsia" w:ascii="黑体" w:hAnsi="黑体" w:eastAsia="黑体"/>
          <w:b w:val="0"/>
          <w:bCs w:val="0"/>
          <w:color w:val="auto"/>
          <w:highlight w:val="none"/>
          <w:lang w:eastAsia="zh-CN"/>
        </w:rPr>
      </w:pPr>
      <w:bookmarkStart w:id="29" w:name="_Toc12407"/>
      <w:bookmarkStart w:id="30" w:name="_Toc15396600"/>
      <w:bookmarkStart w:id="31" w:name="_Toc15377197"/>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bookmarkEnd w:id="29"/>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元市昭化区妇幼保健院是国家二级甲等妇幼保健院，全国爱婴医院，120急救网络医院，昭化区产儿科急救中心和妇幼保健、计划生育指导单位，市区各类医疗保险定点机构，是集保健、临床于一体的县级妇幼保健机构，担负全区妇幼公共卫生项目、民生项目的实施以及妇女儿童保健技术的业务指导和常见病、多发病的临床诊治工作。</w:t>
      </w:r>
    </w:p>
    <w:p>
      <w:pPr>
        <w:pStyle w:val="4"/>
        <w:numPr>
          <w:ilvl w:val="0"/>
          <w:numId w:val="0"/>
        </w:numPr>
        <w:rPr>
          <w:rFonts w:hint="eastAsia" w:ascii="黑体" w:hAnsi="黑体" w:eastAsia="黑体"/>
          <w:b w:val="0"/>
          <w:color w:val="auto"/>
          <w:highlight w:val="none"/>
        </w:rPr>
      </w:pPr>
      <w:bookmarkStart w:id="32" w:name="_Toc15211"/>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30"/>
      <w:bookmarkEnd w:id="31"/>
      <w:r>
        <w:rPr>
          <w:rFonts w:hint="eastAsia" w:ascii="黑体" w:hAnsi="黑体" w:eastAsia="黑体"/>
          <w:b w:val="0"/>
          <w:color w:val="auto"/>
          <w:highlight w:val="none"/>
          <w:lang w:eastAsia="zh-CN"/>
        </w:rPr>
        <w:t>完成情况</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年来，我们紧紧围绕群众健康这个中心，牢牢把握新冠疫情防控工作不动摇这个底线，不断调整“一院两区”流程布局，促进了就医流程更加符合传染病防控要求，确保了“以预防为主”的卫生工作方针得到贯彻执行，医院基础建设物尽其美得到良好运用。信息化建设深入发展，各模块应用逐渐上线，数字化医院+硬实力得到进一步提升。制度建设进一步完善，营运模式更加规范，管理水平得到进一步提升。医院内外文化宣传更新迭代，良好形象逐渐树立，医院活力得到进一步彰显。技术人才高质量招编招引，人才吸引集聚效应愈来愈强，队伍建设得到持续夯实。业务技术稳步提升，业务维度逐渐拓展，新法接生、气囊助产、药物引产、无痛分娩、产后康复、盆底康复、新式剖宫产、产前筛查技术、宫腔镜、腹腔镜手术、产前自动高危筛查、新生儿沐浴、抚触等常见病多发病诊疗技术日臻娴熟，数十种医疗保健特色技术竞相迸发运用在临床一线，进一步丰实了综合诊治能力。各项业务倡导指标合理上升，抑制指标逐渐回落到绩效考核合理区间，促进了产、儿科行业专科品牌塑造在区内得到进一步增强。妇幼网底建设更加牢固，群众认可度逐年增加，各项业务指标总体向好：全年总诊疗55084人次,出院人次3711人次，同比增加225人次。年度业务总收入2083.05万元，同比增加171.22万元，增长8.9%。儿童保健部新开展了水疗业务，全年共水疗869人次；孕产与妇女保健部新开展了盆底康复及中药熏蒸业务，服务640人次；放射科新开展了CT检查及胃镜检查服务，CT共检查1229人次,胃镜共检查98人次。孕产妇建卡率98.41%，系统管理率98.14%，全区活产1462人，住院分娩率99.93%，我院住院分娩358例，坚实地巩固了我院在全区助产机构的主导地位。全年住院手术台次855台，出院诊断符合率100%，手术前、后诊断符合率99.8%，住院患者治愈好转率98.6%。完成新生儿疾病筛查421人，听力筛查421人，筛查率99.52%，补助率100%；免费婚检913对，检出疾病219人，建议暂缓结婚2人，建议采取医学措施32人，医学指导人数合计34人，占实检人数的1.86%；孕前优生健康检查项目任务671对，实际完成673.5对，完成目标任务100.37%，评估出具有风险因素183人，占实检人数的 12.9%，取得了良好的社会效益和经济效益。</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33" w:name="_Toc15377204"/>
      <w:bookmarkStart w:id="34" w:name="_Toc15396602"/>
      <w:bookmarkStart w:id="35" w:name="_Toc31286"/>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33"/>
      <w:bookmarkEnd w:id="34"/>
      <w:bookmarkEnd w:id="35"/>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6" w:name="_Toc14737"/>
      <w:bookmarkStart w:id="37" w:name="_Toc15377205"/>
      <w:bookmarkStart w:id="38"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36"/>
      <w:bookmarkEnd w:id="37"/>
      <w:bookmarkEnd w:id="38"/>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Times New Roman"/>
          <w:color w:val="auto"/>
          <w:sz w:val="32"/>
          <w:szCs w:val="32"/>
          <w:highlight w:val="none"/>
          <w:lang w:val="en-US" w:eastAsia="zh-CN"/>
        </w:rPr>
        <w:t>2021年度收入总计3579.66万元，较2020年度减少502.57万元，</w:t>
      </w:r>
      <w:r>
        <w:rPr>
          <w:rFonts w:hint="eastAsia" w:ascii="仿宋" w:hAnsi="仿宋" w:eastAsia="仿宋" w:cs="仿宋"/>
          <w:color w:val="auto"/>
          <w:sz w:val="32"/>
          <w:szCs w:val="32"/>
          <w:lang w:val="en-US" w:eastAsia="zh-CN"/>
        </w:rPr>
        <w:t>减少12.31%。主要变动原因是2021年医疗收入相比上年增加了165.99万元，其他收入增加了37.03万元，但人员经费投入减少了242.67万元，2021年结余资金相比去年减少了462.92万元。</w:t>
      </w:r>
    </w:p>
    <w:p>
      <w:pPr>
        <w:spacing w:line="600" w:lineRule="exact"/>
        <w:ind w:firstLine="640" w:firstLineChars="200"/>
        <w:rPr>
          <w:rFonts w:hint="eastAsia"/>
          <w:lang w:val="en-US" w:eastAsia="zh-CN"/>
        </w:rPr>
      </w:pPr>
      <w:r>
        <w:rPr>
          <w:rFonts w:hint="eastAsia" w:ascii="仿宋" w:hAnsi="仿宋" w:eastAsia="仿宋" w:cs="Times New Roman"/>
          <w:color w:val="auto"/>
          <w:sz w:val="32"/>
          <w:szCs w:val="32"/>
          <w:highlight w:val="none"/>
          <w:lang w:val="en-US" w:eastAsia="zh-CN"/>
        </w:rPr>
        <w:t>2021年度支出总计3575.37万元，较2020年度减少506.86万元，</w:t>
      </w:r>
      <w:r>
        <w:rPr>
          <w:rFonts w:hint="eastAsia" w:ascii="仿宋" w:hAnsi="仿宋" w:eastAsia="仿宋" w:cs="仿宋"/>
          <w:color w:val="auto"/>
          <w:sz w:val="32"/>
          <w:szCs w:val="32"/>
          <w:lang w:val="en-US" w:eastAsia="zh-CN"/>
        </w:rPr>
        <w:t>减少12.42%。主要变动原因是社会保障和就业支出增加了4.98万元，卫生健康支出增加了221.43万元，住房保障支出增加了1.83万元，2021年结余资金相比去年减少了735.10万元。</w:t>
      </w:r>
    </w:p>
    <w:p>
      <w:pPr>
        <w:pStyle w:val="2"/>
      </w:pPr>
    </w:p>
    <w:p>
      <w:pPr>
        <w:pStyle w:val="2"/>
      </w:pPr>
      <w:r>
        <w:rPr>
          <w:rFonts w:hint="eastAsia"/>
          <w:lang w:val="en-US" w:eastAsia="zh-CN"/>
        </w:rPr>
        <w:t xml:space="preserve">         </w:t>
      </w:r>
      <w:r>
        <w:drawing>
          <wp:inline distT="0" distB="0" distL="114300" distR="114300">
            <wp:extent cx="3387090" cy="2084070"/>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9" w:name="_Toc15377206"/>
      <w:bookmarkStart w:id="40" w:name="_Toc30783"/>
      <w:bookmarkStart w:id="41"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2021年本年收入合计2685.32万元，其中：一般公共预算财政拨款收入565.74万元，占21.07%；事业收入2077.81万元，占77.38%；其他收入41.77万元，占1.6%。</w:t>
      </w:r>
    </w:p>
    <w:p>
      <w:pPr>
        <w:pStyle w:val="2"/>
        <w:rPr>
          <w:rFonts w:hint="eastAsia" w:ascii="仿宋" w:hAnsi="仿宋" w:eastAsia="仿宋" w:cs="Times New Roman"/>
          <w:color w:val="000000"/>
          <w:sz w:val="32"/>
          <w:szCs w:val="32"/>
          <w:lang w:val="en-US" w:eastAsia="zh-CN"/>
        </w:rPr>
      </w:pPr>
    </w:p>
    <w:p>
      <w:pPr>
        <w:pStyle w:val="2"/>
        <w:rPr>
          <w:rFonts w:hint="eastAsia" w:ascii="仿宋" w:hAnsi="仿宋" w:eastAsia="仿宋" w:cs="Times New Roman"/>
          <w:color w:val="000000"/>
          <w:sz w:val="32"/>
          <w:szCs w:val="32"/>
          <w:lang w:val="en-US" w:eastAsia="zh-CN"/>
        </w:rPr>
      </w:pPr>
    </w:p>
    <w:p>
      <w:pPr>
        <w:spacing w:line="600" w:lineRule="exact"/>
        <w:ind w:firstLine="640" w:firstLineChars="200"/>
        <w:outlineLvl w:val="9"/>
        <w:rPr>
          <w:rFonts w:ascii="仿宋" w:hAnsi="仿宋" w:eastAsia="仿宋"/>
          <w:color w:val="auto"/>
          <w:sz w:val="32"/>
          <w:szCs w:val="32"/>
          <w:highlight w:val="none"/>
        </w:rPr>
      </w:pPr>
    </w:p>
    <w:p>
      <w:pPr>
        <w:pStyle w:val="2"/>
        <w:rPr>
          <w:rFonts w:ascii="仿宋" w:hAnsi="仿宋" w:eastAsia="仿宋"/>
          <w:color w:val="auto"/>
          <w:sz w:val="32"/>
          <w:szCs w:val="32"/>
          <w:highlight w:val="none"/>
          <w14:textFill>
            <w14:noFill/>
          </w14:textFill>
        </w:rPr>
      </w:pPr>
      <w:r>
        <w:drawing>
          <wp:inline distT="0" distB="0" distL="114300" distR="114300">
            <wp:extent cx="3763010" cy="22098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ascii="仿宋" w:hAnsi="仿宋" w:eastAsia="仿宋"/>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42" w:name="_Toc15377207"/>
      <w:bookmarkStart w:id="43" w:name="_Toc13865"/>
      <w:bookmarkStart w:id="44"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2021年本年支出合计3416.14万元，其中：基本支出2574.77万元，占75.37%；项目支出841.37万元，占24.63%。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olor w:val="auto"/>
          <w:sz w:val="32"/>
          <w:szCs w:val="32"/>
          <w:highlight w:val="none"/>
          <w:shd w:val="pct10" w:color="auto" w:fill="FFFFFF"/>
        </w:rPr>
      </w:pPr>
      <w:r>
        <w:rPr>
          <w:rFonts w:hint="eastAsia" w:ascii="仿宋" w:hAnsi="仿宋" w:eastAsia="仿宋"/>
          <w:color w:val="000000"/>
          <w:sz w:val="32"/>
          <w:szCs w:val="32"/>
          <w:shd w:val="pct10" w:color="auto" w:fill="FFFFFF"/>
          <w:lang w:eastAsia="zh-CN"/>
        </w:rPr>
        <w:pict>
          <v:shape id="Object 7" o:spid="_x0000_s1030" o:spt="75" type="#_x0000_t75" style="position:absolute;left:0pt;margin-left:83.9pt;margin-top:69.5pt;height:147.15pt;width:244.9pt;mso-wrap-distance-bottom:0pt;mso-wrap-distance-top:0pt;z-index:251659264;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7" DrawAspect="Content" ObjectID="_1468075725" r:id="rId8">
            <o:LockedField>false</o:LockedField>
          </o:OLEObject>
        </w:pict>
      </w: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spacing w:line="600" w:lineRule="exact"/>
        <w:ind w:firstLine="640" w:firstLineChars="200"/>
        <w:outlineLvl w:val="1"/>
        <w:rPr>
          <w:rStyle w:val="27"/>
          <w:rFonts w:ascii="黑体" w:hAnsi="黑体" w:eastAsia="黑体"/>
          <w:b w:val="0"/>
          <w:color w:val="auto"/>
          <w:highlight w:val="none"/>
        </w:rPr>
      </w:pPr>
      <w:bookmarkStart w:id="45" w:name="_Toc15377208"/>
      <w:bookmarkStart w:id="46" w:name="_Toc15396606"/>
      <w:bookmarkStart w:id="47" w:name="_Toc32252"/>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45"/>
      <w:bookmarkEnd w:id="46"/>
      <w:bookmarkEnd w:id="47"/>
    </w:p>
    <w:p>
      <w:pPr>
        <w:spacing w:line="600" w:lineRule="exact"/>
        <w:ind w:firstLine="640" w:firstLineChars="200"/>
        <w:rPr>
          <w:rFonts w:hint="eastAsia"/>
          <w:lang w:val="en-US" w:eastAsia="zh-CN"/>
        </w:rPr>
      </w:pPr>
      <w:r>
        <w:rPr>
          <w:rFonts w:hint="eastAsia" w:ascii="仿宋" w:hAnsi="仿宋" w:eastAsia="仿宋"/>
          <w:color w:val="000000"/>
          <w:sz w:val="32"/>
          <w:szCs w:val="32"/>
          <w:lang w:val="en-US" w:eastAsia="zh-CN"/>
        </w:rPr>
        <w:t>2021年财政拨款收、支总计</w:t>
      </w:r>
      <w:r>
        <w:rPr>
          <w:rFonts w:hint="eastAsia" w:ascii="仿宋" w:hAnsi="仿宋" w:eastAsia="仿宋"/>
          <w:color w:val="auto"/>
          <w:sz w:val="32"/>
          <w:szCs w:val="32"/>
          <w:lang w:val="en-US" w:eastAsia="zh-CN"/>
        </w:rPr>
        <w:t>1460.07</w:t>
      </w:r>
      <w:r>
        <w:rPr>
          <w:rFonts w:hint="eastAsia" w:ascii="仿宋" w:hAnsi="仿宋" w:eastAsia="仿宋"/>
          <w:color w:val="000000"/>
          <w:sz w:val="32"/>
          <w:szCs w:val="32"/>
          <w:lang w:val="en-US" w:eastAsia="zh-CN"/>
        </w:rPr>
        <w:t>万元，较去年同期减少705.59万元，下降32.58%，2021年财政拨款收入主要变动原因是</w:t>
      </w:r>
      <w:r>
        <w:rPr>
          <w:rFonts w:hint="eastAsia" w:ascii="仿宋" w:hAnsi="仿宋" w:eastAsia="仿宋" w:cs="仿宋"/>
          <w:color w:val="auto"/>
          <w:sz w:val="32"/>
          <w:szCs w:val="32"/>
          <w:lang w:val="en-US" w:eastAsia="zh-CN"/>
        </w:rPr>
        <w:t>人员经费投入相比去年减少了242.67万元，2021年结余资金相比去年减少了462.92万元。</w:t>
      </w:r>
      <w:r>
        <w:rPr>
          <w:rFonts w:hint="eastAsia" w:ascii="仿宋" w:hAnsi="仿宋" w:eastAsia="仿宋"/>
          <w:color w:val="000000"/>
          <w:sz w:val="32"/>
          <w:szCs w:val="32"/>
          <w:lang w:val="en-US" w:eastAsia="zh-CN"/>
        </w:rPr>
        <w:t>2021年财政拨款支出</w:t>
      </w:r>
      <w:r>
        <w:rPr>
          <w:rFonts w:hint="eastAsia" w:ascii="仿宋" w:hAnsi="仿宋" w:eastAsia="仿宋" w:cs="仿宋"/>
          <w:color w:val="auto"/>
          <w:sz w:val="32"/>
          <w:szCs w:val="32"/>
          <w:lang w:val="en-US" w:eastAsia="zh-CN"/>
        </w:rPr>
        <w:t>主要变动原因是社会保障和就业支出增加了4.98万元，卫生健康支出增加了18.41万元，住房保障支出增加了1.83万元，2021年结余资金相比去年减少了730.81万元。</w:t>
      </w:r>
    </w:p>
    <w:p>
      <w:pPr>
        <w:spacing w:line="600" w:lineRule="exact"/>
        <w:ind w:firstLine="640" w:firstLineChars="200"/>
        <w:rPr>
          <w:rFonts w:hint="default" w:ascii="仿宋" w:hAnsi="仿宋" w:eastAsia="仿宋" w:cs="仿宋"/>
          <w:color w:val="auto"/>
          <w:sz w:val="32"/>
          <w:szCs w:val="32"/>
          <w:lang w:val="en-US" w:eastAsia="zh-CN"/>
        </w:rPr>
      </w:pPr>
    </w:p>
    <w:p>
      <w:pPr>
        <w:pStyle w:val="2"/>
      </w:pPr>
    </w:p>
    <w:p>
      <w:pPr>
        <w:pStyle w:val="2"/>
      </w:pPr>
      <w:r>
        <w:rPr>
          <w:rFonts w:hint="eastAsia"/>
          <w:lang w:val="en-US" w:eastAsia="zh-CN"/>
        </w:rPr>
        <w:t xml:space="preserve">    </w:t>
      </w:r>
      <w:r>
        <w:drawing>
          <wp:inline distT="0" distB="0" distL="114300" distR="114300">
            <wp:extent cx="3869055" cy="2060575"/>
            <wp:effectExtent l="5080" t="5080" r="1206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48" w:name="_Toc15396607"/>
      <w:bookmarkStart w:id="49" w:name="_Toc4993"/>
      <w:bookmarkStart w:id="50"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48"/>
      <w:bookmarkEnd w:id="49"/>
      <w:bookmarkEnd w:id="50"/>
    </w:p>
    <w:p>
      <w:pPr>
        <w:spacing w:line="600" w:lineRule="exact"/>
        <w:ind w:firstLine="643" w:firstLineChars="200"/>
        <w:outlineLvl w:val="2"/>
        <w:rPr>
          <w:rFonts w:ascii="仿宋" w:hAnsi="仿宋" w:eastAsia="仿宋"/>
          <w:b/>
          <w:color w:val="auto"/>
          <w:sz w:val="32"/>
          <w:szCs w:val="32"/>
          <w:highlight w:val="none"/>
        </w:rPr>
      </w:pPr>
      <w:bookmarkStart w:id="51" w:name="_Toc15377210"/>
      <w:r>
        <w:rPr>
          <w:rFonts w:hint="eastAsia" w:ascii="仿宋" w:hAnsi="仿宋" w:eastAsia="仿宋"/>
          <w:b/>
          <w:color w:val="auto"/>
          <w:sz w:val="32"/>
          <w:szCs w:val="32"/>
          <w:highlight w:val="none"/>
        </w:rPr>
        <w:t>（一）一般公共预算财政拨款支出决算总体情况</w:t>
      </w:r>
      <w:bookmarkEnd w:id="51"/>
    </w:p>
    <w:p>
      <w:pPr>
        <w:spacing w:line="600" w:lineRule="exact"/>
        <w:ind w:firstLine="640" w:firstLineChars="200"/>
        <w:rPr>
          <w:rFonts w:hint="default" w:ascii="仿宋" w:hAnsi="仿宋" w:eastAsia="仿宋"/>
          <w:color w:val="auto"/>
          <w:sz w:val="32"/>
          <w:szCs w:val="32"/>
          <w:highlight w:val="none"/>
          <w:lang w:val="en-US"/>
        </w:rPr>
      </w:pPr>
      <w:r>
        <w:rPr>
          <w:rFonts w:hint="eastAsia" w:ascii="仿宋" w:hAnsi="仿宋" w:eastAsia="仿宋"/>
          <w:color w:val="000000"/>
          <w:sz w:val="32"/>
          <w:szCs w:val="32"/>
          <w:lang w:val="en-US" w:eastAsia="zh-CN"/>
        </w:rPr>
        <w:t>2021年</w:t>
      </w:r>
      <w:r>
        <w:rPr>
          <w:rFonts w:hint="eastAsia" w:ascii="仿宋" w:hAnsi="仿宋" w:eastAsia="仿宋"/>
          <w:color w:val="000000"/>
          <w:sz w:val="32"/>
          <w:szCs w:val="32"/>
        </w:rPr>
        <w:t>一般公共预算财政拨款支出1296.55</w:t>
      </w:r>
      <w:r>
        <w:rPr>
          <w:rFonts w:hint="eastAsia" w:ascii="仿宋" w:hAnsi="仿宋" w:eastAsia="仿宋"/>
          <w:color w:val="000000"/>
          <w:sz w:val="32"/>
          <w:szCs w:val="32"/>
          <w:lang w:val="en-US" w:eastAsia="zh-CN"/>
        </w:rPr>
        <w:t>万元</w:t>
      </w:r>
      <w:r>
        <w:rPr>
          <w:rFonts w:hint="eastAsia" w:ascii="仿宋" w:hAnsi="仿宋" w:eastAsia="仿宋"/>
          <w:color w:val="auto"/>
          <w:sz w:val="32"/>
          <w:szCs w:val="32"/>
          <w:lang w:val="en-US" w:eastAsia="zh-CN"/>
        </w:rPr>
        <w:t>，占本年总支出的36.26%，与2020年相比，一般公共预算财政拨款支出增加25.22万元，主要变动原因是社会保障和就业支出增加4.97万元，卫生健康支出增加18.42万元，住房保障支出增加1.83万元。</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ascii="仿宋" w:hAnsi="仿宋" w:eastAsia="仿宋"/>
          <w:color w:val="000000"/>
          <w:sz w:val="32"/>
          <w:szCs w:val="32"/>
          <w:lang w:eastAsia="zh-CN"/>
        </w:rPr>
        <w:pict>
          <v:shape id="Object 10" o:spid="_x0000_s1033" o:spt="75" type="#_x0000_t75" style="position:absolute;left:0pt;margin-left:56.7pt;margin-top:12pt;height:161.5pt;width:302.8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12" o:title=""/>
            <o:lock v:ext="edit" aspectratio="t"/>
            <w10:wrap type="tight"/>
          </v:shape>
          <o:OLEObject Type="Embed" ProgID="Excel.Chart.8" ShapeID="Object 10" DrawAspect="Content" ObjectID="_1468075726" r:id="rId11">
            <o:LockedField>false</o:LockedField>
          </o:OLEObject>
        </w:pict>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pStyle w:val="2"/>
      </w:pPr>
    </w:p>
    <w:p>
      <w:pPr>
        <w:spacing w:line="600" w:lineRule="exact"/>
        <w:ind w:firstLine="643" w:firstLineChars="200"/>
        <w:outlineLvl w:val="2"/>
        <w:rPr>
          <w:rFonts w:ascii="仿宋" w:hAnsi="仿宋" w:eastAsia="仿宋"/>
          <w:b/>
          <w:color w:val="auto"/>
          <w:sz w:val="32"/>
          <w:szCs w:val="32"/>
          <w:highlight w:val="none"/>
        </w:rPr>
      </w:pPr>
      <w:bookmarkStart w:id="52" w:name="_Toc15377211"/>
      <w:r>
        <w:rPr>
          <w:rFonts w:hint="eastAsia" w:ascii="仿宋" w:hAnsi="仿宋" w:eastAsia="仿宋"/>
          <w:b/>
          <w:color w:val="auto"/>
          <w:sz w:val="32"/>
          <w:szCs w:val="32"/>
          <w:highlight w:val="none"/>
        </w:rPr>
        <w:t>（二）一般公共预算财政拨款支出决算结构情况</w:t>
      </w:r>
      <w:bookmarkEnd w:id="52"/>
    </w:p>
    <w:p>
      <w:pPr>
        <w:spacing w:line="600" w:lineRule="exact"/>
        <w:ind w:firstLine="640"/>
        <w:rPr>
          <w:rFonts w:hint="eastAsia" w:ascii="仿宋" w:hAnsi="仿宋" w:eastAsia="仿宋"/>
          <w:b/>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1296.55</w:t>
      </w:r>
      <w:r>
        <w:rPr>
          <w:rFonts w:hint="eastAsia" w:ascii="仿宋" w:hAnsi="仿宋" w:eastAsia="仿宋"/>
          <w:color w:val="000000"/>
          <w:sz w:val="32"/>
          <w:szCs w:val="32"/>
        </w:rPr>
        <w:t>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71.18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1181.36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91.12</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44.01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3.39</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rPr>
          <w:rFonts w:ascii="仿宋" w:hAnsi="仿宋" w:eastAsia="仿宋"/>
          <w:color w:val="auto"/>
          <w:sz w:val="32"/>
          <w:szCs w:val="32"/>
          <w:highlight w:val="none"/>
        </w:rPr>
      </w:pPr>
      <w:r>
        <w:rPr>
          <w:rFonts w:hint="eastAsia" w:ascii="仿宋" w:hAnsi="仿宋" w:eastAsia="仿宋"/>
          <w:color w:val="000000"/>
          <w:sz w:val="32"/>
          <w:szCs w:val="32"/>
          <w:lang w:eastAsia="zh-CN"/>
        </w:rPr>
        <w:pict>
          <v:shape id="Object 11" o:spid="_x0000_s1034" o:spt="75" type="#_x0000_t75" style="position:absolute;left:0pt;margin-left:85.15pt;margin-top:19.85pt;height:159.8pt;width:268.6pt;mso-wrap-distance-left:9pt;mso-wrap-distance-right:9pt;z-index:-251655168;mso-width-relative:page;mso-height-relative:page;" o:ole="t" filled="f" o:preferrelative="t" stroked="f" coordsize="21600,21600" wrapcoords="21591 -2 0 0 0 21600 21591 21602 8 21602 21599 21600 21599 0 8 -2 21591 -2">
            <v:path/>
            <v:fill on="f" focussize="0,0"/>
            <v:stroke on="f"/>
            <v:imagedata r:id="rId14" o:title=""/>
            <o:lock v:ext="edit" aspectratio="t"/>
            <w10:wrap type="tight"/>
          </v:shape>
          <o:OLEObject Type="Embed" ProgID="Excel.Chart.8" ShapeID="Object 11" DrawAspect="Content" ObjectID="_1468075727" r:id="rId13">
            <o:LockedField>false</o:LockedField>
          </o:OLEObject>
        </w:pict>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3" w:name="_Toc15377212"/>
      <w:r>
        <w:rPr>
          <w:rFonts w:hint="eastAsia" w:ascii="仿宋" w:hAnsi="仿宋" w:eastAsia="仿宋"/>
          <w:b/>
          <w:color w:val="auto"/>
          <w:sz w:val="32"/>
          <w:szCs w:val="32"/>
          <w:highlight w:val="none"/>
        </w:rPr>
        <w:t>（三）一般公共预算财政拨款支出决算具体情况</w:t>
      </w:r>
      <w:bookmarkEnd w:id="53"/>
    </w:p>
    <w:p>
      <w:pPr>
        <w:spacing w:line="600" w:lineRule="exact"/>
        <w:ind w:firstLine="643" w:firstLineChars="200"/>
        <w:rPr>
          <w:rStyle w:val="16"/>
          <w:rFonts w:hint="eastAsia" w:ascii="仿宋" w:hAnsi="仿宋" w:eastAsia="仿宋" w:cs="Times New Roman"/>
          <w:b/>
          <w:bCs/>
          <w:color w:val="000000"/>
          <w:sz w:val="32"/>
          <w:szCs w:val="32"/>
          <w:lang w:val="en-US" w:eastAsia="zh-CN"/>
        </w:rPr>
      </w:pPr>
      <w:bookmarkStart w:id="54" w:name="_Toc15378460"/>
      <w:bookmarkStart w:id="55" w:name="_Toc15377444"/>
      <w:bookmarkStart w:id="56" w:name="_Toc15377213"/>
      <w:r>
        <w:rPr>
          <w:rStyle w:val="16"/>
          <w:rFonts w:hint="eastAsia" w:ascii="仿宋" w:hAnsi="仿宋" w:eastAsia="仿宋" w:cs="Times New Roman"/>
          <w:b/>
          <w:bCs/>
          <w:color w:val="000000"/>
          <w:sz w:val="32"/>
          <w:szCs w:val="32"/>
          <w:lang w:val="en-US" w:eastAsia="zh-CN"/>
        </w:rPr>
        <w:t>2021年一般公共预算支出决算数为1296.55万元，完成预算88.8%。其中：</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1</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val="en-US"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val="en-US" w:eastAsia="zh-CN"/>
        </w:rPr>
        <w:t>机关事业单位基本养老保险缴费支出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44.49</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val="en-US"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val="en-US" w:eastAsia="zh-CN"/>
        </w:rPr>
        <w:t>一致</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Cs/>
          <w:color w:val="000000"/>
          <w:sz w:val="32"/>
          <w:szCs w:val="32"/>
          <w:lang w:val="en-US" w:eastAsia="zh-CN"/>
        </w:rPr>
      </w:pPr>
      <w:r>
        <w:rPr>
          <w:rStyle w:val="16"/>
          <w:rFonts w:hint="eastAsia" w:ascii="仿宋" w:hAnsi="仿宋" w:eastAsia="仿宋"/>
          <w:bCs/>
          <w:color w:val="000000"/>
          <w:sz w:val="32"/>
          <w:szCs w:val="32"/>
          <w:lang w:val="en-US" w:eastAsia="zh-CN"/>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val="en-US"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val="en-US" w:eastAsia="zh-CN"/>
        </w:rPr>
        <w:t>机关事业单位职业年金缴费支出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22.24</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val="en-US"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val="en-US" w:eastAsia="zh-CN"/>
        </w:rPr>
        <w:t>一致</w:t>
      </w:r>
      <w:r>
        <w:rPr>
          <w:rStyle w:val="16"/>
          <w:rFonts w:hint="eastAsia" w:ascii="仿宋" w:hAnsi="仿宋" w:eastAsia="仿宋"/>
          <w:b w:val="0"/>
          <w:bCs/>
          <w:color w:val="000000"/>
          <w:sz w:val="32"/>
          <w:szCs w:val="32"/>
        </w:rPr>
        <w:t>。</w:t>
      </w:r>
      <w:bookmarkStart w:id="114" w:name="_GoBack"/>
      <w:bookmarkEnd w:id="114"/>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3</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_GB2312" w:eastAsia="仿宋_GB2312"/>
          <w:b/>
          <w:bCs/>
          <w:color w:val="000000"/>
          <w:sz w:val="32"/>
          <w:szCs w:val="32"/>
          <w:highlight w:val="none"/>
        </w:rPr>
        <w:t>公共卫生</w:t>
      </w:r>
      <w:r>
        <w:rPr>
          <w:rStyle w:val="16"/>
          <w:rFonts w:hint="eastAsia" w:ascii="仿宋_GB2312" w:eastAsia="仿宋_GB2312"/>
          <w:b/>
          <w:bCs/>
          <w:color w:val="000000"/>
          <w:sz w:val="32"/>
          <w:szCs w:val="32"/>
          <w:highlight w:val="none"/>
          <w:lang w:eastAsia="zh-CN"/>
        </w:rPr>
        <w:t>（款）</w:t>
      </w:r>
      <w:r>
        <w:rPr>
          <w:rStyle w:val="16"/>
          <w:rFonts w:hint="eastAsia" w:ascii="仿宋_GB2312" w:eastAsia="仿宋_GB2312"/>
          <w:color w:val="000000"/>
          <w:sz w:val="32"/>
          <w:szCs w:val="32"/>
          <w:highlight w:val="none"/>
        </w:rPr>
        <w:t>妇幼保健机构（</w:t>
      </w:r>
      <w:r>
        <w:rPr>
          <w:rStyle w:val="16"/>
          <w:rFonts w:hint="eastAsia" w:ascii="仿宋_GB2312" w:eastAsia="仿宋_GB2312"/>
          <w:color w:val="000000"/>
          <w:sz w:val="32"/>
          <w:szCs w:val="32"/>
          <w:highlight w:val="none"/>
          <w:lang w:eastAsia="zh-CN"/>
        </w:rPr>
        <w:t>项</w:t>
      </w:r>
      <w:r>
        <w:rPr>
          <w:rStyle w:val="16"/>
          <w:rFonts w:hint="eastAsia" w:ascii="仿宋_GB2312" w:eastAsia="仿宋_GB2312"/>
          <w:color w:val="000000"/>
          <w:sz w:val="32"/>
          <w:szCs w:val="32"/>
          <w:highlight w:val="none"/>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315.33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val="en-US"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val="en-US" w:eastAsia="zh-CN"/>
        </w:rPr>
        <w:t>一致</w:t>
      </w:r>
      <w:r>
        <w:rPr>
          <w:rStyle w:val="16"/>
          <w:rFonts w:hint="eastAsia" w:ascii="仿宋" w:hAnsi="仿宋" w:eastAsia="仿宋"/>
          <w:b w:val="0"/>
          <w:bCs/>
          <w:color w:val="000000"/>
          <w:sz w:val="32"/>
          <w:szCs w:val="32"/>
        </w:rPr>
        <w:t>。</w:t>
      </w:r>
    </w:p>
    <w:p>
      <w:pPr>
        <w:spacing w:line="600" w:lineRule="exact"/>
        <w:ind w:firstLine="643" w:firstLineChars="200"/>
        <w:rPr>
          <w:rStyle w:val="16"/>
          <w:rFonts w:hint="default" w:ascii="仿宋" w:hAnsi="仿宋" w:eastAsia="仿宋" w:cs="Times New Roman"/>
          <w:b w:val="0"/>
          <w:bCs/>
          <w:color w:val="000000"/>
          <w:sz w:val="32"/>
          <w:szCs w:val="32"/>
          <w:lang w:val="en-US" w:eastAsia="zh-CN"/>
        </w:rPr>
      </w:pPr>
      <w:r>
        <w:rPr>
          <w:rStyle w:val="16"/>
          <w:rFonts w:hint="eastAsia" w:ascii="仿宋" w:hAnsi="仿宋" w:eastAsia="仿宋"/>
          <w:bCs/>
          <w:color w:val="000000"/>
          <w:sz w:val="32"/>
          <w:szCs w:val="32"/>
          <w:lang w:val="en-US" w:eastAsia="zh-CN"/>
        </w:rPr>
        <w:t>4</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_GB2312" w:eastAsia="仿宋_GB2312"/>
          <w:b/>
          <w:bCs/>
          <w:color w:val="000000"/>
          <w:sz w:val="32"/>
          <w:szCs w:val="32"/>
          <w:highlight w:val="none"/>
          <w:lang w:val="en-US" w:eastAsia="zh-CN"/>
        </w:rPr>
        <w:t>公立医院</w:t>
      </w:r>
      <w:r>
        <w:rPr>
          <w:rStyle w:val="16"/>
          <w:rFonts w:hint="eastAsia" w:ascii="仿宋_GB2312" w:eastAsia="仿宋_GB2312"/>
          <w:b/>
          <w:bCs/>
          <w:color w:val="000000"/>
          <w:sz w:val="32"/>
          <w:szCs w:val="32"/>
          <w:highlight w:val="none"/>
          <w:lang w:eastAsia="zh-CN"/>
        </w:rPr>
        <w:t>（款）</w:t>
      </w:r>
      <w:r>
        <w:rPr>
          <w:rStyle w:val="16"/>
          <w:rFonts w:hint="eastAsia" w:ascii="仿宋_GB2312" w:eastAsia="仿宋_GB2312"/>
          <w:color w:val="000000"/>
          <w:sz w:val="32"/>
          <w:szCs w:val="32"/>
          <w:highlight w:val="none"/>
          <w:lang w:val="en-US" w:eastAsia="zh-CN"/>
        </w:rPr>
        <w:t>其他公立医院支出</w:t>
      </w:r>
      <w:r>
        <w:rPr>
          <w:rStyle w:val="16"/>
          <w:rFonts w:hint="eastAsia" w:ascii="仿宋_GB2312" w:eastAsia="仿宋_GB2312"/>
          <w:color w:val="000000"/>
          <w:sz w:val="32"/>
          <w:szCs w:val="32"/>
          <w:highlight w:val="none"/>
        </w:rPr>
        <w:t>（</w:t>
      </w:r>
      <w:r>
        <w:rPr>
          <w:rStyle w:val="16"/>
          <w:rFonts w:hint="eastAsia" w:ascii="仿宋_GB2312" w:eastAsia="仿宋_GB2312"/>
          <w:color w:val="000000"/>
          <w:sz w:val="32"/>
          <w:szCs w:val="32"/>
          <w:highlight w:val="none"/>
          <w:lang w:eastAsia="zh-CN"/>
        </w:rPr>
        <w:t>项</w:t>
      </w:r>
      <w:r>
        <w:rPr>
          <w:rStyle w:val="16"/>
          <w:rFonts w:hint="eastAsia" w:ascii="仿宋_GB2312" w:eastAsia="仿宋_GB2312"/>
          <w:color w:val="000000"/>
          <w:sz w:val="32"/>
          <w:szCs w:val="32"/>
          <w:highlight w:val="none"/>
        </w:rPr>
        <w:t>）</w:t>
      </w:r>
      <w:r>
        <w:rPr>
          <w:rStyle w:val="16"/>
          <w:rFonts w:ascii="仿宋" w:hAnsi="仿宋" w:eastAsia="仿宋"/>
          <w:bCs/>
          <w:color w:val="000000"/>
          <w:sz w:val="32"/>
          <w:szCs w:val="32"/>
        </w:rPr>
        <w:t>:</w:t>
      </w:r>
      <w:r>
        <w:rPr>
          <w:rStyle w:val="16"/>
          <w:rFonts w:hint="eastAsia" w:ascii="仿宋" w:hAnsi="仿宋" w:eastAsia="仿宋" w:cs="Times New Roman"/>
          <w:b w:val="0"/>
          <w:bCs/>
          <w:color w:val="000000"/>
          <w:sz w:val="32"/>
          <w:szCs w:val="32"/>
          <w:lang w:val="en-US" w:eastAsia="zh-CN"/>
        </w:rPr>
        <w:t>支出决算为15.07万元，完成预算55.53%，决算数小于预算数的主要原因是公立医院改革取消药品加成补助12.07万元是在2021年年底追加预算，尚未支付。</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5</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_GB2312" w:eastAsia="仿宋_GB2312"/>
          <w:b/>
          <w:bCs/>
          <w:color w:val="000000"/>
          <w:sz w:val="32"/>
          <w:szCs w:val="32"/>
          <w:highlight w:val="none"/>
        </w:rPr>
        <w:t>公共卫生</w:t>
      </w:r>
      <w:r>
        <w:rPr>
          <w:rStyle w:val="16"/>
          <w:rFonts w:hint="eastAsia" w:ascii="仿宋_GB2312" w:eastAsia="仿宋_GB2312"/>
          <w:b/>
          <w:bCs/>
          <w:color w:val="000000"/>
          <w:sz w:val="32"/>
          <w:szCs w:val="32"/>
          <w:highlight w:val="none"/>
          <w:lang w:eastAsia="zh-CN"/>
        </w:rPr>
        <w:t>（款）</w:t>
      </w:r>
      <w:r>
        <w:rPr>
          <w:rStyle w:val="16"/>
          <w:rFonts w:hint="eastAsia" w:ascii="仿宋_GB2312" w:eastAsia="仿宋_GB2312"/>
          <w:color w:val="000000"/>
          <w:sz w:val="32"/>
          <w:szCs w:val="32"/>
          <w:highlight w:val="none"/>
          <w:lang w:val="en-US" w:eastAsia="zh-CN"/>
        </w:rPr>
        <w:t>重大公共卫生服务</w:t>
      </w:r>
      <w:r>
        <w:rPr>
          <w:rStyle w:val="16"/>
          <w:rFonts w:hint="eastAsia" w:ascii="仿宋_GB2312" w:eastAsia="仿宋_GB2312"/>
          <w:color w:val="000000"/>
          <w:sz w:val="32"/>
          <w:szCs w:val="32"/>
          <w:highlight w:val="none"/>
        </w:rPr>
        <w:t>（</w:t>
      </w:r>
      <w:r>
        <w:rPr>
          <w:rStyle w:val="16"/>
          <w:rFonts w:hint="eastAsia" w:ascii="仿宋_GB2312" w:eastAsia="仿宋_GB2312"/>
          <w:color w:val="000000"/>
          <w:sz w:val="32"/>
          <w:szCs w:val="32"/>
          <w:highlight w:val="none"/>
          <w:lang w:eastAsia="zh-CN"/>
        </w:rPr>
        <w:t>项</w:t>
      </w:r>
      <w:r>
        <w:rPr>
          <w:rStyle w:val="16"/>
          <w:rFonts w:hint="eastAsia" w:ascii="仿宋_GB2312" w:eastAsia="仿宋_GB2312"/>
          <w:color w:val="000000"/>
          <w:sz w:val="32"/>
          <w:szCs w:val="32"/>
          <w:highlight w:val="none"/>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183.33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78.76</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val="en-US" w:eastAsia="zh-CN"/>
        </w:rPr>
        <w:t>重大公共卫生服务项目为连续性项目，资金支付相对于项目实施略有延后</w:t>
      </w:r>
      <w:r>
        <w:rPr>
          <w:rStyle w:val="16"/>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bCs/>
          <w:color w:val="000000"/>
          <w:sz w:val="32"/>
          <w:szCs w:val="32"/>
          <w:lang w:val="en-US" w:eastAsia="zh-CN"/>
        </w:rPr>
      </w:pPr>
      <w:r>
        <w:rPr>
          <w:rStyle w:val="16"/>
          <w:rFonts w:hint="eastAsia" w:ascii="仿宋" w:hAnsi="仿宋" w:eastAsia="仿宋"/>
          <w:bCs/>
          <w:color w:val="000000"/>
          <w:sz w:val="32"/>
          <w:szCs w:val="32"/>
          <w:lang w:val="en-US" w:eastAsia="zh-CN"/>
        </w:rPr>
        <w:t>6</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_GB2312" w:eastAsia="仿宋_GB2312"/>
          <w:b/>
          <w:bCs/>
          <w:color w:val="000000"/>
          <w:sz w:val="32"/>
          <w:szCs w:val="32"/>
          <w:highlight w:val="none"/>
          <w:lang w:val="en-US" w:eastAsia="zh-CN"/>
        </w:rPr>
        <w:t>其他卫生健康支出</w:t>
      </w:r>
      <w:r>
        <w:rPr>
          <w:rStyle w:val="16"/>
          <w:rFonts w:hint="eastAsia" w:ascii="仿宋_GB2312" w:eastAsia="仿宋_GB2312"/>
          <w:b/>
          <w:bCs/>
          <w:color w:val="000000"/>
          <w:sz w:val="32"/>
          <w:szCs w:val="32"/>
          <w:highlight w:val="none"/>
          <w:lang w:eastAsia="zh-CN"/>
        </w:rPr>
        <w:t>（款）</w:t>
      </w:r>
      <w:r>
        <w:rPr>
          <w:rStyle w:val="16"/>
          <w:rFonts w:hint="eastAsia" w:ascii="仿宋_GB2312" w:eastAsia="仿宋_GB2312"/>
          <w:b/>
          <w:bCs/>
          <w:color w:val="000000"/>
          <w:sz w:val="32"/>
          <w:szCs w:val="32"/>
          <w:highlight w:val="none"/>
          <w:lang w:val="en-US" w:eastAsia="zh-CN"/>
        </w:rPr>
        <w:t>其他卫生健康支出</w:t>
      </w:r>
      <w:r>
        <w:rPr>
          <w:rStyle w:val="16"/>
          <w:rFonts w:hint="eastAsia" w:ascii="仿宋_GB2312" w:eastAsia="仿宋_GB2312"/>
          <w:color w:val="000000"/>
          <w:sz w:val="32"/>
          <w:szCs w:val="32"/>
          <w:highlight w:val="none"/>
        </w:rPr>
        <w:t>（</w:t>
      </w:r>
      <w:r>
        <w:rPr>
          <w:rStyle w:val="16"/>
          <w:rFonts w:hint="eastAsia" w:ascii="仿宋_GB2312" w:eastAsia="仿宋_GB2312"/>
          <w:color w:val="000000"/>
          <w:sz w:val="32"/>
          <w:szCs w:val="32"/>
          <w:highlight w:val="none"/>
          <w:lang w:eastAsia="zh-CN"/>
        </w:rPr>
        <w:t>项</w:t>
      </w:r>
      <w:r>
        <w:rPr>
          <w:rStyle w:val="16"/>
          <w:rFonts w:hint="eastAsia" w:ascii="仿宋_GB2312" w:eastAsia="仿宋_GB2312"/>
          <w:color w:val="000000"/>
          <w:sz w:val="32"/>
          <w:szCs w:val="32"/>
          <w:highlight w:val="none"/>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642.97</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87.2</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val="en-US" w:eastAsia="zh-CN"/>
        </w:rPr>
        <w:t>妇女儿童医疗保健楼竣工审计尚未结束，工程尾款尚未支付</w:t>
      </w:r>
      <w:r>
        <w:rPr>
          <w:rStyle w:val="16"/>
          <w:rFonts w:hint="eastAsia" w:ascii="仿宋" w:hAnsi="仿宋" w:eastAsia="仿宋"/>
          <w:b w:val="0"/>
          <w:bCs/>
          <w:color w:val="000000"/>
          <w:sz w:val="32"/>
          <w:szCs w:val="32"/>
        </w:rPr>
        <w:t>。</w:t>
      </w:r>
    </w:p>
    <w:p>
      <w:pPr>
        <w:spacing w:line="600" w:lineRule="exact"/>
        <w:ind w:firstLine="643" w:firstLineChars="200"/>
        <w:outlineLvl w:val="2"/>
        <w:rPr>
          <w:rFonts w:hint="eastAsia" w:ascii="仿宋" w:hAnsi="仿宋" w:eastAsia="仿宋"/>
          <w:b/>
          <w:color w:val="auto"/>
          <w:sz w:val="32"/>
          <w:szCs w:val="32"/>
          <w:highlight w:val="none"/>
        </w:rPr>
      </w:pPr>
      <w:r>
        <w:rPr>
          <w:rFonts w:hint="eastAsia" w:ascii="仿宋" w:hAnsi="仿宋" w:eastAsia="仿宋"/>
          <w:b/>
          <w:bCs/>
          <w:color w:val="000000"/>
          <w:sz w:val="32"/>
          <w:szCs w:val="32"/>
          <w:lang w:val="en-US" w:eastAsia="zh-CN"/>
        </w:rPr>
        <w:t>7.住房保障</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val="en-US" w:eastAsia="zh-CN"/>
        </w:rPr>
        <w:t>住房改革支出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val="en-US" w:eastAsia="zh-CN"/>
        </w:rPr>
        <w:t>住房公积金</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44.01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val="en-US"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val="en-US" w:eastAsia="zh-CN"/>
        </w:rPr>
        <w:t>一致</w:t>
      </w:r>
      <w:r>
        <w:rPr>
          <w:rStyle w:val="16"/>
          <w:rFonts w:hint="eastAsia" w:ascii="仿宋" w:hAnsi="仿宋" w:eastAsia="仿宋"/>
          <w:b w:val="0"/>
          <w:bCs/>
          <w:color w:val="000000"/>
          <w:sz w:val="32"/>
          <w:szCs w:val="32"/>
        </w:rPr>
        <w:t>。</w:t>
      </w:r>
    </w:p>
    <w:bookmarkEnd w:id="54"/>
    <w:bookmarkEnd w:id="55"/>
    <w:bookmarkEnd w:id="56"/>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7"/>
          <w:color w:val="auto"/>
          <w:highlight w:val="none"/>
        </w:rPr>
      </w:pPr>
      <w:bookmarkStart w:id="57" w:name="_Toc15377214"/>
      <w:bookmarkStart w:id="58" w:name="_Toc15396608"/>
      <w:bookmarkStart w:id="59" w:name="_Toc30439"/>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57"/>
      <w:bookmarkEnd w:id="58"/>
      <w:bookmarkEnd w:id="59"/>
      <w:r>
        <w:rPr>
          <w:rStyle w:val="27"/>
          <w:rFonts w:ascii="黑体" w:hAnsi="黑体" w:eastAsia="黑体"/>
          <w:b w:val="0"/>
          <w:color w:val="auto"/>
          <w:highlight w:val="none"/>
        </w:rPr>
        <w:tab/>
      </w:r>
    </w:p>
    <w:p>
      <w:pPr>
        <w:spacing w:line="600" w:lineRule="exact"/>
        <w:ind w:firstLine="645"/>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455.19</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453.57</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157.91万元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4.91万元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92.09万元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44.49万元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22.24万元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职工基本医疗保险缴费23.26万元、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5.85万元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58.8万元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44.01万元</w:t>
      </w:r>
      <w:r>
        <w:rPr>
          <w:rFonts w:hint="eastAsia" w:ascii="仿宋" w:hAnsi="仿宋" w:eastAsia="仿宋"/>
          <w:color w:val="000000"/>
          <w:sz w:val="32"/>
          <w:szCs w:val="32"/>
        </w:rPr>
        <w:t>。</w:t>
      </w:r>
    </w:p>
    <w:p>
      <w:pPr>
        <w:pStyle w:val="2"/>
        <w:ind w:firstLine="640" w:firstLineChars="200"/>
        <w:rPr>
          <w:rFonts w:hint="eastAsia"/>
          <w:lang w:eastAsia="zh-CN"/>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1.62</w:t>
      </w:r>
      <w:r>
        <w:rPr>
          <w:rFonts w:hint="eastAsia" w:ascii="仿宋" w:hAnsi="仿宋" w:eastAsia="仿宋"/>
          <w:color w:val="auto"/>
          <w:sz w:val="32"/>
          <w:szCs w:val="32"/>
          <w:highlight w:val="none"/>
        </w:rPr>
        <w:t>万元，主要包括：</w:t>
      </w:r>
      <w:r>
        <w:rPr>
          <w:rFonts w:hint="eastAsia" w:ascii="仿宋" w:hAnsi="仿宋" w:eastAsia="仿宋"/>
          <w:color w:val="auto"/>
          <w:sz w:val="32"/>
          <w:szCs w:val="32"/>
          <w:highlight w:val="none"/>
          <w:lang w:val="en-US" w:eastAsia="zh-CN"/>
        </w:rPr>
        <w:t>印刷</w:t>
      </w:r>
      <w:r>
        <w:rPr>
          <w:rFonts w:hint="eastAsia" w:ascii="仿宋" w:hAnsi="仿宋" w:eastAsia="仿宋"/>
          <w:color w:val="auto"/>
          <w:sz w:val="32"/>
          <w:szCs w:val="32"/>
          <w:highlight w:val="none"/>
        </w:rPr>
        <w:t>费</w:t>
      </w:r>
      <w:r>
        <w:rPr>
          <w:rFonts w:hint="eastAsia" w:ascii="仿宋" w:hAnsi="仿宋" w:eastAsia="仿宋"/>
          <w:color w:val="auto"/>
          <w:sz w:val="32"/>
          <w:szCs w:val="32"/>
          <w:highlight w:val="none"/>
          <w:lang w:val="en-US" w:eastAsia="zh-CN"/>
        </w:rPr>
        <w:t>1.62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000000"/>
          <w:sz w:val="32"/>
          <w:szCs w:val="32"/>
          <w:lang w:val="en-US" w:eastAsia="zh-CN"/>
        </w:rPr>
        <w:t>为财政代扣报刊费。</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7"/>
          <w:rFonts w:ascii="黑体" w:hAnsi="黑体" w:eastAsia="黑体"/>
          <w:b w:val="0"/>
          <w:color w:val="auto"/>
          <w:highlight w:val="none"/>
        </w:rPr>
      </w:pPr>
      <w:bookmarkStart w:id="60" w:name="_Toc15377215"/>
      <w:bookmarkStart w:id="61" w:name="_Toc24580"/>
      <w:bookmarkStart w:id="62"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60"/>
      <w:bookmarkEnd w:id="61"/>
      <w:bookmarkEnd w:id="62"/>
    </w:p>
    <w:p>
      <w:pPr>
        <w:spacing w:line="600" w:lineRule="exact"/>
        <w:ind w:firstLine="640"/>
        <w:outlineLvl w:val="2"/>
        <w:rPr>
          <w:rFonts w:ascii="仿宋" w:hAnsi="仿宋" w:eastAsia="仿宋"/>
          <w:b/>
          <w:color w:val="auto"/>
          <w:sz w:val="32"/>
          <w:szCs w:val="32"/>
          <w:highlight w:val="none"/>
        </w:rPr>
      </w:pPr>
      <w:bookmarkStart w:id="63" w:name="_Toc15377216"/>
      <w:r>
        <w:rPr>
          <w:rFonts w:hint="eastAsia" w:ascii="仿宋" w:hAnsi="仿宋" w:eastAsia="仿宋"/>
          <w:b/>
          <w:color w:val="auto"/>
          <w:sz w:val="32"/>
          <w:szCs w:val="32"/>
          <w:highlight w:val="none"/>
        </w:rPr>
        <w:t>（一）“三公”经费财政拨款支出决算总体情况说明</w:t>
      </w:r>
      <w:bookmarkEnd w:id="63"/>
    </w:p>
    <w:p>
      <w:pPr>
        <w:spacing w:line="600" w:lineRule="exact"/>
        <w:ind w:firstLine="64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2021年“三公”经费财政拨款支出决算为0万元，年初未安排预算。</w:t>
      </w:r>
    </w:p>
    <w:p>
      <w:pPr>
        <w:spacing w:line="600" w:lineRule="exact"/>
        <w:ind w:firstLine="640"/>
        <w:outlineLvl w:val="2"/>
        <w:rPr>
          <w:rFonts w:ascii="仿宋" w:hAnsi="仿宋" w:eastAsia="仿宋"/>
          <w:b/>
          <w:color w:val="auto"/>
          <w:sz w:val="32"/>
          <w:szCs w:val="32"/>
          <w:highlight w:val="none"/>
        </w:rPr>
      </w:pPr>
      <w:bookmarkStart w:id="64" w:name="_Toc15377217"/>
      <w:r>
        <w:rPr>
          <w:rFonts w:hint="eastAsia" w:ascii="仿宋" w:hAnsi="仿宋" w:eastAsia="仿宋"/>
          <w:b/>
          <w:color w:val="auto"/>
          <w:sz w:val="32"/>
          <w:szCs w:val="32"/>
          <w:highlight w:val="none"/>
        </w:rPr>
        <w:t>（二）“三公”经费财政拨款支出决算具体情况说明</w:t>
      </w:r>
      <w:bookmarkEnd w:id="6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万元，年初未安排预算。具体情况如下：</w:t>
      </w:r>
    </w:p>
    <w:p>
      <w:pPr>
        <w:spacing w:line="600" w:lineRule="exact"/>
        <w:ind w:firstLine="64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1.因公出国（境）经费支出0万元，年初未安排预算。</w:t>
      </w:r>
    </w:p>
    <w:p>
      <w:pPr>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2.公务用车购置及运行维护费支出0万元，年初未安排预算。</w:t>
      </w:r>
    </w:p>
    <w:p>
      <w:pPr>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其中：</w:t>
      </w:r>
      <w:r>
        <w:rPr>
          <w:rFonts w:hint="eastAsia" w:ascii="仿宋" w:hAnsi="仿宋" w:eastAsia="仿宋" w:cs="Times New Roman"/>
          <w:b/>
          <w:bCs/>
          <w:color w:val="000000"/>
          <w:sz w:val="32"/>
          <w:szCs w:val="32"/>
          <w:lang w:val="en-US" w:eastAsia="zh-CN"/>
        </w:rPr>
        <w:t>公务用车购置支出</w:t>
      </w:r>
      <w:r>
        <w:rPr>
          <w:rFonts w:hint="eastAsia" w:ascii="仿宋" w:hAnsi="仿宋" w:eastAsia="仿宋" w:cs="Times New Roman"/>
          <w:color w:val="000000"/>
          <w:sz w:val="32"/>
          <w:szCs w:val="32"/>
          <w:lang w:val="en-US" w:eastAsia="zh-CN"/>
        </w:rPr>
        <w:t>0万元。全年按规定更新购置公务用车0辆。</w:t>
      </w:r>
    </w:p>
    <w:p>
      <w:pPr>
        <w:spacing w:line="600" w:lineRule="exact"/>
        <w:ind w:firstLine="645"/>
        <w:rPr>
          <w:rFonts w:hint="eastAsia" w:ascii="仿宋" w:hAnsi="仿宋" w:eastAsia="仿宋" w:cs="Times New Roman"/>
          <w:color w:val="000000"/>
          <w:sz w:val="32"/>
          <w:szCs w:val="32"/>
          <w:lang w:val="en-US" w:eastAsia="zh-CN"/>
        </w:rPr>
      </w:pPr>
      <w:r>
        <w:rPr>
          <w:rFonts w:hint="eastAsia" w:ascii="仿宋" w:hAnsi="仿宋" w:eastAsia="仿宋" w:cs="Times New Roman"/>
          <w:b/>
          <w:bCs/>
          <w:color w:val="000000"/>
          <w:sz w:val="32"/>
          <w:szCs w:val="32"/>
          <w:lang w:val="en-US" w:eastAsia="zh-CN"/>
        </w:rPr>
        <w:t>公务用车运行维护费支出0</w:t>
      </w:r>
      <w:r>
        <w:rPr>
          <w:rFonts w:hint="eastAsia" w:ascii="仿宋" w:hAnsi="仿宋" w:eastAsia="仿宋" w:cs="Times New Roman"/>
          <w:color w:val="000000"/>
          <w:sz w:val="32"/>
          <w:szCs w:val="32"/>
          <w:lang w:val="en-US" w:eastAsia="zh-CN"/>
        </w:rPr>
        <w:t>万元。</w:t>
      </w:r>
    </w:p>
    <w:p>
      <w:pPr>
        <w:numPr>
          <w:ilvl w:val="0"/>
          <w:numId w:val="0"/>
        </w:numPr>
        <w:spacing w:line="600" w:lineRule="exact"/>
        <w:ind w:firstLine="643"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b/>
          <w:bCs/>
          <w:color w:val="000000"/>
          <w:sz w:val="32"/>
          <w:szCs w:val="32"/>
          <w:lang w:val="en-US" w:eastAsia="zh-CN"/>
        </w:rPr>
        <w:t>3.公务接待费支出</w:t>
      </w:r>
      <w:r>
        <w:rPr>
          <w:rFonts w:hint="eastAsia" w:ascii="仿宋" w:hAnsi="仿宋" w:eastAsia="仿宋" w:cs="Times New Roman"/>
          <w:color w:val="000000"/>
          <w:sz w:val="32"/>
          <w:szCs w:val="32"/>
          <w:lang w:val="en-US" w:eastAsia="zh-CN"/>
        </w:rPr>
        <w:t>0万元，年初未安排预算。</w:t>
      </w:r>
    </w:p>
    <w:p>
      <w:pPr>
        <w:numPr>
          <w:ilvl w:val="0"/>
          <w:numId w:val="0"/>
        </w:numPr>
        <w:spacing w:line="600" w:lineRule="exact"/>
        <w:ind w:firstLine="643" w:firstLineChars="200"/>
        <w:rPr>
          <w:rFonts w:hint="eastAsia" w:ascii="仿宋" w:hAnsi="仿宋" w:eastAsia="仿宋" w:cs="Times New Roman"/>
          <w:color w:val="000000"/>
          <w:sz w:val="32"/>
          <w:szCs w:val="32"/>
          <w:lang w:val="en-US" w:eastAsia="zh-CN"/>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 w:hAnsi="仿宋" w:eastAsia="仿宋" w:cs="Times New Roman"/>
          <w:color w:val="000000"/>
          <w:sz w:val="32"/>
          <w:szCs w:val="32"/>
          <w:lang w:val="en-US" w:eastAsia="zh-CN"/>
        </w:rPr>
        <w:t>万元，年初未安排预算。</w:t>
      </w:r>
    </w:p>
    <w:p>
      <w:pPr>
        <w:spacing w:line="600" w:lineRule="exact"/>
        <w:ind w:firstLine="640"/>
        <w:rPr>
          <w:rFonts w:hint="default" w:ascii="仿宋" w:hAnsi="仿宋" w:eastAsia="仿宋" w:cs="Times New Roman"/>
          <w:color w:val="000000"/>
          <w:sz w:val="32"/>
          <w:szCs w:val="32"/>
          <w:lang w:val="en-US" w:eastAsia="zh-CN"/>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 w:hAnsi="仿宋" w:eastAsia="仿宋" w:cs="Times New Roman"/>
          <w:color w:val="000000"/>
          <w:sz w:val="32"/>
          <w:szCs w:val="32"/>
          <w:lang w:val="en-US" w:eastAsia="zh-CN"/>
        </w:rPr>
        <w:t>万元，年初未安排预算。</w:t>
      </w:r>
    </w:p>
    <w:p>
      <w:pPr>
        <w:spacing w:line="600" w:lineRule="exact"/>
        <w:ind w:firstLine="640"/>
        <w:outlineLvl w:val="9"/>
        <w:rPr>
          <w:rFonts w:ascii="黑体" w:eastAsia="黑体"/>
          <w:color w:val="auto"/>
          <w:sz w:val="32"/>
          <w:szCs w:val="32"/>
          <w:highlight w:val="none"/>
        </w:rPr>
      </w:pPr>
      <w:bookmarkStart w:id="65" w:name="_Toc15377218"/>
      <w:bookmarkStart w:id="66" w:name="_Toc15396610"/>
    </w:p>
    <w:p>
      <w:pPr>
        <w:spacing w:line="600" w:lineRule="exact"/>
        <w:ind w:firstLine="640"/>
        <w:outlineLvl w:val="1"/>
        <w:rPr>
          <w:rStyle w:val="27"/>
          <w:rFonts w:ascii="黑体" w:hAnsi="黑体" w:eastAsia="黑体"/>
          <w:color w:val="auto"/>
          <w:highlight w:val="none"/>
        </w:rPr>
      </w:pPr>
      <w:bookmarkStart w:id="67" w:name="_Toc11570"/>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65"/>
      <w:bookmarkEnd w:id="66"/>
      <w:bookmarkEnd w:id="67"/>
    </w:p>
    <w:p>
      <w:pPr>
        <w:spacing w:line="600" w:lineRule="exact"/>
        <w:ind w:firstLine="640"/>
        <w:rPr>
          <w:rFonts w:hint="eastAsia" w:ascii="仿宋_GB2312" w:hAnsi="Times New Roman" w:eastAsia="仿宋_GB2312" w:cs="Times New Roman"/>
          <w:color w:val="auto"/>
          <w:sz w:val="32"/>
          <w:szCs w:val="32"/>
          <w:highlight w:val="none"/>
          <w:lang w:val="en-US" w:eastAsia="zh-CN"/>
        </w:rPr>
      </w:pPr>
      <w:r>
        <w:rPr>
          <w:rFonts w:hint="eastAsia" w:ascii="仿宋" w:hAnsi="仿宋" w:eastAsia="仿宋" w:cs="Times New Roman"/>
          <w:color w:val="000000"/>
          <w:sz w:val="32"/>
          <w:szCs w:val="32"/>
          <w:lang w:val="en-US" w:eastAsia="zh-CN"/>
        </w:rPr>
        <w:t>2021年政府性基金预算财政拨款支出0万元，年初未安排预算。</w:t>
      </w:r>
    </w:p>
    <w:p>
      <w:pPr>
        <w:spacing w:line="600" w:lineRule="exact"/>
        <w:ind w:firstLine="640"/>
        <w:rPr>
          <w:rFonts w:hint="eastAsia" w:ascii="仿宋_GB2312" w:hAnsi="Times New Roman" w:eastAsia="仿宋_GB2312" w:cs="Times New Roman"/>
          <w:color w:val="auto"/>
          <w:sz w:val="32"/>
          <w:szCs w:val="32"/>
          <w:highlight w:val="none"/>
          <w:lang w:val="en-US" w:eastAsia="zh-CN"/>
        </w:rPr>
      </w:pPr>
    </w:p>
    <w:p>
      <w:pPr>
        <w:numPr>
          <w:ilvl w:val="0"/>
          <w:numId w:val="3"/>
        </w:numPr>
        <w:spacing w:line="600" w:lineRule="exact"/>
        <w:ind w:firstLine="640"/>
        <w:outlineLvl w:val="1"/>
        <w:rPr>
          <w:rStyle w:val="27"/>
          <w:rFonts w:ascii="黑体" w:hAnsi="黑体" w:eastAsia="黑体"/>
          <w:b w:val="0"/>
          <w:color w:val="auto"/>
          <w:highlight w:val="none"/>
        </w:rPr>
      </w:pPr>
      <w:bookmarkStart w:id="68" w:name="_Toc15377219"/>
      <w:bookmarkStart w:id="69" w:name="_Toc15396611"/>
      <w:bookmarkStart w:id="70" w:name="_Toc9415"/>
      <w:r>
        <w:rPr>
          <w:rStyle w:val="27"/>
          <w:rFonts w:hint="eastAsia" w:ascii="黑体" w:hAnsi="黑体" w:eastAsia="黑体"/>
          <w:b w:val="0"/>
          <w:color w:val="auto"/>
          <w:highlight w:val="none"/>
        </w:rPr>
        <w:t>国有资本经营预算支出决算情况说明</w:t>
      </w:r>
      <w:bookmarkEnd w:id="68"/>
      <w:bookmarkEnd w:id="69"/>
      <w:bookmarkEnd w:id="70"/>
    </w:p>
    <w:p>
      <w:pPr>
        <w:spacing w:line="600" w:lineRule="exact"/>
        <w:ind w:firstLine="640"/>
        <w:rPr>
          <w:rFonts w:hint="eastAsia" w:ascii="仿宋_GB2312" w:hAnsi="Times New Roman" w:eastAsia="仿宋_GB2312" w:cs="Times New Roman"/>
          <w:color w:val="auto"/>
          <w:sz w:val="32"/>
          <w:szCs w:val="32"/>
          <w:highlight w:val="none"/>
          <w:lang w:val="en-US" w:eastAsia="zh-CN"/>
        </w:rPr>
      </w:pPr>
      <w:r>
        <w:rPr>
          <w:rFonts w:hint="eastAsia" w:ascii="仿宋" w:hAnsi="仿宋" w:eastAsia="仿宋" w:cs="Times New Roman"/>
          <w:color w:val="000000"/>
          <w:sz w:val="32"/>
          <w:szCs w:val="32"/>
          <w:lang w:val="en-US" w:eastAsia="zh-CN"/>
        </w:rPr>
        <w:t>2021年国有资本经营预算财政拨款支出0万元，年初未安排预算。</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7"/>
          <w:rFonts w:hint="eastAsia" w:ascii="黑体" w:hAnsi="黑体" w:eastAsia="黑体"/>
          <w:b w:val="0"/>
          <w:color w:val="auto"/>
          <w:highlight w:val="none"/>
        </w:rPr>
      </w:pPr>
      <w:bookmarkStart w:id="71" w:name="_Toc30370"/>
      <w:bookmarkStart w:id="72" w:name="_Toc15377221"/>
      <w:bookmarkStart w:id="73" w:name="_Toc15396612"/>
      <w:r>
        <w:rPr>
          <w:rStyle w:val="27"/>
          <w:rFonts w:hint="eastAsia" w:ascii="黑体" w:hAnsi="黑体" w:eastAsia="黑体"/>
          <w:b w:val="0"/>
          <w:color w:val="auto"/>
          <w:highlight w:val="none"/>
          <w:lang w:val="en-US" w:eastAsia="zh-CN"/>
        </w:rPr>
        <w:t>预算绩效管理情况</w:t>
      </w:r>
      <w:bookmarkEnd w:id="71"/>
    </w:p>
    <w:p>
      <w:pPr>
        <w:spacing w:line="600" w:lineRule="exact"/>
        <w:ind w:firstLine="64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根据预算绩效管理要求，</w:t>
      </w:r>
      <w:r>
        <w:rPr>
          <w:rFonts w:hint="eastAsia" w:ascii="仿宋" w:hAnsi="仿宋" w:eastAsia="仿宋" w:cs="Times New Roman"/>
          <w:color w:val="000000"/>
          <w:sz w:val="32"/>
          <w:szCs w:val="32"/>
          <w:lang w:val="en-US" w:eastAsia="zh-CN"/>
        </w:rPr>
        <w:t>我院</w:t>
      </w:r>
      <w:r>
        <w:rPr>
          <w:rFonts w:hint="eastAsia" w:ascii="仿宋" w:hAnsi="仿宋" w:eastAsia="仿宋" w:cs="Times New Roman"/>
          <w:color w:val="000000"/>
          <w:sz w:val="32"/>
          <w:szCs w:val="32"/>
        </w:rPr>
        <w:t>年初预算编制阶段，组织对</w:t>
      </w:r>
      <w:r>
        <w:rPr>
          <w:rFonts w:hint="eastAsia" w:ascii="仿宋" w:hAnsi="仿宋" w:eastAsia="仿宋" w:cs="Times New Roman"/>
          <w:color w:val="000000"/>
          <w:sz w:val="32"/>
          <w:szCs w:val="32"/>
          <w:lang w:val="en-US" w:eastAsia="zh-CN"/>
        </w:rPr>
        <w:t>取消药品加成</w:t>
      </w:r>
      <w:r>
        <w:rPr>
          <w:rFonts w:hint="eastAsia" w:ascii="仿宋" w:hAnsi="仿宋" w:eastAsia="仿宋" w:cs="Times New Roman"/>
          <w:color w:val="000000"/>
          <w:sz w:val="32"/>
          <w:szCs w:val="32"/>
        </w:rPr>
        <w:t>项目开展了预算事前绩效评估，对</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rPr>
        <w:t>个项目编制了绩效目标，预算执行过程中，选取</w:t>
      </w:r>
      <w:r>
        <w:rPr>
          <w:rFonts w:hint="eastAsia" w:ascii="仿宋" w:hAnsi="仿宋" w:eastAsia="仿宋" w:cs="Times New Roman"/>
          <w:color w:val="000000"/>
          <w:sz w:val="32"/>
          <w:szCs w:val="32"/>
          <w:lang w:val="en-US" w:eastAsia="zh-CN"/>
        </w:rPr>
        <w:t>11</w:t>
      </w:r>
      <w:r>
        <w:rPr>
          <w:rFonts w:hint="eastAsia" w:ascii="仿宋" w:hAnsi="仿宋" w:eastAsia="仿宋" w:cs="Times New Roman"/>
          <w:color w:val="000000"/>
          <w:sz w:val="32"/>
          <w:szCs w:val="32"/>
        </w:rPr>
        <w:t>个项目开展绩效监控，年终执行完毕后，对</w:t>
      </w:r>
      <w:r>
        <w:rPr>
          <w:rFonts w:hint="eastAsia" w:ascii="仿宋" w:hAnsi="仿宋" w:eastAsia="仿宋" w:cs="Times New Roman"/>
          <w:color w:val="000000"/>
          <w:sz w:val="32"/>
          <w:szCs w:val="32"/>
          <w:lang w:val="en-US" w:eastAsia="zh-CN"/>
        </w:rPr>
        <w:t>4</w:t>
      </w:r>
      <w:r>
        <w:rPr>
          <w:rFonts w:hint="eastAsia" w:ascii="仿宋" w:hAnsi="仿宋" w:eastAsia="仿宋" w:cs="Times New Roman"/>
          <w:color w:val="000000"/>
          <w:sz w:val="32"/>
          <w:szCs w:val="32"/>
        </w:rPr>
        <w:t>个项目开展了绩效目标完成情况自评。</w:t>
      </w:r>
    </w:p>
    <w:p>
      <w:pPr>
        <w:spacing w:line="600" w:lineRule="exact"/>
        <w:ind w:firstLine="640"/>
        <w:rPr>
          <w:rFonts w:ascii="仿宋_GB2312" w:hAnsi="仿宋_GB2312" w:eastAsia="仿宋_GB2312" w:cs="仿宋_GB2312"/>
          <w:sz w:val="32"/>
          <w:szCs w:val="32"/>
        </w:rPr>
      </w:pPr>
      <w:r>
        <w:rPr>
          <w:rFonts w:hint="eastAsia" w:ascii="仿宋" w:hAnsi="仿宋" w:eastAsia="仿宋" w:cs="Times New Roman"/>
          <w:color w:val="000000"/>
          <w:sz w:val="32"/>
          <w:szCs w:val="32"/>
        </w:rPr>
        <w:t>本</w:t>
      </w:r>
      <w:r>
        <w:rPr>
          <w:rFonts w:hint="eastAsia" w:ascii="仿宋" w:hAnsi="仿宋" w:eastAsia="仿宋" w:cs="Times New Roman"/>
          <w:color w:val="000000"/>
          <w:sz w:val="32"/>
          <w:szCs w:val="32"/>
          <w:lang w:val="en-US" w:eastAsia="zh-CN"/>
        </w:rPr>
        <w:t>单位</w:t>
      </w:r>
      <w:r>
        <w:rPr>
          <w:rFonts w:hint="eastAsia" w:ascii="仿宋" w:hAnsi="仿宋" w:eastAsia="仿宋" w:cs="Times New Roman"/>
          <w:color w:val="000000"/>
          <w:sz w:val="32"/>
          <w:szCs w:val="32"/>
        </w:rPr>
        <w:t>按要求对202</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单位</w:t>
      </w:r>
      <w:r>
        <w:rPr>
          <w:rFonts w:hint="eastAsia" w:ascii="仿宋" w:hAnsi="仿宋" w:eastAsia="仿宋" w:cs="Times New Roman"/>
          <w:color w:val="000000"/>
          <w:sz w:val="32"/>
          <w:szCs w:val="32"/>
        </w:rPr>
        <w:t>整体支出开展绩效自评，从评价情况来看预算支出未发现无预算、超预算支出，未发现虚列支出和预算科目间相互挤占问题，所有财政资金支出均履行了严格审批手续，未发现挤占、挪用、转移财政资金行为。基本支出严格</w:t>
      </w:r>
      <w:r>
        <w:rPr>
          <w:rFonts w:hint="eastAsia" w:ascii="仿宋" w:hAnsi="仿宋" w:eastAsia="仿宋" w:cs="仿宋"/>
          <w:sz w:val="32"/>
          <w:szCs w:val="32"/>
        </w:rPr>
        <w:t>执行国家有关政策及规定，无擅自扩大开支范围的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w:t>
      </w:r>
      <w:r>
        <w:rPr>
          <w:rFonts w:hint="eastAsia" w:ascii="仿宋" w:hAnsi="仿宋" w:eastAsia="仿宋" w:cs="仿宋"/>
          <w:sz w:val="32"/>
          <w:szCs w:val="32"/>
          <w:lang w:eastAsia="zh-CN"/>
        </w:rPr>
        <w:t>自有资金</w:t>
      </w:r>
      <w:r>
        <w:rPr>
          <w:rFonts w:hint="eastAsia" w:ascii="仿宋" w:hAnsi="仿宋" w:eastAsia="仿宋" w:cs="仿宋"/>
          <w:sz w:val="32"/>
          <w:szCs w:val="32"/>
        </w:rPr>
        <w:t>对外借、贷款问题。本</w:t>
      </w:r>
      <w:r>
        <w:rPr>
          <w:rFonts w:hint="eastAsia" w:ascii="仿宋" w:hAnsi="仿宋" w:eastAsia="仿宋" w:cs="仿宋"/>
          <w:sz w:val="32"/>
          <w:szCs w:val="32"/>
          <w:lang w:val="en-US" w:eastAsia="zh-CN"/>
        </w:rPr>
        <w:t>单位</w:t>
      </w:r>
      <w:r>
        <w:rPr>
          <w:rFonts w:hint="eastAsia" w:ascii="仿宋" w:hAnsi="仿宋" w:eastAsia="仿宋" w:cs="仿宋"/>
          <w:sz w:val="32"/>
          <w:szCs w:val="32"/>
        </w:rPr>
        <w:t>还自行组织了项目绩效评价，从评价情况来看</w:t>
      </w:r>
      <w:r>
        <w:rPr>
          <w:rFonts w:hint="eastAsia" w:ascii="仿宋" w:hAnsi="仿宋" w:eastAsia="仿宋" w:cs="仿宋"/>
          <w:sz w:val="32"/>
          <w:szCs w:val="32"/>
          <w:lang w:eastAsia="zh-CN"/>
        </w:rPr>
        <w:t>我</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对项目资金加强使用管理，</w:t>
      </w:r>
      <w:r>
        <w:rPr>
          <w:rFonts w:hint="eastAsia" w:ascii="仿宋" w:hAnsi="仿宋" w:eastAsia="仿宋" w:cs="仿宋"/>
          <w:sz w:val="32"/>
          <w:szCs w:val="32"/>
        </w:rPr>
        <w:t>明确了项目内容、目</w:t>
      </w:r>
      <w:r>
        <w:rPr>
          <w:rFonts w:hint="eastAsia" w:ascii="仿宋" w:hAnsi="仿宋" w:eastAsia="仿宋"/>
          <w:sz w:val="32"/>
          <w:szCs w:val="32"/>
        </w:rPr>
        <w:t>标任务及工作措施。在实施过程中，经常召开专项会议，及时调度项目进度，研究解决项目工作中的具体问题</w:t>
      </w:r>
      <w:r>
        <w:rPr>
          <w:rFonts w:hint="eastAsia" w:ascii="仿宋" w:hAnsi="仿宋" w:eastAsia="仿宋"/>
          <w:sz w:val="32"/>
          <w:szCs w:val="32"/>
          <w:lang w:eastAsia="zh-CN"/>
        </w:rPr>
        <w:t>，并</w:t>
      </w:r>
      <w:r>
        <w:rPr>
          <w:rFonts w:hint="eastAsia" w:ascii="仿宋" w:hAnsi="仿宋" w:eastAsia="仿宋" w:cs="仿宋"/>
          <w:sz w:val="32"/>
          <w:szCs w:val="32"/>
        </w:rPr>
        <w:t>根据专项资金文件规定的申报、审核、支付、管理流程，基本按照相关文件的规定审核支付资金，</w:t>
      </w:r>
      <w:r>
        <w:rPr>
          <w:rFonts w:hint="eastAsia" w:ascii="仿宋" w:hAnsi="仿宋" w:eastAsia="仿宋" w:cs="仿宋"/>
          <w:color w:val="000000"/>
          <w:sz w:val="32"/>
          <w:szCs w:val="32"/>
        </w:rPr>
        <w:t>资金</w:t>
      </w:r>
      <w:r>
        <w:rPr>
          <w:rFonts w:hint="eastAsia" w:ascii="仿宋" w:hAnsi="仿宋" w:eastAsia="仿宋" w:cs="仿宋"/>
          <w:sz w:val="32"/>
          <w:szCs w:val="32"/>
        </w:rPr>
        <w:t>的支付范围、支付标准基本合规合法，支付依据充分，做到了专款专用。</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在202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年度部门决算中反映“</w:t>
      </w:r>
      <w:r>
        <w:rPr>
          <w:rFonts w:hint="eastAsia" w:ascii="仿宋" w:hAnsi="仿宋" w:eastAsia="仿宋" w:cs="仿宋"/>
          <w:sz w:val="32"/>
          <w:szCs w:val="32"/>
          <w:lang w:val="en-US" w:eastAsia="zh-CN"/>
        </w:rPr>
        <w:t>新生儿疾病筛查</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两癌筛查</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婚前检查</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孕前优生</w:t>
      </w:r>
      <w:r>
        <w:rPr>
          <w:rFonts w:hint="eastAsia" w:ascii="仿宋" w:hAnsi="仿宋" w:eastAsia="仿宋" w:cs="仿宋"/>
          <w:sz w:val="32"/>
          <w:szCs w:val="32"/>
          <w:lang w:eastAsia="zh-CN"/>
        </w:rPr>
        <w:t>”</w:t>
      </w:r>
      <w:r>
        <w:rPr>
          <w:rFonts w:hint="eastAsia" w:ascii="仿宋" w:hAnsi="仿宋" w:eastAsia="仿宋" w:cs="仿宋"/>
          <w:sz w:val="32"/>
          <w:szCs w:val="32"/>
        </w:rPr>
        <w:t>等</w:t>
      </w:r>
      <w:r>
        <w:rPr>
          <w:rFonts w:hint="eastAsia" w:ascii="仿宋" w:hAnsi="仿宋" w:eastAsia="仿宋" w:cs="仿宋"/>
          <w:sz w:val="32"/>
          <w:szCs w:val="32"/>
          <w:lang w:val="en-US" w:eastAsia="zh-CN"/>
        </w:rPr>
        <w:t>4</w:t>
      </w:r>
      <w:r>
        <w:rPr>
          <w:rFonts w:hint="eastAsia" w:ascii="仿宋" w:hAnsi="仿宋" w:eastAsia="仿宋" w:cs="仿宋"/>
          <w:sz w:val="32"/>
          <w:szCs w:val="32"/>
        </w:rPr>
        <w:t>个项目绩效目标实际完成情况。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新生儿疾病筛查</w:t>
      </w:r>
      <w:r>
        <w:rPr>
          <w:rFonts w:hint="eastAsia" w:ascii="仿宋" w:hAnsi="仿宋" w:eastAsia="仿宋" w:cs="仿宋"/>
          <w:sz w:val="32"/>
          <w:szCs w:val="32"/>
        </w:rPr>
        <w:t>项目绩效目标完成情况综述</w:t>
      </w:r>
      <w:r>
        <w:rPr>
          <w:rFonts w:hint="eastAsia" w:ascii="仿宋" w:hAnsi="仿宋" w:eastAsia="仿宋" w:cs="仿宋"/>
          <w:sz w:val="32"/>
          <w:szCs w:val="32"/>
          <w:lang w:eastAsia="zh-CN"/>
        </w:rPr>
        <w:t>：</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9.74</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4.29</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44.05</w:t>
      </w:r>
      <w:r>
        <w:rPr>
          <w:rFonts w:hint="eastAsia" w:ascii="仿宋" w:hAnsi="仿宋" w:eastAsia="仿宋" w:cs="仿宋"/>
          <w:sz w:val="32"/>
          <w:szCs w:val="32"/>
        </w:rPr>
        <w:t>%。通过项目实施，</w:t>
      </w:r>
      <w:r>
        <w:rPr>
          <w:rFonts w:hint="eastAsia" w:ascii="仿宋" w:hAnsi="仿宋" w:eastAsia="仿宋" w:cs="仿宋"/>
          <w:sz w:val="32"/>
          <w:szCs w:val="32"/>
          <w:lang w:val="en-US" w:eastAsia="zh-CN"/>
        </w:rPr>
        <w:t>新生儿疾病筛查率达到100%</w:t>
      </w:r>
      <w:r>
        <w:rPr>
          <w:rFonts w:hint="eastAsia" w:ascii="仿宋" w:hAnsi="仿宋" w:eastAsia="仿宋" w:cs="仿宋"/>
          <w:sz w:val="32"/>
          <w:szCs w:val="32"/>
        </w:rPr>
        <w:t>，</w:t>
      </w:r>
      <w:r>
        <w:rPr>
          <w:rFonts w:hint="eastAsia" w:ascii="仿宋" w:hAnsi="仿宋" w:eastAsia="仿宋" w:cs="仿宋"/>
          <w:sz w:val="32"/>
          <w:szCs w:val="32"/>
          <w:lang w:val="en-US" w:eastAsia="zh-CN"/>
        </w:rPr>
        <w:t>新生儿听力筛查率达100%。</w:t>
      </w:r>
    </w:p>
    <w:p>
      <w:pPr>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两癌筛查</w:t>
      </w:r>
      <w:r>
        <w:rPr>
          <w:rFonts w:hint="eastAsia" w:ascii="仿宋" w:hAnsi="仿宋" w:eastAsia="仿宋" w:cs="仿宋"/>
          <w:sz w:val="32"/>
          <w:szCs w:val="32"/>
        </w:rPr>
        <w:t>项目绩效目标完成情况综述</w:t>
      </w:r>
      <w:r>
        <w:rPr>
          <w:rFonts w:hint="eastAsia" w:ascii="仿宋" w:hAnsi="仿宋" w:eastAsia="仿宋" w:cs="仿宋"/>
          <w:sz w:val="32"/>
          <w:szCs w:val="32"/>
          <w:lang w:eastAsia="zh-CN"/>
        </w:rPr>
        <w:t>：</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48.55</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42.08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86.67</w:t>
      </w:r>
      <w:r>
        <w:rPr>
          <w:rFonts w:hint="eastAsia" w:ascii="仿宋" w:hAnsi="仿宋" w:eastAsia="仿宋" w:cs="仿宋"/>
          <w:sz w:val="32"/>
          <w:szCs w:val="32"/>
        </w:rPr>
        <w:t>%。通过项目实施</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完成宫颈癌筛查人数2060人，完成率达114.44%，完成乳腺癌筛查人次2173人，完成率达120.72%，“两癌”筛查覆盖率达90%;提高“两癌”筛查质量，全区“两癌”筛查项目宫颈癌早期诊断比例达到90%以上，乳腺癌早期诊断比例达到60%以上，做到早发现早治理。</w:t>
      </w:r>
    </w:p>
    <w:p>
      <w:pPr>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婚前检查</w:t>
      </w:r>
      <w:r>
        <w:rPr>
          <w:rFonts w:hint="eastAsia" w:ascii="仿宋" w:hAnsi="仿宋" w:eastAsia="仿宋" w:cs="仿宋"/>
          <w:color w:val="auto"/>
          <w:sz w:val="32"/>
          <w:szCs w:val="32"/>
        </w:rPr>
        <w:t>项目绩效目标完成情况综述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项目全年预算数</w:t>
      </w:r>
      <w:r>
        <w:rPr>
          <w:rFonts w:hint="eastAsia" w:ascii="仿宋" w:hAnsi="仿宋" w:eastAsia="仿宋" w:cs="仿宋"/>
          <w:color w:val="auto"/>
          <w:sz w:val="32"/>
          <w:szCs w:val="32"/>
          <w:lang w:val="en-US" w:eastAsia="zh-CN"/>
        </w:rPr>
        <w:t>60.99</w:t>
      </w:r>
      <w:r>
        <w:rPr>
          <w:rFonts w:hint="eastAsia" w:ascii="仿宋" w:hAnsi="仿宋" w:eastAsia="仿宋" w:cs="仿宋"/>
          <w:color w:val="auto"/>
          <w:sz w:val="32"/>
          <w:szCs w:val="32"/>
        </w:rPr>
        <w:t>万元，执行数为</w:t>
      </w:r>
      <w:r>
        <w:rPr>
          <w:rFonts w:hint="eastAsia" w:ascii="仿宋" w:hAnsi="仿宋" w:eastAsia="仿宋" w:cs="仿宋"/>
          <w:color w:val="auto"/>
          <w:sz w:val="32"/>
          <w:szCs w:val="32"/>
          <w:lang w:val="en-US" w:eastAsia="zh-CN"/>
        </w:rPr>
        <w:t>52.76</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86.51</w:t>
      </w:r>
      <w:r>
        <w:rPr>
          <w:rFonts w:hint="eastAsia" w:ascii="仿宋" w:hAnsi="仿宋" w:eastAsia="仿宋" w:cs="仿宋"/>
          <w:color w:val="auto"/>
          <w:sz w:val="32"/>
          <w:szCs w:val="32"/>
        </w:rPr>
        <w:t>%。通过项目实施，</w:t>
      </w:r>
      <w:r>
        <w:rPr>
          <w:rFonts w:hint="eastAsia" w:ascii="仿宋" w:hAnsi="仿宋" w:eastAsia="仿宋" w:cs="仿宋"/>
          <w:color w:val="auto"/>
          <w:sz w:val="32"/>
          <w:szCs w:val="32"/>
          <w:lang w:val="en-US" w:eastAsia="zh-CN"/>
        </w:rPr>
        <w:t>我区共完成免费婚前检查对数</w:t>
      </w:r>
      <w:r>
        <w:rPr>
          <w:rFonts w:hint="eastAsia" w:ascii="仿宋_GB2312" w:hAnsi="仿宋_GB2312" w:eastAsia="仿宋_GB2312" w:cs="仿宋_GB2312"/>
          <w:color w:val="auto"/>
          <w:sz w:val="32"/>
          <w:szCs w:val="32"/>
          <w:lang w:val="en-US" w:eastAsia="zh-CN"/>
        </w:rPr>
        <w:t>913</w:t>
      </w:r>
      <w:r>
        <w:rPr>
          <w:rFonts w:hint="eastAsia" w:ascii="仿宋" w:hAnsi="仿宋" w:eastAsia="仿宋" w:cs="仿宋"/>
          <w:color w:val="auto"/>
          <w:sz w:val="32"/>
          <w:szCs w:val="32"/>
          <w:lang w:val="en-US" w:eastAsia="zh-CN"/>
        </w:rPr>
        <w:t>对，婚检率达85.15%，通过自愿免费婚检项目的开展，进行婚前卫生指导和卫生咨询，宣传与结婚和生育有关的保健知识，预防影响婚育的因素，指导安全的性行为及避孕，保障生殖健康。自愿婚检意识不断提高，出生缺陷发生风险逐渐降低，出生人口素质不断提升。</w:t>
      </w:r>
    </w:p>
    <w:p>
      <w:pPr>
        <w:spacing w:line="58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孕前优生</w:t>
      </w:r>
      <w:r>
        <w:rPr>
          <w:rFonts w:hint="eastAsia" w:ascii="仿宋" w:hAnsi="仿宋" w:eastAsia="仿宋" w:cs="仿宋"/>
          <w:color w:val="auto"/>
          <w:sz w:val="32"/>
          <w:szCs w:val="32"/>
        </w:rPr>
        <w:t>项目绩效目标完成情况综述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项目全年预算数</w:t>
      </w:r>
      <w:r>
        <w:rPr>
          <w:rFonts w:hint="eastAsia" w:ascii="仿宋" w:hAnsi="仿宋" w:eastAsia="仿宋" w:cs="仿宋"/>
          <w:color w:val="auto"/>
          <w:sz w:val="32"/>
          <w:szCs w:val="32"/>
          <w:lang w:val="en-US" w:eastAsia="zh-CN"/>
        </w:rPr>
        <w:t>15.81</w:t>
      </w:r>
      <w:r>
        <w:rPr>
          <w:rFonts w:hint="eastAsia" w:ascii="仿宋" w:hAnsi="仿宋" w:eastAsia="仿宋" w:cs="仿宋"/>
          <w:color w:val="auto"/>
          <w:sz w:val="32"/>
          <w:szCs w:val="32"/>
        </w:rPr>
        <w:t>万元，执行数为</w:t>
      </w:r>
      <w:r>
        <w:rPr>
          <w:rFonts w:hint="eastAsia" w:ascii="仿宋" w:hAnsi="仿宋" w:eastAsia="仿宋" w:cs="仿宋"/>
          <w:color w:val="auto"/>
          <w:sz w:val="32"/>
          <w:szCs w:val="32"/>
          <w:lang w:val="en-US" w:eastAsia="zh-CN"/>
        </w:rPr>
        <w:t>15.81</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%。通过项目实施，</w:t>
      </w:r>
      <w:r>
        <w:rPr>
          <w:rFonts w:hint="eastAsia" w:ascii="仿宋" w:hAnsi="仿宋" w:eastAsia="仿宋" w:cs="仿宋"/>
          <w:color w:val="auto"/>
          <w:sz w:val="32"/>
          <w:szCs w:val="32"/>
          <w:lang w:eastAsia="zh-CN"/>
        </w:rPr>
        <w:t>对辖区内符合生育政策、计划怀孕的城乡夫妇提供免费孕前优生健康检查服务。农村计划怀孕夫妇优生科学知识知晓率达到</w:t>
      </w:r>
      <w:r>
        <w:rPr>
          <w:rFonts w:hint="eastAsia" w:ascii="仿宋" w:hAnsi="仿宋" w:eastAsia="仿宋" w:cs="仿宋"/>
          <w:color w:val="auto"/>
          <w:sz w:val="32"/>
          <w:szCs w:val="32"/>
          <w:lang w:val="en-US" w:eastAsia="zh-CN"/>
        </w:rPr>
        <w:t>80%以上；农村计划怀孕夫妇参加免费孕前优生健康检查的主动性和自觉性不断增强，目标人群覆盖率达到96%以上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2021年孕前优生健康检查项目任务671对，实际完成673.5对，完成目标任务100.37%，评估出具有风险因素183人，占实检人数的 12.9%。</w:t>
      </w:r>
    </w:p>
    <w:p>
      <w:pPr>
        <w:pStyle w:val="2"/>
        <w:rPr>
          <w:rFonts w:hint="eastAsia"/>
        </w:rPr>
      </w:pPr>
    </w:p>
    <w:p>
      <w:pPr>
        <w:numPr>
          <w:ilvl w:val="0"/>
          <w:numId w:val="3"/>
        </w:numPr>
        <w:spacing w:line="600" w:lineRule="exact"/>
        <w:ind w:firstLine="640"/>
        <w:outlineLvl w:val="1"/>
        <w:rPr>
          <w:rStyle w:val="27"/>
          <w:rFonts w:hint="eastAsia" w:ascii="黑体" w:hAnsi="黑体" w:eastAsia="黑体"/>
          <w:b w:val="0"/>
          <w:color w:val="auto"/>
          <w:highlight w:val="none"/>
        </w:rPr>
      </w:pPr>
      <w:bookmarkStart w:id="74" w:name="_Toc5491"/>
      <w:r>
        <w:rPr>
          <w:rStyle w:val="27"/>
          <w:rFonts w:hint="eastAsia" w:ascii="黑体" w:hAnsi="黑体" w:eastAsia="黑体"/>
          <w:b w:val="0"/>
          <w:color w:val="auto"/>
          <w:highlight w:val="none"/>
        </w:rPr>
        <w:t>其他重要事项的情况说明</w:t>
      </w:r>
      <w:bookmarkEnd w:id="72"/>
      <w:bookmarkEnd w:id="73"/>
      <w:bookmarkEnd w:id="74"/>
    </w:p>
    <w:p>
      <w:pPr>
        <w:spacing w:line="600" w:lineRule="exact"/>
        <w:ind w:firstLine="643" w:firstLineChars="200"/>
        <w:outlineLvl w:val="2"/>
        <w:rPr>
          <w:rFonts w:ascii="仿宋" w:hAnsi="仿宋" w:eastAsia="仿宋"/>
          <w:color w:val="auto"/>
          <w:sz w:val="32"/>
          <w:szCs w:val="32"/>
          <w:highlight w:val="none"/>
        </w:rPr>
      </w:pPr>
      <w:bookmarkStart w:id="75" w:name="_Toc15377222"/>
      <w:r>
        <w:rPr>
          <w:rFonts w:hint="eastAsia" w:ascii="仿宋" w:hAnsi="仿宋" w:eastAsia="仿宋"/>
          <w:b/>
          <w:color w:val="auto"/>
          <w:sz w:val="32"/>
          <w:szCs w:val="32"/>
          <w:highlight w:val="none"/>
        </w:rPr>
        <w:t>（一）机关运行经费支出情况</w:t>
      </w:r>
      <w:bookmarkEnd w:id="75"/>
    </w:p>
    <w:p>
      <w:pPr>
        <w:spacing w:line="600" w:lineRule="exact"/>
        <w:ind w:firstLine="640"/>
        <w:rPr>
          <w:rFonts w:ascii="仿宋" w:hAnsi="仿宋" w:eastAsia="仿宋"/>
          <w:b/>
          <w:color w:val="auto"/>
          <w:sz w:val="32"/>
          <w:szCs w:val="32"/>
          <w:highlight w:val="none"/>
        </w:rPr>
      </w:pPr>
      <w:bookmarkStart w:id="76" w:name="_Toc15377223"/>
      <w:r>
        <w:rPr>
          <w:rFonts w:hint="eastAsia" w:ascii="仿宋" w:hAnsi="仿宋" w:eastAsia="仿宋" w:cs="Times New Roman"/>
          <w:color w:val="000000"/>
          <w:sz w:val="32"/>
          <w:szCs w:val="32"/>
          <w:lang w:val="en-US" w:eastAsia="zh-CN"/>
        </w:rPr>
        <w:t>本单位为事业单位，无机关运行经费支出。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76"/>
    </w:p>
    <w:p>
      <w:pPr>
        <w:spacing w:line="600" w:lineRule="exac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2021年，昭化区妇幼保健院政府采购支出总额642.97万元，其中：政府采购货物支出642.97万元、政府采购工程支出0万元、政府采购服务支出0万元。主要用于医疗设施设备购置与安装。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15377224"/>
      <w:r>
        <w:rPr>
          <w:rFonts w:hint="eastAsia" w:ascii="仿宋" w:hAnsi="仿宋" w:eastAsia="仿宋"/>
          <w:b/>
          <w:color w:val="auto"/>
          <w:sz w:val="32"/>
          <w:szCs w:val="32"/>
          <w:highlight w:val="none"/>
        </w:rPr>
        <w:t>（三）国有资产占有使用情况</w:t>
      </w:r>
      <w:bookmarkEnd w:id="77"/>
    </w:p>
    <w:p>
      <w:pPr>
        <w:spacing w:line="600" w:lineRule="exac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截至2021年12月31日，区妇幼保健院共有车辆5辆，其中：主要领导干部用车0辆、机要通信用车0辆、应急保障用车0辆、特种专业技术用车5辆、其他用车0辆，特种专业技术用车为我院救护车辆，车辆主要是用于急诊急救、转运病人等；单价50万元以上通用设备0台（套），单价100万元以上专用设备3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78" w:name="_Toc327"/>
      <w:bookmarkStart w:id="79" w:name="_Toc15396613"/>
      <w:bookmarkStart w:id="80" w:name="_Toc1537722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78"/>
      <w:bookmarkEnd w:id="79"/>
      <w:bookmarkEnd w:id="80"/>
    </w:p>
    <w:p>
      <w:pPr>
        <w:spacing w:line="600" w:lineRule="exact"/>
        <w:jc w:val="left"/>
        <w:rPr>
          <w:rFonts w:ascii="宋体"/>
          <w:b/>
          <w:color w:val="auto"/>
          <w:sz w:val="44"/>
          <w:szCs w:val="44"/>
          <w:highlight w:val="none"/>
        </w:rPr>
      </w:pP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1.财政拨款收入：指单位从同级财政部门取得的财政预算资金。</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2.事业收入：指事业单位开展专业业务活动及辅助活动取得的收入。</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3.其他收入：指单位取得的除上述收入以外的各项收入。</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4.年初结转和结余：指以前年度尚未完成、结转到本年按有关规定继续使用的资金。 </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5.结余分配：指事业单位按照会计制度规定缴纳的所得税、提取的专用结余以及转入非财政拨款结余的金额等。</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6、年末结转和结余：指单位按有关规定结转到下年或以后年度继续使用的资金。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7.社会保障和就业（类）行政事业单位养老支出（款）机关事业单位基本养老保险缴费支出（项）：指在编人员2021年度机关养老保险缴费支出单位部分。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8.社会保障和就业（类）行政事业单位养老支出（款）机关事业单位职业年金缴费支出（项）:指在编人员2021年度职业年金缴费支出单位部分。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9.卫生健康（类）公共卫生（款）妇幼保健机构（项）:指在编人员2021年工资福利支出及退休人员目标奖支出等。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10.卫生健康（类）公共卫生（款）重大公共卫生服务（项）:指新生儿疾病筛查、两癌筛查等公共卫生服务项目支出。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11.卫生健康（类）其他卫生健康支出（款）其他卫生健康支出（项）：指妇幼健康服务能力提升项目支出。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12.住房保障（类）住房改革支出（款）住房公积金（项）:指在编人员2021年住房公积金缴费支出单位部分。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13.基本支出：指为保障机构正常运转、完成日常工作任务而发生的人员支出和公用支出。</w:t>
      </w:r>
    </w:p>
    <w:p>
      <w:pPr>
        <w:ind w:firstLine="640" w:firstLineChars="20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14.项目支出：指在基本支出之外为完成重大公共卫生服务项目和事业发展目标所发生的支出。</w:t>
      </w:r>
    </w:p>
    <w:p>
      <w:pPr>
        <w:ind w:firstLine="643" w:firstLineChars="200"/>
        <w:rPr>
          <w:rFonts w:ascii="仿宋" w:hAnsi="仿宋" w:eastAsia="仿宋"/>
          <w:b/>
          <w:color w:val="auto"/>
          <w:sz w:val="32"/>
          <w:szCs w:val="32"/>
          <w:highlight w:val="none"/>
        </w:rPr>
      </w:pPr>
    </w:p>
    <w:p>
      <w:pPr>
        <w:spacing w:line="600" w:lineRule="exact"/>
        <w:jc w:val="center"/>
        <w:outlineLvl w:val="0"/>
        <w:rPr>
          <w:rStyle w:val="26"/>
          <w:rFonts w:ascii="黑体" w:hAnsi="黑体" w:eastAsia="黑体"/>
          <w:b w:val="0"/>
          <w:color w:val="auto"/>
          <w:highlight w:val="none"/>
        </w:rPr>
      </w:pPr>
      <w:bookmarkStart w:id="81" w:name="_Toc15377226"/>
      <w:r>
        <w:rPr>
          <w:rFonts w:ascii="宋体"/>
          <w:b/>
          <w:color w:val="auto"/>
          <w:sz w:val="44"/>
          <w:szCs w:val="44"/>
          <w:highlight w:val="none"/>
        </w:rPr>
        <w:br w:type="page"/>
      </w:r>
      <w:bookmarkStart w:id="82" w:name="_Toc5281"/>
      <w:bookmarkStart w:id="83"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82"/>
      <w:bookmarkEnd w:id="83"/>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bookmarkStart w:id="84" w:name="_Toc1789"/>
      <w:r>
        <w:rPr>
          <w:rFonts w:hint="eastAsia" w:ascii="黑体" w:hAnsi="黑体" w:eastAsia="黑体" w:cs="黑体"/>
          <w:color w:val="auto"/>
          <w:sz w:val="32"/>
          <w:szCs w:val="32"/>
          <w:highlight w:val="none"/>
        </w:rPr>
        <w:t>附件</w:t>
      </w:r>
      <w:bookmarkEnd w:id="84"/>
    </w:p>
    <w:tbl>
      <w:tblPr>
        <w:tblStyle w:val="14"/>
        <w:tblW w:w="94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0"/>
        <w:gridCol w:w="326"/>
        <w:gridCol w:w="573"/>
        <w:gridCol w:w="844"/>
        <w:gridCol w:w="243"/>
        <w:gridCol w:w="1080"/>
        <w:gridCol w:w="192"/>
        <w:gridCol w:w="2457"/>
        <w:gridCol w:w="169"/>
        <w:gridCol w:w="1489"/>
        <w:gridCol w:w="210"/>
        <w:gridCol w:w="1305"/>
        <w:gridCol w:w="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450" w:hRule="atLeast"/>
          <w:jc w:val="center"/>
        </w:trPr>
        <w:tc>
          <w:tcPr>
            <w:tcW w:w="9116"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85" w:name="_Toc15396618"/>
            <w:r>
              <w:rPr>
                <w:rFonts w:hint="eastAsia" w:ascii="宋体" w:hAnsi="宋体" w:eastAsia="宋体" w:cs="宋体"/>
                <w:b/>
                <w:bCs/>
                <w:i w:val="0"/>
                <w:iCs w:val="0"/>
                <w:color w:val="000000"/>
                <w:kern w:val="0"/>
                <w:sz w:val="36"/>
                <w:szCs w:val="36"/>
                <w:u w:val="none"/>
                <w:lang w:val="en-US" w:eastAsia="zh-CN" w:bidi="ar"/>
              </w:rPr>
              <w:t>项目绩效目标完成情况表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480" w:hRule="atLeast"/>
          <w:jc w:val="center"/>
        </w:trPr>
        <w:tc>
          <w:tcPr>
            <w:tcW w:w="9116"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w:t>
            </w:r>
            <w:r>
              <w:rPr>
                <w:rFonts w:hint="eastAsia" w:ascii="宋体" w:hAnsi="宋体" w:cs="宋体"/>
                <w:i w:val="0"/>
                <w:iCs w:val="0"/>
                <w:color w:val="000000"/>
                <w:kern w:val="0"/>
                <w:sz w:val="36"/>
                <w:szCs w:val="36"/>
                <w:u w:val="none"/>
                <w:lang w:val="en-US" w:eastAsia="zh-CN" w:bidi="ar"/>
              </w:rPr>
              <w:t>1</w:t>
            </w:r>
            <w:r>
              <w:rPr>
                <w:rFonts w:hint="eastAsia" w:ascii="宋体" w:hAnsi="宋体" w:eastAsia="宋体" w:cs="宋体"/>
                <w:i w:val="0"/>
                <w:iCs w:val="0"/>
                <w:color w:val="000000"/>
                <w:kern w:val="0"/>
                <w:sz w:val="36"/>
                <w:szCs w:val="36"/>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315" w:hRule="atLeast"/>
          <w:jc w:val="center"/>
        </w:trPr>
        <w:tc>
          <w:tcPr>
            <w:tcW w:w="305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605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新生儿疾病筛查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315" w:hRule="atLeast"/>
          <w:jc w:val="center"/>
        </w:trPr>
        <w:tc>
          <w:tcPr>
            <w:tcW w:w="305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预算单位</w:t>
            </w:r>
          </w:p>
        </w:tc>
        <w:tc>
          <w:tcPr>
            <w:tcW w:w="605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315" w:hRule="atLeast"/>
          <w:jc w:val="center"/>
        </w:trPr>
        <w:tc>
          <w:tcPr>
            <w:tcW w:w="2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预算执行情况(万元)</w:t>
            </w:r>
          </w:p>
        </w:tc>
        <w:tc>
          <w:tcPr>
            <w:tcW w:w="27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预算数:</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9.74</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执行数:</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60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7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2"/>
                <w:rFonts w:hint="eastAsia" w:ascii="仿宋" w:hAnsi="仿宋" w:eastAsia="仿宋" w:cs="仿宋"/>
                <w:sz w:val="24"/>
                <w:szCs w:val="24"/>
                <w:lang w:val="en-US" w:eastAsia="zh-CN" w:bidi="ar"/>
              </w:rPr>
              <w:t>其中-财政拨款:</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9.74</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sz w:val="24"/>
                <w:szCs w:val="24"/>
                <w:u w:val="none"/>
              </w:rPr>
            </w:pPr>
            <w:r>
              <w:rPr>
                <w:rStyle w:val="32"/>
                <w:rFonts w:hint="eastAsia" w:ascii="仿宋" w:hAnsi="仿宋" w:eastAsia="仿宋" w:cs="仿宋"/>
                <w:sz w:val="24"/>
                <w:szCs w:val="24"/>
                <w:lang w:val="en-US" w:eastAsia="zh-CN" w:bidi="ar"/>
              </w:rPr>
              <w:t>其中-财政拨款:</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60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7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315" w:hRule="atLeast"/>
          <w:jc w:val="center"/>
        </w:trPr>
        <w:tc>
          <w:tcPr>
            <w:tcW w:w="2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年度目标完成情况</w:t>
            </w:r>
          </w:p>
        </w:tc>
        <w:tc>
          <w:tcPr>
            <w:tcW w:w="55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预期目标</w:t>
            </w:r>
          </w:p>
        </w:tc>
        <w:tc>
          <w:tcPr>
            <w:tcW w:w="328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144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5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新生儿疾病筛查率达90%</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新生儿听力筛查率达90%</w:t>
            </w:r>
          </w:p>
        </w:tc>
        <w:tc>
          <w:tcPr>
            <w:tcW w:w="328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新生儿疾病筛查率达100%</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新生儿听力筛查率达100%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1455" w:hRule="atLeast"/>
          <w:jc w:val="center"/>
        </w:trPr>
        <w:tc>
          <w:tcPr>
            <w:tcW w:w="2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绩效指标完成情况</w:t>
            </w:r>
          </w:p>
        </w:tc>
        <w:tc>
          <w:tcPr>
            <w:tcW w:w="1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二级指标</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三级指标</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预期指标值(包含数字及文字描述)</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90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项目完成指标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质量指标</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新生儿疾病筛查率</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90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项目完成指标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质量指标</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新生儿听力筛查率</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90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社会效益指标</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指标2：辖区内新生儿患病风险</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大幅度降低</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效果明显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900"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社会效益指标</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指标1：服务对象综合知晓率</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8" w:type="dxa"/>
          <w:trHeight w:val="639" w:hRule="atLeast"/>
          <w:jc w:val="center"/>
        </w:trPr>
        <w:tc>
          <w:tcPr>
            <w:tcW w:w="2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指标2：服务对象满意度</w:t>
            </w:r>
          </w:p>
        </w:tc>
        <w:tc>
          <w:tcPr>
            <w:tcW w:w="1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5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450" w:hRule="atLeast"/>
          <w:jc w:val="center"/>
        </w:trPr>
        <w:tc>
          <w:tcPr>
            <w:tcW w:w="9357"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480" w:hRule="atLeast"/>
          <w:jc w:val="center"/>
        </w:trPr>
        <w:tc>
          <w:tcPr>
            <w:tcW w:w="9357"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w:t>
            </w:r>
            <w:r>
              <w:rPr>
                <w:rFonts w:hint="eastAsia" w:ascii="宋体" w:hAnsi="宋体" w:cs="宋体"/>
                <w:i w:val="0"/>
                <w:iCs w:val="0"/>
                <w:color w:val="000000"/>
                <w:kern w:val="0"/>
                <w:sz w:val="36"/>
                <w:szCs w:val="36"/>
                <w:u w:val="none"/>
                <w:lang w:val="en-US" w:eastAsia="zh-CN" w:bidi="ar"/>
              </w:rPr>
              <w:t>1</w:t>
            </w:r>
            <w:r>
              <w:rPr>
                <w:rFonts w:hint="eastAsia" w:ascii="宋体" w:hAnsi="宋体" w:eastAsia="宋体" w:cs="宋体"/>
                <w:i w:val="0"/>
                <w:iCs w:val="0"/>
                <w:color w:val="000000"/>
                <w:kern w:val="0"/>
                <w:sz w:val="36"/>
                <w:szCs w:val="36"/>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315" w:hRule="atLeast"/>
          <w:jc w:val="center"/>
        </w:trPr>
        <w:tc>
          <w:tcPr>
            <w:tcW w:w="313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622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两癌筛查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315" w:hRule="atLeast"/>
          <w:jc w:val="center"/>
        </w:trPr>
        <w:tc>
          <w:tcPr>
            <w:tcW w:w="313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预算单位</w:t>
            </w:r>
          </w:p>
        </w:tc>
        <w:tc>
          <w:tcPr>
            <w:tcW w:w="622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315" w:hRule="atLeast"/>
          <w:jc w:val="center"/>
        </w:trPr>
        <w:tc>
          <w:tcPr>
            <w:tcW w:w="7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预算执行情况(万元)</w:t>
            </w:r>
          </w:p>
        </w:tc>
        <w:tc>
          <w:tcPr>
            <w:tcW w:w="23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预算数:</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48.55</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执行数:</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60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3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其中-财政拨款:</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48.55</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其中-财政拨款:</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60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3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315" w:hRule="atLeast"/>
          <w:jc w:val="center"/>
        </w:trPr>
        <w:tc>
          <w:tcPr>
            <w:tcW w:w="7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年度目标完成情况</w:t>
            </w:r>
          </w:p>
        </w:tc>
        <w:tc>
          <w:tcPr>
            <w:tcW w:w="514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预期目标</w:t>
            </w:r>
          </w:p>
        </w:tc>
        <w:tc>
          <w:tcPr>
            <w:tcW w:w="34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120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4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开展农村妇女“两癌”筛查，提高农村妇女“两癌”早诊早治率，降低死亡率，进一步提高广大农村妇女健康水平</w:t>
            </w:r>
          </w:p>
        </w:tc>
        <w:tc>
          <w:tcPr>
            <w:tcW w:w="346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1455" w:hRule="atLeast"/>
          <w:jc w:val="center"/>
        </w:trPr>
        <w:tc>
          <w:tcPr>
            <w:tcW w:w="7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绩效指标完成情况</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一级指标</w:t>
            </w: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三级指标</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预期指标值(包含数字及文字描述)</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114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项目完成指标</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指标1：农村妇女免费“两癌”检查项目人数</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highlight w:val="none"/>
                <w:u w:val="none"/>
                <w:lang w:val="en-US" w:eastAsia="zh-CN" w:bidi="ar"/>
              </w:rPr>
              <w:t>乳腺癌1800人次、宫颈癌1800人次</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highlight w:val="none"/>
                <w:u w:val="none"/>
                <w:lang w:val="en-US" w:eastAsia="zh-CN" w:bidi="ar"/>
              </w:rPr>
              <w:t>乳腺癌2173人次、宫颈癌2060人次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57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指标2：贫困县农村妇女“两癌”筛查覆盖率</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57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指标2：农村妇女“两癌”筛查任务完成率</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100%</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57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指标4：“两癌”筛查确诊对象跟进随访率</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100%</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158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成本指标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指标2：“两癌”筛查项目标准</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宫颈癌检查补助标准49元/人；乳腺癌检查补助标准79元/人</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宫颈癌检查补助标准49元/人；乳腺癌检查补助标准79元/人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285"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指标1：辖区内“两癌”患病率</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逐渐缩小</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7" w:type="dxa"/>
          <w:trHeight w:val="570" w:hRule="atLeast"/>
          <w:jc w:val="center"/>
        </w:trPr>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指标2：服务对象满意度</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6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r>
    </w:tbl>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tbl>
      <w:tblPr>
        <w:tblStyle w:val="14"/>
        <w:tblW w:w="88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4"/>
        <w:gridCol w:w="1590"/>
        <w:gridCol w:w="1245"/>
        <w:gridCol w:w="1830"/>
        <w:gridCol w:w="1230"/>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jc w:val="center"/>
        </w:trPr>
        <w:tc>
          <w:tcPr>
            <w:tcW w:w="8808"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808"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w:t>
            </w:r>
            <w:r>
              <w:rPr>
                <w:rFonts w:hint="eastAsia" w:ascii="宋体" w:hAnsi="宋体" w:cs="宋体"/>
                <w:i w:val="0"/>
                <w:iCs w:val="0"/>
                <w:color w:val="000000"/>
                <w:kern w:val="0"/>
                <w:sz w:val="36"/>
                <w:szCs w:val="36"/>
                <w:u w:val="none"/>
                <w:lang w:val="en-US" w:eastAsia="zh-CN" w:bidi="ar"/>
              </w:rPr>
              <w:t>1</w:t>
            </w:r>
            <w:r>
              <w:rPr>
                <w:rFonts w:hint="eastAsia" w:ascii="宋体" w:hAnsi="宋体" w:eastAsia="宋体" w:cs="宋体"/>
                <w:i w:val="0"/>
                <w:iCs w:val="0"/>
                <w:color w:val="000000"/>
                <w:kern w:val="0"/>
                <w:sz w:val="36"/>
                <w:szCs w:val="36"/>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4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46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婚前检查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4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预算单位</w:t>
            </w:r>
          </w:p>
        </w:tc>
        <w:tc>
          <w:tcPr>
            <w:tcW w:w="46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13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预算执行情况(万元)</w:t>
            </w: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60.99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执行数:</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52.76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其中-财政拨款:</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60.99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其中-财政拨款:</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52.76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3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年度目标完成情况</w:t>
            </w:r>
          </w:p>
        </w:tc>
        <w:tc>
          <w:tcPr>
            <w:tcW w:w="46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预期目标</w:t>
            </w:r>
          </w:p>
        </w:tc>
        <w:tc>
          <w:tcPr>
            <w:tcW w:w="27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婚检率达85%</w:t>
            </w:r>
          </w:p>
        </w:tc>
        <w:tc>
          <w:tcPr>
            <w:tcW w:w="27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婚检率达85.15%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13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绩效指标完成情况</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一级指标</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二级指标</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三级指标</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预期指标值(包含数字及文字描述)</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项目完成指标</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质量指标</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婚检率</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提升辖区内优生优育质量</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指标2：服务对象满意度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r>
    </w:tbl>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pStyle w:val="2"/>
        <w:rPr>
          <w:rFonts w:hint="eastAsia"/>
        </w:rPr>
      </w:pPr>
    </w:p>
    <w:tbl>
      <w:tblPr>
        <w:tblStyle w:val="14"/>
        <w:tblW w:w="93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0"/>
        <w:gridCol w:w="780"/>
        <w:gridCol w:w="1104"/>
        <w:gridCol w:w="3111"/>
        <w:gridCol w:w="1626"/>
        <w:gridCol w:w="1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319"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319"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w:t>
            </w:r>
            <w:r>
              <w:rPr>
                <w:rFonts w:hint="eastAsia" w:ascii="宋体" w:hAnsi="宋体" w:cs="宋体"/>
                <w:i w:val="0"/>
                <w:iCs w:val="0"/>
                <w:color w:val="000000"/>
                <w:kern w:val="0"/>
                <w:sz w:val="36"/>
                <w:szCs w:val="36"/>
                <w:u w:val="none"/>
                <w:lang w:val="en-US" w:eastAsia="zh-CN" w:bidi="ar"/>
              </w:rPr>
              <w:t>1</w:t>
            </w:r>
            <w:r>
              <w:rPr>
                <w:rFonts w:hint="eastAsia" w:ascii="宋体" w:hAnsi="宋体" w:eastAsia="宋体" w:cs="宋体"/>
                <w:i w:val="0"/>
                <w:iCs w:val="0"/>
                <w:color w:val="000000"/>
                <w:kern w:val="0"/>
                <w:sz w:val="36"/>
                <w:szCs w:val="36"/>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27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65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孕前优生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27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预算单位</w:t>
            </w:r>
          </w:p>
        </w:tc>
        <w:tc>
          <w:tcPr>
            <w:tcW w:w="65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预算执行情况(万元)</w:t>
            </w:r>
          </w:p>
        </w:tc>
        <w:tc>
          <w:tcPr>
            <w:tcW w:w="1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预算数:</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15.81</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执行数:</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3"/>
                <w:rFonts w:hint="eastAsia" w:ascii="仿宋" w:hAnsi="仿宋" w:eastAsia="仿宋" w:cs="仿宋"/>
                <w:sz w:val="24"/>
                <w:szCs w:val="24"/>
                <w:lang w:val="en-US" w:eastAsia="zh-CN" w:bidi="ar"/>
              </w:rPr>
              <w:t>其中-财政拨款:</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15.81</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3"/>
                <w:rFonts w:hint="eastAsia" w:ascii="仿宋" w:hAnsi="仿宋" w:eastAsia="仿宋" w:cs="仿宋"/>
                <w:sz w:val="24"/>
                <w:szCs w:val="24"/>
                <w:lang w:val="en-US" w:eastAsia="zh-CN" w:bidi="ar"/>
              </w:rPr>
              <w:t>其中-财政拨款:</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其它资金:</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年度目标完成情况</w:t>
            </w:r>
          </w:p>
        </w:tc>
        <w:tc>
          <w:tcPr>
            <w:tcW w:w="49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预期目标</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9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符合生育政策、计划怀孕的城乡夫妇免费提供孕前优生检查服务，提高城乡计划怀孕夫妇优生科学知识知晓率，提高免费孕前优生健康检查目标人群覆盖率。</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为符合生育政策、计划怀孕的城乡夫妇免费提供孕前优生检查服务，提高城乡计划怀孕夫妇优生科学知识知晓率，提高免费孕前优生健康检查目标人群覆盖率。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绩效指标完成情况</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一级指标</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三级指标</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预期指标值(包含数字及文字描述)</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项目完成指标</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指标1：计划年度符合生育政策、计划怀孕的城乡夫妇（包括流动人口）参检对数</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671对</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673.5对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指标2：免费孕前优生健康检查目标人群覆盖率</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r>
              <w:rPr>
                <w:rStyle w:val="34"/>
                <w:rFonts w:hint="eastAsia" w:ascii="仿宋" w:hAnsi="仿宋" w:eastAsia="仿宋" w:cs="仿宋"/>
                <w:sz w:val="24"/>
                <w:szCs w:val="24"/>
                <w:lang w:val="en-US" w:eastAsia="zh-CN" w:bidi="ar"/>
              </w:rPr>
              <w:t>96%</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成本指标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指标1：每对参检夫妇结算标准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240元</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成本指标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指标2：计划生育免费技术服务例平包干结算标准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按照结算标准执行</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按照结算标准执行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效益指标</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指标1：家庭发展能力</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指标2：社会稳定水平</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指标3：城乡计划怀孕夫妇优生科学知识知晓率</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r>
              <w:rPr>
                <w:rStyle w:val="34"/>
                <w:rFonts w:hint="eastAsia" w:ascii="仿宋" w:hAnsi="仿宋" w:eastAsia="仿宋" w:cs="仿宋"/>
                <w:sz w:val="24"/>
                <w:szCs w:val="24"/>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r>
              <w:rPr>
                <w:rStyle w:val="34"/>
                <w:rFonts w:hint="eastAsia" w:ascii="仿宋" w:hAnsi="仿宋" w:eastAsia="仿宋" w:cs="仿宋"/>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指标4：妇女自我保护意识和选择科学合理避孕方式能力</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指标5：家庭发展能力</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指标6：社会稳定水平</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8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满意度指标</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指标1：孕前优生检查服务对象满意度</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r>
              <w:rPr>
                <w:rStyle w:val="34"/>
                <w:rFonts w:hint="eastAsia" w:ascii="仿宋" w:hAnsi="仿宋" w:eastAsia="仿宋" w:cs="仿宋"/>
                <w:sz w:val="24"/>
                <w:szCs w:val="24"/>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r>
              <w:rPr>
                <w:rStyle w:val="34"/>
                <w:rFonts w:hint="eastAsia" w:ascii="仿宋" w:hAnsi="仿宋" w:eastAsia="仿宋" w:cs="仿宋"/>
                <w:sz w:val="24"/>
                <w:szCs w:val="24"/>
                <w:lang w:val="en-US" w:eastAsia="zh-CN" w:bidi="ar"/>
              </w:rPr>
              <w:t>%</w:t>
            </w:r>
          </w:p>
        </w:tc>
      </w:tr>
    </w:tbl>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6" w:name="_Toc2249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81"/>
      <w:bookmarkEnd w:id="85"/>
      <w:bookmarkEnd w:id="86"/>
      <w:bookmarkStart w:id="87" w:name="_Toc15396619"/>
    </w:p>
    <w:p>
      <w:pPr>
        <w:pStyle w:val="4"/>
        <w:rPr>
          <w:rFonts w:ascii="仿宋" w:hAnsi="仿宋" w:eastAsia="仿宋"/>
          <w:color w:val="auto"/>
          <w:highlight w:val="none"/>
        </w:rPr>
      </w:pPr>
      <w:bookmarkStart w:id="88" w:name="_Toc9680"/>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87"/>
      <w:bookmarkEnd w:id="88"/>
    </w:p>
    <w:p>
      <w:pPr>
        <w:pStyle w:val="4"/>
        <w:rPr>
          <w:rFonts w:ascii="仿宋" w:hAnsi="仿宋" w:eastAsia="仿宋"/>
          <w:color w:val="auto"/>
          <w:highlight w:val="none"/>
        </w:rPr>
      </w:pPr>
      <w:bookmarkStart w:id="89" w:name="_Toc4329"/>
      <w:bookmarkStart w:id="90"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89"/>
      <w:bookmarkEnd w:id="90"/>
    </w:p>
    <w:p>
      <w:pPr>
        <w:pStyle w:val="4"/>
        <w:rPr>
          <w:rFonts w:ascii="仿宋" w:hAnsi="仿宋" w:eastAsia="仿宋"/>
          <w:color w:val="auto"/>
          <w:highlight w:val="none"/>
        </w:rPr>
      </w:pPr>
      <w:bookmarkStart w:id="91" w:name="_Toc19650"/>
      <w:bookmarkStart w:id="92"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91"/>
      <w:bookmarkEnd w:id="92"/>
    </w:p>
    <w:p>
      <w:pPr>
        <w:pStyle w:val="4"/>
        <w:rPr>
          <w:rFonts w:ascii="仿宋" w:hAnsi="仿宋" w:eastAsia="仿宋"/>
          <w:b w:val="0"/>
          <w:color w:val="auto"/>
          <w:highlight w:val="none"/>
        </w:rPr>
      </w:pPr>
      <w:bookmarkStart w:id="93" w:name="_Toc15396622"/>
      <w:bookmarkStart w:id="94" w:name="_Toc2815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93"/>
      <w:bookmarkEnd w:id="94"/>
    </w:p>
    <w:p>
      <w:pPr>
        <w:pStyle w:val="4"/>
        <w:rPr>
          <w:rStyle w:val="27"/>
          <w:rFonts w:ascii="仿宋" w:hAnsi="仿宋" w:eastAsia="仿宋"/>
          <w:b w:val="0"/>
          <w:bCs w:val="0"/>
          <w:color w:val="auto"/>
          <w:highlight w:val="none"/>
        </w:rPr>
      </w:pPr>
      <w:bookmarkStart w:id="95" w:name="_Toc15396623"/>
      <w:bookmarkStart w:id="96" w:name="_Toc26501"/>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95"/>
      <w:bookmarkEnd w:id="96"/>
      <w:bookmarkStart w:id="97" w:name="_Toc15396624"/>
    </w:p>
    <w:p>
      <w:pPr>
        <w:pStyle w:val="4"/>
        <w:rPr>
          <w:rFonts w:ascii="仿宋" w:hAnsi="仿宋" w:eastAsia="仿宋"/>
          <w:color w:val="auto"/>
          <w:highlight w:val="none"/>
        </w:rPr>
      </w:pPr>
      <w:bookmarkStart w:id="98" w:name="_Toc4352"/>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97"/>
      <w:bookmarkEnd w:id="98"/>
    </w:p>
    <w:p>
      <w:pPr>
        <w:pStyle w:val="4"/>
        <w:rPr>
          <w:rFonts w:ascii="仿宋" w:hAnsi="仿宋" w:eastAsia="仿宋"/>
          <w:color w:val="auto"/>
          <w:highlight w:val="none"/>
        </w:rPr>
      </w:pPr>
      <w:bookmarkStart w:id="99" w:name="_Toc15396625"/>
      <w:bookmarkStart w:id="100" w:name="_Toc2332"/>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99"/>
      <w:bookmarkEnd w:id="100"/>
    </w:p>
    <w:p>
      <w:pPr>
        <w:pStyle w:val="4"/>
        <w:rPr>
          <w:rFonts w:ascii="仿宋" w:hAnsi="仿宋" w:eastAsia="仿宋"/>
          <w:color w:val="auto"/>
          <w:highlight w:val="none"/>
        </w:rPr>
      </w:pPr>
      <w:bookmarkStart w:id="101" w:name="_Toc15396626"/>
      <w:bookmarkStart w:id="102" w:name="_Toc24143"/>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01"/>
      <w:bookmarkEnd w:id="102"/>
    </w:p>
    <w:p>
      <w:pPr>
        <w:pStyle w:val="4"/>
        <w:rPr>
          <w:rFonts w:ascii="仿宋" w:hAnsi="仿宋" w:eastAsia="仿宋"/>
          <w:color w:val="auto"/>
          <w:highlight w:val="none"/>
        </w:rPr>
      </w:pPr>
      <w:bookmarkStart w:id="103" w:name="_Toc15396627"/>
      <w:bookmarkStart w:id="104" w:name="_Toc5260"/>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03"/>
      <w:bookmarkEnd w:id="104"/>
    </w:p>
    <w:p>
      <w:pPr>
        <w:pStyle w:val="4"/>
        <w:rPr>
          <w:rFonts w:ascii="仿宋" w:hAnsi="仿宋" w:eastAsia="仿宋"/>
          <w:color w:val="auto"/>
          <w:highlight w:val="none"/>
        </w:rPr>
      </w:pPr>
      <w:bookmarkStart w:id="105" w:name="_Toc15396628"/>
      <w:bookmarkStart w:id="106" w:name="_Toc17669"/>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105"/>
      <w:bookmarkEnd w:id="106"/>
    </w:p>
    <w:p>
      <w:pPr>
        <w:pStyle w:val="4"/>
        <w:rPr>
          <w:rFonts w:ascii="仿宋" w:hAnsi="仿宋" w:eastAsia="仿宋"/>
          <w:color w:val="auto"/>
          <w:highlight w:val="none"/>
        </w:rPr>
      </w:pPr>
      <w:bookmarkStart w:id="107" w:name="_Toc15396629"/>
      <w:bookmarkStart w:id="108" w:name="_Toc7165"/>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07"/>
      <w:bookmarkEnd w:id="108"/>
    </w:p>
    <w:p>
      <w:pPr>
        <w:pStyle w:val="4"/>
        <w:rPr>
          <w:rFonts w:ascii="仿宋" w:hAnsi="仿宋" w:eastAsia="仿宋"/>
          <w:color w:val="auto"/>
          <w:highlight w:val="none"/>
        </w:rPr>
      </w:pPr>
      <w:bookmarkStart w:id="109" w:name="_Toc15396630"/>
      <w:bookmarkStart w:id="110" w:name="_Toc30754"/>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109"/>
      <w:bookmarkEnd w:id="110"/>
    </w:p>
    <w:p>
      <w:pPr>
        <w:pStyle w:val="4"/>
        <w:rPr>
          <w:rStyle w:val="27"/>
          <w:rFonts w:hint="eastAsia" w:ascii="仿宋" w:hAnsi="仿宋" w:eastAsia="仿宋"/>
          <w:b w:val="0"/>
          <w:bCs w:val="0"/>
          <w:color w:val="auto"/>
          <w:highlight w:val="none"/>
        </w:rPr>
      </w:pPr>
      <w:bookmarkStart w:id="111" w:name="_Toc15396631"/>
      <w:bookmarkStart w:id="112" w:name="_Toc12795"/>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11"/>
      <w:bookmarkEnd w:id="112"/>
    </w:p>
    <w:p>
      <w:pPr>
        <w:rPr>
          <w:rFonts w:hint="eastAsia" w:eastAsia="仿宋"/>
          <w:color w:val="auto"/>
          <w:highlight w:val="none"/>
          <w:lang w:eastAsia="zh-CN"/>
        </w:rPr>
      </w:pPr>
      <w:bookmarkStart w:id="113" w:name="_Toc1354"/>
      <w:r>
        <w:rPr>
          <w:rStyle w:val="27"/>
          <w:rFonts w:hint="eastAsia" w:ascii="仿宋" w:hAnsi="仿宋" w:eastAsia="仿宋"/>
          <w:b w:val="0"/>
          <w:bCs w:val="0"/>
          <w:color w:val="auto"/>
          <w:highlight w:val="none"/>
          <w:lang w:eastAsia="zh-CN"/>
        </w:rPr>
        <w:t>十四、国有资本经营预算财政拨款支出决算表</w:t>
      </w:r>
      <w:bookmarkEnd w:id="11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15E81"/>
    <w:multiLevelType w:val="singleLevel"/>
    <w:tmpl w:val="B1F15E81"/>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OTUxNWViZjAyMTZjZjgxYjJhMWU4ZTVhYzllO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F4265FF"/>
    <w:rsid w:val="10C055FF"/>
    <w:rsid w:val="118107EC"/>
    <w:rsid w:val="11DD6519"/>
    <w:rsid w:val="135A406D"/>
    <w:rsid w:val="16BB723D"/>
    <w:rsid w:val="18015F3F"/>
    <w:rsid w:val="1BE8440E"/>
    <w:rsid w:val="1D155CEE"/>
    <w:rsid w:val="1D2736D6"/>
    <w:rsid w:val="20F57F95"/>
    <w:rsid w:val="240371BF"/>
    <w:rsid w:val="25C741E6"/>
    <w:rsid w:val="27842671"/>
    <w:rsid w:val="29FD04D3"/>
    <w:rsid w:val="2ABE7A3E"/>
    <w:rsid w:val="2EFA178C"/>
    <w:rsid w:val="30B46D73"/>
    <w:rsid w:val="319F7F4E"/>
    <w:rsid w:val="39AE70AB"/>
    <w:rsid w:val="3C0C0783"/>
    <w:rsid w:val="3F795B0E"/>
    <w:rsid w:val="3F9F3A96"/>
    <w:rsid w:val="493C27E9"/>
    <w:rsid w:val="496F39ED"/>
    <w:rsid w:val="49FF41D3"/>
    <w:rsid w:val="4A185DC8"/>
    <w:rsid w:val="4BE068DB"/>
    <w:rsid w:val="4BF6002B"/>
    <w:rsid w:val="4ECE2238"/>
    <w:rsid w:val="51DB4B86"/>
    <w:rsid w:val="55333C3E"/>
    <w:rsid w:val="59DB5228"/>
    <w:rsid w:val="5A9F1291"/>
    <w:rsid w:val="64CA39A1"/>
    <w:rsid w:val="6C4A05C8"/>
    <w:rsid w:val="6D972FE7"/>
    <w:rsid w:val="72734D90"/>
    <w:rsid w:val="74E366CA"/>
    <w:rsid w:val="79E7B28D"/>
    <w:rsid w:val="7EF658F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01"/>
    <w:basedOn w:val="15"/>
    <w:qFormat/>
    <w:uiPriority w:val="0"/>
    <w:rPr>
      <w:rFonts w:hint="eastAsia" w:ascii="宋体" w:hAnsi="宋体" w:eastAsia="宋体" w:cs="宋体"/>
      <w:color w:val="000000"/>
      <w:sz w:val="24"/>
      <w:szCs w:val="24"/>
      <w:u w:val="none"/>
    </w:rPr>
  </w:style>
  <w:style w:type="character" w:customStyle="1" w:styleId="33">
    <w:name w:val="font11"/>
    <w:basedOn w:val="15"/>
    <w:uiPriority w:val="0"/>
    <w:rPr>
      <w:rFonts w:hint="eastAsia" w:ascii="宋体" w:hAnsi="宋体" w:eastAsia="宋体" w:cs="宋体"/>
      <w:color w:val="000000"/>
      <w:sz w:val="24"/>
      <w:szCs w:val="24"/>
      <w:u w:val="none"/>
    </w:rPr>
  </w:style>
  <w:style w:type="character" w:customStyle="1" w:styleId="34">
    <w:name w:val="font51"/>
    <w:basedOn w:val="15"/>
    <w:qFormat/>
    <w:uiPriority w:val="0"/>
    <w:rPr>
      <w:rFonts w:hint="eastAsia" w:ascii="宋体" w:hAnsi="宋体" w:eastAsia="宋体" w:cs="宋体"/>
      <w:color w:val="000000"/>
      <w:sz w:val="19"/>
      <w:szCs w:val="19"/>
      <w:u w:val="none"/>
    </w:rPr>
  </w:style>
  <w:style w:type="paragraph" w:customStyle="1" w:styleId="35">
    <w:name w:val="WPSOffice手动目录 1"/>
    <w:uiPriority w:val="0"/>
    <w:pPr>
      <w:ind w:leftChars="0"/>
    </w:pPr>
    <w:rPr>
      <w:rFonts w:asciiTheme="minorHAnsi" w:hAnsiTheme="minorHAnsi" w:eastAsiaTheme="minorEastAsia" w:cstheme="minorBidi"/>
      <w:sz w:val="20"/>
      <w:szCs w:val="20"/>
    </w:rPr>
  </w:style>
  <w:style w:type="paragraph" w:customStyle="1" w:styleId="36">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6700;&#38754;\&#21333;&#20301;&#36827;&#36135;&#27719;&#24635;&#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6700;&#38754;\&#21333;&#20301;&#36827;&#36135;&#27719;&#2463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6700;&#38754;\&#39044;&#20915;&#31639;&#20844;&#24320;\&#22235;&#24029;&#30465;&#24191;&#20803;&#24066;&#26157;&#21270;&#21306;&#22919;&#24188;&#20445;&#20581;&#38498;2020&#24180;&#20915;&#31639;&#20844;&#24320;&#25253;&#34920;(451274756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[单位进货汇总表.xlsx]Sheet2!$E$21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[单位进货汇总表.xlsx]Sheet2!$F$20:$G$20</c:f>
              <c:strCache>
                <c:ptCount val="2"/>
                <c:pt idx="0">
                  <c:v>收入</c:v>
                </c:pt>
                <c:pt idx="1">
                  <c:v>支出</c:v>
                </c:pt>
              </c:strCache>
            </c:strRef>
          </c:cat>
          <c:val>
            <c:numRef>
              <c:f>[单位进货汇总表.xlsx]Sheet2!$F$21:$G$21</c:f>
              <c:numCache>
                <c:formatCode>General</c:formatCode>
                <c:ptCount val="2"/>
                <c:pt idx="0">
                  <c:v>4082.23</c:v>
                </c:pt>
                <c:pt idx="1">
                  <c:v>4082.23</c:v>
                </c:pt>
              </c:numCache>
            </c:numRef>
          </c:val>
        </c:ser>
        <c:ser>
          <c:idx val="1"/>
          <c:order val="1"/>
          <c:tx>
            <c:strRef>
              <c:f>[单位进货汇总表.xlsx]Sheet2!$E$22</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[单位进货汇总表.xlsx]Sheet2!$F$20:$G$20</c:f>
              <c:strCache>
                <c:ptCount val="2"/>
                <c:pt idx="0">
                  <c:v>收入</c:v>
                </c:pt>
                <c:pt idx="1">
                  <c:v>支出</c:v>
                </c:pt>
              </c:strCache>
            </c:strRef>
          </c:cat>
          <c:val>
            <c:numRef>
              <c:f>[单位进货汇总表.xlsx]Sheet2!$F$22:$G$22</c:f>
              <c:numCache>
                <c:formatCode>General</c:formatCode>
                <c:ptCount val="2"/>
                <c:pt idx="0">
                  <c:v>3579.66</c:v>
                </c:pt>
                <c:pt idx="1">
                  <c:v>3575.37</c:v>
                </c:pt>
              </c:numCache>
            </c:numRef>
          </c:val>
        </c:ser>
        <c:dLbls>
          <c:showLegendKey val="0"/>
          <c:showVal val="1"/>
          <c:showCatName val="0"/>
          <c:showSerName val="0"/>
          <c:showPercent val="0"/>
          <c:showBubbleSize val="0"/>
        </c:dLbls>
        <c:gapWidth val="219"/>
        <c:overlap val="-27"/>
        <c:axId val="811263860"/>
        <c:axId val="625224328"/>
      </c:barChart>
      <c:catAx>
        <c:axId val="8112638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5224328"/>
        <c:crosses val="autoZero"/>
        <c:auto val="1"/>
        <c:lblAlgn val="ctr"/>
        <c:lblOffset val="100"/>
        <c:noMultiLvlLbl val="0"/>
      </c:catAx>
      <c:valAx>
        <c:axId val="62522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26386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[单位进货汇总表.xlsx]Sheet2!$E$11:$E$13</c:f>
              <c:strCache>
                <c:ptCount val="3"/>
                <c:pt idx="0">
                  <c:v>一般公共预算财政拨款收入</c:v>
                </c:pt>
                <c:pt idx="1">
                  <c:v>事业收入</c:v>
                </c:pt>
                <c:pt idx="2">
                  <c:v>其他收入</c:v>
                </c:pt>
              </c:strCache>
            </c:strRef>
          </c:cat>
          <c:val>
            <c:numRef>
              <c:f>[单位进货汇总表.xlsx]Sheet2!$F$11:$F$13</c:f>
              <c:numCache>
                <c:formatCode>General</c:formatCode>
                <c:ptCount val="3"/>
                <c:pt idx="0">
                  <c:v>565.74</c:v>
                </c:pt>
                <c:pt idx="1">
                  <c:v>2077.81</c:v>
                </c:pt>
                <c:pt idx="2">
                  <c:v>41.77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'[四川省广元市昭化区妇幼保健院2020年决算公开报表(4512747560).xls]Z04 财政拨款收入支出决算总表(财决公开04表)'!$M$16</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'[四川省广元市昭化区妇幼保健院2020年决算公开报表(4512747560).xls]Z04 财政拨款收入支出决算总表(财决公开04表)'!$N$15:$O$15</c:f>
              <c:strCache>
                <c:ptCount val="2"/>
                <c:pt idx="0">
                  <c:v>2021年</c:v>
                </c:pt>
                <c:pt idx="1">
                  <c:v>2020年</c:v>
                </c:pt>
              </c:strCache>
            </c:strRef>
          </c:cat>
          <c:val>
            <c:numRef>
              <c:f>'[四川省广元市昭化区妇幼保健院2020年决算公开报表(4512747560).xls]Z04 财政拨款收入支出决算总表(财决公开04表)'!$N$16:$O$16</c:f>
              <c:numCache>
                <c:formatCode>General</c:formatCode>
                <c:ptCount val="2"/>
                <c:pt idx="0">
                  <c:v>1460.07</c:v>
                </c:pt>
                <c:pt idx="1">
                  <c:v>2165.66</c:v>
                </c:pt>
              </c:numCache>
            </c:numRef>
          </c:val>
        </c:ser>
        <c:ser>
          <c:idx val="1"/>
          <c:order val="1"/>
          <c:tx>
            <c:strRef>
              <c:f>'[四川省广元市昭化区妇幼保健院2020年决算公开报表(4512747560).xls]Z04 财政拨款收入支出决算总表(财决公开04表)'!$M$17</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'[四川省广元市昭化区妇幼保健院2020年决算公开报表(4512747560).xls]Z04 财政拨款收入支出决算总表(财决公开04表)'!$N$15:$O$15</c:f>
              <c:strCache>
                <c:ptCount val="2"/>
                <c:pt idx="0">
                  <c:v>2021年</c:v>
                </c:pt>
                <c:pt idx="1">
                  <c:v>2020年</c:v>
                </c:pt>
              </c:strCache>
            </c:strRef>
          </c:cat>
          <c:val>
            <c:numRef>
              <c:f>'[四川省广元市昭化区妇幼保健院2020年决算公开报表(4512747560).xls]Z04 财政拨款收入支出决算总表(财决公开04表)'!$N$17:$O$17</c:f>
              <c:numCache>
                <c:formatCode>General</c:formatCode>
                <c:ptCount val="2"/>
                <c:pt idx="0">
                  <c:v>1460.07</c:v>
                </c:pt>
                <c:pt idx="1">
                  <c:v>2165.66</c:v>
                </c:pt>
              </c:numCache>
            </c:numRef>
          </c:val>
        </c:ser>
        <c:dLbls>
          <c:showLegendKey val="0"/>
          <c:showVal val="1"/>
          <c:showCatName val="0"/>
          <c:showSerName val="0"/>
          <c:showPercent val="0"/>
          <c:showBubbleSize val="0"/>
        </c:dLbls>
        <c:gapWidth val="219"/>
        <c:overlap val="-27"/>
        <c:axId val="941278398"/>
        <c:axId val="866521620"/>
      </c:barChart>
      <c:catAx>
        <c:axId val="9412783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521620"/>
        <c:crosses val="autoZero"/>
        <c:auto val="1"/>
        <c:lblAlgn val="ctr"/>
        <c:lblOffset val="100"/>
        <c:noMultiLvlLbl val="0"/>
      </c:catAx>
      <c:valAx>
        <c:axId val="8665216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12783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7362</Words>
  <Characters>8236</Characters>
  <Lines>61</Lines>
  <Paragraphs>17</Paragraphs>
  <TotalTime>1</TotalTime>
  <ScaleCrop>false</ScaleCrop>
  <LinksUpToDate>false</LinksUpToDate>
  <CharactersWithSpaces>8365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2022-10-08T13:16:53Z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FDE22F666C9E438095D0D1D2C25D53DD</vt:lpwstr>
  </property>
</Properties>
</file>